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031" w:rsidRPr="004B03E4" w:rsidRDefault="00643031" w:rsidP="00643031">
      <w:pPr>
        <w:pStyle w:val="Heading1"/>
        <w:ind w:left="720" w:hanging="720"/>
        <w:rPr>
          <w:rFonts w:ascii="Arial Bold" w:eastAsiaTheme="majorEastAsia" w:hAnsi="Arial Bold" w:cstheme="majorBidi"/>
          <w:b w:val="0"/>
          <w:spacing w:val="5"/>
          <w:kern w:val="28"/>
          <w:sz w:val="28"/>
          <w:szCs w:val="28"/>
        </w:rPr>
      </w:pPr>
      <w:r w:rsidRPr="004B03E4">
        <w:rPr>
          <w:rFonts w:ascii="Arial Bold" w:eastAsiaTheme="majorEastAsia" w:hAnsi="Arial Bold" w:cstheme="majorBidi"/>
          <w:spacing w:val="5"/>
          <w:kern w:val="28"/>
          <w:sz w:val="28"/>
          <w:szCs w:val="28"/>
        </w:rPr>
        <w:t>7.06</w:t>
      </w:r>
      <w:r w:rsidRPr="004B03E4">
        <w:rPr>
          <w:rFonts w:ascii="Arial Bold" w:eastAsiaTheme="majorEastAsia" w:hAnsi="Arial Bold" w:cstheme="majorBidi"/>
          <w:spacing w:val="5"/>
          <w:kern w:val="28"/>
          <w:sz w:val="28"/>
          <w:szCs w:val="28"/>
        </w:rPr>
        <w:tab/>
        <w:t>SACUBITRIL</w:t>
      </w:r>
      <w:r>
        <w:rPr>
          <w:rFonts w:ascii="Arial Bold" w:eastAsiaTheme="majorEastAsia" w:hAnsi="Arial Bold" w:cstheme="majorBidi"/>
          <w:spacing w:val="5"/>
          <w:kern w:val="28"/>
          <w:sz w:val="28"/>
          <w:szCs w:val="28"/>
        </w:rPr>
        <w:t xml:space="preserve"> with </w:t>
      </w:r>
      <w:r w:rsidRPr="004B03E4">
        <w:rPr>
          <w:rFonts w:ascii="Arial Bold" w:eastAsiaTheme="majorEastAsia" w:hAnsi="Arial Bold" w:cstheme="majorBidi"/>
          <w:spacing w:val="5"/>
          <w:kern w:val="28"/>
          <w:sz w:val="28"/>
          <w:szCs w:val="28"/>
        </w:rPr>
        <w:t>VALSARTAN</w:t>
      </w:r>
    </w:p>
    <w:p w:rsidR="00643031" w:rsidRPr="00EF0ED5" w:rsidRDefault="00643031" w:rsidP="00643031">
      <w:pPr>
        <w:pStyle w:val="NoSpacing"/>
        <w:ind w:left="709"/>
        <w:rPr>
          <w:b/>
          <w:sz w:val="28"/>
          <w:szCs w:val="28"/>
        </w:rPr>
      </w:pPr>
      <w:proofErr w:type="spellStart"/>
      <w:proofErr w:type="gramStart"/>
      <w:r>
        <w:rPr>
          <w:b/>
          <w:sz w:val="28"/>
          <w:szCs w:val="28"/>
        </w:rPr>
        <w:t>sacubitril</w:t>
      </w:r>
      <w:proofErr w:type="spellEnd"/>
      <w:proofErr w:type="gramEnd"/>
      <w:r>
        <w:rPr>
          <w:b/>
          <w:sz w:val="28"/>
          <w:szCs w:val="28"/>
        </w:rPr>
        <w:t xml:space="preserve"> 24 mg/ </w:t>
      </w:r>
      <w:r w:rsidRPr="00EF0ED5">
        <w:rPr>
          <w:b/>
          <w:sz w:val="28"/>
          <w:szCs w:val="28"/>
        </w:rPr>
        <w:t xml:space="preserve">valsartan 26 mg, </w:t>
      </w:r>
    </w:p>
    <w:p w:rsidR="00643031" w:rsidRPr="00EF0ED5" w:rsidRDefault="00643031" w:rsidP="00643031">
      <w:pPr>
        <w:pStyle w:val="NoSpacing"/>
        <w:ind w:left="709"/>
        <w:rPr>
          <w:b/>
          <w:sz w:val="28"/>
          <w:szCs w:val="28"/>
        </w:rPr>
      </w:pPr>
      <w:proofErr w:type="spellStart"/>
      <w:proofErr w:type="gramStart"/>
      <w:r>
        <w:rPr>
          <w:b/>
          <w:sz w:val="28"/>
          <w:szCs w:val="28"/>
        </w:rPr>
        <w:t>sacubitril</w:t>
      </w:r>
      <w:proofErr w:type="spellEnd"/>
      <w:proofErr w:type="gramEnd"/>
      <w:r>
        <w:rPr>
          <w:b/>
          <w:sz w:val="28"/>
          <w:szCs w:val="28"/>
        </w:rPr>
        <w:t xml:space="preserve"> 49 mg/ </w:t>
      </w:r>
      <w:r w:rsidRPr="00EF0ED5">
        <w:rPr>
          <w:b/>
          <w:sz w:val="28"/>
          <w:szCs w:val="28"/>
        </w:rPr>
        <w:t xml:space="preserve">valsartan 51 mg, </w:t>
      </w:r>
    </w:p>
    <w:p w:rsidR="00643031" w:rsidRPr="00EF0ED5" w:rsidRDefault="00643031" w:rsidP="00643031">
      <w:pPr>
        <w:pStyle w:val="NoSpacing"/>
        <w:ind w:left="709"/>
        <w:rPr>
          <w:b/>
          <w:sz w:val="28"/>
          <w:szCs w:val="28"/>
        </w:rPr>
      </w:pPr>
      <w:proofErr w:type="spellStart"/>
      <w:proofErr w:type="gramStart"/>
      <w:r>
        <w:rPr>
          <w:b/>
          <w:sz w:val="28"/>
          <w:szCs w:val="28"/>
        </w:rPr>
        <w:t>sacubitril</w:t>
      </w:r>
      <w:proofErr w:type="spellEnd"/>
      <w:proofErr w:type="gramEnd"/>
      <w:r>
        <w:rPr>
          <w:b/>
          <w:sz w:val="28"/>
          <w:szCs w:val="28"/>
        </w:rPr>
        <w:t xml:space="preserve"> 97 mg/ </w:t>
      </w:r>
      <w:r w:rsidRPr="00EF0ED5">
        <w:rPr>
          <w:b/>
          <w:sz w:val="28"/>
          <w:szCs w:val="28"/>
        </w:rPr>
        <w:t xml:space="preserve">valsartan 103 mg, </w:t>
      </w:r>
    </w:p>
    <w:p w:rsidR="00643031" w:rsidRPr="00EF0ED5" w:rsidRDefault="00643031" w:rsidP="00643031">
      <w:pPr>
        <w:pStyle w:val="NoSpacing"/>
        <w:ind w:left="709"/>
        <w:rPr>
          <w:b/>
          <w:sz w:val="28"/>
          <w:szCs w:val="28"/>
        </w:rPr>
      </w:pPr>
      <w:proofErr w:type="spellStart"/>
      <w:r w:rsidRPr="00EF0ED5">
        <w:rPr>
          <w:b/>
          <w:sz w:val="28"/>
          <w:szCs w:val="28"/>
        </w:rPr>
        <w:t>Entresto</w:t>
      </w:r>
      <w:proofErr w:type="spellEnd"/>
      <w:r w:rsidRPr="00EF0ED5">
        <w:rPr>
          <w:b/>
          <w:sz w:val="28"/>
          <w:szCs w:val="28"/>
        </w:rPr>
        <w:t>®,</w:t>
      </w:r>
    </w:p>
    <w:p w:rsidR="00643031" w:rsidRDefault="00643031" w:rsidP="00643031">
      <w:pPr>
        <w:pStyle w:val="NoSpacing"/>
        <w:ind w:left="709"/>
      </w:pPr>
      <w:r w:rsidRPr="00EF0ED5">
        <w:rPr>
          <w:b/>
          <w:sz w:val="28"/>
          <w:szCs w:val="28"/>
        </w:rPr>
        <w:t>Novartis Pharmaceuticals Australia</w:t>
      </w:r>
    </w:p>
    <w:p w:rsidR="00C27B58" w:rsidRDefault="00C27B58" w:rsidP="00C27B58">
      <w:pPr>
        <w:pStyle w:val="NoSpacing"/>
      </w:pPr>
    </w:p>
    <w:p w:rsidR="00837917" w:rsidRPr="00643031" w:rsidRDefault="00837917" w:rsidP="00643031">
      <w:pPr>
        <w:pStyle w:val="Heading1"/>
      </w:pPr>
      <w:r w:rsidRPr="00643031">
        <w:t>Summary of issues</w:t>
      </w:r>
      <w:r w:rsidR="0041628B" w:rsidRPr="00643031">
        <w:t>: previous major submission versus</w:t>
      </w:r>
      <w:r w:rsidRPr="00643031">
        <w:t xml:space="preserve"> current minor re-submission.</w:t>
      </w:r>
    </w:p>
    <w:tbl>
      <w:tblPr>
        <w:tblStyle w:val="TableGrid"/>
        <w:tblW w:w="0" w:type="auto"/>
        <w:tblCellMar>
          <w:top w:w="28" w:type="dxa"/>
          <w:left w:w="28" w:type="dxa"/>
          <w:bottom w:w="28" w:type="dxa"/>
          <w:right w:w="28" w:type="dxa"/>
        </w:tblCellMar>
        <w:tblLook w:val="04A0" w:firstRow="1" w:lastRow="0" w:firstColumn="1" w:lastColumn="0" w:noHBand="0" w:noVBand="1"/>
        <w:tblCaption w:val="Summary of issues: previous major submission versus current minor re-submission."/>
      </w:tblPr>
      <w:tblGrid>
        <w:gridCol w:w="1095"/>
        <w:gridCol w:w="1275"/>
        <w:gridCol w:w="919"/>
        <w:gridCol w:w="2583"/>
        <w:gridCol w:w="393"/>
        <w:gridCol w:w="2817"/>
      </w:tblGrid>
      <w:tr w:rsidR="009579B1" w:rsidRPr="00837917" w:rsidTr="000A3467">
        <w:trPr>
          <w:cantSplit/>
          <w:tblHeader/>
        </w:trPr>
        <w:tc>
          <w:tcPr>
            <w:tcW w:w="1095" w:type="dxa"/>
          </w:tcPr>
          <w:p w:rsidR="00837917" w:rsidRPr="00675E5A" w:rsidRDefault="00837917" w:rsidP="00E72810">
            <w:pPr>
              <w:pStyle w:val="NoSpacing"/>
              <w:jc w:val="left"/>
              <w:rPr>
                <w:rFonts w:ascii="Arial Narrow" w:hAnsi="Arial Narrow"/>
                <w:b/>
                <w:sz w:val="20"/>
                <w:szCs w:val="20"/>
              </w:rPr>
            </w:pPr>
          </w:p>
        </w:tc>
        <w:tc>
          <w:tcPr>
            <w:tcW w:w="2194" w:type="dxa"/>
            <w:gridSpan w:val="2"/>
            <w:vAlign w:val="center"/>
          </w:tcPr>
          <w:p w:rsidR="00B040C8" w:rsidRDefault="00837917" w:rsidP="00B040C8">
            <w:pPr>
              <w:pStyle w:val="NoSpacing"/>
              <w:jc w:val="center"/>
              <w:rPr>
                <w:rFonts w:ascii="Arial Narrow" w:hAnsi="Arial Narrow"/>
                <w:b/>
                <w:sz w:val="20"/>
                <w:szCs w:val="20"/>
              </w:rPr>
            </w:pPr>
            <w:r w:rsidRPr="00837917">
              <w:rPr>
                <w:rFonts w:ascii="Arial Narrow" w:hAnsi="Arial Narrow"/>
                <w:b/>
                <w:sz w:val="20"/>
                <w:szCs w:val="20"/>
              </w:rPr>
              <w:t xml:space="preserve">March 2016 Major submission </w:t>
            </w:r>
          </w:p>
          <w:p w:rsidR="00837917" w:rsidRPr="00837917" w:rsidRDefault="00837917" w:rsidP="00B040C8">
            <w:pPr>
              <w:pStyle w:val="NoSpacing"/>
              <w:jc w:val="center"/>
              <w:rPr>
                <w:rFonts w:ascii="Arial Narrow" w:hAnsi="Arial Narrow"/>
                <w:b/>
                <w:sz w:val="20"/>
                <w:szCs w:val="20"/>
              </w:rPr>
            </w:pPr>
            <w:r w:rsidRPr="00837917">
              <w:rPr>
                <w:rFonts w:ascii="Arial Narrow" w:hAnsi="Arial Narrow"/>
                <w:b/>
                <w:sz w:val="20"/>
                <w:szCs w:val="20"/>
              </w:rPr>
              <w:t>(</w:t>
            </w:r>
            <w:r w:rsidR="00B040C8">
              <w:rPr>
                <w:rFonts w:ascii="Arial Narrow" w:hAnsi="Arial Narrow"/>
                <w:b/>
                <w:sz w:val="20"/>
                <w:szCs w:val="20"/>
              </w:rPr>
              <w:t>1</w:t>
            </w:r>
            <w:r w:rsidR="00B040C8" w:rsidRPr="00B040C8">
              <w:rPr>
                <w:rFonts w:ascii="Arial Narrow" w:hAnsi="Arial Narrow"/>
                <w:b/>
                <w:sz w:val="20"/>
                <w:szCs w:val="20"/>
                <w:vertAlign w:val="superscript"/>
              </w:rPr>
              <w:t>st</w:t>
            </w:r>
            <w:r w:rsidR="00B040C8">
              <w:rPr>
                <w:rFonts w:ascii="Arial Narrow" w:hAnsi="Arial Narrow"/>
                <w:b/>
                <w:sz w:val="20"/>
                <w:szCs w:val="20"/>
              </w:rPr>
              <w:t xml:space="preserve"> time PBAC consideration)</w:t>
            </w:r>
          </w:p>
        </w:tc>
        <w:tc>
          <w:tcPr>
            <w:tcW w:w="2976" w:type="dxa"/>
            <w:gridSpan w:val="2"/>
            <w:vAlign w:val="center"/>
          </w:tcPr>
          <w:p w:rsidR="00837917" w:rsidRPr="00837917" w:rsidRDefault="00837917" w:rsidP="007809CB">
            <w:pPr>
              <w:pStyle w:val="NoSpacing"/>
              <w:jc w:val="center"/>
              <w:rPr>
                <w:rFonts w:ascii="Arial Narrow" w:hAnsi="Arial Narrow"/>
                <w:b/>
                <w:sz w:val="20"/>
                <w:szCs w:val="20"/>
              </w:rPr>
            </w:pPr>
            <w:r w:rsidRPr="00837917">
              <w:rPr>
                <w:rFonts w:ascii="Arial Narrow" w:hAnsi="Arial Narrow"/>
                <w:b/>
                <w:sz w:val="20"/>
                <w:szCs w:val="20"/>
              </w:rPr>
              <w:t xml:space="preserve">March 2016 PBAC </w:t>
            </w:r>
            <w:r w:rsidR="007809CB">
              <w:rPr>
                <w:rFonts w:ascii="Arial Narrow" w:hAnsi="Arial Narrow"/>
                <w:b/>
                <w:sz w:val="20"/>
                <w:szCs w:val="20"/>
              </w:rPr>
              <w:t>Public Summary Document</w:t>
            </w:r>
          </w:p>
        </w:tc>
        <w:tc>
          <w:tcPr>
            <w:tcW w:w="2817" w:type="dxa"/>
            <w:vAlign w:val="center"/>
          </w:tcPr>
          <w:p w:rsidR="00837917" w:rsidRPr="00837917" w:rsidRDefault="00837917" w:rsidP="00B040C8">
            <w:pPr>
              <w:pStyle w:val="NoSpacing"/>
              <w:jc w:val="center"/>
              <w:rPr>
                <w:rFonts w:ascii="Arial Narrow" w:hAnsi="Arial Narrow"/>
                <w:b/>
                <w:sz w:val="20"/>
                <w:szCs w:val="20"/>
              </w:rPr>
            </w:pPr>
            <w:r w:rsidRPr="00837917">
              <w:rPr>
                <w:rFonts w:ascii="Arial Narrow" w:hAnsi="Arial Narrow"/>
                <w:b/>
                <w:sz w:val="20"/>
                <w:szCs w:val="20"/>
              </w:rPr>
              <w:t>July 2016 Minor re-submission</w:t>
            </w:r>
          </w:p>
        </w:tc>
      </w:tr>
      <w:tr w:rsidR="009579B1" w:rsidRPr="00837917" w:rsidTr="000A3467">
        <w:trPr>
          <w:cantSplit/>
        </w:trPr>
        <w:tc>
          <w:tcPr>
            <w:tcW w:w="1095" w:type="dxa"/>
          </w:tcPr>
          <w:p w:rsidR="00837917" w:rsidRPr="00675E5A" w:rsidRDefault="00837917" w:rsidP="00E72810">
            <w:pPr>
              <w:pStyle w:val="NoSpacing"/>
              <w:jc w:val="left"/>
              <w:rPr>
                <w:rFonts w:ascii="Arial Narrow" w:hAnsi="Arial Narrow"/>
                <w:b/>
                <w:sz w:val="20"/>
                <w:szCs w:val="20"/>
              </w:rPr>
            </w:pPr>
            <w:r w:rsidRPr="00675E5A">
              <w:rPr>
                <w:rFonts w:ascii="Arial Narrow" w:hAnsi="Arial Narrow"/>
                <w:b/>
                <w:sz w:val="20"/>
                <w:szCs w:val="20"/>
              </w:rPr>
              <w:t>Requested listing</w:t>
            </w:r>
          </w:p>
        </w:tc>
        <w:tc>
          <w:tcPr>
            <w:tcW w:w="2194" w:type="dxa"/>
            <w:gridSpan w:val="2"/>
          </w:tcPr>
          <w:p w:rsidR="00921E47" w:rsidRDefault="00921E47" w:rsidP="00921E47">
            <w:pPr>
              <w:pStyle w:val="NoSpacing"/>
              <w:jc w:val="center"/>
              <w:rPr>
                <w:rFonts w:ascii="Arial Narrow" w:hAnsi="Arial Narrow"/>
                <w:sz w:val="20"/>
                <w:szCs w:val="20"/>
              </w:rPr>
            </w:pPr>
            <w:r>
              <w:rPr>
                <w:rFonts w:ascii="Arial Narrow" w:hAnsi="Arial Narrow"/>
                <w:sz w:val="20"/>
                <w:szCs w:val="20"/>
              </w:rPr>
              <w:t>For the treatment of chronic heart failure; clinical criteria:</w:t>
            </w:r>
          </w:p>
          <w:p w:rsidR="00921E47" w:rsidRPr="00921E47" w:rsidRDefault="00921E47" w:rsidP="00921E47">
            <w:pPr>
              <w:pStyle w:val="NoSpacing"/>
              <w:jc w:val="center"/>
              <w:rPr>
                <w:rFonts w:ascii="Arial Narrow" w:hAnsi="Arial Narrow"/>
                <w:sz w:val="20"/>
                <w:szCs w:val="20"/>
              </w:rPr>
            </w:pPr>
            <w:r w:rsidRPr="00921E47">
              <w:rPr>
                <w:rFonts w:ascii="Arial Narrow" w:hAnsi="Arial Narrow"/>
                <w:sz w:val="20"/>
                <w:szCs w:val="20"/>
              </w:rPr>
              <w:t>Patient must be symptomatic with NYHA classes II, III or IV</w:t>
            </w:r>
          </w:p>
          <w:p w:rsidR="00921E47" w:rsidRPr="00921E47" w:rsidRDefault="00921E47" w:rsidP="00921E47">
            <w:pPr>
              <w:pStyle w:val="NoSpacing"/>
              <w:jc w:val="center"/>
              <w:rPr>
                <w:rFonts w:ascii="Arial Narrow" w:hAnsi="Arial Narrow"/>
                <w:sz w:val="20"/>
                <w:szCs w:val="20"/>
              </w:rPr>
            </w:pPr>
            <w:r w:rsidRPr="00921E47">
              <w:rPr>
                <w:rFonts w:ascii="Arial Narrow" w:hAnsi="Arial Narrow"/>
                <w:sz w:val="20"/>
                <w:szCs w:val="20"/>
              </w:rPr>
              <w:t xml:space="preserve">AND </w:t>
            </w:r>
          </w:p>
          <w:p w:rsidR="00921E47" w:rsidRPr="00921E47" w:rsidRDefault="00921E47" w:rsidP="00921E47">
            <w:pPr>
              <w:pStyle w:val="NoSpacing"/>
              <w:jc w:val="center"/>
              <w:rPr>
                <w:rFonts w:ascii="Arial Narrow" w:hAnsi="Arial Narrow"/>
                <w:sz w:val="20"/>
                <w:szCs w:val="20"/>
              </w:rPr>
            </w:pPr>
            <w:r w:rsidRPr="00921E47">
              <w:rPr>
                <w:rFonts w:ascii="Arial Narrow" w:hAnsi="Arial Narrow"/>
                <w:sz w:val="20"/>
                <w:szCs w:val="20"/>
              </w:rPr>
              <w:t xml:space="preserve">Patient must have a documented </w:t>
            </w:r>
            <w:r>
              <w:rPr>
                <w:rFonts w:ascii="Arial Narrow" w:hAnsi="Arial Narrow"/>
                <w:sz w:val="20"/>
                <w:szCs w:val="20"/>
              </w:rPr>
              <w:t>LVEF</w:t>
            </w:r>
            <w:r w:rsidRPr="00921E47">
              <w:rPr>
                <w:rFonts w:ascii="Arial Narrow" w:hAnsi="Arial Narrow"/>
                <w:sz w:val="20"/>
                <w:szCs w:val="20"/>
              </w:rPr>
              <w:t xml:space="preserve"> of less than or equal to 40%</w:t>
            </w:r>
          </w:p>
          <w:p w:rsidR="00921E47" w:rsidRPr="00921E47" w:rsidRDefault="00921E47" w:rsidP="00921E47">
            <w:pPr>
              <w:pStyle w:val="NoSpacing"/>
              <w:jc w:val="center"/>
              <w:rPr>
                <w:rFonts w:ascii="Arial Narrow" w:hAnsi="Arial Narrow"/>
                <w:sz w:val="20"/>
                <w:szCs w:val="20"/>
              </w:rPr>
            </w:pPr>
            <w:r w:rsidRPr="00921E47">
              <w:rPr>
                <w:rFonts w:ascii="Arial Narrow" w:hAnsi="Arial Narrow"/>
                <w:sz w:val="20"/>
                <w:szCs w:val="20"/>
              </w:rPr>
              <w:t xml:space="preserve">AND </w:t>
            </w:r>
          </w:p>
          <w:p w:rsidR="00921E47" w:rsidRPr="00921E47" w:rsidRDefault="00921E47" w:rsidP="00921E47">
            <w:pPr>
              <w:pStyle w:val="NoSpacing"/>
              <w:jc w:val="center"/>
              <w:rPr>
                <w:rFonts w:ascii="Arial Narrow" w:hAnsi="Arial Narrow"/>
                <w:sz w:val="20"/>
                <w:szCs w:val="20"/>
              </w:rPr>
            </w:pPr>
            <w:r w:rsidRPr="00921E47">
              <w:rPr>
                <w:rFonts w:ascii="Arial Narrow" w:hAnsi="Arial Narrow"/>
                <w:sz w:val="20"/>
                <w:szCs w:val="20"/>
              </w:rPr>
              <w:t xml:space="preserve">Patient must receive concomitant optimal standard chronic heart failure treatment, which must include the maximum tolerated dose of a beta-blocker, unless contraindicated or not tolerated. </w:t>
            </w:r>
          </w:p>
          <w:p w:rsidR="00921E47" w:rsidRPr="00921E47" w:rsidRDefault="00921E47" w:rsidP="00921E47">
            <w:pPr>
              <w:pStyle w:val="NoSpacing"/>
              <w:jc w:val="center"/>
              <w:rPr>
                <w:rFonts w:ascii="Arial Narrow" w:hAnsi="Arial Narrow"/>
                <w:sz w:val="20"/>
                <w:szCs w:val="20"/>
              </w:rPr>
            </w:pPr>
            <w:r w:rsidRPr="00921E47">
              <w:rPr>
                <w:rFonts w:ascii="Arial Narrow" w:hAnsi="Arial Narrow"/>
                <w:sz w:val="20"/>
                <w:szCs w:val="20"/>
              </w:rPr>
              <w:t xml:space="preserve">AND </w:t>
            </w:r>
          </w:p>
          <w:p w:rsidR="00837917" w:rsidRPr="00837917" w:rsidRDefault="00921E47" w:rsidP="00921E47">
            <w:pPr>
              <w:pStyle w:val="NoSpacing"/>
              <w:jc w:val="center"/>
              <w:rPr>
                <w:rFonts w:ascii="Arial Narrow" w:hAnsi="Arial Narrow"/>
                <w:sz w:val="20"/>
                <w:szCs w:val="20"/>
              </w:rPr>
            </w:pPr>
            <w:r w:rsidRPr="00921E47">
              <w:rPr>
                <w:rFonts w:ascii="Arial Narrow" w:hAnsi="Arial Narrow"/>
                <w:sz w:val="20"/>
                <w:szCs w:val="20"/>
              </w:rPr>
              <w:t>The treatment must not be co-admi</w:t>
            </w:r>
            <w:r>
              <w:rPr>
                <w:rFonts w:ascii="Arial Narrow" w:hAnsi="Arial Narrow"/>
                <w:sz w:val="20"/>
                <w:szCs w:val="20"/>
              </w:rPr>
              <w:t>nistered with an ACE-I</w:t>
            </w:r>
            <w:r w:rsidRPr="00921E47">
              <w:rPr>
                <w:rFonts w:ascii="Arial Narrow" w:hAnsi="Arial Narrow"/>
                <w:sz w:val="20"/>
                <w:szCs w:val="20"/>
              </w:rPr>
              <w:t xml:space="preserve"> or an ARB.</w:t>
            </w:r>
          </w:p>
        </w:tc>
        <w:tc>
          <w:tcPr>
            <w:tcW w:w="2976" w:type="dxa"/>
            <w:gridSpan w:val="2"/>
          </w:tcPr>
          <w:p w:rsidR="00837917" w:rsidRDefault="00921E47" w:rsidP="00837917">
            <w:pPr>
              <w:pStyle w:val="NoSpacing"/>
              <w:jc w:val="center"/>
              <w:rPr>
                <w:rFonts w:ascii="Arial Narrow" w:hAnsi="Arial Narrow"/>
                <w:sz w:val="20"/>
                <w:szCs w:val="20"/>
              </w:rPr>
            </w:pPr>
            <w:r>
              <w:rPr>
                <w:rFonts w:ascii="Arial Narrow" w:hAnsi="Arial Narrow"/>
                <w:sz w:val="20"/>
                <w:szCs w:val="20"/>
              </w:rPr>
              <w:t xml:space="preserve">7.3 </w:t>
            </w:r>
            <w:r w:rsidRPr="00921E47">
              <w:rPr>
                <w:rFonts w:ascii="Arial Narrow" w:hAnsi="Arial Narrow"/>
                <w:sz w:val="20"/>
                <w:szCs w:val="20"/>
              </w:rPr>
              <w:t>The PBAC noted that the proposed restriction would allow ACE inhibitor treatment-naïve patients to initiate on sacubitril/valsartan. The PBAC considered that it would be more appropriate for the restriction to require patients to have been stabilised on either an ACE inhibitor or ATRA therapy before treatment with sacubitril/valsartan.</w:t>
            </w:r>
          </w:p>
          <w:p w:rsidR="00675E5A" w:rsidRDefault="00675E5A" w:rsidP="00837917">
            <w:pPr>
              <w:pStyle w:val="NoSpacing"/>
              <w:jc w:val="center"/>
              <w:rPr>
                <w:rFonts w:ascii="Arial Narrow" w:hAnsi="Arial Narrow"/>
                <w:sz w:val="20"/>
                <w:szCs w:val="20"/>
              </w:rPr>
            </w:pPr>
          </w:p>
          <w:p w:rsidR="00675E5A" w:rsidRPr="00837917" w:rsidRDefault="00675E5A" w:rsidP="00837917">
            <w:pPr>
              <w:pStyle w:val="NoSpacing"/>
              <w:jc w:val="center"/>
              <w:rPr>
                <w:rFonts w:ascii="Arial Narrow" w:hAnsi="Arial Narrow"/>
                <w:sz w:val="20"/>
                <w:szCs w:val="20"/>
              </w:rPr>
            </w:pPr>
            <w:r>
              <w:rPr>
                <w:rFonts w:ascii="Arial Narrow" w:hAnsi="Arial Narrow"/>
                <w:sz w:val="20"/>
                <w:szCs w:val="20"/>
              </w:rPr>
              <w:t>7.10 …</w:t>
            </w:r>
            <w:r>
              <w:t xml:space="preserve"> </w:t>
            </w:r>
            <w:r w:rsidRPr="00675E5A">
              <w:rPr>
                <w:rFonts w:ascii="Arial Narrow" w:hAnsi="Arial Narrow"/>
                <w:sz w:val="20"/>
                <w:szCs w:val="20"/>
              </w:rPr>
              <w:t>The PBAC also noted that there was potential for use outside of the requested restriction in patients with preserved ejection fraction, in patients with NYHA class I heart failure, and in patients not on concomitant beta-blocker</w:t>
            </w:r>
            <w:r>
              <w:rPr>
                <w:rFonts w:ascii="Arial Narrow" w:hAnsi="Arial Narrow"/>
                <w:sz w:val="20"/>
                <w:szCs w:val="20"/>
              </w:rPr>
              <w:t>…</w:t>
            </w:r>
          </w:p>
        </w:tc>
        <w:tc>
          <w:tcPr>
            <w:tcW w:w="2817" w:type="dxa"/>
          </w:tcPr>
          <w:p w:rsidR="00837917" w:rsidRDefault="00921E47" w:rsidP="00921E47">
            <w:pPr>
              <w:pStyle w:val="NoSpacing"/>
              <w:jc w:val="center"/>
              <w:rPr>
                <w:rFonts w:ascii="Arial Narrow" w:hAnsi="Arial Narrow"/>
                <w:sz w:val="20"/>
                <w:szCs w:val="20"/>
              </w:rPr>
            </w:pPr>
            <w:r>
              <w:rPr>
                <w:rFonts w:ascii="Arial Narrow" w:hAnsi="Arial Narrow"/>
                <w:sz w:val="20"/>
                <w:szCs w:val="20"/>
              </w:rPr>
              <w:t xml:space="preserve">The requested listing was revised to include the requirement that patients must have previous or current use of </w:t>
            </w:r>
            <w:r w:rsidR="00B040C8">
              <w:rPr>
                <w:rFonts w:ascii="Arial Narrow" w:hAnsi="Arial Narrow"/>
                <w:sz w:val="20"/>
                <w:szCs w:val="20"/>
              </w:rPr>
              <w:t xml:space="preserve">an </w:t>
            </w:r>
            <w:r>
              <w:rPr>
                <w:rFonts w:ascii="Arial Narrow" w:hAnsi="Arial Narrow"/>
                <w:sz w:val="20"/>
                <w:szCs w:val="20"/>
              </w:rPr>
              <w:t xml:space="preserve">ACE-I </w:t>
            </w:r>
            <w:r w:rsidRPr="00921E47">
              <w:rPr>
                <w:rFonts w:ascii="Arial Narrow" w:hAnsi="Arial Narrow"/>
                <w:sz w:val="20"/>
                <w:szCs w:val="20"/>
              </w:rPr>
              <w:t xml:space="preserve">or </w:t>
            </w:r>
            <w:r>
              <w:rPr>
                <w:rFonts w:ascii="Arial Narrow" w:hAnsi="Arial Narrow"/>
                <w:sz w:val="20"/>
                <w:szCs w:val="20"/>
              </w:rPr>
              <w:t>ATRA</w:t>
            </w:r>
            <w:r w:rsidRPr="00921E47">
              <w:rPr>
                <w:rFonts w:ascii="Arial Narrow" w:hAnsi="Arial Narrow"/>
                <w:sz w:val="20"/>
                <w:szCs w:val="20"/>
              </w:rPr>
              <w:t xml:space="preserve"> at recommended doses, unless contraindicated or not tolerated.</w:t>
            </w:r>
          </w:p>
          <w:p w:rsidR="00675E5A" w:rsidRDefault="00675E5A" w:rsidP="00921E47">
            <w:pPr>
              <w:pStyle w:val="NoSpacing"/>
              <w:jc w:val="center"/>
              <w:rPr>
                <w:rFonts w:ascii="Arial Narrow" w:hAnsi="Arial Narrow"/>
                <w:sz w:val="20"/>
                <w:szCs w:val="20"/>
              </w:rPr>
            </w:pPr>
          </w:p>
          <w:p w:rsidR="00675E5A" w:rsidRPr="000A0006" w:rsidRDefault="00675E5A" w:rsidP="000A0006">
            <w:pPr>
              <w:pStyle w:val="NoSpacing"/>
              <w:jc w:val="center"/>
              <w:rPr>
                <w:rFonts w:ascii="Arial Narrow" w:hAnsi="Arial Narrow"/>
                <w:sz w:val="20"/>
                <w:szCs w:val="20"/>
              </w:rPr>
            </w:pPr>
            <w:r w:rsidRPr="000A0006">
              <w:rPr>
                <w:rFonts w:ascii="Arial Narrow" w:hAnsi="Arial Narrow"/>
                <w:sz w:val="20"/>
                <w:szCs w:val="20"/>
              </w:rPr>
              <w:t xml:space="preserve">The potential for leakage in use in patients with </w:t>
            </w:r>
            <w:r w:rsidR="001335F1" w:rsidRPr="000A0006">
              <w:rPr>
                <w:rFonts w:ascii="Arial Narrow" w:hAnsi="Arial Narrow"/>
                <w:sz w:val="20"/>
                <w:szCs w:val="20"/>
              </w:rPr>
              <w:t xml:space="preserve">preserved ejection fraction, </w:t>
            </w:r>
            <w:r w:rsidRPr="000A0006">
              <w:rPr>
                <w:rFonts w:ascii="Arial Narrow" w:hAnsi="Arial Narrow"/>
                <w:sz w:val="20"/>
                <w:szCs w:val="20"/>
              </w:rPr>
              <w:t>NYHA class I heart failure and in patients not on concomitant beta-blocker remain</w:t>
            </w:r>
            <w:r w:rsidR="000A0006">
              <w:rPr>
                <w:rFonts w:ascii="Arial Narrow" w:hAnsi="Arial Narrow"/>
                <w:sz w:val="20"/>
                <w:szCs w:val="20"/>
              </w:rPr>
              <w:t>ed</w:t>
            </w:r>
            <w:r w:rsidRPr="000A0006">
              <w:rPr>
                <w:rFonts w:ascii="Arial Narrow" w:hAnsi="Arial Narrow"/>
                <w:sz w:val="20"/>
                <w:szCs w:val="20"/>
              </w:rPr>
              <w:t xml:space="preserve"> unchanged.</w:t>
            </w:r>
            <w:r w:rsidR="00EF1D76" w:rsidRPr="000A0006">
              <w:rPr>
                <w:rFonts w:ascii="Arial Narrow" w:hAnsi="Arial Narrow"/>
                <w:sz w:val="20"/>
                <w:szCs w:val="20"/>
              </w:rPr>
              <w:t xml:space="preserve"> </w:t>
            </w:r>
          </w:p>
        </w:tc>
      </w:tr>
      <w:tr w:rsidR="009579B1" w:rsidRPr="00837917" w:rsidTr="000A3467">
        <w:trPr>
          <w:cantSplit/>
        </w:trPr>
        <w:tc>
          <w:tcPr>
            <w:tcW w:w="1095" w:type="dxa"/>
          </w:tcPr>
          <w:p w:rsidR="00837917" w:rsidRPr="00675E5A" w:rsidRDefault="00837917" w:rsidP="00E72810">
            <w:pPr>
              <w:pStyle w:val="NoSpacing"/>
              <w:jc w:val="left"/>
              <w:rPr>
                <w:rFonts w:ascii="Arial Narrow" w:hAnsi="Arial Narrow"/>
                <w:b/>
                <w:sz w:val="20"/>
                <w:szCs w:val="20"/>
              </w:rPr>
            </w:pPr>
            <w:r w:rsidRPr="00675E5A">
              <w:rPr>
                <w:rFonts w:ascii="Arial Narrow" w:hAnsi="Arial Narrow"/>
                <w:b/>
                <w:sz w:val="20"/>
                <w:szCs w:val="20"/>
              </w:rPr>
              <w:t>Requested price</w:t>
            </w:r>
            <w:r w:rsidR="00E72810">
              <w:rPr>
                <w:rFonts w:ascii="Arial Narrow" w:hAnsi="Arial Narrow"/>
                <w:b/>
                <w:sz w:val="20"/>
                <w:szCs w:val="20"/>
              </w:rPr>
              <w:t xml:space="preserve"> and financial impact</w:t>
            </w:r>
          </w:p>
        </w:tc>
        <w:tc>
          <w:tcPr>
            <w:tcW w:w="2194" w:type="dxa"/>
            <w:gridSpan w:val="2"/>
          </w:tcPr>
          <w:p w:rsidR="00837917" w:rsidRDefault="00675E5A" w:rsidP="00837917">
            <w:pPr>
              <w:pStyle w:val="NoSpacing"/>
              <w:jc w:val="center"/>
              <w:rPr>
                <w:rFonts w:ascii="Arial Narrow" w:hAnsi="Arial Narrow"/>
                <w:sz w:val="20"/>
                <w:szCs w:val="20"/>
              </w:rPr>
            </w:pPr>
            <w:r>
              <w:rPr>
                <w:rFonts w:ascii="Arial Narrow" w:hAnsi="Arial Narrow"/>
                <w:sz w:val="20"/>
                <w:szCs w:val="20"/>
              </w:rPr>
              <w:t xml:space="preserve">Weighted DPMQ = </w:t>
            </w:r>
            <w:r w:rsidRPr="00675E5A">
              <w:rPr>
                <w:rFonts w:ascii="Arial Narrow" w:hAnsi="Arial Narrow"/>
                <w:sz w:val="20"/>
                <w:szCs w:val="20"/>
              </w:rPr>
              <w:t>$</w:t>
            </w:r>
            <w:r w:rsidR="00643031">
              <w:rPr>
                <w:rFonts w:ascii="Arial Narrow" w:hAnsi="Arial Narrow"/>
                <w:noProof/>
                <w:color w:val="000000"/>
                <w:sz w:val="20"/>
                <w:szCs w:val="20"/>
                <w:highlight w:val="black"/>
              </w:rPr>
              <w:t>'''''''''''''''''</w:t>
            </w:r>
            <w:r>
              <w:rPr>
                <w:rFonts w:ascii="Arial Narrow" w:hAnsi="Arial Narrow"/>
                <w:sz w:val="20"/>
                <w:szCs w:val="20"/>
              </w:rPr>
              <w:t xml:space="preserve"> </w:t>
            </w:r>
          </w:p>
          <w:p w:rsidR="00675E5A" w:rsidRDefault="00675E5A" w:rsidP="00837917">
            <w:pPr>
              <w:pStyle w:val="NoSpacing"/>
              <w:jc w:val="center"/>
              <w:rPr>
                <w:rFonts w:ascii="Arial Narrow" w:hAnsi="Arial Narrow"/>
                <w:sz w:val="20"/>
                <w:szCs w:val="20"/>
              </w:rPr>
            </w:pPr>
            <w:r>
              <w:rPr>
                <w:rFonts w:ascii="Arial Narrow" w:hAnsi="Arial Narrow"/>
                <w:sz w:val="20"/>
                <w:szCs w:val="20"/>
              </w:rPr>
              <w:t>(Sacubitril/valsartan</w:t>
            </w:r>
          </w:p>
          <w:p w:rsidR="00675E5A" w:rsidRDefault="00675E5A" w:rsidP="00837917">
            <w:pPr>
              <w:pStyle w:val="NoSpacing"/>
              <w:jc w:val="center"/>
              <w:rPr>
                <w:rFonts w:ascii="Arial Narrow" w:hAnsi="Arial Narrow"/>
                <w:sz w:val="20"/>
                <w:szCs w:val="20"/>
              </w:rPr>
            </w:pPr>
            <w:r>
              <w:rPr>
                <w:rFonts w:ascii="Arial Narrow" w:hAnsi="Arial Narrow"/>
                <w:sz w:val="20"/>
                <w:szCs w:val="20"/>
              </w:rPr>
              <w:t xml:space="preserve"> 24 mg/26 </w:t>
            </w:r>
            <w:r w:rsidRPr="00675E5A">
              <w:rPr>
                <w:rFonts w:ascii="Arial Narrow" w:hAnsi="Arial Narrow"/>
                <w:sz w:val="20"/>
                <w:szCs w:val="20"/>
              </w:rPr>
              <w:t>mg</w:t>
            </w:r>
            <w:r>
              <w:rPr>
                <w:rFonts w:ascii="Arial Narrow" w:hAnsi="Arial Narrow"/>
                <w:sz w:val="20"/>
                <w:szCs w:val="20"/>
              </w:rPr>
              <w:t xml:space="preserve"> = </w:t>
            </w:r>
            <w:r w:rsidRPr="0019730C">
              <w:rPr>
                <w:rFonts w:ascii="Arial Narrow" w:hAnsi="Arial Narrow"/>
                <w:sz w:val="20"/>
              </w:rPr>
              <w:t>$</w:t>
            </w:r>
            <w:r w:rsidR="00643031">
              <w:rPr>
                <w:rFonts w:ascii="Arial Narrow" w:hAnsi="Arial Narrow"/>
                <w:noProof/>
                <w:color w:val="000000"/>
                <w:sz w:val="20"/>
                <w:highlight w:val="black"/>
              </w:rPr>
              <w:t>''''''''''''</w:t>
            </w:r>
            <w:r>
              <w:rPr>
                <w:rFonts w:ascii="Arial Narrow" w:hAnsi="Arial Narrow"/>
                <w:sz w:val="20"/>
                <w:szCs w:val="20"/>
              </w:rPr>
              <w:t>,</w:t>
            </w:r>
          </w:p>
          <w:p w:rsidR="00675E5A" w:rsidRDefault="00675E5A" w:rsidP="00837917">
            <w:pPr>
              <w:pStyle w:val="NoSpacing"/>
              <w:jc w:val="center"/>
              <w:rPr>
                <w:rFonts w:ascii="Arial Narrow" w:hAnsi="Arial Narrow"/>
                <w:sz w:val="20"/>
              </w:rPr>
            </w:pPr>
            <w:r w:rsidRPr="0019730C">
              <w:rPr>
                <w:rFonts w:ascii="Arial Narrow" w:hAnsi="Arial Narrow"/>
                <w:sz w:val="20"/>
              </w:rPr>
              <w:t>49</w:t>
            </w:r>
            <w:r>
              <w:rPr>
                <w:rFonts w:ascii="Arial Narrow" w:hAnsi="Arial Narrow"/>
                <w:sz w:val="20"/>
              </w:rPr>
              <w:t xml:space="preserve"> mg/</w:t>
            </w:r>
            <w:r w:rsidRPr="0019730C">
              <w:rPr>
                <w:rFonts w:ascii="Arial Narrow" w:hAnsi="Arial Narrow"/>
                <w:sz w:val="20"/>
              </w:rPr>
              <w:t>51</w:t>
            </w:r>
            <w:r>
              <w:rPr>
                <w:rFonts w:ascii="Arial Narrow" w:hAnsi="Arial Narrow"/>
                <w:sz w:val="20"/>
              </w:rPr>
              <w:t xml:space="preserve"> </w:t>
            </w:r>
            <w:r w:rsidRPr="0019730C">
              <w:rPr>
                <w:rFonts w:ascii="Arial Narrow" w:hAnsi="Arial Narrow"/>
                <w:sz w:val="20"/>
              </w:rPr>
              <w:t>mg</w:t>
            </w:r>
            <w:r>
              <w:rPr>
                <w:rFonts w:ascii="Arial Narrow" w:hAnsi="Arial Narrow"/>
                <w:sz w:val="20"/>
              </w:rPr>
              <w:t xml:space="preserve"> = </w:t>
            </w:r>
            <w:r w:rsidRPr="0019730C">
              <w:rPr>
                <w:rFonts w:ascii="Arial Narrow" w:hAnsi="Arial Narrow"/>
                <w:sz w:val="20"/>
              </w:rPr>
              <w:t>$</w:t>
            </w:r>
            <w:r w:rsidR="00643031">
              <w:rPr>
                <w:rFonts w:ascii="Arial Narrow" w:hAnsi="Arial Narrow"/>
                <w:noProof/>
                <w:color w:val="000000"/>
                <w:sz w:val="20"/>
                <w:highlight w:val="black"/>
              </w:rPr>
              <w:t>'''''''''''''''''</w:t>
            </w:r>
            <w:r>
              <w:rPr>
                <w:rFonts w:ascii="Arial Narrow" w:hAnsi="Arial Narrow"/>
                <w:sz w:val="20"/>
              </w:rPr>
              <w:t>,</w:t>
            </w:r>
          </w:p>
          <w:p w:rsidR="00675E5A" w:rsidRDefault="00675E5A" w:rsidP="00675E5A">
            <w:pPr>
              <w:pStyle w:val="NoSpacing"/>
              <w:jc w:val="center"/>
              <w:rPr>
                <w:rFonts w:ascii="Arial Narrow" w:hAnsi="Arial Narrow"/>
                <w:sz w:val="20"/>
              </w:rPr>
            </w:pPr>
            <w:r w:rsidRPr="0019730C">
              <w:rPr>
                <w:rFonts w:ascii="Arial Narrow" w:hAnsi="Arial Narrow"/>
                <w:sz w:val="20"/>
              </w:rPr>
              <w:t>97</w:t>
            </w:r>
            <w:r>
              <w:rPr>
                <w:rFonts w:ascii="Arial Narrow" w:hAnsi="Arial Narrow"/>
                <w:sz w:val="20"/>
              </w:rPr>
              <w:t xml:space="preserve"> mg/</w:t>
            </w:r>
            <w:r w:rsidRPr="0019730C">
              <w:rPr>
                <w:rFonts w:ascii="Arial Narrow" w:hAnsi="Arial Narrow"/>
                <w:sz w:val="20"/>
              </w:rPr>
              <w:t>103</w:t>
            </w:r>
            <w:r>
              <w:rPr>
                <w:rFonts w:ascii="Arial Narrow" w:hAnsi="Arial Narrow"/>
                <w:sz w:val="20"/>
              </w:rPr>
              <w:t xml:space="preserve"> </w:t>
            </w:r>
            <w:r w:rsidRPr="0019730C">
              <w:rPr>
                <w:rFonts w:ascii="Arial Narrow" w:hAnsi="Arial Narrow"/>
                <w:sz w:val="20"/>
              </w:rPr>
              <w:t>mg</w:t>
            </w:r>
            <w:r>
              <w:rPr>
                <w:rFonts w:ascii="Arial Narrow" w:hAnsi="Arial Narrow"/>
                <w:sz w:val="20"/>
              </w:rPr>
              <w:t xml:space="preserve"> = </w:t>
            </w:r>
            <w:r w:rsidRPr="0019730C">
              <w:rPr>
                <w:rFonts w:ascii="Arial Narrow" w:hAnsi="Arial Narrow"/>
                <w:sz w:val="20"/>
              </w:rPr>
              <w:t>$</w:t>
            </w:r>
            <w:r w:rsidR="00643031">
              <w:rPr>
                <w:rFonts w:ascii="Arial Narrow" w:hAnsi="Arial Narrow"/>
                <w:noProof/>
                <w:color w:val="000000"/>
                <w:sz w:val="20"/>
                <w:highlight w:val="black"/>
              </w:rPr>
              <w:t>'''''''''''''''''</w:t>
            </w:r>
            <w:r>
              <w:rPr>
                <w:rFonts w:ascii="Arial Narrow" w:hAnsi="Arial Narrow"/>
                <w:sz w:val="20"/>
              </w:rPr>
              <w:t>)</w:t>
            </w:r>
          </w:p>
          <w:p w:rsidR="00E72810" w:rsidRDefault="00E72810" w:rsidP="00675E5A">
            <w:pPr>
              <w:pStyle w:val="NoSpacing"/>
              <w:jc w:val="center"/>
              <w:rPr>
                <w:rFonts w:ascii="Arial Narrow" w:hAnsi="Arial Narrow"/>
                <w:sz w:val="20"/>
              </w:rPr>
            </w:pPr>
          </w:p>
          <w:p w:rsidR="00E72810" w:rsidRDefault="00B040C8" w:rsidP="00675E5A">
            <w:pPr>
              <w:pStyle w:val="NoSpacing"/>
              <w:jc w:val="center"/>
              <w:rPr>
                <w:rFonts w:ascii="Arial Narrow" w:hAnsi="Arial Narrow"/>
                <w:sz w:val="20"/>
              </w:rPr>
            </w:pPr>
            <w:r>
              <w:rPr>
                <w:rFonts w:ascii="Arial Narrow" w:hAnsi="Arial Narrow"/>
                <w:sz w:val="20"/>
              </w:rPr>
              <w:t xml:space="preserve">Estimated </w:t>
            </w:r>
            <w:r w:rsidR="00330CDF">
              <w:rPr>
                <w:rFonts w:ascii="Arial Narrow" w:hAnsi="Arial Narrow"/>
                <w:sz w:val="20"/>
              </w:rPr>
              <w:t>drug</w:t>
            </w:r>
            <w:r w:rsidR="00E72810">
              <w:rPr>
                <w:rFonts w:ascii="Arial Narrow" w:hAnsi="Arial Narrow"/>
                <w:sz w:val="20"/>
              </w:rPr>
              <w:t xml:space="preserve"> cost/ patient/ </w:t>
            </w:r>
            <w:r w:rsidR="00E72810" w:rsidRPr="00E72810">
              <w:rPr>
                <w:rFonts w:ascii="Arial Narrow" w:hAnsi="Arial Narrow"/>
                <w:sz w:val="20"/>
              </w:rPr>
              <w:t>year, on-going</w:t>
            </w:r>
            <w:r w:rsidR="00330CDF">
              <w:rPr>
                <w:rFonts w:ascii="Arial Narrow" w:hAnsi="Arial Narrow"/>
                <w:sz w:val="20"/>
              </w:rPr>
              <w:t xml:space="preserve"> = $</w:t>
            </w:r>
            <w:r w:rsidR="00643031">
              <w:rPr>
                <w:rFonts w:ascii="Arial Narrow" w:hAnsi="Arial Narrow"/>
                <w:noProof/>
                <w:color w:val="000000"/>
                <w:sz w:val="20"/>
                <w:highlight w:val="black"/>
              </w:rPr>
              <w:t>'''''''''''''</w:t>
            </w:r>
          </w:p>
          <w:p w:rsidR="00330CDF" w:rsidRDefault="00330CDF" w:rsidP="00675E5A">
            <w:pPr>
              <w:pStyle w:val="NoSpacing"/>
              <w:jc w:val="center"/>
              <w:rPr>
                <w:rFonts w:ascii="Arial Narrow" w:hAnsi="Arial Narrow"/>
                <w:sz w:val="20"/>
                <w:szCs w:val="20"/>
              </w:rPr>
            </w:pPr>
          </w:p>
          <w:p w:rsidR="00E72810" w:rsidRPr="00837917" w:rsidRDefault="00330CDF" w:rsidP="00330CDF">
            <w:pPr>
              <w:pStyle w:val="NoSpacing"/>
              <w:jc w:val="center"/>
              <w:rPr>
                <w:rFonts w:ascii="Arial Narrow" w:hAnsi="Arial Narrow"/>
                <w:sz w:val="20"/>
                <w:szCs w:val="20"/>
              </w:rPr>
            </w:pPr>
            <w:r>
              <w:rPr>
                <w:rFonts w:ascii="Arial Narrow" w:hAnsi="Arial Narrow"/>
                <w:sz w:val="20"/>
                <w:szCs w:val="20"/>
              </w:rPr>
              <w:t xml:space="preserve">Estimated </w:t>
            </w:r>
            <w:r w:rsidR="00B040C8">
              <w:rPr>
                <w:rFonts w:ascii="Arial Narrow" w:hAnsi="Arial Narrow"/>
                <w:sz w:val="20"/>
                <w:szCs w:val="20"/>
              </w:rPr>
              <w:t xml:space="preserve">net </w:t>
            </w:r>
            <w:r w:rsidR="00E72810">
              <w:rPr>
                <w:rFonts w:ascii="Arial Narrow" w:hAnsi="Arial Narrow"/>
                <w:sz w:val="20"/>
                <w:szCs w:val="20"/>
              </w:rPr>
              <w:t xml:space="preserve">cost to the PBS/RPBS </w:t>
            </w:r>
            <w:r w:rsidR="00E72810" w:rsidRPr="00E72810">
              <w:rPr>
                <w:rFonts w:ascii="Arial Narrow" w:hAnsi="Arial Narrow"/>
                <w:sz w:val="20"/>
                <w:szCs w:val="20"/>
              </w:rPr>
              <w:t>over the first five years</w:t>
            </w:r>
            <w:r>
              <w:rPr>
                <w:rFonts w:ascii="Arial Narrow" w:hAnsi="Arial Narrow"/>
                <w:sz w:val="20"/>
                <w:szCs w:val="20"/>
              </w:rPr>
              <w:t xml:space="preserve"> of listing = $</w:t>
            </w:r>
            <w:r w:rsidR="00643031">
              <w:rPr>
                <w:rFonts w:ascii="Arial Narrow" w:hAnsi="Arial Narrow"/>
                <w:noProof/>
                <w:color w:val="000000"/>
                <w:sz w:val="20"/>
                <w:szCs w:val="20"/>
                <w:highlight w:val="black"/>
              </w:rPr>
              <w:t>''''''''''''''''</w:t>
            </w:r>
            <w:r>
              <w:rPr>
                <w:rFonts w:ascii="Arial Narrow" w:hAnsi="Arial Narrow"/>
                <w:sz w:val="20"/>
                <w:szCs w:val="20"/>
              </w:rPr>
              <w:t xml:space="preserve"> million</w:t>
            </w:r>
          </w:p>
        </w:tc>
        <w:tc>
          <w:tcPr>
            <w:tcW w:w="2976" w:type="dxa"/>
            <w:gridSpan w:val="2"/>
          </w:tcPr>
          <w:p w:rsidR="00B71E88" w:rsidRDefault="00B71E88" w:rsidP="00E72810">
            <w:pPr>
              <w:pStyle w:val="NoSpacing"/>
              <w:jc w:val="center"/>
              <w:rPr>
                <w:rFonts w:ascii="Arial Narrow" w:hAnsi="Arial Narrow"/>
                <w:sz w:val="20"/>
                <w:szCs w:val="20"/>
              </w:rPr>
            </w:pPr>
            <w:r>
              <w:rPr>
                <w:rFonts w:ascii="Arial Narrow" w:hAnsi="Arial Narrow"/>
                <w:sz w:val="20"/>
                <w:szCs w:val="20"/>
              </w:rPr>
              <w:t xml:space="preserve">7.5 … </w:t>
            </w:r>
            <w:r w:rsidRPr="00B71E88">
              <w:rPr>
                <w:rFonts w:ascii="Arial Narrow" w:hAnsi="Arial Narrow"/>
                <w:sz w:val="20"/>
                <w:szCs w:val="20"/>
              </w:rPr>
              <w:t>The PBAC noted that there is no evidence for a dose response in sacubitril/valsartan, and suggested that it might be appropriate for this to be reflected in the pricing of sacubitril/valsartan should it be listed on the PBS.</w:t>
            </w:r>
          </w:p>
          <w:p w:rsidR="00B71E88" w:rsidRDefault="00B71E88" w:rsidP="00E72810">
            <w:pPr>
              <w:pStyle w:val="NoSpacing"/>
              <w:jc w:val="center"/>
              <w:rPr>
                <w:rFonts w:ascii="Arial Narrow" w:hAnsi="Arial Narrow"/>
                <w:sz w:val="20"/>
                <w:szCs w:val="20"/>
              </w:rPr>
            </w:pPr>
          </w:p>
          <w:p w:rsidR="00837917" w:rsidRPr="00837917" w:rsidRDefault="00675E5A" w:rsidP="00E72810">
            <w:pPr>
              <w:pStyle w:val="NoSpacing"/>
              <w:jc w:val="center"/>
              <w:rPr>
                <w:rFonts w:ascii="Arial Narrow" w:hAnsi="Arial Narrow"/>
                <w:sz w:val="20"/>
                <w:szCs w:val="20"/>
              </w:rPr>
            </w:pPr>
            <w:r>
              <w:rPr>
                <w:rFonts w:ascii="Arial Narrow" w:hAnsi="Arial Narrow"/>
                <w:sz w:val="20"/>
                <w:szCs w:val="20"/>
              </w:rPr>
              <w:t xml:space="preserve">7.10 </w:t>
            </w:r>
            <w:r w:rsidRPr="00675E5A">
              <w:rPr>
                <w:rFonts w:ascii="Arial Narrow" w:hAnsi="Arial Narrow"/>
                <w:sz w:val="20"/>
                <w:szCs w:val="20"/>
              </w:rPr>
              <w:t>The PBAC considered that the financial impact of listing sacubitril/va</w:t>
            </w:r>
            <w:r w:rsidR="00E72810">
              <w:rPr>
                <w:rFonts w:ascii="Arial Narrow" w:hAnsi="Arial Narrow"/>
                <w:sz w:val="20"/>
                <w:szCs w:val="20"/>
              </w:rPr>
              <w:t>lsartan was high and uncertain…</w:t>
            </w:r>
            <w:r w:rsidRPr="00675E5A">
              <w:rPr>
                <w:rFonts w:ascii="Arial Narrow" w:hAnsi="Arial Narrow"/>
                <w:sz w:val="20"/>
                <w:szCs w:val="20"/>
              </w:rPr>
              <w:t xml:space="preserve"> The PBAC considered that the high predicted financial impact of listing was of particular concern in the context of the magnitude of clinical benefit and the cost-effectiveness of treatment being unknown.</w:t>
            </w:r>
          </w:p>
        </w:tc>
        <w:tc>
          <w:tcPr>
            <w:tcW w:w="2817" w:type="dxa"/>
          </w:tcPr>
          <w:p w:rsidR="00837917" w:rsidRDefault="00330CDF" w:rsidP="00E72810">
            <w:pPr>
              <w:pStyle w:val="NoSpacing"/>
              <w:jc w:val="center"/>
              <w:rPr>
                <w:rFonts w:ascii="Arial Narrow" w:hAnsi="Arial Narrow"/>
                <w:sz w:val="20"/>
                <w:szCs w:val="20"/>
              </w:rPr>
            </w:pPr>
            <w:r>
              <w:rPr>
                <w:rFonts w:ascii="Arial Narrow" w:hAnsi="Arial Narrow"/>
                <w:sz w:val="20"/>
                <w:szCs w:val="20"/>
              </w:rPr>
              <w:t>The requested DPMQ</w:t>
            </w:r>
            <w:r w:rsidR="00E72810">
              <w:rPr>
                <w:rFonts w:ascii="Arial Narrow" w:hAnsi="Arial Narrow"/>
                <w:sz w:val="20"/>
                <w:szCs w:val="20"/>
              </w:rPr>
              <w:t xml:space="preserve"> was revised to a f</w:t>
            </w:r>
            <w:r>
              <w:rPr>
                <w:rFonts w:ascii="Arial Narrow" w:hAnsi="Arial Narrow"/>
                <w:sz w:val="20"/>
                <w:szCs w:val="20"/>
              </w:rPr>
              <w:t>lat-price</w:t>
            </w:r>
            <w:r w:rsidR="00E72810">
              <w:rPr>
                <w:rFonts w:ascii="Arial Narrow" w:hAnsi="Arial Narrow"/>
                <w:sz w:val="20"/>
                <w:szCs w:val="20"/>
              </w:rPr>
              <w:t xml:space="preserve"> of $</w:t>
            </w:r>
            <w:r w:rsidR="00643031">
              <w:rPr>
                <w:rFonts w:ascii="Arial Narrow" w:hAnsi="Arial Narrow"/>
                <w:noProof/>
                <w:color w:val="000000"/>
                <w:sz w:val="20"/>
                <w:szCs w:val="20"/>
                <w:highlight w:val="black"/>
              </w:rPr>
              <w:t>''''''''''''''''</w:t>
            </w:r>
            <w:r w:rsidR="00E72810">
              <w:rPr>
                <w:rFonts w:ascii="Arial Narrow" w:hAnsi="Arial Narrow"/>
                <w:sz w:val="20"/>
                <w:szCs w:val="20"/>
              </w:rPr>
              <w:t xml:space="preserve"> for all strengths of the FDC.</w:t>
            </w:r>
          </w:p>
          <w:p w:rsidR="00CD28FE" w:rsidRDefault="00CD28FE" w:rsidP="00E72810">
            <w:pPr>
              <w:pStyle w:val="NoSpacing"/>
              <w:jc w:val="center"/>
              <w:rPr>
                <w:rFonts w:ascii="Arial Narrow" w:hAnsi="Arial Narrow"/>
                <w:sz w:val="20"/>
                <w:szCs w:val="20"/>
              </w:rPr>
            </w:pPr>
          </w:p>
          <w:p w:rsidR="00CD28FE" w:rsidRDefault="00B040C8" w:rsidP="00E72810">
            <w:pPr>
              <w:pStyle w:val="NoSpacing"/>
              <w:jc w:val="center"/>
              <w:rPr>
                <w:rFonts w:ascii="Arial Narrow" w:hAnsi="Arial Narrow"/>
                <w:sz w:val="20"/>
                <w:szCs w:val="20"/>
              </w:rPr>
            </w:pPr>
            <w:r>
              <w:rPr>
                <w:rFonts w:ascii="Arial Narrow" w:hAnsi="Arial Narrow"/>
                <w:sz w:val="20"/>
                <w:szCs w:val="20"/>
              </w:rPr>
              <w:t xml:space="preserve">Estimated </w:t>
            </w:r>
            <w:r w:rsidR="00330CDF">
              <w:rPr>
                <w:rFonts w:ascii="Arial Narrow" w:hAnsi="Arial Narrow"/>
                <w:sz w:val="20"/>
                <w:szCs w:val="20"/>
              </w:rPr>
              <w:t>drug</w:t>
            </w:r>
            <w:r w:rsidR="00CD28FE">
              <w:rPr>
                <w:rFonts w:ascii="Arial Narrow" w:hAnsi="Arial Narrow"/>
                <w:sz w:val="20"/>
                <w:szCs w:val="20"/>
              </w:rPr>
              <w:t xml:space="preserve"> </w:t>
            </w:r>
            <w:r w:rsidR="00CD28FE">
              <w:rPr>
                <w:rFonts w:ascii="Arial Narrow" w:hAnsi="Arial Narrow"/>
                <w:sz w:val="20"/>
              </w:rPr>
              <w:t xml:space="preserve">cost/ patient/ </w:t>
            </w:r>
            <w:r w:rsidR="00CD28FE" w:rsidRPr="00E72810">
              <w:rPr>
                <w:rFonts w:ascii="Arial Narrow" w:hAnsi="Arial Narrow"/>
                <w:sz w:val="20"/>
              </w:rPr>
              <w:t>year, on-going</w:t>
            </w:r>
            <w:r w:rsidR="00330CDF">
              <w:rPr>
                <w:rFonts w:ascii="Arial Narrow" w:hAnsi="Arial Narrow"/>
                <w:sz w:val="20"/>
              </w:rPr>
              <w:t xml:space="preserve"> = </w:t>
            </w:r>
            <w:r w:rsidR="00330CDF">
              <w:rPr>
                <w:rFonts w:ascii="Arial Narrow" w:hAnsi="Arial Narrow"/>
                <w:sz w:val="20"/>
                <w:szCs w:val="20"/>
              </w:rPr>
              <w:t>$</w:t>
            </w:r>
            <w:r w:rsidR="00643031">
              <w:rPr>
                <w:rFonts w:ascii="Arial Narrow" w:hAnsi="Arial Narrow"/>
                <w:noProof/>
                <w:color w:val="000000"/>
                <w:sz w:val="20"/>
                <w:szCs w:val="20"/>
                <w:highlight w:val="black"/>
              </w:rPr>
              <w:t>''''''''''''''</w:t>
            </w:r>
          </w:p>
          <w:p w:rsidR="00330CDF" w:rsidRDefault="00330CDF" w:rsidP="00E72810">
            <w:pPr>
              <w:pStyle w:val="NoSpacing"/>
              <w:jc w:val="center"/>
              <w:rPr>
                <w:rFonts w:ascii="Arial Narrow" w:hAnsi="Arial Narrow"/>
                <w:sz w:val="20"/>
              </w:rPr>
            </w:pPr>
          </w:p>
          <w:p w:rsidR="00B040C8" w:rsidRDefault="00330CDF" w:rsidP="00E72810">
            <w:pPr>
              <w:pStyle w:val="NoSpacing"/>
              <w:jc w:val="center"/>
              <w:rPr>
                <w:rFonts w:ascii="Arial Narrow" w:hAnsi="Arial Narrow"/>
                <w:sz w:val="20"/>
                <w:szCs w:val="20"/>
              </w:rPr>
            </w:pPr>
            <w:r>
              <w:rPr>
                <w:rFonts w:ascii="Arial Narrow" w:hAnsi="Arial Narrow"/>
                <w:sz w:val="20"/>
              </w:rPr>
              <w:t xml:space="preserve">Estimated </w:t>
            </w:r>
            <w:r w:rsidR="00B040C8">
              <w:rPr>
                <w:rFonts w:ascii="Arial Narrow" w:hAnsi="Arial Narrow"/>
                <w:sz w:val="20"/>
              </w:rPr>
              <w:t xml:space="preserve">net cost </w:t>
            </w:r>
            <w:r w:rsidR="00B040C8">
              <w:rPr>
                <w:rFonts w:ascii="Arial Narrow" w:hAnsi="Arial Narrow"/>
                <w:sz w:val="20"/>
                <w:szCs w:val="20"/>
              </w:rPr>
              <w:t xml:space="preserve">to the PBS/RPBS </w:t>
            </w:r>
            <w:r w:rsidR="00B040C8" w:rsidRPr="00E72810">
              <w:rPr>
                <w:rFonts w:ascii="Arial Narrow" w:hAnsi="Arial Narrow"/>
                <w:sz w:val="20"/>
                <w:szCs w:val="20"/>
              </w:rPr>
              <w:t>over the first five years</w:t>
            </w:r>
            <w:r>
              <w:rPr>
                <w:rFonts w:ascii="Arial Narrow" w:hAnsi="Arial Narrow"/>
                <w:sz w:val="20"/>
                <w:szCs w:val="20"/>
              </w:rPr>
              <w:t xml:space="preserve"> of listing = </w:t>
            </w:r>
            <w:r>
              <w:rPr>
                <w:rFonts w:ascii="Arial Narrow" w:hAnsi="Arial Narrow"/>
                <w:sz w:val="20"/>
              </w:rPr>
              <w:t>$</w:t>
            </w:r>
            <w:r w:rsidR="00643031">
              <w:rPr>
                <w:rFonts w:ascii="Arial Narrow" w:hAnsi="Arial Narrow"/>
                <w:noProof/>
                <w:color w:val="000000"/>
                <w:sz w:val="20"/>
                <w:highlight w:val="black"/>
              </w:rPr>
              <w:t>'''''''''''''''</w:t>
            </w:r>
            <w:r>
              <w:rPr>
                <w:rFonts w:ascii="Arial Narrow" w:hAnsi="Arial Narrow"/>
                <w:sz w:val="20"/>
              </w:rPr>
              <w:t xml:space="preserve"> million</w:t>
            </w:r>
          </w:p>
          <w:p w:rsidR="00B040C8" w:rsidRDefault="00B040C8" w:rsidP="00E72810">
            <w:pPr>
              <w:pStyle w:val="NoSpacing"/>
              <w:jc w:val="center"/>
              <w:rPr>
                <w:rFonts w:ascii="Arial Narrow" w:hAnsi="Arial Narrow"/>
                <w:sz w:val="20"/>
                <w:szCs w:val="20"/>
              </w:rPr>
            </w:pPr>
          </w:p>
          <w:p w:rsidR="00B040C8" w:rsidRPr="000A0006" w:rsidRDefault="004F7BFE" w:rsidP="001335F1">
            <w:pPr>
              <w:pStyle w:val="NoSpacing"/>
              <w:jc w:val="center"/>
              <w:rPr>
                <w:rFonts w:ascii="Arial Narrow" w:hAnsi="Arial Narrow"/>
                <w:sz w:val="20"/>
                <w:szCs w:val="20"/>
              </w:rPr>
            </w:pPr>
            <w:r w:rsidRPr="000A0006">
              <w:rPr>
                <w:rFonts w:ascii="Arial Narrow" w:hAnsi="Arial Narrow"/>
                <w:sz w:val="20"/>
                <w:szCs w:val="20"/>
              </w:rPr>
              <w:t xml:space="preserve">The </w:t>
            </w:r>
            <w:r w:rsidR="00FE66A7" w:rsidRPr="000A0006">
              <w:rPr>
                <w:rFonts w:ascii="Arial Narrow" w:hAnsi="Arial Narrow"/>
                <w:sz w:val="20"/>
                <w:szCs w:val="20"/>
              </w:rPr>
              <w:t xml:space="preserve">estimated drug cost/ patient/ year, on-going, of the nominated comparator, </w:t>
            </w:r>
            <w:proofErr w:type="spellStart"/>
            <w:r w:rsidR="00FE66A7" w:rsidRPr="000A0006">
              <w:rPr>
                <w:rFonts w:ascii="Arial Narrow" w:hAnsi="Arial Narrow"/>
                <w:sz w:val="20"/>
                <w:szCs w:val="20"/>
              </w:rPr>
              <w:t>enalapril</w:t>
            </w:r>
            <w:proofErr w:type="spellEnd"/>
            <w:r w:rsidR="00FE66A7" w:rsidRPr="000A0006">
              <w:rPr>
                <w:rFonts w:ascii="Arial Narrow" w:hAnsi="Arial Narrow"/>
                <w:sz w:val="20"/>
                <w:szCs w:val="20"/>
              </w:rPr>
              <w:t xml:space="preserve">, is </w:t>
            </w:r>
            <w:r w:rsidR="00C2185D" w:rsidRPr="000A0006">
              <w:rPr>
                <w:rFonts w:ascii="Arial Narrow" w:hAnsi="Arial Narrow"/>
                <w:sz w:val="20"/>
                <w:szCs w:val="20"/>
              </w:rPr>
              <w:t>$</w:t>
            </w:r>
            <w:r w:rsidR="00643031">
              <w:rPr>
                <w:rFonts w:ascii="Arial Narrow" w:hAnsi="Arial Narrow"/>
                <w:noProof/>
                <w:color w:val="000000"/>
                <w:sz w:val="20"/>
                <w:szCs w:val="20"/>
                <w:highlight w:val="black"/>
              </w:rPr>
              <w:t>''''''''''</w:t>
            </w:r>
            <w:r w:rsidR="001335F1" w:rsidRPr="000A0006">
              <w:rPr>
                <w:rFonts w:ascii="Arial Narrow" w:hAnsi="Arial Narrow"/>
                <w:sz w:val="20"/>
                <w:szCs w:val="20"/>
              </w:rPr>
              <w:t>.</w:t>
            </w:r>
          </w:p>
        </w:tc>
      </w:tr>
      <w:tr w:rsidR="00BF113E" w:rsidRPr="00837917" w:rsidTr="000A3467">
        <w:trPr>
          <w:cantSplit/>
          <w:trHeight w:val="158"/>
        </w:trPr>
        <w:tc>
          <w:tcPr>
            <w:tcW w:w="1095" w:type="dxa"/>
            <w:vMerge w:val="restart"/>
          </w:tcPr>
          <w:p w:rsidR="00BF113E" w:rsidRPr="00675E5A" w:rsidRDefault="00BF113E" w:rsidP="00E72810">
            <w:pPr>
              <w:pStyle w:val="NoSpacing"/>
              <w:jc w:val="left"/>
              <w:rPr>
                <w:rFonts w:ascii="Arial Narrow" w:hAnsi="Arial Narrow"/>
                <w:b/>
                <w:sz w:val="20"/>
                <w:szCs w:val="20"/>
              </w:rPr>
            </w:pPr>
            <w:r>
              <w:rPr>
                <w:rFonts w:ascii="Arial Narrow" w:hAnsi="Arial Narrow"/>
                <w:b/>
                <w:sz w:val="20"/>
                <w:szCs w:val="20"/>
              </w:rPr>
              <w:lastRenderedPageBreak/>
              <w:t>Assumptions in budget impact model</w:t>
            </w:r>
          </w:p>
        </w:tc>
        <w:tc>
          <w:tcPr>
            <w:tcW w:w="2194" w:type="dxa"/>
            <w:gridSpan w:val="2"/>
            <w:vMerge w:val="restart"/>
          </w:tcPr>
          <w:p w:rsidR="00BF113E" w:rsidRDefault="00BF113E" w:rsidP="00BF113E">
            <w:pPr>
              <w:pStyle w:val="NoSpacing"/>
              <w:jc w:val="center"/>
              <w:rPr>
                <w:rFonts w:ascii="Arial Narrow" w:hAnsi="Arial Narrow"/>
                <w:sz w:val="20"/>
                <w:szCs w:val="20"/>
              </w:rPr>
            </w:pPr>
            <w:r>
              <w:rPr>
                <w:rFonts w:ascii="Arial Narrow" w:hAnsi="Arial Narrow"/>
                <w:sz w:val="20"/>
                <w:szCs w:val="20"/>
              </w:rPr>
              <w:t>The submission estimated that the proportion of patients with:</w:t>
            </w:r>
          </w:p>
          <w:p w:rsidR="00BF113E" w:rsidRDefault="00BF113E" w:rsidP="00BF113E">
            <w:pPr>
              <w:pStyle w:val="NoSpacing"/>
              <w:jc w:val="center"/>
              <w:rPr>
                <w:rFonts w:ascii="Arial Narrow" w:hAnsi="Arial Narrow"/>
                <w:sz w:val="20"/>
                <w:szCs w:val="20"/>
              </w:rPr>
            </w:pPr>
            <w:r>
              <w:rPr>
                <w:rFonts w:ascii="Arial Narrow" w:hAnsi="Arial Narrow"/>
                <w:sz w:val="20"/>
                <w:szCs w:val="20"/>
              </w:rPr>
              <w:t>-systolic heart failure = 50%,</w:t>
            </w:r>
          </w:p>
          <w:p w:rsidR="00BF113E" w:rsidRDefault="00BF113E" w:rsidP="00837917">
            <w:pPr>
              <w:pStyle w:val="NoSpacing"/>
              <w:jc w:val="center"/>
              <w:rPr>
                <w:rFonts w:ascii="Arial Narrow" w:hAnsi="Arial Narrow"/>
                <w:sz w:val="20"/>
                <w:szCs w:val="20"/>
              </w:rPr>
            </w:pPr>
            <w:r>
              <w:rPr>
                <w:rFonts w:ascii="Arial Narrow" w:hAnsi="Arial Narrow"/>
                <w:sz w:val="20"/>
                <w:szCs w:val="20"/>
              </w:rPr>
              <w:t>-</w:t>
            </w:r>
            <w:r w:rsidRPr="00921E47">
              <w:rPr>
                <w:rFonts w:ascii="Arial Narrow" w:hAnsi="Arial Narrow"/>
                <w:sz w:val="20"/>
                <w:szCs w:val="20"/>
              </w:rPr>
              <w:t xml:space="preserve"> NYHA class</w:t>
            </w:r>
            <w:r>
              <w:rPr>
                <w:rFonts w:ascii="Arial Narrow" w:hAnsi="Arial Narrow"/>
                <w:sz w:val="20"/>
                <w:szCs w:val="20"/>
              </w:rPr>
              <w:t xml:space="preserve"> I = 11%, and market uptake rates to be:</w:t>
            </w:r>
          </w:p>
          <w:p w:rsidR="00BF113E" w:rsidRDefault="00643031" w:rsidP="00837917">
            <w:pPr>
              <w:pStyle w:val="NoSpacing"/>
              <w:jc w:val="center"/>
              <w:rPr>
                <w:rFonts w:ascii="Arial Narrow" w:hAnsi="Arial Narrow"/>
                <w:sz w:val="20"/>
                <w:szCs w:val="20"/>
              </w:rPr>
            </w:pPr>
            <w:r>
              <w:rPr>
                <w:rFonts w:ascii="Arial Narrow" w:hAnsi="Arial Narrow"/>
                <w:noProof/>
                <w:color w:val="000000"/>
                <w:sz w:val="20"/>
                <w:szCs w:val="20"/>
                <w:highlight w:val="black"/>
              </w:rPr>
              <w:t>''''''</w:t>
            </w:r>
            <w:r w:rsidR="00BF113E">
              <w:rPr>
                <w:rFonts w:ascii="Arial Narrow" w:hAnsi="Arial Narrow"/>
                <w:sz w:val="20"/>
                <w:szCs w:val="20"/>
              </w:rPr>
              <w:t xml:space="preserve">%, </w:t>
            </w:r>
            <w:r>
              <w:rPr>
                <w:rFonts w:ascii="Arial Narrow" w:hAnsi="Arial Narrow"/>
                <w:noProof/>
                <w:color w:val="000000"/>
                <w:sz w:val="20"/>
                <w:szCs w:val="20"/>
                <w:highlight w:val="black"/>
              </w:rPr>
              <w:t>''''''</w:t>
            </w:r>
            <w:r w:rsidR="00BF113E">
              <w:rPr>
                <w:rFonts w:ascii="Arial Narrow" w:hAnsi="Arial Narrow"/>
                <w:sz w:val="20"/>
                <w:szCs w:val="20"/>
              </w:rPr>
              <w:t xml:space="preserve">%, </w:t>
            </w:r>
            <w:r>
              <w:rPr>
                <w:rFonts w:ascii="Arial Narrow" w:hAnsi="Arial Narrow"/>
                <w:noProof/>
                <w:color w:val="000000"/>
                <w:sz w:val="20"/>
                <w:szCs w:val="20"/>
                <w:highlight w:val="black"/>
              </w:rPr>
              <w:t>''''''</w:t>
            </w:r>
            <w:r w:rsidR="00BF113E">
              <w:rPr>
                <w:rFonts w:ascii="Arial Narrow" w:hAnsi="Arial Narrow"/>
                <w:sz w:val="20"/>
                <w:szCs w:val="20"/>
              </w:rPr>
              <w:t xml:space="preserve">%, </w:t>
            </w:r>
            <w:r>
              <w:rPr>
                <w:rFonts w:ascii="Arial Narrow" w:hAnsi="Arial Narrow"/>
                <w:noProof/>
                <w:color w:val="000000"/>
                <w:sz w:val="20"/>
                <w:szCs w:val="20"/>
                <w:highlight w:val="black"/>
              </w:rPr>
              <w:t>'''''</w:t>
            </w:r>
            <w:r w:rsidR="00BF113E">
              <w:rPr>
                <w:rFonts w:ascii="Arial Narrow" w:hAnsi="Arial Narrow"/>
                <w:sz w:val="20"/>
                <w:szCs w:val="20"/>
              </w:rPr>
              <w:t xml:space="preserve">%, </w:t>
            </w:r>
            <w:r>
              <w:rPr>
                <w:rFonts w:ascii="Arial Narrow" w:hAnsi="Arial Narrow"/>
                <w:noProof/>
                <w:color w:val="000000"/>
                <w:sz w:val="20"/>
                <w:szCs w:val="20"/>
                <w:highlight w:val="black"/>
              </w:rPr>
              <w:t>'''''</w:t>
            </w:r>
            <w:r w:rsidR="00BF113E">
              <w:rPr>
                <w:rFonts w:ascii="Arial Narrow" w:hAnsi="Arial Narrow"/>
                <w:sz w:val="20"/>
                <w:szCs w:val="20"/>
              </w:rPr>
              <w:t>% over the first five years of listing.</w:t>
            </w:r>
          </w:p>
        </w:tc>
        <w:tc>
          <w:tcPr>
            <w:tcW w:w="2976" w:type="dxa"/>
            <w:gridSpan w:val="2"/>
          </w:tcPr>
          <w:p w:rsidR="00BF113E" w:rsidRDefault="00BF113E" w:rsidP="00E72810">
            <w:pPr>
              <w:pStyle w:val="NoSpacing"/>
              <w:jc w:val="center"/>
              <w:rPr>
                <w:rFonts w:ascii="Arial Narrow" w:hAnsi="Arial Narrow"/>
                <w:sz w:val="20"/>
                <w:szCs w:val="20"/>
              </w:rPr>
            </w:pPr>
            <w:r>
              <w:rPr>
                <w:rFonts w:ascii="Arial Narrow" w:hAnsi="Arial Narrow"/>
                <w:sz w:val="20"/>
                <w:szCs w:val="20"/>
              </w:rPr>
              <w:t>March 2016 DUSC Advice</w:t>
            </w:r>
          </w:p>
        </w:tc>
        <w:tc>
          <w:tcPr>
            <w:tcW w:w="2817" w:type="dxa"/>
            <w:vMerge w:val="restart"/>
          </w:tcPr>
          <w:p w:rsidR="00BF113E" w:rsidRDefault="00BF113E" w:rsidP="00E72810">
            <w:pPr>
              <w:pStyle w:val="NoSpacing"/>
              <w:jc w:val="center"/>
              <w:rPr>
                <w:rFonts w:ascii="Arial Narrow" w:hAnsi="Arial Narrow"/>
                <w:sz w:val="20"/>
                <w:szCs w:val="20"/>
              </w:rPr>
            </w:pPr>
            <w:r>
              <w:rPr>
                <w:rFonts w:ascii="Arial Narrow" w:hAnsi="Arial Narrow"/>
                <w:sz w:val="20"/>
                <w:szCs w:val="20"/>
              </w:rPr>
              <w:t>The minor re-submission:</w:t>
            </w:r>
          </w:p>
          <w:p w:rsidR="00BF113E" w:rsidRDefault="00BF113E" w:rsidP="00E72810">
            <w:pPr>
              <w:pStyle w:val="NoSpacing"/>
              <w:jc w:val="center"/>
              <w:rPr>
                <w:rFonts w:ascii="Arial Narrow" w:hAnsi="Arial Narrow"/>
                <w:sz w:val="20"/>
                <w:szCs w:val="20"/>
              </w:rPr>
            </w:pPr>
            <w:r>
              <w:rPr>
                <w:rFonts w:ascii="Arial Narrow" w:hAnsi="Arial Narrow"/>
                <w:sz w:val="20"/>
                <w:szCs w:val="20"/>
              </w:rPr>
              <w:t>-increased the proportion of patients with systolic heart failure to 64%</w:t>
            </w:r>
            <w:r w:rsidR="0009509B">
              <w:rPr>
                <w:rFonts w:ascii="Arial Narrow" w:hAnsi="Arial Narrow"/>
                <w:sz w:val="20"/>
                <w:szCs w:val="20"/>
              </w:rPr>
              <w:t xml:space="preserve"> </w:t>
            </w:r>
          </w:p>
          <w:p w:rsidR="00BF113E" w:rsidRDefault="00BF113E" w:rsidP="00E72810">
            <w:pPr>
              <w:pStyle w:val="NoSpacing"/>
              <w:jc w:val="center"/>
              <w:rPr>
                <w:rFonts w:ascii="Arial Narrow" w:hAnsi="Arial Narrow"/>
                <w:sz w:val="20"/>
                <w:szCs w:val="20"/>
              </w:rPr>
            </w:pPr>
            <w:r>
              <w:rPr>
                <w:rFonts w:ascii="Arial Narrow" w:hAnsi="Arial Narrow"/>
                <w:sz w:val="20"/>
                <w:szCs w:val="20"/>
              </w:rPr>
              <w:t>-reduced the proportion of patients with NYHA class I to 5%, and revis</w:t>
            </w:r>
            <w:r w:rsidR="0009509B">
              <w:rPr>
                <w:rFonts w:ascii="Arial Narrow" w:hAnsi="Arial Narrow"/>
                <w:sz w:val="20"/>
                <w:szCs w:val="20"/>
              </w:rPr>
              <w:t>ed the market uptake rates to</w:t>
            </w:r>
            <w:r>
              <w:rPr>
                <w:rFonts w:ascii="Arial Narrow" w:hAnsi="Arial Narrow"/>
                <w:sz w:val="20"/>
                <w:szCs w:val="20"/>
              </w:rPr>
              <w:t>:</w:t>
            </w:r>
          </w:p>
          <w:p w:rsidR="00BF113E" w:rsidRDefault="00643031" w:rsidP="00E72810">
            <w:pPr>
              <w:pStyle w:val="NoSpacing"/>
              <w:jc w:val="center"/>
              <w:rPr>
                <w:rFonts w:ascii="Arial Narrow" w:hAnsi="Arial Narrow"/>
                <w:sz w:val="20"/>
                <w:szCs w:val="20"/>
              </w:rPr>
            </w:pPr>
            <w:r>
              <w:rPr>
                <w:rFonts w:ascii="Arial Narrow" w:hAnsi="Arial Narrow"/>
                <w:noProof/>
                <w:color w:val="000000"/>
                <w:sz w:val="20"/>
                <w:szCs w:val="20"/>
                <w:highlight w:val="black"/>
              </w:rPr>
              <w:t>'''</w:t>
            </w:r>
            <w:r w:rsidR="00BF113E">
              <w:rPr>
                <w:rFonts w:ascii="Arial Narrow" w:hAnsi="Arial Narrow"/>
                <w:sz w:val="20"/>
                <w:szCs w:val="20"/>
              </w:rPr>
              <w:t xml:space="preserve">%, </w:t>
            </w:r>
            <w:r>
              <w:rPr>
                <w:rFonts w:ascii="Arial Narrow" w:hAnsi="Arial Narrow"/>
                <w:noProof/>
                <w:color w:val="000000"/>
                <w:sz w:val="20"/>
                <w:szCs w:val="20"/>
                <w:highlight w:val="black"/>
              </w:rPr>
              <w:t>''''''</w:t>
            </w:r>
            <w:r w:rsidR="00BF113E">
              <w:rPr>
                <w:rFonts w:ascii="Arial Narrow" w:hAnsi="Arial Narrow"/>
                <w:sz w:val="20"/>
                <w:szCs w:val="20"/>
              </w:rPr>
              <w:t xml:space="preserve">%, </w:t>
            </w:r>
            <w:r>
              <w:rPr>
                <w:rFonts w:ascii="Arial Narrow" w:hAnsi="Arial Narrow"/>
                <w:noProof/>
                <w:color w:val="000000"/>
                <w:sz w:val="20"/>
                <w:szCs w:val="20"/>
                <w:highlight w:val="black"/>
              </w:rPr>
              <w:t>''''''</w:t>
            </w:r>
            <w:r w:rsidR="00BF113E">
              <w:rPr>
                <w:rFonts w:ascii="Arial Narrow" w:hAnsi="Arial Narrow"/>
                <w:sz w:val="20"/>
                <w:szCs w:val="20"/>
              </w:rPr>
              <w:t xml:space="preserve">%, </w:t>
            </w:r>
            <w:r>
              <w:rPr>
                <w:rFonts w:ascii="Arial Narrow" w:hAnsi="Arial Narrow"/>
                <w:noProof/>
                <w:color w:val="000000"/>
                <w:sz w:val="20"/>
                <w:szCs w:val="20"/>
                <w:highlight w:val="black"/>
              </w:rPr>
              <w:t>''''''</w:t>
            </w:r>
            <w:r w:rsidR="00BF113E">
              <w:rPr>
                <w:rFonts w:ascii="Arial Narrow" w:hAnsi="Arial Narrow"/>
                <w:sz w:val="20"/>
                <w:szCs w:val="20"/>
              </w:rPr>
              <w:t xml:space="preserve">%, </w:t>
            </w:r>
            <w:r>
              <w:rPr>
                <w:rFonts w:ascii="Arial Narrow" w:hAnsi="Arial Narrow"/>
                <w:noProof/>
                <w:color w:val="000000"/>
                <w:sz w:val="20"/>
                <w:szCs w:val="20"/>
                <w:highlight w:val="black"/>
              </w:rPr>
              <w:t>'''''</w:t>
            </w:r>
            <w:r w:rsidR="00BF113E">
              <w:rPr>
                <w:rFonts w:ascii="Arial Narrow" w:hAnsi="Arial Narrow"/>
                <w:sz w:val="20"/>
                <w:szCs w:val="20"/>
              </w:rPr>
              <w:t>% over the first five years of listing.</w:t>
            </w:r>
          </w:p>
          <w:p w:rsidR="00774000" w:rsidRDefault="00774000" w:rsidP="00774000">
            <w:pPr>
              <w:pStyle w:val="NoSpacing"/>
              <w:jc w:val="center"/>
              <w:rPr>
                <w:rFonts w:ascii="Arial Narrow" w:hAnsi="Arial Narrow"/>
                <w:sz w:val="20"/>
                <w:szCs w:val="20"/>
              </w:rPr>
            </w:pPr>
            <w:r>
              <w:rPr>
                <w:rFonts w:ascii="Arial Narrow" w:hAnsi="Arial Narrow"/>
                <w:sz w:val="20"/>
                <w:szCs w:val="20"/>
              </w:rPr>
              <w:t>The submission</w:t>
            </w:r>
            <w:r w:rsidR="0009509B">
              <w:rPr>
                <w:rFonts w:ascii="Arial Narrow" w:hAnsi="Arial Narrow"/>
                <w:sz w:val="20"/>
                <w:szCs w:val="20"/>
              </w:rPr>
              <w:t xml:space="preserve"> also</w:t>
            </w:r>
            <w:r>
              <w:rPr>
                <w:rFonts w:ascii="Arial Narrow" w:hAnsi="Arial Narrow"/>
                <w:sz w:val="20"/>
                <w:szCs w:val="20"/>
              </w:rPr>
              <w:t xml:space="preserve"> </w:t>
            </w:r>
            <w:r w:rsidRPr="00774000">
              <w:rPr>
                <w:rFonts w:ascii="Arial Narrow" w:hAnsi="Arial Narrow"/>
                <w:sz w:val="20"/>
                <w:szCs w:val="20"/>
              </w:rPr>
              <w:t>included an addi</w:t>
            </w:r>
            <w:r>
              <w:rPr>
                <w:rFonts w:ascii="Arial Narrow" w:hAnsi="Arial Narrow"/>
                <w:sz w:val="20"/>
                <w:szCs w:val="20"/>
              </w:rPr>
              <w:t xml:space="preserve">tional step </w:t>
            </w:r>
            <w:r w:rsidRPr="00774000">
              <w:rPr>
                <w:rFonts w:ascii="Arial Narrow" w:hAnsi="Arial Narrow"/>
                <w:sz w:val="20"/>
                <w:szCs w:val="20"/>
              </w:rPr>
              <w:t>to “reduce pool of eligible patients and reflect denovo or newly diagnosed HF patient</w:t>
            </w:r>
            <w:r>
              <w:rPr>
                <w:rFonts w:ascii="Arial Narrow" w:hAnsi="Arial Narrow"/>
                <w:sz w:val="20"/>
                <w:szCs w:val="20"/>
              </w:rPr>
              <w:t>s</w:t>
            </w:r>
            <w:r w:rsidRPr="00774000">
              <w:rPr>
                <w:rFonts w:ascii="Arial Narrow" w:hAnsi="Arial Narrow"/>
                <w:sz w:val="20"/>
                <w:szCs w:val="20"/>
              </w:rPr>
              <w:t>. These patients are not likely to qualify for treatment according due to the requirement of previous/current treatment with ACEI or ARB at recommended doses”</w:t>
            </w:r>
            <w:r w:rsidR="002503B8">
              <w:rPr>
                <w:rFonts w:ascii="Arial Narrow" w:hAnsi="Arial Narrow"/>
                <w:sz w:val="20"/>
                <w:szCs w:val="20"/>
              </w:rPr>
              <w:t xml:space="preserve"> (p35 of submission)</w:t>
            </w:r>
            <w:r w:rsidRPr="00774000">
              <w:rPr>
                <w:rFonts w:ascii="Arial Narrow" w:hAnsi="Arial Narrow"/>
                <w:sz w:val="20"/>
                <w:szCs w:val="20"/>
              </w:rPr>
              <w:t>.</w:t>
            </w:r>
          </w:p>
          <w:p w:rsidR="00774000" w:rsidRPr="000A0006" w:rsidRDefault="00774000" w:rsidP="00774000">
            <w:pPr>
              <w:pStyle w:val="NoSpacing"/>
              <w:jc w:val="center"/>
              <w:rPr>
                <w:rFonts w:ascii="Arial Narrow" w:hAnsi="Arial Narrow"/>
                <w:sz w:val="20"/>
                <w:szCs w:val="20"/>
              </w:rPr>
            </w:pPr>
            <w:r w:rsidRPr="000A0006">
              <w:rPr>
                <w:rFonts w:ascii="Arial Narrow" w:hAnsi="Arial Narrow"/>
                <w:sz w:val="20"/>
                <w:szCs w:val="20"/>
              </w:rPr>
              <w:t xml:space="preserve">The overall impact in the changed assumptions reduced the total eligible </w:t>
            </w:r>
            <w:r w:rsidR="0009509B" w:rsidRPr="000A0006">
              <w:rPr>
                <w:rFonts w:ascii="Arial Narrow" w:hAnsi="Arial Narrow"/>
                <w:sz w:val="20"/>
                <w:szCs w:val="20"/>
              </w:rPr>
              <w:t>patient numbers estimated</w:t>
            </w:r>
            <w:r w:rsidRPr="000A0006">
              <w:rPr>
                <w:rFonts w:ascii="Arial Narrow" w:hAnsi="Arial Narrow"/>
                <w:sz w:val="20"/>
                <w:szCs w:val="20"/>
              </w:rPr>
              <w:t xml:space="preserve"> over the first five years of listing from</w:t>
            </w:r>
            <w:r w:rsidRPr="000A0006">
              <w:t xml:space="preserve"> </w:t>
            </w:r>
            <w:r w:rsidR="00643031">
              <w:rPr>
                <w:rFonts w:ascii="Arial Narrow" w:hAnsi="Arial Narrow"/>
                <w:noProof/>
                <w:color w:val="000000"/>
                <w:sz w:val="20"/>
                <w:szCs w:val="20"/>
                <w:highlight w:val="black"/>
              </w:rPr>
              <w:t>''''''''''''''''''''</w:t>
            </w:r>
            <w:r w:rsidRPr="000A0006">
              <w:rPr>
                <w:rFonts w:ascii="Arial Narrow" w:hAnsi="Arial Narrow"/>
                <w:sz w:val="20"/>
                <w:szCs w:val="20"/>
              </w:rPr>
              <w:t xml:space="preserve"> to </w:t>
            </w:r>
            <w:r w:rsidR="00643031">
              <w:rPr>
                <w:rFonts w:ascii="Arial Narrow" w:hAnsi="Arial Narrow"/>
                <w:noProof/>
                <w:color w:val="000000"/>
                <w:sz w:val="20"/>
                <w:szCs w:val="20"/>
                <w:highlight w:val="black"/>
              </w:rPr>
              <w:t>'''''''''''''''''''</w:t>
            </w:r>
            <w:r w:rsidR="002503B8" w:rsidRPr="000A0006">
              <w:rPr>
                <w:rFonts w:ascii="Arial Narrow" w:hAnsi="Arial Narrow"/>
                <w:sz w:val="20"/>
                <w:szCs w:val="20"/>
              </w:rPr>
              <w:t xml:space="preserve">. The reduction of </w:t>
            </w:r>
            <w:r w:rsidR="00643031">
              <w:rPr>
                <w:rFonts w:ascii="Arial Narrow" w:hAnsi="Arial Narrow"/>
                <w:noProof/>
                <w:color w:val="000000"/>
                <w:sz w:val="20"/>
                <w:szCs w:val="20"/>
                <w:highlight w:val="black"/>
              </w:rPr>
              <w:t>''''''''''''''''</w:t>
            </w:r>
            <w:r w:rsidR="002503B8" w:rsidRPr="000A0006">
              <w:rPr>
                <w:rFonts w:ascii="Arial Narrow" w:hAnsi="Arial Narrow"/>
                <w:sz w:val="20"/>
                <w:szCs w:val="20"/>
              </w:rPr>
              <w:t xml:space="preserve"> patients estimated eligible over the first five years contributed more to the reduced overall financial impact (from $</w:t>
            </w:r>
            <w:r w:rsidR="00643031">
              <w:rPr>
                <w:rFonts w:ascii="Arial Narrow" w:hAnsi="Arial Narrow"/>
                <w:noProof/>
                <w:color w:val="000000"/>
                <w:sz w:val="20"/>
                <w:szCs w:val="20"/>
                <w:highlight w:val="black"/>
              </w:rPr>
              <w:t>'''''''''''''''''</w:t>
            </w:r>
            <w:r w:rsidR="002503B8" w:rsidRPr="000A0006">
              <w:rPr>
                <w:rFonts w:ascii="Arial Narrow" w:hAnsi="Arial Narrow"/>
                <w:sz w:val="20"/>
                <w:szCs w:val="20"/>
              </w:rPr>
              <w:t xml:space="preserve"> million to $</w:t>
            </w:r>
            <w:r w:rsidR="00643031">
              <w:rPr>
                <w:rFonts w:ascii="Arial Narrow" w:hAnsi="Arial Narrow"/>
                <w:noProof/>
                <w:color w:val="000000"/>
                <w:sz w:val="20"/>
                <w:szCs w:val="20"/>
                <w:highlight w:val="black"/>
              </w:rPr>
              <w:t>'''''''''''''''</w:t>
            </w:r>
            <w:r w:rsidR="002503B8" w:rsidRPr="000A0006">
              <w:rPr>
                <w:rFonts w:ascii="Arial Narrow" w:hAnsi="Arial Narrow"/>
                <w:sz w:val="20"/>
                <w:szCs w:val="20"/>
              </w:rPr>
              <w:t xml:space="preserve"> million) than the price reduction from $</w:t>
            </w:r>
            <w:r w:rsidR="00643031">
              <w:rPr>
                <w:rFonts w:ascii="Arial Narrow" w:hAnsi="Arial Narrow"/>
                <w:noProof/>
                <w:color w:val="000000"/>
                <w:sz w:val="20"/>
                <w:szCs w:val="20"/>
                <w:highlight w:val="black"/>
              </w:rPr>
              <w:t>''''</w:t>
            </w:r>
            <w:r w:rsidR="002503B8" w:rsidRPr="000A0006">
              <w:rPr>
                <w:rFonts w:ascii="Arial Narrow" w:hAnsi="Arial Narrow"/>
                <w:sz w:val="20"/>
                <w:szCs w:val="20"/>
              </w:rPr>
              <w:t>/day to $</w:t>
            </w:r>
            <w:r w:rsidR="00643031">
              <w:rPr>
                <w:rFonts w:ascii="Arial Narrow" w:hAnsi="Arial Narrow"/>
                <w:noProof/>
                <w:color w:val="000000"/>
                <w:sz w:val="20"/>
                <w:szCs w:val="20"/>
                <w:highlight w:val="black"/>
              </w:rPr>
              <w:t>''''''''''</w:t>
            </w:r>
            <w:r w:rsidR="002503B8" w:rsidRPr="000A0006">
              <w:rPr>
                <w:rFonts w:ascii="Arial Narrow" w:hAnsi="Arial Narrow"/>
                <w:sz w:val="20"/>
                <w:szCs w:val="20"/>
              </w:rPr>
              <w:t xml:space="preserve">/day. </w:t>
            </w:r>
          </w:p>
        </w:tc>
      </w:tr>
      <w:tr w:rsidR="00BF113E" w:rsidRPr="00837917" w:rsidTr="000A3467">
        <w:trPr>
          <w:cantSplit/>
          <w:trHeight w:val="625"/>
        </w:trPr>
        <w:tc>
          <w:tcPr>
            <w:tcW w:w="1095" w:type="dxa"/>
            <w:vMerge/>
          </w:tcPr>
          <w:p w:rsidR="00BF113E" w:rsidRDefault="00BF113E" w:rsidP="00E72810">
            <w:pPr>
              <w:pStyle w:val="NoSpacing"/>
              <w:jc w:val="left"/>
              <w:rPr>
                <w:rFonts w:ascii="Arial Narrow" w:hAnsi="Arial Narrow"/>
                <w:b/>
                <w:sz w:val="20"/>
                <w:szCs w:val="20"/>
              </w:rPr>
            </w:pPr>
          </w:p>
        </w:tc>
        <w:tc>
          <w:tcPr>
            <w:tcW w:w="2194" w:type="dxa"/>
            <w:gridSpan w:val="2"/>
            <w:vMerge/>
          </w:tcPr>
          <w:p w:rsidR="00BF113E" w:rsidRDefault="00BF113E" w:rsidP="00BF113E">
            <w:pPr>
              <w:pStyle w:val="NoSpacing"/>
              <w:jc w:val="center"/>
              <w:rPr>
                <w:rFonts w:ascii="Arial Narrow" w:hAnsi="Arial Narrow"/>
                <w:sz w:val="20"/>
                <w:szCs w:val="20"/>
              </w:rPr>
            </w:pPr>
          </w:p>
        </w:tc>
        <w:tc>
          <w:tcPr>
            <w:tcW w:w="2976" w:type="dxa"/>
            <w:gridSpan w:val="2"/>
          </w:tcPr>
          <w:p w:rsidR="00BF113E" w:rsidRDefault="00BF113E" w:rsidP="00E72810">
            <w:pPr>
              <w:pStyle w:val="NoSpacing"/>
              <w:jc w:val="center"/>
              <w:rPr>
                <w:rFonts w:ascii="Arial Narrow" w:hAnsi="Arial Narrow"/>
                <w:sz w:val="20"/>
                <w:szCs w:val="20"/>
              </w:rPr>
            </w:pPr>
            <w:r>
              <w:rPr>
                <w:rFonts w:ascii="Arial Narrow" w:hAnsi="Arial Narrow"/>
                <w:sz w:val="20"/>
                <w:szCs w:val="20"/>
              </w:rPr>
              <w:t>DUSC considered that the proportion of</w:t>
            </w:r>
          </w:p>
          <w:p w:rsidR="00BF113E" w:rsidRDefault="00BF113E" w:rsidP="00E72810">
            <w:pPr>
              <w:pStyle w:val="NoSpacing"/>
              <w:jc w:val="center"/>
              <w:rPr>
                <w:rFonts w:ascii="Arial Narrow" w:hAnsi="Arial Narrow"/>
                <w:sz w:val="20"/>
                <w:szCs w:val="20"/>
              </w:rPr>
            </w:pPr>
            <w:r>
              <w:rPr>
                <w:rFonts w:ascii="Arial Narrow" w:hAnsi="Arial Narrow"/>
                <w:sz w:val="20"/>
                <w:szCs w:val="20"/>
              </w:rPr>
              <w:t>-</w:t>
            </w:r>
            <w:r w:rsidR="0009509B">
              <w:rPr>
                <w:rFonts w:ascii="Arial Narrow" w:hAnsi="Arial Narrow"/>
                <w:sz w:val="20"/>
                <w:szCs w:val="20"/>
              </w:rPr>
              <w:t xml:space="preserve">systolic </w:t>
            </w:r>
            <w:r>
              <w:rPr>
                <w:rFonts w:ascii="Arial Narrow" w:hAnsi="Arial Narrow"/>
                <w:sz w:val="20"/>
                <w:szCs w:val="20"/>
              </w:rPr>
              <w:t>heart failure patients was underestimated</w:t>
            </w:r>
            <w:r w:rsidR="0009509B">
              <w:rPr>
                <w:rFonts w:ascii="Arial Narrow" w:hAnsi="Arial Narrow"/>
                <w:sz w:val="20"/>
                <w:szCs w:val="20"/>
              </w:rPr>
              <w:t>,</w:t>
            </w:r>
          </w:p>
          <w:p w:rsidR="00BF113E" w:rsidRDefault="00BF113E" w:rsidP="0009509B">
            <w:pPr>
              <w:pStyle w:val="NoSpacing"/>
              <w:jc w:val="center"/>
              <w:rPr>
                <w:rFonts w:ascii="Arial Narrow" w:hAnsi="Arial Narrow"/>
                <w:sz w:val="20"/>
                <w:szCs w:val="20"/>
              </w:rPr>
            </w:pPr>
            <w:r>
              <w:rPr>
                <w:rFonts w:ascii="Arial Narrow" w:hAnsi="Arial Narrow"/>
                <w:sz w:val="20"/>
                <w:szCs w:val="20"/>
              </w:rPr>
              <w:t>-patients with NYHA class 1 might be lower, and that</w:t>
            </w:r>
            <w:r w:rsidR="0009509B">
              <w:rPr>
                <w:rFonts w:ascii="Arial Narrow" w:hAnsi="Arial Narrow"/>
                <w:sz w:val="20"/>
                <w:szCs w:val="20"/>
              </w:rPr>
              <w:t xml:space="preserve"> t</w:t>
            </w:r>
            <w:r>
              <w:rPr>
                <w:rFonts w:ascii="Arial Narrow" w:hAnsi="Arial Narrow"/>
                <w:sz w:val="20"/>
                <w:szCs w:val="20"/>
              </w:rPr>
              <w:t xml:space="preserve">he </w:t>
            </w:r>
            <w:r w:rsidR="0009509B">
              <w:rPr>
                <w:rFonts w:ascii="Arial Narrow" w:hAnsi="Arial Narrow"/>
                <w:sz w:val="20"/>
                <w:szCs w:val="20"/>
              </w:rPr>
              <w:t xml:space="preserve">market </w:t>
            </w:r>
            <w:r>
              <w:rPr>
                <w:rFonts w:ascii="Arial Narrow" w:hAnsi="Arial Narrow"/>
                <w:sz w:val="20"/>
                <w:szCs w:val="20"/>
              </w:rPr>
              <w:t>uptake rate was likely overestimated.</w:t>
            </w:r>
          </w:p>
        </w:tc>
        <w:tc>
          <w:tcPr>
            <w:tcW w:w="2817" w:type="dxa"/>
            <w:vMerge/>
          </w:tcPr>
          <w:p w:rsidR="00BF113E" w:rsidRDefault="00BF113E" w:rsidP="00E72810">
            <w:pPr>
              <w:pStyle w:val="NoSpacing"/>
              <w:jc w:val="center"/>
              <w:rPr>
                <w:rFonts w:ascii="Arial Narrow" w:hAnsi="Arial Narrow"/>
                <w:sz w:val="20"/>
                <w:szCs w:val="20"/>
              </w:rPr>
            </w:pPr>
          </w:p>
        </w:tc>
      </w:tr>
      <w:tr w:rsidR="009579B1" w:rsidRPr="00837917" w:rsidTr="000A3467">
        <w:trPr>
          <w:cantSplit/>
        </w:trPr>
        <w:tc>
          <w:tcPr>
            <w:tcW w:w="1095" w:type="dxa"/>
            <w:tcBorders>
              <w:bottom w:val="single" w:sz="4" w:space="0" w:color="auto"/>
            </w:tcBorders>
          </w:tcPr>
          <w:p w:rsidR="00837917" w:rsidRPr="00675E5A" w:rsidRDefault="00837917" w:rsidP="00E72810">
            <w:pPr>
              <w:pStyle w:val="NoSpacing"/>
              <w:jc w:val="left"/>
              <w:rPr>
                <w:rFonts w:ascii="Arial Narrow" w:hAnsi="Arial Narrow"/>
                <w:b/>
                <w:sz w:val="20"/>
                <w:szCs w:val="20"/>
              </w:rPr>
            </w:pPr>
            <w:r w:rsidRPr="00675E5A">
              <w:rPr>
                <w:rFonts w:ascii="Arial Narrow" w:hAnsi="Arial Narrow"/>
                <w:b/>
                <w:sz w:val="20"/>
                <w:szCs w:val="20"/>
              </w:rPr>
              <w:t>Clinical evidence/</w:t>
            </w:r>
            <w:r w:rsidR="00675E5A" w:rsidRPr="00675E5A">
              <w:rPr>
                <w:rFonts w:ascii="Arial Narrow" w:hAnsi="Arial Narrow"/>
                <w:b/>
                <w:sz w:val="20"/>
                <w:szCs w:val="20"/>
              </w:rPr>
              <w:t xml:space="preserve"> </w:t>
            </w:r>
            <w:r w:rsidRPr="00675E5A">
              <w:rPr>
                <w:rFonts w:ascii="Arial Narrow" w:hAnsi="Arial Narrow"/>
                <w:b/>
                <w:sz w:val="20"/>
                <w:szCs w:val="20"/>
              </w:rPr>
              <w:t>claim</w:t>
            </w:r>
          </w:p>
        </w:tc>
        <w:tc>
          <w:tcPr>
            <w:tcW w:w="2194" w:type="dxa"/>
            <w:gridSpan w:val="2"/>
            <w:tcBorders>
              <w:bottom w:val="single" w:sz="4" w:space="0" w:color="auto"/>
            </w:tcBorders>
          </w:tcPr>
          <w:p w:rsidR="00837917" w:rsidRDefault="004F7BFE" w:rsidP="00837917">
            <w:pPr>
              <w:pStyle w:val="NoSpacing"/>
              <w:jc w:val="center"/>
              <w:rPr>
                <w:rFonts w:ascii="Arial Narrow" w:hAnsi="Arial Narrow"/>
                <w:sz w:val="20"/>
                <w:szCs w:val="20"/>
              </w:rPr>
            </w:pPr>
            <w:r>
              <w:rPr>
                <w:rFonts w:ascii="Arial Narrow" w:hAnsi="Arial Narrow"/>
                <w:sz w:val="20"/>
                <w:szCs w:val="20"/>
              </w:rPr>
              <w:t>The submission presented one head-to-head trial, PARADIGM-HF: RCTcomparing sacubitril/valsartan with enalapril (N = 8,442).</w:t>
            </w:r>
          </w:p>
          <w:p w:rsidR="004F7BFE" w:rsidRDefault="004F7BFE" w:rsidP="00837917">
            <w:pPr>
              <w:pStyle w:val="NoSpacing"/>
              <w:jc w:val="center"/>
              <w:rPr>
                <w:rFonts w:ascii="Arial Narrow" w:hAnsi="Arial Narrow"/>
                <w:sz w:val="20"/>
                <w:szCs w:val="20"/>
              </w:rPr>
            </w:pPr>
          </w:p>
          <w:p w:rsidR="004F7BFE" w:rsidRPr="00837917" w:rsidRDefault="004F7BFE" w:rsidP="00B71E88">
            <w:pPr>
              <w:jc w:val="center"/>
              <w:rPr>
                <w:rFonts w:ascii="Arial Narrow" w:hAnsi="Arial Narrow"/>
                <w:sz w:val="20"/>
                <w:szCs w:val="20"/>
              </w:rPr>
            </w:pPr>
            <w:r w:rsidRPr="004F7BFE">
              <w:rPr>
                <w:rFonts w:ascii="Arial Narrow" w:hAnsi="Arial Narrow"/>
                <w:sz w:val="20"/>
                <w:szCs w:val="20"/>
              </w:rPr>
              <w:t>The submission described sacubitril/valsartan as superior in terms of comparative effectiveness and non-inferior in terms of comparative safety over enalapril.</w:t>
            </w:r>
          </w:p>
        </w:tc>
        <w:tc>
          <w:tcPr>
            <w:tcW w:w="2976" w:type="dxa"/>
            <w:gridSpan w:val="2"/>
            <w:tcBorders>
              <w:bottom w:val="single" w:sz="4" w:space="0" w:color="auto"/>
            </w:tcBorders>
          </w:tcPr>
          <w:p w:rsidR="00B71E88" w:rsidRPr="00B71E88" w:rsidRDefault="00B71E88" w:rsidP="00B71E88">
            <w:pPr>
              <w:pStyle w:val="NoSpacing"/>
              <w:jc w:val="center"/>
              <w:rPr>
                <w:rFonts w:ascii="Arial Narrow" w:hAnsi="Arial Narrow"/>
                <w:sz w:val="20"/>
                <w:szCs w:val="20"/>
              </w:rPr>
            </w:pPr>
            <w:r>
              <w:rPr>
                <w:rFonts w:ascii="Arial Narrow" w:hAnsi="Arial Narrow"/>
                <w:sz w:val="20"/>
                <w:szCs w:val="20"/>
              </w:rPr>
              <w:t xml:space="preserve">7.7 </w:t>
            </w:r>
            <w:r w:rsidRPr="00B71E88">
              <w:rPr>
                <w:rFonts w:ascii="Arial Narrow" w:hAnsi="Arial Narrow"/>
                <w:sz w:val="20"/>
                <w:szCs w:val="20"/>
              </w:rPr>
              <w:t xml:space="preserve">The PBAC considered that the clinical claim of superior comparative effectiveness compared to enalapril was reasonable, but that size of the benefit was uncertain due to the issues with study design and early stopping of PARADIGM-HF. </w:t>
            </w:r>
          </w:p>
          <w:p w:rsidR="00B71E88" w:rsidRPr="00B71E88" w:rsidRDefault="00B71E88" w:rsidP="00B71E88">
            <w:pPr>
              <w:pStyle w:val="NoSpacing"/>
              <w:jc w:val="center"/>
              <w:rPr>
                <w:rFonts w:ascii="Arial Narrow" w:hAnsi="Arial Narrow"/>
                <w:sz w:val="20"/>
                <w:szCs w:val="20"/>
              </w:rPr>
            </w:pPr>
          </w:p>
          <w:p w:rsidR="00837917" w:rsidRPr="00837917" w:rsidRDefault="00B71E88" w:rsidP="00B71E88">
            <w:pPr>
              <w:pStyle w:val="NoSpacing"/>
              <w:jc w:val="center"/>
              <w:rPr>
                <w:rFonts w:ascii="Arial Narrow" w:hAnsi="Arial Narrow"/>
                <w:sz w:val="20"/>
                <w:szCs w:val="20"/>
              </w:rPr>
            </w:pPr>
            <w:r>
              <w:rPr>
                <w:rFonts w:ascii="Arial Narrow" w:hAnsi="Arial Narrow"/>
                <w:sz w:val="20"/>
                <w:szCs w:val="20"/>
              </w:rPr>
              <w:t xml:space="preserve">7.8 </w:t>
            </w:r>
            <w:r w:rsidRPr="00B71E88">
              <w:rPr>
                <w:rFonts w:ascii="Arial Narrow" w:hAnsi="Arial Narrow"/>
                <w:sz w:val="20"/>
                <w:szCs w:val="20"/>
              </w:rPr>
              <w:t>The PBAC considered that the claim of non-inferior comparative safety to enalapril was reasonable, only in a selected population that tolerated ACE inhibitor therapy.  This selected population may not be generalizable to the proposed PBS population who are not necessarily pre-treated with an ACE inhibitor, and may be older and frailer.</w:t>
            </w:r>
          </w:p>
        </w:tc>
        <w:tc>
          <w:tcPr>
            <w:tcW w:w="2817" w:type="dxa"/>
            <w:tcBorders>
              <w:bottom w:val="single" w:sz="4" w:space="0" w:color="auto"/>
            </w:tcBorders>
          </w:tcPr>
          <w:p w:rsidR="00837917" w:rsidRDefault="00B71E88" w:rsidP="00837917">
            <w:pPr>
              <w:pStyle w:val="NoSpacing"/>
              <w:jc w:val="center"/>
              <w:rPr>
                <w:rFonts w:ascii="Arial Narrow" w:hAnsi="Arial Narrow"/>
                <w:sz w:val="20"/>
                <w:szCs w:val="20"/>
              </w:rPr>
            </w:pPr>
            <w:r>
              <w:rPr>
                <w:rFonts w:ascii="Arial Narrow" w:hAnsi="Arial Narrow"/>
                <w:sz w:val="20"/>
                <w:szCs w:val="20"/>
              </w:rPr>
              <w:t xml:space="preserve">No new clinical evidence was presented in the minor re-submission. </w:t>
            </w:r>
          </w:p>
          <w:p w:rsidR="002D78CF" w:rsidRDefault="00B71E88" w:rsidP="00837917">
            <w:pPr>
              <w:pStyle w:val="NoSpacing"/>
              <w:jc w:val="center"/>
              <w:rPr>
                <w:rFonts w:ascii="Arial Narrow" w:hAnsi="Arial Narrow"/>
                <w:sz w:val="20"/>
                <w:szCs w:val="20"/>
              </w:rPr>
            </w:pPr>
            <w:r>
              <w:rPr>
                <w:rFonts w:ascii="Arial Narrow" w:hAnsi="Arial Narrow"/>
                <w:sz w:val="20"/>
                <w:szCs w:val="20"/>
              </w:rPr>
              <w:t>The clinical claim remains unchanged from the March 2016 submission.</w:t>
            </w:r>
          </w:p>
          <w:p w:rsidR="002D78CF" w:rsidRPr="000A0006" w:rsidRDefault="002D78CF" w:rsidP="00837917">
            <w:pPr>
              <w:pStyle w:val="NoSpacing"/>
              <w:jc w:val="center"/>
              <w:rPr>
                <w:rFonts w:ascii="Arial Narrow" w:hAnsi="Arial Narrow"/>
                <w:sz w:val="20"/>
                <w:szCs w:val="20"/>
              </w:rPr>
            </w:pPr>
          </w:p>
          <w:p w:rsidR="00B71E88" w:rsidRPr="002D78CF" w:rsidRDefault="002D78CF" w:rsidP="00643031">
            <w:pPr>
              <w:pStyle w:val="NoSpacing"/>
              <w:jc w:val="center"/>
              <w:rPr>
                <w:rFonts w:ascii="Arial Narrow" w:hAnsi="Arial Narrow"/>
                <w:i/>
                <w:sz w:val="20"/>
                <w:szCs w:val="20"/>
              </w:rPr>
            </w:pPr>
            <w:r w:rsidRPr="000A0006">
              <w:rPr>
                <w:rFonts w:ascii="Arial Narrow" w:hAnsi="Arial Narrow"/>
                <w:sz w:val="20"/>
                <w:szCs w:val="20"/>
              </w:rPr>
              <w:t>The magnitude of clinical benefit of sacubitril/valsartan compared to enalapril remains uncertain. Although an additional clinical criterion (previous or current use of an ACE-I or ATRA at recommend</w:t>
            </w:r>
            <w:r w:rsidR="00C20F01" w:rsidRPr="000A0006">
              <w:rPr>
                <w:rFonts w:ascii="Arial Narrow" w:hAnsi="Arial Narrow"/>
                <w:sz w:val="20"/>
                <w:szCs w:val="20"/>
              </w:rPr>
              <w:t xml:space="preserve">ed doses unless contraindicated/ not tolerated) </w:t>
            </w:r>
            <w:r w:rsidRPr="000A0006">
              <w:rPr>
                <w:rFonts w:ascii="Arial Narrow" w:hAnsi="Arial Narrow"/>
                <w:sz w:val="20"/>
                <w:szCs w:val="20"/>
              </w:rPr>
              <w:t>has been included in the requested listing</w:t>
            </w:r>
            <w:r w:rsidR="00C20F01" w:rsidRPr="000A0006">
              <w:rPr>
                <w:rFonts w:ascii="Arial Narrow" w:hAnsi="Arial Narrow"/>
                <w:sz w:val="20"/>
                <w:szCs w:val="20"/>
              </w:rPr>
              <w:t>, it does not limit eligibility to patients currently stabilised on an AEC-I or ATRA</w:t>
            </w:r>
            <w:proofErr w:type="gramStart"/>
            <w:r w:rsidR="00C20F01" w:rsidRPr="000A0006">
              <w:rPr>
                <w:rFonts w:ascii="Arial Narrow" w:hAnsi="Arial Narrow"/>
                <w:sz w:val="20"/>
                <w:szCs w:val="20"/>
              </w:rPr>
              <w:t>.</w:t>
            </w:r>
            <w:r w:rsidR="00C20F01">
              <w:rPr>
                <w:rFonts w:ascii="Arial Narrow" w:hAnsi="Arial Narrow"/>
                <w:i/>
                <w:sz w:val="20"/>
                <w:szCs w:val="20"/>
              </w:rPr>
              <w:t xml:space="preserve"> </w:t>
            </w:r>
            <w:r w:rsidRPr="002D78CF">
              <w:rPr>
                <w:rFonts w:ascii="Arial Narrow" w:hAnsi="Arial Narrow"/>
                <w:i/>
                <w:sz w:val="20"/>
                <w:szCs w:val="20"/>
              </w:rPr>
              <w:t xml:space="preserve"> </w:t>
            </w:r>
            <w:r w:rsidR="00B71E88" w:rsidRPr="002D78CF">
              <w:rPr>
                <w:rFonts w:ascii="Arial Narrow" w:hAnsi="Arial Narrow"/>
                <w:i/>
                <w:sz w:val="20"/>
                <w:szCs w:val="20"/>
              </w:rPr>
              <w:t xml:space="preserve"> </w:t>
            </w:r>
            <w:proofErr w:type="gramEnd"/>
          </w:p>
        </w:tc>
      </w:tr>
      <w:tr w:rsidR="007852AE" w:rsidRPr="00837917" w:rsidTr="000A3467">
        <w:trPr>
          <w:cantSplit/>
        </w:trPr>
        <w:tc>
          <w:tcPr>
            <w:tcW w:w="1095" w:type="dxa"/>
            <w:vMerge w:val="restart"/>
          </w:tcPr>
          <w:p w:rsidR="007852AE" w:rsidRPr="00675E5A" w:rsidRDefault="007852AE" w:rsidP="00E72810">
            <w:pPr>
              <w:pStyle w:val="NoSpacing"/>
              <w:jc w:val="left"/>
              <w:rPr>
                <w:rFonts w:ascii="Arial Narrow" w:hAnsi="Arial Narrow"/>
                <w:b/>
                <w:sz w:val="20"/>
                <w:szCs w:val="20"/>
              </w:rPr>
            </w:pPr>
            <w:r w:rsidRPr="00675E5A">
              <w:rPr>
                <w:rFonts w:ascii="Arial Narrow" w:hAnsi="Arial Narrow"/>
                <w:b/>
                <w:sz w:val="20"/>
                <w:szCs w:val="20"/>
              </w:rPr>
              <w:lastRenderedPageBreak/>
              <w:t>Economic analysis</w:t>
            </w:r>
          </w:p>
        </w:tc>
        <w:tc>
          <w:tcPr>
            <w:tcW w:w="2194" w:type="dxa"/>
            <w:gridSpan w:val="2"/>
            <w:tcBorders>
              <w:bottom w:val="double" w:sz="4" w:space="0" w:color="auto"/>
            </w:tcBorders>
          </w:tcPr>
          <w:p w:rsidR="007852AE" w:rsidRPr="00837917" w:rsidRDefault="007852AE" w:rsidP="00837917">
            <w:pPr>
              <w:pStyle w:val="NoSpacing"/>
              <w:jc w:val="center"/>
              <w:rPr>
                <w:rFonts w:ascii="Arial Narrow" w:hAnsi="Arial Narrow"/>
                <w:sz w:val="20"/>
                <w:szCs w:val="20"/>
              </w:rPr>
            </w:pPr>
            <w:r>
              <w:rPr>
                <w:rFonts w:ascii="Arial Narrow" w:hAnsi="Arial Narrow"/>
                <w:sz w:val="20"/>
                <w:szCs w:val="20"/>
              </w:rPr>
              <w:t xml:space="preserve">The submission presented a cost-utility analysis, with a two-state Markov model, where patients could be alive (with heart failure) or dead. </w:t>
            </w:r>
          </w:p>
        </w:tc>
        <w:tc>
          <w:tcPr>
            <w:tcW w:w="2976" w:type="dxa"/>
            <w:gridSpan w:val="2"/>
            <w:tcBorders>
              <w:bottom w:val="double" w:sz="4" w:space="0" w:color="auto"/>
            </w:tcBorders>
          </w:tcPr>
          <w:p w:rsidR="007852AE" w:rsidRPr="00837917" w:rsidRDefault="007852AE" w:rsidP="00837917">
            <w:pPr>
              <w:pStyle w:val="NoSpacing"/>
              <w:jc w:val="center"/>
              <w:rPr>
                <w:rFonts w:ascii="Arial Narrow" w:hAnsi="Arial Narrow"/>
                <w:sz w:val="20"/>
                <w:szCs w:val="20"/>
              </w:rPr>
            </w:pPr>
            <w:r>
              <w:rPr>
                <w:rFonts w:ascii="Arial Narrow" w:hAnsi="Arial Narrow"/>
                <w:sz w:val="20"/>
                <w:szCs w:val="20"/>
              </w:rPr>
              <w:t xml:space="preserve">7.9 </w:t>
            </w:r>
            <w:r w:rsidRPr="004C238F">
              <w:rPr>
                <w:rFonts w:ascii="Arial Narrow" w:hAnsi="Arial Narrow"/>
                <w:sz w:val="20"/>
                <w:szCs w:val="20"/>
              </w:rPr>
              <w:t xml:space="preserve">The PBAC agreed with the ESC’s view that the failure of the submission’s model to reflect the progression of patients through heart failure meant that the ICER generated was not reliable and therefore cost-effectiveness of sacubitril/valsartan was unknown. In particular, the PBAC were concerned that the model assumed that the underlying risk of cardiovascular mortality was the same as that of the patients in PARADIGM-HF and that this risk was independent </w:t>
            </w:r>
            <w:r>
              <w:rPr>
                <w:rFonts w:ascii="Arial Narrow" w:hAnsi="Arial Narrow"/>
                <w:sz w:val="20"/>
                <w:szCs w:val="20"/>
              </w:rPr>
              <w:t>of age, NYHA class and other co</w:t>
            </w:r>
            <w:r w:rsidRPr="004C238F">
              <w:rPr>
                <w:rFonts w:ascii="Arial Narrow" w:hAnsi="Arial Narrow"/>
                <w:sz w:val="20"/>
                <w:szCs w:val="20"/>
              </w:rPr>
              <w:t>variates.</w:t>
            </w:r>
          </w:p>
        </w:tc>
        <w:tc>
          <w:tcPr>
            <w:tcW w:w="2817" w:type="dxa"/>
            <w:tcBorders>
              <w:bottom w:val="double" w:sz="4" w:space="0" w:color="auto"/>
            </w:tcBorders>
          </w:tcPr>
          <w:p w:rsidR="007852AE" w:rsidRDefault="007852AE" w:rsidP="00837917">
            <w:pPr>
              <w:pStyle w:val="NoSpacing"/>
              <w:jc w:val="center"/>
              <w:rPr>
                <w:rFonts w:ascii="Arial Narrow" w:hAnsi="Arial Narrow"/>
                <w:sz w:val="20"/>
                <w:szCs w:val="20"/>
              </w:rPr>
            </w:pPr>
            <w:r>
              <w:rPr>
                <w:rFonts w:ascii="Arial Narrow" w:hAnsi="Arial Narrow"/>
                <w:sz w:val="20"/>
                <w:szCs w:val="20"/>
              </w:rPr>
              <w:t>The structure of the model remained unchanged.</w:t>
            </w:r>
          </w:p>
          <w:p w:rsidR="007852AE" w:rsidRDefault="007852AE" w:rsidP="00837917">
            <w:pPr>
              <w:pStyle w:val="NoSpacing"/>
              <w:jc w:val="center"/>
              <w:rPr>
                <w:rFonts w:ascii="Arial Narrow" w:hAnsi="Arial Narrow"/>
                <w:sz w:val="20"/>
                <w:szCs w:val="20"/>
              </w:rPr>
            </w:pPr>
          </w:p>
          <w:p w:rsidR="007852AE" w:rsidRPr="000A0006" w:rsidRDefault="007852AE" w:rsidP="00286BCA">
            <w:pPr>
              <w:pStyle w:val="NoSpacing"/>
              <w:jc w:val="center"/>
              <w:rPr>
                <w:rFonts w:ascii="Arial Narrow" w:hAnsi="Arial Narrow"/>
                <w:sz w:val="20"/>
                <w:szCs w:val="20"/>
              </w:rPr>
            </w:pPr>
            <w:r w:rsidRPr="000A0006">
              <w:rPr>
                <w:rFonts w:ascii="Arial Narrow" w:hAnsi="Arial Narrow"/>
                <w:sz w:val="20"/>
                <w:szCs w:val="20"/>
              </w:rPr>
              <w:t>Although the minor re-submission requested a lower DPMQ, the fundamental issues with regards to the model structure remain</w:t>
            </w:r>
            <w:r w:rsidR="000A0006">
              <w:rPr>
                <w:rFonts w:ascii="Arial Narrow" w:hAnsi="Arial Narrow"/>
                <w:sz w:val="20"/>
                <w:szCs w:val="20"/>
              </w:rPr>
              <w:t>ed</w:t>
            </w:r>
            <w:r w:rsidRPr="000A0006">
              <w:rPr>
                <w:rFonts w:ascii="Arial Narrow" w:hAnsi="Arial Narrow"/>
                <w:sz w:val="20"/>
                <w:szCs w:val="20"/>
              </w:rPr>
              <w:t xml:space="preserve"> unchanged. </w:t>
            </w:r>
          </w:p>
        </w:tc>
      </w:tr>
      <w:tr w:rsidR="007852AE" w:rsidRPr="00837917" w:rsidTr="000A3467">
        <w:trPr>
          <w:cantSplit/>
        </w:trPr>
        <w:tc>
          <w:tcPr>
            <w:tcW w:w="1095" w:type="dxa"/>
            <w:vMerge/>
            <w:vAlign w:val="center"/>
          </w:tcPr>
          <w:p w:rsidR="007852AE" w:rsidRPr="001151CE" w:rsidRDefault="007852AE" w:rsidP="001151CE">
            <w:pPr>
              <w:pStyle w:val="NoSpacing"/>
              <w:jc w:val="left"/>
              <w:rPr>
                <w:rFonts w:ascii="Arial Narrow" w:hAnsi="Arial Narrow"/>
                <w:b/>
                <w:sz w:val="20"/>
                <w:szCs w:val="20"/>
              </w:rPr>
            </w:pPr>
          </w:p>
        </w:tc>
        <w:tc>
          <w:tcPr>
            <w:tcW w:w="7987" w:type="dxa"/>
            <w:gridSpan w:val="5"/>
            <w:tcBorders>
              <w:top w:val="double" w:sz="4" w:space="0" w:color="auto"/>
            </w:tcBorders>
            <w:vAlign w:val="center"/>
          </w:tcPr>
          <w:p w:rsidR="007852AE" w:rsidRPr="001151CE" w:rsidRDefault="007852AE" w:rsidP="009579B1">
            <w:pPr>
              <w:pStyle w:val="NoSpacing"/>
              <w:jc w:val="center"/>
              <w:rPr>
                <w:rFonts w:ascii="Arial Narrow" w:hAnsi="Arial Narrow"/>
                <w:b/>
                <w:sz w:val="20"/>
                <w:szCs w:val="20"/>
              </w:rPr>
            </w:pPr>
            <w:r w:rsidRPr="001151CE">
              <w:rPr>
                <w:rFonts w:ascii="Arial Narrow" w:hAnsi="Arial Narrow"/>
                <w:b/>
                <w:sz w:val="20"/>
                <w:szCs w:val="20"/>
              </w:rPr>
              <w:t>Key drivers of the economic model</w:t>
            </w:r>
          </w:p>
        </w:tc>
      </w:tr>
      <w:tr w:rsidR="007852AE" w:rsidRPr="00837917" w:rsidTr="000A3467">
        <w:trPr>
          <w:cantSplit/>
        </w:trPr>
        <w:tc>
          <w:tcPr>
            <w:tcW w:w="1095" w:type="dxa"/>
            <w:vMerge/>
          </w:tcPr>
          <w:p w:rsidR="007852AE" w:rsidRPr="00675E5A" w:rsidRDefault="007852AE" w:rsidP="00E72810">
            <w:pPr>
              <w:pStyle w:val="NoSpacing"/>
              <w:jc w:val="left"/>
              <w:rPr>
                <w:rFonts w:ascii="Arial Narrow" w:hAnsi="Arial Narrow"/>
                <w:b/>
                <w:sz w:val="20"/>
                <w:szCs w:val="20"/>
              </w:rPr>
            </w:pPr>
          </w:p>
        </w:tc>
        <w:tc>
          <w:tcPr>
            <w:tcW w:w="1275" w:type="dxa"/>
            <w:vAlign w:val="center"/>
          </w:tcPr>
          <w:p w:rsidR="007852AE" w:rsidRPr="001151CE" w:rsidRDefault="007852AE" w:rsidP="009579B1">
            <w:pPr>
              <w:pStyle w:val="NoSpacing"/>
              <w:jc w:val="center"/>
              <w:rPr>
                <w:rFonts w:ascii="Arial Narrow" w:hAnsi="Arial Narrow"/>
                <w:b/>
                <w:sz w:val="20"/>
                <w:szCs w:val="20"/>
              </w:rPr>
            </w:pPr>
            <w:r>
              <w:rPr>
                <w:rFonts w:ascii="Arial Narrow" w:hAnsi="Arial Narrow"/>
                <w:b/>
                <w:sz w:val="20"/>
                <w:szCs w:val="20"/>
              </w:rPr>
              <w:t>Variable</w:t>
            </w:r>
          </w:p>
        </w:tc>
        <w:tc>
          <w:tcPr>
            <w:tcW w:w="3502" w:type="dxa"/>
            <w:gridSpan w:val="2"/>
            <w:vAlign w:val="center"/>
          </w:tcPr>
          <w:p w:rsidR="007852AE" w:rsidRPr="001151CE" w:rsidRDefault="007852AE" w:rsidP="009579B1">
            <w:pPr>
              <w:pStyle w:val="NoSpacing"/>
              <w:jc w:val="center"/>
              <w:rPr>
                <w:rFonts w:ascii="Arial Narrow" w:hAnsi="Arial Narrow"/>
                <w:b/>
                <w:sz w:val="20"/>
                <w:szCs w:val="20"/>
              </w:rPr>
            </w:pPr>
            <w:r w:rsidRPr="00837917">
              <w:rPr>
                <w:rFonts w:ascii="Arial Narrow" w:hAnsi="Arial Narrow"/>
                <w:b/>
                <w:sz w:val="20"/>
                <w:szCs w:val="20"/>
              </w:rPr>
              <w:t>March 2016 Major submission</w:t>
            </w:r>
          </w:p>
        </w:tc>
        <w:tc>
          <w:tcPr>
            <w:tcW w:w="3210" w:type="dxa"/>
            <w:gridSpan w:val="2"/>
            <w:vAlign w:val="center"/>
          </w:tcPr>
          <w:p w:rsidR="007852AE" w:rsidRPr="00837917" w:rsidRDefault="007852AE" w:rsidP="009579B1">
            <w:pPr>
              <w:pStyle w:val="NoSpacing"/>
              <w:jc w:val="center"/>
              <w:rPr>
                <w:rFonts w:ascii="Arial Narrow" w:hAnsi="Arial Narrow"/>
                <w:sz w:val="20"/>
                <w:szCs w:val="20"/>
              </w:rPr>
            </w:pPr>
            <w:r w:rsidRPr="00837917">
              <w:rPr>
                <w:rFonts w:ascii="Arial Narrow" w:hAnsi="Arial Narrow"/>
                <w:b/>
                <w:sz w:val="20"/>
                <w:szCs w:val="20"/>
              </w:rPr>
              <w:t>July 2016 Minor re-submission</w:t>
            </w:r>
          </w:p>
        </w:tc>
      </w:tr>
      <w:tr w:rsidR="007852AE" w:rsidRPr="00837917" w:rsidTr="000A3467">
        <w:trPr>
          <w:cantSplit/>
        </w:trPr>
        <w:tc>
          <w:tcPr>
            <w:tcW w:w="1095" w:type="dxa"/>
            <w:vMerge/>
          </w:tcPr>
          <w:p w:rsidR="007852AE" w:rsidRPr="0007575C" w:rsidRDefault="007852AE" w:rsidP="00E72810">
            <w:pPr>
              <w:pStyle w:val="NoSpacing"/>
              <w:jc w:val="left"/>
              <w:rPr>
                <w:rFonts w:ascii="Arial Narrow" w:hAnsi="Arial Narrow"/>
                <w:sz w:val="20"/>
                <w:szCs w:val="20"/>
              </w:rPr>
            </w:pPr>
          </w:p>
        </w:tc>
        <w:tc>
          <w:tcPr>
            <w:tcW w:w="1275" w:type="dxa"/>
            <w:vAlign w:val="center"/>
          </w:tcPr>
          <w:p w:rsidR="007852AE" w:rsidRPr="00837917" w:rsidRDefault="007852AE" w:rsidP="009579B1">
            <w:pPr>
              <w:pStyle w:val="NoSpacing"/>
              <w:jc w:val="center"/>
              <w:rPr>
                <w:rFonts w:ascii="Arial Narrow" w:hAnsi="Arial Narrow"/>
                <w:sz w:val="20"/>
                <w:szCs w:val="20"/>
              </w:rPr>
            </w:pPr>
            <w:r w:rsidRPr="0007575C">
              <w:rPr>
                <w:rFonts w:ascii="Arial Narrow" w:hAnsi="Arial Narrow"/>
                <w:sz w:val="20"/>
                <w:szCs w:val="20"/>
              </w:rPr>
              <w:t>Risk of CV death</w:t>
            </w:r>
          </w:p>
        </w:tc>
        <w:tc>
          <w:tcPr>
            <w:tcW w:w="3502" w:type="dxa"/>
            <w:gridSpan w:val="2"/>
          </w:tcPr>
          <w:p w:rsidR="007852AE" w:rsidRPr="00837917" w:rsidRDefault="007852AE" w:rsidP="00837917">
            <w:pPr>
              <w:pStyle w:val="NoSpacing"/>
              <w:jc w:val="center"/>
              <w:rPr>
                <w:rFonts w:ascii="Arial Narrow" w:hAnsi="Arial Narrow"/>
                <w:sz w:val="20"/>
                <w:szCs w:val="20"/>
              </w:rPr>
            </w:pPr>
            <w:r w:rsidRPr="00BC0C24">
              <w:rPr>
                <w:rFonts w:ascii="Arial Narrow" w:hAnsi="Arial Narrow"/>
                <w:sz w:val="20"/>
              </w:rPr>
              <w:t>KM data from trial until median follow-up, then extrapolation using the exponential function, with no adjustment fo</w:t>
            </w:r>
            <w:r>
              <w:rPr>
                <w:rFonts w:ascii="Arial Narrow" w:hAnsi="Arial Narrow"/>
                <w:sz w:val="20"/>
              </w:rPr>
              <w:t>r</w:t>
            </w:r>
            <w:r w:rsidRPr="00BC0C24">
              <w:rPr>
                <w:rFonts w:ascii="Arial Narrow" w:hAnsi="Arial Narrow"/>
                <w:sz w:val="20"/>
              </w:rPr>
              <w:t xml:space="preserve"> the older age of the cohort</w:t>
            </w:r>
          </w:p>
        </w:tc>
        <w:tc>
          <w:tcPr>
            <w:tcW w:w="3210" w:type="dxa"/>
            <w:gridSpan w:val="2"/>
            <w:vMerge w:val="restart"/>
          </w:tcPr>
          <w:p w:rsidR="007852AE" w:rsidRDefault="007852AE" w:rsidP="0007575C">
            <w:pPr>
              <w:pStyle w:val="NoSpacing"/>
              <w:jc w:val="center"/>
              <w:rPr>
                <w:rFonts w:ascii="Arial Narrow" w:hAnsi="Arial Narrow"/>
                <w:sz w:val="20"/>
                <w:szCs w:val="20"/>
              </w:rPr>
            </w:pPr>
            <w:r>
              <w:rPr>
                <w:rFonts w:ascii="Arial Narrow" w:hAnsi="Arial Narrow"/>
                <w:sz w:val="20"/>
                <w:szCs w:val="20"/>
              </w:rPr>
              <w:t xml:space="preserve">The key variables modified in the minor re-submission were: </w:t>
            </w:r>
          </w:p>
          <w:p w:rsidR="007852AE" w:rsidRDefault="007852AE" w:rsidP="0007575C">
            <w:pPr>
              <w:pStyle w:val="NoSpacing"/>
              <w:jc w:val="center"/>
              <w:rPr>
                <w:rFonts w:ascii="Arial Narrow" w:hAnsi="Arial Narrow"/>
                <w:sz w:val="20"/>
                <w:szCs w:val="20"/>
              </w:rPr>
            </w:pPr>
            <w:r>
              <w:rPr>
                <w:rFonts w:ascii="Arial Narrow" w:hAnsi="Arial Narrow"/>
                <w:sz w:val="20"/>
                <w:szCs w:val="20"/>
              </w:rPr>
              <w:t>- reduced cost of sacubitril/valsartan, and</w:t>
            </w:r>
          </w:p>
          <w:p w:rsidR="007852AE" w:rsidRDefault="007852AE" w:rsidP="00A112C7">
            <w:pPr>
              <w:pStyle w:val="NoSpacing"/>
              <w:jc w:val="center"/>
              <w:rPr>
                <w:rFonts w:ascii="Arial Narrow" w:hAnsi="Arial Narrow"/>
                <w:sz w:val="20"/>
                <w:szCs w:val="20"/>
              </w:rPr>
            </w:pPr>
            <w:r>
              <w:rPr>
                <w:rFonts w:ascii="Arial Narrow" w:hAnsi="Arial Narrow"/>
                <w:sz w:val="20"/>
                <w:szCs w:val="20"/>
              </w:rPr>
              <w:t>- equal utilisation weightings for the three sacubitril/valsartan doses, and for enalapril.</w:t>
            </w:r>
          </w:p>
          <w:p w:rsidR="007852AE" w:rsidRDefault="007852AE" w:rsidP="00A112C7">
            <w:pPr>
              <w:pStyle w:val="NoSpacing"/>
              <w:jc w:val="center"/>
              <w:rPr>
                <w:rFonts w:ascii="Arial Narrow" w:hAnsi="Arial Narrow"/>
                <w:i/>
                <w:sz w:val="20"/>
                <w:szCs w:val="20"/>
              </w:rPr>
            </w:pPr>
          </w:p>
          <w:p w:rsidR="007852AE" w:rsidRPr="000A0006" w:rsidRDefault="007852AE" w:rsidP="00A112C7">
            <w:pPr>
              <w:pStyle w:val="NoSpacing"/>
              <w:jc w:val="center"/>
              <w:rPr>
                <w:rFonts w:ascii="Arial Narrow" w:hAnsi="Arial Narrow"/>
                <w:sz w:val="20"/>
                <w:szCs w:val="20"/>
              </w:rPr>
            </w:pPr>
            <w:r w:rsidRPr="000A0006">
              <w:rPr>
                <w:rFonts w:ascii="Arial Narrow" w:hAnsi="Arial Narrow"/>
                <w:sz w:val="20"/>
                <w:szCs w:val="20"/>
              </w:rPr>
              <w:t>The key drivers of the model remained unchanged, and all highly favour</w:t>
            </w:r>
            <w:r w:rsidR="000A0006">
              <w:rPr>
                <w:rFonts w:ascii="Arial Narrow" w:hAnsi="Arial Narrow"/>
                <w:sz w:val="20"/>
                <w:szCs w:val="20"/>
              </w:rPr>
              <w:t>ed</w:t>
            </w:r>
            <w:r w:rsidRPr="000A0006">
              <w:rPr>
                <w:rFonts w:ascii="Arial Narrow" w:hAnsi="Arial Narrow"/>
                <w:sz w:val="20"/>
                <w:szCs w:val="20"/>
              </w:rPr>
              <w:t xml:space="preserve"> sacubitril/valsartan.</w:t>
            </w:r>
          </w:p>
        </w:tc>
      </w:tr>
      <w:tr w:rsidR="007852AE" w:rsidRPr="00837917" w:rsidTr="000A3467">
        <w:trPr>
          <w:cantSplit/>
        </w:trPr>
        <w:tc>
          <w:tcPr>
            <w:tcW w:w="1095" w:type="dxa"/>
            <w:vMerge/>
          </w:tcPr>
          <w:p w:rsidR="007852AE" w:rsidRPr="00675E5A" w:rsidRDefault="007852AE" w:rsidP="00E72810">
            <w:pPr>
              <w:pStyle w:val="NoSpacing"/>
              <w:jc w:val="left"/>
              <w:rPr>
                <w:rFonts w:ascii="Arial Narrow" w:hAnsi="Arial Narrow"/>
                <w:b/>
                <w:sz w:val="20"/>
                <w:szCs w:val="20"/>
              </w:rPr>
            </w:pPr>
          </w:p>
        </w:tc>
        <w:tc>
          <w:tcPr>
            <w:tcW w:w="1275" w:type="dxa"/>
            <w:vAlign w:val="center"/>
          </w:tcPr>
          <w:p w:rsidR="007852AE" w:rsidRPr="00837917" w:rsidRDefault="007852AE" w:rsidP="009579B1">
            <w:pPr>
              <w:pStyle w:val="NoSpacing"/>
              <w:jc w:val="center"/>
              <w:rPr>
                <w:rFonts w:ascii="Arial Narrow" w:hAnsi="Arial Narrow"/>
                <w:sz w:val="20"/>
                <w:szCs w:val="20"/>
              </w:rPr>
            </w:pPr>
            <w:r w:rsidRPr="00BC0C24">
              <w:rPr>
                <w:rFonts w:ascii="Arial Narrow" w:hAnsi="Arial Narrow"/>
                <w:sz w:val="20"/>
              </w:rPr>
              <w:t>Time horizon</w:t>
            </w:r>
          </w:p>
        </w:tc>
        <w:tc>
          <w:tcPr>
            <w:tcW w:w="3502" w:type="dxa"/>
            <w:gridSpan w:val="2"/>
          </w:tcPr>
          <w:p w:rsidR="007852AE" w:rsidRPr="00837917" w:rsidRDefault="007852AE" w:rsidP="00837917">
            <w:pPr>
              <w:pStyle w:val="NoSpacing"/>
              <w:jc w:val="center"/>
              <w:rPr>
                <w:rFonts w:ascii="Arial Narrow" w:hAnsi="Arial Narrow"/>
                <w:sz w:val="20"/>
                <w:szCs w:val="20"/>
              </w:rPr>
            </w:pPr>
            <w:r w:rsidRPr="00BC0C24">
              <w:rPr>
                <w:rFonts w:ascii="Arial Narrow" w:hAnsi="Arial Narrow"/>
                <w:sz w:val="20"/>
              </w:rPr>
              <w:t>10 years; from 27.1 month median follow-up in the trial</w:t>
            </w:r>
          </w:p>
        </w:tc>
        <w:tc>
          <w:tcPr>
            <w:tcW w:w="3210" w:type="dxa"/>
            <w:gridSpan w:val="2"/>
            <w:vMerge/>
          </w:tcPr>
          <w:p w:rsidR="007852AE" w:rsidRPr="00837917" w:rsidRDefault="007852AE" w:rsidP="00837917">
            <w:pPr>
              <w:pStyle w:val="NoSpacing"/>
              <w:jc w:val="center"/>
              <w:rPr>
                <w:rFonts w:ascii="Arial Narrow" w:hAnsi="Arial Narrow"/>
                <w:sz w:val="20"/>
                <w:szCs w:val="20"/>
              </w:rPr>
            </w:pPr>
          </w:p>
        </w:tc>
      </w:tr>
      <w:tr w:rsidR="007852AE" w:rsidRPr="00837917" w:rsidTr="000A3467">
        <w:trPr>
          <w:cantSplit/>
        </w:trPr>
        <w:tc>
          <w:tcPr>
            <w:tcW w:w="1095" w:type="dxa"/>
            <w:vMerge/>
          </w:tcPr>
          <w:p w:rsidR="007852AE" w:rsidRPr="00BC0C24" w:rsidRDefault="007852AE" w:rsidP="00E72810">
            <w:pPr>
              <w:pStyle w:val="NoSpacing"/>
              <w:jc w:val="left"/>
              <w:rPr>
                <w:rFonts w:ascii="Arial Narrow" w:hAnsi="Arial Narrow"/>
                <w:sz w:val="20"/>
              </w:rPr>
            </w:pPr>
          </w:p>
        </w:tc>
        <w:tc>
          <w:tcPr>
            <w:tcW w:w="1275" w:type="dxa"/>
            <w:vAlign w:val="center"/>
          </w:tcPr>
          <w:p w:rsidR="007852AE" w:rsidRPr="00837917" w:rsidRDefault="007852AE" w:rsidP="009579B1">
            <w:pPr>
              <w:pStyle w:val="NoSpacing"/>
              <w:jc w:val="center"/>
              <w:rPr>
                <w:rFonts w:ascii="Arial Narrow" w:hAnsi="Arial Narrow"/>
                <w:sz w:val="20"/>
                <w:szCs w:val="20"/>
              </w:rPr>
            </w:pPr>
            <w:r w:rsidRPr="00BC0C24">
              <w:rPr>
                <w:rFonts w:ascii="Arial Narrow" w:hAnsi="Arial Narrow"/>
                <w:sz w:val="20"/>
              </w:rPr>
              <w:t>Continuing treatment effect</w:t>
            </w:r>
          </w:p>
        </w:tc>
        <w:tc>
          <w:tcPr>
            <w:tcW w:w="3502" w:type="dxa"/>
            <w:gridSpan w:val="2"/>
          </w:tcPr>
          <w:p w:rsidR="007852AE" w:rsidRPr="00837917" w:rsidRDefault="007852AE" w:rsidP="00837917">
            <w:pPr>
              <w:pStyle w:val="NoSpacing"/>
              <w:jc w:val="center"/>
              <w:rPr>
                <w:rFonts w:ascii="Arial Narrow" w:hAnsi="Arial Narrow"/>
                <w:sz w:val="20"/>
                <w:szCs w:val="20"/>
              </w:rPr>
            </w:pPr>
            <w:r w:rsidRPr="00BC0C24">
              <w:rPr>
                <w:rFonts w:ascii="Arial Narrow" w:hAnsi="Arial Narrow"/>
                <w:sz w:val="20"/>
              </w:rPr>
              <w:t>KM data from trial until median follow-up, then extrapolation using the exponential function</w:t>
            </w:r>
          </w:p>
        </w:tc>
        <w:tc>
          <w:tcPr>
            <w:tcW w:w="3210" w:type="dxa"/>
            <w:gridSpan w:val="2"/>
            <w:vMerge/>
          </w:tcPr>
          <w:p w:rsidR="007852AE" w:rsidRPr="00837917" w:rsidRDefault="007852AE" w:rsidP="00837917">
            <w:pPr>
              <w:pStyle w:val="NoSpacing"/>
              <w:jc w:val="center"/>
              <w:rPr>
                <w:rFonts w:ascii="Arial Narrow" w:hAnsi="Arial Narrow"/>
                <w:sz w:val="20"/>
                <w:szCs w:val="20"/>
              </w:rPr>
            </w:pPr>
          </w:p>
        </w:tc>
      </w:tr>
    </w:tbl>
    <w:p w:rsidR="00837917" w:rsidRPr="004C39B2" w:rsidRDefault="00921E47" w:rsidP="004C39B2">
      <w:pPr>
        <w:pStyle w:val="TableFooter"/>
        <w:rPr>
          <w:sz w:val="20"/>
        </w:rPr>
      </w:pPr>
      <w:r w:rsidRPr="004C39B2">
        <w:rPr>
          <w:sz w:val="20"/>
        </w:rPr>
        <w:t xml:space="preserve">Abbreviations: ACE-I= ACE inhibitor; ATRA= angiotensin II receptor antagonist; </w:t>
      </w:r>
      <w:r w:rsidR="00CD28FE" w:rsidRPr="004C39B2">
        <w:rPr>
          <w:sz w:val="20"/>
        </w:rPr>
        <w:t>FDC=</w:t>
      </w:r>
      <w:r w:rsidR="00B040C8" w:rsidRPr="004C39B2">
        <w:rPr>
          <w:sz w:val="20"/>
        </w:rPr>
        <w:t xml:space="preserve"> </w:t>
      </w:r>
      <w:r w:rsidR="00CD28FE" w:rsidRPr="004C39B2">
        <w:rPr>
          <w:sz w:val="20"/>
        </w:rPr>
        <w:t>fixed dose combination;</w:t>
      </w:r>
      <w:r w:rsidR="00E52E33">
        <w:rPr>
          <w:sz w:val="20"/>
        </w:rPr>
        <w:t xml:space="preserve"> HF= heart failure;</w:t>
      </w:r>
      <w:r w:rsidR="00CD28FE" w:rsidRPr="004C39B2">
        <w:rPr>
          <w:sz w:val="20"/>
        </w:rPr>
        <w:t xml:space="preserve"> </w:t>
      </w:r>
      <w:r w:rsidRPr="004C39B2">
        <w:rPr>
          <w:sz w:val="20"/>
        </w:rPr>
        <w:t xml:space="preserve">LVEF= left ventricular ejection fraction; </w:t>
      </w:r>
      <w:r w:rsidR="00B040C8" w:rsidRPr="004C39B2">
        <w:rPr>
          <w:sz w:val="20"/>
        </w:rPr>
        <w:t>NYHA = New York Heart Association</w:t>
      </w:r>
      <w:r w:rsidR="002D78CF" w:rsidRPr="004C39B2">
        <w:rPr>
          <w:sz w:val="20"/>
        </w:rPr>
        <w:t>; RCT= randomised controlled trial</w:t>
      </w:r>
    </w:p>
    <w:p w:rsidR="00E52E33" w:rsidRDefault="00E52E33">
      <w:pPr>
        <w:jc w:val="left"/>
        <w:rPr>
          <w:szCs w:val="22"/>
        </w:rPr>
      </w:pPr>
      <w:r>
        <w:br w:type="page"/>
      </w:r>
    </w:p>
    <w:p w:rsidR="00423B66" w:rsidRPr="00643031" w:rsidRDefault="00423B66" w:rsidP="00643031">
      <w:pPr>
        <w:pStyle w:val="Heading1"/>
        <w:numPr>
          <w:ilvl w:val="0"/>
          <w:numId w:val="4"/>
        </w:numPr>
      </w:pPr>
      <w:r w:rsidRPr="00643031">
        <w:lastRenderedPageBreak/>
        <w:t>Purpose of Application</w:t>
      </w:r>
    </w:p>
    <w:p w:rsidR="00423B66" w:rsidRDefault="00423B66" w:rsidP="00423B66">
      <w:pPr>
        <w:rPr>
          <w:szCs w:val="22"/>
        </w:rPr>
      </w:pPr>
    </w:p>
    <w:p w:rsidR="00423B66" w:rsidRDefault="00423B66" w:rsidP="0097216A">
      <w:pPr>
        <w:pStyle w:val="ListParagraph"/>
        <w:numPr>
          <w:ilvl w:val="1"/>
          <w:numId w:val="4"/>
        </w:numPr>
        <w:rPr>
          <w:b/>
          <w:szCs w:val="22"/>
        </w:rPr>
      </w:pPr>
      <w:r>
        <w:rPr>
          <w:szCs w:val="22"/>
        </w:rPr>
        <w:t xml:space="preserve">The minor submission requested </w:t>
      </w:r>
      <w:r w:rsidR="00240A09">
        <w:rPr>
          <w:szCs w:val="22"/>
        </w:rPr>
        <w:t xml:space="preserve">a </w:t>
      </w:r>
      <w:r>
        <w:rPr>
          <w:szCs w:val="22"/>
        </w:rPr>
        <w:t xml:space="preserve">Section 85 Authority Required (STREAMLINED) listing of sacubitril/valsartan for the treatment of </w:t>
      </w:r>
      <w:r w:rsidR="00240A09">
        <w:rPr>
          <w:szCs w:val="22"/>
        </w:rPr>
        <w:t xml:space="preserve">patients with </w:t>
      </w:r>
      <w:r>
        <w:rPr>
          <w:szCs w:val="22"/>
        </w:rPr>
        <w:t xml:space="preserve">chronic heart failure </w:t>
      </w:r>
      <w:r w:rsidR="00240A09">
        <w:rPr>
          <w:szCs w:val="22"/>
        </w:rPr>
        <w:t xml:space="preserve">and a </w:t>
      </w:r>
      <w:r>
        <w:rPr>
          <w:szCs w:val="22"/>
        </w:rPr>
        <w:t xml:space="preserve">reduced </w:t>
      </w:r>
      <w:r w:rsidR="00240A09">
        <w:rPr>
          <w:szCs w:val="22"/>
        </w:rPr>
        <w:t xml:space="preserve">left ventricular </w:t>
      </w:r>
      <w:r>
        <w:rPr>
          <w:szCs w:val="22"/>
        </w:rPr>
        <w:t>ejection fraction.</w:t>
      </w:r>
    </w:p>
    <w:p w:rsidR="00423B66" w:rsidRDefault="00423B66" w:rsidP="00423B66">
      <w:pPr>
        <w:pStyle w:val="NoSpacing"/>
      </w:pPr>
    </w:p>
    <w:p w:rsidR="00423B66" w:rsidRDefault="00423B66" w:rsidP="00423B66">
      <w:pPr>
        <w:pStyle w:val="NoSpacing"/>
      </w:pPr>
    </w:p>
    <w:p w:rsidR="00423B66" w:rsidRPr="00643031" w:rsidRDefault="00423B66" w:rsidP="00643031">
      <w:pPr>
        <w:pStyle w:val="Heading1"/>
        <w:numPr>
          <w:ilvl w:val="0"/>
          <w:numId w:val="4"/>
        </w:numPr>
      </w:pPr>
      <w:r w:rsidRPr="00643031">
        <w:t>Requested listing</w:t>
      </w:r>
    </w:p>
    <w:p w:rsidR="00423B66" w:rsidRDefault="00423B66" w:rsidP="00423B66">
      <w:pPr>
        <w:rPr>
          <w:b/>
          <w:szCs w:val="22"/>
        </w:rPr>
      </w:pPr>
    </w:p>
    <w:p w:rsidR="00342C06" w:rsidRDefault="00342C06" w:rsidP="00342C06">
      <w:pPr>
        <w:pStyle w:val="ListParagraph"/>
        <w:numPr>
          <w:ilvl w:val="1"/>
          <w:numId w:val="4"/>
        </w:numPr>
        <w:rPr>
          <w:szCs w:val="22"/>
        </w:rPr>
      </w:pPr>
      <w:r>
        <w:rPr>
          <w:szCs w:val="22"/>
        </w:rPr>
        <w:t xml:space="preserve">The minor submission sought the following new listing: </w:t>
      </w:r>
    </w:p>
    <w:p w:rsidR="00423B66" w:rsidRDefault="00423B66" w:rsidP="00423B66">
      <w:pPr>
        <w:pStyle w:val="NoSpacing"/>
      </w:pPr>
    </w:p>
    <w:tbl>
      <w:tblPr>
        <w:tblW w:w="9075" w:type="dxa"/>
        <w:tblInd w:w="817" w:type="dxa"/>
        <w:tblLayout w:type="fixed"/>
        <w:tblLook w:val="04A0" w:firstRow="1" w:lastRow="0" w:firstColumn="1" w:lastColumn="0" w:noHBand="0" w:noVBand="1"/>
      </w:tblPr>
      <w:tblGrid>
        <w:gridCol w:w="1985"/>
        <w:gridCol w:w="1843"/>
        <w:gridCol w:w="850"/>
        <w:gridCol w:w="709"/>
        <w:gridCol w:w="1277"/>
        <w:gridCol w:w="1276"/>
        <w:gridCol w:w="1135"/>
      </w:tblGrid>
      <w:tr w:rsidR="00423B66" w:rsidTr="00423B66">
        <w:trPr>
          <w:cantSplit/>
          <w:trHeight w:val="471"/>
        </w:trPr>
        <w:tc>
          <w:tcPr>
            <w:tcW w:w="3827" w:type="dxa"/>
            <w:gridSpan w:val="2"/>
            <w:tcBorders>
              <w:top w:val="nil"/>
              <w:left w:val="nil"/>
              <w:bottom w:val="single" w:sz="4" w:space="0" w:color="auto"/>
              <w:right w:val="nil"/>
            </w:tcBorders>
            <w:hideMark/>
          </w:tcPr>
          <w:p w:rsidR="00423B66" w:rsidRDefault="00423B66">
            <w:pPr>
              <w:keepNext/>
              <w:ind w:left="-108"/>
              <w:rPr>
                <w:rFonts w:ascii="Arial Narrow" w:hAnsi="Arial Narrow" w:cs="Arial"/>
                <w:b/>
                <w:sz w:val="20"/>
                <w:szCs w:val="20"/>
              </w:rPr>
            </w:pPr>
            <w:r>
              <w:rPr>
                <w:rFonts w:ascii="Arial Narrow" w:hAnsi="Arial Narrow" w:cs="Arial"/>
                <w:b/>
                <w:sz w:val="20"/>
                <w:szCs w:val="20"/>
              </w:rPr>
              <w:t>Name, Restriction,</w:t>
            </w:r>
          </w:p>
          <w:p w:rsidR="00423B66" w:rsidRDefault="00423B66">
            <w:pPr>
              <w:keepNext/>
              <w:ind w:left="-108"/>
              <w:rPr>
                <w:rFonts w:ascii="Arial Narrow" w:hAnsi="Arial Narrow" w:cs="Arial"/>
                <w:b/>
                <w:sz w:val="20"/>
                <w:szCs w:val="20"/>
              </w:rPr>
            </w:pPr>
            <w:r>
              <w:rPr>
                <w:rFonts w:ascii="Arial Narrow" w:hAnsi="Arial Narrow" w:cs="Arial"/>
                <w:b/>
                <w:sz w:val="20"/>
                <w:szCs w:val="20"/>
              </w:rPr>
              <w:t>Manner of administration and form</w:t>
            </w:r>
          </w:p>
        </w:tc>
        <w:tc>
          <w:tcPr>
            <w:tcW w:w="850" w:type="dxa"/>
            <w:tcBorders>
              <w:top w:val="nil"/>
              <w:left w:val="nil"/>
              <w:bottom w:val="single" w:sz="4" w:space="0" w:color="auto"/>
              <w:right w:val="nil"/>
            </w:tcBorders>
            <w:hideMark/>
          </w:tcPr>
          <w:p w:rsidR="00423B66" w:rsidRDefault="00423B66">
            <w:pPr>
              <w:keepNext/>
              <w:ind w:left="-108"/>
              <w:rPr>
                <w:rFonts w:ascii="Arial Narrow" w:hAnsi="Arial Narrow" w:cs="Arial"/>
                <w:b/>
                <w:sz w:val="20"/>
                <w:szCs w:val="20"/>
              </w:rPr>
            </w:pPr>
            <w:r>
              <w:rPr>
                <w:rFonts w:ascii="Arial Narrow" w:hAnsi="Arial Narrow" w:cs="Arial"/>
                <w:b/>
                <w:sz w:val="20"/>
                <w:szCs w:val="20"/>
              </w:rPr>
              <w:t>Max.</w:t>
            </w:r>
          </w:p>
          <w:p w:rsidR="00423B66" w:rsidRDefault="00423B66">
            <w:pPr>
              <w:keepNext/>
              <w:ind w:left="-108"/>
              <w:rPr>
                <w:rFonts w:ascii="Arial Narrow" w:hAnsi="Arial Narrow" w:cs="Arial"/>
                <w:b/>
                <w:sz w:val="20"/>
                <w:szCs w:val="20"/>
              </w:rPr>
            </w:pPr>
            <w:r>
              <w:rPr>
                <w:rFonts w:ascii="Arial Narrow" w:hAnsi="Arial Narrow" w:cs="Arial"/>
                <w:b/>
                <w:sz w:val="20"/>
                <w:szCs w:val="20"/>
              </w:rPr>
              <w:t>Qty</w:t>
            </w:r>
          </w:p>
        </w:tc>
        <w:tc>
          <w:tcPr>
            <w:tcW w:w="709" w:type="dxa"/>
            <w:tcBorders>
              <w:top w:val="nil"/>
              <w:left w:val="nil"/>
              <w:bottom w:val="single" w:sz="4" w:space="0" w:color="auto"/>
              <w:right w:val="nil"/>
            </w:tcBorders>
            <w:hideMark/>
          </w:tcPr>
          <w:p w:rsidR="00423B66" w:rsidRDefault="00423B66">
            <w:pPr>
              <w:keepNext/>
              <w:ind w:left="-108"/>
              <w:rPr>
                <w:rFonts w:ascii="Arial Narrow" w:hAnsi="Arial Narrow" w:cs="Arial"/>
                <w:b/>
                <w:sz w:val="20"/>
                <w:szCs w:val="20"/>
              </w:rPr>
            </w:pPr>
            <w:r>
              <w:rPr>
                <w:rFonts w:ascii="Arial Narrow" w:hAnsi="Arial Narrow" w:cs="Arial"/>
                <w:b/>
                <w:sz w:val="20"/>
                <w:szCs w:val="20"/>
              </w:rPr>
              <w:t>№.of</w:t>
            </w:r>
          </w:p>
          <w:p w:rsidR="00423B66" w:rsidRDefault="00423B66">
            <w:pPr>
              <w:keepNext/>
              <w:ind w:left="-108"/>
              <w:rPr>
                <w:rFonts w:ascii="Arial Narrow" w:hAnsi="Arial Narrow" w:cs="Arial"/>
                <w:b/>
                <w:sz w:val="20"/>
                <w:szCs w:val="20"/>
              </w:rPr>
            </w:pPr>
            <w:r>
              <w:rPr>
                <w:rFonts w:ascii="Arial Narrow" w:hAnsi="Arial Narrow" w:cs="Arial"/>
                <w:b/>
                <w:sz w:val="20"/>
                <w:szCs w:val="20"/>
              </w:rPr>
              <w:t>Rpts</w:t>
            </w:r>
          </w:p>
        </w:tc>
        <w:tc>
          <w:tcPr>
            <w:tcW w:w="1276" w:type="dxa"/>
            <w:tcBorders>
              <w:top w:val="nil"/>
              <w:left w:val="nil"/>
              <w:bottom w:val="single" w:sz="4" w:space="0" w:color="auto"/>
              <w:right w:val="nil"/>
            </w:tcBorders>
            <w:hideMark/>
          </w:tcPr>
          <w:p w:rsidR="00423B66" w:rsidRDefault="00423B66">
            <w:pPr>
              <w:keepNext/>
              <w:ind w:left="-108"/>
              <w:rPr>
                <w:rFonts w:ascii="Arial Narrow" w:hAnsi="Arial Narrow" w:cs="Arial"/>
                <w:b/>
                <w:sz w:val="20"/>
                <w:szCs w:val="20"/>
              </w:rPr>
            </w:pPr>
            <w:r>
              <w:rPr>
                <w:rFonts w:ascii="Arial Narrow" w:hAnsi="Arial Narrow" w:cs="Arial"/>
                <w:b/>
                <w:sz w:val="20"/>
                <w:szCs w:val="20"/>
              </w:rPr>
              <w:t>Dispensed Price for Max. Qty</w:t>
            </w:r>
          </w:p>
        </w:tc>
        <w:tc>
          <w:tcPr>
            <w:tcW w:w="2409" w:type="dxa"/>
            <w:gridSpan w:val="2"/>
            <w:tcBorders>
              <w:top w:val="nil"/>
              <w:left w:val="nil"/>
              <w:bottom w:val="single" w:sz="4" w:space="0" w:color="auto"/>
              <w:right w:val="nil"/>
            </w:tcBorders>
            <w:hideMark/>
          </w:tcPr>
          <w:p w:rsidR="00423B66" w:rsidRDefault="00423B66">
            <w:pPr>
              <w:keepNext/>
              <w:rPr>
                <w:rFonts w:ascii="Arial Narrow" w:hAnsi="Arial Narrow" w:cs="Arial"/>
                <w:b/>
                <w:sz w:val="20"/>
                <w:szCs w:val="20"/>
                <w:lang w:val="fr-FR"/>
              </w:rPr>
            </w:pPr>
            <w:r>
              <w:rPr>
                <w:rFonts w:ascii="Arial Narrow" w:hAnsi="Arial Narrow" w:cs="Arial"/>
                <w:b/>
                <w:sz w:val="20"/>
                <w:szCs w:val="20"/>
              </w:rPr>
              <w:t>Proprietary Name and Manufacturer</w:t>
            </w:r>
          </w:p>
        </w:tc>
      </w:tr>
      <w:tr w:rsidR="00423B66" w:rsidTr="00423B66">
        <w:trPr>
          <w:cantSplit/>
          <w:trHeight w:val="577"/>
        </w:trPr>
        <w:tc>
          <w:tcPr>
            <w:tcW w:w="3827" w:type="dxa"/>
            <w:gridSpan w:val="2"/>
            <w:hideMark/>
          </w:tcPr>
          <w:p w:rsidR="00423B66" w:rsidRDefault="00423B66">
            <w:pPr>
              <w:keepNext/>
              <w:ind w:left="-108"/>
              <w:rPr>
                <w:rFonts w:ascii="Arial Narrow" w:hAnsi="Arial Narrow" w:cs="Arial"/>
                <w:sz w:val="20"/>
                <w:szCs w:val="20"/>
              </w:rPr>
            </w:pPr>
            <w:r>
              <w:rPr>
                <w:rFonts w:ascii="Arial Narrow" w:hAnsi="Arial Narrow" w:cs="Arial"/>
                <w:sz w:val="20"/>
                <w:szCs w:val="20"/>
              </w:rPr>
              <w:t xml:space="preserve">SACUBITRIL/VALSARTAN </w:t>
            </w:r>
          </w:p>
          <w:p w:rsidR="00423B66" w:rsidRDefault="00423B66">
            <w:pPr>
              <w:keepNext/>
              <w:ind w:left="-108"/>
              <w:rPr>
                <w:rFonts w:ascii="Arial Narrow" w:hAnsi="Arial Narrow" w:cs="Arial"/>
                <w:sz w:val="20"/>
                <w:szCs w:val="20"/>
              </w:rPr>
            </w:pPr>
            <w:r>
              <w:rPr>
                <w:rFonts w:ascii="Arial Narrow" w:hAnsi="Arial Narrow" w:cs="Arial"/>
                <w:sz w:val="20"/>
                <w:szCs w:val="20"/>
              </w:rPr>
              <w:t>Tablets 50 mg (sacubitril 24 mg/ valsartan 26 mg)</w:t>
            </w:r>
          </w:p>
          <w:p w:rsidR="00423B66" w:rsidRDefault="00423B66">
            <w:pPr>
              <w:keepNext/>
              <w:ind w:left="-108"/>
              <w:rPr>
                <w:rFonts w:ascii="Arial Narrow" w:hAnsi="Arial Narrow" w:cs="Arial"/>
                <w:sz w:val="20"/>
                <w:szCs w:val="20"/>
              </w:rPr>
            </w:pPr>
            <w:r>
              <w:rPr>
                <w:rFonts w:ascii="Arial Narrow" w:hAnsi="Arial Narrow" w:cs="Arial"/>
                <w:sz w:val="20"/>
                <w:szCs w:val="20"/>
              </w:rPr>
              <w:t>Tablets 100 mg (sacubitril 49 mg/ valsartan 51 mg)</w:t>
            </w:r>
          </w:p>
          <w:p w:rsidR="00423B66" w:rsidRDefault="00423B66">
            <w:pPr>
              <w:keepNext/>
              <w:ind w:left="-108"/>
              <w:rPr>
                <w:rFonts w:ascii="Arial Narrow" w:hAnsi="Arial Narrow" w:cs="Arial"/>
                <w:sz w:val="20"/>
                <w:szCs w:val="20"/>
              </w:rPr>
            </w:pPr>
            <w:r>
              <w:rPr>
                <w:rFonts w:ascii="Arial Narrow" w:hAnsi="Arial Narrow" w:cs="Arial"/>
                <w:sz w:val="20"/>
                <w:szCs w:val="20"/>
              </w:rPr>
              <w:t>Tablets 200 mg (sacubitril 97 mg/ valsartan 103 mg)</w:t>
            </w:r>
          </w:p>
        </w:tc>
        <w:tc>
          <w:tcPr>
            <w:tcW w:w="850" w:type="dxa"/>
          </w:tcPr>
          <w:p w:rsidR="00423B66" w:rsidRDefault="00423B66">
            <w:pPr>
              <w:keepNext/>
              <w:ind w:left="-108"/>
              <w:rPr>
                <w:rFonts w:ascii="Arial Narrow" w:hAnsi="Arial Narrow" w:cs="Arial"/>
                <w:sz w:val="20"/>
                <w:szCs w:val="20"/>
              </w:rPr>
            </w:pPr>
          </w:p>
          <w:p w:rsidR="00423B66" w:rsidRDefault="00423B66">
            <w:pPr>
              <w:keepNext/>
              <w:ind w:left="-108"/>
              <w:rPr>
                <w:rFonts w:ascii="Arial Narrow" w:hAnsi="Arial Narrow" w:cs="Arial"/>
                <w:sz w:val="20"/>
                <w:szCs w:val="20"/>
              </w:rPr>
            </w:pPr>
            <w:r>
              <w:rPr>
                <w:rFonts w:ascii="Arial Narrow" w:hAnsi="Arial Narrow" w:cs="Arial"/>
                <w:sz w:val="20"/>
                <w:szCs w:val="20"/>
              </w:rPr>
              <w:t>56</w:t>
            </w:r>
          </w:p>
          <w:p w:rsidR="00423B66" w:rsidRDefault="00423B66">
            <w:pPr>
              <w:keepNext/>
              <w:ind w:left="-108"/>
              <w:rPr>
                <w:rFonts w:ascii="Arial Narrow" w:hAnsi="Arial Narrow" w:cs="Arial"/>
                <w:sz w:val="20"/>
                <w:szCs w:val="20"/>
              </w:rPr>
            </w:pPr>
            <w:r>
              <w:rPr>
                <w:rFonts w:ascii="Arial Narrow" w:hAnsi="Arial Narrow" w:cs="Arial"/>
                <w:sz w:val="20"/>
                <w:szCs w:val="20"/>
              </w:rPr>
              <w:t>56</w:t>
            </w:r>
          </w:p>
          <w:p w:rsidR="00423B66" w:rsidRDefault="00423B66">
            <w:pPr>
              <w:keepNext/>
              <w:ind w:left="-108"/>
              <w:rPr>
                <w:rFonts w:ascii="Arial Narrow" w:hAnsi="Arial Narrow" w:cs="Arial"/>
                <w:sz w:val="20"/>
                <w:szCs w:val="20"/>
              </w:rPr>
            </w:pPr>
            <w:r>
              <w:rPr>
                <w:rFonts w:ascii="Arial Narrow" w:hAnsi="Arial Narrow" w:cs="Arial"/>
                <w:sz w:val="20"/>
                <w:szCs w:val="20"/>
              </w:rPr>
              <w:t>56</w:t>
            </w:r>
          </w:p>
        </w:tc>
        <w:tc>
          <w:tcPr>
            <w:tcW w:w="709" w:type="dxa"/>
          </w:tcPr>
          <w:p w:rsidR="00423B66" w:rsidRDefault="00423B66">
            <w:pPr>
              <w:keepNext/>
              <w:ind w:left="-108"/>
              <w:rPr>
                <w:rFonts w:ascii="Arial Narrow" w:hAnsi="Arial Narrow" w:cs="Arial"/>
                <w:sz w:val="20"/>
                <w:szCs w:val="20"/>
              </w:rPr>
            </w:pPr>
          </w:p>
          <w:p w:rsidR="00423B66" w:rsidRDefault="00423B66">
            <w:pPr>
              <w:keepNext/>
              <w:ind w:left="-108"/>
              <w:rPr>
                <w:rFonts w:ascii="Arial Narrow" w:hAnsi="Arial Narrow" w:cs="Arial"/>
                <w:sz w:val="20"/>
                <w:szCs w:val="20"/>
              </w:rPr>
            </w:pPr>
            <w:r>
              <w:rPr>
                <w:rFonts w:ascii="Arial Narrow" w:hAnsi="Arial Narrow" w:cs="Arial"/>
                <w:sz w:val="20"/>
                <w:szCs w:val="20"/>
              </w:rPr>
              <w:t>5</w:t>
            </w:r>
          </w:p>
          <w:p w:rsidR="00423B66" w:rsidRDefault="00423B66">
            <w:pPr>
              <w:keepNext/>
              <w:ind w:left="-108"/>
              <w:rPr>
                <w:rFonts w:ascii="Arial Narrow" w:hAnsi="Arial Narrow" w:cs="Arial"/>
                <w:sz w:val="20"/>
                <w:szCs w:val="20"/>
              </w:rPr>
            </w:pPr>
            <w:r>
              <w:rPr>
                <w:rFonts w:ascii="Arial Narrow" w:hAnsi="Arial Narrow" w:cs="Arial"/>
                <w:sz w:val="20"/>
                <w:szCs w:val="20"/>
              </w:rPr>
              <w:t>5</w:t>
            </w:r>
          </w:p>
          <w:p w:rsidR="00423B66" w:rsidRDefault="00423B66">
            <w:pPr>
              <w:keepNext/>
              <w:ind w:left="-108"/>
              <w:rPr>
                <w:rFonts w:ascii="Arial Narrow" w:hAnsi="Arial Narrow" w:cs="Arial"/>
                <w:sz w:val="20"/>
                <w:szCs w:val="20"/>
              </w:rPr>
            </w:pPr>
            <w:r>
              <w:rPr>
                <w:rFonts w:ascii="Arial Narrow" w:hAnsi="Arial Narrow" w:cs="Arial"/>
                <w:sz w:val="20"/>
                <w:szCs w:val="20"/>
              </w:rPr>
              <w:t>5</w:t>
            </w:r>
          </w:p>
        </w:tc>
        <w:tc>
          <w:tcPr>
            <w:tcW w:w="1276" w:type="dxa"/>
          </w:tcPr>
          <w:p w:rsidR="00423B66" w:rsidRDefault="00423B66">
            <w:pPr>
              <w:keepNext/>
              <w:ind w:left="-108"/>
              <w:rPr>
                <w:rFonts w:ascii="Arial Narrow" w:hAnsi="Arial Narrow" w:cs="Arial"/>
                <w:sz w:val="20"/>
                <w:szCs w:val="20"/>
              </w:rPr>
            </w:pPr>
          </w:p>
          <w:p w:rsidR="00423B66" w:rsidRDefault="00423B66">
            <w:pPr>
              <w:keepNext/>
              <w:ind w:left="-108"/>
              <w:rPr>
                <w:rFonts w:ascii="Arial Narrow" w:hAnsi="Arial Narrow" w:cs="Arial"/>
                <w:sz w:val="20"/>
                <w:szCs w:val="20"/>
              </w:rPr>
            </w:pPr>
            <w:r>
              <w:rPr>
                <w:rFonts w:ascii="Arial Narrow" w:hAnsi="Arial Narrow" w:cs="Arial"/>
                <w:sz w:val="20"/>
                <w:szCs w:val="20"/>
              </w:rPr>
              <w:t>$</w:t>
            </w:r>
            <w:r w:rsidR="00643031">
              <w:rPr>
                <w:rFonts w:ascii="Arial Narrow" w:hAnsi="Arial Narrow" w:cs="Arial"/>
                <w:noProof/>
                <w:color w:val="000000"/>
                <w:sz w:val="20"/>
                <w:szCs w:val="20"/>
                <w:highlight w:val="black"/>
              </w:rPr>
              <w:t>''''''''''''''''</w:t>
            </w:r>
          </w:p>
          <w:p w:rsidR="00423B66" w:rsidRDefault="00423B66">
            <w:pPr>
              <w:keepNext/>
              <w:ind w:left="-108"/>
              <w:rPr>
                <w:rFonts w:ascii="Arial Narrow" w:hAnsi="Arial Narrow" w:cs="Arial"/>
                <w:sz w:val="20"/>
                <w:szCs w:val="20"/>
              </w:rPr>
            </w:pPr>
            <w:r>
              <w:rPr>
                <w:rFonts w:ascii="Arial Narrow" w:hAnsi="Arial Narrow" w:cs="Arial"/>
                <w:sz w:val="20"/>
                <w:szCs w:val="20"/>
              </w:rPr>
              <w:t>$</w:t>
            </w:r>
            <w:r w:rsidR="00643031">
              <w:rPr>
                <w:rFonts w:ascii="Arial Narrow" w:hAnsi="Arial Narrow" w:cs="Arial"/>
                <w:noProof/>
                <w:color w:val="000000"/>
                <w:sz w:val="20"/>
                <w:szCs w:val="20"/>
                <w:highlight w:val="black"/>
              </w:rPr>
              <w:t>''''''''''''''''''</w:t>
            </w:r>
          </w:p>
          <w:p w:rsidR="00423B66" w:rsidRDefault="00423B66">
            <w:pPr>
              <w:keepNext/>
              <w:ind w:left="-108"/>
              <w:rPr>
                <w:rFonts w:ascii="Arial Narrow" w:hAnsi="Arial Narrow" w:cs="Arial"/>
                <w:sz w:val="20"/>
                <w:szCs w:val="20"/>
              </w:rPr>
            </w:pPr>
            <w:r>
              <w:rPr>
                <w:rFonts w:ascii="Arial Narrow" w:hAnsi="Arial Narrow" w:cs="Arial"/>
                <w:sz w:val="20"/>
                <w:szCs w:val="20"/>
              </w:rPr>
              <w:t>$</w:t>
            </w:r>
            <w:r w:rsidR="00643031">
              <w:rPr>
                <w:rFonts w:ascii="Arial Narrow" w:hAnsi="Arial Narrow" w:cs="Arial"/>
                <w:noProof/>
                <w:color w:val="000000"/>
                <w:sz w:val="20"/>
                <w:szCs w:val="20"/>
                <w:highlight w:val="black"/>
              </w:rPr>
              <w:t>'''''''''''''''''</w:t>
            </w:r>
          </w:p>
        </w:tc>
        <w:tc>
          <w:tcPr>
            <w:tcW w:w="1275" w:type="dxa"/>
          </w:tcPr>
          <w:p w:rsidR="00423B66" w:rsidRDefault="00423B66">
            <w:pPr>
              <w:keepNext/>
              <w:rPr>
                <w:rFonts w:ascii="Arial Narrow" w:hAnsi="Arial Narrow" w:cs="Arial"/>
                <w:sz w:val="20"/>
                <w:szCs w:val="20"/>
              </w:rPr>
            </w:pPr>
          </w:p>
          <w:p w:rsidR="00423B66" w:rsidRDefault="00423B66">
            <w:pPr>
              <w:keepNext/>
              <w:rPr>
                <w:rFonts w:ascii="Arial Narrow" w:hAnsi="Arial Narrow" w:cs="Arial"/>
                <w:sz w:val="20"/>
                <w:szCs w:val="20"/>
              </w:rPr>
            </w:pPr>
            <w:r>
              <w:rPr>
                <w:rFonts w:ascii="Arial Narrow" w:hAnsi="Arial Narrow" w:cs="Arial"/>
                <w:sz w:val="20"/>
                <w:szCs w:val="20"/>
              </w:rPr>
              <w:t>Entresto®</w:t>
            </w:r>
          </w:p>
        </w:tc>
        <w:tc>
          <w:tcPr>
            <w:tcW w:w="1134" w:type="dxa"/>
          </w:tcPr>
          <w:p w:rsidR="00423B66" w:rsidRDefault="00423B66">
            <w:pPr>
              <w:keepNext/>
              <w:rPr>
                <w:rFonts w:ascii="Arial Narrow" w:hAnsi="Arial Narrow" w:cs="Arial"/>
                <w:sz w:val="20"/>
                <w:szCs w:val="20"/>
              </w:rPr>
            </w:pPr>
          </w:p>
          <w:p w:rsidR="00423B66" w:rsidRDefault="00423B66">
            <w:pPr>
              <w:keepNext/>
              <w:rPr>
                <w:rFonts w:ascii="Arial Narrow" w:hAnsi="Arial Narrow" w:cs="Arial"/>
                <w:sz w:val="20"/>
                <w:szCs w:val="20"/>
              </w:rPr>
            </w:pPr>
            <w:r>
              <w:rPr>
                <w:rFonts w:ascii="Arial Narrow" w:hAnsi="Arial Narrow" w:cs="Arial"/>
                <w:sz w:val="20"/>
                <w:szCs w:val="20"/>
              </w:rPr>
              <w:t>Novartis</w:t>
            </w:r>
          </w:p>
        </w:tc>
      </w:tr>
      <w:tr w:rsidR="00423B66" w:rsidTr="00423B66">
        <w:trPr>
          <w:cantSplit/>
          <w:trHeight w:val="360"/>
        </w:trPr>
        <w:tc>
          <w:tcPr>
            <w:tcW w:w="9071" w:type="dxa"/>
            <w:gridSpan w:val="7"/>
            <w:tcBorders>
              <w:top w:val="nil"/>
              <w:left w:val="nil"/>
              <w:bottom w:val="single" w:sz="4" w:space="0" w:color="auto"/>
              <w:right w:val="nil"/>
            </w:tcBorders>
          </w:tcPr>
          <w:p w:rsidR="00423B66" w:rsidRDefault="00423B66">
            <w:pPr>
              <w:rPr>
                <w:rFonts w:ascii="Arial Narrow" w:hAnsi="Arial Narrow" w:cs="Arial"/>
                <w:sz w:val="20"/>
                <w:szCs w:val="20"/>
              </w:rPr>
            </w:pPr>
          </w:p>
        </w:tc>
      </w:tr>
      <w:tr w:rsidR="00423B66" w:rsidTr="00423B66">
        <w:trPr>
          <w:cantSplit/>
          <w:trHeight w:val="360"/>
        </w:trPr>
        <w:tc>
          <w:tcPr>
            <w:tcW w:w="1985" w:type="dxa"/>
            <w:tcBorders>
              <w:top w:val="single" w:sz="4" w:space="0" w:color="auto"/>
              <w:left w:val="single" w:sz="4" w:space="0" w:color="auto"/>
              <w:bottom w:val="single" w:sz="4" w:space="0" w:color="auto"/>
              <w:right w:val="single" w:sz="4" w:space="0" w:color="auto"/>
            </w:tcBorders>
            <w:hideMark/>
          </w:tcPr>
          <w:p w:rsidR="00423B66" w:rsidRDefault="00423B66">
            <w:pPr>
              <w:rPr>
                <w:rFonts w:ascii="Arial Narrow" w:hAnsi="Arial Narrow" w:cs="Arial"/>
                <w:b/>
                <w:sz w:val="20"/>
                <w:szCs w:val="20"/>
              </w:rPr>
            </w:pPr>
            <w:r>
              <w:rPr>
                <w:rFonts w:ascii="Arial Narrow" w:hAnsi="Arial Narrow" w:cs="Arial"/>
                <w:b/>
                <w:sz w:val="20"/>
                <w:szCs w:val="20"/>
              </w:rPr>
              <w:t xml:space="preserve">Category / </w:t>
            </w:r>
          </w:p>
          <w:p w:rsidR="00423B66" w:rsidRDefault="00423B66">
            <w:pPr>
              <w:rPr>
                <w:rFonts w:ascii="Arial Narrow" w:hAnsi="Arial Narrow" w:cs="Arial"/>
                <w:b/>
                <w:sz w:val="20"/>
                <w:szCs w:val="20"/>
              </w:rPr>
            </w:pPr>
            <w:r>
              <w:rPr>
                <w:rFonts w:ascii="Arial Narrow" w:hAnsi="Arial Narrow" w:cs="Arial"/>
                <w:b/>
                <w:sz w:val="20"/>
                <w:szCs w:val="20"/>
              </w:rPr>
              <w:t>Program</w:t>
            </w:r>
          </w:p>
        </w:tc>
        <w:tc>
          <w:tcPr>
            <w:tcW w:w="7086" w:type="dxa"/>
            <w:gridSpan w:val="6"/>
            <w:tcBorders>
              <w:top w:val="single" w:sz="4" w:space="0" w:color="auto"/>
              <w:left w:val="single" w:sz="4" w:space="0" w:color="auto"/>
              <w:bottom w:val="single" w:sz="4" w:space="0" w:color="auto"/>
              <w:right w:val="single" w:sz="4" w:space="0" w:color="auto"/>
            </w:tcBorders>
          </w:tcPr>
          <w:p w:rsidR="00423B66" w:rsidRDefault="00423B66">
            <w:pPr>
              <w:rPr>
                <w:rFonts w:ascii="Arial Narrow" w:hAnsi="Arial Narrow" w:cs="Arial"/>
                <w:sz w:val="20"/>
                <w:szCs w:val="20"/>
              </w:rPr>
            </w:pPr>
            <w:r>
              <w:rPr>
                <w:rFonts w:ascii="Arial Narrow" w:hAnsi="Arial Narrow" w:cs="Arial"/>
                <w:sz w:val="20"/>
                <w:szCs w:val="20"/>
              </w:rPr>
              <w:t>GENERAL – General Schedule (s85)</w:t>
            </w:r>
          </w:p>
          <w:p w:rsidR="00423B66" w:rsidRDefault="00423B66">
            <w:pPr>
              <w:rPr>
                <w:rFonts w:ascii="Arial Narrow" w:hAnsi="Arial Narrow" w:cs="Arial"/>
                <w:sz w:val="20"/>
                <w:szCs w:val="20"/>
              </w:rPr>
            </w:pPr>
          </w:p>
        </w:tc>
      </w:tr>
      <w:tr w:rsidR="00423B66" w:rsidTr="00423B66">
        <w:trPr>
          <w:cantSplit/>
          <w:trHeight w:val="360"/>
        </w:trPr>
        <w:tc>
          <w:tcPr>
            <w:tcW w:w="1985" w:type="dxa"/>
            <w:tcBorders>
              <w:top w:val="single" w:sz="4" w:space="0" w:color="auto"/>
              <w:left w:val="single" w:sz="4" w:space="0" w:color="auto"/>
              <w:bottom w:val="single" w:sz="4" w:space="0" w:color="auto"/>
              <w:right w:val="single" w:sz="4" w:space="0" w:color="auto"/>
            </w:tcBorders>
            <w:hideMark/>
          </w:tcPr>
          <w:p w:rsidR="00423B66" w:rsidRDefault="00423B66">
            <w:pPr>
              <w:rPr>
                <w:rFonts w:ascii="Arial Narrow" w:hAnsi="Arial Narrow" w:cs="Arial"/>
                <w:b/>
                <w:sz w:val="20"/>
                <w:szCs w:val="20"/>
              </w:rPr>
            </w:pPr>
            <w:r>
              <w:rPr>
                <w:rFonts w:ascii="Arial Narrow" w:hAnsi="Arial Narrow" w:cs="Arial"/>
                <w:b/>
                <w:sz w:val="20"/>
                <w:szCs w:val="20"/>
              </w:rPr>
              <w:t>Prescriber type:</w:t>
            </w:r>
          </w:p>
        </w:tc>
        <w:tc>
          <w:tcPr>
            <w:tcW w:w="7086" w:type="dxa"/>
            <w:gridSpan w:val="6"/>
            <w:tcBorders>
              <w:top w:val="single" w:sz="4" w:space="0" w:color="auto"/>
              <w:left w:val="single" w:sz="4" w:space="0" w:color="auto"/>
              <w:bottom w:val="single" w:sz="4" w:space="0" w:color="auto"/>
              <w:right w:val="single" w:sz="4" w:space="0" w:color="auto"/>
            </w:tcBorders>
            <w:hideMark/>
          </w:tcPr>
          <w:p w:rsidR="00423B66" w:rsidRDefault="00423B66">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DF7A63">
              <w:rPr>
                <w:rFonts w:ascii="Arial Narrow" w:hAnsi="Arial Narrow" w:cs="Arial"/>
                <w:sz w:val="20"/>
                <w:szCs w:val="20"/>
              </w:rPr>
            </w:r>
            <w:r w:rsidR="00DF7A63">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DF7A63">
              <w:rPr>
                <w:rFonts w:ascii="Arial Narrow" w:hAnsi="Arial Narrow" w:cs="Arial"/>
                <w:sz w:val="20"/>
                <w:szCs w:val="20"/>
              </w:rPr>
            </w:r>
            <w:r w:rsidR="00DF7A63">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0"/>
                  </w:checkBox>
                </w:ffData>
              </w:fldChar>
            </w:r>
            <w:bookmarkStart w:id="0" w:name="Check3"/>
            <w:r>
              <w:rPr>
                <w:rFonts w:ascii="Arial Narrow" w:hAnsi="Arial Narrow" w:cs="Arial"/>
                <w:sz w:val="20"/>
                <w:szCs w:val="20"/>
              </w:rPr>
              <w:instrText xml:space="preserve"> FORMCHECKBOX </w:instrText>
            </w:r>
            <w:r w:rsidR="00DF7A63">
              <w:rPr>
                <w:rFonts w:ascii="Arial Narrow" w:hAnsi="Arial Narrow" w:cs="Arial"/>
                <w:sz w:val="20"/>
                <w:szCs w:val="20"/>
              </w:rPr>
            </w:r>
            <w:r w:rsidR="00DF7A63">
              <w:rPr>
                <w:rFonts w:ascii="Arial Narrow" w:hAnsi="Arial Narrow" w:cs="Arial"/>
                <w:sz w:val="20"/>
                <w:szCs w:val="20"/>
              </w:rPr>
              <w:fldChar w:fldCharType="separate"/>
            </w:r>
            <w:r>
              <w:fldChar w:fldCharType="end"/>
            </w:r>
            <w:bookmarkEnd w:id="0"/>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DF7A63">
              <w:rPr>
                <w:rFonts w:ascii="Arial Narrow" w:hAnsi="Arial Narrow" w:cs="Arial"/>
                <w:sz w:val="20"/>
                <w:szCs w:val="20"/>
              </w:rPr>
            </w:r>
            <w:r w:rsidR="00DF7A63">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423B66" w:rsidRDefault="00423B66">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DF7A63">
              <w:rPr>
                <w:rFonts w:ascii="Arial Narrow" w:hAnsi="Arial Narrow" w:cs="Arial"/>
                <w:sz w:val="20"/>
                <w:szCs w:val="20"/>
              </w:rPr>
            </w:r>
            <w:r w:rsidR="00DF7A63">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423B66" w:rsidTr="00423B66">
        <w:trPr>
          <w:cantSplit/>
          <w:trHeight w:val="360"/>
        </w:trPr>
        <w:tc>
          <w:tcPr>
            <w:tcW w:w="1985" w:type="dxa"/>
            <w:tcBorders>
              <w:top w:val="single" w:sz="4" w:space="0" w:color="auto"/>
              <w:left w:val="single" w:sz="4" w:space="0" w:color="auto"/>
              <w:bottom w:val="single" w:sz="4" w:space="0" w:color="auto"/>
              <w:right w:val="single" w:sz="4" w:space="0" w:color="auto"/>
            </w:tcBorders>
            <w:hideMark/>
          </w:tcPr>
          <w:p w:rsidR="00423B66" w:rsidRDefault="00423B66">
            <w:pPr>
              <w:rPr>
                <w:rFonts w:ascii="Arial Narrow" w:hAnsi="Arial Narrow" w:cs="Arial"/>
                <w:b/>
                <w:sz w:val="20"/>
                <w:szCs w:val="20"/>
              </w:rPr>
            </w:pPr>
            <w:r>
              <w:rPr>
                <w:rFonts w:ascii="Arial Narrow" w:hAnsi="Arial Narrow" w:cs="Arial"/>
                <w:b/>
                <w:sz w:val="20"/>
                <w:szCs w:val="20"/>
              </w:rPr>
              <w:t>Condition:</w:t>
            </w:r>
          </w:p>
        </w:tc>
        <w:tc>
          <w:tcPr>
            <w:tcW w:w="7086" w:type="dxa"/>
            <w:gridSpan w:val="6"/>
            <w:tcBorders>
              <w:top w:val="single" w:sz="4" w:space="0" w:color="auto"/>
              <w:left w:val="single" w:sz="4" w:space="0" w:color="auto"/>
              <w:bottom w:val="single" w:sz="4" w:space="0" w:color="auto"/>
              <w:right w:val="single" w:sz="4" w:space="0" w:color="auto"/>
            </w:tcBorders>
            <w:hideMark/>
          </w:tcPr>
          <w:p w:rsidR="00423B66" w:rsidRDefault="00423B66">
            <w:pPr>
              <w:rPr>
                <w:rFonts w:ascii="Arial Narrow" w:hAnsi="Arial Narrow" w:cs="Arial"/>
                <w:sz w:val="20"/>
                <w:szCs w:val="20"/>
              </w:rPr>
            </w:pPr>
            <w:r>
              <w:rPr>
                <w:rFonts w:ascii="Arial Narrow" w:hAnsi="Arial Narrow" w:cs="Arial"/>
                <w:sz w:val="20"/>
                <w:szCs w:val="20"/>
              </w:rPr>
              <w:t>Heart Failure</w:t>
            </w:r>
          </w:p>
        </w:tc>
      </w:tr>
      <w:tr w:rsidR="00423B66" w:rsidTr="00423B66">
        <w:trPr>
          <w:cantSplit/>
          <w:trHeight w:val="360"/>
        </w:trPr>
        <w:tc>
          <w:tcPr>
            <w:tcW w:w="1985" w:type="dxa"/>
            <w:tcBorders>
              <w:top w:val="single" w:sz="4" w:space="0" w:color="auto"/>
              <w:left w:val="single" w:sz="4" w:space="0" w:color="auto"/>
              <w:bottom w:val="single" w:sz="4" w:space="0" w:color="auto"/>
              <w:right w:val="single" w:sz="4" w:space="0" w:color="auto"/>
            </w:tcBorders>
            <w:hideMark/>
          </w:tcPr>
          <w:p w:rsidR="00423B66" w:rsidRDefault="00423B66">
            <w:pPr>
              <w:rPr>
                <w:rFonts w:ascii="Arial Narrow" w:hAnsi="Arial Narrow" w:cs="Arial"/>
                <w:b/>
                <w:sz w:val="20"/>
                <w:szCs w:val="20"/>
              </w:rPr>
            </w:pPr>
            <w:r>
              <w:rPr>
                <w:rFonts w:ascii="Arial Narrow" w:hAnsi="Arial Narrow" w:cs="Arial"/>
                <w:b/>
                <w:sz w:val="20"/>
                <w:szCs w:val="20"/>
              </w:rPr>
              <w:t>PBS Indication:</w:t>
            </w:r>
          </w:p>
        </w:tc>
        <w:tc>
          <w:tcPr>
            <w:tcW w:w="7086" w:type="dxa"/>
            <w:gridSpan w:val="6"/>
            <w:tcBorders>
              <w:top w:val="single" w:sz="4" w:space="0" w:color="auto"/>
              <w:left w:val="single" w:sz="4" w:space="0" w:color="auto"/>
              <w:bottom w:val="single" w:sz="4" w:space="0" w:color="auto"/>
              <w:right w:val="single" w:sz="4" w:space="0" w:color="auto"/>
            </w:tcBorders>
            <w:hideMark/>
          </w:tcPr>
          <w:p w:rsidR="00423B66" w:rsidRDefault="00423B66">
            <w:pPr>
              <w:rPr>
                <w:rFonts w:ascii="Arial Narrow" w:hAnsi="Arial Narrow" w:cs="Arial"/>
                <w:sz w:val="20"/>
                <w:szCs w:val="20"/>
              </w:rPr>
            </w:pPr>
            <w:r>
              <w:rPr>
                <w:rFonts w:ascii="Arial Narrow" w:hAnsi="Arial Narrow" w:cs="Arial"/>
                <w:sz w:val="20"/>
                <w:szCs w:val="20"/>
              </w:rPr>
              <w:t>Chronic Heart failure</w:t>
            </w:r>
          </w:p>
        </w:tc>
      </w:tr>
      <w:tr w:rsidR="00423B66" w:rsidTr="00423B66">
        <w:trPr>
          <w:cantSplit/>
          <w:trHeight w:val="360"/>
        </w:trPr>
        <w:tc>
          <w:tcPr>
            <w:tcW w:w="1985" w:type="dxa"/>
            <w:tcBorders>
              <w:top w:val="single" w:sz="4" w:space="0" w:color="auto"/>
              <w:left w:val="single" w:sz="4" w:space="0" w:color="auto"/>
              <w:bottom w:val="single" w:sz="4" w:space="0" w:color="auto"/>
              <w:right w:val="single" w:sz="4" w:space="0" w:color="auto"/>
            </w:tcBorders>
            <w:hideMark/>
          </w:tcPr>
          <w:p w:rsidR="00423B66" w:rsidRDefault="00423B66">
            <w:pPr>
              <w:rPr>
                <w:rFonts w:ascii="Arial Narrow" w:hAnsi="Arial Narrow" w:cs="Arial"/>
                <w:b/>
                <w:sz w:val="20"/>
                <w:szCs w:val="20"/>
              </w:rPr>
            </w:pPr>
            <w:r>
              <w:rPr>
                <w:rFonts w:ascii="Arial Narrow" w:hAnsi="Arial Narrow" w:cs="Arial"/>
                <w:b/>
                <w:sz w:val="20"/>
                <w:szCs w:val="20"/>
              </w:rPr>
              <w:t>Treatment phase:</w:t>
            </w:r>
          </w:p>
        </w:tc>
        <w:tc>
          <w:tcPr>
            <w:tcW w:w="7086" w:type="dxa"/>
            <w:gridSpan w:val="6"/>
            <w:tcBorders>
              <w:top w:val="single" w:sz="4" w:space="0" w:color="auto"/>
              <w:left w:val="single" w:sz="4" w:space="0" w:color="auto"/>
              <w:bottom w:val="single" w:sz="4" w:space="0" w:color="auto"/>
              <w:right w:val="single" w:sz="4" w:space="0" w:color="auto"/>
            </w:tcBorders>
            <w:hideMark/>
          </w:tcPr>
          <w:p w:rsidR="00423B66" w:rsidRDefault="00423B66">
            <w:pPr>
              <w:rPr>
                <w:rFonts w:ascii="Arial Narrow" w:hAnsi="Arial Narrow" w:cs="Arial"/>
                <w:sz w:val="20"/>
                <w:szCs w:val="20"/>
              </w:rPr>
            </w:pPr>
            <w:r>
              <w:rPr>
                <w:rFonts w:ascii="Arial Narrow" w:hAnsi="Arial Narrow" w:cs="Arial"/>
                <w:sz w:val="20"/>
                <w:szCs w:val="20"/>
              </w:rPr>
              <w:t>Initial and maintenance treatment</w:t>
            </w:r>
          </w:p>
        </w:tc>
      </w:tr>
      <w:tr w:rsidR="00423B66" w:rsidTr="00423B66">
        <w:trPr>
          <w:cantSplit/>
          <w:trHeight w:val="360"/>
        </w:trPr>
        <w:tc>
          <w:tcPr>
            <w:tcW w:w="1985" w:type="dxa"/>
            <w:tcBorders>
              <w:top w:val="single" w:sz="4" w:space="0" w:color="auto"/>
              <w:left w:val="single" w:sz="4" w:space="0" w:color="auto"/>
              <w:bottom w:val="single" w:sz="4" w:space="0" w:color="auto"/>
              <w:right w:val="single" w:sz="4" w:space="0" w:color="auto"/>
            </w:tcBorders>
          </w:tcPr>
          <w:p w:rsidR="00423B66" w:rsidRDefault="00423B66">
            <w:pPr>
              <w:rPr>
                <w:rFonts w:ascii="Arial Narrow" w:hAnsi="Arial Narrow" w:cs="Arial"/>
                <w:b/>
                <w:sz w:val="20"/>
                <w:szCs w:val="20"/>
              </w:rPr>
            </w:pPr>
            <w:r>
              <w:rPr>
                <w:rFonts w:ascii="Arial Narrow" w:hAnsi="Arial Narrow" w:cs="Arial"/>
                <w:b/>
                <w:sz w:val="20"/>
                <w:szCs w:val="20"/>
              </w:rPr>
              <w:t>Restriction Level / Method:</w:t>
            </w:r>
          </w:p>
          <w:p w:rsidR="00423B66" w:rsidRDefault="00423B66">
            <w:pPr>
              <w:rPr>
                <w:rFonts w:ascii="Arial Narrow" w:hAnsi="Arial Narrow" w:cs="Arial"/>
                <w:sz w:val="20"/>
                <w:szCs w:val="20"/>
              </w:rPr>
            </w:pPr>
          </w:p>
        </w:tc>
        <w:tc>
          <w:tcPr>
            <w:tcW w:w="7086" w:type="dxa"/>
            <w:gridSpan w:val="6"/>
            <w:tcBorders>
              <w:top w:val="single" w:sz="4" w:space="0" w:color="auto"/>
              <w:left w:val="single" w:sz="4" w:space="0" w:color="auto"/>
              <w:bottom w:val="single" w:sz="4" w:space="0" w:color="auto"/>
              <w:right w:val="single" w:sz="4" w:space="0" w:color="auto"/>
            </w:tcBorders>
            <w:hideMark/>
          </w:tcPr>
          <w:p w:rsidR="00423B66" w:rsidRDefault="00423B66">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DF7A63">
              <w:rPr>
                <w:rFonts w:ascii="Arial Narrow" w:hAnsi="Arial Narrow" w:cs="Arial"/>
                <w:sz w:val="20"/>
                <w:szCs w:val="20"/>
              </w:rPr>
            </w:r>
            <w:r w:rsidR="00DF7A63">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Restricted benefit</w:t>
            </w:r>
          </w:p>
          <w:p w:rsidR="00423B66" w:rsidRDefault="00423B66">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DF7A63">
              <w:rPr>
                <w:rFonts w:ascii="Arial Narrow" w:hAnsi="Arial Narrow" w:cs="Arial"/>
                <w:sz w:val="20"/>
                <w:szCs w:val="20"/>
              </w:rPr>
            </w:r>
            <w:r w:rsidR="00DF7A63">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Authority Required - In Writing</w:t>
            </w:r>
          </w:p>
          <w:p w:rsidR="00423B66" w:rsidRDefault="00423B66">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0"/>
                  </w:checkBox>
                </w:ffData>
              </w:fldChar>
            </w:r>
            <w:r>
              <w:rPr>
                <w:rFonts w:ascii="Arial Narrow" w:hAnsi="Arial Narrow" w:cs="Arial"/>
                <w:sz w:val="20"/>
                <w:szCs w:val="20"/>
              </w:rPr>
              <w:instrText xml:space="preserve"> FORMCHECKBOX </w:instrText>
            </w:r>
            <w:r w:rsidR="00DF7A63">
              <w:rPr>
                <w:rFonts w:ascii="Arial Narrow" w:hAnsi="Arial Narrow" w:cs="Arial"/>
                <w:sz w:val="20"/>
                <w:szCs w:val="20"/>
              </w:rPr>
            </w:r>
            <w:r w:rsidR="00DF7A63">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Authority Required - Telephone</w:t>
            </w:r>
          </w:p>
          <w:p w:rsidR="00423B66" w:rsidRDefault="00423B66">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DF7A63">
              <w:rPr>
                <w:rFonts w:ascii="Arial Narrow" w:hAnsi="Arial Narrow" w:cs="Arial"/>
                <w:sz w:val="20"/>
                <w:szCs w:val="20"/>
              </w:rPr>
            </w:r>
            <w:r w:rsidR="00DF7A63">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Authority Required – Emergency</w:t>
            </w:r>
          </w:p>
          <w:p w:rsidR="00423B66" w:rsidRDefault="00423B66">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DF7A63">
              <w:rPr>
                <w:rFonts w:ascii="Arial Narrow" w:hAnsi="Arial Narrow" w:cs="Arial"/>
                <w:sz w:val="20"/>
                <w:szCs w:val="20"/>
              </w:rPr>
            </w:r>
            <w:r w:rsidR="00DF7A63">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Authority Required - Electronic</w:t>
            </w:r>
          </w:p>
          <w:p w:rsidR="00423B66" w:rsidRDefault="00423B66">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1" w:name="Check5"/>
            <w:r>
              <w:rPr>
                <w:rFonts w:ascii="Arial Narrow" w:hAnsi="Arial Narrow" w:cs="Arial"/>
                <w:sz w:val="20"/>
                <w:szCs w:val="20"/>
              </w:rPr>
              <w:instrText xml:space="preserve"> FORMCHECKBOX </w:instrText>
            </w:r>
            <w:r w:rsidR="00DF7A63">
              <w:rPr>
                <w:rFonts w:ascii="Arial Narrow" w:hAnsi="Arial Narrow" w:cs="Arial"/>
                <w:sz w:val="20"/>
                <w:szCs w:val="20"/>
              </w:rPr>
            </w:r>
            <w:r w:rsidR="00DF7A63">
              <w:rPr>
                <w:rFonts w:ascii="Arial Narrow" w:hAnsi="Arial Narrow" w:cs="Arial"/>
                <w:sz w:val="20"/>
                <w:szCs w:val="20"/>
              </w:rPr>
              <w:fldChar w:fldCharType="separate"/>
            </w:r>
            <w:r>
              <w:fldChar w:fldCharType="end"/>
            </w:r>
            <w:bookmarkEnd w:id="1"/>
            <w:r>
              <w:rPr>
                <w:rFonts w:ascii="Arial Narrow" w:hAnsi="Arial Narrow" w:cs="Arial"/>
                <w:sz w:val="20"/>
                <w:szCs w:val="20"/>
              </w:rPr>
              <w:t>Streamlined</w:t>
            </w:r>
          </w:p>
        </w:tc>
      </w:tr>
      <w:tr w:rsidR="00423B66" w:rsidTr="00423B66">
        <w:trPr>
          <w:cantSplit/>
          <w:trHeight w:val="360"/>
        </w:trPr>
        <w:tc>
          <w:tcPr>
            <w:tcW w:w="1985" w:type="dxa"/>
            <w:tcBorders>
              <w:top w:val="single" w:sz="4" w:space="0" w:color="auto"/>
              <w:left w:val="single" w:sz="4" w:space="0" w:color="auto"/>
              <w:bottom w:val="single" w:sz="4" w:space="0" w:color="auto"/>
              <w:right w:val="single" w:sz="4" w:space="0" w:color="auto"/>
            </w:tcBorders>
            <w:hideMark/>
          </w:tcPr>
          <w:p w:rsidR="00423B66" w:rsidRDefault="00423B66">
            <w:pPr>
              <w:rPr>
                <w:rFonts w:ascii="Arial Narrow" w:hAnsi="Arial Narrow" w:cs="Arial"/>
                <w:b/>
                <w:sz w:val="20"/>
                <w:szCs w:val="20"/>
              </w:rPr>
            </w:pPr>
            <w:r>
              <w:rPr>
                <w:rFonts w:ascii="Arial Narrow" w:hAnsi="Arial Narrow" w:cs="Arial"/>
                <w:b/>
                <w:sz w:val="20"/>
                <w:szCs w:val="20"/>
              </w:rPr>
              <w:t>Clinical criteria:</w:t>
            </w:r>
          </w:p>
        </w:tc>
        <w:tc>
          <w:tcPr>
            <w:tcW w:w="7086" w:type="dxa"/>
            <w:gridSpan w:val="6"/>
            <w:tcBorders>
              <w:top w:val="single" w:sz="4" w:space="0" w:color="auto"/>
              <w:left w:val="single" w:sz="4" w:space="0" w:color="auto"/>
              <w:bottom w:val="single" w:sz="4" w:space="0" w:color="auto"/>
              <w:right w:val="single" w:sz="4" w:space="0" w:color="auto"/>
            </w:tcBorders>
          </w:tcPr>
          <w:p w:rsidR="00423B66" w:rsidRDefault="00423B66">
            <w:pPr>
              <w:rPr>
                <w:rFonts w:ascii="Arial Narrow" w:hAnsi="Arial Narrow" w:cs="Arial"/>
                <w:sz w:val="20"/>
                <w:szCs w:val="20"/>
              </w:rPr>
            </w:pPr>
          </w:p>
          <w:p w:rsidR="00342C06" w:rsidRDefault="00342C06" w:rsidP="00342C06">
            <w:pPr>
              <w:pStyle w:val="ListParagraph"/>
              <w:numPr>
                <w:ilvl w:val="0"/>
                <w:numId w:val="5"/>
              </w:numPr>
              <w:rPr>
                <w:rFonts w:ascii="Arial Narrow" w:hAnsi="Arial Narrow" w:cs="Arial"/>
                <w:sz w:val="20"/>
                <w:szCs w:val="20"/>
              </w:rPr>
            </w:pPr>
            <w:r>
              <w:rPr>
                <w:rFonts w:ascii="Arial Narrow" w:hAnsi="Arial Narrow" w:cs="Arial"/>
                <w:sz w:val="20"/>
                <w:szCs w:val="20"/>
              </w:rPr>
              <w:t>Patient must be symptomatic with NYHA class II-IV</w:t>
            </w:r>
          </w:p>
          <w:p w:rsidR="00342C06" w:rsidRDefault="00342C06" w:rsidP="00342C06">
            <w:pPr>
              <w:rPr>
                <w:rFonts w:ascii="Arial Narrow" w:hAnsi="Arial Narrow" w:cs="Arial"/>
                <w:sz w:val="20"/>
                <w:szCs w:val="20"/>
              </w:rPr>
            </w:pPr>
            <w:r>
              <w:rPr>
                <w:rFonts w:ascii="Arial Narrow" w:hAnsi="Arial Narrow" w:cs="Arial"/>
                <w:sz w:val="20"/>
                <w:szCs w:val="20"/>
              </w:rPr>
              <w:t>AND</w:t>
            </w:r>
          </w:p>
          <w:p w:rsidR="00342C06" w:rsidRDefault="00342C06" w:rsidP="00342C06">
            <w:pPr>
              <w:pStyle w:val="ListParagraph"/>
              <w:numPr>
                <w:ilvl w:val="0"/>
                <w:numId w:val="5"/>
              </w:numPr>
              <w:rPr>
                <w:rFonts w:ascii="Arial Narrow" w:hAnsi="Arial Narrow" w:cs="Arial"/>
                <w:sz w:val="20"/>
                <w:szCs w:val="20"/>
              </w:rPr>
            </w:pPr>
            <w:r>
              <w:rPr>
                <w:rFonts w:ascii="Arial Narrow" w:hAnsi="Arial Narrow" w:cs="Arial"/>
                <w:sz w:val="20"/>
                <w:szCs w:val="20"/>
              </w:rPr>
              <w:t>Patient must have a documented left ventricular ejection fraction (LVEF) of less than or equal to 40%</w:t>
            </w:r>
          </w:p>
          <w:p w:rsidR="00342C06" w:rsidRDefault="00342C06" w:rsidP="00342C06">
            <w:pPr>
              <w:rPr>
                <w:rFonts w:ascii="Arial Narrow" w:hAnsi="Arial Narrow" w:cs="Arial"/>
                <w:sz w:val="20"/>
                <w:szCs w:val="20"/>
              </w:rPr>
            </w:pPr>
            <w:r>
              <w:rPr>
                <w:rFonts w:ascii="Arial Narrow" w:hAnsi="Arial Narrow" w:cs="Arial"/>
                <w:sz w:val="20"/>
                <w:szCs w:val="20"/>
              </w:rPr>
              <w:t>AND</w:t>
            </w:r>
          </w:p>
          <w:p w:rsidR="00342C06" w:rsidRDefault="00342C06" w:rsidP="00342C06">
            <w:pPr>
              <w:pStyle w:val="ListParagraph"/>
              <w:numPr>
                <w:ilvl w:val="0"/>
                <w:numId w:val="5"/>
              </w:numPr>
              <w:rPr>
                <w:rFonts w:ascii="Arial Narrow" w:hAnsi="Arial Narrow" w:cs="Arial"/>
                <w:sz w:val="20"/>
                <w:szCs w:val="20"/>
              </w:rPr>
            </w:pPr>
            <w:r>
              <w:rPr>
                <w:rFonts w:ascii="Arial Narrow" w:hAnsi="Arial Narrow" w:cs="Arial"/>
                <w:sz w:val="20"/>
                <w:szCs w:val="20"/>
              </w:rPr>
              <w:t xml:space="preserve">Patient must be on optimal standard chronic heart failure treatment, which includes </w:t>
            </w:r>
          </w:p>
          <w:p w:rsidR="00342C06" w:rsidRDefault="00342C06" w:rsidP="00342C06">
            <w:pPr>
              <w:pStyle w:val="ListParagraph"/>
              <w:numPr>
                <w:ilvl w:val="1"/>
                <w:numId w:val="5"/>
              </w:numPr>
              <w:ind w:left="1026"/>
              <w:rPr>
                <w:rFonts w:ascii="Arial Narrow" w:hAnsi="Arial Narrow" w:cs="Arial"/>
                <w:sz w:val="20"/>
                <w:szCs w:val="20"/>
              </w:rPr>
            </w:pPr>
            <w:r>
              <w:rPr>
                <w:rFonts w:ascii="Arial Narrow" w:hAnsi="Arial Narrow" w:cs="Arial"/>
                <w:sz w:val="20"/>
                <w:szCs w:val="20"/>
              </w:rPr>
              <w:t>previous or current use of ACE inhibitor (ACE-I) or angiotensin II receptor antagonist (ATRA) at recommended doses, unless contraindicated or not tolerated.</w:t>
            </w:r>
          </w:p>
          <w:p w:rsidR="00342C06" w:rsidRDefault="00342C06" w:rsidP="00342C06">
            <w:pPr>
              <w:pStyle w:val="ListParagraph"/>
              <w:numPr>
                <w:ilvl w:val="1"/>
                <w:numId w:val="5"/>
              </w:numPr>
              <w:ind w:left="1026"/>
              <w:rPr>
                <w:rFonts w:ascii="Arial Narrow" w:hAnsi="Arial Narrow" w:cs="Arial"/>
                <w:sz w:val="20"/>
                <w:szCs w:val="20"/>
              </w:rPr>
            </w:pPr>
            <w:r>
              <w:rPr>
                <w:rFonts w:ascii="Arial Narrow" w:hAnsi="Arial Narrow" w:cs="Arial"/>
                <w:sz w:val="20"/>
                <w:szCs w:val="20"/>
              </w:rPr>
              <w:t>maximum tolerated dose of a beta-blocker unless contraindicated or not tolerated</w:t>
            </w:r>
          </w:p>
          <w:p w:rsidR="00342C06" w:rsidRDefault="00342C06" w:rsidP="00342C06">
            <w:pPr>
              <w:rPr>
                <w:rFonts w:ascii="Arial Narrow" w:hAnsi="Arial Narrow" w:cs="Arial"/>
                <w:sz w:val="20"/>
                <w:szCs w:val="20"/>
              </w:rPr>
            </w:pPr>
            <w:r>
              <w:rPr>
                <w:rFonts w:ascii="Arial Narrow" w:hAnsi="Arial Narrow" w:cs="Arial"/>
                <w:sz w:val="20"/>
                <w:szCs w:val="20"/>
              </w:rPr>
              <w:t>AND</w:t>
            </w:r>
          </w:p>
          <w:p w:rsidR="00342C06" w:rsidRDefault="00342C06" w:rsidP="00342C06">
            <w:pPr>
              <w:pStyle w:val="ListParagraph"/>
              <w:numPr>
                <w:ilvl w:val="0"/>
                <w:numId w:val="5"/>
              </w:numPr>
              <w:rPr>
                <w:rFonts w:ascii="Arial Narrow" w:hAnsi="Arial Narrow" w:cs="Arial"/>
                <w:sz w:val="20"/>
                <w:szCs w:val="20"/>
              </w:rPr>
            </w:pPr>
            <w:r>
              <w:rPr>
                <w:rFonts w:ascii="Arial Narrow" w:hAnsi="Arial Narrow" w:cs="Arial"/>
                <w:sz w:val="20"/>
                <w:szCs w:val="20"/>
              </w:rPr>
              <w:t>Treatment should not be co-administered with an ACE-I or ATRA.</w:t>
            </w:r>
          </w:p>
          <w:p w:rsidR="00423B66" w:rsidRDefault="00423B66">
            <w:pPr>
              <w:rPr>
                <w:rFonts w:ascii="Arial Narrow" w:hAnsi="Arial Narrow" w:cs="Arial"/>
                <w:sz w:val="20"/>
                <w:szCs w:val="20"/>
              </w:rPr>
            </w:pPr>
          </w:p>
        </w:tc>
      </w:tr>
      <w:tr w:rsidR="00423B66" w:rsidTr="00423B66">
        <w:trPr>
          <w:cantSplit/>
          <w:trHeight w:val="360"/>
        </w:trPr>
        <w:tc>
          <w:tcPr>
            <w:tcW w:w="1985" w:type="dxa"/>
            <w:tcBorders>
              <w:top w:val="single" w:sz="4" w:space="0" w:color="auto"/>
              <w:left w:val="single" w:sz="4" w:space="0" w:color="auto"/>
              <w:bottom w:val="single" w:sz="4" w:space="0" w:color="auto"/>
              <w:right w:val="single" w:sz="4" w:space="0" w:color="auto"/>
            </w:tcBorders>
          </w:tcPr>
          <w:p w:rsidR="00423B66" w:rsidRDefault="00423B66">
            <w:pPr>
              <w:rPr>
                <w:rFonts w:ascii="Arial Narrow" w:hAnsi="Arial Narrow" w:cs="Arial"/>
                <w:b/>
                <w:sz w:val="20"/>
                <w:szCs w:val="20"/>
              </w:rPr>
            </w:pPr>
            <w:r>
              <w:rPr>
                <w:rFonts w:ascii="Arial Narrow" w:hAnsi="Arial Narrow" w:cs="Arial"/>
                <w:b/>
                <w:sz w:val="20"/>
                <w:szCs w:val="20"/>
              </w:rPr>
              <w:t>Administrative Advice</w:t>
            </w:r>
          </w:p>
          <w:p w:rsidR="00423B66" w:rsidRDefault="00423B66">
            <w:pPr>
              <w:rPr>
                <w:rFonts w:ascii="Arial Narrow" w:hAnsi="Arial Narrow" w:cs="Arial"/>
                <w:i/>
                <w:sz w:val="20"/>
                <w:szCs w:val="20"/>
              </w:rPr>
            </w:pPr>
          </w:p>
        </w:tc>
        <w:tc>
          <w:tcPr>
            <w:tcW w:w="7086" w:type="dxa"/>
            <w:gridSpan w:val="6"/>
            <w:tcBorders>
              <w:top w:val="single" w:sz="4" w:space="0" w:color="auto"/>
              <w:left w:val="single" w:sz="4" w:space="0" w:color="auto"/>
              <w:bottom w:val="single" w:sz="4" w:space="0" w:color="auto"/>
              <w:right w:val="single" w:sz="4" w:space="0" w:color="auto"/>
            </w:tcBorders>
            <w:hideMark/>
          </w:tcPr>
          <w:p w:rsidR="00423B66" w:rsidRDefault="00423B66">
            <w:pPr>
              <w:rPr>
                <w:rFonts w:ascii="Arial Narrow" w:hAnsi="Arial Narrow" w:cs="Arial"/>
                <w:sz w:val="20"/>
                <w:szCs w:val="20"/>
              </w:rPr>
            </w:pPr>
            <w:r>
              <w:rPr>
                <w:rFonts w:ascii="Arial Narrow" w:hAnsi="Arial Narrow" w:cs="Arial"/>
                <w:sz w:val="20"/>
                <w:szCs w:val="20"/>
              </w:rPr>
              <w:t>Continuing Therapy Only:</w:t>
            </w:r>
          </w:p>
          <w:p w:rsidR="00423B66" w:rsidRDefault="00423B66">
            <w:pPr>
              <w:rPr>
                <w:rFonts w:ascii="Arial Narrow" w:hAnsi="Arial Narrow" w:cs="Arial"/>
                <w:sz w:val="20"/>
                <w:szCs w:val="20"/>
              </w:rPr>
            </w:pPr>
            <w:r>
              <w:rPr>
                <w:rFonts w:ascii="Arial Narrow" w:hAnsi="Arial Narrow" w:cs="Arial"/>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rsidR="00423B66" w:rsidRDefault="00423B66" w:rsidP="00423B66">
      <w:pPr>
        <w:pStyle w:val="ListParagraph"/>
        <w:rPr>
          <w:szCs w:val="22"/>
        </w:rPr>
      </w:pPr>
    </w:p>
    <w:p w:rsidR="000A0006" w:rsidRPr="000A0006" w:rsidRDefault="00423B66" w:rsidP="000A0006">
      <w:pPr>
        <w:pStyle w:val="ListParagraph"/>
        <w:numPr>
          <w:ilvl w:val="1"/>
          <w:numId w:val="4"/>
        </w:numPr>
        <w:rPr>
          <w:i/>
          <w:szCs w:val="22"/>
        </w:rPr>
      </w:pPr>
      <w:r w:rsidRPr="00F661BF">
        <w:rPr>
          <w:szCs w:val="22"/>
        </w:rPr>
        <w:t xml:space="preserve">The minor re-submission revised the requested listing for sacubitril/valsartan by limiting eligibility to patients with prior exposure to an angiotensin converting enzyme (ACE) inhibitor or angiotensin II receptor antagonist (ATRA). This </w:t>
      </w:r>
      <w:r w:rsidR="000A0006">
        <w:rPr>
          <w:szCs w:val="22"/>
        </w:rPr>
        <w:t>was</w:t>
      </w:r>
      <w:r w:rsidRPr="00F661BF">
        <w:rPr>
          <w:szCs w:val="22"/>
        </w:rPr>
        <w:t xml:space="preserve"> </w:t>
      </w:r>
      <w:r w:rsidRPr="00E614C3">
        <w:rPr>
          <w:szCs w:val="22"/>
        </w:rPr>
        <w:t>consistent with</w:t>
      </w:r>
      <w:r w:rsidRPr="00F661BF">
        <w:rPr>
          <w:szCs w:val="22"/>
        </w:rPr>
        <w:t xml:space="preserve"> the previous PBAC advice from the March 2016 meeting that it would be more appropriate for the restriction to require patients to have been stabilised on either an ACE inhibitor or ATRA therapy before treatment with </w:t>
      </w:r>
      <w:proofErr w:type="spellStart"/>
      <w:r w:rsidRPr="00F661BF">
        <w:rPr>
          <w:szCs w:val="22"/>
        </w:rPr>
        <w:t>sacubitril</w:t>
      </w:r>
      <w:proofErr w:type="spellEnd"/>
      <w:r w:rsidRPr="00F661BF">
        <w:rPr>
          <w:szCs w:val="22"/>
        </w:rPr>
        <w:t xml:space="preserve">/valsartan (7.3, PBAC </w:t>
      </w:r>
      <w:r w:rsidR="009374A6">
        <w:rPr>
          <w:szCs w:val="22"/>
        </w:rPr>
        <w:t>Public Summary Document M</w:t>
      </w:r>
      <w:r w:rsidRPr="00F661BF">
        <w:rPr>
          <w:szCs w:val="22"/>
        </w:rPr>
        <w:t xml:space="preserve">arch 2016). </w:t>
      </w:r>
    </w:p>
    <w:p w:rsidR="000A0006" w:rsidRPr="000A0006" w:rsidRDefault="000A0006" w:rsidP="000A0006">
      <w:pPr>
        <w:pStyle w:val="ListParagraph"/>
        <w:rPr>
          <w:szCs w:val="22"/>
        </w:rPr>
      </w:pPr>
    </w:p>
    <w:p w:rsidR="00504F8A" w:rsidRPr="00643031" w:rsidRDefault="00423B66" w:rsidP="00FD50CA">
      <w:pPr>
        <w:pStyle w:val="ListParagraph"/>
        <w:numPr>
          <w:ilvl w:val="1"/>
          <w:numId w:val="4"/>
        </w:numPr>
        <w:rPr>
          <w:szCs w:val="22"/>
        </w:rPr>
      </w:pPr>
      <w:r w:rsidRPr="000A0006">
        <w:t xml:space="preserve">When </w:t>
      </w:r>
      <w:r w:rsidR="004C39B2" w:rsidRPr="000A0006">
        <w:t xml:space="preserve">the </w:t>
      </w:r>
      <w:r w:rsidRPr="000A0006">
        <w:t xml:space="preserve">PBAC considered the March 2016 submission, the PBAC noted that the financial impact of listing sacubitril/valsartan was high and uncertain. The PBAC also noted that there was potential for use outside of the requested restriction in patients with preserved ejection fraction, in patients with New York Heart Association (NYHA) class I heart failure, and in patients not </w:t>
      </w:r>
      <w:r w:rsidR="00240A09" w:rsidRPr="000A0006">
        <w:t xml:space="preserve">receiving a </w:t>
      </w:r>
      <w:r w:rsidRPr="000A0006">
        <w:t xml:space="preserve">concomitant beta-blocker. The PBAC considered that the high predicted financial impact of listing was of particular concern in the context of the magnitude of clinical benefit and the cost-effectiveness of treatment being unknown (7.10, PBAC </w:t>
      </w:r>
      <w:r w:rsidR="009374A6">
        <w:t>Public Summary Document</w:t>
      </w:r>
      <w:r w:rsidRPr="000A0006">
        <w:t xml:space="preserve"> March 2016). The </w:t>
      </w:r>
      <w:r w:rsidR="00030993">
        <w:t xml:space="preserve">PBAC noted that the </w:t>
      </w:r>
      <w:r w:rsidRPr="000A0006">
        <w:t xml:space="preserve">additional </w:t>
      </w:r>
      <w:r w:rsidR="00240A09" w:rsidRPr="000A0006">
        <w:t>wording in</w:t>
      </w:r>
      <w:r w:rsidRPr="000A0006">
        <w:t xml:space="preserve"> the PBS restriction </w:t>
      </w:r>
      <w:r w:rsidR="00504F8A" w:rsidRPr="000A0006">
        <w:t>effectively remove</w:t>
      </w:r>
      <w:r w:rsidR="000A0006">
        <w:t>d</w:t>
      </w:r>
      <w:r w:rsidR="00504F8A" w:rsidRPr="000A0006">
        <w:t xml:space="preserve"> the possibility to</w:t>
      </w:r>
      <w:r w:rsidR="007D2B3D" w:rsidRPr="000A0006">
        <w:t xml:space="preserve"> i</w:t>
      </w:r>
      <w:r w:rsidR="00504F8A" w:rsidRPr="000A0006">
        <w:t>nitiate treatment with sacubitril/valsartan but d</w:t>
      </w:r>
      <w:r w:rsidR="000A0006">
        <w:t>id</w:t>
      </w:r>
      <w:r w:rsidR="00504F8A" w:rsidRPr="000A0006">
        <w:t xml:space="preserve"> not </w:t>
      </w:r>
      <w:r w:rsidR="00240A09" w:rsidRPr="000A0006">
        <w:t>limit</w:t>
      </w:r>
      <w:r w:rsidR="00504F8A" w:rsidRPr="000A0006">
        <w:t xml:space="preserve"> eligibility</w:t>
      </w:r>
      <w:r w:rsidR="00240A09" w:rsidRPr="000A0006">
        <w:t xml:space="preserve"> to patients who have been stabilised </w:t>
      </w:r>
      <w:r w:rsidR="00265E2C" w:rsidRPr="000A0006">
        <w:t xml:space="preserve">(for a period of time, such as </w:t>
      </w:r>
      <w:r w:rsidR="00265E2C" w:rsidRPr="00643031">
        <w:rPr>
          <w:rFonts w:cs="Arial"/>
        </w:rPr>
        <w:t>≥</w:t>
      </w:r>
      <w:r w:rsidR="00265E2C" w:rsidRPr="000A0006">
        <w:t xml:space="preserve">4 weeks in the trial PARADIGM-HF inclusion criteria) </w:t>
      </w:r>
      <w:r w:rsidR="00240A09" w:rsidRPr="000A0006">
        <w:t>on either an ACE inhibitor or ATRA therapy</w:t>
      </w:r>
      <w:r w:rsidR="00504F8A" w:rsidRPr="000A0006">
        <w:t>.</w:t>
      </w:r>
      <w:r w:rsidR="00240A09" w:rsidRPr="000A0006">
        <w:t xml:space="preserve"> </w:t>
      </w:r>
      <w:r w:rsidR="00504F8A" w:rsidRPr="000A0006">
        <w:t>P</w:t>
      </w:r>
      <w:r w:rsidR="00240A09" w:rsidRPr="000A0006">
        <w:t>atients who have received ‘previous’ treatment with either of these medications</w:t>
      </w:r>
      <w:r w:rsidR="00504F8A" w:rsidRPr="000A0006">
        <w:t>, but not necessarily stabilised,</w:t>
      </w:r>
      <w:r w:rsidR="00240A09" w:rsidRPr="000A0006">
        <w:t xml:space="preserve"> are </w:t>
      </w:r>
      <w:r w:rsidR="00504F8A" w:rsidRPr="000A0006">
        <w:t xml:space="preserve">still </w:t>
      </w:r>
      <w:r w:rsidR="00240A09" w:rsidRPr="000A0006">
        <w:t>eligible for treatment.</w:t>
      </w:r>
      <w:r w:rsidR="00240A09" w:rsidRPr="00643031">
        <w:rPr>
          <w:szCs w:val="22"/>
        </w:rPr>
        <w:t xml:space="preserve"> </w:t>
      </w:r>
      <w:r w:rsidR="00504F8A" w:rsidRPr="00643031">
        <w:rPr>
          <w:szCs w:val="22"/>
        </w:rPr>
        <w:t xml:space="preserve"> </w:t>
      </w:r>
    </w:p>
    <w:p w:rsidR="00235AC1" w:rsidRPr="000A0006" w:rsidRDefault="00240A09" w:rsidP="00235AC1">
      <w:pPr>
        <w:pStyle w:val="ListParagraph"/>
        <w:numPr>
          <w:ilvl w:val="1"/>
          <w:numId w:val="4"/>
        </w:numPr>
      </w:pPr>
      <w:r w:rsidRPr="000A0006">
        <w:rPr>
          <w:szCs w:val="22"/>
        </w:rPr>
        <w:t xml:space="preserve">The proposed restriction </w:t>
      </w:r>
      <w:r w:rsidR="004C39B2" w:rsidRPr="000A0006">
        <w:rPr>
          <w:szCs w:val="22"/>
        </w:rPr>
        <w:t>may</w:t>
      </w:r>
      <w:r w:rsidR="00423B66" w:rsidRPr="000A0006">
        <w:rPr>
          <w:szCs w:val="22"/>
        </w:rPr>
        <w:t xml:space="preserve"> reduce the budget impact of a PBS listing. However, the potential </w:t>
      </w:r>
      <w:r w:rsidR="00EA2563" w:rsidRPr="000A0006">
        <w:rPr>
          <w:szCs w:val="22"/>
        </w:rPr>
        <w:t xml:space="preserve">for </w:t>
      </w:r>
      <w:r w:rsidR="00423B66" w:rsidRPr="000A0006">
        <w:rPr>
          <w:szCs w:val="22"/>
        </w:rPr>
        <w:t>leakage</w:t>
      </w:r>
      <w:r w:rsidR="00EA2563" w:rsidRPr="000A0006">
        <w:rPr>
          <w:szCs w:val="22"/>
        </w:rPr>
        <w:t xml:space="preserve"> remain</w:t>
      </w:r>
      <w:r w:rsidR="000A0006">
        <w:rPr>
          <w:szCs w:val="22"/>
        </w:rPr>
        <w:t>ed</w:t>
      </w:r>
      <w:r w:rsidR="004C39B2" w:rsidRPr="000A0006">
        <w:rPr>
          <w:szCs w:val="22"/>
        </w:rPr>
        <w:t xml:space="preserve"> </w:t>
      </w:r>
      <w:r w:rsidR="00EA2563" w:rsidRPr="000A0006">
        <w:rPr>
          <w:szCs w:val="22"/>
        </w:rPr>
        <w:t>with regard to the</w:t>
      </w:r>
      <w:r w:rsidR="00423B66" w:rsidRPr="000A0006">
        <w:rPr>
          <w:szCs w:val="22"/>
        </w:rPr>
        <w:t xml:space="preserve"> use of sacubitril/valsartan in patients with NYHA class I heart </w:t>
      </w:r>
      <w:r w:rsidR="00342C06" w:rsidRPr="000A0006">
        <w:rPr>
          <w:szCs w:val="22"/>
        </w:rPr>
        <w:t xml:space="preserve">failure </w:t>
      </w:r>
      <w:r w:rsidR="00423B66" w:rsidRPr="000A0006">
        <w:rPr>
          <w:szCs w:val="22"/>
        </w:rPr>
        <w:t xml:space="preserve">or </w:t>
      </w:r>
      <w:r w:rsidR="00EA2563" w:rsidRPr="000A0006">
        <w:rPr>
          <w:szCs w:val="22"/>
        </w:rPr>
        <w:t xml:space="preserve">in those who are </w:t>
      </w:r>
      <w:r w:rsidR="00423B66" w:rsidRPr="000A0006">
        <w:rPr>
          <w:szCs w:val="22"/>
        </w:rPr>
        <w:t xml:space="preserve">not </w:t>
      </w:r>
      <w:r w:rsidR="00EA2563" w:rsidRPr="000A0006">
        <w:rPr>
          <w:szCs w:val="22"/>
        </w:rPr>
        <w:t xml:space="preserve">receiving </w:t>
      </w:r>
      <w:r w:rsidR="00423B66" w:rsidRPr="000A0006">
        <w:rPr>
          <w:szCs w:val="22"/>
        </w:rPr>
        <w:t xml:space="preserve">a </w:t>
      </w:r>
      <w:r w:rsidR="00EA2563" w:rsidRPr="000A0006">
        <w:rPr>
          <w:szCs w:val="22"/>
        </w:rPr>
        <w:t xml:space="preserve">concomitant </w:t>
      </w:r>
      <w:r w:rsidR="00423B66" w:rsidRPr="000A0006">
        <w:rPr>
          <w:szCs w:val="22"/>
        </w:rPr>
        <w:t xml:space="preserve">beta-blocker. </w:t>
      </w:r>
    </w:p>
    <w:p w:rsidR="00235AC1" w:rsidRDefault="00235AC1" w:rsidP="00235AC1">
      <w:pPr>
        <w:rPr>
          <w:b/>
          <w:i/>
          <w:szCs w:val="22"/>
        </w:rPr>
      </w:pPr>
    </w:p>
    <w:p w:rsidR="00D17D0A" w:rsidRPr="00D17D0A" w:rsidRDefault="00D17D0A" w:rsidP="00D17D0A">
      <w:pPr>
        <w:pStyle w:val="ListParagraph"/>
        <w:rPr>
          <w:rFonts w:cs="Arial"/>
          <w:bCs/>
          <w:snapToGrid w:val="0"/>
          <w:szCs w:val="22"/>
        </w:rPr>
      </w:pPr>
      <w:r w:rsidRPr="00C62FF3">
        <w:rPr>
          <w:rFonts w:cs="Arial"/>
          <w:bCs/>
          <w:i/>
          <w:snapToGrid w:val="0"/>
          <w:szCs w:val="22"/>
        </w:rPr>
        <w:t>For more detail on PBAC’s view, see section 7 “PBAC outcome”</w:t>
      </w:r>
    </w:p>
    <w:p w:rsidR="00423B66" w:rsidRDefault="00423B66" w:rsidP="00423B66">
      <w:pPr>
        <w:rPr>
          <w:szCs w:val="22"/>
        </w:rPr>
      </w:pPr>
    </w:p>
    <w:p w:rsidR="00423B66" w:rsidRDefault="00423B66" w:rsidP="00423B66">
      <w:pPr>
        <w:rPr>
          <w:b/>
          <w:szCs w:val="22"/>
        </w:rPr>
      </w:pPr>
    </w:p>
    <w:p w:rsidR="00423B66" w:rsidRPr="00643031" w:rsidRDefault="00423B66" w:rsidP="00643031">
      <w:pPr>
        <w:pStyle w:val="Heading1"/>
        <w:numPr>
          <w:ilvl w:val="0"/>
          <w:numId w:val="4"/>
        </w:numPr>
      </w:pPr>
      <w:r w:rsidRPr="00643031">
        <w:t>Background</w:t>
      </w:r>
    </w:p>
    <w:p w:rsidR="00423B66" w:rsidRPr="00F661BF" w:rsidRDefault="00423B66" w:rsidP="00423B66">
      <w:pPr>
        <w:rPr>
          <w:szCs w:val="22"/>
        </w:rPr>
      </w:pPr>
    </w:p>
    <w:p w:rsidR="00342C06" w:rsidRPr="00F661BF" w:rsidRDefault="00342C06" w:rsidP="00342C06">
      <w:pPr>
        <w:pStyle w:val="ListParagraph"/>
        <w:numPr>
          <w:ilvl w:val="1"/>
          <w:numId w:val="4"/>
        </w:numPr>
        <w:rPr>
          <w:i/>
          <w:szCs w:val="22"/>
        </w:rPr>
      </w:pPr>
      <w:r w:rsidRPr="00F661BF">
        <w:t>Sacubitril/valsartan</w:t>
      </w:r>
      <w:r w:rsidRPr="00F661BF">
        <w:rPr>
          <w:szCs w:val="22"/>
        </w:rPr>
        <w:t xml:space="preserve"> was registered with the TGA in January 2016 for </w:t>
      </w:r>
      <w:r w:rsidR="007D2B3D">
        <w:rPr>
          <w:szCs w:val="22"/>
        </w:rPr>
        <w:t xml:space="preserve">the </w:t>
      </w:r>
      <w:r w:rsidRPr="00F661BF">
        <w:rPr>
          <w:szCs w:val="22"/>
        </w:rPr>
        <w:t xml:space="preserve">treatment of adult patients </w:t>
      </w:r>
      <w:r w:rsidR="007D2B3D">
        <w:rPr>
          <w:szCs w:val="22"/>
        </w:rPr>
        <w:t>with</w:t>
      </w:r>
      <w:r w:rsidR="007D2B3D" w:rsidRPr="00F661BF">
        <w:rPr>
          <w:szCs w:val="22"/>
        </w:rPr>
        <w:t xml:space="preserve"> </w:t>
      </w:r>
      <w:r w:rsidRPr="00F661BF">
        <w:rPr>
          <w:szCs w:val="22"/>
        </w:rPr>
        <w:t xml:space="preserve">chronic heart failure (NYHA Class II-IV) </w:t>
      </w:r>
      <w:r w:rsidR="007D2B3D">
        <w:rPr>
          <w:szCs w:val="22"/>
        </w:rPr>
        <w:t>and a</w:t>
      </w:r>
      <w:r w:rsidR="007D2B3D" w:rsidRPr="00F661BF">
        <w:rPr>
          <w:szCs w:val="22"/>
        </w:rPr>
        <w:t xml:space="preserve"> </w:t>
      </w:r>
      <w:r w:rsidRPr="00F661BF">
        <w:rPr>
          <w:szCs w:val="22"/>
        </w:rPr>
        <w:t xml:space="preserve">reduced ejection fraction. </w:t>
      </w:r>
    </w:p>
    <w:p w:rsidR="00342C06" w:rsidRPr="00F661BF" w:rsidRDefault="00342C06" w:rsidP="00342C06">
      <w:pPr>
        <w:pStyle w:val="ListParagraph"/>
        <w:rPr>
          <w:szCs w:val="22"/>
        </w:rPr>
      </w:pPr>
    </w:p>
    <w:p w:rsidR="00342C06" w:rsidRPr="00F661BF" w:rsidRDefault="00342C06" w:rsidP="00342C06">
      <w:pPr>
        <w:pStyle w:val="ListParagraph"/>
        <w:numPr>
          <w:ilvl w:val="1"/>
          <w:numId w:val="4"/>
        </w:numPr>
        <w:rPr>
          <w:szCs w:val="22"/>
        </w:rPr>
      </w:pPr>
      <w:r w:rsidRPr="00F661BF">
        <w:rPr>
          <w:szCs w:val="22"/>
        </w:rPr>
        <w:t xml:space="preserve">A major submission </w:t>
      </w:r>
      <w:r w:rsidR="00030993">
        <w:rPr>
          <w:szCs w:val="22"/>
        </w:rPr>
        <w:t xml:space="preserve">for </w:t>
      </w:r>
      <w:r w:rsidR="00030993" w:rsidRPr="00F661BF">
        <w:t>sacubitril/valsartan</w:t>
      </w:r>
      <w:r w:rsidR="00030993" w:rsidRPr="00F661BF">
        <w:rPr>
          <w:szCs w:val="22"/>
        </w:rPr>
        <w:t xml:space="preserve"> </w:t>
      </w:r>
      <w:r w:rsidRPr="00F661BF">
        <w:rPr>
          <w:szCs w:val="22"/>
        </w:rPr>
        <w:t>was considered by the PBAC at the March 2016 meeting. Th</w:t>
      </w:r>
      <w:r>
        <w:rPr>
          <w:szCs w:val="22"/>
        </w:rPr>
        <w:t>e</w:t>
      </w:r>
      <w:r w:rsidRPr="00F661BF">
        <w:rPr>
          <w:szCs w:val="22"/>
        </w:rPr>
        <w:t xml:space="preserve"> submission was rejected by the PBAC on the basis of uncertain cost-effectiveness in the context of high predicted financial impact (7.1, PBAC </w:t>
      </w:r>
      <w:r w:rsidR="009374A6">
        <w:rPr>
          <w:szCs w:val="22"/>
        </w:rPr>
        <w:t>Public Summary Document</w:t>
      </w:r>
      <w:r w:rsidRPr="00F661BF">
        <w:rPr>
          <w:szCs w:val="22"/>
        </w:rPr>
        <w:t xml:space="preserve"> March 2016). </w:t>
      </w:r>
    </w:p>
    <w:p w:rsidR="00342C06" w:rsidRPr="00F661BF" w:rsidRDefault="00342C06" w:rsidP="00342C06">
      <w:pPr>
        <w:pStyle w:val="ListParagraph"/>
        <w:rPr>
          <w:szCs w:val="22"/>
        </w:rPr>
      </w:pPr>
    </w:p>
    <w:p w:rsidR="00342C06" w:rsidRPr="00F661BF" w:rsidRDefault="00342C06" w:rsidP="00342C06">
      <w:pPr>
        <w:pStyle w:val="ListParagraph"/>
        <w:numPr>
          <w:ilvl w:val="1"/>
          <w:numId w:val="4"/>
        </w:numPr>
        <w:rPr>
          <w:szCs w:val="22"/>
        </w:rPr>
      </w:pPr>
      <w:r w:rsidRPr="00F661BF">
        <w:rPr>
          <w:szCs w:val="22"/>
        </w:rPr>
        <w:t xml:space="preserve">Table 1 summarises outstanding matters of concern with the March 2016 submission and how the </w:t>
      </w:r>
      <w:r>
        <w:rPr>
          <w:szCs w:val="22"/>
        </w:rPr>
        <w:t xml:space="preserve">minor </w:t>
      </w:r>
      <w:r w:rsidRPr="00F661BF">
        <w:rPr>
          <w:szCs w:val="22"/>
        </w:rPr>
        <w:t xml:space="preserve">re-submission </w:t>
      </w:r>
      <w:r w:rsidR="007D2B3D">
        <w:rPr>
          <w:szCs w:val="22"/>
        </w:rPr>
        <w:t xml:space="preserve">has </w:t>
      </w:r>
      <w:r w:rsidRPr="00F661BF">
        <w:rPr>
          <w:szCs w:val="22"/>
        </w:rPr>
        <w:t xml:space="preserve">addressed them. </w:t>
      </w:r>
    </w:p>
    <w:p w:rsidR="000735AC" w:rsidRDefault="000735AC">
      <w:pPr>
        <w:jc w:val="left"/>
        <w:rPr>
          <w:szCs w:val="22"/>
        </w:rPr>
      </w:pPr>
      <w:r>
        <w:rPr>
          <w:szCs w:val="22"/>
        </w:rPr>
        <w:br w:type="page"/>
      </w:r>
    </w:p>
    <w:p w:rsidR="00423B66" w:rsidRPr="00792A13" w:rsidRDefault="00423B66" w:rsidP="00423B66">
      <w:pPr>
        <w:pStyle w:val="ListParagraph"/>
        <w:rPr>
          <w:rStyle w:val="CommentReference"/>
          <w:rFonts w:ascii="Arial Narrow" w:hAnsi="Arial Narrow"/>
          <w:b/>
          <w:sz w:val="20"/>
        </w:rPr>
      </w:pPr>
      <w:r w:rsidRPr="00792A13">
        <w:rPr>
          <w:rStyle w:val="CommentReference"/>
          <w:rFonts w:ascii="Arial Narrow" w:hAnsi="Arial Narrow"/>
          <w:b/>
          <w:sz w:val="20"/>
        </w:rPr>
        <w:lastRenderedPageBreak/>
        <w:t xml:space="preserve">Table 1: Outstanding matters of concern to the PBAC </w:t>
      </w:r>
    </w:p>
    <w:tbl>
      <w:tblPr>
        <w:tblStyle w:val="TableGrid"/>
        <w:tblW w:w="0" w:type="auto"/>
        <w:tblInd w:w="720" w:type="dxa"/>
        <w:tblCellMar>
          <w:top w:w="28" w:type="dxa"/>
          <w:left w:w="28" w:type="dxa"/>
          <w:bottom w:w="28" w:type="dxa"/>
          <w:right w:w="28" w:type="dxa"/>
        </w:tblCellMar>
        <w:tblLook w:val="04A0" w:firstRow="1" w:lastRow="0" w:firstColumn="1" w:lastColumn="0" w:noHBand="0" w:noVBand="1"/>
        <w:tblCaption w:val="Table 1: Outstanding matters of concern to the PBAC "/>
      </w:tblPr>
      <w:tblGrid>
        <w:gridCol w:w="4299"/>
        <w:gridCol w:w="4063"/>
      </w:tblGrid>
      <w:tr w:rsidR="00342C06" w:rsidRPr="000A0006" w:rsidTr="00643031">
        <w:trPr>
          <w:tblHeader/>
        </w:trPr>
        <w:tc>
          <w:tcPr>
            <w:tcW w:w="4350" w:type="dxa"/>
            <w:tcBorders>
              <w:top w:val="single" w:sz="4" w:space="0" w:color="auto"/>
              <w:left w:val="single" w:sz="4" w:space="0" w:color="auto"/>
              <w:bottom w:val="single" w:sz="4" w:space="0" w:color="auto"/>
              <w:right w:val="single" w:sz="4" w:space="0" w:color="auto"/>
            </w:tcBorders>
            <w:hideMark/>
          </w:tcPr>
          <w:p w:rsidR="00342C06" w:rsidRPr="000A0006" w:rsidRDefault="00342C06" w:rsidP="007F06A9">
            <w:pPr>
              <w:pStyle w:val="ListParagraph"/>
              <w:ind w:left="0"/>
              <w:rPr>
                <w:szCs w:val="20"/>
              </w:rPr>
            </w:pPr>
            <w:r w:rsidRPr="000A0006">
              <w:rPr>
                <w:rFonts w:ascii="Arial Narrow" w:hAnsi="Arial Narrow"/>
                <w:b/>
                <w:sz w:val="20"/>
                <w:szCs w:val="20"/>
              </w:rPr>
              <w:t xml:space="preserve">Matters of concern </w:t>
            </w:r>
          </w:p>
        </w:tc>
        <w:tc>
          <w:tcPr>
            <w:tcW w:w="4110" w:type="dxa"/>
            <w:tcBorders>
              <w:top w:val="single" w:sz="4" w:space="0" w:color="auto"/>
              <w:left w:val="single" w:sz="4" w:space="0" w:color="auto"/>
              <w:bottom w:val="single" w:sz="4" w:space="0" w:color="auto"/>
              <w:right w:val="single" w:sz="4" w:space="0" w:color="auto"/>
            </w:tcBorders>
            <w:hideMark/>
          </w:tcPr>
          <w:p w:rsidR="00342C06" w:rsidRPr="000A0006" w:rsidRDefault="00342C06" w:rsidP="007F06A9">
            <w:pPr>
              <w:pStyle w:val="ListParagraph"/>
              <w:ind w:left="0"/>
              <w:rPr>
                <w:rFonts w:ascii="Arial Narrow" w:hAnsi="Arial Narrow"/>
                <w:b/>
                <w:sz w:val="20"/>
                <w:szCs w:val="20"/>
              </w:rPr>
            </w:pPr>
            <w:r w:rsidRPr="000A0006">
              <w:rPr>
                <w:rFonts w:ascii="Arial Narrow" w:hAnsi="Arial Narrow"/>
                <w:b/>
                <w:sz w:val="20"/>
                <w:szCs w:val="20"/>
              </w:rPr>
              <w:t>How the minor re-submission addressed it</w:t>
            </w:r>
          </w:p>
        </w:tc>
      </w:tr>
      <w:tr w:rsidR="00342C06" w:rsidRPr="000A0006" w:rsidTr="00643031">
        <w:tc>
          <w:tcPr>
            <w:tcW w:w="4350" w:type="dxa"/>
            <w:tcBorders>
              <w:top w:val="single" w:sz="4" w:space="0" w:color="auto"/>
              <w:left w:val="single" w:sz="4" w:space="0" w:color="auto"/>
              <w:bottom w:val="single" w:sz="4" w:space="0" w:color="auto"/>
              <w:right w:val="single" w:sz="4" w:space="0" w:color="auto"/>
            </w:tcBorders>
            <w:hideMark/>
          </w:tcPr>
          <w:p w:rsidR="00342C06" w:rsidRPr="000A0006" w:rsidRDefault="00342C06" w:rsidP="00685BBE">
            <w:pPr>
              <w:pStyle w:val="ListParagraph"/>
              <w:spacing w:before="16"/>
              <w:ind w:left="0"/>
              <w:rPr>
                <w:rFonts w:ascii="Arial Narrow" w:hAnsi="Arial Narrow"/>
                <w:sz w:val="20"/>
                <w:szCs w:val="20"/>
              </w:rPr>
            </w:pPr>
            <w:r w:rsidRPr="000A0006">
              <w:rPr>
                <w:rFonts w:ascii="Arial Narrow" w:hAnsi="Arial Narrow"/>
                <w:sz w:val="20"/>
                <w:szCs w:val="20"/>
              </w:rPr>
              <w:t>7.3 The PBAC noted that the proposed restriction would allow ACE inhibitor treatment-naïve patients to initiate on sacubitril/valsartan. The PBAC considered that it would be more appropriate for the restriction to require patients to have been stabilised on either an ACE inhibitor or ATRA therapy before treatment with sacubitril/valsartan.</w:t>
            </w:r>
          </w:p>
        </w:tc>
        <w:tc>
          <w:tcPr>
            <w:tcW w:w="4110" w:type="dxa"/>
            <w:tcBorders>
              <w:top w:val="single" w:sz="4" w:space="0" w:color="auto"/>
              <w:left w:val="single" w:sz="4" w:space="0" w:color="auto"/>
              <w:bottom w:val="single" w:sz="4" w:space="0" w:color="auto"/>
              <w:right w:val="single" w:sz="4" w:space="0" w:color="auto"/>
            </w:tcBorders>
            <w:hideMark/>
          </w:tcPr>
          <w:p w:rsidR="00603629" w:rsidRPr="000A0006" w:rsidRDefault="00342C06" w:rsidP="00685BBE">
            <w:pPr>
              <w:pStyle w:val="ListParagraph"/>
              <w:spacing w:before="16"/>
              <w:ind w:left="0"/>
              <w:rPr>
                <w:rFonts w:ascii="Arial Narrow" w:hAnsi="Arial Narrow"/>
                <w:sz w:val="20"/>
                <w:szCs w:val="20"/>
              </w:rPr>
            </w:pPr>
            <w:r w:rsidRPr="000A0006">
              <w:rPr>
                <w:rFonts w:ascii="Arial Narrow" w:hAnsi="Arial Narrow"/>
                <w:sz w:val="20"/>
                <w:szCs w:val="20"/>
              </w:rPr>
              <w:t xml:space="preserve">The requested restriction of sacubitril/valsartan </w:t>
            </w:r>
            <w:r w:rsidR="000A0006">
              <w:rPr>
                <w:rFonts w:ascii="Arial Narrow" w:hAnsi="Arial Narrow"/>
                <w:sz w:val="20"/>
                <w:szCs w:val="20"/>
              </w:rPr>
              <w:t>was</w:t>
            </w:r>
            <w:r w:rsidRPr="000A0006">
              <w:rPr>
                <w:rFonts w:ascii="Arial Narrow" w:hAnsi="Arial Narrow"/>
                <w:sz w:val="20"/>
                <w:szCs w:val="20"/>
              </w:rPr>
              <w:t xml:space="preserve"> revised accordingly, ie limiting </w:t>
            </w:r>
            <w:r w:rsidR="00504F8A" w:rsidRPr="000A0006">
              <w:rPr>
                <w:rFonts w:ascii="Arial Narrow" w:hAnsi="Arial Narrow"/>
                <w:sz w:val="20"/>
                <w:szCs w:val="20"/>
              </w:rPr>
              <w:t>the possibility of initiation on sacubi</w:t>
            </w:r>
            <w:r w:rsidR="00061752" w:rsidRPr="000A0006">
              <w:rPr>
                <w:rFonts w:ascii="Arial Narrow" w:hAnsi="Arial Narrow"/>
                <w:sz w:val="20"/>
                <w:szCs w:val="20"/>
              </w:rPr>
              <w:t>t</w:t>
            </w:r>
            <w:r w:rsidR="00504F8A" w:rsidRPr="000A0006">
              <w:rPr>
                <w:rFonts w:ascii="Arial Narrow" w:hAnsi="Arial Narrow"/>
                <w:sz w:val="20"/>
                <w:szCs w:val="20"/>
              </w:rPr>
              <w:t>r</w:t>
            </w:r>
            <w:r w:rsidR="00061752" w:rsidRPr="000A0006">
              <w:rPr>
                <w:rFonts w:ascii="Arial Narrow" w:hAnsi="Arial Narrow"/>
                <w:sz w:val="20"/>
                <w:szCs w:val="20"/>
              </w:rPr>
              <w:t>i</w:t>
            </w:r>
            <w:r w:rsidR="00504F8A" w:rsidRPr="000A0006">
              <w:rPr>
                <w:rFonts w:ascii="Arial Narrow" w:hAnsi="Arial Narrow"/>
                <w:sz w:val="20"/>
                <w:szCs w:val="20"/>
              </w:rPr>
              <w:t xml:space="preserve">l/valsartan. </w:t>
            </w:r>
            <w:r w:rsidR="00603629" w:rsidRPr="000A0006">
              <w:rPr>
                <w:rFonts w:ascii="Arial Narrow" w:hAnsi="Arial Narrow"/>
                <w:sz w:val="20"/>
                <w:szCs w:val="20"/>
              </w:rPr>
              <w:t>E</w:t>
            </w:r>
            <w:r w:rsidR="00504F8A" w:rsidRPr="000A0006">
              <w:rPr>
                <w:rFonts w:ascii="Arial Narrow" w:hAnsi="Arial Narrow"/>
                <w:sz w:val="20"/>
                <w:szCs w:val="20"/>
              </w:rPr>
              <w:t xml:space="preserve">ligibility </w:t>
            </w:r>
            <w:r w:rsidR="00603629" w:rsidRPr="000A0006">
              <w:rPr>
                <w:rFonts w:ascii="Arial Narrow" w:hAnsi="Arial Narrow"/>
                <w:sz w:val="20"/>
                <w:szCs w:val="20"/>
              </w:rPr>
              <w:t xml:space="preserve">is restricted </w:t>
            </w:r>
            <w:r w:rsidR="00504F8A" w:rsidRPr="000A0006">
              <w:rPr>
                <w:rFonts w:ascii="Arial Narrow" w:hAnsi="Arial Narrow"/>
                <w:sz w:val="20"/>
                <w:szCs w:val="20"/>
              </w:rPr>
              <w:t>to patients with previous or current use of ACE inhibitor or ATRA at recommended doses, unless contraindicated or not tolerated</w:t>
            </w:r>
            <w:r w:rsidR="00822288" w:rsidRPr="000A0006">
              <w:rPr>
                <w:rFonts w:ascii="Arial Narrow" w:hAnsi="Arial Narrow"/>
                <w:sz w:val="20"/>
                <w:szCs w:val="20"/>
              </w:rPr>
              <w:t>.</w:t>
            </w:r>
          </w:p>
          <w:p w:rsidR="00342C06" w:rsidRPr="000A0006" w:rsidRDefault="00504F8A" w:rsidP="00685BBE">
            <w:pPr>
              <w:pStyle w:val="ListParagraph"/>
              <w:spacing w:before="16"/>
              <w:ind w:left="0"/>
              <w:rPr>
                <w:rFonts w:ascii="Arial Narrow" w:hAnsi="Arial Narrow"/>
                <w:sz w:val="20"/>
                <w:szCs w:val="20"/>
              </w:rPr>
            </w:pPr>
            <w:r w:rsidRPr="000A0006">
              <w:rPr>
                <w:rFonts w:ascii="Arial Narrow" w:hAnsi="Arial Narrow"/>
                <w:sz w:val="20"/>
                <w:szCs w:val="20"/>
              </w:rPr>
              <w:t xml:space="preserve">However, </w:t>
            </w:r>
            <w:r w:rsidR="00603629" w:rsidRPr="000A0006">
              <w:rPr>
                <w:rFonts w:ascii="Arial Narrow" w:hAnsi="Arial Narrow"/>
                <w:sz w:val="20"/>
                <w:szCs w:val="20"/>
              </w:rPr>
              <w:t>the revised</w:t>
            </w:r>
            <w:r w:rsidRPr="000A0006">
              <w:rPr>
                <w:rFonts w:ascii="Arial Narrow" w:hAnsi="Arial Narrow"/>
                <w:sz w:val="20"/>
                <w:szCs w:val="20"/>
              </w:rPr>
              <w:t xml:space="preserve"> wording does not limit eligibility to patients who have been stabilised </w:t>
            </w:r>
            <w:r w:rsidR="006265C2" w:rsidRPr="000A0006">
              <w:rPr>
                <w:rFonts w:ascii="Arial Narrow" w:hAnsi="Arial Narrow"/>
                <w:sz w:val="20"/>
                <w:szCs w:val="20"/>
              </w:rPr>
              <w:t xml:space="preserve">(for a period of time) </w:t>
            </w:r>
            <w:r w:rsidRPr="000A0006">
              <w:rPr>
                <w:rFonts w:ascii="Arial Narrow" w:hAnsi="Arial Narrow"/>
                <w:sz w:val="20"/>
                <w:szCs w:val="20"/>
              </w:rPr>
              <w:t xml:space="preserve">on either an ACE inhibitor or ATRA therapy. Patients who have received ‘previous’ treatment with either of these medications, but not necessarily stabilised, are still eligible for treatment.  </w:t>
            </w:r>
          </w:p>
        </w:tc>
      </w:tr>
      <w:tr w:rsidR="00342C06" w:rsidRPr="000A0006" w:rsidTr="00643031">
        <w:tc>
          <w:tcPr>
            <w:tcW w:w="4350" w:type="dxa"/>
            <w:tcBorders>
              <w:top w:val="single" w:sz="4" w:space="0" w:color="auto"/>
              <w:left w:val="single" w:sz="4" w:space="0" w:color="auto"/>
              <w:bottom w:val="single" w:sz="4" w:space="0" w:color="auto"/>
              <w:right w:val="single" w:sz="4" w:space="0" w:color="auto"/>
            </w:tcBorders>
            <w:hideMark/>
          </w:tcPr>
          <w:p w:rsidR="00342C06" w:rsidRPr="000A0006" w:rsidRDefault="00342C06" w:rsidP="00685BBE">
            <w:pPr>
              <w:pStyle w:val="ListParagraph"/>
              <w:spacing w:before="16"/>
              <w:ind w:left="0"/>
              <w:rPr>
                <w:rFonts w:ascii="Arial Narrow" w:hAnsi="Arial Narrow"/>
                <w:sz w:val="20"/>
                <w:szCs w:val="20"/>
              </w:rPr>
            </w:pPr>
            <w:r w:rsidRPr="000A0006">
              <w:rPr>
                <w:rFonts w:ascii="Arial Narrow" w:hAnsi="Arial Narrow"/>
                <w:sz w:val="20"/>
                <w:szCs w:val="20"/>
              </w:rPr>
              <w:t>7.7 The PBAC considered that the clinical claim of superior comparative effectiveness compared to enalapril was reasonable, but that size of the benefit was uncertain due to the issues with study design and early stopping of PARADIGM-HF.</w:t>
            </w:r>
          </w:p>
        </w:tc>
        <w:tc>
          <w:tcPr>
            <w:tcW w:w="4110" w:type="dxa"/>
            <w:tcBorders>
              <w:top w:val="single" w:sz="4" w:space="0" w:color="auto"/>
              <w:left w:val="single" w:sz="4" w:space="0" w:color="auto"/>
              <w:bottom w:val="single" w:sz="4" w:space="0" w:color="auto"/>
              <w:right w:val="single" w:sz="4" w:space="0" w:color="auto"/>
            </w:tcBorders>
            <w:hideMark/>
          </w:tcPr>
          <w:p w:rsidR="00342C06" w:rsidRPr="000A0006" w:rsidRDefault="00342C06" w:rsidP="00685BBE">
            <w:pPr>
              <w:pStyle w:val="ListParagraph"/>
              <w:spacing w:before="16"/>
              <w:ind w:left="0"/>
              <w:rPr>
                <w:rFonts w:ascii="Arial Narrow" w:hAnsi="Arial Narrow"/>
                <w:sz w:val="20"/>
                <w:szCs w:val="20"/>
              </w:rPr>
            </w:pPr>
            <w:r w:rsidRPr="000A0006">
              <w:rPr>
                <w:rFonts w:ascii="Arial Narrow" w:hAnsi="Arial Narrow"/>
                <w:sz w:val="20"/>
                <w:szCs w:val="20"/>
              </w:rPr>
              <w:t>The clinical evidence comparing sacubitril/valsartan with enalapril was unchanged from the previous submission (Trial PARADIGM-HF). The minor re-submission state</w:t>
            </w:r>
            <w:r w:rsidR="000A0006">
              <w:rPr>
                <w:rFonts w:ascii="Arial Narrow" w:hAnsi="Arial Narrow"/>
                <w:sz w:val="20"/>
                <w:szCs w:val="20"/>
              </w:rPr>
              <w:t>d</w:t>
            </w:r>
            <w:r w:rsidRPr="000A0006">
              <w:rPr>
                <w:rFonts w:ascii="Arial Narrow" w:hAnsi="Arial Narrow"/>
                <w:sz w:val="20"/>
                <w:szCs w:val="20"/>
              </w:rPr>
              <w:t xml:space="preserve"> that it has adjusted the proposed PBS price to address uncertainties in the results of the economic model.  </w:t>
            </w:r>
          </w:p>
        </w:tc>
      </w:tr>
      <w:tr w:rsidR="00342C06" w:rsidRPr="000A0006" w:rsidTr="00643031">
        <w:tc>
          <w:tcPr>
            <w:tcW w:w="4350" w:type="dxa"/>
            <w:tcBorders>
              <w:top w:val="single" w:sz="4" w:space="0" w:color="auto"/>
              <w:left w:val="single" w:sz="4" w:space="0" w:color="auto"/>
              <w:bottom w:val="single" w:sz="4" w:space="0" w:color="auto"/>
              <w:right w:val="single" w:sz="4" w:space="0" w:color="auto"/>
            </w:tcBorders>
            <w:hideMark/>
          </w:tcPr>
          <w:p w:rsidR="00342C06" w:rsidRPr="000A0006" w:rsidRDefault="00342C06" w:rsidP="00685BBE">
            <w:pPr>
              <w:pStyle w:val="ListParagraph"/>
              <w:spacing w:before="16"/>
              <w:ind w:left="0"/>
              <w:rPr>
                <w:rFonts w:ascii="Arial Narrow" w:hAnsi="Arial Narrow"/>
                <w:sz w:val="20"/>
                <w:szCs w:val="20"/>
              </w:rPr>
            </w:pPr>
            <w:r w:rsidRPr="000A0006">
              <w:rPr>
                <w:rFonts w:ascii="Arial Narrow" w:hAnsi="Arial Narrow"/>
                <w:sz w:val="20"/>
                <w:szCs w:val="20"/>
              </w:rPr>
              <w:t>7.8 The PBAC considered that the claim of non-inferior comparative safety to enalapril was reasonable, only in a selected population that tolerated ACE inhibitor therapy. This selected population may not be generalisable to the proposed PBS population who are not necessarily pre-treated with an ACE inhibitor, and may be older and frailer.</w:t>
            </w:r>
          </w:p>
        </w:tc>
        <w:tc>
          <w:tcPr>
            <w:tcW w:w="4110" w:type="dxa"/>
            <w:tcBorders>
              <w:top w:val="single" w:sz="4" w:space="0" w:color="auto"/>
              <w:left w:val="single" w:sz="4" w:space="0" w:color="auto"/>
              <w:bottom w:val="single" w:sz="4" w:space="0" w:color="auto"/>
              <w:right w:val="single" w:sz="4" w:space="0" w:color="auto"/>
            </w:tcBorders>
            <w:hideMark/>
          </w:tcPr>
          <w:p w:rsidR="00342C06" w:rsidRPr="000A0006" w:rsidRDefault="00342C06" w:rsidP="00685BBE">
            <w:pPr>
              <w:pStyle w:val="ListParagraph"/>
              <w:spacing w:before="16"/>
              <w:ind w:left="0"/>
              <w:rPr>
                <w:rFonts w:ascii="Arial Narrow" w:hAnsi="Arial Narrow"/>
                <w:sz w:val="20"/>
                <w:szCs w:val="20"/>
              </w:rPr>
            </w:pPr>
            <w:r w:rsidRPr="000A0006">
              <w:rPr>
                <w:rFonts w:ascii="Arial Narrow" w:hAnsi="Arial Narrow"/>
                <w:sz w:val="20"/>
                <w:szCs w:val="20"/>
              </w:rPr>
              <w:t>An eligib</w:t>
            </w:r>
            <w:r w:rsidR="006C1BE2" w:rsidRPr="000A0006">
              <w:rPr>
                <w:rFonts w:ascii="Arial Narrow" w:hAnsi="Arial Narrow"/>
                <w:sz w:val="20"/>
                <w:szCs w:val="20"/>
              </w:rPr>
              <w:t>ility</w:t>
            </w:r>
            <w:r w:rsidRPr="000A0006">
              <w:rPr>
                <w:rFonts w:ascii="Arial Narrow" w:hAnsi="Arial Narrow"/>
                <w:sz w:val="20"/>
                <w:szCs w:val="20"/>
              </w:rPr>
              <w:t xml:space="preserve"> criterion </w:t>
            </w:r>
            <w:r w:rsidR="000A0006">
              <w:rPr>
                <w:rFonts w:ascii="Arial Narrow" w:hAnsi="Arial Narrow"/>
                <w:sz w:val="20"/>
                <w:szCs w:val="20"/>
              </w:rPr>
              <w:t>was</w:t>
            </w:r>
            <w:r w:rsidRPr="000A0006">
              <w:rPr>
                <w:rFonts w:ascii="Arial Narrow" w:hAnsi="Arial Narrow"/>
                <w:sz w:val="20"/>
                <w:szCs w:val="20"/>
              </w:rPr>
              <w:t xml:space="preserve"> added to the requested PBS listing for sacubitril/valsartan: previous or current use of ACE inhibitor or ATRA at recommended doses, unless contraindicated or not tolerated. </w:t>
            </w:r>
            <w:r w:rsidR="00CC10B3" w:rsidRPr="000A0006">
              <w:rPr>
                <w:rFonts w:ascii="Arial Narrow" w:hAnsi="Arial Narrow"/>
                <w:sz w:val="20"/>
                <w:szCs w:val="20"/>
              </w:rPr>
              <w:t>However, the proposed restriction d</w:t>
            </w:r>
            <w:r w:rsidR="000A0006">
              <w:rPr>
                <w:rFonts w:ascii="Arial Narrow" w:hAnsi="Arial Narrow"/>
                <w:sz w:val="20"/>
                <w:szCs w:val="20"/>
              </w:rPr>
              <w:t>id</w:t>
            </w:r>
            <w:r w:rsidR="00CC10B3" w:rsidRPr="000A0006">
              <w:rPr>
                <w:rFonts w:ascii="Arial Narrow" w:hAnsi="Arial Narrow"/>
                <w:sz w:val="20"/>
                <w:szCs w:val="20"/>
              </w:rPr>
              <w:t xml:space="preserve"> not specifically limit eligibility to patients who have been stabilised on ACE inhibitors or ATRAs at recommended doses. </w:t>
            </w:r>
          </w:p>
        </w:tc>
      </w:tr>
      <w:tr w:rsidR="00342C06" w:rsidRPr="000A0006" w:rsidTr="00643031">
        <w:tc>
          <w:tcPr>
            <w:tcW w:w="4350" w:type="dxa"/>
            <w:tcBorders>
              <w:top w:val="single" w:sz="4" w:space="0" w:color="auto"/>
              <w:left w:val="single" w:sz="4" w:space="0" w:color="auto"/>
              <w:bottom w:val="single" w:sz="4" w:space="0" w:color="auto"/>
              <w:right w:val="single" w:sz="4" w:space="0" w:color="auto"/>
            </w:tcBorders>
            <w:hideMark/>
          </w:tcPr>
          <w:p w:rsidR="00342C06" w:rsidRPr="000A0006" w:rsidRDefault="00342C06" w:rsidP="00685BBE">
            <w:pPr>
              <w:pStyle w:val="ListParagraph"/>
              <w:spacing w:before="16"/>
              <w:ind w:left="0"/>
              <w:rPr>
                <w:rFonts w:ascii="Arial Narrow" w:hAnsi="Arial Narrow"/>
                <w:sz w:val="20"/>
                <w:szCs w:val="20"/>
              </w:rPr>
            </w:pPr>
            <w:r w:rsidRPr="000A0006">
              <w:rPr>
                <w:rFonts w:ascii="Arial Narrow" w:hAnsi="Arial Narrow"/>
                <w:sz w:val="20"/>
                <w:szCs w:val="20"/>
              </w:rPr>
              <w:t>7.9 The PBAC agreed with the ESC’s view that the failure of the submission’s model to reflect the progression of patients through stages of heart failure meant that the ICER generated was not reliable and therefore cost-effectiveness of sacubitril/valsartan was unknown. In particular, the PBAC were concerned that the model assumed that the underlying risk of cardiovascular mortality was the same as that of the patients in PARADIGM-HF and that this risk was independent of age, NYHA class and other co-variates.</w:t>
            </w:r>
          </w:p>
        </w:tc>
        <w:tc>
          <w:tcPr>
            <w:tcW w:w="4110" w:type="dxa"/>
            <w:tcBorders>
              <w:top w:val="single" w:sz="4" w:space="0" w:color="auto"/>
              <w:left w:val="single" w:sz="4" w:space="0" w:color="auto"/>
              <w:bottom w:val="single" w:sz="4" w:space="0" w:color="auto"/>
              <w:right w:val="single" w:sz="4" w:space="0" w:color="auto"/>
            </w:tcBorders>
            <w:hideMark/>
          </w:tcPr>
          <w:p w:rsidR="00342C06" w:rsidRPr="000A0006" w:rsidRDefault="00342C06" w:rsidP="000A0006">
            <w:pPr>
              <w:pStyle w:val="ListParagraph"/>
              <w:spacing w:before="16"/>
              <w:ind w:left="0"/>
              <w:rPr>
                <w:rFonts w:ascii="Arial Narrow" w:hAnsi="Arial Narrow"/>
                <w:sz w:val="20"/>
                <w:szCs w:val="20"/>
              </w:rPr>
            </w:pPr>
            <w:r w:rsidRPr="000A0006">
              <w:rPr>
                <w:rFonts w:ascii="Arial Narrow" w:hAnsi="Arial Narrow"/>
                <w:sz w:val="20"/>
                <w:szCs w:val="20"/>
              </w:rPr>
              <w:t xml:space="preserve">The re-submission </w:t>
            </w:r>
            <w:r w:rsidR="000A0006">
              <w:rPr>
                <w:rFonts w:ascii="Arial Narrow" w:hAnsi="Arial Narrow"/>
                <w:sz w:val="20"/>
                <w:szCs w:val="20"/>
              </w:rPr>
              <w:t>did</w:t>
            </w:r>
            <w:r w:rsidRPr="000A0006">
              <w:rPr>
                <w:rFonts w:ascii="Arial Narrow" w:hAnsi="Arial Narrow"/>
                <w:sz w:val="20"/>
                <w:szCs w:val="20"/>
              </w:rPr>
              <w:t xml:space="preserve"> not update the structure of the economic model. The submission adjusted the proposed PBS list price to address uncertainties in the incremental cost-effectiveness ratio (ICER) generated by the model. </w:t>
            </w:r>
            <w:r w:rsidR="00822288" w:rsidRPr="000A0006">
              <w:rPr>
                <w:rFonts w:ascii="Arial Narrow" w:hAnsi="Arial Narrow"/>
                <w:sz w:val="20"/>
                <w:szCs w:val="20"/>
              </w:rPr>
              <w:t xml:space="preserve">Therefore the uncertainties associated with the modelled economic evaluation identified previously remain. </w:t>
            </w:r>
          </w:p>
        </w:tc>
      </w:tr>
      <w:tr w:rsidR="00342C06" w:rsidRPr="000A0006" w:rsidTr="00643031">
        <w:tc>
          <w:tcPr>
            <w:tcW w:w="4350" w:type="dxa"/>
            <w:tcBorders>
              <w:top w:val="single" w:sz="4" w:space="0" w:color="auto"/>
              <w:left w:val="single" w:sz="4" w:space="0" w:color="auto"/>
              <w:bottom w:val="single" w:sz="4" w:space="0" w:color="auto"/>
              <w:right w:val="single" w:sz="4" w:space="0" w:color="auto"/>
            </w:tcBorders>
            <w:hideMark/>
          </w:tcPr>
          <w:p w:rsidR="00342C06" w:rsidRPr="000A0006" w:rsidRDefault="00342C06" w:rsidP="00685BBE">
            <w:pPr>
              <w:pStyle w:val="ListParagraph"/>
              <w:spacing w:before="16"/>
              <w:ind w:left="0"/>
              <w:rPr>
                <w:rFonts w:ascii="Arial Narrow" w:hAnsi="Arial Narrow"/>
                <w:sz w:val="20"/>
                <w:szCs w:val="20"/>
              </w:rPr>
            </w:pPr>
            <w:r w:rsidRPr="000A0006">
              <w:rPr>
                <w:rFonts w:ascii="Arial Narrow" w:hAnsi="Arial Narrow"/>
                <w:sz w:val="20"/>
                <w:szCs w:val="20"/>
              </w:rPr>
              <w:t>7.10 The PBAC considered that the financial impact of listing sacubitril/valsartan was high and uncertain……. The PBAC also noted that there was potential for use outside of the requested restriction in patients with preserved ejection fraction, in patients with NYHA class I heart failure, and in patients not on concomitant beta-blocker. The PBAC considered that the high predicted financial impact of listing was of particular concern in the context of the magnitude of clinical benefit and the cost-effectiveness of treatment being unknown.</w:t>
            </w:r>
          </w:p>
        </w:tc>
        <w:tc>
          <w:tcPr>
            <w:tcW w:w="4110" w:type="dxa"/>
            <w:tcBorders>
              <w:top w:val="single" w:sz="4" w:space="0" w:color="auto"/>
              <w:left w:val="single" w:sz="4" w:space="0" w:color="auto"/>
              <w:bottom w:val="single" w:sz="4" w:space="0" w:color="auto"/>
              <w:right w:val="single" w:sz="4" w:space="0" w:color="auto"/>
            </w:tcBorders>
            <w:hideMark/>
          </w:tcPr>
          <w:p w:rsidR="00342C06" w:rsidRPr="000A0006" w:rsidRDefault="00342C06" w:rsidP="000A0006">
            <w:pPr>
              <w:pStyle w:val="ListParagraph"/>
              <w:spacing w:before="16"/>
              <w:ind w:left="0"/>
              <w:rPr>
                <w:rFonts w:ascii="Arial Narrow" w:hAnsi="Arial Narrow"/>
                <w:sz w:val="20"/>
                <w:szCs w:val="20"/>
              </w:rPr>
            </w:pPr>
            <w:r w:rsidRPr="000A0006">
              <w:rPr>
                <w:rFonts w:ascii="Arial Narrow" w:hAnsi="Arial Narrow"/>
                <w:sz w:val="20"/>
                <w:szCs w:val="20"/>
              </w:rPr>
              <w:t xml:space="preserve">The size of the requested PBS population </w:t>
            </w:r>
            <w:r w:rsidR="000A0006">
              <w:rPr>
                <w:rFonts w:ascii="Arial Narrow" w:hAnsi="Arial Narrow"/>
                <w:sz w:val="20"/>
                <w:szCs w:val="20"/>
              </w:rPr>
              <w:t>was</w:t>
            </w:r>
            <w:r w:rsidRPr="000A0006">
              <w:rPr>
                <w:rFonts w:ascii="Arial Narrow" w:hAnsi="Arial Narrow"/>
                <w:sz w:val="20"/>
                <w:szCs w:val="20"/>
              </w:rPr>
              <w:t xml:space="preserve"> reduced by limiting the use of sacubitril/valsartan to patients with previous exposure to ACE inhibitor or ATRA. </w:t>
            </w:r>
            <w:r w:rsidR="009B7C3A" w:rsidRPr="000A0006">
              <w:rPr>
                <w:rFonts w:ascii="Arial Narrow" w:hAnsi="Arial Narrow"/>
                <w:sz w:val="20"/>
                <w:szCs w:val="20"/>
              </w:rPr>
              <w:t>However, the concerns on the usage outside of the requested restrictions in patients with preserved ejection fraction, in patients with NYHA class I heart failure and in patients not on concomitant beta-blocker remain</w:t>
            </w:r>
            <w:r w:rsidR="006265C2" w:rsidRPr="000A0006">
              <w:rPr>
                <w:rFonts w:ascii="Arial Narrow" w:hAnsi="Arial Narrow"/>
                <w:sz w:val="20"/>
                <w:szCs w:val="20"/>
              </w:rPr>
              <w:t xml:space="preserve"> unchanged</w:t>
            </w:r>
            <w:r w:rsidR="007E29ED" w:rsidRPr="000A0006">
              <w:rPr>
                <w:rFonts w:ascii="Arial Narrow" w:hAnsi="Arial Narrow"/>
                <w:sz w:val="20"/>
                <w:szCs w:val="20"/>
              </w:rPr>
              <w:t>.</w:t>
            </w:r>
          </w:p>
        </w:tc>
      </w:tr>
    </w:tbl>
    <w:p w:rsidR="00423B66" w:rsidRPr="00F661BF" w:rsidRDefault="00423B66" w:rsidP="00423B66">
      <w:pPr>
        <w:pStyle w:val="ListParagraph"/>
        <w:rPr>
          <w:rFonts w:ascii="Arial Narrow" w:hAnsi="Arial Narrow"/>
          <w:sz w:val="18"/>
          <w:szCs w:val="18"/>
        </w:rPr>
      </w:pPr>
      <w:r w:rsidRPr="00F661BF">
        <w:rPr>
          <w:rFonts w:ascii="Arial Narrow" w:hAnsi="Arial Narrow"/>
          <w:sz w:val="18"/>
          <w:szCs w:val="18"/>
        </w:rPr>
        <w:t>ACE = angiotensin converting enzyme; ATRA = angiotensin II receptor antagonist; NYHA = New York Heart Association</w:t>
      </w:r>
    </w:p>
    <w:p w:rsidR="00423B66" w:rsidRPr="00F661BF" w:rsidRDefault="00423B66" w:rsidP="00423B66">
      <w:pPr>
        <w:pStyle w:val="ListParagraph"/>
        <w:rPr>
          <w:rFonts w:ascii="Arial Narrow" w:hAnsi="Arial Narrow"/>
          <w:sz w:val="18"/>
          <w:szCs w:val="18"/>
        </w:rPr>
      </w:pPr>
      <w:r w:rsidRPr="00F661BF">
        <w:rPr>
          <w:rFonts w:ascii="Arial Narrow" w:hAnsi="Arial Narrow"/>
          <w:sz w:val="18"/>
          <w:szCs w:val="18"/>
        </w:rPr>
        <w:t>Source:</w:t>
      </w:r>
      <w:r w:rsidR="000A0006">
        <w:rPr>
          <w:rFonts w:ascii="Arial Narrow" w:hAnsi="Arial Narrow"/>
          <w:sz w:val="18"/>
          <w:szCs w:val="18"/>
        </w:rPr>
        <w:t xml:space="preserve"> Sacubitril with valsartan Minor Overview</w:t>
      </w:r>
      <w:r w:rsidRPr="00F661BF">
        <w:rPr>
          <w:rFonts w:ascii="Arial Narrow" w:hAnsi="Arial Narrow"/>
          <w:sz w:val="18"/>
          <w:szCs w:val="18"/>
        </w:rPr>
        <w:t xml:space="preserve"> </w:t>
      </w:r>
    </w:p>
    <w:p w:rsidR="00423B66" w:rsidRPr="00F661BF" w:rsidRDefault="00423B66" w:rsidP="00423B66">
      <w:pPr>
        <w:rPr>
          <w:b/>
          <w:szCs w:val="22"/>
        </w:rPr>
      </w:pPr>
    </w:p>
    <w:p w:rsidR="00423B66" w:rsidRDefault="00D17D0A" w:rsidP="00643031">
      <w:pPr>
        <w:ind w:firstLine="720"/>
        <w:rPr>
          <w:b/>
          <w:szCs w:val="22"/>
        </w:rPr>
      </w:pPr>
      <w:r w:rsidRPr="00C62FF3">
        <w:rPr>
          <w:rFonts w:cs="Arial"/>
          <w:bCs/>
          <w:i/>
          <w:snapToGrid w:val="0"/>
          <w:szCs w:val="22"/>
        </w:rPr>
        <w:t>For more detail on PBAC’s view, see section 7 “PBAC outcome”</w:t>
      </w:r>
    </w:p>
    <w:p w:rsidR="000735AC" w:rsidRDefault="000735AC" w:rsidP="00423B66">
      <w:pPr>
        <w:rPr>
          <w:b/>
          <w:szCs w:val="22"/>
        </w:rPr>
      </w:pPr>
    </w:p>
    <w:p w:rsidR="000735AC" w:rsidRPr="00F661BF" w:rsidRDefault="000735AC" w:rsidP="00423B66">
      <w:pPr>
        <w:rPr>
          <w:b/>
          <w:szCs w:val="22"/>
        </w:rPr>
      </w:pPr>
    </w:p>
    <w:p w:rsidR="00423B66" w:rsidRPr="00643031" w:rsidRDefault="00423B66" w:rsidP="00643031">
      <w:pPr>
        <w:pStyle w:val="Heading1"/>
        <w:numPr>
          <w:ilvl w:val="0"/>
          <w:numId w:val="4"/>
        </w:numPr>
      </w:pPr>
      <w:r w:rsidRPr="00643031">
        <w:t>Clinical place for the proposed therapy</w:t>
      </w:r>
    </w:p>
    <w:p w:rsidR="00423B66" w:rsidRPr="00F661BF" w:rsidRDefault="00423B66" w:rsidP="00423B66">
      <w:pPr>
        <w:rPr>
          <w:szCs w:val="22"/>
        </w:rPr>
      </w:pPr>
    </w:p>
    <w:p w:rsidR="00423B66" w:rsidRPr="00F661BF" w:rsidRDefault="00423B66" w:rsidP="0097216A">
      <w:pPr>
        <w:pStyle w:val="ListParagraph"/>
        <w:numPr>
          <w:ilvl w:val="1"/>
          <w:numId w:val="4"/>
        </w:numPr>
        <w:rPr>
          <w:szCs w:val="22"/>
        </w:rPr>
      </w:pPr>
      <w:r w:rsidRPr="00F661BF">
        <w:rPr>
          <w:szCs w:val="22"/>
        </w:rPr>
        <w:t xml:space="preserve">The submission proposed that sacubitril/valsartan be used in patients with chronic heart failure (NYHA class II-IV) with an ejection fraction of 40% or less. The </w:t>
      </w:r>
      <w:r w:rsidR="00061752">
        <w:rPr>
          <w:szCs w:val="22"/>
        </w:rPr>
        <w:t>treatment</w:t>
      </w:r>
      <w:r w:rsidR="00061752" w:rsidRPr="00F661BF">
        <w:rPr>
          <w:szCs w:val="22"/>
        </w:rPr>
        <w:t xml:space="preserve"> </w:t>
      </w:r>
      <w:r w:rsidRPr="00F661BF">
        <w:rPr>
          <w:szCs w:val="22"/>
        </w:rPr>
        <w:t xml:space="preserve">was proposed </w:t>
      </w:r>
      <w:r w:rsidR="00061752">
        <w:rPr>
          <w:szCs w:val="22"/>
        </w:rPr>
        <w:t xml:space="preserve">for use </w:t>
      </w:r>
      <w:r w:rsidRPr="00F661BF">
        <w:rPr>
          <w:szCs w:val="22"/>
        </w:rPr>
        <w:t xml:space="preserve">as first-line </w:t>
      </w:r>
      <w:r w:rsidR="00061752" w:rsidRPr="00F661BF">
        <w:rPr>
          <w:szCs w:val="22"/>
        </w:rPr>
        <w:t>t</w:t>
      </w:r>
      <w:r w:rsidR="00061752">
        <w:rPr>
          <w:szCs w:val="22"/>
        </w:rPr>
        <w:t>herapy and would</w:t>
      </w:r>
      <w:r w:rsidR="00061752" w:rsidRPr="00F661BF">
        <w:rPr>
          <w:szCs w:val="22"/>
        </w:rPr>
        <w:t xml:space="preserve"> </w:t>
      </w:r>
      <w:r w:rsidRPr="00F661BF">
        <w:rPr>
          <w:szCs w:val="22"/>
        </w:rPr>
        <w:t>replac</w:t>
      </w:r>
      <w:r w:rsidR="00061752">
        <w:rPr>
          <w:szCs w:val="22"/>
        </w:rPr>
        <w:t>e</w:t>
      </w:r>
      <w:r w:rsidRPr="00F661BF">
        <w:rPr>
          <w:szCs w:val="22"/>
        </w:rPr>
        <w:t xml:space="preserve"> the maximally tolerated dose of an ACE inhibitor or an ATRA. When the PBAC considered the previous sacubitril/valsartan </w:t>
      </w:r>
      <w:r w:rsidR="00670F2F">
        <w:rPr>
          <w:szCs w:val="22"/>
        </w:rPr>
        <w:t xml:space="preserve">submission </w:t>
      </w:r>
      <w:r w:rsidRPr="00F661BF">
        <w:rPr>
          <w:szCs w:val="22"/>
        </w:rPr>
        <w:t xml:space="preserve">at the March 2016 meeting, the Committee considered that there was a clinical need for new therapies for the treatment of chronic heart failure (7.2, PBAC </w:t>
      </w:r>
      <w:r w:rsidR="009374A6">
        <w:rPr>
          <w:szCs w:val="22"/>
        </w:rPr>
        <w:t xml:space="preserve">Public Summary Document </w:t>
      </w:r>
      <w:r w:rsidRPr="00F661BF">
        <w:rPr>
          <w:szCs w:val="22"/>
        </w:rPr>
        <w:t xml:space="preserve">March 2016). </w:t>
      </w:r>
    </w:p>
    <w:p w:rsidR="00423B66" w:rsidRPr="00F661BF" w:rsidRDefault="00423B66" w:rsidP="00423B66">
      <w:pPr>
        <w:pStyle w:val="ListParagraph"/>
        <w:rPr>
          <w:szCs w:val="22"/>
        </w:rPr>
      </w:pPr>
    </w:p>
    <w:p w:rsidR="00D17D0A" w:rsidRPr="00C62FF3" w:rsidRDefault="00423B66" w:rsidP="00030993">
      <w:pPr>
        <w:pStyle w:val="ListParagraph"/>
        <w:numPr>
          <w:ilvl w:val="1"/>
          <w:numId w:val="4"/>
        </w:numPr>
        <w:rPr>
          <w:snapToGrid w:val="0"/>
        </w:rPr>
      </w:pPr>
      <w:r w:rsidRPr="00F661BF">
        <w:rPr>
          <w:szCs w:val="22"/>
        </w:rPr>
        <w:t>The submission stated that listing of sacubitril/valsartan would not impact the use of other co-administered therapies, such as cardio-selective beta-blockers, diuretics, and later-line therapies such as spironolactone, digoxin and ivabradine.</w:t>
      </w:r>
    </w:p>
    <w:p w:rsidR="00D17D0A" w:rsidRPr="00F661BF" w:rsidRDefault="00D17D0A" w:rsidP="00423B66">
      <w:pPr>
        <w:pStyle w:val="Header"/>
        <w:tabs>
          <w:tab w:val="left" w:pos="720"/>
        </w:tabs>
        <w:rPr>
          <w:szCs w:val="22"/>
        </w:rPr>
      </w:pPr>
    </w:p>
    <w:p w:rsidR="00423B66" w:rsidRPr="00F661BF" w:rsidRDefault="00423B66" w:rsidP="00423B66">
      <w:pPr>
        <w:pStyle w:val="Header"/>
        <w:tabs>
          <w:tab w:val="left" w:pos="720"/>
        </w:tabs>
        <w:rPr>
          <w:szCs w:val="22"/>
        </w:rPr>
      </w:pPr>
    </w:p>
    <w:p w:rsidR="00423B66" w:rsidRPr="00643031" w:rsidRDefault="00423B66" w:rsidP="00643031">
      <w:pPr>
        <w:pStyle w:val="Heading1"/>
        <w:numPr>
          <w:ilvl w:val="0"/>
          <w:numId w:val="4"/>
        </w:numPr>
      </w:pPr>
      <w:r w:rsidRPr="00643031">
        <w:t>Comparator</w:t>
      </w:r>
    </w:p>
    <w:p w:rsidR="00423B66" w:rsidRPr="00F661BF" w:rsidRDefault="00423B66" w:rsidP="00423B66">
      <w:pPr>
        <w:pStyle w:val="Header"/>
        <w:tabs>
          <w:tab w:val="left" w:pos="720"/>
        </w:tabs>
        <w:rPr>
          <w:b/>
          <w:szCs w:val="22"/>
        </w:rPr>
      </w:pPr>
    </w:p>
    <w:p w:rsidR="00423B66" w:rsidRPr="00F661BF" w:rsidRDefault="00423B66" w:rsidP="0097216A">
      <w:pPr>
        <w:pStyle w:val="ListParagraph"/>
        <w:numPr>
          <w:ilvl w:val="1"/>
          <w:numId w:val="4"/>
        </w:numPr>
        <w:rPr>
          <w:szCs w:val="22"/>
        </w:rPr>
      </w:pPr>
      <w:r w:rsidRPr="00F661BF">
        <w:rPr>
          <w:szCs w:val="22"/>
        </w:rPr>
        <w:t xml:space="preserve">Enalapril, as a proxy for all ACE inhibitors, was nominated as the main comparator. This is unchanged from </w:t>
      </w:r>
      <w:r w:rsidR="00B23429">
        <w:rPr>
          <w:szCs w:val="22"/>
        </w:rPr>
        <w:t xml:space="preserve">the </w:t>
      </w:r>
      <w:r w:rsidRPr="00F661BF">
        <w:rPr>
          <w:szCs w:val="22"/>
        </w:rPr>
        <w:t>previous major submission and was accepted by the PBAC</w:t>
      </w:r>
      <w:r w:rsidR="00B23429">
        <w:rPr>
          <w:szCs w:val="22"/>
        </w:rPr>
        <w:t xml:space="preserve"> at the March 2016 meeting</w:t>
      </w:r>
      <w:r w:rsidRPr="00F661BF">
        <w:rPr>
          <w:szCs w:val="22"/>
        </w:rPr>
        <w:t xml:space="preserve"> (7.4, PBAC </w:t>
      </w:r>
      <w:r w:rsidR="00E237C6">
        <w:rPr>
          <w:szCs w:val="22"/>
        </w:rPr>
        <w:t>Public Summary Document</w:t>
      </w:r>
      <w:r w:rsidRPr="00F661BF">
        <w:rPr>
          <w:szCs w:val="22"/>
        </w:rPr>
        <w:t xml:space="preserve"> March 2016).</w:t>
      </w:r>
    </w:p>
    <w:p w:rsidR="00D17D0A" w:rsidRPr="00F661BF" w:rsidRDefault="00D17D0A" w:rsidP="00423B66">
      <w:pPr>
        <w:rPr>
          <w:szCs w:val="22"/>
        </w:rPr>
      </w:pPr>
    </w:p>
    <w:p w:rsidR="00423B66" w:rsidRPr="00F661BF" w:rsidRDefault="00423B66" w:rsidP="00423B66">
      <w:pPr>
        <w:rPr>
          <w:szCs w:val="22"/>
        </w:rPr>
      </w:pPr>
    </w:p>
    <w:p w:rsidR="00423B66" w:rsidRPr="00643031" w:rsidRDefault="00423B66" w:rsidP="00643031">
      <w:pPr>
        <w:pStyle w:val="Heading1"/>
        <w:numPr>
          <w:ilvl w:val="0"/>
          <w:numId w:val="4"/>
        </w:numPr>
      </w:pPr>
      <w:r w:rsidRPr="00643031">
        <w:t>Consideration of the evidence</w:t>
      </w:r>
    </w:p>
    <w:p w:rsidR="00D17D0A" w:rsidRDefault="00D17D0A" w:rsidP="00D17D0A"/>
    <w:p w:rsidR="00D17D0A" w:rsidRPr="00643031" w:rsidRDefault="00D17D0A" w:rsidP="00643031">
      <w:pPr>
        <w:pStyle w:val="Heading2"/>
      </w:pPr>
      <w:r w:rsidRPr="00643031">
        <w:t>Sponsor hearing</w:t>
      </w:r>
    </w:p>
    <w:p w:rsidR="00D17D0A" w:rsidRPr="00C62FF3" w:rsidRDefault="00D17D0A" w:rsidP="00D17D0A">
      <w:pPr>
        <w:rPr>
          <w:rFonts w:cs="Arial"/>
          <w:b/>
          <w:bCs/>
          <w:snapToGrid w:val="0"/>
          <w:szCs w:val="22"/>
        </w:rPr>
      </w:pPr>
    </w:p>
    <w:p w:rsidR="00D17D0A" w:rsidRPr="00C62FF3" w:rsidRDefault="00D17D0A" w:rsidP="002456AE">
      <w:pPr>
        <w:numPr>
          <w:ilvl w:val="1"/>
          <w:numId w:val="1"/>
        </w:numPr>
        <w:spacing w:after="120"/>
        <w:jc w:val="left"/>
        <w:rPr>
          <w:rFonts w:cs="Arial"/>
          <w:bCs/>
          <w:snapToGrid w:val="0"/>
          <w:szCs w:val="22"/>
        </w:rPr>
      </w:pPr>
      <w:r w:rsidRPr="00C62FF3">
        <w:rPr>
          <w:rFonts w:cs="Arial"/>
          <w:bCs/>
          <w:snapToGrid w:val="0"/>
          <w:szCs w:val="22"/>
        </w:rPr>
        <w:t>There was no hearing for this item as it was a minor submission.</w:t>
      </w:r>
    </w:p>
    <w:p w:rsidR="00D17D0A" w:rsidRPr="00817EFB" w:rsidRDefault="00D17D0A" w:rsidP="00D17D0A">
      <w:pPr>
        <w:rPr>
          <w:rFonts w:cs="Arial"/>
          <w:bCs/>
          <w:snapToGrid w:val="0"/>
          <w:szCs w:val="22"/>
          <w:highlight w:val="yellow"/>
        </w:rPr>
      </w:pPr>
    </w:p>
    <w:p w:rsidR="00D17D0A" w:rsidRPr="00C841F2" w:rsidRDefault="00D17D0A" w:rsidP="00643031">
      <w:pPr>
        <w:pStyle w:val="Heading2"/>
      </w:pPr>
      <w:r w:rsidRPr="00C841F2">
        <w:t>Consumer comments</w:t>
      </w:r>
    </w:p>
    <w:p w:rsidR="00E13A88" w:rsidRPr="00C62FF3" w:rsidRDefault="00E13A88" w:rsidP="00D17D0A">
      <w:pPr>
        <w:rPr>
          <w:rFonts w:cs="Arial"/>
          <w:b/>
          <w:bCs/>
          <w:snapToGrid w:val="0"/>
          <w:szCs w:val="22"/>
        </w:rPr>
      </w:pPr>
    </w:p>
    <w:p w:rsidR="00D17D0A" w:rsidRPr="00C62FF3" w:rsidRDefault="00D17D0A" w:rsidP="00D11F3E">
      <w:pPr>
        <w:numPr>
          <w:ilvl w:val="1"/>
          <w:numId w:val="1"/>
        </w:numPr>
        <w:spacing w:after="120"/>
        <w:rPr>
          <w:rFonts w:cs="Arial"/>
          <w:bCs/>
          <w:snapToGrid w:val="0"/>
          <w:szCs w:val="22"/>
        </w:rPr>
      </w:pPr>
      <w:r w:rsidRPr="00C62FF3">
        <w:rPr>
          <w:rFonts w:cs="Arial"/>
          <w:bCs/>
          <w:snapToGrid w:val="0"/>
          <w:szCs w:val="22"/>
        </w:rPr>
        <w:t>The PBAC noted and welcomed the input from</w:t>
      </w:r>
      <w:r w:rsidR="003836DD" w:rsidRPr="00C62FF3">
        <w:rPr>
          <w:rFonts w:cs="Arial"/>
          <w:bCs/>
          <w:snapToGrid w:val="0"/>
          <w:szCs w:val="22"/>
        </w:rPr>
        <w:t xml:space="preserve"> one</w:t>
      </w:r>
      <w:r w:rsidRPr="00C62FF3">
        <w:rPr>
          <w:rFonts w:cs="Arial"/>
          <w:bCs/>
          <w:snapToGrid w:val="0"/>
          <w:szCs w:val="22"/>
        </w:rPr>
        <w:t xml:space="preserve"> individual</w:t>
      </w:r>
      <w:r w:rsidR="003836DD" w:rsidRPr="00C62FF3">
        <w:rPr>
          <w:rFonts w:cs="Arial"/>
          <w:bCs/>
          <w:snapToGrid w:val="0"/>
          <w:szCs w:val="22"/>
        </w:rPr>
        <w:t xml:space="preserve"> </w:t>
      </w:r>
      <w:r w:rsidRPr="00C62FF3">
        <w:rPr>
          <w:rFonts w:cs="Arial"/>
          <w:bCs/>
          <w:snapToGrid w:val="0"/>
          <w:szCs w:val="22"/>
        </w:rPr>
        <w:t xml:space="preserve">via the Consumer Comments facility on the PBS website.  The </w:t>
      </w:r>
      <w:r w:rsidR="0076313D" w:rsidRPr="002456AE">
        <w:rPr>
          <w:rFonts w:cs="Arial"/>
          <w:bCs/>
          <w:snapToGrid w:val="0"/>
          <w:szCs w:val="22"/>
        </w:rPr>
        <w:t>individual expressed concern regarding the cost of sacubitril/valsarta</w:t>
      </w:r>
      <w:r w:rsidR="006A7DCB">
        <w:rPr>
          <w:rFonts w:cs="Arial"/>
          <w:bCs/>
          <w:snapToGrid w:val="0"/>
          <w:szCs w:val="22"/>
        </w:rPr>
        <w:t>n</w:t>
      </w:r>
      <w:r w:rsidR="0076313D">
        <w:rPr>
          <w:rFonts w:cs="Arial"/>
          <w:bCs/>
          <w:snapToGrid w:val="0"/>
          <w:szCs w:val="22"/>
        </w:rPr>
        <w:t xml:space="preserve"> </w:t>
      </w:r>
      <w:r w:rsidR="00E2527B">
        <w:rPr>
          <w:rFonts w:cs="Arial"/>
          <w:bCs/>
          <w:snapToGrid w:val="0"/>
          <w:szCs w:val="22"/>
        </w:rPr>
        <w:t xml:space="preserve">when </w:t>
      </w:r>
      <w:r w:rsidR="0076313D">
        <w:rPr>
          <w:rFonts w:cs="Arial"/>
          <w:bCs/>
          <w:snapToGrid w:val="0"/>
          <w:szCs w:val="22"/>
        </w:rPr>
        <w:t>purchase</w:t>
      </w:r>
      <w:r w:rsidR="00E2527B">
        <w:rPr>
          <w:rFonts w:cs="Arial"/>
          <w:bCs/>
          <w:snapToGrid w:val="0"/>
          <w:szCs w:val="22"/>
        </w:rPr>
        <w:t>d</w:t>
      </w:r>
      <w:r w:rsidR="0076313D">
        <w:rPr>
          <w:rFonts w:cs="Arial"/>
          <w:bCs/>
          <w:snapToGrid w:val="0"/>
          <w:szCs w:val="22"/>
        </w:rPr>
        <w:t xml:space="preserve"> privately.</w:t>
      </w:r>
      <w:r w:rsidR="002456AE">
        <w:rPr>
          <w:rFonts w:cs="Arial"/>
          <w:bCs/>
          <w:snapToGrid w:val="0"/>
          <w:szCs w:val="22"/>
        </w:rPr>
        <w:t xml:space="preserve"> </w:t>
      </w:r>
    </w:p>
    <w:p w:rsidR="00423B66" w:rsidRPr="00F661BF" w:rsidRDefault="00423B66" w:rsidP="00423B66">
      <w:pPr>
        <w:rPr>
          <w:szCs w:val="22"/>
        </w:rPr>
      </w:pPr>
    </w:p>
    <w:p w:rsidR="00423B66" w:rsidRPr="00357391" w:rsidRDefault="00423B66" w:rsidP="00643031">
      <w:pPr>
        <w:pStyle w:val="Heading2"/>
      </w:pPr>
      <w:r w:rsidRPr="00D151AA">
        <w:t>Clinic</w:t>
      </w:r>
      <w:r w:rsidRPr="00357391">
        <w:t>al trials</w:t>
      </w:r>
    </w:p>
    <w:p w:rsidR="00423B66" w:rsidRPr="00F661BF" w:rsidRDefault="00423B66" w:rsidP="00423B66">
      <w:pPr>
        <w:rPr>
          <w:szCs w:val="22"/>
        </w:rPr>
      </w:pPr>
    </w:p>
    <w:p w:rsidR="00423B66" w:rsidRPr="00F661BF" w:rsidRDefault="00670F2F" w:rsidP="0097216A">
      <w:pPr>
        <w:pStyle w:val="ListParagraph"/>
        <w:numPr>
          <w:ilvl w:val="1"/>
          <w:numId w:val="4"/>
        </w:numPr>
        <w:rPr>
          <w:szCs w:val="22"/>
        </w:rPr>
      </w:pPr>
      <w:r w:rsidRPr="00F661BF">
        <w:rPr>
          <w:szCs w:val="22"/>
        </w:rPr>
        <w:t>No new clinical trials were presented in the minor</w:t>
      </w:r>
      <w:r>
        <w:rPr>
          <w:szCs w:val="22"/>
        </w:rPr>
        <w:t xml:space="preserve"> re-submission</w:t>
      </w:r>
      <w:r w:rsidRPr="00F661BF">
        <w:rPr>
          <w:szCs w:val="22"/>
        </w:rPr>
        <w:t xml:space="preserve">. The PBAC </w:t>
      </w:r>
      <w:r>
        <w:rPr>
          <w:szCs w:val="22"/>
        </w:rPr>
        <w:t>previously</w:t>
      </w:r>
      <w:r w:rsidRPr="00F661BF">
        <w:rPr>
          <w:szCs w:val="22"/>
        </w:rPr>
        <w:t xml:space="preserve"> considered that the clinical data from PARADIGM-HF were reasonably reliable</w:t>
      </w:r>
      <w:r>
        <w:rPr>
          <w:szCs w:val="22"/>
        </w:rPr>
        <w:t>, although the magnitude of the benefit remained uncertain</w:t>
      </w:r>
      <w:r w:rsidRPr="00F661BF">
        <w:rPr>
          <w:szCs w:val="22"/>
        </w:rPr>
        <w:t xml:space="preserve"> (</w:t>
      </w:r>
      <w:r>
        <w:rPr>
          <w:szCs w:val="22"/>
        </w:rPr>
        <w:t xml:space="preserve">6.25 and </w:t>
      </w:r>
      <w:r w:rsidRPr="00F661BF">
        <w:rPr>
          <w:szCs w:val="22"/>
        </w:rPr>
        <w:t xml:space="preserve">7.5, PBAC </w:t>
      </w:r>
      <w:r w:rsidR="00E237C6">
        <w:rPr>
          <w:szCs w:val="22"/>
        </w:rPr>
        <w:t>Public Summary Document</w:t>
      </w:r>
      <w:r w:rsidRPr="00F661BF">
        <w:rPr>
          <w:szCs w:val="22"/>
        </w:rPr>
        <w:t xml:space="preserve"> March 2016).</w:t>
      </w:r>
    </w:p>
    <w:p w:rsidR="00423B66" w:rsidRPr="00F661BF" w:rsidRDefault="00423B66" w:rsidP="00423B66">
      <w:pPr>
        <w:rPr>
          <w:szCs w:val="22"/>
        </w:rPr>
      </w:pPr>
    </w:p>
    <w:p w:rsidR="00423B66" w:rsidRPr="00357391" w:rsidRDefault="00423B66" w:rsidP="00643031">
      <w:pPr>
        <w:pStyle w:val="Heading2"/>
      </w:pPr>
      <w:r w:rsidRPr="00D151AA">
        <w:t>Comparative effectiveness</w:t>
      </w:r>
    </w:p>
    <w:p w:rsidR="00423B66" w:rsidRPr="00F661BF" w:rsidRDefault="00423B66" w:rsidP="00423B66">
      <w:pPr>
        <w:rPr>
          <w:szCs w:val="22"/>
        </w:rPr>
      </w:pPr>
    </w:p>
    <w:p w:rsidR="00423B66" w:rsidRPr="00F661BF" w:rsidRDefault="00423B66" w:rsidP="0097216A">
      <w:pPr>
        <w:pStyle w:val="ListParagraph"/>
        <w:numPr>
          <w:ilvl w:val="1"/>
          <w:numId w:val="4"/>
        </w:numPr>
        <w:rPr>
          <w:szCs w:val="22"/>
        </w:rPr>
      </w:pPr>
      <w:r w:rsidRPr="00F661BF">
        <w:rPr>
          <w:szCs w:val="22"/>
        </w:rPr>
        <w:t xml:space="preserve">The trial results remain unchanged from the previous major submission considered in March 2016. </w:t>
      </w:r>
    </w:p>
    <w:p w:rsidR="00423B66" w:rsidRPr="00F661BF" w:rsidRDefault="00423B66" w:rsidP="00423B66">
      <w:pPr>
        <w:rPr>
          <w:szCs w:val="22"/>
        </w:rPr>
      </w:pPr>
    </w:p>
    <w:p w:rsidR="00423B66" w:rsidRPr="00357391" w:rsidRDefault="00423B66" w:rsidP="00643031">
      <w:pPr>
        <w:pStyle w:val="Heading2"/>
        <w:keepNext/>
      </w:pPr>
      <w:r w:rsidRPr="00D151AA">
        <w:lastRenderedPageBreak/>
        <w:t>Comparative harms</w:t>
      </w:r>
    </w:p>
    <w:p w:rsidR="00423B66" w:rsidRPr="00F661BF" w:rsidRDefault="00423B66" w:rsidP="00F57856">
      <w:pPr>
        <w:pStyle w:val="ListParagraph"/>
        <w:keepNext/>
        <w:keepLines/>
        <w:rPr>
          <w:szCs w:val="22"/>
        </w:rPr>
      </w:pPr>
    </w:p>
    <w:p w:rsidR="00423B66" w:rsidRPr="00F661BF" w:rsidRDefault="00423B66" w:rsidP="00F57856">
      <w:pPr>
        <w:pStyle w:val="ListParagraph"/>
        <w:keepNext/>
        <w:keepLines/>
        <w:numPr>
          <w:ilvl w:val="1"/>
          <w:numId w:val="4"/>
        </w:numPr>
        <w:rPr>
          <w:szCs w:val="22"/>
        </w:rPr>
      </w:pPr>
      <w:r w:rsidRPr="00F661BF">
        <w:rPr>
          <w:szCs w:val="22"/>
        </w:rPr>
        <w:t xml:space="preserve">The trial results remain unchanged from the previous major submission considered in March 2016. </w:t>
      </w:r>
    </w:p>
    <w:p w:rsidR="00423B66" w:rsidRPr="00F661BF" w:rsidRDefault="00423B66" w:rsidP="00423B66">
      <w:pPr>
        <w:pStyle w:val="ListParagraph"/>
        <w:rPr>
          <w:szCs w:val="22"/>
        </w:rPr>
      </w:pPr>
    </w:p>
    <w:p w:rsidR="00423B66" w:rsidRPr="00357391" w:rsidRDefault="00423B66" w:rsidP="00643031">
      <w:pPr>
        <w:pStyle w:val="Heading2"/>
      </w:pPr>
      <w:r w:rsidRPr="00D151AA">
        <w:t>Clinical claim</w:t>
      </w:r>
    </w:p>
    <w:p w:rsidR="00423B66" w:rsidRPr="00F661BF" w:rsidRDefault="00423B66" w:rsidP="00423B66">
      <w:pPr>
        <w:ind w:left="720" w:hanging="720"/>
        <w:rPr>
          <w:szCs w:val="22"/>
        </w:rPr>
      </w:pPr>
    </w:p>
    <w:p w:rsidR="00670F2F" w:rsidRPr="00F661BF" w:rsidRDefault="00670F2F" w:rsidP="00670F2F">
      <w:pPr>
        <w:pStyle w:val="ListParagraph"/>
        <w:numPr>
          <w:ilvl w:val="1"/>
          <w:numId w:val="4"/>
        </w:numPr>
      </w:pPr>
      <w:r w:rsidRPr="00F661BF">
        <w:t>The clinical claim remain</w:t>
      </w:r>
      <w:r w:rsidR="002114C9">
        <w:t>s</w:t>
      </w:r>
      <w:r w:rsidRPr="00F661BF">
        <w:t xml:space="preserve"> unchanged from the original submission. At the March 2016 meeting, the PBAC considered that the clinical claim of superior comparative effectiveness compared to enalapril was reasonable, but th</w:t>
      </w:r>
      <w:r>
        <w:t>e</w:t>
      </w:r>
      <w:r w:rsidRPr="00F661BF">
        <w:t xml:space="preserve"> size of the benefit was uncertain due to the issues with study design and early stopping of </w:t>
      </w:r>
      <w:r w:rsidR="002114C9">
        <w:t xml:space="preserve">the </w:t>
      </w:r>
      <w:r w:rsidRPr="00F661BF">
        <w:t>PARADIGM-HF</w:t>
      </w:r>
      <w:r w:rsidR="002114C9">
        <w:t xml:space="preserve"> trial</w:t>
      </w:r>
      <w:r w:rsidRPr="00F661BF">
        <w:t xml:space="preserve">. The PBAC also considered that the claim of non-inferior comparative safety to enalapril was reasonable, </w:t>
      </w:r>
      <w:r w:rsidR="002114C9">
        <w:t xml:space="preserve">but </w:t>
      </w:r>
      <w:r w:rsidRPr="00F661BF">
        <w:t xml:space="preserve">only in a selected population that tolerated ACE inhibitor therapy.  This selected population may not be generalizable to the proposed PBS population who are not necessarily pre-treated with an ACE inhibitor, and may be older and frailer (7.6 and 7.7, </w:t>
      </w:r>
      <w:r w:rsidRPr="00F661BF">
        <w:rPr>
          <w:szCs w:val="22"/>
        </w:rPr>
        <w:t xml:space="preserve">PBAC </w:t>
      </w:r>
      <w:r w:rsidR="00E237C6">
        <w:rPr>
          <w:szCs w:val="22"/>
        </w:rPr>
        <w:t>Public Summary Document</w:t>
      </w:r>
      <w:r w:rsidRPr="00F661BF">
        <w:rPr>
          <w:szCs w:val="22"/>
        </w:rPr>
        <w:t xml:space="preserve"> March 2016)</w:t>
      </w:r>
      <w:r w:rsidRPr="00F661BF">
        <w:t>.</w:t>
      </w:r>
      <w:r w:rsidR="00BF3D3A">
        <w:t xml:space="preserve"> The minor submission attempted to address the PBAC’s concern by including a criteri</w:t>
      </w:r>
      <w:r w:rsidR="00E2527B">
        <w:t>on</w:t>
      </w:r>
      <w:r w:rsidR="00BF3D3A">
        <w:t xml:space="preserve"> in the proposed restriction that patients must have previous or current use of an ACE-I or ATRA at recommended doses, unless contraindicated or not tolerated. </w:t>
      </w:r>
    </w:p>
    <w:p w:rsidR="00D17D0A" w:rsidRDefault="00D17D0A" w:rsidP="009B0F67">
      <w:pPr>
        <w:pStyle w:val="ListParagraph"/>
        <w:ind w:left="709"/>
        <w:rPr>
          <w:szCs w:val="22"/>
        </w:rPr>
      </w:pPr>
    </w:p>
    <w:p w:rsidR="002456AE" w:rsidRPr="00BF3D3A" w:rsidRDefault="00D17D0A" w:rsidP="00BF3D3A">
      <w:pPr>
        <w:pStyle w:val="ListParagraph"/>
        <w:numPr>
          <w:ilvl w:val="1"/>
          <w:numId w:val="4"/>
        </w:numPr>
      </w:pPr>
      <w:r w:rsidRPr="00E2527B">
        <w:rPr>
          <w:rFonts w:cs="Arial"/>
          <w:bCs/>
          <w:szCs w:val="22"/>
        </w:rPr>
        <w:t>The PBAC</w:t>
      </w:r>
      <w:r w:rsidR="002456AE" w:rsidRPr="00E2527B">
        <w:rPr>
          <w:rFonts w:cs="Arial"/>
          <w:bCs/>
          <w:szCs w:val="22"/>
        </w:rPr>
        <w:t>’s views on the comparative effectiveness and comparative safety of sacubitril/valsartan versus enalapril remained unchanged.</w:t>
      </w:r>
      <w:r w:rsidR="0044294F">
        <w:rPr>
          <w:rFonts w:cs="Arial"/>
          <w:bCs/>
          <w:szCs w:val="22"/>
        </w:rPr>
        <w:t xml:space="preserve"> </w:t>
      </w:r>
    </w:p>
    <w:p w:rsidR="00F57A6D" w:rsidRPr="00882085" w:rsidRDefault="00F57A6D" w:rsidP="00882085">
      <w:pPr>
        <w:ind w:left="720" w:hanging="720"/>
        <w:rPr>
          <w:szCs w:val="22"/>
        </w:rPr>
      </w:pPr>
    </w:p>
    <w:p w:rsidR="005A3173" w:rsidRPr="00357391" w:rsidRDefault="005A3173" w:rsidP="00643031">
      <w:pPr>
        <w:pStyle w:val="Heading2"/>
      </w:pPr>
      <w:r w:rsidRPr="00D151AA">
        <w:t>Economic analysis</w:t>
      </w:r>
    </w:p>
    <w:p w:rsidR="005A3173" w:rsidRPr="00882085" w:rsidRDefault="005A3173" w:rsidP="00D84934">
      <w:pPr>
        <w:pStyle w:val="NoSpacing"/>
      </w:pPr>
    </w:p>
    <w:p w:rsidR="00466964" w:rsidRDefault="009B0F67" w:rsidP="0097216A">
      <w:pPr>
        <w:pStyle w:val="ListParagraph"/>
        <w:numPr>
          <w:ilvl w:val="1"/>
          <w:numId w:val="1"/>
        </w:numPr>
        <w:rPr>
          <w:szCs w:val="22"/>
        </w:rPr>
      </w:pPr>
      <w:r>
        <w:rPr>
          <w:szCs w:val="22"/>
        </w:rPr>
        <w:t xml:space="preserve">In the previous major submission considered by PBAC in </w:t>
      </w:r>
      <w:r w:rsidR="00F661BF">
        <w:rPr>
          <w:szCs w:val="22"/>
        </w:rPr>
        <w:t>March</w:t>
      </w:r>
      <w:r>
        <w:rPr>
          <w:szCs w:val="22"/>
        </w:rPr>
        <w:t xml:space="preserve"> 20</w:t>
      </w:r>
      <w:r w:rsidR="00F661BF">
        <w:rPr>
          <w:szCs w:val="22"/>
        </w:rPr>
        <w:t>16</w:t>
      </w:r>
      <w:r>
        <w:rPr>
          <w:szCs w:val="22"/>
        </w:rPr>
        <w:t xml:space="preserve">, the submission presented </w:t>
      </w:r>
      <w:r w:rsidR="00F661BF">
        <w:rPr>
          <w:szCs w:val="22"/>
        </w:rPr>
        <w:t xml:space="preserve">a </w:t>
      </w:r>
      <w:r>
        <w:rPr>
          <w:szCs w:val="22"/>
        </w:rPr>
        <w:t xml:space="preserve">cost-effectiveness analysis </w:t>
      </w:r>
      <w:r w:rsidR="00853E8C">
        <w:rPr>
          <w:szCs w:val="22"/>
        </w:rPr>
        <w:t>comparing sacubitril/valsartan with</w:t>
      </w:r>
      <w:r>
        <w:rPr>
          <w:szCs w:val="22"/>
        </w:rPr>
        <w:t xml:space="preserve"> </w:t>
      </w:r>
      <w:r w:rsidR="00F661BF">
        <w:rPr>
          <w:szCs w:val="22"/>
        </w:rPr>
        <w:t>enalapril</w:t>
      </w:r>
      <w:r>
        <w:rPr>
          <w:szCs w:val="22"/>
        </w:rPr>
        <w:t xml:space="preserve">.  </w:t>
      </w:r>
      <w:r w:rsidR="00466964">
        <w:rPr>
          <w:szCs w:val="22"/>
        </w:rPr>
        <w:t xml:space="preserve">The PBAC considered that </w:t>
      </w:r>
      <w:r w:rsidR="003C427F">
        <w:rPr>
          <w:szCs w:val="22"/>
        </w:rPr>
        <w:t>the submission’s model failed to reflect the progression of patients though heart failure</w:t>
      </w:r>
      <w:r w:rsidR="006C707F">
        <w:rPr>
          <w:szCs w:val="22"/>
        </w:rPr>
        <w:t xml:space="preserve">, </w:t>
      </w:r>
      <w:r w:rsidR="00670F2F">
        <w:rPr>
          <w:szCs w:val="22"/>
        </w:rPr>
        <w:t>and</w:t>
      </w:r>
      <w:r w:rsidR="003C427F">
        <w:rPr>
          <w:szCs w:val="22"/>
        </w:rPr>
        <w:t xml:space="preserve"> the </w:t>
      </w:r>
      <w:r w:rsidR="00536986">
        <w:rPr>
          <w:szCs w:val="22"/>
        </w:rPr>
        <w:t>incremental cost effectiveness ratio (</w:t>
      </w:r>
      <w:r w:rsidR="003C427F">
        <w:rPr>
          <w:szCs w:val="22"/>
        </w:rPr>
        <w:t>ICER</w:t>
      </w:r>
      <w:r w:rsidR="00536986">
        <w:rPr>
          <w:szCs w:val="22"/>
        </w:rPr>
        <w:t>)</w:t>
      </w:r>
      <w:r w:rsidR="003C427F">
        <w:rPr>
          <w:szCs w:val="22"/>
        </w:rPr>
        <w:t xml:space="preserve"> generated was not reliable and therefore the cost-effectiveness of sacubitril/valsartan was unknown. In particular, the PBAC were concerned that the model assumed that the underlying risk of cardiovascular mortality was the same as t</w:t>
      </w:r>
      <w:r w:rsidR="00B860C1">
        <w:rPr>
          <w:szCs w:val="22"/>
        </w:rPr>
        <w:t>hat of the patients in PARADIGM-</w:t>
      </w:r>
      <w:r w:rsidR="003C427F">
        <w:rPr>
          <w:szCs w:val="22"/>
        </w:rPr>
        <w:t>HF and that this risk was independent of age, NYHA class and other covariates (7.9, March 2016 PBAC Meeting, Item 5.10)</w:t>
      </w:r>
      <w:r w:rsidR="0034454E">
        <w:rPr>
          <w:szCs w:val="22"/>
        </w:rPr>
        <w:t>.</w:t>
      </w:r>
    </w:p>
    <w:p w:rsidR="00466964" w:rsidRDefault="00466964" w:rsidP="00466964">
      <w:pPr>
        <w:pStyle w:val="ListParagraph"/>
        <w:rPr>
          <w:szCs w:val="22"/>
        </w:rPr>
      </w:pPr>
    </w:p>
    <w:p w:rsidR="00F661BF" w:rsidRDefault="009B0F67" w:rsidP="0097216A">
      <w:pPr>
        <w:pStyle w:val="ListParagraph"/>
        <w:numPr>
          <w:ilvl w:val="1"/>
          <w:numId w:val="1"/>
        </w:numPr>
        <w:rPr>
          <w:szCs w:val="22"/>
        </w:rPr>
      </w:pPr>
      <w:r>
        <w:rPr>
          <w:szCs w:val="22"/>
        </w:rPr>
        <w:t>The minor re-submission does not alter the eco</w:t>
      </w:r>
      <w:r w:rsidR="00F661BF">
        <w:rPr>
          <w:szCs w:val="22"/>
        </w:rPr>
        <w:t xml:space="preserve">nomic model structure from </w:t>
      </w:r>
      <w:r w:rsidR="00853E8C">
        <w:rPr>
          <w:szCs w:val="22"/>
        </w:rPr>
        <w:t xml:space="preserve">the submission considered in </w:t>
      </w:r>
      <w:r w:rsidR="00F661BF">
        <w:rPr>
          <w:szCs w:val="22"/>
        </w:rPr>
        <w:t>March</w:t>
      </w:r>
      <w:r>
        <w:rPr>
          <w:szCs w:val="22"/>
        </w:rPr>
        <w:t xml:space="preserve"> 20</w:t>
      </w:r>
      <w:r w:rsidR="00F661BF">
        <w:rPr>
          <w:szCs w:val="22"/>
        </w:rPr>
        <w:t>16</w:t>
      </w:r>
      <w:r>
        <w:rPr>
          <w:szCs w:val="22"/>
        </w:rPr>
        <w:t xml:space="preserve"> but</w:t>
      </w:r>
      <w:r w:rsidR="00853E8C">
        <w:rPr>
          <w:szCs w:val="22"/>
        </w:rPr>
        <w:t>,</w:t>
      </w:r>
      <w:r>
        <w:rPr>
          <w:szCs w:val="22"/>
        </w:rPr>
        <w:t xml:space="preserve"> as noted above</w:t>
      </w:r>
      <w:r w:rsidR="00C00DA7">
        <w:rPr>
          <w:szCs w:val="22"/>
        </w:rPr>
        <w:t xml:space="preserve"> under </w:t>
      </w:r>
      <w:r w:rsidR="00F661BF">
        <w:rPr>
          <w:szCs w:val="22"/>
        </w:rPr>
        <w:t>‘Background’</w:t>
      </w:r>
      <w:r w:rsidRPr="00C00DA7">
        <w:rPr>
          <w:szCs w:val="22"/>
        </w:rPr>
        <w:t xml:space="preserve">, </w:t>
      </w:r>
      <w:r w:rsidR="00C00DA7" w:rsidRPr="00C00DA7">
        <w:rPr>
          <w:szCs w:val="22"/>
        </w:rPr>
        <w:t>seeks to re</w:t>
      </w:r>
      <w:r w:rsidR="00853E8C">
        <w:rPr>
          <w:szCs w:val="22"/>
        </w:rPr>
        <w:t>-</w:t>
      </w:r>
      <w:r w:rsidR="00C00DA7" w:rsidRPr="00C00DA7">
        <w:rPr>
          <w:szCs w:val="22"/>
        </w:rPr>
        <w:t>specify the best estimate of the base case ICER by</w:t>
      </w:r>
      <w:r w:rsidR="00F661BF">
        <w:rPr>
          <w:szCs w:val="22"/>
        </w:rPr>
        <w:t>:</w:t>
      </w:r>
    </w:p>
    <w:p w:rsidR="00E854EB" w:rsidRDefault="00B860C1" w:rsidP="0097216A">
      <w:pPr>
        <w:pStyle w:val="ListParagraph"/>
        <w:numPr>
          <w:ilvl w:val="0"/>
          <w:numId w:val="6"/>
        </w:numPr>
        <w:tabs>
          <w:tab w:val="clear" w:pos="720"/>
          <w:tab w:val="num" w:pos="1134"/>
        </w:tabs>
        <w:spacing w:after="160" w:line="259" w:lineRule="auto"/>
        <w:ind w:left="1134"/>
      </w:pPr>
      <w:r>
        <w:t>Introducing</w:t>
      </w:r>
      <w:r w:rsidR="00E854EB">
        <w:t xml:space="preserve"> a flat-pricing structure in line with </w:t>
      </w:r>
      <w:r w:rsidR="002E6406">
        <w:t xml:space="preserve">the </w:t>
      </w:r>
      <w:r w:rsidR="00E854EB">
        <w:t xml:space="preserve">PBAC </w:t>
      </w:r>
      <w:r w:rsidR="009374A6">
        <w:t>Public Summary Document March 2016</w:t>
      </w:r>
      <w:r w:rsidR="00E854EB" w:rsidRPr="007C294D">
        <w:t xml:space="preserve"> (</w:t>
      </w:r>
      <w:r w:rsidR="007C294D" w:rsidRPr="007C294D">
        <w:t>7.5</w:t>
      </w:r>
      <w:r w:rsidR="00E854EB">
        <w:t>)</w:t>
      </w:r>
      <w:r w:rsidR="002E6406">
        <w:t xml:space="preserve"> and</w:t>
      </w:r>
      <w:r w:rsidR="00E854EB">
        <w:t xml:space="preserve"> based on a selected price/day. </w:t>
      </w:r>
      <w:r w:rsidR="003C427F">
        <w:t xml:space="preserve">The submission </w:t>
      </w:r>
      <w:r w:rsidR="00E72146">
        <w:t>proposed a price/day of $</w:t>
      </w:r>
      <w:r w:rsidR="00643031">
        <w:rPr>
          <w:noProof/>
          <w:color w:val="000000"/>
          <w:highlight w:val="black"/>
        </w:rPr>
        <w:t>''''''''''</w:t>
      </w:r>
      <w:r w:rsidR="00E72146">
        <w:t xml:space="preserve">, and stated that this represented an </w:t>
      </w:r>
      <w:r w:rsidR="003C427F">
        <w:t xml:space="preserve">overall </w:t>
      </w:r>
      <w:r w:rsidR="00643031">
        <w:rPr>
          <w:noProof/>
          <w:color w:val="000000"/>
          <w:highlight w:val="black"/>
        </w:rPr>
        <w:t>''''''</w:t>
      </w:r>
      <w:r w:rsidR="003C427F">
        <w:t xml:space="preserve">% price reduction from </w:t>
      </w:r>
      <w:r w:rsidR="00E72146">
        <w:t>the previous major submission (</w:t>
      </w:r>
      <w:r w:rsidR="003C427F">
        <w:t>$</w:t>
      </w:r>
      <w:r w:rsidR="00643031">
        <w:rPr>
          <w:noProof/>
          <w:color w:val="000000"/>
          <w:highlight w:val="black"/>
        </w:rPr>
        <w:t>'''</w:t>
      </w:r>
      <w:r w:rsidR="003C427F">
        <w:t>/day</w:t>
      </w:r>
      <w:r w:rsidR="00E72146">
        <w:t>)</w:t>
      </w:r>
      <w:r w:rsidR="002E6406">
        <w:t>. The price change</w:t>
      </w:r>
      <w:r w:rsidR="003C427F">
        <w:t xml:space="preserve"> was introduced in order to address uncertainties in the ICER estimated by the model</w:t>
      </w:r>
      <w:r w:rsidR="00333F7A">
        <w:t>; and</w:t>
      </w:r>
    </w:p>
    <w:p w:rsidR="00E854EB" w:rsidRPr="00466964" w:rsidRDefault="002E6406" w:rsidP="0097216A">
      <w:pPr>
        <w:pStyle w:val="ListParagraph"/>
        <w:numPr>
          <w:ilvl w:val="0"/>
          <w:numId w:val="6"/>
        </w:numPr>
        <w:tabs>
          <w:tab w:val="clear" w:pos="720"/>
          <w:tab w:val="num" w:pos="1134"/>
        </w:tabs>
        <w:spacing w:after="160" w:line="259" w:lineRule="auto"/>
        <w:ind w:left="1134"/>
      </w:pPr>
      <w:r>
        <w:t>Including w</w:t>
      </w:r>
      <w:r w:rsidR="00E854EB">
        <w:t xml:space="preserve">eightings for the respective dose levels in the model. The submission states that this was </w:t>
      </w:r>
      <w:r>
        <w:t xml:space="preserve">done </w:t>
      </w:r>
      <w:r w:rsidR="00E854EB">
        <w:t xml:space="preserve">to reflect real world utilisation across the </w:t>
      </w:r>
      <w:r w:rsidR="00E72146">
        <w:t>three</w:t>
      </w:r>
      <w:r w:rsidR="00E854EB">
        <w:t xml:space="preserve"> dosing levels for sacubitril/valsartan and the comparator (33.3/33.3/33.3). </w:t>
      </w:r>
      <w:r w:rsidR="00E854EB" w:rsidRPr="001E716C">
        <w:t>This ha</w:t>
      </w:r>
      <w:r w:rsidR="001E716C" w:rsidRPr="001E716C">
        <w:t>d</w:t>
      </w:r>
      <w:r w:rsidR="00E854EB" w:rsidRPr="001E716C">
        <w:t xml:space="preserve"> no impact on the expected cost of sacubitril/valsartan due to the flat pricing structure. The minor </w:t>
      </w:r>
      <w:r w:rsidR="00670F2F" w:rsidRPr="001E716C">
        <w:t>re-</w:t>
      </w:r>
      <w:r w:rsidR="00E854EB" w:rsidRPr="001E716C">
        <w:t>submission state</w:t>
      </w:r>
      <w:r w:rsidR="001E716C" w:rsidRPr="001E716C">
        <w:t>d</w:t>
      </w:r>
      <w:r w:rsidR="00E854EB" w:rsidRPr="001E716C">
        <w:t xml:space="preserve"> that the application of eq</w:t>
      </w:r>
      <w:r w:rsidR="00E854EB" w:rsidRPr="00FD50CA">
        <w:t xml:space="preserve">ual weighting </w:t>
      </w:r>
      <w:r w:rsidR="00E854EB" w:rsidRPr="00FD50CA">
        <w:lastRenderedPageBreak/>
        <w:t>to the comparator arm serves to reduce the cost of the comparator, which is a conservative assumption</w:t>
      </w:r>
      <w:r w:rsidR="00333F7A" w:rsidRPr="00FD50CA">
        <w:t>.</w:t>
      </w:r>
      <w:r w:rsidR="00333F7A">
        <w:rPr>
          <w:i/>
        </w:rPr>
        <w:t xml:space="preserve"> </w:t>
      </w:r>
    </w:p>
    <w:p w:rsidR="00466964" w:rsidRDefault="00466964" w:rsidP="003C427F">
      <w:pPr>
        <w:pStyle w:val="ListParagraph"/>
        <w:spacing w:after="160" w:line="259" w:lineRule="auto"/>
        <w:ind w:left="1134"/>
      </w:pPr>
    </w:p>
    <w:p w:rsidR="003C427F" w:rsidRPr="007C294D" w:rsidRDefault="003C427F" w:rsidP="007C294D">
      <w:pPr>
        <w:pStyle w:val="ListParagraph"/>
        <w:numPr>
          <w:ilvl w:val="1"/>
          <w:numId w:val="1"/>
        </w:numPr>
        <w:rPr>
          <w:szCs w:val="22"/>
        </w:rPr>
      </w:pPr>
      <w:r w:rsidRPr="007C294D">
        <w:rPr>
          <w:szCs w:val="22"/>
        </w:rPr>
        <w:t>Results of the economic model are provided below.</w:t>
      </w:r>
    </w:p>
    <w:p w:rsidR="00792A13" w:rsidRPr="00792A13" w:rsidRDefault="00792A13" w:rsidP="00792A13">
      <w:pPr>
        <w:pStyle w:val="ListParagraph"/>
        <w:spacing w:after="160" w:line="259" w:lineRule="auto"/>
        <w:ind w:left="1134"/>
      </w:pPr>
    </w:p>
    <w:p w:rsidR="00792A13" w:rsidRPr="00792A13" w:rsidRDefault="00792A13" w:rsidP="00536986">
      <w:pPr>
        <w:pStyle w:val="ListParagraph"/>
        <w:spacing w:line="259" w:lineRule="auto"/>
        <w:ind w:left="709"/>
        <w:rPr>
          <w:rFonts w:ascii="Arial Narrow" w:hAnsi="Arial Narrow"/>
          <w:b/>
          <w:sz w:val="20"/>
        </w:rPr>
      </w:pPr>
      <w:r w:rsidRPr="00792A13">
        <w:rPr>
          <w:rFonts w:ascii="Arial Narrow" w:hAnsi="Arial Narrow"/>
          <w:b/>
          <w:sz w:val="20"/>
        </w:rPr>
        <w:t xml:space="preserve">Table </w:t>
      </w:r>
      <w:r w:rsidR="00466B19">
        <w:rPr>
          <w:rFonts w:ascii="Arial Narrow" w:hAnsi="Arial Narrow"/>
          <w:b/>
          <w:sz w:val="20"/>
        </w:rPr>
        <w:t>2</w:t>
      </w:r>
      <w:r w:rsidRPr="00792A13">
        <w:rPr>
          <w:rFonts w:ascii="Arial Narrow" w:hAnsi="Arial Narrow"/>
          <w:b/>
          <w:sz w:val="20"/>
        </w:rPr>
        <w:t>: Results of the economic evaluation</w:t>
      </w:r>
    </w:p>
    <w:tbl>
      <w:tblPr>
        <w:tblW w:w="4525"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5"/>
        <w:gridCol w:w="1403"/>
        <w:gridCol w:w="1402"/>
        <w:gridCol w:w="1403"/>
        <w:gridCol w:w="1402"/>
        <w:gridCol w:w="1469"/>
      </w:tblGrid>
      <w:tr w:rsidR="00C9757F" w:rsidRPr="00792A13" w:rsidTr="00C841F2">
        <w:trPr>
          <w:trHeight w:val="464"/>
        </w:trPr>
        <w:tc>
          <w:tcPr>
            <w:tcW w:w="768" w:type="pct"/>
            <w:tcBorders>
              <w:bottom w:val="single" w:sz="4" w:space="0" w:color="auto"/>
            </w:tcBorders>
            <w:shd w:val="clear" w:color="auto" w:fill="auto"/>
            <w:noWrap/>
            <w:vAlign w:val="bottom"/>
            <w:hideMark/>
          </w:tcPr>
          <w:p w:rsidR="00C9757F" w:rsidRPr="00792A13" w:rsidRDefault="00C9757F" w:rsidP="0024288D">
            <w:pPr>
              <w:pStyle w:val="PBACTableText"/>
              <w:spacing w:before="0" w:after="0"/>
              <w:jc w:val="center"/>
              <w:rPr>
                <w:rFonts w:ascii="Arial Narrow" w:hAnsi="Arial Narrow"/>
                <w:b/>
                <w:sz w:val="20"/>
              </w:rPr>
            </w:pPr>
          </w:p>
        </w:tc>
        <w:tc>
          <w:tcPr>
            <w:tcW w:w="839" w:type="pct"/>
            <w:tcBorders>
              <w:bottom w:val="single" w:sz="4" w:space="0" w:color="auto"/>
            </w:tcBorders>
            <w:shd w:val="clear" w:color="auto" w:fill="auto"/>
            <w:noWrap/>
            <w:vAlign w:val="center"/>
            <w:hideMark/>
          </w:tcPr>
          <w:p w:rsidR="00C9757F" w:rsidRPr="00792A13" w:rsidRDefault="00792A13" w:rsidP="0024288D">
            <w:pPr>
              <w:pStyle w:val="PBACTableText"/>
              <w:spacing w:before="0" w:after="0"/>
              <w:jc w:val="center"/>
              <w:rPr>
                <w:rFonts w:ascii="Arial Narrow" w:hAnsi="Arial Narrow"/>
                <w:b/>
                <w:sz w:val="20"/>
              </w:rPr>
            </w:pPr>
            <w:r>
              <w:rPr>
                <w:rFonts w:ascii="Arial Narrow" w:hAnsi="Arial Narrow"/>
                <w:b/>
                <w:sz w:val="20"/>
              </w:rPr>
              <w:t>Sacubitril/ valsartan</w:t>
            </w:r>
          </w:p>
        </w:tc>
        <w:tc>
          <w:tcPr>
            <w:tcW w:w="838" w:type="pct"/>
            <w:tcBorders>
              <w:bottom w:val="single" w:sz="4" w:space="0" w:color="auto"/>
            </w:tcBorders>
            <w:shd w:val="clear" w:color="auto" w:fill="auto"/>
            <w:noWrap/>
            <w:vAlign w:val="center"/>
            <w:hideMark/>
          </w:tcPr>
          <w:p w:rsidR="00C9757F" w:rsidRPr="00792A13" w:rsidRDefault="00C9757F" w:rsidP="0024288D">
            <w:pPr>
              <w:pStyle w:val="PBACTableText"/>
              <w:spacing w:before="0" w:after="0"/>
              <w:jc w:val="center"/>
              <w:rPr>
                <w:rFonts w:ascii="Arial Narrow" w:hAnsi="Arial Narrow"/>
                <w:b/>
                <w:sz w:val="20"/>
              </w:rPr>
            </w:pPr>
            <w:r w:rsidRPr="00792A13">
              <w:rPr>
                <w:rFonts w:ascii="Arial Narrow" w:hAnsi="Arial Narrow"/>
                <w:b/>
                <w:sz w:val="20"/>
              </w:rPr>
              <w:t>Enalapril</w:t>
            </w:r>
          </w:p>
        </w:tc>
        <w:tc>
          <w:tcPr>
            <w:tcW w:w="839" w:type="pct"/>
            <w:tcBorders>
              <w:bottom w:val="single" w:sz="4" w:space="0" w:color="auto"/>
            </w:tcBorders>
            <w:shd w:val="clear" w:color="auto" w:fill="auto"/>
            <w:noWrap/>
            <w:vAlign w:val="center"/>
            <w:hideMark/>
          </w:tcPr>
          <w:p w:rsidR="00C9757F" w:rsidRPr="00792A13" w:rsidRDefault="00C9757F" w:rsidP="0024288D">
            <w:pPr>
              <w:pStyle w:val="PBACTableText"/>
              <w:spacing w:before="0" w:after="0"/>
              <w:jc w:val="center"/>
              <w:rPr>
                <w:rFonts w:ascii="Arial Narrow" w:hAnsi="Arial Narrow"/>
                <w:b/>
                <w:sz w:val="20"/>
              </w:rPr>
            </w:pPr>
            <w:r w:rsidRPr="00792A13">
              <w:rPr>
                <w:rFonts w:ascii="Arial Narrow" w:hAnsi="Arial Narrow"/>
                <w:b/>
                <w:sz w:val="20"/>
              </w:rPr>
              <w:t>Incremental</w:t>
            </w:r>
          </w:p>
        </w:tc>
        <w:tc>
          <w:tcPr>
            <w:tcW w:w="838" w:type="pct"/>
            <w:tcBorders>
              <w:bottom w:val="single" w:sz="4" w:space="0" w:color="auto"/>
            </w:tcBorders>
          </w:tcPr>
          <w:p w:rsidR="00C9757F" w:rsidRPr="00792A13" w:rsidRDefault="00C9757F" w:rsidP="0024288D">
            <w:pPr>
              <w:pStyle w:val="PBACTableText"/>
              <w:spacing w:before="0" w:after="0"/>
              <w:jc w:val="center"/>
              <w:rPr>
                <w:rFonts w:ascii="Arial Narrow" w:hAnsi="Arial Narrow"/>
                <w:b/>
                <w:sz w:val="20"/>
              </w:rPr>
            </w:pPr>
            <w:r w:rsidRPr="00792A13">
              <w:rPr>
                <w:rFonts w:ascii="Arial Narrow" w:hAnsi="Arial Narrow"/>
                <w:b/>
                <w:sz w:val="20"/>
              </w:rPr>
              <w:t>ICER</w:t>
            </w:r>
          </w:p>
          <w:p w:rsidR="00C9757F" w:rsidRPr="00792A13" w:rsidRDefault="00C9757F" w:rsidP="0024288D">
            <w:pPr>
              <w:pStyle w:val="PBACTableText"/>
              <w:spacing w:before="0" w:after="0"/>
              <w:jc w:val="center"/>
              <w:rPr>
                <w:rFonts w:ascii="Arial Narrow" w:hAnsi="Arial Narrow"/>
                <w:b/>
                <w:sz w:val="20"/>
              </w:rPr>
            </w:pPr>
            <w:r w:rsidRPr="00792A13">
              <w:rPr>
                <w:rFonts w:ascii="Arial Narrow" w:hAnsi="Arial Narrow"/>
                <w:b/>
                <w:sz w:val="20"/>
              </w:rPr>
              <w:t>(</w:t>
            </w:r>
            <w:r w:rsidR="007C294D">
              <w:rPr>
                <w:rFonts w:ascii="Arial Narrow" w:hAnsi="Arial Narrow"/>
                <w:b/>
                <w:sz w:val="20"/>
              </w:rPr>
              <w:t>$/</w:t>
            </w:r>
            <w:r w:rsidRPr="00792A13">
              <w:rPr>
                <w:rFonts w:ascii="Arial Narrow" w:hAnsi="Arial Narrow"/>
                <w:b/>
                <w:sz w:val="20"/>
              </w:rPr>
              <w:t>LY)</w:t>
            </w:r>
          </w:p>
        </w:tc>
        <w:tc>
          <w:tcPr>
            <w:tcW w:w="877" w:type="pct"/>
            <w:tcBorders>
              <w:bottom w:val="single" w:sz="4" w:space="0" w:color="auto"/>
            </w:tcBorders>
          </w:tcPr>
          <w:p w:rsidR="00C9757F" w:rsidRPr="00792A13" w:rsidRDefault="00C9757F" w:rsidP="0024288D">
            <w:pPr>
              <w:pStyle w:val="PBACTableText"/>
              <w:spacing w:before="0" w:after="0"/>
              <w:jc w:val="center"/>
              <w:rPr>
                <w:rFonts w:ascii="Arial Narrow" w:hAnsi="Arial Narrow"/>
                <w:b/>
                <w:sz w:val="20"/>
              </w:rPr>
            </w:pPr>
            <w:r w:rsidRPr="00792A13">
              <w:rPr>
                <w:rFonts w:ascii="Arial Narrow" w:hAnsi="Arial Narrow"/>
                <w:b/>
                <w:sz w:val="20"/>
              </w:rPr>
              <w:t>ICER (</w:t>
            </w:r>
            <w:r w:rsidR="007C294D">
              <w:rPr>
                <w:rFonts w:ascii="Arial Narrow" w:hAnsi="Arial Narrow"/>
                <w:b/>
                <w:sz w:val="20"/>
              </w:rPr>
              <w:t>$/</w:t>
            </w:r>
            <w:r w:rsidRPr="00792A13">
              <w:rPr>
                <w:rFonts w:ascii="Arial Narrow" w:hAnsi="Arial Narrow"/>
                <w:b/>
                <w:sz w:val="20"/>
              </w:rPr>
              <w:t>QALY)</w:t>
            </w:r>
          </w:p>
        </w:tc>
      </w:tr>
      <w:tr w:rsidR="00792A13" w:rsidRPr="00792A13" w:rsidTr="00C841F2">
        <w:trPr>
          <w:trHeight w:val="224"/>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792A13" w:rsidRPr="00792A13" w:rsidRDefault="00792A13" w:rsidP="0024288D">
            <w:pPr>
              <w:pStyle w:val="PBACTableText"/>
              <w:spacing w:before="0" w:after="0"/>
              <w:rPr>
                <w:rFonts w:ascii="Arial Narrow" w:hAnsi="Arial Narrow"/>
                <w:sz w:val="20"/>
              </w:rPr>
            </w:pPr>
            <w:r w:rsidRPr="00792A13">
              <w:rPr>
                <w:rFonts w:ascii="Arial Narrow" w:hAnsi="Arial Narrow"/>
                <w:b/>
                <w:sz w:val="20"/>
              </w:rPr>
              <w:t>Minor</w:t>
            </w:r>
            <w:r>
              <w:rPr>
                <w:rFonts w:ascii="Arial Narrow" w:hAnsi="Arial Narrow"/>
                <w:b/>
                <w:sz w:val="20"/>
              </w:rPr>
              <w:t xml:space="preserve"> </w:t>
            </w:r>
            <w:r w:rsidR="00670F2F">
              <w:rPr>
                <w:rFonts w:ascii="Arial Narrow" w:hAnsi="Arial Narrow"/>
                <w:b/>
                <w:sz w:val="20"/>
              </w:rPr>
              <w:t>re-</w:t>
            </w:r>
            <w:r>
              <w:rPr>
                <w:rFonts w:ascii="Arial Narrow" w:hAnsi="Arial Narrow"/>
                <w:b/>
                <w:sz w:val="20"/>
              </w:rPr>
              <w:t>submission</w:t>
            </w:r>
          </w:p>
        </w:tc>
      </w:tr>
      <w:tr w:rsidR="00792A13" w:rsidRPr="00792A13" w:rsidTr="00C841F2">
        <w:trPr>
          <w:trHeight w:val="240"/>
        </w:trPr>
        <w:tc>
          <w:tcPr>
            <w:tcW w:w="768" w:type="pct"/>
            <w:tcBorders>
              <w:top w:val="single" w:sz="4" w:space="0" w:color="auto"/>
            </w:tcBorders>
            <w:shd w:val="clear" w:color="auto" w:fill="auto"/>
            <w:noWrap/>
            <w:vAlign w:val="bottom"/>
            <w:hideMark/>
          </w:tcPr>
          <w:p w:rsidR="00792A13" w:rsidRPr="00792A13" w:rsidRDefault="00792A13" w:rsidP="0024288D">
            <w:pPr>
              <w:pStyle w:val="PBACTableText"/>
              <w:spacing w:before="0" w:after="0"/>
              <w:rPr>
                <w:rFonts w:ascii="Arial Narrow" w:hAnsi="Arial Narrow"/>
                <w:sz w:val="20"/>
              </w:rPr>
            </w:pPr>
            <w:r w:rsidRPr="00792A13">
              <w:rPr>
                <w:rFonts w:ascii="Arial Narrow" w:hAnsi="Arial Narrow"/>
                <w:sz w:val="20"/>
              </w:rPr>
              <w:t xml:space="preserve">Cost </w:t>
            </w:r>
          </w:p>
        </w:tc>
        <w:tc>
          <w:tcPr>
            <w:tcW w:w="839" w:type="pct"/>
            <w:tcBorders>
              <w:top w:val="single" w:sz="4" w:space="0" w:color="auto"/>
            </w:tcBorders>
            <w:shd w:val="clear" w:color="auto" w:fill="auto"/>
            <w:noWrap/>
            <w:vAlign w:val="bottom"/>
          </w:tcPr>
          <w:p w:rsidR="00792A13" w:rsidRPr="00792A13" w:rsidRDefault="00792A13" w:rsidP="0024288D">
            <w:pPr>
              <w:pStyle w:val="PBACTableText"/>
              <w:spacing w:before="0" w:after="0"/>
              <w:jc w:val="center"/>
              <w:rPr>
                <w:rFonts w:ascii="Arial Narrow" w:hAnsi="Arial Narrow"/>
                <w:sz w:val="20"/>
              </w:rPr>
            </w:pPr>
            <w:r w:rsidRPr="00792A13">
              <w:rPr>
                <w:rFonts w:ascii="Arial Narrow" w:hAnsi="Arial Narrow"/>
                <w:sz w:val="20"/>
              </w:rPr>
              <w:t>$</w:t>
            </w:r>
            <w:r w:rsidR="00643031">
              <w:rPr>
                <w:rFonts w:ascii="Arial Narrow" w:hAnsi="Arial Narrow"/>
                <w:noProof/>
                <w:color w:val="000000"/>
                <w:sz w:val="20"/>
                <w:highlight w:val="black"/>
              </w:rPr>
              <w:t>''''''''''''''''</w:t>
            </w:r>
          </w:p>
        </w:tc>
        <w:tc>
          <w:tcPr>
            <w:tcW w:w="838" w:type="pct"/>
            <w:tcBorders>
              <w:top w:val="single" w:sz="4" w:space="0" w:color="auto"/>
            </w:tcBorders>
            <w:shd w:val="clear" w:color="auto" w:fill="auto"/>
            <w:noWrap/>
            <w:vAlign w:val="bottom"/>
          </w:tcPr>
          <w:p w:rsidR="00792A13" w:rsidRPr="00792A13" w:rsidRDefault="00792A13" w:rsidP="0024288D">
            <w:pPr>
              <w:pStyle w:val="PBACTableText"/>
              <w:spacing w:before="0" w:after="0"/>
              <w:jc w:val="center"/>
              <w:rPr>
                <w:rFonts w:ascii="Arial Narrow" w:hAnsi="Arial Narrow"/>
                <w:sz w:val="20"/>
              </w:rPr>
            </w:pPr>
            <w:r w:rsidRPr="00792A13">
              <w:rPr>
                <w:rFonts w:ascii="Arial Narrow" w:hAnsi="Arial Narrow"/>
                <w:sz w:val="20"/>
              </w:rPr>
              <w:t>$</w:t>
            </w:r>
            <w:r w:rsidR="00643031">
              <w:rPr>
                <w:rFonts w:ascii="Arial Narrow" w:hAnsi="Arial Narrow"/>
                <w:noProof/>
                <w:color w:val="000000"/>
                <w:sz w:val="20"/>
                <w:highlight w:val="black"/>
              </w:rPr>
              <w:t>''''''''''''''''</w:t>
            </w:r>
          </w:p>
        </w:tc>
        <w:tc>
          <w:tcPr>
            <w:tcW w:w="839" w:type="pct"/>
            <w:tcBorders>
              <w:top w:val="single" w:sz="4" w:space="0" w:color="auto"/>
              <w:right w:val="single" w:sz="4" w:space="0" w:color="auto"/>
            </w:tcBorders>
            <w:shd w:val="clear" w:color="auto" w:fill="auto"/>
            <w:noWrap/>
            <w:vAlign w:val="bottom"/>
          </w:tcPr>
          <w:p w:rsidR="00792A13" w:rsidRPr="00792A13" w:rsidRDefault="00792A13" w:rsidP="0024288D">
            <w:pPr>
              <w:pStyle w:val="PBACTableText"/>
              <w:spacing w:before="0" w:after="0"/>
              <w:jc w:val="center"/>
              <w:rPr>
                <w:rFonts w:ascii="Arial Narrow" w:hAnsi="Arial Narrow"/>
                <w:sz w:val="20"/>
              </w:rPr>
            </w:pPr>
            <w:r w:rsidRPr="00792A13">
              <w:rPr>
                <w:rFonts w:ascii="Arial Narrow" w:hAnsi="Arial Narrow"/>
                <w:sz w:val="20"/>
              </w:rPr>
              <w:t>$</w:t>
            </w:r>
            <w:r w:rsidR="00643031">
              <w:rPr>
                <w:rFonts w:ascii="Arial Narrow" w:hAnsi="Arial Narrow"/>
                <w:noProof/>
                <w:color w:val="000000"/>
                <w:sz w:val="20"/>
                <w:highlight w:val="black"/>
              </w:rPr>
              <w:t>''''''''''''''</w:t>
            </w:r>
          </w:p>
        </w:tc>
        <w:tc>
          <w:tcPr>
            <w:tcW w:w="838" w:type="pct"/>
            <w:vMerge w:val="restart"/>
            <w:tcBorders>
              <w:top w:val="single" w:sz="4" w:space="0" w:color="auto"/>
              <w:left w:val="single" w:sz="4" w:space="0" w:color="auto"/>
              <w:right w:val="single" w:sz="4" w:space="0" w:color="auto"/>
            </w:tcBorders>
            <w:vAlign w:val="center"/>
          </w:tcPr>
          <w:p w:rsidR="00792A13" w:rsidRPr="00792A13" w:rsidRDefault="00792A13" w:rsidP="0024288D">
            <w:pPr>
              <w:pStyle w:val="PBACTableText"/>
              <w:spacing w:before="0" w:after="0"/>
              <w:jc w:val="center"/>
              <w:rPr>
                <w:rFonts w:ascii="Arial Narrow" w:hAnsi="Arial Narrow"/>
                <w:sz w:val="20"/>
              </w:rPr>
            </w:pPr>
            <w:r w:rsidRPr="00792A13">
              <w:rPr>
                <w:rFonts w:ascii="Arial Narrow" w:hAnsi="Arial Narrow"/>
                <w:sz w:val="20"/>
              </w:rPr>
              <w:t>$</w:t>
            </w:r>
            <w:r w:rsidR="00643031">
              <w:rPr>
                <w:rFonts w:ascii="Arial Narrow" w:hAnsi="Arial Narrow"/>
                <w:noProof/>
                <w:color w:val="000000"/>
                <w:sz w:val="20"/>
                <w:highlight w:val="black"/>
              </w:rPr>
              <w:t>'''''''''''''''</w:t>
            </w:r>
          </w:p>
        </w:tc>
        <w:tc>
          <w:tcPr>
            <w:tcW w:w="877" w:type="pct"/>
            <w:vMerge w:val="restart"/>
            <w:tcBorders>
              <w:top w:val="single" w:sz="4" w:space="0" w:color="auto"/>
              <w:left w:val="single" w:sz="4" w:space="0" w:color="auto"/>
              <w:right w:val="single" w:sz="4" w:space="0" w:color="auto"/>
            </w:tcBorders>
            <w:vAlign w:val="center"/>
          </w:tcPr>
          <w:p w:rsidR="00792A13" w:rsidRPr="00792A13" w:rsidRDefault="00792A13" w:rsidP="0024288D">
            <w:pPr>
              <w:pStyle w:val="PBACTableText"/>
              <w:spacing w:before="0" w:after="0"/>
              <w:jc w:val="center"/>
              <w:rPr>
                <w:rFonts w:ascii="Arial Narrow" w:hAnsi="Arial Narrow"/>
                <w:sz w:val="20"/>
              </w:rPr>
            </w:pPr>
            <w:r w:rsidRPr="00792A13">
              <w:rPr>
                <w:rFonts w:ascii="Arial Narrow" w:hAnsi="Arial Narrow"/>
                <w:sz w:val="20"/>
              </w:rPr>
              <w:t>$</w:t>
            </w:r>
            <w:r w:rsidR="00643031">
              <w:rPr>
                <w:rFonts w:ascii="Arial Narrow" w:hAnsi="Arial Narrow"/>
                <w:noProof/>
                <w:color w:val="000000"/>
                <w:sz w:val="20"/>
                <w:highlight w:val="black"/>
              </w:rPr>
              <w:t>'''''''''''''''</w:t>
            </w:r>
          </w:p>
        </w:tc>
      </w:tr>
      <w:tr w:rsidR="00792A13" w:rsidRPr="00792A13" w:rsidTr="00C841F2">
        <w:trPr>
          <w:trHeight w:val="224"/>
        </w:trPr>
        <w:tc>
          <w:tcPr>
            <w:tcW w:w="768" w:type="pct"/>
            <w:shd w:val="clear" w:color="auto" w:fill="auto"/>
            <w:noWrap/>
            <w:vAlign w:val="bottom"/>
            <w:hideMark/>
          </w:tcPr>
          <w:p w:rsidR="00792A13" w:rsidRPr="00792A13" w:rsidRDefault="00670F2F" w:rsidP="0024288D">
            <w:pPr>
              <w:pStyle w:val="PBACTableText"/>
              <w:spacing w:before="0" w:after="0"/>
              <w:rPr>
                <w:rFonts w:ascii="Arial Narrow" w:hAnsi="Arial Narrow"/>
                <w:sz w:val="20"/>
              </w:rPr>
            </w:pPr>
            <w:r>
              <w:rPr>
                <w:rFonts w:ascii="Arial Narrow" w:hAnsi="Arial Narrow"/>
                <w:sz w:val="20"/>
              </w:rPr>
              <w:t>LY</w:t>
            </w:r>
          </w:p>
        </w:tc>
        <w:tc>
          <w:tcPr>
            <w:tcW w:w="839" w:type="pct"/>
            <w:shd w:val="clear" w:color="auto" w:fill="auto"/>
            <w:noWrap/>
            <w:vAlign w:val="bottom"/>
          </w:tcPr>
          <w:p w:rsidR="00792A13" w:rsidRPr="00643031" w:rsidRDefault="00643031" w:rsidP="0024288D">
            <w:pPr>
              <w:pStyle w:val="PBACTableText"/>
              <w:spacing w:before="0" w:after="0"/>
              <w:jc w:val="center"/>
              <w:rPr>
                <w:rFonts w:ascii="Arial Narrow" w:hAnsi="Arial Narrow"/>
                <w:sz w:val="20"/>
                <w:highlight w:val="black"/>
              </w:rPr>
            </w:pPr>
            <w:r>
              <w:rPr>
                <w:rFonts w:ascii="Arial Narrow" w:hAnsi="Arial Narrow"/>
                <w:noProof/>
                <w:color w:val="000000"/>
                <w:sz w:val="20"/>
                <w:highlight w:val="black"/>
              </w:rPr>
              <w:t>''''''''''</w:t>
            </w:r>
          </w:p>
        </w:tc>
        <w:tc>
          <w:tcPr>
            <w:tcW w:w="838" w:type="pct"/>
            <w:shd w:val="clear" w:color="auto" w:fill="auto"/>
            <w:noWrap/>
            <w:vAlign w:val="bottom"/>
          </w:tcPr>
          <w:p w:rsidR="00792A13" w:rsidRPr="00643031" w:rsidRDefault="00643031" w:rsidP="0024288D">
            <w:pPr>
              <w:pStyle w:val="PBACTableText"/>
              <w:spacing w:before="0" w:after="0"/>
              <w:jc w:val="center"/>
              <w:rPr>
                <w:rFonts w:ascii="Arial Narrow" w:hAnsi="Arial Narrow"/>
                <w:sz w:val="20"/>
                <w:highlight w:val="black"/>
              </w:rPr>
            </w:pPr>
            <w:r>
              <w:rPr>
                <w:rFonts w:ascii="Arial Narrow" w:hAnsi="Arial Narrow"/>
                <w:noProof/>
                <w:color w:val="000000"/>
                <w:sz w:val="20"/>
                <w:highlight w:val="black"/>
              </w:rPr>
              <w:t>''''''''''''</w:t>
            </w:r>
          </w:p>
        </w:tc>
        <w:tc>
          <w:tcPr>
            <w:tcW w:w="839" w:type="pct"/>
            <w:tcBorders>
              <w:right w:val="single" w:sz="4" w:space="0" w:color="auto"/>
            </w:tcBorders>
            <w:shd w:val="clear" w:color="auto" w:fill="auto"/>
            <w:noWrap/>
            <w:vAlign w:val="bottom"/>
          </w:tcPr>
          <w:p w:rsidR="00792A13" w:rsidRPr="00792A13" w:rsidRDefault="00792A13" w:rsidP="0024288D">
            <w:pPr>
              <w:pStyle w:val="PBACTableText"/>
              <w:spacing w:before="0" w:after="0"/>
              <w:jc w:val="center"/>
              <w:rPr>
                <w:rFonts w:ascii="Arial Narrow" w:hAnsi="Arial Narrow"/>
                <w:sz w:val="20"/>
              </w:rPr>
            </w:pPr>
            <w:r w:rsidRPr="00792A13">
              <w:rPr>
                <w:rFonts w:ascii="Arial Narrow" w:hAnsi="Arial Narrow"/>
                <w:sz w:val="20"/>
              </w:rPr>
              <w:t>$</w:t>
            </w:r>
            <w:r w:rsidR="00643031">
              <w:rPr>
                <w:rFonts w:ascii="Arial Narrow" w:hAnsi="Arial Narrow"/>
                <w:noProof/>
                <w:color w:val="000000"/>
                <w:sz w:val="20"/>
                <w:highlight w:val="black"/>
              </w:rPr>
              <w:t>'''</w:t>
            </w:r>
          </w:p>
        </w:tc>
        <w:tc>
          <w:tcPr>
            <w:tcW w:w="838" w:type="pct"/>
            <w:vMerge/>
            <w:tcBorders>
              <w:left w:val="single" w:sz="4" w:space="0" w:color="auto"/>
              <w:right w:val="single" w:sz="4" w:space="0" w:color="auto"/>
            </w:tcBorders>
            <w:vAlign w:val="bottom"/>
          </w:tcPr>
          <w:p w:rsidR="00792A13" w:rsidRPr="00792A13" w:rsidRDefault="00792A13" w:rsidP="0024288D">
            <w:pPr>
              <w:pStyle w:val="PBACTableText"/>
              <w:spacing w:before="0" w:after="0"/>
              <w:jc w:val="center"/>
              <w:rPr>
                <w:rFonts w:ascii="Arial Narrow" w:hAnsi="Arial Narrow"/>
                <w:sz w:val="20"/>
              </w:rPr>
            </w:pPr>
          </w:p>
        </w:tc>
        <w:tc>
          <w:tcPr>
            <w:tcW w:w="877" w:type="pct"/>
            <w:vMerge/>
            <w:tcBorders>
              <w:left w:val="single" w:sz="4" w:space="0" w:color="auto"/>
              <w:right w:val="single" w:sz="4" w:space="0" w:color="auto"/>
            </w:tcBorders>
            <w:vAlign w:val="bottom"/>
          </w:tcPr>
          <w:p w:rsidR="00792A13" w:rsidRPr="00792A13" w:rsidRDefault="00792A13" w:rsidP="0024288D">
            <w:pPr>
              <w:pStyle w:val="PBACTableText"/>
              <w:spacing w:before="0" w:after="0"/>
              <w:jc w:val="center"/>
              <w:rPr>
                <w:rFonts w:ascii="Arial Narrow" w:hAnsi="Arial Narrow"/>
                <w:sz w:val="20"/>
              </w:rPr>
            </w:pPr>
          </w:p>
        </w:tc>
      </w:tr>
      <w:tr w:rsidR="00792A13" w:rsidRPr="00792A13" w:rsidTr="00C841F2">
        <w:trPr>
          <w:trHeight w:val="224"/>
        </w:trPr>
        <w:tc>
          <w:tcPr>
            <w:tcW w:w="768" w:type="pct"/>
            <w:tcBorders>
              <w:bottom w:val="single" w:sz="4" w:space="0" w:color="auto"/>
            </w:tcBorders>
            <w:shd w:val="clear" w:color="auto" w:fill="auto"/>
            <w:noWrap/>
            <w:vAlign w:val="bottom"/>
            <w:hideMark/>
          </w:tcPr>
          <w:p w:rsidR="00792A13" w:rsidRPr="00792A13" w:rsidRDefault="00792A13" w:rsidP="0024288D">
            <w:pPr>
              <w:pStyle w:val="PBACTableText"/>
              <w:spacing w:before="0" w:after="0"/>
              <w:rPr>
                <w:rFonts w:ascii="Arial Narrow" w:hAnsi="Arial Narrow"/>
                <w:sz w:val="20"/>
              </w:rPr>
            </w:pPr>
            <w:r w:rsidRPr="00792A13">
              <w:rPr>
                <w:rFonts w:ascii="Arial Narrow" w:hAnsi="Arial Narrow"/>
                <w:sz w:val="20"/>
              </w:rPr>
              <w:t>QALY</w:t>
            </w:r>
          </w:p>
        </w:tc>
        <w:tc>
          <w:tcPr>
            <w:tcW w:w="839" w:type="pct"/>
            <w:tcBorders>
              <w:bottom w:val="single" w:sz="4" w:space="0" w:color="auto"/>
            </w:tcBorders>
            <w:shd w:val="clear" w:color="auto" w:fill="auto"/>
            <w:noWrap/>
            <w:vAlign w:val="bottom"/>
          </w:tcPr>
          <w:p w:rsidR="00792A13" w:rsidRPr="00643031" w:rsidRDefault="00643031" w:rsidP="0024288D">
            <w:pPr>
              <w:pStyle w:val="PBACTableText"/>
              <w:spacing w:before="0" w:after="0"/>
              <w:jc w:val="center"/>
              <w:rPr>
                <w:rFonts w:ascii="Arial Narrow" w:hAnsi="Arial Narrow"/>
                <w:sz w:val="20"/>
                <w:highlight w:val="black"/>
              </w:rPr>
            </w:pPr>
            <w:r>
              <w:rPr>
                <w:rFonts w:ascii="Arial Narrow" w:hAnsi="Arial Narrow"/>
                <w:noProof/>
                <w:color w:val="000000"/>
                <w:sz w:val="20"/>
                <w:highlight w:val="black"/>
              </w:rPr>
              <w:t>'''''''''''</w:t>
            </w:r>
          </w:p>
        </w:tc>
        <w:tc>
          <w:tcPr>
            <w:tcW w:w="838" w:type="pct"/>
            <w:tcBorders>
              <w:bottom w:val="single" w:sz="4" w:space="0" w:color="auto"/>
            </w:tcBorders>
            <w:shd w:val="clear" w:color="auto" w:fill="auto"/>
            <w:noWrap/>
            <w:vAlign w:val="bottom"/>
          </w:tcPr>
          <w:p w:rsidR="00792A13" w:rsidRPr="00643031" w:rsidRDefault="00643031" w:rsidP="0024288D">
            <w:pPr>
              <w:pStyle w:val="PBACTableText"/>
              <w:spacing w:before="0" w:after="0"/>
              <w:jc w:val="center"/>
              <w:rPr>
                <w:rFonts w:ascii="Arial Narrow" w:hAnsi="Arial Narrow"/>
                <w:sz w:val="20"/>
                <w:highlight w:val="black"/>
              </w:rPr>
            </w:pPr>
            <w:r>
              <w:rPr>
                <w:rFonts w:ascii="Arial Narrow" w:hAnsi="Arial Narrow"/>
                <w:noProof/>
                <w:color w:val="000000"/>
                <w:sz w:val="20"/>
                <w:highlight w:val="black"/>
              </w:rPr>
              <w:t>''''''''''</w:t>
            </w:r>
          </w:p>
        </w:tc>
        <w:tc>
          <w:tcPr>
            <w:tcW w:w="839" w:type="pct"/>
            <w:tcBorders>
              <w:bottom w:val="single" w:sz="4" w:space="0" w:color="auto"/>
              <w:right w:val="single" w:sz="4" w:space="0" w:color="auto"/>
            </w:tcBorders>
            <w:shd w:val="clear" w:color="auto" w:fill="auto"/>
            <w:noWrap/>
            <w:vAlign w:val="bottom"/>
          </w:tcPr>
          <w:p w:rsidR="00792A13" w:rsidRPr="00792A13" w:rsidRDefault="00792A13" w:rsidP="0024288D">
            <w:pPr>
              <w:pStyle w:val="PBACTableText"/>
              <w:spacing w:before="0" w:after="0"/>
              <w:jc w:val="center"/>
              <w:rPr>
                <w:rFonts w:ascii="Arial Narrow" w:hAnsi="Arial Narrow"/>
                <w:sz w:val="20"/>
              </w:rPr>
            </w:pPr>
            <w:r w:rsidRPr="00792A13">
              <w:rPr>
                <w:rFonts w:ascii="Arial Narrow" w:hAnsi="Arial Narrow"/>
                <w:sz w:val="20"/>
              </w:rPr>
              <w:t>$</w:t>
            </w:r>
            <w:r w:rsidR="00643031">
              <w:rPr>
                <w:rFonts w:ascii="Arial Narrow" w:hAnsi="Arial Narrow"/>
                <w:noProof/>
                <w:color w:val="000000"/>
                <w:sz w:val="20"/>
                <w:highlight w:val="black"/>
              </w:rPr>
              <w:t>''''</w:t>
            </w:r>
          </w:p>
        </w:tc>
        <w:tc>
          <w:tcPr>
            <w:tcW w:w="838" w:type="pct"/>
            <w:vMerge/>
            <w:tcBorders>
              <w:left w:val="single" w:sz="4" w:space="0" w:color="auto"/>
              <w:bottom w:val="single" w:sz="4" w:space="0" w:color="auto"/>
              <w:right w:val="single" w:sz="4" w:space="0" w:color="auto"/>
            </w:tcBorders>
            <w:vAlign w:val="bottom"/>
          </w:tcPr>
          <w:p w:rsidR="00792A13" w:rsidRPr="00792A13" w:rsidRDefault="00792A13" w:rsidP="0024288D">
            <w:pPr>
              <w:pStyle w:val="PBACTableText"/>
              <w:spacing w:before="0" w:after="0"/>
              <w:jc w:val="center"/>
              <w:rPr>
                <w:rFonts w:ascii="Arial Narrow" w:hAnsi="Arial Narrow"/>
                <w:sz w:val="20"/>
              </w:rPr>
            </w:pPr>
          </w:p>
        </w:tc>
        <w:tc>
          <w:tcPr>
            <w:tcW w:w="877" w:type="pct"/>
            <w:vMerge/>
            <w:tcBorders>
              <w:left w:val="single" w:sz="4" w:space="0" w:color="auto"/>
              <w:bottom w:val="single" w:sz="4" w:space="0" w:color="auto"/>
              <w:right w:val="single" w:sz="4" w:space="0" w:color="auto"/>
            </w:tcBorders>
            <w:vAlign w:val="bottom"/>
          </w:tcPr>
          <w:p w:rsidR="00792A13" w:rsidRPr="00792A13" w:rsidRDefault="00792A13" w:rsidP="0024288D">
            <w:pPr>
              <w:pStyle w:val="PBACTableText"/>
              <w:spacing w:before="0" w:after="0"/>
              <w:jc w:val="center"/>
              <w:rPr>
                <w:rFonts w:ascii="Arial Narrow" w:hAnsi="Arial Narrow"/>
                <w:sz w:val="20"/>
              </w:rPr>
            </w:pPr>
          </w:p>
        </w:tc>
      </w:tr>
      <w:tr w:rsidR="00792A13" w:rsidRPr="00792A13" w:rsidTr="00C841F2">
        <w:trPr>
          <w:trHeight w:val="224"/>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2A13" w:rsidRPr="00536986" w:rsidRDefault="00792A13" w:rsidP="0024288D">
            <w:pPr>
              <w:pStyle w:val="PBACTableText"/>
              <w:spacing w:before="0" w:after="0"/>
              <w:jc w:val="left"/>
              <w:rPr>
                <w:rFonts w:ascii="Arial Narrow" w:hAnsi="Arial Narrow"/>
                <w:sz w:val="20"/>
              </w:rPr>
            </w:pPr>
            <w:r w:rsidRPr="00CB6B34">
              <w:rPr>
                <w:rFonts w:ascii="Arial Narrow" w:hAnsi="Arial Narrow"/>
                <w:b/>
                <w:sz w:val="20"/>
              </w:rPr>
              <w:t>Original submission</w:t>
            </w:r>
          </w:p>
        </w:tc>
      </w:tr>
      <w:tr w:rsidR="00792A13" w:rsidRPr="00792A13" w:rsidTr="00C841F2">
        <w:trPr>
          <w:trHeight w:val="240"/>
        </w:trPr>
        <w:tc>
          <w:tcPr>
            <w:tcW w:w="7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2A13" w:rsidRPr="00792A13" w:rsidRDefault="00792A13" w:rsidP="0024288D">
            <w:pPr>
              <w:pStyle w:val="PBACTableText"/>
              <w:spacing w:before="0" w:after="0"/>
              <w:rPr>
                <w:rFonts w:ascii="Arial Narrow" w:hAnsi="Arial Narrow"/>
                <w:sz w:val="20"/>
              </w:rPr>
            </w:pPr>
            <w:r w:rsidRPr="00792A13">
              <w:rPr>
                <w:rFonts w:ascii="Arial Narrow" w:hAnsi="Arial Narrow"/>
                <w:sz w:val="20"/>
              </w:rPr>
              <w:t xml:space="preserve">Cost </w:t>
            </w:r>
          </w:p>
        </w:tc>
        <w:tc>
          <w:tcPr>
            <w:tcW w:w="839" w:type="pct"/>
            <w:tcBorders>
              <w:top w:val="single" w:sz="4" w:space="0" w:color="auto"/>
              <w:left w:val="single" w:sz="4" w:space="0" w:color="auto"/>
              <w:bottom w:val="single" w:sz="4" w:space="0" w:color="auto"/>
              <w:right w:val="single" w:sz="4" w:space="0" w:color="auto"/>
            </w:tcBorders>
            <w:shd w:val="clear" w:color="auto" w:fill="auto"/>
            <w:noWrap/>
          </w:tcPr>
          <w:p w:rsidR="00792A13" w:rsidRPr="00792A13" w:rsidRDefault="00792A13" w:rsidP="0024288D">
            <w:pPr>
              <w:pStyle w:val="PBACTableText"/>
              <w:spacing w:before="0" w:after="0"/>
              <w:jc w:val="center"/>
              <w:rPr>
                <w:rFonts w:ascii="Arial Narrow" w:hAnsi="Arial Narrow"/>
                <w:sz w:val="20"/>
                <w:highlight w:val="yellow"/>
              </w:rPr>
            </w:pPr>
            <w:r w:rsidRPr="00792A13">
              <w:rPr>
                <w:rFonts w:ascii="Arial Narrow" w:hAnsi="Arial Narrow"/>
                <w:sz w:val="20"/>
              </w:rPr>
              <w:t>$</w:t>
            </w:r>
            <w:r w:rsidR="00643031">
              <w:rPr>
                <w:rFonts w:ascii="Arial Narrow" w:hAnsi="Arial Narrow"/>
                <w:noProof/>
                <w:color w:val="000000"/>
                <w:sz w:val="20"/>
                <w:highlight w:val="black"/>
              </w:rPr>
              <w:t>'''''''''''''''</w:t>
            </w:r>
          </w:p>
        </w:tc>
        <w:tc>
          <w:tcPr>
            <w:tcW w:w="838" w:type="pct"/>
            <w:tcBorders>
              <w:top w:val="single" w:sz="4" w:space="0" w:color="auto"/>
              <w:left w:val="single" w:sz="4" w:space="0" w:color="auto"/>
              <w:bottom w:val="single" w:sz="4" w:space="0" w:color="auto"/>
              <w:right w:val="single" w:sz="4" w:space="0" w:color="auto"/>
            </w:tcBorders>
            <w:shd w:val="clear" w:color="auto" w:fill="auto"/>
            <w:noWrap/>
          </w:tcPr>
          <w:p w:rsidR="00792A13" w:rsidRPr="00792A13" w:rsidRDefault="00792A13" w:rsidP="0024288D">
            <w:pPr>
              <w:pStyle w:val="PBACTableText"/>
              <w:spacing w:before="0" w:after="0"/>
              <w:jc w:val="center"/>
              <w:rPr>
                <w:rFonts w:ascii="Arial Narrow" w:hAnsi="Arial Narrow"/>
                <w:sz w:val="20"/>
                <w:highlight w:val="yellow"/>
              </w:rPr>
            </w:pPr>
            <w:r w:rsidRPr="00792A13">
              <w:rPr>
                <w:rFonts w:ascii="Arial Narrow" w:hAnsi="Arial Narrow"/>
                <w:sz w:val="20"/>
              </w:rPr>
              <w:t>$</w:t>
            </w:r>
            <w:r w:rsidR="00643031">
              <w:rPr>
                <w:rFonts w:ascii="Arial Narrow" w:hAnsi="Arial Narrow"/>
                <w:noProof/>
                <w:color w:val="000000"/>
                <w:sz w:val="20"/>
                <w:highlight w:val="black"/>
              </w:rPr>
              <w:t>''''''''''''''''</w:t>
            </w:r>
          </w:p>
        </w:tc>
        <w:tc>
          <w:tcPr>
            <w:tcW w:w="839" w:type="pct"/>
            <w:tcBorders>
              <w:top w:val="single" w:sz="4" w:space="0" w:color="auto"/>
              <w:left w:val="single" w:sz="4" w:space="0" w:color="auto"/>
              <w:bottom w:val="single" w:sz="4" w:space="0" w:color="auto"/>
              <w:right w:val="single" w:sz="4" w:space="0" w:color="auto"/>
            </w:tcBorders>
            <w:shd w:val="clear" w:color="auto" w:fill="auto"/>
            <w:noWrap/>
          </w:tcPr>
          <w:p w:rsidR="00792A13" w:rsidRPr="00792A13" w:rsidRDefault="00792A13" w:rsidP="0024288D">
            <w:pPr>
              <w:pStyle w:val="PBACTableText"/>
              <w:spacing w:before="0" w:after="0"/>
              <w:jc w:val="center"/>
              <w:rPr>
                <w:rFonts w:ascii="Arial Narrow" w:hAnsi="Arial Narrow"/>
                <w:sz w:val="20"/>
                <w:highlight w:val="yellow"/>
              </w:rPr>
            </w:pPr>
            <w:r w:rsidRPr="00792A13">
              <w:rPr>
                <w:rFonts w:ascii="Arial Narrow" w:hAnsi="Arial Narrow"/>
                <w:sz w:val="20"/>
              </w:rPr>
              <w:t>$</w:t>
            </w:r>
            <w:r w:rsidR="00643031">
              <w:rPr>
                <w:rFonts w:ascii="Arial Narrow" w:hAnsi="Arial Narrow"/>
                <w:noProof/>
                <w:color w:val="000000"/>
                <w:sz w:val="20"/>
                <w:highlight w:val="black"/>
              </w:rPr>
              <w:t>'''''''''''''</w:t>
            </w:r>
          </w:p>
        </w:tc>
        <w:tc>
          <w:tcPr>
            <w:tcW w:w="838" w:type="pct"/>
            <w:vMerge w:val="restart"/>
            <w:tcBorders>
              <w:top w:val="single" w:sz="4" w:space="0" w:color="auto"/>
              <w:left w:val="single" w:sz="4" w:space="0" w:color="auto"/>
              <w:right w:val="single" w:sz="4" w:space="0" w:color="auto"/>
            </w:tcBorders>
            <w:vAlign w:val="center"/>
          </w:tcPr>
          <w:p w:rsidR="00792A13" w:rsidRPr="00792A13" w:rsidRDefault="00792A13" w:rsidP="0024288D">
            <w:pPr>
              <w:pStyle w:val="PBACTableText"/>
              <w:spacing w:before="0" w:after="0"/>
              <w:jc w:val="center"/>
              <w:rPr>
                <w:rFonts w:ascii="Arial Narrow" w:hAnsi="Arial Narrow"/>
                <w:sz w:val="20"/>
                <w:highlight w:val="yellow"/>
              </w:rPr>
            </w:pPr>
            <w:r w:rsidRPr="00792A13">
              <w:rPr>
                <w:rFonts w:ascii="Arial Narrow" w:hAnsi="Arial Narrow"/>
                <w:sz w:val="20"/>
              </w:rPr>
              <w:t>$</w:t>
            </w:r>
            <w:r w:rsidR="00643031">
              <w:rPr>
                <w:rFonts w:ascii="Arial Narrow" w:hAnsi="Arial Narrow"/>
                <w:noProof/>
                <w:color w:val="000000"/>
                <w:sz w:val="20"/>
                <w:highlight w:val="black"/>
              </w:rPr>
              <w:t>''''''''''''''''</w:t>
            </w:r>
          </w:p>
        </w:tc>
        <w:tc>
          <w:tcPr>
            <w:tcW w:w="877" w:type="pct"/>
            <w:vMerge w:val="restart"/>
            <w:tcBorders>
              <w:top w:val="single" w:sz="4" w:space="0" w:color="auto"/>
              <w:left w:val="single" w:sz="4" w:space="0" w:color="auto"/>
              <w:right w:val="single" w:sz="4" w:space="0" w:color="auto"/>
            </w:tcBorders>
            <w:vAlign w:val="center"/>
          </w:tcPr>
          <w:p w:rsidR="00792A13" w:rsidRPr="00792A13" w:rsidRDefault="00792A13" w:rsidP="0024288D">
            <w:pPr>
              <w:pStyle w:val="PBACTableText"/>
              <w:spacing w:before="0" w:after="0"/>
              <w:jc w:val="center"/>
              <w:rPr>
                <w:rFonts w:ascii="Arial Narrow" w:hAnsi="Arial Narrow"/>
                <w:sz w:val="20"/>
                <w:highlight w:val="yellow"/>
              </w:rPr>
            </w:pPr>
            <w:r w:rsidRPr="00792A13">
              <w:rPr>
                <w:rFonts w:ascii="Arial Narrow" w:hAnsi="Arial Narrow"/>
                <w:sz w:val="20"/>
              </w:rPr>
              <w:t>$</w:t>
            </w:r>
            <w:r w:rsidR="00643031">
              <w:rPr>
                <w:rFonts w:ascii="Arial Narrow" w:hAnsi="Arial Narrow"/>
                <w:noProof/>
                <w:color w:val="000000"/>
                <w:sz w:val="20"/>
                <w:highlight w:val="black"/>
              </w:rPr>
              <w:t>'''''''''''''''</w:t>
            </w:r>
          </w:p>
        </w:tc>
      </w:tr>
      <w:tr w:rsidR="00792A13" w:rsidRPr="00792A13" w:rsidTr="00C841F2">
        <w:trPr>
          <w:trHeight w:val="224"/>
        </w:trPr>
        <w:tc>
          <w:tcPr>
            <w:tcW w:w="7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2A13" w:rsidRPr="00792A13" w:rsidRDefault="00670F2F" w:rsidP="0024288D">
            <w:pPr>
              <w:pStyle w:val="PBACTableText"/>
              <w:spacing w:before="0" w:after="0"/>
              <w:rPr>
                <w:rFonts w:ascii="Arial Narrow" w:hAnsi="Arial Narrow"/>
                <w:sz w:val="20"/>
              </w:rPr>
            </w:pPr>
            <w:r>
              <w:rPr>
                <w:rFonts w:ascii="Arial Narrow" w:hAnsi="Arial Narrow"/>
                <w:sz w:val="20"/>
              </w:rPr>
              <w:t>LY</w:t>
            </w:r>
          </w:p>
        </w:tc>
        <w:tc>
          <w:tcPr>
            <w:tcW w:w="839" w:type="pct"/>
            <w:tcBorders>
              <w:top w:val="single" w:sz="4" w:space="0" w:color="auto"/>
              <w:left w:val="single" w:sz="4" w:space="0" w:color="auto"/>
              <w:bottom w:val="single" w:sz="4" w:space="0" w:color="auto"/>
              <w:right w:val="single" w:sz="4" w:space="0" w:color="auto"/>
            </w:tcBorders>
            <w:shd w:val="clear" w:color="auto" w:fill="auto"/>
            <w:noWrap/>
          </w:tcPr>
          <w:p w:rsidR="00792A13" w:rsidRPr="00643031" w:rsidRDefault="00643031" w:rsidP="0024288D">
            <w:pPr>
              <w:pStyle w:val="PBACTableText"/>
              <w:spacing w:before="0" w:after="0"/>
              <w:jc w:val="center"/>
              <w:rPr>
                <w:rFonts w:ascii="Arial Narrow" w:hAnsi="Arial Narrow"/>
                <w:sz w:val="20"/>
                <w:highlight w:val="black"/>
              </w:rPr>
            </w:pPr>
            <w:r>
              <w:rPr>
                <w:rFonts w:ascii="Arial Narrow" w:hAnsi="Arial Narrow"/>
                <w:noProof/>
                <w:color w:val="000000"/>
                <w:sz w:val="20"/>
                <w:highlight w:val="black"/>
              </w:rPr>
              <w:t>''''''''''</w:t>
            </w:r>
          </w:p>
        </w:tc>
        <w:tc>
          <w:tcPr>
            <w:tcW w:w="838" w:type="pct"/>
            <w:tcBorders>
              <w:top w:val="single" w:sz="4" w:space="0" w:color="auto"/>
              <w:left w:val="single" w:sz="4" w:space="0" w:color="auto"/>
              <w:bottom w:val="single" w:sz="4" w:space="0" w:color="auto"/>
              <w:right w:val="single" w:sz="4" w:space="0" w:color="auto"/>
            </w:tcBorders>
            <w:shd w:val="clear" w:color="auto" w:fill="auto"/>
            <w:noWrap/>
          </w:tcPr>
          <w:p w:rsidR="00792A13" w:rsidRPr="00643031" w:rsidRDefault="00643031" w:rsidP="0024288D">
            <w:pPr>
              <w:pStyle w:val="PBACTableText"/>
              <w:spacing w:before="0" w:after="0"/>
              <w:jc w:val="center"/>
              <w:rPr>
                <w:rFonts w:ascii="Arial Narrow" w:hAnsi="Arial Narrow"/>
                <w:sz w:val="20"/>
                <w:highlight w:val="black"/>
              </w:rPr>
            </w:pPr>
            <w:r>
              <w:rPr>
                <w:rFonts w:ascii="Arial Narrow" w:hAnsi="Arial Narrow"/>
                <w:noProof/>
                <w:color w:val="000000"/>
                <w:sz w:val="20"/>
                <w:highlight w:val="black"/>
              </w:rPr>
              <w:t>''''''''''</w:t>
            </w:r>
          </w:p>
        </w:tc>
        <w:tc>
          <w:tcPr>
            <w:tcW w:w="839" w:type="pct"/>
            <w:tcBorders>
              <w:top w:val="single" w:sz="4" w:space="0" w:color="auto"/>
              <w:left w:val="single" w:sz="4" w:space="0" w:color="auto"/>
              <w:bottom w:val="single" w:sz="4" w:space="0" w:color="auto"/>
              <w:right w:val="single" w:sz="4" w:space="0" w:color="auto"/>
            </w:tcBorders>
            <w:shd w:val="clear" w:color="auto" w:fill="auto"/>
            <w:noWrap/>
          </w:tcPr>
          <w:p w:rsidR="00792A13" w:rsidRPr="00792A13" w:rsidRDefault="00792A13" w:rsidP="0024288D">
            <w:pPr>
              <w:pStyle w:val="PBACTableText"/>
              <w:spacing w:before="0" w:after="0"/>
              <w:jc w:val="center"/>
              <w:rPr>
                <w:rFonts w:ascii="Arial Narrow" w:hAnsi="Arial Narrow"/>
                <w:sz w:val="20"/>
                <w:highlight w:val="yellow"/>
              </w:rPr>
            </w:pPr>
            <w:r w:rsidRPr="00792A13">
              <w:rPr>
                <w:rFonts w:ascii="Arial Narrow" w:hAnsi="Arial Narrow"/>
                <w:sz w:val="20"/>
              </w:rPr>
              <w:t>$</w:t>
            </w:r>
            <w:r w:rsidR="00643031">
              <w:rPr>
                <w:rFonts w:ascii="Arial Narrow" w:hAnsi="Arial Narrow"/>
                <w:noProof/>
                <w:color w:val="000000"/>
                <w:sz w:val="20"/>
                <w:highlight w:val="black"/>
              </w:rPr>
              <w:t>'''</w:t>
            </w:r>
          </w:p>
        </w:tc>
        <w:tc>
          <w:tcPr>
            <w:tcW w:w="838" w:type="pct"/>
            <w:vMerge/>
            <w:tcBorders>
              <w:left w:val="single" w:sz="4" w:space="0" w:color="auto"/>
              <w:right w:val="single" w:sz="4" w:space="0" w:color="auto"/>
            </w:tcBorders>
          </w:tcPr>
          <w:p w:rsidR="00792A13" w:rsidRPr="00792A13" w:rsidRDefault="00792A13" w:rsidP="0024288D">
            <w:pPr>
              <w:pStyle w:val="PBACTableText"/>
              <w:spacing w:before="0" w:after="0"/>
              <w:jc w:val="center"/>
              <w:rPr>
                <w:rFonts w:ascii="Arial Narrow" w:hAnsi="Arial Narrow"/>
                <w:sz w:val="20"/>
                <w:highlight w:val="yellow"/>
              </w:rPr>
            </w:pPr>
          </w:p>
        </w:tc>
        <w:tc>
          <w:tcPr>
            <w:tcW w:w="877" w:type="pct"/>
            <w:vMerge/>
            <w:tcBorders>
              <w:left w:val="single" w:sz="4" w:space="0" w:color="auto"/>
              <w:right w:val="single" w:sz="4" w:space="0" w:color="auto"/>
            </w:tcBorders>
          </w:tcPr>
          <w:p w:rsidR="00792A13" w:rsidRPr="00792A13" w:rsidRDefault="00792A13" w:rsidP="0024288D">
            <w:pPr>
              <w:pStyle w:val="PBACTableText"/>
              <w:spacing w:before="0" w:after="0"/>
              <w:jc w:val="center"/>
              <w:rPr>
                <w:rFonts w:ascii="Arial Narrow" w:hAnsi="Arial Narrow"/>
                <w:sz w:val="20"/>
                <w:highlight w:val="yellow"/>
              </w:rPr>
            </w:pPr>
          </w:p>
        </w:tc>
      </w:tr>
      <w:tr w:rsidR="00792A13" w:rsidRPr="00792A13" w:rsidTr="00C841F2">
        <w:trPr>
          <w:trHeight w:val="240"/>
        </w:trPr>
        <w:tc>
          <w:tcPr>
            <w:tcW w:w="7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2A13" w:rsidRPr="00792A13" w:rsidRDefault="00792A13" w:rsidP="0024288D">
            <w:pPr>
              <w:pStyle w:val="PBACTableText"/>
              <w:spacing w:before="0" w:after="0"/>
              <w:rPr>
                <w:rFonts w:ascii="Arial Narrow" w:hAnsi="Arial Narrow"/>
                <w:sz w:val="20"/>
              </w:rPr>
            </w:pPr>
            <w:r w:rsidRPr="00792A13">
              <w:rPr>
                <w:rFonts w:ascii="Arial Narrow" w:hAnsi="Arial Narrow"/>
                <w:sz w:val="20"/>
              </w:rPr>
              <w:t>QALY</w:t>
            </w:r>
          </w:p>
        </w:tc>
        <w:tc>
          <w:tcPr>
            <w:tcW w:w="839" w:type="pct"/>
            <w:tcBorders>
              <w:top w:val="single" w:sz="4" w:space="0" w:color="auto"/>
              <w:left w:val="single" w:sz="4" w:space="0" w:color="auto"/>
              <w:bottom w:val="single" w:sz="4" w:space="0" w:color="auto"/>
              <w:right w:val="single" w:sz="4" w:space="0" w:color="auto"/>
            </w:tcBorders>
            <w:shd w:val="clear" w:color="auto" w:fill="auto"/>
            <w:noWrap/>
          </w:tcPr>
          <w:p w:rsidR="00792A13" w:rsidRPr="00643031" w:rsidRDefault="00643031" w:rsidP="0024288D">
            <w:pPr>
              <w:pStyle w:val="PBACTableText"/>
              <w:spacing w:before="0" w:after="0"/>
              <w:jc w:val="center"/>
              <w:rPr>
                <w:rFonts w:ascii="Arial Narrow" w:hAnsi="Arial Narrow"/>
                <w:sz w:val="20"/>
                <w:highlight w:val="black"/>
              </w:rPr>
            </w:pPr>
            <w:r>
              <w:rPr>
                <w:rFonts w:ascii="Arial Narrow" w:hAnsi="Arial Narrow"/>
                <w:noProof/>
                <w:color w:val="000000"/>
                <w:sz w:val="20"/>
                <w:highlight w:val="black"/>
              </w:rPr>
              <w:t>'''''''''''</w:t>
            </w:r>
          </w:p>
        </w:tc>
        <w:tc>
          <w:tcPr>
            <w:tcW w:w="838" w:type="pct"/>
            <w:tcBorders>
              <w:top w:val="single" w:sz="4" w:space="0" w:color="auto"/>
              <w:left w:val="single" w:sz="4" w:space="0" w:color="auto"/>
              <w:bottom w:val="single" w:sz="4" w:space="0" w:color="auto"/>
              <w:right w:val="single" w:sz="4" w:space="0" w:color="auto"/>
            </w:tcBorders>
            <w:shd w:val="clear" w:color="auto" w:fill="auto"/>
            <w:noWrap/>
          </w:tcPr>
          <w:p w:rsidR="00792A13" w:rsidRPr="00643031" w:rsidRDefault="00643031" w:rsidP="0024288D">
            <w:pPr>
              <w:pStyle w:val="PBACTableText"/>
              <w:spacing w:before="0" w:after="0"/>
              <w:jc w:val="center"/>
              <w:rPr>
                <w:rFonts w:ascii="Arial Narrow" w:hAnsi="Arial Narrow"/>
                <w:sz w:val="20"/>
                <w:highlight w:val="black"/>
              </w:rPr>
            </w:pPr>
            <w:r>
              <w:rPr>
                <w:rFonts w:ascii="Arial Narrow" w:hAnsi="Arial Narrow"/>
                <w:noProof/>
                <w:color w:val="000000"/>
                <w:sz w:val="20"/>
                <w:highlight w:val="black"/>
              </w:rPr>
              <w:t>'''''''''''</w:t>
            </w:r>
          </w:p>
        </w:tc>
        <w:tc>
          <w:tcPr>
            <w:tcW w:w="839" w:type="pct"/>
            <w:tcBorders>
              <w:top w:val="single" w:sz="4" w:space="0" w:color="auto"/>
              <w:left w:val="single" w:sz="4" w:space="0" w:color="auto"/>
              <w:bottom w:val="single" w:sz="4" w:space="0" w:color="auto"/>
              <w:right w:val="single" w:sz="4" w:space="0" w:color="auto"/>
            </w:tcBorders>
            <w:shd w:val="clear" w:color="auto" w:fill="auto"/>
            <w:noWrap/>
          </w:tcPr>
          <w:p w:rsidR="00792A13" w:rsidRPr="00792A13" w:rsidRDefault="00792A13" w:rsidP="0024288D">
            <w:pPr>
              <w:pStyle w:val="PBACTableText"/>
              <w:spacing w:before="0" w:after="0"/>
              <w:jc w:val="center"/>
              <w:rPr>
                <w:rFonts w:ascii="Arial Narrow" w:hAnsi="Arial Narrow"/>
                <w:sz w:val="20"/>
                <w:highlight w:val="yellow"/>
              </w:rPr>
            </w:pPr>
            <w:r w:rsidRPr="00792A13">
              <w:rPr>
                <w:rFonts w:ascii="Arial Narrow" w:hAnsi="Arial Narrow"/>
                <w:sz w:val="20"/>
              </w:rPr>
              <w:t>$</w:t>
            </w:r>
            <w:r w:rsidR="00643031">
              <w:rPr>
                <w:rFonts w:ascii="Arial Narrow" w:hAnsi="Arial Narrow"/>
                <w:noProof/>
                <w:color w:val="000000"/>
                <w:sz w:val="20"/>
                <w:highlight w:val="black"/>
              </w:rPr>
              <w:t>'''</w:t>
            </w:r>
          </w:p>
        </w:tc>
        <w:tc>
          <w:tcPr>
            <w:tcW w:w="838" w:type="pct"/>
            <w:vMerge/>
            <w:tcBorders>
              <w:left w:val="single" w:sz="4" w:space="0" w:color="auto"/>
              <w:bottom w:val="single" w:sz="4" w:space="0" w:color="auto"/>
              <w:right w:val="single" w:sz="4" w:space="0" w:color="auto"/>
            </w:tcBorders>
          </w:tcPr>
          <w:p w:rsidR="00792A13" w:rsidRPr="00792A13" w:rsidRDefault="00792A13" w:rsidP="0024288D">
            <w:pPr>
              <w:pStyle w:val="PBACTableText"/>
              <w:spacing w:before="0" w:after="0"/>
              <w:jc w:val="center"/>
              <w:rPr>
                <w:rFonts w:ascii="Arial Narrow" w:hAnsi="Arial Narrow"/>
                <w:sz w:val="20"/>
                <w:highlight w:val="yellow"/>
              </w:rPr>
            </w:pPr>
          </w:p>
        </w:tc>
        <w:tc>
          <w:tcPr>
            <w:tcW w:w="877" w:type="pct"/>
            <w:vMerge/>
            <w:tcBorders>
              <w:left w:val="single" w:sz="4" w:space="0" w:color="auto"/>
              <w:bottom w:val="single" w:sz="4" w:space="0" w:color="auto"/>
              <w:right w:val="single" w:sz="4" w:space="0" w:color="auto"/>
            </w:tcBorders>
          </w:tcPr>
          <w:p w:rsidR="00792A13" w:rsidRPr="00792A13" w:rsidRDefault="00792A13" w:rsidP="0024288D">
            <w:pPr>
              <w:pStyle w:val="PBACTableText"/>
              <w:spacing w:before="0" w:after="0"/>
              <w:jc w:val="center"/>
              <w:rPr>
                <w:rFonts w:ascii="Arial Narrow" w:hAnsi="Arial Narrow"/>
                <w:sz w:val="20"/>
                <w:highlight w:val="yellow"/>
              </w:rPr>
            </w:pPr>
          </w:p>
        </w:tc>
      </w:tr>
    </w:tbl>
    <w:p w:rsidR="00670F2F" w:rsidRDefault="00670F2F" w:rsidP="00536986">
      <w:pPr>
        <w:ind w:left="709"/>
        <w:rPr>
          <w:rFonts w:ascii="Arial Narrow" w:hAnsi="Arial Narrow"/>
          <w:sz w:val="18"/>
          <w:szCs w:val="18"/>
        </w:rPr>
      </w:pPr>
      <w:r>
        <w:rPr>
          <w:rFonts w:ascii="Arial Narrow" w:hAnsi="Arial Narrow"/>
          <w:sz w:val="18"/>
          <w:szCs w:val="18"/>
        </w:rPr>
        <w:t>LY = life year; QALY = quality-adjusted life year;</w:t>
      </w:r>
      <w:r w:rsidR="00536986">
        <w:rPr>
          <w:rFonts w:ascii="Arial Narrow" w:hAnsi="Arial Narrow"/>
          <w:sz w:val="18"/>
          <w:szCs w:val="18"/>
        </w:rPr>
        <w:t xml:space="preserve"> ICER = incremental cost effectiveness ratio</w:t>
      </w:r>
    </w:p>
    <w:p w:rsidR="000C4B08" w:rsidRDefault="00792A13" w:rsidP="000A0006">
      <w:pPr>
        <w:spacing w:after="160" w:line="259" w:lineRule="auto"/>
        <w:ind w:left="709"/>
      </w:pPr>
      <w:r w:rsidRPr="00792A13">
        <w:rPr>
          <w:rFonts w:ascii="Arial Narrow" w:hAnsi="Arial Narrow"/>
          <w:sz w:val="18"/>
          <w:szCs w:val="18"/>
        </w:rPr>
        <w:t xml:space="preserve">Source: Table 8, p33 of the re-submission </w:t>
      </w:r>
    </w:p>
    <w:p w:rsidR="000C4B08" w:rsidRDefault="000C4B08" w:rsidP="0097216A">
      <w:pPr>
        <w:pStyle w:val="ListParagraph"/>
        <w:numPr>
          <w:ilvl w:val="1"/>
          <w:numId w:val="1"/>
        </w:numPr>
        <w:rPr>
          <w:szCs w:val="22"/>
        </w:rPr>
      </w:pPr>
      <w:r>
        <w:rPr>
          <w:szCs w:val="22"/>
        </w:rPr>
        <w:t xml:space="preserve">Table </w:t>
      </w:r>
      <w:r w:rsidR="00466B19">
        <w:rPr>
          <w:szCs w:val="22"/>
        </w:rPr>
        <w:t>3</w:t>
      </w:r>
      <w:r>
        <w:rPr>
          <w:szCs w:val="22"/>
        </w:rPr>
        <w:t xml:space="preserve"> presents the ke</w:t>
      </w:r>
      <w:r w:rsidR="00BB031E">
        <w:rPr>
          <w:szCs w:val="22"/>
        </w:rPr>
        <w:t>y drivers of the economic model:</w:t>
      </w:r>
    </w:p>
    <w:p w:rsidR="00F1337B" w:rsidRPr="00F1337B" w:rsidRDefault="00F1337B" w:rsidP="00F1337B">
      <w:pPr>
        <w:pStyle w:val="ListParagraph"/>
        <w:rPr>
          <w:szCs w:val="22"/>
        </w:rPr>
      </w:pPr>
    </w:p>
    <w:p w:rsidR="000C4B08" w:rsidRPr="00F1337B" w:rsidRDefault="00F1337B" w:rsidP="000C4B08">
      <w:pPr>
        <w:pStyle w:val="ListParagraph"/>
        <w:rPr>
          <w:rFonts w:ascii="Arial Narrow" w:hAnsi="Arial Narrow"/>
          <w:b/>
          <w:sz w:val="20"/>
          <w:szCs w:val="22"/>
        </w:rPr>
      </w:pPr>
      <w:r w:rsidRPr="00F1337B">
        <w:rPr>
          <w:rFonts w:ascii="Arial Narrow" w:hAnsi="Arial Narrow"/>
          <w:b/>
          <w:sz w:val="20"/>
          <w:szCs w:val="22"/>
        </w:rPr>
        <w:t xml:space="preserve">Table </w:t>
      </w:r>
      <w:r w:rsidR="00466B19">
        <w:rPr>
          <w:rFonts w:ascii="Arial Narrow" w:hAnsi="Arial Narrow"/>
          <w:b/>
          <w:sz w:val="20"/>
          <w:szCs w:val="22"/>
        </w:rPr>
        <w:t>3</w:t>
      </w:r>
      <w:r w:rsidRPr="00F1337B">
        <w:rPr>
          <w:rFonts w:ascii="Arial Narrow" w:hAnsi="Arial Narrow"/>
          <w:b/>
          <w:sz w:val="20"/>
          <w:szCs w:val="22"/>
        </w:rPr>
        <w:t>: Key drivers of the economic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00"/>
        <w:gridCol w:w="4111"/>
        <w:gridCol w:w="2534"/>
      </w:tblGrid>
      <w:tr w:rsidR="000C4B08" w:rsidRPr="00E2771E" w:rsidTr="00C841F2">
        <w:trPr>
          <w:tblHeader/>
        </w:trPr>
        <w:tc>
          <w:tcPr>
            <w:tcW w:w="1018" w:type="pct"/>
            <w:shd w:val="clear" w:color="auto" w:fill="auto"/>
            <w:vAlign w:val="center"/>
          </w:tcPr>
          <w:p w:rsidR="000C4B08" w:rsidRPr="00E2771E" w:rsidRDefault="000C4B08" w:rsidP="00376731">
            <w:pPr>
              <w:keepNext/>
              <w:keepLines/>
              <w:jc w:val="left"/>
              <w:rPr>
                <w:rFonts w:ascii="Arial Narrow" w:hAnsi="Arial Narrow"/>
                <w:b/>
                <w:sz w:val="20"/>
                <w:lang w:val="en-US"/>
              </w:rPr>
            </w:pPr>
            <w:r w:rsidRPr="00E2771E">
              <w:rPr>
                <w:rFonts w:ascii="Arial Narrow" w:hAnsi="Arial Narrow"/>
                <w:b/>
                <w:sz w:val="20"/>
                <w:lang w:val="en-US"/>
              </w:rPr>
              <w:t>Description</w:t>
            </w:r>
          </w:p>
        </w:tc>
        <w:tc>
          <w:tcPr>
            <w:tcW w:w="2463" w:type="pct"/>
            <w:shd w:val="clear" w:color="auto" w:fill="auto"/>
            <w:vAlign w:val="center"/>
          </w:tcPr>
          <w:p w:rsidR="000C4B08" w:rsidRPr="00E2771E" w:rsidRDefault="000C4B08" w:rsidP="00376731">
            <w:pPr>
              <w:keepNext/>
              <w:keepLines/>
              <w:jc w:val="left"/>
              <w:rPr>
                <w:rFonts w:ascii="Arial Narrow" w:hAnsi="Arial Narrow"/>
                <w:b/>
                <w:sz w:val="20"/>
                <w:lang w:val="en-US"/>
              </w:rPr>
            </w:pPr>
            <w:r w:rsidRPr="00E2771E">
              <w:rPr>
                <w:rFonts w:ascii="Arial Narrow" w:hAnsi="Arial Narrow"/>
                <w:b/>
                <w:sz w:val="20"/>
                <w:lang w:val="en-US"/>
              </w:rPr>
              <w:t>Method/Value</w:t>
            </w:r>
          </w:p>
        </w:tc>
        <w:tc>
          <w:tcPr>
            <w:tcW w:w="1518" w:type="pct"/>
            <w:shd w:val="clear" w:color="auto" w:fill="auto"/>
            <w:vAlign w:val="center"/>
          </w:tcPr>
          <w:p w:rsidR="000C4B08" w:rsidRPr="00E2771E" w:rsidRDefault="000C4B08" w:rsidP="00376731">
            <w:pPr>
              <w:keepNext/>
              <w:keepLines/>
              <w:jc w:val="left"/>
              <w:rPr>
                <w:rFonts w:ascii="Arial Narrow" w:hAnsi="Arial Narrow"/>
                <w:b/>
                <w:sz w:val="20"/>
                <w:lang w:val="en-US"/>
              </w:rPr>
            </w:pPr>
            <w:r w:rsidRPr="00E2771E">
              <w:rPr>
                <w:rFonts w:ascii="Arial Narrow" w:hAnsi="Arial Narrow"/>
                <w:b/>
                <w:sz w:val="20"/>
                <w:lang w:val="en-US"/>
              </w:rPr>
              <w:t>Impact</w:t>
            </w:r>
          </w:p>
        </w:tc>
      </w:tr>
      <w:tr w:rsidR="000C4B08" w:rsidRPr="00E2771E" w:rsidTr="00C841F2">
        <w:tc>
          <w:tcPr>
            <w:tcW w:w="1018" w:type="pct"/>
            <w:shd w:val="clear" w:color="auto" w:fill="auto"/>
            <w:vAlign w:val="center"/>
          </w:tcPr>
          <w:p w:rsidR="000C4B08" w:rsidRPr="00E2771E" w:rsidRDefault="000C4B08" w:rsidP="00376731">
            <w:pPr>
              <w:keepNext/>
              <w:keepLines/>
              <w:jc w:val="left"/>
              <w:rPr>
                <w:rFonts w:ascii="Arial Narrow" w:hAnsi="Arial Narrow"/>
                <w:sz w:val="20"/>
                <w:lang w:val="en-US"/>
              </w:rPr>
            </w:pPr>
            <w:r>
              <w:rPr>
                <w:rFonts w:ascii="Arial Narrow" w:hAnsi="Arial Narrow"/>
                <w:sz w:val="20"/>
                <w:lang w:val="en-US"/>
              </w:rPr>
              <w:t>Risk of CV death</w:t>
            </w:r>
          </w:p>
        </w:tc>
        <w:tc>
          <w:tcPr>
            <w:tcW w:w="2463" w:type="pct"/>
            <w:shd w:val="clear" w:color="auto" w:fill="auto"/>
            <w:vAlign w:val="center"/>
          </w:tcPr>
          <w:p w:rsidR="000C4B08" w:rsidRDefault="000C4B08" w:rsidP="00376731">
            <w:pPr>
              <w:keepNext/>
              <w:keepLines/>
              <w:jc w:val="left"/>
              <w:rPr>
                <w:rFonts w:ascii="Arial Narrow" w:hAnsi="Arial Narrow"/>
                <w:sz w:val="20"/>
                <w:lang w:val="en-US"/>
              </w:rPr>
            </w:pPr>
            <w:r>
              <w:rPr>
                <w:rFonts w:ascii="Arial Narrow" w:hAnsi="Arial Narrow"/>
                <w:sz w:val="20"/>
                <w:lang w:val="en-US"/>
              </w:rPr>
              <w:t xml:space="preserve">KM data from trial until median follow-up, then extrapolation using the exponential function, </w:t>
            </w:r>
            <w:r>
              <w:rPr>
                <w:rFonts w:ascii="Arial Narrow" w:hAnsi="Arial Narrow"/>
                <w:i/>
                <w:sz w:val="20"/>
                <w:lang w:val="en-US"/>
              </w:rPr>
              <w:t>with no adjustment for the older age of the cohort</w:t>
            </w:r>
            <w:r>
              <w:rPr>
                <w:rFonts w:ascii="Arial Narrow" w:hAnsi="Arial Narrow"/>
                <w:sz w:val="20"/>
                <w:lang w:val="en-US"/>
              </w:rPr>
              <w:t xml:space="preserve"> </w:t>
            </w:r>
          </w:p>
        </w:tc>
        <w:tc>
          <w:tcPr>
            <w:tcW w:w="1518" w:type="pct"/>
            <w:shd w:val="clear" w:color="auto" w:fill="auto"/>
            <w:vAlign w:val="center"/>
          </w:tcPr>
          <w:p w:rsidR="000C4B08" w:rsidRPr="00E2771E" w:rsidRDefault="000C4B08" w:rsidP="00376731">
            <w:pPr>
              <w:keepNext/>
              <w:keepLines/>
              <w:jc w:val="left"/>
              <w:rPr>
                <w:rFonts w:ascii="Arial Narrow" w:hAnsi="Arial Narrow"/>
                <w:sz w:val="20"/>
                <w:lang w:val="en-US"/>
              </w:rPr>
            </w:pPr>
            <w:r>
              <w:rPr>
                <w:rFonts w:ascii="Arial Narrow" w:hAnsi="Arial Narrow"/>
                <w:sz w:val="20"/>
                <w:lang w:val="en-US"/>
              </w:rPr>
              <w:t xml:space="preserve">High, favours sacubitril/valsartan </w:t>
            </w:r>
          </w:p>
        </w:tc>
      </w:tr>
      <w:tr w:rsidR="000C4B08" w:rsidRPr="00E2771E" w:rsidTr="00C841F2">
        <w:tc>
          <w:tcPr>
            <w:tcW w:w="1018" w:type="pct"/>
            <w:shd w:val="clear" w:color="auto" w:fill="auto"/>
            <w:vAlign w:val="center"/>
          </w:tcPr>
          <w:p w:rsidR="000C4B08" w:rsidRPr="00E2771E" w:rsidRDefault="000C4B08" w:rsidP="00376731">
            <w:pPr>
              <w:keepNext/>
              <w:keepLines/>
              <w:jc w:val="left"/>
              <w:rPr>
                <w:rFonts w:ascii="Arial Narrow" w:hAnsi="Arial Narrow"/>
                <w:sz w:val="20"/>
                <w:lang w:val="en-US"/>
              </w:rPr>
            </w:pPr>
            <w:r w:rsidRPr="00E2771E">
              <w:rPr>
                <w:rFonts w:ascii="Arial Narrow" w:hAnsi="Arial Narrow"/>
                <w:sz w:val="20"/>
                <w:lang w:val="en-US"/>
              </w:rPr>
              <w:t>Time horizon</w:t>
            </w:r>
          </w:p>
        </w:tc>
        <w:tc>
          <w:tcPr>
            <w:tcW w:w="2463" w:type="pct"/>
            <w:shd w:val="clear" w:color="auto" w:fill="auto"/>
            <w:vAlign w:val="center"/>
          </w:tcPr>
          <w:p w:rsidR="000C4B08" w:rsidRPr="00E2771E" w:rsidRDefault="000C4B08" w:rsidP="00376731">
            <w:pPr>
              <w:keepNext/>
              <w:keepLines/>
              <w:jc w:val="left"/>
              <w:rPr>
                <w:rFonts w:ascii="Arial Narrow" w:hAnsi="Arial Narrow"/>
                <w:sz w:val="20"/>
                <w:lang w:val="en-US"/>
              </w:rPr>
            </w:pPr>
            <w:r>
              <w:rPr>
                <w:rFonts w:ascii="Arial Narrow" w:hAnsi="Arial Narrow"/>
                <w:sz w:val="20"/>
                <w:lang w:val="en-US"/>
              </w:rPr>
              <w:t>10</w:t>
            </w:r>
            <w:r w:rsidRPr="00E2771E">
              <w:rPr>
                <w:rFonts w:ascii="Arial Narrow" w:hAnsi="Arial Narrow"/>
                <w:sz w:val="20"/>
                <w:lang w:val="en-US"/>
              </w:rPr>
              <w:t xml:space="preserve"> years; from </w:t>
            </w:r>
            <w:r>
              <w:rPr>
                <w:rFonts w:ascii="Arial Narrow" w:hAnsi="Arial Narrow"/>
                <w:sz w:val="20"/>
                <w:lang w:val="en-US"/>
              </w:rPr>
              <w:t>27.1</w:t>
            </w:r>
            <w:r w:rsidRPr="00E2771E">
              <w:rPr>
                <w:rFonts w:ascii="Arial Narrow" w:hAnsi="Arial Narrow"/>
                <w:sz w:val="20"/>
                <w:lang w:val="en-US"/>
              </w:rPr>
              <w:t xml:space="preserve"> month</w:t>
            </w:r>
            <w:r>
              <w:rPr>
                <w:rFonts w:ascii="Arial Narrow" w:hAnsi="Arial Narrow"/>
                <w:sz w:val="20"/>
                <w:lang w:val="en-US"/>
              </w:rPr>
              <w:t xml:space="preserve"> median follow-up in the </w:t>
            </w:r>
            <w:r w:rsidRPr="00E2771E">
              <w:rPr>
                <w:rFonts w:ascii="Arial Narrow" w:hAnsi="Arial Narrow"/>
                <w:sz w:val="20"/>
                <w:lang w:val="en-US"/>
              </w:rPr>
              <w:t>trial</w:t>
            </w:r>
          </w:p>
        </w:tc>
        <w:tc>
          <w:tcPr>
            <w:tcW w:w="1518" w:type="pct"/>
            <w:shd w:val="clear" w:color="auto" w:fill="auto"/>
            <w:vAlign w:val="center"/>
          </w:tcPr>
          <w:p w:rsidR="000C4B08" w:rsidRPr="00E2771E" w:rsidRDefault="00500CDA" w:rsidP="00376731">
            <w:pPr>
              <w:keepNext/>
              <w:keepLines/>
              <w:jc w:val="left"/>
              <w:rPr>
                <w:rFonts w:ascii="Arial Narrow" w:hAnsi="Arial Narrow"/>
                <w:sz w:val="20"/>
                <w:lang w:val="en-US"/>
              </w:rPr>
            </w:pPr>
            <w:r>
              <w:rPr>
                <w:rFonts w:ascii="Arial Narrow" w:hAnsi="Arial Narrow"/>
                <w:sz w:val="20"/>
                <w:lang w:val="en-US"/>
              </w:rPr>
              <w:t>High</w:t>
            </w:r>
            <w:r w:rsidR="000C4B08" w:rsidRPr="00E2771E">
              <w:rPr>
                <w:rFonts w:ascii="Arial Narrow" w:hAnsi="Arial Narrow"/>
                <w:sz w:val="20"/>
                <w:lang w:val="en-US"/>
              </w:rPr>
              <w:t xml:space="preserve">, favours </w:t>
            </w:r>
            <w:r w:rsidR="000C4B08">
              <w:rPr>
                <w:rFonts w:ascii="Arial Narrow" w:hAnsi="Arial Narrow"/>
                <w:sz w:val="20"/>
                <w:lang w:val="en-US"/>
              </w:rPr>
              <w:t xml:space="preserve">sacubitril/valsartan  </w:t>
            </w:r>
          </w:p>
        </w:tc>
      </w:tr>
    </w:tbl>
    <w:p w:rsidR="000C4B08" w:rsidRPr="00D110BD" w:rsidRDefault="000C4B08" w:rsidP="000C4B08">
      <w:pPr>
        <w:pStyle w:val="TableFooter"/>
        <w:keepNext/>
        <w:keepLines/>
        <w:ind w:firstLine="720"/>
      </w:pPr>
      <w:r>
        <w:t>CV = cardiovascular; KM = Kaplan-Meier</w:t>
      </w:r>
    </w:p>
    <w:p w:rsidR="00B860C1" w:rsidRDefault="00B860C1" w:rsidP="00B860C1">
      <w:pPr>
        <w:pStyle w:val="ListParagraph"/>
        <w:rPr>
          <w:szCs w:val="22"/>
        </w:rPr>
      </w:pPr>
    </w:p>
    <w:p w:rsidR="00BC0A65" w:rsidRDefault="00196BF8" w:rsidP="0097216A">
      <w:pPr>
        <w:pStyle w:val="ListParagraph"/>
        <w:numPr>
          <w:ilvl w:val="1"/>
          <w:numId w:val="1"/>
        </w:numPr>
        <w:rPr>
          <w:szCs w:val="22"/>
        </w:rPr>
      </w:pPr>
      <w:r>
        <w:rPr>
          <w:szCs w:val="22"/>
        </w:rPr>
        <w:t xml:space="preserve">The PBAC previously noted that the population </w:t>
      </w:r>
      <w:r w:rsidR="00536986">
        <w:rPr>
          <w:szCs w:val="22"/>
        </w:rPr>
        <w:t xml:space="preserve">selected for </w:t>
      </w:r>
      <w:r>
        <w:rPr>
          <w:szCs w:val="22"/>
        </w:rPr>
        <w:t xml:space="preserve">PARADIGM-HF may not be generalizable to the proposed PBS population </w:t>
      </w:r>
      <w:r w:rsidR="00BC0A65">
        <w:rPr>
          <w:szCs w:val="22"/>
        </w:rPr>
        <w:t xml:space="preserve">who may be older and </w:t>
      </w:r>
      <w:proofErr w:type="gramStart"/>
      <w:r w:rsidR="00536986">
        <w:rPr>
          <w:szCs w:val="22"/>
        </w:rPr>
        <w:t xml:space="preserve">more </w:t>
      </w:r>
      <w:r w:rsidR="00BC0A65">
        <w:rPr>
          <w:szCs w:val="22"/>
        </w:rPr>
        <w:t>frail</w:t>
      </w:r>
      <w:proofErr w:type="gramEnd"/>
      <w:r w:rsidR="00BC0A65">
        <w:rPr>
          <w:szCs w:val="22"/>
        </w:rPr>
        <w:t xml:space="preserve"> (7.8, PBAC </w:t>
      </w:r>
      <w:r w:rsidR="009F5808">
        <w:rPr>
          <w:szCs w:val="22"/>
        </w:rPr>
        <w:t>Public Summary Document</w:t>
      </w:r>
      <w:r w:rsidR="00E237C6" w:rsidRPr="00E237C6">
        <w:rPr>
          <w:szCs w:val="22"/>
        </w:rPr>
        <w:t xml:space="preserve"> </w:t>
      </w:r>
      <w:r w:rsidR="00E237C6">
        <w:rPr>
          <w:szCs w:val="22"/>
        </w:rPr>
        <w:t>March 2016</w:t>
      </w:r>
      <w:r w:rsidR="00BC0A65">
        <w:rPr>
          <w:szCs w:val="22"/>
        </w:rPr>
        <w:t xml:space="preserve">). The PBAC considered that the model did not reflect the baseline </w:t>
      </w:r>
      <w:r w:rsidR="00D11F3E">
        <w:rPr>
          <w:szCs w:val="22"/>
        </w:rPr>
        <w:t>mortality</w:t>
      </w:r>
      <w:r w:rsidR="00536986">
        <w:rPr>
          <w:szCs w:val="22"/>
        </w:rPr>
        <w:t xml:space="preserve"> of heart failure</w:t>
      </w:r>
      <w:r w:rsidR="00BC0A65">
        <w:rPr>
          <w:szCs w:val="22"/>
        </w:rPr>
        <w:t xml:space="preserve"> in the PBS population. The submission state</w:t>
      </w:r>
      <w:r w:rsidR="001E716C">
        <w:rPr>
          <w:szCs w:val="22"/>
        </w:rPr>
        <w:t>d</w:t>
      </w:r>
      <w:r w:rsidR="00BC0A65">
        <w:rPr>
          <w:szCs w:val="22"/>
        </w:rPr>
        <w:t xml:space="preserve"> that the </w:t>
      </w:r>
      <w:r w:rsidR="00BC0A65" w:rsidRPr="000A0006">
        <w:rPr>
          <w:szCs w:val="22"/>
        </w:rPr>
        <w:t>average age of patients in the proposed PBS population is 75 years</w:t>
      </w:r>
      <w:r w:rsidR="00536986" w:rsidRPr="000A0006">
        <w:rPr>
          <w:szCs w:val="22"/>
        </w:rPr>
        <w:t>;</w:t>
      </w:r>
      <w:r w:rsidR="00BC0A65" w:rsidRPr="000A0006">
        <w:rPr>
          <w:szCs w:val="22"/>
        </w:rPr>
        <w:t xml:space="preserve"> </w:t>
      </w:r>
      <w:r w:rsidR="00536986" w:rsidRPr="000A0006">
        <w:rPr>
          <w:szCs w:val="22"/>
        </w:rPr>
        <w:t>whereas,</w:t>
      </w:r>
      <w:r w:rsidR="00BC0A65" w:rsidRPr="000A0006">
        <w:rPr>
          <w:szCs w:val="22"/>
        </w:rPr>
        <w:t xml:space="preserve"> the mean age of patients in PARADIGM-HF was 63.8 years. Additionally, more than two thirds of patients </w:t>
      </w:r>
      <w:r w:rsidR="00BB031E" w:rsidRPr="000A0006">
        <w:rPr>
          <w:szCs w:val="22"/>
        </w:rPr>
        <w:t xml:space="preserve">(70.3%) in the trial were NYHA class II, with approximately a quarter (24.1%) of all patients </w:t>
      </w:r>
      <w:r w:rsidR="00FD50CA" w:rsidRPr="000A0006">
        <w:rPr>
          <w:szCs w:val="22"/>
        </w:rPr>
        <w:t xml:space="preserve">being </w:t>
      </w:r>
      <w:r w:rsidR="00BB031E" w:rsidRPr="000A0006">
        <w:rPr>
          <w:szCs w:val="22"/>
        </w:rPr>
        <w:t>NYHA class III. NYHA class IV patients made up a negligible proportion of patients randomised to treatment (n=60/8442; 0.17%).</w:t>
      </w:r>
      <w:r w:rsidR="00196DDF">
        <w:rPr>
          <w:i/>
          <w:szCs w:val="22"/>
        </w:rPr>
        <w:t xml:space="preserve"> </w:t>
      </w:r>
    </w:p>
    <w:p w:rsidR="00F1337B" w:rsidRDefault="00F1337B" w:rsidP="00C00DA7">
      <w:pPr>
        <w:rPr>
          <w:szCs w:val="22"/>
        </w:rPr>
      </w:pPr>
    </w:p>
    <w:p w:rsidR="00A55FEE" w:rsidRPr="00357391" w:rsidRDefault="00A55FEE" w:rsidP="00643031">
      <w:pPr>
        <w:pStyle w:val="Heading2"/>
      </w:pPr>
      <w:r w:rsidRPr="00643031">
        <w:t xml:space="preserve">Drug </w:t>
      </w:r>
      <w:r w:rsidR="002349D2" w:rsidRPr="00643031">
        <w:t>cost/patient/year</w:t>
      </w:r>
      <w:r w:rsidR="00DD2D0E" w:rsidRPr="00357391">
        <w:t>: $</w:t>
      </w:r>
      <w:r w:rsidR="00643031">
        <w:rPr>
          <w:noProof/>
          <w:color w:val="000000"/>
          <w:highlight w:val="black"/>
        </w:rPr>
        <w:t>'''''''''''</w:t>
      </w:r>
      <w:r w:rsidR="00DD2D0E" w:rsidRPr="00357391">
        <w:t xml:space="preserve"> / year, ongoing</w:t>
      </w:r>
    </w:p>
    <w:p w:rsidR="00A55FEE" w:rsidRPr="00A55FEE" w:rsidRDefault="00A55FEE" w:rsidP="00A55FEE">
      <w:pPr>
        <w:ind w:left="720" w:hanging="720"/>
        <w:rPr>
          <w:b/>
          <w:i/>
          <w:szCs w:val="22"/>
        </w:rPr>
      </w:pPr>
    </w:p>
    <w:p w:rsidR="00A55FEE" w:rsidRPr="00A55FEE" w:rsidRDefault="00DD2D0E" w:rsidP="0097216A">
      <w:pPr>
        <w:pStyle w:val="ListParagraph"/>
        <w:numPr>
          <w:ilvl w:val="1"/>
          <w:numId w:val="1"/>
        </w:numPr>
        <w:rPr>
          <w:szCs w:val="22"/>
        </w:rPr>
      </w:pPr>
      <w:r>
        <w:rPr>
          <w:szCs w:val="22"/>
        </w:rPr>
        <w:t>The estimated cost of $</w:t>
      </w:r>
      <w:r w:rsidR="00643031">
        <w:rPr>
          <w:noProof/>
          <w:color w:val="000000"/>
          <w:szCs w:val="22"/>
          <w:highlight w:val="black"/>
        </w:rPr>
        <w:t>'''''''''''''''</w:t>
      </w:r>
      <w:r>
        <w:rPr>
          <w:szCs w:val="22"/>
        </w:rPr>
        <w:t xml:space="preserve"> /patient / year is based on an adherence rate of 75% (per the financial estimates). This compares with a cost of </w:t>
      </w:r>
      <w:r w:rsidR="00B94B79">
        <w:rPr>
          <w:szCs w:val="22"/>
        </w:rPr>
        <w:t xml:space="preserve">around </w:t>
      </w:r>
      <w:r>
        <w:rPr>
          <w:szCs w:val="22"/>
        </w:rPr>
        <w:t>$</w:t>
      </w:r>
      <w:r w:rsidR="00643031">
        <w:rPr>
          <w:noProof/>
          <w:color w:val="000000"/>
          <w:szCs w:val="22"/>
          <w:highlight w:val="black"/>
        </w:rPr>
        <w:t>'''''''''</w:t>
      </w:r>
      <w:r>
        <w:rPr>
          <w:szCs w:val="22"/>
        </w:rPr>
        <w:t xml:space="preserve"> / patient / year for enalapril</w:t>
      </w:r>
      <w:r w:rsidR="00B94B79">
        <w:rPr>
          <w:szCs w:val="22"/>
        </w:rPr>
        <w:t>.</w:t>
      </w:r>
    </w:p>
    <w:p w:rsidR="00A55FEE" w:rsidRDefault="00A55FEE" w:rsidP="00A55FEE">
      <w:pPr>
        <w:ind w:left="720" w:hanging="720"/>
        <w:rPr>
          <w:b/>
          <w:i/>
          <w:szCs w:val="22"/>
        </w:rPr>
      </w:pPr>
    </w:p>
    <w:p w:rsidR="005A3173" w:rsidRPr="00357391" w:rsidRDefault="005A3173" w:rsidP="00643031">
      <w:pPr>
        <w:pStyle w:val="Heading2"/>
      </w:pPr>
      <w:r w:rsidRPr="00D151AA">
        <w:t>Estimated PBS usage &amp; financial implications</w:t>
      </w:r>
    </w:p>
    <w:p w:rsidR="005A3173" w:rsidRDefault="005A3173" w:rsidP="00882085">
      <w:pPr>
        <w:ind w:left="720" w:hanging="720"/>
        <w:rPr>
          <w:b/>
          <w:i/>
          <w:szCs w:val="22"/>
        </w:rPr>
      </w:pPr>
    </w:p>
    <w:p w:rsidR="00FC3D86" w:rsidRDefault="00FC3D86" w:rsidP="00FC3D86">
      <w:pPr>
        <w:pStyle w:val="ListParagraph"/>
        <w:numPr>
          <w:ilvl w:val="1"/>
          <w:numId w:val="1"/>
        </w:numPr>
        <w:rPr>
          <w:szCs w:val="22"/>
        </w:rPr>
      </w:pPr>
      <w:r>
        <w:rPr>
          <w:szCs w:val="22"/>
        </w:rPr>
        <w:t>The financial estimates in the minor submission have been updated to incorporate changes in the requested listing of sacubitril/valsartan, proposed flat-pricing structure, and DUSC concerns:</w:t>
      </w:r>
    </w:p>
    <w:p w:rsidR="00730340" w:rsidRPr="00A235C7" w:rsidRDefault="00730340" w:rsidP="00730340">
      <w:pPr>
        <w:pStyle w:val="ListParagraph"/>
        <w:numPr>
          <w:ilvl w:val="0"/>
          <w:numId w:val="2"/>
        </w:numPr>
        <w:spacing w:after="160" w:line="259" w:lineRule="auto"/>
        <w:ind w:left="1276"/>
      </w:pPr>
      <w:r w:rsidRPr="00A235C7">
        <w:lastRenderedPageBreak/>
        <w:t>The revised PBS restrictions will require patients to demonstrate previous or current use of ACE-I or ATRA at a recommended dose (unless contraindicated or not tolerated). The re-submission state</w:t>
      </w:r>
      <w:r w:rsidR="001E716C">
        <w:t>d</w:t>
      </w:r>
      <w:r w:rsidRPr="00A235C7">
        <w:t xml:space="preserve"> that patients with no previous or current ACE-I and ATRA exposure are analogous to new</w:t>
      </w:r>
      <w:r w:rsidR="00B7238F" w:rsidRPr="00A235C7">
        <w:t>ly</w:t>
      </w:r>
      <w:r w:rsidRPr="00A235C7">
        <w:t xml:space="preserve"> diagnosed patients with HF. The proportion of patients with newly diagnosed HF (2.1 per 1,000 of the population), were subtracted from the prevalent HF population.</w:t>
      </w:r>
    </w:p>
    <w:p w:rsidR="00730340" w:rsidRDefault="00730340" w:rsidP="00730340">
      <w:pPr>
        <w:pStyle w:val="ListParagraph"/>
        <w:numPr>
          <w:ilvl w:val="0"/>
          <w:numId w:val="2"/>
        </w:numPr>
        <w:spacing w:after="160" w:line="259" w:lineRule="auto"/>
        <w:ind w:left="1276"/>
      </w:pPr>
      <w:r w:rsidRPr="00A235C7">
        <w:t>The proportion of heart failure patients with reduced ejection</w:t>
      </w:r>
      <w:r>
        <w:t xml:space="preserve"> fraction </w:t>
      </w:r>
      <w:r w:rsidR="00B7238F">
        <w:t xml:space="preserve">has </w:t>
      </w:r>
      <w:r>
        <w:t xml:space="preserve">increased from 50% (from </w:t>
      </w:r>
      <w:r w:rsidRPr="00EE7E20">
        <w:t>Dhingra 2014; Go 2014; McMurray 2012; Yancy 2013; Roger 2013</w:t>
      </w:r>
      <w:r>
        <w:t xml:space="preserve">) to 64% (based on </w:t>
      </w:r>
      <w:r w:rsidRPr="00EE7E20">
        <w:t xml:space="preserve">Maggioni </w:t>
      </w:r>
      <w:r w:rsidRPr="0036310D">
        <w:t>et al</w:t>
      </w:r>
      <w:r w:rsidRPr="00EE7E20">
        <w:t>, 2010</w:t>
      </w:r>
      <w:r>
        <w:t>), consistent with DUSC advice (</w:t>
      </w:r>
      <w:r w:rsidRPr="00B926AD">
        <w:t>5.10.DUSC ADV.3</w:t>
      </w:r>
      <w:r>
        <w:t>)</w:t>
      </w:r>
    </w:p>
    <w:p w:rsidR="00730340" w:rsidRPr="00A235C7" w:rsidRDefault="00730340" w:rsidP="00730340">
      <w:pPr>
        <w:pStyle w:val="ListParagraph"/>
        <w:numPr>
          <w:ilvl w:val="0"/>
          <w:numId w:val="2"/>
        </w:numPr>
        <w:spacing w:after="160" w:line="259" w:lineRule="auto"/>
        <w:ind w:left="1276"/>
      </w:pPr>
      <w:r>
        <w:t xml:space="preserve">The proportion of heart failure that </w:t>
      </w:r>
      <w:r w:rsidRPr="00A235C7">
        <w:t xml:space="preserve">is NYHA Class I </w:t>
      </w:r>
      <w:r w:rsidR="00B7238F" w:rsidRPr="00A235C7">
        <w:t xml:space="preserve">has </w:t>
      </w:r>
      <w:r w:rsidRPr="00A235C7">
        <w:t xml:space="preserve">decreased from 11% (based on Sosnowska-Pasiarska 2013), to 5%. </w:t>
      </w:r>
      <w:r w:rsidRPr="00A235C7">
        <w:rPr>
          <w:rFonts w:cs="Arial"/>
          <w:lang w:val="en-US"/>
        </w:rPr>
        <w:t xml:space="preserve">The proportion of patients with NYHA class I heart failure (11%) was from a survey of heart failure patients that did not distinguish </w:t>
      </w:r>
      <w:r w:rsidR="00B7238F" w:rsidRPr="00A235C7">
        <w:rPr>
          <w:rFonts w:cs="Arial"/>
          <w:lang w:val="en-US"/>
        </w:rPr>
        <w:t xml:space="preserve">the </w:t>
      </w:r>
      <w:r w:rsidRPr="00A235C7">
        <w:rPr>
          <w:rFonts w:cs="Arial"/>
          <w:lang w:val="en-US"/>
        </w:rPr>
        <w:t xml:space="preserve">extent of systolic dysfunction; the DUSC considered that the proportion </w:t>
      </w:r>
      <w:r w:rsidRPr="00A235C7">
        <w:rPr>
          <w:rFonts w:cs="Arial"/>
        </w:rPr>
        <w:t>might be lower in patients with an ejection fraction of 40% or less</w:t>
      </w:r>
      <w:r w:rsidRPr="00A235C7">
        <w:t xml:space="preserve"> (5.10.DUSC ADV.3). While the sponsor did not provide a rationale for </w:t>
      </w:r>
      <w:r w:rsidR="00B7238F" w:rsidRPr="00A235C7">
        <w:t xml:space="preserve">the </w:t>
      </w:r>
      <w:r w:rsidRPr="00A235C7">
        <w:t>estimate</w:t>
      </w:r>
      <w:r w:rsidR="00B7238F" w:rsidRPr="00A235C7">
        <w:t xml:space="preserve"> of 5%</w:t>
      </w:r>
      <w:r w:rsidRPr="00A235C7">
        <w:t>, it is consistent with the proportion of the population with NYHA class I in PARADIGM-HF.</w:t>
      </w:r>
    </w:p>
    <w:p w:rsidR="00730340" w:rsidRDefault="00730340" w:rsidP="00730340">
      <w:pPr>
        <w:pStyle w:val="ListParagraph"/>
        <w:numPr>
          <w:ilvl w:val="0"/>
          <w:numId w:val="2"/>
        </w:numPr>
        <w:spacing w:after="160" w:line="259" w:lineRule="auto"/>
        <w:ind w:left="1276"/>
      </w:pPr>
      <w:r>
        <w:t>The uptake of sacubitril/valsartan in the first 5 years of the PBS listing was reduced, based on DUSC advice that the original estimates may have been high (</w:t>
      </w:r>
      <w:r w:rsidRPr="00B926AD">
        <w:t>5.10.DUSC ADV.3</w:t>
      </w:r>
      <w:r>
        <w:t xml:space="preserve">). The estimated uptake rates have decreased </w:t>
      </w:r>
      <w:r w:rsidR="00B7238F">
        <w:t xml:space="preserve">in years 1-5, respectively, </w:t>
      </w:r>
      <w:r>
        <w:t xml:space="preserve">from </w:t>
      </w:r>
      <w:r w:rsidR="00643031">
        <w:rPr>
          <w:noProof/>
          <w:color w:val="000000"/>
          <w:highlight w:val="black"/>
        </w:rPr>
        <w:t>''''''</w:t>
      </w:r>
      <w:r>
        <w:t xml:space="preserve">%, </w:t>
      </w:r>
      <w:r w:rsidR="00643031">
        <w:rPr>
          <w:noProof/>
          <w:color w:val="000000"/>
          <w:highlight w:val="black"/>
        </w:rPr>
        <w:t>'''''''</w:t>
      </w:r>
      <w:r>
        <w:t xml:space="preserve">%, </w:t>
      </w:r>
      <w:r w:rsidR="00643031">
        <w:rPr>
          <w:noProof/>
          <w:color w:val="000000"/>
          <w:highlight w:val="black"/>
        </w:rPr>
        <w:t>'''''</w:t>
      </w:r>
      <w:r>
        <w:t xml:space="preserve">%, </w:t>
      </w:r>
      <w:r w:rsidR="00643031">
        <w:rPr>
          <w:noProof/>
          <w:color w:val="000000"/>
          <w:highlight w:val="black"/>
        </w:rPr>
        <w:t>''''''</w:t>
      </w:r>
      <w:r>
        <w:t xml:space="preserve">%, </w:t>
      </w:r>
      <w:r w:rsidR="00643031">
        <w:rPr>
          <w:noProof/>
          <w:color w:val="000000"/>
          <w:highlight w:val="black"/>
        </w:rPr>
        <w:t>''''''</w:t>
      </w:r>
      <w:r>
        <w:t xml:space="preserve">% to </w:t>
      </w:r>
      <w:r w:rsidR="00643031">
        <w:rPr>
          <w:noProof/>
          <w:color w:val="000000"/>
          <w:highlight w:val="black"/>
        </w:rPr>
        <w:t>'''</w:t>
      </w:r>
      <w:r>
        <w:t xml:space="preserve">%, </w:t>
      </w:r>
      <w:r w:rsidR="00643031">
        <w:rPr>
          <w:noProof/>
          <w:color w:val="000000"/>
          <w:highlight w:val="black"/>
        </w:rPr>
        <w:t>''''''</w:t>
      </w:r>
      <w:r>
        <w:t xml:space="preserve">%, </w:t>
      </w:r>
      <w:r w:rsidR="00643031">
        <w:rPr>
          <w:noProof/>
          <w:color w:val="000000"/>
          <w:highlight w:val="black"/>
        </w:rPr>
        <w:t>'''''''</w:t>
      </w:r>
      <w:r>
        <w:t xml:space="preserve">%, </w:t>
      </w:r>
      <w:r w:rsidR="00643031">
        <w:rPr>
          <w:noProof/>
          <w:color w:val="000000"/>
          <w:highlight w:val="black"/>
        </w:rPr>
        <w:t>''''''</w:t>
      </w:r>
      <w:r>
        <w:t>%</w:t>
      </w:r>
      <w:r w:rsidR="00B7238F">
        <w:t xml:space="preserve"> and</w:t>
      </w:r>
      <w:r>
        <w:t xml:space="preserve"> </w:t>
      </w:r>
      <w:r w:rsidR="00643031">
        <w:rPr>
          <w:noProof/>
          <w:color w:val="000000"/>
          <w:highlight w:val="black"/>
        </w:rPr>
        <w:t>''''''</w:t>
      </w:r>
      <w:r>
        <w:t>%.</w:t>
      </w:r>
    </w:p>
    <w:p w:rsidR="00730340" w:rsidRDefault="00B7238F" w:rsidP="00730340">
      <w:pPr>
        <w:pStyle w:val="ListParagraph"/>
        <w:numPr>
          <w:ilvl w:val="0"/>
          <w:numId w:val="2"/>
        </w:numPr>
        <w:spacing w:after="160" w:line="259" w:lineRule="auto"/>
        <w:ind w:left="1276"/>
      </w:pPr>
      <w:r>
        <w:t>The d</w:t>
      </w:r>
      <w:r w:rsidR="00730340">
        <w:t>ispensed price for sacubitril/valsartan reflect</w:t>
      </w:r>
      <w:r w:rsidR="001E716C">
        <w:t>ed</w:t>
      </w:r>
      <w:r w:rsidR="00730340">
        <w:t xml:space="preserve"> a flat pricing structure, based on PBAC advice (7.5, PBAC </w:t>
      </w:r>
      <w:r w:rsidR="009F5808">
        <w:t>Public Summary Document</w:t>
      </w:r>
      <w:r w:rsidR="00E237C6" w:rsidRPr="00E237C6">
        <w:t xml:space="preserve"> </w:t>
      </w:r>
      <w:r w:rsidR="00E237C6">
        <w:t>March 2016</w:t>
      </w:r>
      <w:r w:rsidR="00730340">
        <w:t>).</w:t>
      </w:r>
    </w:p>
    <w:p w:rsidR="00FC3D86" w:rsidRPr="00777AC4" w:rsidRDefault="00730340" w:rsidP="00730340">
      <w:pPr>
        <w:pStyle w:val="ListParagraph"/>
        <w:numPr>
          <w:ilvl w:val="0"/>
          <w:numId w:val="2"/>
        </w:numPr>
        <w:spacing w:after="160" w:line="259" w:lineRule="auto"/>
        <w:ind w:left="1276"/>
      </w:pPr>
      <w:r>
        <w:t>The re-submissio</w:t>
      </w:r>
      <w:r w:rsidR="001E716C">
        <w:t>n</w:t>
      </w:r>
      <w:r>
        <w:t xml:space="preserve"> also introduced equal weighting across the strengths of enalapril (as a proxy for all ACE inhibitors). The re-submission state</w:t>
      </w:r>
      <w:r w:rsidR="001E716C">
        <w:t>d</w:t>
      </w:r>
      <w:r>
        <w:t xml:space="preserve"> that this was done to reflect the flat pricing approach. </w:t>
      </w:r>
      <w:r w:rsidRPr="001E716C">
        <w:t xml:space="preserve">This </w:t>
      </w:r>
      <w:r w:rsidR="001E716C">
        <w:t>was</w:t>
      </w:r>
      <w:r w:rsidRPr="001E716C">
        <w:t xml:space="preserve"> likely to be a conservative approach and may actually underestimate the cost-offsets associated with reduced ACE-I use.</w:t>
      </w:r>
      <w:r w:rsidR="00777AC4">
        <w:rPr>
          <w:i/>
        </w:rPr>
        <w:t xml:space="preserve"> </w:t>
      </w:r>
    </w:p>
    <w:p w:rsidR="00777AC4" w:rsidRPr="00777AC4" w:rsidRDefault="00777AC4" w:rsidP="00777AC4">
      <w:pPr>
        <w:pStyle w:val="ListParagraph"/>
        <w:spacing w:after="160" w:line="259" w:lineRule="auto"/>
        <w:ind w:left="1276"/>
      </w:pPr>
    </w:p>
    <w:p w:rsidR="00730340" w:rsidRPr="00777AC4" w:rsidRDefault="00730340" w:rsidP="00730340">
      <w:pPr>
        <w:pStyle w:val="ListParagraph"/>
        <w:numPr>
          <w:ilvl w:val="1"/>
          <w:numId w:val="1"/>
        </w:numPr>
        <w:rPr>
          <w:szCs w:val="22"/>
        </w:rPr>
      </w:pPr>
      <w:r w:rsidRPr="00777AC4">
        <w:rPr>
          <w:szCs w:val="22"/>
        </w:rPr>
        <w:t>The DUSC advice</w:t>
      </w:r>
      <w:r w:rsidR="001E716C">
        <w:rPr>
          <w:szCs w:val="22"/>
        </w:rPr>
        <w:t xml:space="preserve"> (March 2016)</w:t>
      </w:r>
      <w:r w:rsidRPr="00777AC4">
        <w:rPr>
          <w:szCs w:val="22"/>
        </w:rPr>
        <w:t xml:space="preserve"> indicated that there </w:t>
      </w:r>
      <w:r w:rsidR="001E716C">
        <w:rPr>
          <w:szCs w:val="22"/>
        </w:rPr>
        <w:t>was</w:t>
      </w:r>
      <w:r w:rsidRPr="00777AC4">
        <w:rPr>
          <w:szCs w:val="22"/>
        </w:rPr>
        <w:t xml:space="preserve"> potential for use outside of the requested restriction in patients with preserved ejection fraction, in patients with NYHA class I heart failure, and in patients </w:t>
      </w:r>
      <w:r w:rsidRPr="001E716C">
        <w:rPr>
          <w:szCs w:val="22"/>
        </w:rPr>
        <w:t xml:space="preserve">not </w:t>
      </w:r>
      <w:r w:rsidR="00B7238F" w:rsidRPr="001E716C">
        <w:rPr>
          <w:szCs w:val="22"/>
        </w:rPr>
        <w:t xml:space="preserve">receiving </w:t>
      </w:r>
      <w:r w:rsidRPr="001E716C">
        <w:rPr>
          <w:szCs w:val="22"/>
        </w:rPr>
        <w:t>a concomitant beta-blocker (5.10.DUSC ADV.3). The minor re-submission did not address these concerns.</w:t>
      </w:r>
    </w:p>
    <w:p w:rsidR="00FC3D86" w:rsidRPr="00882085" w:rsidRDefault="00FC3D86" w:rsidP="00882085">
      <w:pPr>
        <w:ind w:left="720" w:hanging="720"/>
        <w:rPr>
          <w:b/>
          <w:i/>
          <w:szCs w:val="22"/>
        </w:rPr>
      </w:pPr>
    </w:p>
    <w:p w:rsidR="00333F7A" w:rsidRDefault="00C00DA7" w:rsidP="0097216A">
      <w:pPr>
        <w:pStyle w:val="ListParagraph"/>
        <w:numPr>
          <w:ilvl w:val="1"/>
          <w:numId w:val="1"/>
        </w:numPr>
        <w:rPr>
          <w:szCs w:val="22"/>
        </w:rPr>
      </w:pPr>
      <w:r w:rsidRPr="00A5132F">
        <w:rPr>
          <w:szCs w:val="22"/>
        </w:rPr>
        <w:t xml:space="preserve">The minor </w:t>
      </w:r>
      <w:r w:rsidR="000E17E9">
        <w:rPr>
          <w:szCs w:val="22"/>
        </w:rPr>
        <w:t>re-</w:t>
      </w:r>
      <w:r w:rsidR="00333F7A" w:rsidRPr="00A5132F">
        <w:rPr>
          <w:szCs w:val="22"/>
        </w:rPr>
        <w:t>submission estimate</w:t>
      </w:r>
      <w:r w:rsidR="001E716C">
        <w:rPr>
          <w:szCs w:val="22"/>
        </w:rPr>
        <w:t>d</w:t>
      </w:r>
      <w:r w:rsidR="00333F7A" w:rsidRPr="00A5132F">
        <w:rPr>
          <w:szCs w:val="22"/>
        </w:rPr>
        <w:t xml:space="preserve"> a net cost</w:t>
      </w:r>
      <w:r w:rsidRPr="00A5132F">
        <w:rPr>
          <w:szCs w:val="22"/>
        </w:rPr>
        <w:t xml:space="preserve"> to the </w:t>
      </w:r>
      <w:r w:rsidRPr="002349D2">
        <w:rPr>
          <w:szCs w:val="22"/>
        </w:rPr>
        <w:t xml:space="preserve">PBS of </w:t>
      </w:r>
      <w:r w:rsidR="00224417">
        <w:rPr>
          <w:szCs w:val="22"/>
        </w:rPr>
        <w:t xml:space="preserve">more than </w:t>
      </w:r>
      <w:r w:rsidRPr="002349D2">
        <w:rPr>
          <w:szCs w:val="22"/>
        </w:rPr>
        <w:t>$</w:t>
      </w:r>
      <w:r w:rsidR="00224417">
        <w:rPr>
          <w:szCs w:val="22"/>
        </w:rPr>
        <w:t>100 million</w:t>
      </w:r>
      <w:r w:rsidRPr="002349D2">
        <w:rPr>
          <w:szCs w:val="22"/>
        </w:rPr>
        <w:t xml:space="preserve"> in</w:t>
      </w:r>
      <w:r w:rsidRPr="00A5132F">
        <w:rPr>
          <w:szCs w:val="22"/>
        </w:rPr>
        <w:t xml:space="preserve"> Year 5 of</w:t>
      </w:r>
      <w:r w:rsidR="00333F7A" w:rsidRPr="00A5132F">
        <w:rPr>
          <w:szCs w:val="22"/>
        </w:rPr>
        <w:t xml:space="preserve"> listing, with a total net cost</w:t>
      </w:r>
      <w:r w:rsidRPr="00A5132F">
        <w:rPr>
          <w:szCs w:val="22"/>
        </w:rPr>
        <w:t xml:space="preserve"> to the </w:t>
      </w:r>
      <w:r w:rsidRPr="002349D2">
        <w:rPr>
          <w:szCs w:val="22"/>
        </w:rPr>
        <w:t xml:space="preserve">PBS of </w:t>
      </w:r>
      <w:r w:rsidR="00224417">
        <w:rPr>
          <w:szCs w:val="22"/>
        </w:rPr>
        <w:t xml:space="preserve">more than </w:t>
      </w:r>
      <w:r w:rsidR="002349D2" w:rsidRPr="002349D2">
        <w:rPr>
          <w:szCs w:val="22"/>
        </w:rPr>
        <w:t>$</w:t>
      </w:r>
      <w:r w:rsidR="00224417">
        <w:rPr>
          <w:szCs w:val="22"/>
        </w:rPr>
        <w:t>100 million</w:t>
      </w:r>
      <w:r w:rsidRPr="002349D2">
        <w:rPr>
          <w:szCs w:val="22"/>
        </w:rPr>
        <w:t xml:space="preserve"> over the first 5 years of listing</w:t>
      </w:r>
      <w:proofErr w:type="gramStart"/>
      <w:r w:rsidRPr="002349D2">
        <w:rPr>
          <w:szCs w:val="22"/>
        </w:rPr>
        <w:t xml:space="preserve">.  </w:t>
      </w:r>
      <w:proofErr w:type="gramEnd"/>
      <w:r w:rsidR="00FB2338">
        <w:rPr>
          <w:szCs w:val="22"/>
        </w:rPr>
        <w:t>In Year 5, the number of patients per year is expected to be 10,000 – 50,000.</w:t>
      </w:r>
      <w:r w:rsidRPr="002349D2">
        <w:rPr>
          <w:szCs w:val="22"/>
        </w:rPr>
        <w:t xml:space="preserve"> </w:t>
      </w:r>
    </w:p>
    <w:p w:rsidR="00B94B79" w:rsidRDefault="00B94B79">
      <w:pPr>
        <w:jc w:val="left"/>
        <w:rPr>
          <w:rFonts w:ascii="Arial Narrow" w:hAnsi="Arial Narrow"/>
          <w:b/>
          <w:sz w:val="20"/>
          <w:szCs w:val="22"/>
        </w:rPr>
      </w:pPr>
    </w:p>
    <w:p w:rsidR="00DD2D0E" w:rsidRPr="00D76509" w:rsidRDefault="00DD2D0E" w:rsidP="00D11F3E">
      <w:pPr>
        <w:pStyle w:val="ListParagraph"/>
        <w:keepNext/>
        <w:rPr>
          <w:rFonts w:ascii="Arial Narrow" w:hAnsi="Arial Narrow"/>
          <w:b/>
          <w:sz w:val="20"/>
          <w:szCs w:val="22"/>
        </w:rPr>
      </w:pPr>
      <w:r w:rsidRPr="00D76509">
        <w:rPr>
          <w:rFonts w:ascii="Arial Narrow" w:hAnsi="Arial Narrow"/>
          <w:b/>
          <w:sz w:val="20"/>
          <w:szCs w:val="22"/>
        </w:rPr>
        <w:lastRenderedPageBreak/>
        <w:t xml:space="preserve">Table </w:t>
      </w:r>
      <w:r w:rsidR="00466B19">
        <w:rPr>
          <w:rFonts w:ascii="Arial Narrow" w:hAnsi="Arial Narrow"/>
          <w:b/>
          <w:sz w:val="20"/>
          <w:szCs w:val="22"/>
        </w:rPr>
        <w:t>4</w:t>
      </w:r>
      <w:r w:rsidRPr="00D76509">
        <w:rPr>
          <w:rFonts w:ascii="Arial Narrow" w:hAnsi="Arial Narrow"/>
          <w:b/>
          <w:sz w:val="20"/>
          <w:szCs w:val="22"/>
        </w:rPr>
        <w:t>:</w:t>
      </w:r>
      <w:r w:rsidR="00B30B8F" w:rsidRPr="00D76509">
        <w:rPr>
          <w:rFonts w:ascii="Arial Narrow" w:hAnsi="Arial Narrow"/>
          <w:b/>
          <w:sz w:val="20"/>
          <w:szCs w:val="22"/>
        </w:rPr>
        <w:t xml:space="preserve"> Estimated use and financial implications</w:t>
      </w:r>
    </w:p>
    <w:tbl>
      <w:tblPr>
        <w:tblW w:w="4587"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09"/>
        <w:gridCol w:w="1065"/>
        <w:gridCol w:w="1065"/>
        <w:gridCol w:w="1065"/>
        <w:gridCol w:w="1065"/>
        <w:gridCol w:w="1063"/>
      </w:tblGrid>
      <w:tr w:rsidR="002349D2" w:rsidRPr="002349D2" w:rsidTr="00B94B79">
        <w:tc>
          <w:tcPr>
            <w:tcW w:w="1806" w:type="pct"/>
            <w:tcBorders>
              <w:top w:val="single" w:sz="4" w:space="0" w:color="auto"/>
              <w:left w:val="single" w:sz="4" w:space="0" w:color="auto"/>
              <w:bottom w:val="nil"/>
              <w:right w:val="single" w:sz="4" w:space="0" w:color="auto"/>
            </w:tcBorders>
            <w:shd w:val="clear" w:color="auto" w:fill="auto"/>
            <w:vAlign w:val="center"/>
            <w:hideMark/>
          </w:tcPr>
          <w:p w:rsidR="002349D2" w:rsidRPr="002349D2" w:rsidRDefault="002349D2" w:rsidP="00B94B79">
            <w:pPr>
              <w:pStyle w:val="PBACTableText"/>
              <w:keepNext/>
              <w:widowControl w:val="0"/>
              <w:jc w:val="left"/>
              <w:rPr>
                <w:rFonts w:ascii="Arial Narrow" w:hAnsi="Arial Narrow"/>
                <w:b/>
                <w:sz w:val="20"/>
              </w:rPr>
            </w:pPr>
            <w:r w:rsidRPr="002349D2">
              <w:rPr>
                <w:rFonts w:ascii="Arial Narrow" w:hAnsi="Arial Narrow"/>
                <w:b/>
                <w:sz w:val="20"/>
              </w:rPr>
              <w:t> </w:t>
            </w:r>
          </w:p>
        </w:tc>
        <w:tc>
          <w:tcPr>
            <w:tcW w:w="639" w:type="pct"/>
            <w:tcBorders>
              <w:left w:val="single" w:sz="4" w:space="0" w:color="auto"/>
            </w:tcBorders>
            <w:shd w:val="clear" w:color="auto" w:fill="auto"/>
            <w:vAlign w:val="center"/>
            <w:hideMark/>
          </w:tcPr>
          <w:p w:rsidR="002349D2" w:rsidRPr="002349D2" w:rsidRDefault="002349D2" w:rsidP="000772FF">
            <w:pPr>
              <w:pStyle w:val="PBACTableText"/>
              <w:keepNext/>
              <w:widowControl w:val="0"/>
              <w:jc w:val="center"/>
              <w:rPr>
                <w:rFonts w:ascii="Arial Narrow" w:hAnsi="Arial Narrow"/>
                <w:b/>
                <w:sz w:val="20"/>
              </w:rPr>
            </w:pPr>
            <w:r w:rsidRPr="002349D2">
              <w:rPr>
                <w:rFonts w:ascii="Arial Narrow" w:hAnsi="Arial Narrow"/>
                <w:b/>
                <w:sz w:val="20"/>
              </w:rPr>
              <w:t>2016</w:t>
            </w:r>
          </w:p>
        </w:tc>
        <w:tc>
          <w:tcPr>
            <w:tcW w:w="639" w:type="pct"/>
            <w:shd w:val="clear" w:color="auto" w:fill="auto"/>
            <w:vAlign w:val="center"/>
            <w:hideMark/>
          </w:tcPr>
          <w:p w:rsidR="002349D2" w:rsidRPr="002349D2" w:rsidRDefault="002349D2" w:rsidP="000772FF">
            <w:pPr>
              <w:pStyle w:val="PBACTableText"/>
              <w:keepNext/>
              <w:widowControl w:val="0"/>
              <w:jc w:val="center"/>
              <w:rPr>
                <w:rFonts w:ascii="Arial Narrow" w:hAnsi="Arial Narrow"/>
                <w:b/>
                <w:sz w:val="20"/>
              </w:rPr>
            </w:pPr>
            <w:r w:rsidRPr="002349D2">
              <w:rPr>
                <w:rFonts w:ascii="Arial Narrow" w:hAnsi="Arial Narrow"/>
                <w:b/>
                <w:sz w:val="20"/>
              </w:rPr>
              <w:t>2017</w:t>
            </w:r>
          </w:p>
        </w:tc>
        <w:tc>
          <w:tcPr>
            <w:tcW w:w="639" w:type="pct"/>
            <w:shd w:val="clear" w:color="auto" w:fill="auto"/>
            <w:vAlign w:val="center"/>
            <w:hideMark/>
          </w:tcPr>
          <w:p w:rsidR="002349D2" w:rsidRPr="002349D2" w:rsidRDefault="002349D2" w:rsidP="000772FF">
            <w:pPr>
              <w:pStyle w:val="PBACTableText"/>
              <w:keepNext/>
              <w:widowControl w:val="0"/>
              <w:jc w:val="center"/>
              <w:rPr>
                <w:rFonts w:ascii="Arial Narrow" w:hAnsi="Arial Narrow"/>
                <w:b/>
                <w:sz w:val="20"/>
              </w:rPr>
            </w:pPr>
            <w:r w:rsidRPr="002349D2">
              <w:rPr>
                <w:rFonts w:ascii="Arial Narrow" w:hAnsi="Arial Narrow"/>
                <w:b/>
                <w:sz w:val="20"/>
              </w:rPr>
              <w:t>2018</w:t>
            </w:r>
          </w:p>
        </w:tc>
        <w:tc>
          <w:tcPr>
            <w:tcW w:w="639" w:type="pct"/>
            <w:shd w:val="clear" w:color="auto" w:fill="auto"/>
            <w:vAlign w:val="center"/>
            <w:hideMark/>
          </w:tcPr>
          <w:p w:rsidR="002349D2" w:rsidRPr="002349D2" w:rsidRDefault="002349D2" w:rsidP="000772FF">
            <w:pPr>
              <w:pStyle w:val="PBACTableText"/>
              <w:keepNext/>
              <w:widowControl w:val="0"/>
              <w:jc w:val="center"/>
              <w:rPr>
                <w:rFonts w:ascii="Arial Narrow" w:hAnsi="Arial Narrow"/>
                <w:b/>
                <w:sz w:val="20"/>
              </w:rPr>
            </w:pPr>
            <w:r w:rsidRPr="002349D2">
              <w:rPr>
                <w:rFonts w:ascii="Arial Narrow" w:hAnsi="Arial Narrow"/>
                <w:b/>
                <w:sz w:val="20"/>
              </w:rPr>
              <w:t>2019</w:t>
            </w:r>
          </w:p>
        </w:tc>
        <w:tc>
          <w:tcPr>
            <w:tcW w:w="639" w:type="pct"/>
            <w:shd w:val="clear" w:color="auto" w:fill="auto"/>
            <w:vAlign w:val="center"/>
            <w:hideMark/>
          </w:tcPr>
          <w:p w:rsidR="002349D2" w:rsidRPr="002349D2" w:rsidRDefault="002349D2" w:rsidP="000772FF">
            <w:pPr>
              <w:pStyle w:val="PBACTableText"/>
              <w:keepNext/>
              <w:widowControl w:val="0"/>
              <w:jc w:val="center"/>
              <w:rPr>
                <w:rFonts w:ascii="Arial Narrow" w:hAnsi="Arial Narrow"/>
                <w:b/>
                <w:sz w:val="20"/>
              </w:rPr>
            </w:pPr>
            <w:r w:rsidRPr="002349D2">
              <w:rPr>
                <w:rFonts w:ascii="Arial Narrow" w:hAnsi="Arial Narrow"/>
                <w:b/>
                <w:sz w:val="20"/>
              </w:rPr>
              <w:t>2020</w:t>
            </w:r>
          </w:p>
        </w:tc>
      </w:tr>
      <w:tr w:rsidR="002349D2" w:rsidRPr="002349D2" w:rsidTr="00B94B79">
        <w:tc>
          <w:tcPr>
            <w:tcW w:w="1806" w:type="pct"/>
            <w:tcBorders>
              <w:top w:val="nil"/>
              <w:left w:val="single" w:sz="4" w:space="0" w:color="auto"/>
              <w:bottom w:val="single" w:sz="4" w:space="0" w:color="auto"/>
              <w:right w:val="single" w:sz="4" w:space="0" w:color="auto"/>
            </w:tcBorders>
            <w:shd w:val="clear" w:color="auto" w:fill="auto"/>
            <w:vAlign w:val="center"/>
            <w:hideMark/>
          </w:tcPr>
          <w:p w:rsidR="002349D2" w:rsidRPr="002349D2" w:rsidRDefault="002349D2" w:rsidP="00B94B79">
            <w:pPr>
              <w:pStyle w:val="PBACTableText"/>
              <w:keepNext/>
              <w:widowControl w:val="0"/>
              <w:jc w:val="left"/>
              <w:rPr>
                <w:rFonts w:ascii="Arial Narrow" w:hAnsi="Arial Narrow"/>
                <w:b/>
                <w:sz w:val="20"/>
              </w:rPr>
            </w:pPr>
            <w:r w:rsidRPr="002349D2">
              <w:rPr>
                <w:rFonts w:ascii="Arial Narrow" w:hAnsi="Arial Narrow"/>
                <w:b/>
                <w:sz w:val="20"/>
              </w:rPr>
              <w:t> </w:t>
            </w:r>
          </w:p>
        </w:tc>
        <w:tc>
          <w:tcPr>
            <w:tcW w:w="639" w:type="pct"/>
            <w:tcBorders>
              <w:left w:val="single" w:sz="4" w:space="0" w:color="auto"/>
            </w:tcBorders>
            <w:shd w:val="clear" w:color="auto" w:fill="auto"/>
            <w:vAlign w:val="center"/>
            <w:hideMark/>
          </w:tcPr>
          <w:p w:rsidR="002349D2" w:rsidRPr="002349D2" w:rsidRDefault="002349D2" w:rsidP="000772FF">
            <w:pPr>
              <w:pStyle w:val="PBACTableText"/>
              <w:keepNext/>
              <w:widowControl w:val="0"/>
              <w:jc w:val="center"/>
              <w:rPr>
                <w:rFonts w:ascii="Arial Narrow" w:hAnsi="Arial Narrow"/>
                <w:b/>
                <w:sz w:val="20"/>
              </w:rPr>
            </w:pPr>
            <w:r w:rsidRPr="002349D2">
              <w:rPr>
                <w:rFonts w:ascii="Arial Narrow" w:hAnsi="Arial Narrow"/>
                <w:b/>
                <w:sz w:val="20"/>
              </w:rPr>
              <w:t>Year 1</w:t>
            </w:r>
          </w:p>
        </w:tc>
        <w:tc>
          <w:tcPr>
            <w:tcW w:w="639" w:type="pct"/>
            <w:shd w:val="clear" w:color="auto" w:fill="auto"/>
            <w:vAlign w:val="center"/>
            <w:hideMark/>
          </w:tcPr>
          <w:p w:rsidR="002349D2" w:rsidRPr="002349D2" w:rsidRDefault="002349D2" w:rsidP="000772FF">
            <w:pPr>
              <w:pStyle w:val="PBACTableText"/>
              <w:keepNext/>
              <w:widowControl w:val="0"/>
              <w:jc w:val="center"/>
              <w:rPr>
                <w:rFonts w:ascii="Arial Narrow" w:hAnsi="Arial Narrow"/>
                <w:b/>
                <w:sz w:val="20"/>
              </w:rPr>
            </w:pPr>
            <w:r w:rsidRPr="002349D2">
              <w:rPr>
                <w:rFonts w:ascii="Arial Narrow" w:hAnsi="Arial Narrow"/>
                <w:b/>
                <w:sz w:val="20"/>
              </w:rPr>
              <w:t>Year 2</w:t>
            </w:r>
          </w:p>
        </w:tc>
        <w:tc>
          <w:tcPr>
            <w:tcW w:w="639" w:type="pct"/>
            <w:shd w:val="clear" w:color="auto" w:fill="auto"/>
            <w:vAlign w:val="center"/>
            <w:hideMark/>
          </w:tcPr>
          <w:p w:rsidR="002349D2" w:rsidRPr="002349D2" w:rsidRDefault="002349D2" w:rsidP="000772FF">
            <w:pPr>
              <w:pStyle w:val="PBACTableText"/>
              <w:keepNext/>
              <w:widowControl w:val="0"/>
              <w:jc w:val="center"/>
              <w:rPr>
                <w:rFonts w:ascii="Arial Narrow" w:hAnsi="Arial Narrow"/>
                <w:b/>
                <w:sz w:val="20"/>
              </w:rPr>
            </w:pPr>
            <w:r w:rsidRPr="002349D2">
              <w:rPr>
                <w:rFonts w:ascii="Arial Narrow" w:hAnsi="Arial Narrow"/>
                <w:b/>
                <w:sz w:val="20"/>
              </w:rPr>
              <w:t>Year 3</w:t>
            </w:r>
          </w:p>
        </w:tc>
        <w:tc>
          <w:tcPr>
            <w:tcW w:w="639" w:type="pct"/>
            <w:shd w:val="clear" w:color="auto" w:fill="auto"/>
            <w:vAlign w:val="center"/>
            <w:hideMark/>
          </w:tcPr>
          <w:p w:rsidR="002349D2" w:rsidRPr="002349D2" w:rsidRDefault="002349D2" w:rsidP="000772FF">
            <w:pPr>
              <w:pStyle w:val="PBACTableText"/>
              <w:keepNext/>
              <w:widowControl w:val="0"/>
              <w:jc w:val="center"/>
              <w:rPr>
                <w:rFonts w:ascii="Arial Narrow" w:hAnsi="Arial Narrow"/>
                <w:b/>
                <w:sz w:val="20"/>
              </w:rPr>
            </w:pPr>
            <w:r w:rsidRPr="002349D2">
              <w:rPr>
                <w:rFonts w:ascii="Arial Narrow" w:hAnsi="Arial Narrow"/>
                <w:b/>
                <w:sz w:val="20"/>
              </w:rPr>
              <w:t>Year 4</w:t>
            </w:r>
          </w:p>
        </w:tc>
        <w:tc>
          <w:tcPr>
            <w:tcW w:w="639" w:type="pct"/>
            <w:shd w:val="clear" w:color="auto" w:fill="auto"/>
            <w:vAlign w:val="center"/>
            <w:hideMark/>
          </w:tcPr>
          <w:p w:rsidR="002349D2" w:rsidRPr="002349D2" w:rsidRDefault="002349D2" w:rsidP="000772FF">
            <w:pPr>
              <w:pStyle w:val="PBACTableText"/>
              <w:keepNext/>
              <w:widowControl w:val="0"/>
              <w:jc w:val="center"/>
              <w:rPr>
                <w:rFonts w:ascii="Arial Narrow" w:hAnsi="Arial Narrow"/>
                <w:b/>
                <w:sz w:val="20"/>
              </w:rPr>
            </w:pPr>
            <w:r w:rsidRPr="002349D2">
              <w:rPr>
                <w:rFonts w:ascii="Arial Narrow" w:hAnsi="Arial Narrow"/>
                <w:b/>
                <w:sz w:val="20"/>
              </w:rPr>
              <w:t>Year 5</w:t>
            </w:r>
          </w:p>
        </w:tc>
      </w:tr>
      <w:tr w:rsidR="002349D2" w:rsidRPr="002349D2" w:rsidTr="00B94B79">
        <w:tc>
          <w:tcPr>
            <w:tcW w:w="1806" w:type="pct"/>
            <w:tcBorders>
              <w:top w:val="single" w:sz="4" w:space="0" w:color="auto"/>
            </w:tcBorders>
            <w:shd w:val="clear" w:color="auto" w:fill="auto"/>
            <w:vAlign w:val="center"/>
            <w:hideMark/>
          </w:tcPr>
          <w:p w:rsidR="002349D2" w:rsidRPr="002349D2" w:rsidRDefault="002349D2" w:rsidP="00B94B79">
            <w:pPr>
              <w:pStyle w:val="PBACTableText"/>
              <w:keepNext/>
              <w:widowControl w:val="0"/>
              <w:jc w:val="left"/>
              <w:rPr>
                <w:rFonts w:ascii="Arial Narrow" w:hAnsi="Arial Narrow"/>
                <w:sz w:val="20"/>
              </w:rPr>
            </w:pPr>
            <w:r w:rsidRPr="002349D2">
              <w:rPr>
                <w:rFonts w:ascii="Arial Narrow" w:hAnsi="Arial Narrow"/>
                <w:sz w:val="20"/>
              </w:rPr>
              <w:t>No. of patients per year</w:t>
            </w:r>
          </w:p>
        </w:tc>
        <w:tc>
          <w:tcPr>
            <w:tcW w:w="639" w:type="pct"/>
            <w:shd w:val="clear" w:color="auto" w:fill="auto"/>
            <w:vAlign w:val="center"/>
          </w:tcPr>
          <w:p w:rsidR="002349D2" w:rsidRPr="00643031" w:rsidRDefault="00643031" w:rsidP="000772FF">
            <w:pPr>
              <w:pStyle w:val="PBACTableText"/>
              <w:keepNext/>
              <w:widowControl w:val="0"/>
              <w:jc w:val="center"/>
              <w:rPr>
                <w:rFonts w:ascii="Arial Narrow" w:hAnsi="Arial Narrow"/>
                <w:b/>
                <w:sz w:val="20"/>
                <w:highlight w:val="black"/>
              </w:rPr>
            </w:pPr>
            <w:r>
              <w:rPr>
                <w:rFonts w:ascii="Arial Narrow" w:hAnsi="Arial Narrow"/>
                <w:noProof/>
                <w:color w:val="000000"/>
                <w:sz w:val="20"/>
                <w:highlight w:val="black"/>
              </w:rPr>
              <w:t>'''''''''''''''''</w:t>
            </w:r>
          </w:p>
        </w:tc>
        <w:tc>
          <w:tcPr>
            <w:tcW w:w="639" w:type="pct"/>
            <w:shd w:val="clear" w:color="auto" w:fill="auto"/>
            <w:vAlign w:val="center"/>
          </w:tcPr>
          <w:p w:rsidR="002349D2" w:rsidRPr="00643031" w:rsidRDefault="00643031" w:rsidP="000772FF">
            <w:pPr>
              <w:pStyle w:val="PBACTableText"/>
              <w:keepNext/>
              <w:widowControl w:val="0"/>
              <w:jc w:val="center"/>
              <w:rPr>
                <w:rFonts w:ascii="Arial Narrow" w:hAnsi="Arial Narrow"/>
                <w:b/>
                <w:sz w:val="20"/>
                <w:highlight w:val="black"/>
              </w:rPr>
            </w:pPr>
            <w:r>
              <w:rPr>
                <w:rFonts w:ascii="Arial Narrow" w:hAnsi="Arial Narrow"/>
                <w:noProof/>
                <w:color w:val="000000"/>
                <w:sz w:val="20"/>
                <w:highlight w:val="black"/>
              </w:rPr>
              <w:t>'''''''''''''''''</w:t>
            </w:r>
          </w:p>
        </w:tc>
        <w:tc>
          <w:tcPr>
            <w:tcW w:w="639" w:type="pct"/>
            <w:shd w:val="clear" w:color="auto" w:fill="auto"/>
            <w:vAlign w:val="center"/>
          </w:tcPr>
          <w:p w:rsidR="002349D2" w:rsidRPr="00643031" w:rsidRDefault="00643031" w:rsidP="000772FF">
            <w:pPr>
              <w:pStyle w:val="PBACTableText"/>
              <w:keepNext/>
              <w:widowControl w:val="0"/>
              <w:jc w:val="center"/>
              <w:rPr>
                <w:rFonts w:ascii="Arial Narrow" w:hAnsi="Arial Narrow"/>
                <w:b/>
                <w:sz w:val="20"/>
                <w:highlight w:val="black"/>
              </w:rPr>
            </w:pPr>
            <w:r>
              <w:rPr>
                <w:rFonts w:ascii="Arial Narrow" w:hAnsi="Arial Narrow"/>
                <w:noProof/>
                <w:color w:val="000000"/>
                <w:sz w:val="20"/>
                <w:highlight w:val="black"/>
              </w:rPr>
              <w:t>'''''''''''''''''</w:t>
            </w:r>
          </w:p>
        </w:tc>
        <w:tc>
          <w:tcPr>
            <w:tcW w:w="639" w:type="pct"/>
            <w:shd w:val="clear" w:color="auto" w:fill="auto"/>
            <w:vAlign w:val="center"/>
          </w:tcPr>
          <w:p w:rsidR="002349D2" w:rsidRPr="00643031" w:rsidRDefault="00643031" w:rsidP="000772FF">
            <w:pPr>
              <w:pStyle w:val="PBACTableText"/>
              <w:keepNext/>
              <w:widowControl w:val="0"/>
              <w:jc w:val="center"/>
              <w:rPr>
                <w:rFonts w:ascii="Arial Narrow" w:hAnsi="Arial Narrow"/>
                <w:b/>
                <w:sz w:val="20"/>
                <w:highlight w:val="black"/>
              </w:rPr>
            </w:pPr>
            <w:r>
              <w:rPr>
                <w:rFonts w:ascii="Arial Narrow" w:hAnsi="Arial Narrow"/>
                <w:noProof/>
                <w:color w:val="000000"/>
                <w:sz w:val="20"/>
                <w:highlight w:val="black"/>
              </w:rPr>
              <w:t>''''''''''''''''</w:t>
            </w:r>
          </w:p>
        </w:tc>
        <w:tc>
          <w:tcPr>
            <w:tcW w:w="639" w:type="pct"/>
            <w:shd w:val="clear" w:color="auto" w:fill="auto"/>
            <w:vAlign w:val="center"/>
          </w:tcPr>
          <w:p w:rsidR="002349D2" w:rsidRPr="00643031" w:rsidRDefault="00643031" w:rsidP="000772FF">
            <w:pPr>
              <w:pStyle w:val="PBACTableText"/>
              <w:keepNext/>
              <w:widowControl w:val="0"/>
              <w:jc w:val="center"/>
              <w:rPr>
                <w:rFonts w:ascii="Arial Narrow" w:hAnsi="Arial Narrow"/>
                <w:b/>
                <w:sz w:val="20"/>
                <w:highlight w:val="black"/>
              </w:rPr>
            </w:pPr>
            <w:r>
              <w:rPr>
                <w:rFonts w:ascii="Arial Narrow" w:hAnsi="Arial Narrow"/>
                <w:noProof/>
                <w:color w:val="000000"/>
                <w:sz w:val="20"/>
                <w:highlight w:val="black"/>
              </w:rPr>
              <w:t>'''''''''''''''</w:t>
            </w:r>
          </w:p>
        </w:tc>
      </w:tr>
      <w:tr w:rsidR="002349D2" w:rsidRPr="002349D2" w:rsidTr="00B94B79">
        <w:tc>
          <w:tcPr>
            <w:tcW w:w="1806" w:type="pct"/>
            <w:shd w:val="clear" w:color="auto" w:fill="auto"/>
            <w:vAlign w:val="center"/>
          </w:tcPr>
          <w:p w:rsidR="002349D2" w:rsidRPr="002349D2" w:rsidRDefault="002349D2" w:rsidP="00B94B79">
            <w:pPr>
              <w:pStyle w:val="PBACTableText"/>
              <w:keepNext/>
              <w:widowControl w:val="0"/>
              <w:jc w:val="left"/>
              <w:rPr>
                <w:rFonts w:ascii="Arial Narrow" w:hAnsi="Arial Narrow"/>
                <w:sz w:val="20"/>
              </w:rPr>
            </w:pPr>
            <w:r w:rsidRPr="002349D2">
              <w:rPr>
                <w:rFonts w:ascii="Arial Narrow" w:hAnsi="Arial Narrow"/>
                <w:sz w:val="20"/>
              </w:rPr>
              <w:t>Total number of packs per year</w:t>
            </w:r>
            <w:r w:rsidRPr="002349D2">
              <w:rPr>
                <w:rFonts w:ascii="Arial Narrow" w:hAnsi="Arial Narrow"/>
                <w:sz w:val="20"/>
                <w:vertAlign w:val="superscript"/>
              </w:rPr>
              <w:t xml:space="preserve">1 </w:t>
            </w:r>
          </w:p>
        </w:tc>
        <w:tc>
          <w:tcPr>
            <w:tcW w:w="639" w:type="pct"/>
            <w:shd w:val="clear" w:color="auto" w:fill="auto"/>
            <w:vAlign w:val="center"/>
          </w:tcPr>
          <w:p w:rsidR="002349D2" w:rsidRPr="00643031" w:rsidRDefault="00643031" w:rsidP="000772FF">
            <w:pPr>
              <w:pStyle w:val="PBACTableText"/>
              <w:keepNext/>
              <w:widowControl w:val="0"/>
              <w:jc w:val="center"/>
              <w:rPr>
                <w:rFonts w:ascii="Arial Narrow" w:hAnsi="Arial Narrow"/>
                <w:b/>
                <w:sz w:val="20"/>
                <w:highlight w:val="black"/>
              </w:rPr>
            </w:pPr>
            <w:r>
              <w:rPr>
                <w:rFonts w:ascii="Arial Narrow" w:hAnsi="Arial Narrow"/>
                <w:noProof/>
                <w:color w:val="000000"/>
                <w:sz w:val="20"/>
                <w:highlight w:val="black"/>
              </w:rPr>
              <w:t>'''''''''''''''''''</w:t>
            </w:r>
          </w:p>
        </w:tc>
        <w:tc>
          <w:tcPr>
            <w:tcW w:w="639" w:type="pct"/>
            <w:shd w:val="clear" w:color="auto" w:fill="auto"/>
            <w:vAlign w:val="center"/>
          </w:tcPr>
          <w:p w:rsidR="002349D2" w:rsidRPr="00643031" w:rsidRDefault="00643031" w:rsidP="000772FF">
            <w:pPr>
              <w:pStyle w:val="PBACTableText"/>
              <w:keepNext/>
              <w:widowControl w:val="0"/>
              <w:jc w:val="center"/>
              <w:rPr>
                <w:rFonts w:ascii="Arial Narrow" w:hAnsi="Arial Narrow"/>
                <w:b/>
                <w:sz w:val="20"/>
                <w:highlight w:val="black"/>
              </w:rPr>
            </w:pPr>
            <w:r>
              <w:rPr>
                <w:rFonts w:ascii="Arial Narrow" w:hAnsi="Arial Narrow"/>
                <w:noProof/>
                <w:color w:val="000000"/>
                <w:sz w:val="20"/>
                <w:highlight w:val="black"/>
              </w:rPr>
              <w:t>''''''''''''''''''''</w:t>
            </w:r>
          </w:p>
        </w:tc>
        <w:tc>
          <w:tcPr>
            <w:tcW w:w="639" w:type="pct"/>
            <w:shd w:val="clear" w:color="auto" w:fill="auto"/>
            <w:vAlign w:val="center"/>
          </w:tcPr>
          <w:p w:rsidR="002349D2" w:rsidRPr="00643031" w:rsidRDefault="00643031" w:rsidP="000772FF">
            <w:pPr>
              <w:pStyle w:val="PBACTableText"/>
              <w:keepNext/>
              <w:widowControl w:val="0"/>
              <w:jc w:val="center"/>
              <w:rPr>
                <w:rFonts w:ascii="Arial Narrow" w:hAnsi="Arial Narrow"/>
                <w:b/>
                <w:sz w:val="20"/>
                <w:highlight w:val="black"/>
              </w:rPr>
            </w:pPr>
            <w:r>
              <w:rPr>
                <w:rFonts w:ascii="Arial Narrow" w:hAnsi="Arial Narrow"/>
                <w:noProof/>
                <w:color w:val="000000"/>
                <w:sz w:val="20"/>
                <w:highlight w:val="black"/>
              </w:rPr>
              <w:t>'''''''''''''''''''''</w:t>
            </w:r>
          </w:p>
        </w:tc>
        <w:tc>
          <w:tcPr>
            <w:tcW w:w="639" w:type="pct"/>
            <w:shd w:val="clear" w:color="auto" w:fill="auto"/>
            <w:vAlign w:val="center"/>
          </w:tcPr>
          <w:p w:rsidR="002349D2" w:rsidRPr="00643031" w:rsidRDefault="00643031" w:rsidP="000772FF">
            <w:pPr>
              <w:pStyle w:val="PBACTableText"/>
              <w:keepNext/>
              <w:widowControl w:val="0"/>
              <w:jc w:val="center"/>
              <w:rPr>
                <w:rFonts w:ascii="Arial Narrow" w:hAnsi="Arial Narrow"/>
                <w:b/>
                <w:sz w:val="20"/>
                <w:highlight w:val="black"/>
              </w:rPr>
            </w:pPr>
            <w:r>
              <w:rPr>
                <w:rFonts w:ascii="Arial Narrow" w:hAnsi="Arial Narrow"/>
                <w:noProof/>
                <w:color w:val="000000"/>
                <w:sz w:val="20"/>
                <w:highlight w:val="black"/>
              </w:rPr>
              <w:t>'''''''''''''''''''</w:t>
            </w:r>
          </w:p>
        </w:tc>
        <w:tc>
          <w:tcPr>
            <w:tcW w:w="639" w:type="pct"/>
            <w:shd w:val="clear" w:color="auto" w:fill="auto"/>
            <w:vAlign w:val="center"/>
          </w:tcPr>
          <w:p w:rsidR="002349D2" w:rsidRPr="00643031" w:rsidRDefault="00643031" w:rsidP="000772FF">
            <w:pPr>
              <w:pStyle w:val="PBACTableText"/>
              <w:keepNext/>
              <w:widowControl w:val="0"/>
              <w:jc w:val="center"/>
              <w:rPr>
                <w:rFonts w:ascii="Arial Narrow" w:hAnsi="Arial Narrow"/>
                <w:b/>
                <w:sz w:val="20"/>
                <w:highlight w:val="black"/>
              </w:rPr>
            </w:pPr>
            <w:r>
              <w:rPr>
                <w:rFonts w:ascii="Arial Narrow" w:hAnsi="Arial Narrow"/>
                <w:noProof/>
                <w:color w:val="000000"/>
                <w:sz w:val="20"/>
                <w:highlight w:val="black"/>
              </w:rPr>
              <w:t>'''''''''''''''''''''</w:t>
            </w:r>
          </w:p>
        </w:tc>
      </w:tr>
      <w:tr w:rsidR="002349D2" w:rsidRPr="002349D2" w:rsidTr="00B94B79">
        <w:tc>
          <w:tcPr>
            <w:tcW w:w="1806" w:type="pct"/>
            <w:shd w:val="clear" w:color="auto" w:fill="auto"/>
            <w:vAlign w:val="center"/>
            <w:hideMark/>
          </w:tcPr>
          <w:p w:rsidR="002349D2" w:rsidRDefault="002349D2" w:rsidP="00B94B79">
            <w:pPr>
              <w:pStyle w:val="PBACTableText"/>
              <w:keepNext/>
              <w:widowControl w:val="0"/>
              <w:jc w:val="left"/>
              <w:rPr>
                <w:rFonts w:ascii="Arial Narrow" w:hAnsi="Arial Narrow"/>
                <w:sz w:val="20"/>
              </w:rPr>
            </w:pPr>
            <w:r w:rsidRPr="002349D2">
              <w:rPr>
                <w:rFonts w:ascii="Arial Narrow" w:hAnsi="Arial Narrow"/>
                <w:sz w:val="20"/>
              </w:rPr>
              <w:t xml:space="preserve">Total annual cost </w:t>
            </w:r>
            <w:r>
              <w:rPr>
                <w:rFonts w:ascii="Arial Narrow" w:hAnsi="Arial Narrow"/>
                <w:sz w:val="20"/>
              </w:rPr>
              <w:t>of</w:t>
            </w:r>
            <w:r w:rsidR="000772FF">
              <w:rPr>
                <w:rFonts w:ascii="Arial Narrow" w:hAnsi="Arial Narrow"/>
                <w:sz w:val="20"/>
              </w:rPr>
              <w:t xml:space="preserve"> </w:t>
            </w:r>
            <w:r>
              <w:rPr>
                <w:rFonts w:ascii="Arial Narrow" w:hAnsi="Arial Narrow"/>
                <w:sz w:val="20"/>
              </w:rPr>
              <w:t xml:space="preserve">sacubitril/valsartan </w:t>
            </w:r>
          </w:p>
          <w:p w:rsidR="002349D2" w:rsidRPr="002349D2" w:rsidRDefault="002349D2" w:rsidP="00B94B79">
            <w:pPr>
              <w:pStyle w:val="PBACTableText"/>
              <w:keepNext/>
              <w:widowControl w:val="0"/>
              <w:jc w:val="left"/>
              <w:rPr>
                <w:rFonts w:ascii="Arial Narrow" w:hAnsi="Arial Narrow"/>
                <w:sz w:val="20"/>
              </w:rPr>
            </w:pPr>
            <w:r>
              <w:rPr>
                <w:rFonts w:ascii="Arial Narrow" w:hAnsi="Arial Narrow"/>
                <w:sz w:val="20"/>
              </w:rPr>
              <w:t>(less co-payments)</w:t>
            </w:r>
          </w:p>
        </w:tc>
        <w:tc>
          <w:tcPr>
            <w:tcW w:w="639" w:type="pct"/>
            <w:shd w:val="clear" w:color="auto" w:fill="auto"/>
            <w:vAlign w:val="center"/>
            <w:hideMark/>
          </w:tcPr>
          <w:p w:rsidR="002349D2" w:rsidRPr="002349D2" w:rsidRDefault="002349D2" w:rsidP="000772FF">
            <w:pPr>
              <w:pStyle w:val="PBACTableText"/>
              <w:keepNext/>
              <w:widowControl w:val="0"/>
              <w:jc w:val="center"/>
              <w:rPr>
                <w:rFonts w:ascii="Arial Narrow" w:hAnsi="Arial Narrow"/>
                <w:b/>
                <w:sz w:val="20"/>
              </w:rPr>
            </w:pPr>
            <w:r w:rsidRPr="002349D2">
              <w:rPr>
                <w:rFonts w:ascii="Arial Narrow" w:hAnsi="Arial Narrow"/>
                <w:sz w:val="20"/>
              </w:rPr>
              <w:t>$</w:t>
            </w:r>
            <w:r w:rsidR="00643031">
              <w:rPr>
                <w:rFonts w:ascii="Arial Narrow" w:hAnsi="Arial Narrow"/>
                <w:noProof/>
                <w:color w:val="000000"/>
                <w:sz w:val="20"/>
                <w:highlight w:val="black"/>
              </w:rPr>
              <w:t>'''''''''''''''''''''''''''</w:t>
            </w:r>
          </w:p>
        </w:tc>
        <w:tc>
          <w:tcPr>
            <w:tcW w:w="639" w:type="pct"/>
            <w:shd w:val="clear" w:color="auto" w:fill="auto"/>
            <w:vAlign w:val="center"/>
            <w:hideMark/>
          </w:tcPr>
          <w:p w:rsidR="002349D2" w:rsidRPr="002349D2" w:rsidRDefault="002349D2" w:rsidP="000772FF">
            <w:pPr>
              <w:pStyle w:val="PBACTableText"/>
              <w:keepNext/>
              <w:widowControl w:val="0"/>
              <w:jc w:val="center"/>
              <w:rPr>
                <w:rFonts w:ascii="Arial Narrow" w:hAnsi="Arial Narrow"/>
                <w:b/>
                <w:sz w:val="20"/>
              </w:rPr>
            </w:pPr>
            <w:r w:rsidRPr="002349D2">
              <w:rPr>
                <w:rFonts w:ascii="Arial Narrow" w:hAnsi="Arial Narrow"/>
                <w:sz w:val="20"/>
              </w:rPr>
              <w:t>$</w:t>
            </w:r>
            <w:r w:rsidR="00643031">
              <w:rPr>
                <w:rFonts w:ascii="Arial Narrow" w:hAnsi="Arial Narrow"/>
                <w:noProof/>
                <w:color w:val="000000"/>
                <w:sz w:val="20"/>
                <w:highlight w:val="black"/>
              </w:rPr>
              <w:t>'''''''''''''''''''''''''''</w:t>
            </w:r>
          </w:p>
        </w:tc>
        <w:tc>
          <w:tcPr>
            <w:tcW w:w="639" w:type="pct"/>
            <w:shd w:val="clear" w:color="auto" w:fill="auto"/>
            <w:vAlign w:val="center"/>
            <w:hideMark/>
          </w:tcPr>
          <w:p w:rsidR="002349D2" w:rsidRPr="002349D2" w:rsidRDefault="002349D2" w:rsidP="000772FF">
            <w:pPr>
              <w:pStyle w:val="PBACTableText"/>
              <w:keepNext/>
              <w:widowControl w:val="0"/>
              <w:jc w:val="center"/>
              <w:rPr>
                <w:rFonts w:ascii="Arial Narrow" w:hAnsi="Arial Narrow"/>
                <w:b/>
                <w:sz w:val="20"/>
              </w:rPr>
            </w:pPr>
            <w:r w:rsidRPr="002349D2">
              <w:rPr>
                <w:rFonts w:ascii="Arial Narrow" w:hAnsi="Arial Narrow"/>
                <w:sz w:val="20"/>
              </w:rPr>
              <w:t>$</w:t>
            </w:r>
            <w:r w:rsidR="00643031">
              <w:rPr>
                <w:rFonts w:ascii="Arial Narrow" w:hAnsi="Arial Narrow"/>
                <w:noProof/>
                <w:color w:val="000000"/>
                <w:sz w:val="20"/>
                <w:highlight w:val="black"/>
              </w:rPr>
              <w:t>'''''''''''''''''''''''''''''</w:t>
            </w:r>
          </w:p>
        </w:tc>
        <w:tc>
          <w:tcPr>
            <w:tcW w:w="639" w:type="pct"/>
            <w:shd w:val="clear" w:color="auto" w:fill="auto"/>
            <w:vAlign w:val="center"/>
            <w:hideMark/>
          </w:tcPr>
          <w:p w:rsidR="002349D2" w:rsidRPr="002349D2" w:rsidRDefault="002349D2" w:rsidP="000772FF">
            <w:pPr>
              <w:pStyle w:val="PBACTableText"/>
              <w:keepNext/>
              <w:widowControl w:val="0"/>
              <w:jc w:val="center"/>
              <w:rPr>
                <w:rFonts w:ascii="Arial Narrow" w:hAnsi="Arial Narrow"/>
                <w:b/>
                <w:sz w:val="20"/>
              </w:rPr>
            </w:pPr>
            <w:r w:rsidRPr="002349D2">
              <w:rPr>
                <w:rFonts w:ascii="Arial Narrow" w:hAnsi="Arial Narrow"/>
                <w:sz w:val="20"/>
              </w:rPr>
              <w:t>$</w:t>
            </w:r>
            <w:r w:rsidR="00643031">
              <w:rPr>
                <w:rFonts w:ascii="Arial Narrow" w:hAnsi="Arial Narrow"/>
                <w:noProof/>
                <w:color w:val="000000"/>
                <w:sz w:val="20"/>
                <w:highlight w:val="black"/>
              </w:rPr>
              <w:t>'''''''''''''''''''''''''''''</w:t>
            </w:r>
          </w:p>
        </w:tc>
        <w:tc>
          <w:tcPr>
            <w:tcW w:w="639" w:type="pct"/>
            <w:shd w:val="clear" w:color="auto" w:fill="auto"/>
            <w:vAlign w:val="center"/>
            <w:hideMark/>
          </w:tcPr>
          <w:p w:rsidR="002349D2" w:rsidRPr="002349D2" w:rsidRDefault="002349D2" w:rsidP="000772FF">
            <w:pPr>
              <w:pStyle w:val="PBACTableText"/>
              <w:keepNext/>
              <w:widowControl w:val="0"/>
              <w:jc w:val="center"/>
              <w:rPr>
                <w:rFonts w:ascii="Arial Narrow" w:hAnsi="Arial Narrow"/>
                <w:b/>
                <w:sz w:val="20"/>
              </w:rPr>
            </w:pPr>
            <w:r w:rsidRPr="002349D2">
              <w:rPr>
                <w:rFonts w:ascii="Arial Narrow" w:hAnsi="Arial Narrow"/>
                <w:sz w:val="20"/>
              </w:rPr>
              <w:t>$</w:t>
            </w:r>
            <w:r w:rsidR="00643031">
              <w:rPr>
                <w:rFonts w:ascii="Arial Narrow" w:hAnsi="Arial Narrow"/>
                <w:noProof/>
                <w:color w:val="000000"/>
                <w:sz w:val="20"/>
                <w:highlight w:val="black"/>
              </w:rPr>
              <w:t>'''''''''''''''''''''''''''</w:t>
            </w:r>
          </w:p>
        </w:tc>
      </w:tr>
      <w:tr w:rsidR="002349D2" w:rsidRPr="002349D2" w:rsidTr="00B94B79">
        <w:tc>
          <w:tcPr>
            <w:tcW w:w="1806" w:type="pct"/>
            <w:shd w:val="clear" w:color="auto" w:fill="auto"/>
            <w:vAlign w:val="center"/>
          </w:tcPr>
          <w:p w:rsidR="002349D2" w:rsidRPr="002349D2" w:rsidRDefault="002349D2" w:rsidP="00B94B79">
            <w:pPr>
              <w:pStyle w:val="PBACTableText"/>
              <w:keepNext/>
              <w:widowControl w:val="0"/>
              <w:jc w:val="left"/>
              <w:rPr>
                <w:rFonts w:ascii="Arial Narrow" w:hAnsi="Arial Narrow"/>
                <w:sz w:val="20"/>
              </w:rPr>
            </w:pPr>
            <w:r w:rsidRPr="002349D2">
              <w:rPr>
                <w:rFonts w:ascii="Arial Narrow" w:hAnsi="Arial Narrow"/>
                <w:sz w:val="20"/>
              </w:rPr>
              <w:t>Less reduced cost of ACE-I/ARBs</w:t>
            </w:r>
          </w:p>
        </w:tc>
        <w:tc>
          <w:tcPr>
            <w:tcW w:w="639" w:type="pct"/>
            <w:shd w:val="clear" w:color="auto" w:fill="auto"/>
            <w:vAlign w:val="center"/>
          </w:tcPr>
          <w:p w:rsidR="002349D2" w:rsidRPr="002349D2" w:rsidRDefault="002349D2" w:rsidP="000772FF">
            <w:pPr>
              <w:pStyle w:val="PBACTableText"/>
              <w:keepNext/>
              <w:widowControl w:val="0"/>
              <w:jc w:val="center"/>
              <w:rPr>
                <w:rFonts w:ascii="Arial Narrow" w:hAnsi="Arial Narrow"/>
                <w:sz w:val="20"/>
              </w:rPr>
            </w:pPr>
            <w:r w:rsidRPr="002349D2">
              <w:rPr>
                <w:rFonts w:ascii="Arial Narrow" w:hAnsi="Arial Narrow"/>
                <w:sz w:val="20"/>
              </w:rPr>
              <w:t>$</w:t>
            </w:r>
            <w:r w:rsidR="00643031">
              <w:rPr>
                <w:rFonts w:ascii="Arial Narrow" w:hAnsi="Arial Narrow"/>
                <w:noProof/>
                <w:color w:val="000000"/>
                <w:sz w:val="20"/>
                <w:highlight w:val="black"/>
              </w:rPr>
              <w:t>'''''''''''''''''''''''''</w:t>
            </w:r>
          </w:p>
        </w:tc>
        <w:tc>
          <w:tcPr>
            <w:tcW w:w="639" w:type="pct"/>
            <w:shd w:val="clear" w:color="auto" w:fill="auto"/>
            <w:vAlign w:val="center"/>
          </w:tcPr>
          <w:p w:rsidR="002349D2" w:rsidRPr="002349D2" w:rsidRDefault="002349D2" w:rsidP="000772FF">
            <w:pPr>
              <w:pStyle w:val="PBACTableText"/>
              <w:keepNext/>
              <w:widowControl w:val="0"/>
              <w:jc w:val="center"/>
              <w:rPr>
                <w:rFonts w:ascii="Arial Narrow" w:hAnsi="Arial Narrow"/>
                <w:sz w:val="20"/>
              </w:rPr>
            </w:pPr>
            <w:r w:rsidRPr="002349D2">
              <w:rPr>
                <w:rFonts w:ascii="Arial Narrow" w:hAnsi="Arial Narrow"/>
                <w:sz w:val="20"/>
              </w:rPr>
              <w:t>$</w:t>
            </w:r>
            <w:r w:rsidR="00643031">
              <w:rPr>
                <w:rFonts w:ascii="Arial Narrow" w:hAnsi="Arial Narrow"/>
                <w:noProof/>
                <w:color w:val="000000"/>
                <w:sz w:val="20"/>
                <w:highlight w:val="black"/>
              </w:rPr>
              <w:t>'''''''''''''''''''''''</w:t>
            </w:r>
          </w:p>
        </w:tc>
        <w:tc>
          <w:tcPr>
            <w:tcW w:w="639" w:type="pct"/>
            <w:shd w:val="clear" w:color="auto" w:fill="auto"/>
            <w:vAlign w:val="center"/>
          </w:tcPr>
          <w:p w:rsidR="002349D2" w:rsidRPr="002349D2" w:rsidRDefault="002349D2" w:rsidP="000772FF">
            <w:pPr>
              <w:pStyle w:val="PBACTableText"/>
              <w:keepNext/>
              <w:widowControl w:val="0"/>
              <w:jc w:val="center"/>
              <w:rPr>
                <w:rFonts w:ascii="Arial Narrow" w:hAnsi="Arial Narrow"/>
                <w:sz w:val="20"/>
              </w:rPr>
            </w:pPr>
            <w:r w:rsidRPr="002349D2">
              <w:rPr>
                <w:rFonts w:ascii="Arial Narrow" w:hAnsi="Arial Narrow"/>
                <w:sz w:val="20"/>
              </w:rPr>
              <w:t>$</w:t>
            </w:r>
            <w:r w:rsidR="00643031">
              <w:rPr>
                <w:rFonts w:ascii="Arial Narrow" w:hAnsi="Arial Narrow"/>
                <w:noProof/>
                <w:color w:val="000000"/>
                <w:sz w:val="20"/>
                <w:highlight w:val="black"/>
              </w:rPr>
              <w:t>'''''''''''''''''''''''</w:t>
            </w:r>
          </w:p>
        </w:tc>
        <w:tc>
          <w:tcPr>
            <w:tcW w:w="639" w:type="pct"/>
            <w:shd w:val="clear" w:color="auto" w:fill="auto"/>
            <w:vAlign w:val="center"/>
          </w:tcPr>
          <w:p w:rsidR="002349D2" w:rsidRPr="002349D2" w:rsidRDefault="002349D2" w:rsidP="000772FF">
            <w:pPr>
              <w:pStyle w:val="PBACTableText"/>
              <w:keepNext/>
              <w:widowControl w:val="0"/>
              <w:jc w:val="center"/>
              <w:rPr>
                <w:rFonts w:ascii="Arial Narrow" w:hAnsi="Arial Narrow"/>
                <w:sz w:val="20"/>
              </w:rPr>
            </w:pPr>
            <w:r w:rsidRPr="002349D2">
              <w:rPr>
                <w:rFonts w:ascii="Arial Narrow" w:hAnsi="Arial Narrow"/>
                <w:sz w:val="20"/>
              </w:rPr>
              <w:t>$</w:t>
            </w:r>
            <w:r w:rsidR="00643031">
              <w:rPr>
                <w:rFonts w:ascii="Arial Narrow" w:hAnsi="Arial Narrow"/>
                <w:noProof/>
                <w:color w:val="000000"/>
                <w:sz w:val="20"/>
                <w:highlight w:val="black"/>
              </w:rPr>
              <w:t>'''''''''''''''''''''''</w:t>
            </w:r>
          </w:p>
        </w:tc>
        <w:tc>
          <w:tcPr>
            <w:tcW w:w="639" w:type="pct"/>
            <w:shd w:val="clear" w:color="auto" w:fill="auto"/>
            <w:vAlign w:val="center"/>
          </w:tcPr>
          <w:p w:rsidR="002349D2" w:rsidRPr="002349D2" w:rsidRDefault="002349D2" w:rsidP="000772FF">
            <w:pPr>
              <w:pStyle w:val="PBACTableText"/>
              <w:keepNext/>
              <w:widowControl w:val="0"/>
              <w:jc w:val="center"/>
              <w:rPr>
                <w:rFonts w:ascii="Arial Narrow" w:hAnsi="Arial Narrow"/>
                <w:sz w:val="20"/>
              </w:rPr>
            </w:pPr>
            <w:r w:rsidRPr="002349D2">
              <w:rPr>
                <w:rFonts w:ascii="Arial Narrow" w:hAnsi="Arial Narrow"/>
                <w:sz w:val="20"/>
              </w:rPr>
              <w:t>$</w:t>
            </w:r>
            <w:r w:rsidR="00643031">
              <w:rPr>
                <w:rFonts w:ascii="Arial Narrow" w:hAnsi="Arial Narrow"/>
                <w:noProof/>
                <w:color w:val="000000"/>
                <w:sz w:val="20"/>
                <w:highlight w:val="black"/>
              </w:rPr>
              <w:t>''''''''''''''''''''''''</w:t>
            </w:r>
          </w:p>
        </w:tc>
      </w:tr>
      <w:tr w:rsidR="002349D2" w:rsidRPr="002349D2" w:rsidTr="00B94B79">
        <w:tc>
          <w:tcPr>
            <w:tcW w:w="1806" w:type="pct"/>
            <w:shd w:val="clear" w:color="auto" w:fill="auto"/>
            <w:vAlign w:val="center"/>
          </w:tcPr>
          <w:p w:rsidR="002349D2" w:rsidRPr="002349D2" w:rsidRDefault="002349D2" w:rsidP="00B94B79">
            <w:pPr>
              <w:pStyle w:val="PBACTableText"/>
              <w:keepNext/>
              <w:widowControl w:val="0"/>
              <w:jc w:val="left"/>
              <w:rPr>
                <w:rFonts w:ascii="Arial Narrow" w:hAnsi="Arial Narrow"/>
                <w:sz w:val="20"/>
              </w:rPr>
            </w:pPr>
            <w:r w:rsidRPr="002349D2">
              <w:rPr>
                <w:rFonts w:ascii="Arial Narrow" w:hAnsi="Arial Narrow"/>
                <w:sz w:val="20"/>
              </w:rPr>
              <w:t>Net cost to the PBS</w:t>
            </w:r>
            <w:r w:rsidR="00B30B8F">
              <w:rPr>
                <w:rFonts w:ascii="Arial Narrow" w:hAnsi="Arial Narrow"/>
                <w:sz w:val="20"/>
              </w:rPr>
              <w:t xml:space="preserve"> </w:t>
            </w:r>
          </w:p>
        </w:tc>
        <w:tc>
          <w:tcPr>
            <w:tcW w:w="639" w:type="pct"/>
            <w:shd w:val="clear" w:color="auto" w:fill="auto"/>
            <w:vAlign w:val="center"/>
          </w:tcPr>
          <w:p w:rsidR="002349D2" w:rsidRPr="002349D2" w:rsidRDefault="002349D2" w:rsidP="000772FF">
            <w:pPr>
              <w:pStyle w:val="PBACTableText"/>
              <w:keepNext/>
              <w:widowControl w:val="0"/>
              <w:jc w:val="center"/>
              <w:rPr>
                <w:rFonts w:ascii="Arial Narrow" w:hAnsi="Arial Narrow"/>
                <w:sz w:val="20"/>
              </w:rPr>
            </w:pPr>
            <w:r w:rsidRPr="002349D2">
              <w:rPr>
                <w:rFonts w:ascii="Arial Narrow" w:hAnsi="Arial Narrow"/>
                <w:sz w:val="20"/>
              </w:rPr>
              <w:t>$</w:t>
            </w:r>
            <w:r w:rsidR="00643031">
              <w:rPr>
                <w:rFonts w:ascii="Arial Narrow" w:hAnsi="Arial Narrow"/>
                <w:noProof/>
                <w:color w:val="000000"/>
                <w:sz w:val="20"/>
                <w:highlight w:val="black"/>
              </w:rPr>
              <w:t>''''''''''''''''''''''''</w:t>
            </w:r>
          </w:p>
        </w:tc>
        <w:tc>
          <w:tcPr>
            <w:tcW w:w="639" w:type="pct"/>
            <w:shd w:val="clear" w:color="auto" w:fill="auto"/>
            <w:vAlign w:val="center"/>
          </w:tcPr>
          <w:p w:rsidR="002349D2" w:rsidRPr="002349D2" w:rsidRDefault="002349D2" w:rsidP="000772FF">
            <w:pPr>
              <w:pStyle w:val="PBACTableText"/>
              <w:keepNext/>
              <w:widowControl w:val="0"/>
              <w:jc w:val="center"/>
              <w:rPr>
                <w:rFonts w:ascii="Arial Narrow" w:hAnsi="Arial Narrow"/>
                <w:sz w:val="20"/>
              </w:rPr>
            </w:pPr>
            <w:r w:rsidRPr="002349D2">
              <w:rPr>
                <w:rFonts w:ascii="Arial Narrow" w:hAnsi="Arial Narrow"/>
                <w:sz w:val="20"/>
              </w:rPr>
              <w:t>$</w:t>
            </w:r>
            <w:r w:rsidR="00643031">
              <w:rPr>
                <w:rFonts w:ascii="Arial Narrow" w:hAnsi="Arial Narrow"/>
                <w:noProof/>
                <w:color w:val="000000"/>
                <w:sz w:val="20"/>
                <w:highlight w:val="black"/>
              </w:rPr>
              <w:t>''''''''''''''''''''''''''</w:t>
            </w:r>
          </w:p>
        </w:tc>
        <w:tc>
          <w:tcPr>
            <w:tcW w:w="639" w:type="pct"/>
            <w:shd w:val="clear" w:color="auto" w:fill="auto"/>
            <w:vAlign w:val="center"/>
          </w:tcPr>
          <w:p w:rsidR="002349D2" w:rsidRPr="002349D2" w:rsidRDefault="002349D2" w:rsidP="000772FF">
            <w:pPr>
              <w:pStyle w:val="PBACTableText"/>
              <w:keepNext/>
              <w:widowControl w:val="0"/>
              <w:jc w:val="center"/>
              <w:rPr>
                <w:rFonts w:ascii="Arial Narrow" w:hAnsi="Arial Narrow"/>
                <w:sz w:val="20"/>
              </w:rPr>
            </w:pPr>
            <w:r w:rsidRPr="002349D2">
              <w:rPr>
                <w:rFonts w:ascii="Arial Narrow" w:hAnsi="Arial Narrow"/>
                <w:sz w:val="20"/>
              </w:rPr>
              <w:t>$</w:t>
            </w:r>
            <w:r w:rsidR="00643031">
              <w:rPr>
                <w:rFonts w:ascii="Arial Narrow" w:hAnsi="Arial Narrow"/>
                <w:noProof/>
                <w:color w:val="000000"/>
                <w:sz w:val="20"/>
                <w:highlight w:val="black"/>
              </w:rPr>
              <w:t>'''''''''''''''''''''''''</w:t>
            </w:r>
          </w:p>
        </w:tc>
        <w:tc>
          <w:tcPr>
            <w:tcW w:w="639" w:type="pct"/>
            <w:shd w:val="clear" w:color="auto" w:fill="auto"/>
            <w:vAlign w:val="center"/>
          </w:tcPr>
          <w:p w:rsidR="002349D2" w:rsidRPr="002349D2" w:rsidRDefault="002349D2" w:rsidP="000772FF">
            <w:pPr>
              <w:pStyle w:val="PBACTableText"/>
              <w:keepNext/>
              <w:widowControl w:val="0"/>
              <w:jc w:val="center"/>
              <w:rPr>
                <w:rFonts w:ascii="Arial Narrow" w:hAnsi="Arial Narrow"/>
                <w:sz w:val="20"/>
              </w:rPr>
            </w:pPr>
            <w:r w:rsidRPr="002349D2">
              <w:rPr>
                <w:rFonts w:ascii="Arial Narrow" w:hAnsi="Arial Narrow"/>
                <w:sz w:val="20"/>
              </w:rPr>
              <w:t>$</w:t>
            </w:r>
            <w:r w:rsidR="00643031">
              <w:rPr>
                <w:rFonts w:ascii="Arial Narrow" w:hAnsi="Arial Narrow"/>
                <w:noProof/>
                <w:color w:val="000000"/>
                <w:sz w:val="20"/>
                <w:highlight w:val="black"/>
              </w:rPr>
              <w:t>'''''''''''''''''''''''''''</w:t>
            </w:r>
          </w:p>
        </w:tc>
        <w:tc>
          <w:tcPr>
            <w:tcW w:w="639" w:type="pct"/>
            <w:shd w:val="clear" w:color="auto" w:fill="auto"/>
            <w:vAlign w:val="center"/>
          </w:tcPr>
          <w:p w:rsidR="002349D2" w:rsidRPr="002349D2" w:rsidRDefault="002349D2" w:rsidP="000772FF">
            <w:pPr>
              <w:pStyle w:val="PBACTableText"/>
              <w:keepNext/>
              <w:widowControl w:val="0"/>
              <w:jc w:val="center"/>
              <w:rPr>
                <w:rFonts w:ascii="Arial Narrow" w:hAnsi="Arial Narrow"/>
                <w:sz w:val="20"/>
              </w:rPr>
            </w:pPr>
            <w:r w:rsidRPr="002349D2">
              <w:rPr>
                <w:rFonts w:ascii="Arial Narrow" w:hAnsi="Arial Narrow"/>
                <w:sz w:val="20"/>
              </w:rPr>
              <w:t>$</w:t>
            </w:r>
            <w:r w:rsidR="00643031">
              <w:rPr>
                <w:rFonts w:ascii="Arial Narrow" w:hAnsi="Arial Narrow"/>
                <w:noProof/>
                <w:color w:val="000000"/>
                <w:sz w:val="20"/>
                <w:highlight w:val="black"/>
              </w:rPr>
              <w:t>''''''''''''''''''''''''''''</w:t>
            </w:r>
          </w:p>
        </w:tc>
      </w:tr>
    </w:tbl>
    <w:p w:rsidR="002349D2" w:rsidRPr="003273E0" w:rsidRDefault="00777AC4" w:rsidP="00C00DA7">
      <w:pPr>
        <w:pStyle w:val="ListParagraph"/>
        <w:ind w:left="709"/>
        <w:rPr>
          <w:rFonts w:ascii="Arial Narrow" w:hAnsi="Arial Narrow"/>
          <w:sz w:val="20"/>
          <w:szCs w:val="22"/>
        </w:rPr>
      </w:pPr>
      <w:r w:rsidRPr="003273E0">
        <w:rPr>
          <w:rFonts w:ascii="Arial Narrow" w:hAnsi="Arial Narrow"/>
          <w:sz w:val="20"/>
          <w:szCs w:val="22"/>
        </w:rPr>
        <w:t>Source: T</w:t>
      </w:r>
      <w:r w:rsidR="003273E0" w:rsidRPr="003273E0">
        <w:rPr>
          <w:rFonts w:ascii="Arial Narrow" w:hAnsi="Arial Narrow"/>
          <w:sz w:val="20"/>
          <w:szCs w:val="22"/>
        </w:rPr>
        <w:t>able 14 and Table 5, of the re-submission</w:t>
      </w:r>
    </w:p>
    <w:p w:rsidR="00C40A98" w:rsidRPr="00D17D0A" w:rsidRDefault="00C40A98" w:rsidP="000A0006">
      <w:pPr>
        <w:rPr>
          <w:szCs w:val="22"/>
        </w:rPr>
      </w:pPr>
    </w:p>
    <w:p w:rsidR="00D17D0A" w:rsidRPr="00D17D0A" w:rsidRDefault="00D17D0A" w:rsidP="00D17D0A">
      <w:pPr>
        <w:pStyle w:val="ListParagraph"/>
        <w:rPr>
          <w:rFonts w:cs="Arial"/>
          <w:bCs/>
          <w:snapToGrid w:val="0"/>
          <w:szCs w:val="22"/>
        </w:rPr>
      </w:pPr>
      <w:r w:rsidRPr="00C62FF3">
        <w:rPr>
          <w:rFonts w:cs="Arial"/>
          <w:bCs/>
          <w:i/>
          <w:snapToGrid w:val="0"/>
          <w:szCs w:val="22"/>
        </w:rPr>
        <w:t>For more detail on PBAC’s view, see section 7 “PBAC outcome”</w:t>
      </w:r>
    </w:p>
    <w:p w:rsidR="00C40A98" w:rsidRDefault="00C40A98" w:rsidP="00C40A98">
      <w:pPr>
        <w:rPr>
          <w:szCs w:val="22"/>
        </w:rPr>
      </w:pPr>
    </w:p>
    <w:p w:rsidR="00C40A98" w:rsidRDefault="00C40A98" w:rsidP="00C40A98">
      <w:pPr>
        <w:rPr>
          <w:rStyle w:val="IntenseReference"/>
          <w:b w:val="0"/>
          <w:bCs w:val="0"/>
          <w:i/>
          <w:smallCaps w:val="0"/>
        </w:rPr>
      </w:pPr>
    </w:p>
    <w:p w:rsidR="00C40A98" w:rsidRPr="00643031" w:rsidRDefault="00643031" w:rsidP="00643031">
      <w:pPr>
        <w:pStyle w:val="Heading1"/>
      </w:pPr>
      <w:r>
        <w:t xml:space="preserve">7. </w:t>
      </w:r>
      <w:r>
        <w:tab/>
      </w:r>
      <w:r w:rsidR="00C40A98" w:rsidRPr="00643031">
        <w:t>PBAC Outcome</w:t>
      </w:r>
    </w:p>
    <w:p w:rsidR="00C40A98" w:rsidRPr="00C62FF3" w:rsidRDefault="00C40A98" w:rsidP="00C40A98">
      <w:pPr>
        <w:widowControl w:val="0"/>
        <w:rPr>
          <w:rFonts w:cs="Arial"/>
          <w:b/>
          <w:bCs/>
          <w:snapToGrid w:val="0"/>
          <w:szCs w:val="20"/>
          <w:lang w:val="en-GB"/>
        </w:rPr>
      </w:pPr>
    </w:p>
    <w:p w:rsidR="00B73482" w:rsidRPr="00643031" w:rsidRDefault="00B73482" w:rsidP="00643031">
      <w:pPr>
        <w:pStyle w:val="ListParagraph"/>
        <w:widowControl w:val="0"/>
        <w:numPr>
          <w:ilvl w:val="1"/>
          <w:numId w:val="17"/>
        </w:numPr>
        <w:ind w:left="709" w:hanging="709"/>
        <w:rPr>
          <w:bCs/>
          <w:szCs w:val="22"/>
        </w:rPr>
      </w:pPr>
      <w:r w:rsidRPr="00643031">
        <w:rPr>
          <w:rFonts w:cs="Arial"/>
          <w:bCs/>
          <w:snapToGrid w:val="0"/>
          <w:szCs w:val="20"/>
          <w:lang w:val="en-GB"/>
        </w:rPr>
        <w:t>The PBAC deferred its decision on whether sacubitril/valsartan should be listed on the Pharmaceutical Benefits Schedule (PBS) for the treatment</w:t>
      </w:r>
      <w:r w:rsidR="00836C6B" w:rsidRPr="00643031">
        <w:rPr>
          <w:rFonts w:cs="Arial"/>
          <w:bCs/>
          <w:snapToGrid w:val="0"/>
          <w:szCs w:val="20"/>
          <w:lang w:val="en-GB"/>
        </w:rPr>
        <w:t xml:space="preserve"> of patients with chronic heart failure and a reduced left ventricular ejection fraction.  </w:t>
      </w:r>
      <w:r w:rsidR="0044294F" w:rsidRPr="00643031">
        <w:rPr>
          <w:bCs/>
          <w:szCs w:val="22"/>
        </w:rPr>
        <w:t xml:space="preserve">The PBAC noted the </w:t>
      </w:r>
      <w:r w:rsidR="00643031" w:rsidRPr="00643031">
        <w:rPr>
          <w:bCs/>
          <w:noProof/>
          <w:color w:val="000000"/>
          <w:szCs w:val="22"/>
          <w:highlight w:val="black"/>
        </w:rPr>
        <w:t>''''''</w:t>
      </w:r>
      <w:r w:rsidR="0044294F" w:rsidRPr="00643031">
        <w:rPr>
          <w:bCs/>
          <w:szCs w:val="22"/>
        </w:rPr>
        <w:t xml:space="preserve">% price reduction of sacubitril/valsartan in the submission compared to the requested price in March 2016, but considered that this price reduction was not sufficient to account for the uncertainties surrounding cost effectiveness. </w:t>
      </w:r>
      <w:r w:rsidR="002A0CE1" w:rsidRPr="00643031">
        <w:rPr>
          <w:bCs/>
          <w:szCs w:val="22"/>
        </w:rPr>
        <w:t>The PBAC considered that a further price reduction</w:t>
      </w:r>
      <w:r w:rsidR="00EE063B" w:rsidRPr="00643031">
        <w:rPr>
          <w:bCs/>
          <w:szCs w:val="22"/>
        </w:rPr>
        <w:t>, probably</w:t>
      </w:r>
      <w:r w:rsidR="002A0CE1" w:rsidRPr="00643031">
        <w:rPr>
          <w:bCs/>
          <w:szCs w:val="22"/>
        </w:rPr>
        <w:t xml:space="preserve"> in the order of </w:t>
      </w:r>
      <w:r w:rsidR="00643031" w:rsidRPr="00643031">
        <w:rPr>
          <w:bCs/>
          <w:noProof/>
          <w:color w:val="000000"/>
          <w:szCs w:val="22"/>
          <w:highlight w:val="black"/>
        </w:rPr>
        <w:t>'''''''</w:t>
      </w:r>
      <w:r w:rsidR="002A0CE1" w:rsidRPr="00643031">
        <w:rPr>
          <w:bCs/>
          <w:szCs w:val="22"/>
        </w:rPr>
        <w:t>%</w:t>
      </w:r>
      <w:r w:rsidR="00EE063B" w:rsidRPr="00643031">
        <w:rPr>
          <w:bCs/>
          <w:szCs w:val="22"/>
        </w:rPr>
        <w:t>,</w:t>
      </w:r>
      <w:r w:rsidR="002A0CE1" w:rsidRPr="00643031">
        <w:rPr>
          <w:bCs/>
          <w:szCs w:val="22"/>
        </w:rPr>
        <w:t xml:space="preserve"> would be required</w:t>
      </w:r>
      <w:r w:rsidR="00EA6EEC" w:rsidRPr="00643031">
        <w:rPr>
          <w:bCs/>
          <w:szCs w:val="22"/>
        </w:rPr>
        <w:t>, with an appropriate reduction in the yearly financial cap</w:t>
      </w:r>
      <w:proofErr w:type="gramStart"/>
      <w:r w:rsidR="00EA6EEC" w:rsidRPr="00643031">
        <w:rPr>
          <w:bCs/>
          <w:szCs w:val="22"/>
        </w:rPr>
        <w:t xml:space="preserve">.  </w:t>
      </w:r>
      <w:proofErr w:type="gramEnd"/>
      <w:r w:rsidR="00EA6EEC" w:rsidRPr="00643031">
        <w:rPr>
          <w:bCs/>
          <w:szCs w:val="22"/>
        </w:rPr>
        <w:t>The PBAC considered that it would be appropriate to reduce the price of sacubitril/valsartan to the price of enalapril beyond the cap.</w:t>
      </w:r>
      <w:r w:rsidR="00EE063B" w:rsidRPr="00643031">
        <w:rPr>
          <w:bCs/>
          <w:szCs w:val="22"/>
        </w:rPr>
        <w:t xml:space="preserve"> Specifically, the PBAC recalled the previous sensitivity analyses and sought to be reassured that, at the revised price, cost effectiveness was likely to remain acceptable using model inputs more likely to reflect the PBS population. </w:t>
      </w:r>
    </w:p>
    <w:p w:rsidR="005E2BEE" w:rsidRDefault="005E2BEE" w:rsidP="00C62FF3">
      <w:pPr>
        <w:widowControl w:val="0"/>
        <w:ind w:left="720"/>
        <w:rPr>
          <w:rFonts w:cs="Arial"/>
          <w:bCs/>
          <w:snapToGrid w:val="0"/>
          <w:szCs w:val="20"/>
          <w:lang w:val="en-GB"/>
        </w:rPr>
      </w:pPr>
    </w:p>
    <w:p w:rsidR="005E2BEE" w:rsidRPr="00643031" w:rsidRDefault="005E2BEE" w:rsidP="00643031">
      <w:pPr>
        <w:pStyle w:val="ListParagraph"/>
        <w:widowControl w:val="0"/>
        <w:numPr>
          <w:ilvl w:val="1"/>
          <w:numId w:val="17"/>
        </w:numPr>
        <w:ind w:left="709" w:hanging="709"/>
        <w:rPr>
          <w:rFonts w:cs="Arial"/>
          <w:bCs/>
          <w:snapToGrid w:val="0"/>
          <w:szCs w:val="20"/>
          <w:lang w:val="en-GB"/>
        </w:rPr>
      </w:pPr>
      <w:r w:rsidRPr="00643031">
        <w:rPr>
          <w:rFonts w:cs="Arial"/>
          <w:bCs/>
          <w:snapToGrid w:val="0"/>
          <w:szCs w:val="20"/>
          <w:lang w:val="en-GB"/>
        </w:rPr>
        <w:t xml:space="preserve">The PBAC considered that there was a clinical need for new therapies for the treatment of chronic heart failure. </w:t>
      </w:r>
    </w:p>
    <w:p w:rsidR="005E2BEE" w:rsidRDefault="005E2BEE" w:rsidP="00643031">
      <w:pPr>
        <w:pStyle w:val="ListParagraph"/>
        <w:widowControl w:val="0"/>
        <w:ind w:left="709"/>
        <w:rPr>
          <w:rFonts w:cs="Arial"/>
          <w:bCs/>
          <w:snapToGrid w:val="0"/>
          <w:szCs w:val="20"/>
          <w:lang w:val="en-GB"/>
        </w:rPr>
      </w:pPr>
    </w:p>
    <w:p w:rsidR="005E2BEE" w:rsidRPr="00643031" w:rsidRDefault="005E2BEE" w:rsidP="00643031">
      <w:pPr>
        <w:pStyle w:val="ListParagraph"/>
        <w:widowControl w:val="0"/>
        <w:numPr>
          <w:ilvl w:val="1"/>
          <w:numId w:val="17"/>
        </w:numPr>
        <w:ind w:left="709" w:hanging="709"/>
        <w:rPr>
          <w:rFonts w:cs="Arial"/>
          <w:bCs/>
          <w:snapToGrid w:val="0"/>
          <w:szCs w:val="20"/>
          <w:lang w:val="en-GB"/>
        </w:rPr>
      </w:pPr>
      <w:r w:rsidRPr="00643031">
        <w:rPr>
          <w:rFonts w:cs="Arial"/>
          <w:bCs/>
          <w:snapToGrid w:val="0"/>
          <w:szCs w:val="20"/>
          <w:lang w:val="en-GB"/>
        </w:rPr>
        <w:t xml:space="preserve">The PBAC </w:t>
      </w:r>
      <w:r w:rsidR="0044294F" w:rsidRPr="00643031">
        <w:rPr>
          <w:rFonts w:cs="Arial"/>
          <w:bCs/>
          <w:snapToGrid w:val="0"/>
          <w:szCs w:val="20"/>
          <w:lang w:val="en-GB"/>
        </w:rPr>
        <w:t>recalled that it previously accepted</w:t>
      </w:r>
      <w:r w:rsidRPr="00643031">
        <w:rPr>
          <w:rFonts w:cs="Arial"/>
          <w:bCs/>
          <w:snapToGrid w:val="0"/>
          <w:szCs w:val="20"/>
          <w:lang w:val="en-GB"/>
        </w:rPr>
        <w:t xml:space="preserve"> enalapril, as a proxy for all </w:t>
      </w:r>
      <w:proofErr w:type="gramStart"/>
      <w:r w:rsidRPr="00643031">
        <w:rPr>
          <w:rFonts w:cs="Arial"/>
          <w:bCs/>
          <w:snapToGrid w:val="0"/>
          <w:szCs w:val="20"/>
          <w:lang w:val="en-GB"/>
        </w:rPr>
        <w:t>ACE-</w:t>
      </w:r>
      <w:proofErr w:type="gramEnd"/>
      <w:r w:rsidRPr="00643031">
        <w:rPr>
          <w:rFonts w:cs="Arial"/>
          <w:bCs/>
          <w:snapToGrid w:val="0"/>
          <w:szCs w:val="20"/>
          <w:lang w:val="en-GB"/>
        </w:rPr>
        <w:t xml:space="preserve">I, as an appropriate comparator. </w:t>
      </w:r>
    </w:p>
    <w:p w:rsidR="005E2BEE" w:rsidRDefault="005E2BEE" w:rsidP="00C62FF3">
      <w:pPr>
        <w:pStyle w:val="ListParagraph"/>
        <w:rPr>
          <w:rFonts w:cs="Arial"/>
          <w:bCs/>
          <w:snapToGrid w:val="0"/>
          <w:szCs w:val="20"/>
          <w:lang w:val="en-GB"/>
        </w:rPr>
      </w:pPr>
    </w:p>
    <w:p w:rsidR="005E2BEE" w:rsidRPr="00643031" w:rsidRDefault="005E2BEE" w:rsidP="00643031">
      <w:pPr>
        <w:pStyle w:val="ListParagraph"/>
        <w:widowControl w:val="0"/>
        <w:numPr>
          <w:ilvl w:val="1"/>
          <w:numId w:val="17"/>
        </w:numPr>
        <w:ind w:left="709" w:hanging="709"/>
        <w:rPr>
          <w:rFonts w:cs="Arial"/>
          <w:bCs/>
          <w:snapToGrid w:val="0"/>
          <w:szCs w:val="20"/>
          <w:lang w:val="en-GB"/>
        </w:rPr>
      </w:pPr>
      <w:r w:rsidRPr="00643031">
        <w:rPr>
          <w:rFonts w:cs="Arial"/>
          <w:bCs/>
          <w:snapToGrid w:val="0"/>
          <w:szCs w:val="20"/>
          <w:lang w:val="en-GB"/>
        </w:rPr>
        <w:t xml:space="preserve">The PBAC </w:t>
      </w:r>
      <w:r w:rsidR="0044294F" w:rsidRPr="00643031">
        <w:rPr>
          <w:rFonts w:cs="Arial"/>
          <w:bCs/>
          <w:snapToGrid w:val="0"/>
          <w:szCs w:val="20"/>
          <w:lang w:val="en-GB"/>
        </w:rPr>
        <w:t xml:space="preserve">recalled that it previously </w:t>
      </w:r>
      <w:r w:rsidRPr="00643031">
        <w:rPr>
          <w:rFonts w:cs="Arial"/>
          <w:bCs/>
          <w:snapToGrid w:val="0"/>
          <w:szCs w:val="20"/>
          <w:lang w:val="en-GB"/>
        </w:rPr>
        <w:t xml:space="preserve">considered that the clinical claim of superior comparative effectiveness compared to enalapril was reasonable, but that size of the benefit was uncertain due to the issues with study design and early stopping of PARADIGM-HF.  The PBAC considered that the claim of non-inferior comparative safety to enalapril was reasonable. </w:t>
      </w:r>
    </w:p>
    <w:p w:rsidR="005E2BEE" w:rsidRDefault="005E2BEE" w:rsidP="00C62FF3">
      <w:pPr>
        <w:pStyle w:val="ListParagraph"/>
        <w:rPr>
          <w:bCs/>
          <w:szCs w:val="22"/>
        </w:rPr>
      </w:pPr>
    </w:p>
    <w:p w:rsidR="0044294F" w:rsidRPr="00643031" w:rsidRDefault="005E2BEE" w:rsidP="00643031">
      <w:pPr>
        <w:pStyle w:val="ListParagraph"/>
        <w:widowControl w:val="0"/>
        <w:numPr>
          <w:ilvl w:val="1"/>
          <w:numId w:val="17"/>
        </w:numPr>
        <w:ind w:left="709" w:hanging="709"/>
        <w:rPr>
          <w:rFonts w:cs="Arial"/>
          <w:bCs/>
          <w:snapToGrid w:val="0"/>
          <w:szCs w:val="20"/>
          <w:lang w:val="en-GB"/>
        </w:rPr>
      </w:pPr>
      <w:r w:rsidRPr="00643031">
        <w:rPr>
          <w:rFonts w:cs="Arial"/>
          <w:bCs/>
          <w:snapToGrid w:val="0"/>
          <w:szCs w:val="20"/>
          <w:lang w:val="en-GB"/>
        </w:rPr>
        <w:t>The PBAC noted that the submission’</w:t>
      </w:r>
      <w:r w:rsidR="00E43CF6" w:rsidRPr="00643031">
        <w:rPr>
          <w:rFonts w:cs="Arial"/>
          <w:bCs/>
          <w:snapToGrid w:val="0"/>
          <w:szCs w:val="20"/>
          <w:lang w:val="en-GB"/>
        </w:rPr>
        <w:t>s model structure was</w:t>
      </w:r>
      <w:r w:rsidRPr="00643031">
        <w:rPr>
          <w:rFonts w:cs="Arial"/>
          <w:bCs/>
          <w:snapToGrid w:val="0"/>
          <w:szCs w:val="20"/>
          <w:lang w:val="en-GB"/>
        </w:rPr>
        <w:t xml:space="preserve"> unchanged from the March 2016 major submission. The PBAC </w:t>
      </w:r>
      <w:r w:rsidR="00D11F3E" w:rsidRPr="00643031">
        <w:rPr>
          <w:rFonts w:cs="Arial"/>
          <w:bCs/>
          <w:snapToGrid w:val="0"/>
          <w:szCs w:val="20"/>
          <w:lang w:val="en-GB"/>
        </w:rPr>
        <w:t>recalled that it was previously concerned that the model did not accurately reflect the disease progression of patients with heart failure and the baseline heart failure mortality was not reflective of that for the likely PBS population.</w:t>
      </w:r>
      <w:r w:rsidRPr="00643031">
        <w:rPr>
          <w:rFonts w:cs="Arial"/>
          <w:bCs/>
          <w:snapToGrid w:val="0"/>
          <w:szCs w:val="20"/>
          <w:lang w:val="en-GB"/>
        </w:rPr>
        <w:t xml:space="preserve"> </w:t>
      </w:r>
    </w:p>
    <w:p w:rsidR="00E43CF6" w:rsidRDefault="00E43CF6" w:rsidP="00C62FF3">
      <w:pPr>
        <w:pStyle w:val="ListParagraph"/>
        <w:rPr>
          <w:bCs/>
          <w:szCs w:val="22"/>
        </w:rPr>
      </w:pPr>
    </w:p>
    <w:p w:rsidR="00E43CF6" w:rsidRPr="00643031" w:rsidRDefault="00E43CF6" w:rsidP="00643031">
      <w:pPr>
        <w:pStyle w:val="ListParagraph"/>
        <w:widowControl w:val="0"/>
        <w:numPr>
          <w:ilvl w:val="1"/>
          <w:numId w:val="17"/>
        </w:numPr>
        <w:ind w:left="709" w:hanging="709"/>
        <w:rPr>
          <w:rFonts w:cs="Arial"/>
          <w:bCs/>
          <w:snapToGrid w:val="0"/>
          <w:szCs w:val="20"/>
          <w:lang w:val="en-GB"/>
        </w:rPr>
      </w:pPr>
      <w:r w:rsidRPr="00643031">
        <w:rPr>
          <w:rFonts w:cs="Arial"/>
          <w:bCs/>
          <w:snapToGrid w:val="0"/>
          <w:szCs w:val="20"/>
          <w:lang w:val="en-GB"/>
        </w:rPr>
        <w:t>The PBAC noted that the base case ICER</w:t>
      </w:r>
      <w:r w:rsidR="00881953" w:rsidRPr="00643031">
        <w:rPr>
          <w:rFonts w:cs="Arial"/>
          <w:bCs/>
          <w:snapToGrid w:val="0"/>
          <w:szCs w:val="20"/>
          <w:lang w:val="en-GB"/>
        </w:rPr>
        <w:t xml:space="preserve"> of $</w:t>
      </w:r>
      <w:r w:rsidR="00FB2338" w:rsidRPr="00643031">
        <w:rPr>
          <w:rFonts w:cs="Arial"/>
          <w:bCs/>
          <w:snapToGrid w:val="0"/>
          <w:szCs w:val="20"/>
          <w:lang w:val="en-GB"/>
        </w:rPr>
        <w:t>15,000 - $45,000</w:t>
      </w:r>
      <w:r w:rsidR="00D11F3E" w:rsidRPr="00643031">
        <w:rPr>
          <w:rFonts w:cs="Arial"/>
          <w:bCs/>
          <w:snapToGrid w:val="0"/>
          <w:szCs w:val="20"/>
          <w:lang w:val="en-GB"/>
        </w:rPr>
        <w:t xml:space="preserve"> per QALY gained</w:t>
      </w:r>
      <w:r w:rsidRPr="00643031">
        <w:rPr>
          <w:rFonts w:cs="Arial"/>
          <w:bCs/>
          <w:snapToGrid w:val="0"/>
          <w:szCs w:val="20"/>
          <w:lang w:val="en-GB"/>
        </w:rPr>
        <w:t xml:space="preserve"> in </w:t>
      </w:r>
      <w:r w:rsidRPr="00643031">
        <w:rPr>
          <w:rFonts w:cs="Arial"/>
          <w:bCs/>
          <w:snapToGrid w:val="0"/>
          <w:szCs w:val="20"/>
          <w:lang w:val="en-GB"/>
        </w:rPr>
        <w:lastRenderedPageBreak/>
        <w:t xml:space="preserve">the minor submission </w:t>
      </w:r>
      <w:r w:rsidR="007A2BBF" w:rsidRPr="00643031">
        <w:rPr>
          <w:rFonts w:cs="Arial"/>
          <w:bCs/>
          <w:snapToGrid w:val="0"/>
          <w:szCs w:val="20"/>
          <w:lang w:val="en-GB"/>
        </w:rPr>
        <w:t>was lower than that in t</w:t>
      </w:r>
      <w:r w:rsidR="00881953" w:rsidRPr="00643031">
        <w:rPr>
          <w:rFonts w:cs="Arial"/>
          <w:bCs/>
          <w:snapToGrid w:val="0"/>
          <w:szCs w:val="20"/>
          <w:lang w:val="en-GB"/>
        </w:rPr>
        <w:t>he March 2016 submission ($</w:t>
      </w:r>
      <w:r w:rsidR="00FB2338" w:rsidRPr="00643031">
        <w:rPr>
          <w:rFonts w:cs="Arial"/>
          <w:bCs/>
          <w:snapToGrid w:val="0"/>
          <w:szCs w:val="20"/>
          <w:lang w:val="en-GB"/>
        </w:rPr>
        <w:t>15,000 - $45,000</w:t>
      </w:r>
      <w:r w:rsidR="007A2BBF" w:rsidRPr="00643031">
        <w:rPr>
          <w:rFonts w:cs="Arial"/>
          <w:bCs/>
          <w:snapToGrid w:val="0"/>
          <w:szCs w:val="20"/>
          <w:lang w:val="en-GB"/>
        </w:rPr>
        <w:t xml:space="preserve">).  </w:t>
      </w:r>
      <w:r w:rsidR="00D11F3E" w:rsidRPr="00643031">
        <w:rPr>
          <w:rFonts w:cs="Arial"/>
          <w:bCs/>
          <w:snapToGrid w:val="0"/>
          <w:szCs w:val="20"/>
          <w:lang w:val="en-GB"/>
        </w:rPr>
        <w:t>The PBAC considered that a lower ICER is required given the economic uncertainties</w:t>
      </w:r>
      <w:r w:rsidR="007A2BBF" w:rsidRPr="00643031">
        <w:rPr>
          <w:rFonts w:cs="Arial"/>
          <w:bCs/>
          <w:snapToGrid w:val="0"/>
          <w:szCs w:val="20"/>
          <w:lang w:val="en-GB"/>
        </w:rPr>
        <w:t xml:space="preserve"> </w:t>
      </w:r>
      <w:r w:rsidR="00D11F3E" w:rsidRPr="00643031">
        <w:rPr>
          <w:rFonts w:cs="Arial"/>
          <w:bCs/>
          <w:snapToGrid w:val="0"/>
          <w:szCs w:val="20"/>
          <w:lang w:val="en-GB"/>
        </w:rPr>
        <w:t>identified.</w:t>
      </w:r>
    </w:p>
    <w:p w:rsidR="005E2BEE" w:rsidRDefault="005E2BEE" w:rsidP="00C62FF3">
      <w:pPr>
        <w:pStyle w:val="ListParagraph"/>
        <w:rPr>
          <w:bCs/>
          <w:szCs w:val="22"/>
        </w:rPr>
      </w:pPr>
    </w:p>
    <w:p w:rsidR="005E2BEE" w:rsidRPr="00643031" w:rsidRDefault="000207B8" w:rsidP="00643031">
      <w:pPr>
        <w:pStyle w:val="ListParagraph"/>
        <w:widowControl w:val="0"/>
        <w:numPr>
          <w:ilvl w:val="1"/>
          <w:numId w:val="17"/>
        </w:numPr>
        <w:ind w:left="709" w:hanging="709"/>
        <w:rPr>
          <w:rFonts w:cs="Arial"/>
          <w:bCs/>
          <w:snapToGrid w:val="0"/>
          <w:szCs w:val="20"/>
          <w:lang w:val="en-GB"/>
        </w:rPr>
      </w:pPr>
      <w:r w:rsidRPr="00643031">
        <w:rPr>
          <w:rFonts w:cs="Arial"/>
          <w:bCs/>
          <w:snapToGrid w:val="0"/>
          <w:szCs w:val="20"/>
          <w:lang w:val="en-GB"/>
        </w:rPr>
        <w:t xml:space="preserve">The PBAC noted the financial impact of listing sacubitril/valsartan was high with a total net cost to the PBS of </w:t>
      </w:r>
      <w:r w:rsidR="00FB2338" w:rsidRPr="00643031">
        <w:rPr>
          <w:rFonts w:cs="Arial"/>
          <w:bCs/>
          <w:snapToGrid w:val="0"/>
          <w:szCs w:val="20"/>
          <w:lang w:val="en-GB"/>
        </w:rPr>
        <w:t xml:space="preserve">more than </w:t>
      </w:r>
      <w:r w:rsidRPr="00643031">
        <w:rPr>
          <w:rFonts w:cs="Arial"/>
          <w:bCs/>
          <w:snapToGrid w:val="0"/>
          <w:szCs w:val="20"/>
          <w:lang w:val="en-GB"/>
        </w:rPr>
        <w:t>$</w:t>
      </w:r>
      <w:r w:rsidR="00FB2338" w:rsidRPr="00643031">
        <w:rPr>
          <w:rFonts w:cs="Arial"/>
          <w:bCs/>
          <w:snapToGrid w:val="0"/>
          <w:szCs w:val="20"/>
          <w:lang w:val="en-GB"/>
        </w:rPr>
        <w:t>100 million</w:t>
      </w:r>
      <w:r w:rsidRPr="00643031">
        <w:rPr>
          <w:rFonts w:cs="Arial"/>
          <w:bCs/>
          <w:snapToGrid w:val="0"/>
          <w:szCs w:val="20"/>
          <w:lang w:val="en-GB"/>
        </w:rPr>
        <w:t xml:space="preserve"> over the first 5 years of listing, and as such there would be a significant opportunity cost to the Commonwealth. </w:t>
      </w:r>
      <w:r w:rsidR="00D11F3E" w:rsidRPr="00643031">
        <w:rPr>
          <w:rFonts w:cs="Arial"/>
          <w:bCs/>
          <w:snapToGrid w:val="0"/>
          <w:szCs w:val="20"/>
          <w:lang w:val="en-GB"/>
        </w:rPr>
        <w:t>The PBAC considered that the high predicted financial impact of listing was of particular concern in the context of the magnitude of clinical benefit and the cost-effectiveness of treatment being unknown.</w:t>
      </w:r>
      <w:r w:rsidR="005E2BEE" w:rsidRPr="00643031">
        <w:rPr>
          <w:rFonts w:cs="Arial"/>
          <w:bCs/>
          <w:snapToGrid w:val="0"/>
          <w:szCs w:val="20"/>
          <w:lang w:val="en-GB"/>
        </w:rPr>
        <w:t xml:space="preserve"> </w:t>
      </w:r>
    </w:p>
    <w:p w:rsidR="000207B8" w:rsidRDefault="000207B8" w:rsidP="000207B8">
      <w:pPr>
        <w:pStyle w:val="ListParagraph"/>
        <w:rPr>
          <w:bCs/>
          <w:szCs w:val="22"/>
        </w:rPr>
      </w:pPr>
    </w:p>
    <w:p w:rsidR="005E2BEE" w:rsidRPr="00643031" w:rsidRDefault="005E2BEE" w:rsidP="00643031">
      <w:pPr>
        <w:pStyle w:val="ListParagraph"/>
        <w:widowControl w:val="0"/>
        <w:numPr>
          <w:ilvl w:val="1"/>
          <w:numId w:val="17"/>
        </w:numPr>
        <w:ind w:left="709" w:hanging="709"/>
        <w:rPr>
          <w:rFonts w:cs="Arial"/>
          <w:bCs/>
          <w:snapToGrid w:val="0"/>
          <w:szCs w:val="20"/>
          <w:lang w:val="en-GB"/>
        </w:rPr>
      </w:pPr>
      <w:r w:rsidRPr="00643031">
        <w:rPr>
          <w:rFonts w:cs="Arial"/>
          <w:bCs/>
          <w:snapToGrid w:val="0"/>
          <w:szCs w:val="20"/>
          <w:lang w:val="en-GB"/>
        </w:rPr>
        <w:t>The PBAC noted that there was potential for use outside of the requested restriction in patients with preserved ejection fraction, in patients with NYHA class I heart failure, and in patients not on concomitant beta-blocker</w:t>
      </w:r>
      <w:r w:rsidR="000207B8" w:rsidRPr="00643031">
        <w:rPr>
          <w:rFonts w:cs="Arial"/>
          <w:bCs/>
          <w:snapToGrid w:val="0"/>
          <w:szCs w:val="20"/>
          <w:lang w:val="en-GB"/>
        </w:rPr>
        <w:t xml:space="preserve">. The PBAC considered that the financial risks identified </w:t>
      </w:r>
      <w:r w:rsidR="00D15594" w:rsidRPr="00643031">
        <w:rPr>
          <w:rFonts w:cs="Arial"/>
          <w:bCs/>
          <w:snapToGrid w:val="0"/>
          <w:szCs w:val="20"/>
          <w:lang w:val="en-GB"/>
        </w:rPr>
        <w:t xml:space="preserve">should </w:t>
      </w:r>
      <w:r w:rsidR="000207B8" w:rsidRPr="00643031">
        <w:rPr>
          <w:rFonts w:cs="Arial"/>
          <w:bCs/>
          <w:snapToGrid w:val="0"/>
          <w:szCs w:val="20"/>
          <w:lang w:val="en-GB"/>
        </w:rPr>
        <w:t>be managed through a risk-share agreement.</w:t>
      </w:r>
    </w:p>
    <w:p w:rsidR="005E2BEE" w:rsidRPr="00643031" w:rsidRDefault="005E2BEE" w:rsidP="00643031">
      <w:pPr>
        <w:pStyle w:val="ListParagraph"/>
        <w:widowControl w:val="0"/>
        <w:ind w:left="709"/>
        <w:rPr>
          <w:rFonts w:cs="Arial"/>
          <w:bCs/>
          <w:snapToGrid w:val="0"/>
          <w:szCs w:val="20"/>
          <w:lang w:val="en-GB"/>
        </w:rPr>
      </w:pPr>
    </w:p>
    <w:p w:rsidR="005E2BEE" w:rsidRPr="00C62FF3" w:rsidRDefault="00900487" w:rsidP="00643031">
      <w:pPr>
        <w:pStyle w:val="ListParagraph"/>
        <w:widowControl w:val="0"/>
        <w:numPr>
          <w:ilvl w:val="1"/>
          <w:numId w:val="17"/>
        </w:numPr>
        <w:ind w:left="709" w:hanging="709"/>
        <w:rPr>
          <w:rFonts w:cs="Arial"/>
          <w:bCs/>
          <w:snapToGrid w:val="0"/>
          <w:szCs w:val="20"/>
          <w:lang w:val="en-GB"/>
        </w:rPr>
      </w:pPr>
      <w:r>
        <w:rPr>
          <w:rFonts w:cs="Arial"/>
          <w:bCs/>
          <w:snapToGrid w:val="0"/>
          <w:szCs w:val="20"/>
          <w:lang w:val="en-GB"/>
        </w:rPr>
        <w:t xml:space="preserve">The PBAC considered that the submission’s revised estimates of utilisation, which were based on DUSC advice (March 2016), </w:t>
      </w:r>
      <w:r w:rsidR="000207B8">
        <w:rPr>
          <w:rFonts w:cs="Arial"/>
          <w:bCs/>
          <w:snapToGrid w:val="0"/>
          <w:szCs w:val="20"/>
          <w:lang w:val="en-GB"/>
        </w:rPr>
        <w:t>were</w:t>
      </w:r>
      <w:r>
        <w:rPr>
          <w:rFonts w:cs="Arial"/>
          <w:bCs/>
          <w:snapToGrid w:val="0"/>
          <w:szCs w:val="20"/>
          <w:lang w:val="en-GB"/>
        </w:rPr>
        <w:t xml:space="preserve"> reasonable. </w:t>
      </w:r>
    </w:p>
    <w:p w:rsidR="00C40A98" w:rsidRPr="0069654D" w:rsidRDefault="00C40A98" w:rsidP="00C40A98">
      <w:pPr>
        <w:widowControl w:val="0"/>
        <w:rPr>
          <w:rFonts w:cs="Arial"/>
          <w:bCs/>
          <w:snapToGrid w:val="0"/>
          <w:szCs w:val="20"/>
          <w:highlight w:val="yellow"/>
          <w:lang w:val="en-GB"/>
        </w:rPr>
      </w:pPr>
    </w:p>
    <w:p w:rsidR="00C40A98" w:rsidRPr="00C62FF3" w:rsidRDefault="00C40A98" w:rsidP="00C40A98">
      <w:pPr>
        <w:widowControl w:val="0"/>
        <w:rPr>
          <w:rFonts w:cs="Arial"/>
          <w:b/>
          <w:bCs/>
          <w:snapToGrid w:val="0"/>
          <w:szCs w:val="20"/>
          <w:lang w:val="en-GB"/>
        </w:rPr>
      </w:pPr>
      <w:r w:rsidRPr="00C62FF3">
        <w:rPr>
          <w:rFonts w:cs="Arial"/>
          <w:b/>
          <w:bCs/>
          <w:snapToGrid w:val="0"/>
          <w:szCs w:val="20"/>
          <w:lang w:val="en-GB"/>
        </w:rPr>
        <w:t>Outcome:</w:t>
      </w:r>
    </w:p>
    <w:p w:rsidR="00E20DE4" w:rsidRDefault="00C40A98" w:rsidP="00E20DE4">
      <w:pPr>
        <w:widowControl w:val="0"/>
        <w:rPr>
          <w:rFonts w:cs="Arial"/>
          <w:bCs/>
          <w:snapToGrid w:val="0"/>
          <w:szCs w:val="20"/>
          <w:lang w:val="en-GB"/>
        </w:rPr>
      </w:pPr>
      <w:r w:rsidRPr="00C62FF3">
        <w:rPr>
          <w:rFonts w:cs="Arial"/>
          <w:bCs/>
          <w:snapToGrid w:val="0"/>
          <w:szCs w:val="20"/>
          <w:lang w:val="en-GB"/>
        </w:rPr>
        <w:t>Deferred</w:t>
      </w:r>
    </w:p>
    <w:p w:rsidR="00DF7A63" w:rsidRDefault="00DF7A63" w:rsidP="00E20DE4">
      <w:pPr>
        <w:widowControl w:val="0"/>
        <w:rPr>
          <w:rFonts w:cs="Arial"/>
          <w:bCs/>
          <w:snapToGrid w:val="0"/>
          <w:szCs w:val="20"/>
          <w:lang w:val="en-GB"/>
        </w:rPr>
      </w:pPr>
    </w:p>
    <w:p w:rsidR="00DF7A63" w:rsidRPr="00E0670E" w:rsidRDefault="00DF7A63" w:rsidP="00DF7A63">
      <w:pPr>
        <w:rPr>
          <w:rFonts w:cs="Arial"/>
          <w:b/>
          <w:bCs/>
          <w:szCs w:val="22"/>
          <w:lang w:val="en-GB"/>
        </w:rPr>
      </w:pPr>
      <w:r w:rsidRPr="00E0670E">
        <w:rPr>
          <w:rFonts w:cs="Arial"/>
          <w:b/>
          <w:bCs/>
          <w:szCs w:val="22"/>
          <w:lang w:val="en-GB"/>
        </w:rPr>
        <w:t>ADDENDUM</w:t>
      </w:r>
    </w:p>
    <w:p w:rsidR="00DF7A63" w:rsidRDefault="00DF7A63" w:rsidP="00DF7A63">
      <w:pPr>
        <w:rPr>
          <w:szCs w:val="22"/>
        </w:rPr>
      </w:pPr>
    </w:p>
    <w:p w:rsidR="00DF7A63" w:rsidRDefault="00DF7A63" w:rsidP="00DF7A63">
      <w:pPr>
        <w:rPr>
          <w:rFonts w:cs="Arial"/>
        </w:rPr>
      </w:pPr>
      <w:r>
        <w:rPr>
          <w:szCs w:val="22"/>
        </w:rPr>
        <w:t>At its special meeting in August 2016, t</w:t>
      </w:r>
      <w:r w:rsidRPr="009F69A2">
        <w:rPr>
          <w:rFonts w:cs="Arial"/>
        </w:rPr>
        <w:t xml:space="preserve">he PBAC recommended the listing of </w:t>
      </w:r>
      <w:proofErr w:type="spellStart"/>
      <w:r w:rsidRPr="009F69A2">
        <w:rPr>
          <w:rFonts w:cs="Arial"/>
        </w:rPr>
        <w:t>sacubitril</w:t>
      </w:r>
      <w:proofErr w:type="spellEnd"/>
      <w:r>
        <w:rPr>
          <w:rFonts w:cs="Arial"/>
        </w:rPr>
        <w:t xml:space="preserve"> with </w:t>
      </w:r>
      <w:r w:rsidRPr="009F69A2">
        <w:rPr>
          <w:rFonts w:cs="Arial"/>
        </w:rPr>
        <w:t xml:space="preserve">valsartan for the treatment of patients with chronic heart failure and a reduced left ventricular ejection fraction on the basis of acceptable cost effectiveness compared to </w:t>
      </w:r>
      <w:proofErr w:type="spellStart"/>
      <w:r w:rsidRPr="009F69A2">
        <w:rPr>
          <w:rFonts w:cs="Arial"/>
        </w:rPr>
        <w:t>enalapril</w:t>
      </w:r>
      <w:proofErr w:type="spellEnd"/>
      <w:r w:rsidRPr="009F69A2">
        <w:rPr>
          <w:rFonts w:cs="Arial"/>
        </w:rPr>
        <w:t>. The PBAC noted the reduced price proposed, the revised PBS expenditure estimates and considered the proposed two-tier capping levels to be a reasonable basis for the Risk Sharing Arrangement.</w:t>
      </w:r>
    </w:p>
    <w:p w:rsidR="00DF7A63" w:rsidRPr="00F57856" w:rsidRDefault="00DF7A63" w:rsidP="00E20DE4">
      <w:pPr>
        <w:widowControl w:val="0"/>
        <w:rPr>
          <w:rFonts w:cs="Arial"/>
          <w:bCs/>
          <w:snapToGrid w:val="0"/>
          <w:szCs w:val="20"/>
          <w:highlight w:val="yellow"/>
          <w:lang w:val="en-GB"/>
        </w:rPr>
      </w:pPr>
      <w:bookmarkStart w:id="2" w:name="_GoBack"/>
      <w:bookmarkEnd w:id="2"/>
    </w:p>
    <w:p w:rsidR="00004B37" w:rsidRDefault="00004B37" w:rsidP="00C40A98">
      <w:pPr>
        <w:rPr>
          <w:szCs w:val="22"/>
        </w:rPr>
      </w:pPr>
    </w:p>
    <w:p w:rsidR="00FB2338" w:rsidRPr="00FB2338" w:rsidRDefault="00643031" w:rsidP="00643031">
      <w:pPr>
        <w:pStyle w:val="Heading1"/>
        <w:rPr>
          <w:snapToGrid w:val="0"/>
          <w:lang w:eastAsia="en-US"/>
        </w:rPr>
      </w:pPr>
      <w:r>
        <w:rPr>
          <w:snapToGrid w:val="0"/>
          <w:lang w:eastAsia="en-US"/>
        </w:rPr>
        <w:t xml:space="preserve">8. </w:t>
      </w:r>
      <w:r>
        <w:rPr>
          <w:snapToGrid w:val="0"/>
          <w:lang w:eastAsia="en-US"/>
        </w:rPr>
        <w:tab/>
      </w:r>
      <w:r w:rsidR="00FB2338" w:rsidRPr="00FB2338">
        <w:rPr>
          <w:snapToGrid w:val="0"/>
          <w:lang w:eastAsia="en-US"/>
        </w:rPr>
        <w:t>Context for Decision</w:t>
      </w:r>
    </w:p>
    <w:p w:rsidR="00FB2338" w:rsidRPr="00FB2338" w:rsidRDefault="00FB2338" w:rsidP="00FB2338">
      <w:pPr>
        <w:widowControl w:val="0"/>
        <w:ind w:left="720"/>
        <w:rPr>
          <w:rFonts w:cs="Arial"/>
          <w:bCs/>
          <w:snapToGrid w:val="0"/>
          <w:szCs w:val="20"/>
          <w:lang w:eastAsia="en-US"/>
        </w:rPr>
      </w:pPr>
    </w:p>
    <w:p w:rsidR="00FB2338" w:rsidRPr="00FB2338" w:rsidRDefault="00FB2338" w:rsidP="00FB2338">
      <w:pPr>
        <w:widowControl w:val="0"/>
        <w:ind w:left="720"/>
        <w:rPr>
          <w:rFonts w:cs="Arial"/>
          <w:bCs/>
          <w:snapToGrid w:val="0"/>
          <w:szCs w:val="20"/>
          <w:lang w:eastAsia="en-US"/>
        </w:rPr>
      </w:pPr>
      <w:r w:rsidRPr="00FB2338">
        <w:rPr>
          <w:rFonts w:cs="Arial"/>
          <w:bCs/>
          <w:snapToGrid w:val="0"/>
          <w:szCs w:val="20"/>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B2338" w:rsidRPr="00FB2338" w:rsidRDefault="00FB2338" w:rsidP="00FB2338">
      <w:pPr>
        <w:widowControl w:val="0"/>
        <w:ind w:left="720"/>
        <w:rPr>
          <w:rFonts w:cs="Arial"/>
          <w:bCs/>
          <w:snapToGrid w:val="0"/>
          <w:szCs w:val="20"/>
          <w:lang w:eastAsia="en-US"/>
        </w:rPr>
      </w:pPr>
    </w:p>
    <w:p w:rsidR="00FB2338" w:rsidRDefault="00643031" w:rsidP="00643031">
      <w:pPr>
        <w:pStyle w:val="Heading1"/>
        <w:rPr>
          <w:snapToGrid w:val="0"/>
          <w:lang w:eastAsia="en-US"/>
        </w:rPr>
      </w:pPr>
      <w:r>
        <w:rPr>
          <w:snapToGrid w:val="0"/>
          <w:lang w:eastAsia="en-US"/>
        </w:rPr>
        <w:t>9.</w:t>
      </w:r>
      <w:r>
        <w:rPr>
          <w:snapToGrid w:val="0"/>
          <w:lang w:eastAsia="en-US"/>
        </w:rPr>
        <w:tab/>
      </w:r>
      <w:r w:rsidR="00FB2338" w:rsidRPr="00FB2338">
        <w:rPr>
          <w:snapToGrid w:val="0"/>
          <w:lang w:eastAsia="en-US"/>
        </w:rPr>
        <w:t>Sponsor’s Comment</w:t>
      </w:r>
      <w:r w:rsidR="00FB2338" w:rsidRPr="00FB2338">
        <w:rPr>
          <w:snapToGrid w:val="0"/>
          <w:lang w:eastAsia="en-US"/>
        </w:rPr>
        <w:tab/>
      </w:r>
    </w:p>
    <w:p w:rsidR="00D062F4" w:rsidRPr="00FB2338" w:rsidRDefault="00D062F4" w:rsidP="00D062F4">
      <w:pPr>
        <w:widowControl w:val="0"/>
        <w:ind w:left="720"/>
        <w:contextualSpacing/>
        <w:rPr>
          <w:rFonts w:cs="Arial"/>
          <w:b/>
          <w:bCs/>
          <w:snapToGrid w:val="0"/>
          <w:szCs w:val="20"/>
          <w:lang w:eastAsia="en-US"/>
        </w:rPr>
      </w:pPr>
    </w:p>
    <w:p w:rsidR="00BD07F1" w:rsidRPr="00BD07F1" w:rsidRDefault="00BD07F1" w:rsidP="00BD07F1">
      <w:pPr>
        <w:widowControl w:val="0"/>
        <w:ind w:left="720"/>
        <w:rPr>
          <w:rFonts w:cs="Arial"/>
          <w:bCs/>
          <w:snapToGrid w:val="0"/>
          <w:szCs w:val="20"/>
          <w:lang w:eastAsia="en-US"/>
        </w:rPr>
      </w:pPr>
      <w:r w:rsidRPr="00BD07F1">
        <w:rPr>
          <w:rFonts w:cs="Arial"/>
          <w:bCs/>
          <w:snapToGrid w:val="0"/>
          <w:szCs w:val="20"/>
          <w:lang w:eastAsia="en-US"/>
        </w:rPr>
        <w:t xml:space="preserve">Novartis continues to work collaboratively with the PBAC and the Federal Government so that Australians with systolic heart failure are provided access to </w:t>
      </w:r>
      <w:proofErr w:type="spellStart"/>
      <w:r w:rsidRPr="00BD07F1">
        <w:rPr>
          <w:rFonts w:cs="Arial"/>
          <w:bCs/>
          <w:snapToGrid w:val="0"/>
          <w:szCs w:val="20"/>
          <w:lang w:eastAsia="en-US"/>
        </w:rPr>
        <w:t>Entresto</w:t>
      </w:r>
      <w:proofErr w:type="spellEnd"/>
      <w:r w:rsidRPr="00BD07F1">
        <w:rPr>
          <w:rFonts w:cs="Arial"/>
          <w:bCs/>
          <w:snapToGrid w:val="0"/>
          <w:szCs w:val="20"/>
          <w:lang w:eastAsia="en-US"/>
        </w:rPr>
        <w:t>® (</w:t>
      </w:r>
      <w:proofErr w:type="spellStart"/>
      <w:r w:rsidRPr="00BD07F1">
        <w:rPr>
          <w:rFonts w:cs="Arial"/>
          <w:bCs/>
          <w:snapToGrid w:val="0"/>
          <w:szCs w:val="20"/>
          <w:lang w:eastAsia="en-US"/>
        </w:rPr>
        <w:t>sacubitril</w:t>
      </w:r>
      <w:proofErr w:type="spellEnd"/>
      <w:r w:rsidRPr="00BD07F1">
        <w:rPr>
          <w:rFonts w:cs="Arial"/>
          <w:bCs/>
          <w:snapToGrid w:val="0"/>
          <w:szCs w:val="20"/>
          <w:lang w:eastAsia="en-US"/>
        </w:rPr>
        <w:t>/valsartan) through the Pharmaceutical Benefits Scheme (PBS) at the earliest opportunity.</w:t>
      </w:r>
    </w:p>
    <w:p w:rsidR="00FB2338" w:rsidRDefault="00FB2338" w:rsidP="00BD07F1">
      <w:pPr>
        <w:widowControl w:val="0"/>
        <w:ind w:left="720"/>
        <w:rPr>
          <w:szCs w:val="22"/>
        </w:rPr>
      </w:pPr>
    </w:p>
    <w:sectPr w:rsidR="00FB2338" w:rsidSect="00C40A9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066CF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031" w:rsidRDefault="00643031">
      <w:r>
        <w:separator/>
      </w:r>
    </w:p>
    <w:p w:rsidR="00643031" w:rsidRDefault="00643031"/>
  </w:endnote>
  <w:endnote w:type="continuationSeparator" w:id="0">
    <w:p w:rsidR="00643031" w:rsidRDefault="00643031">
      <w:r>
        <w:continuationSeparator/>
      </w:r>
    </w:p>
    <w:p w:rsidR="00643031" w:rsidRDefault="006430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abon">
    <w:altName w:val="Constantia"/>
    <w:charset w:val="00"/>
    <w:family w:val="roman"/>
    <w:pitch w:val="variable"/>
    <w:sig w:usb0="00000287" w:usb1="00000000" w:usb2="00000000" w:usb3="00000000" w:csb0="0000009F" w:csb1="00000000"/>
  </w:font>
  <w:font w:name="Arial Bold">
    <w:altName w:val="Arial"/>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031" w:rsidRDefault="006430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868901"/>
      <w:docPartObj>
        <w:docPartGallery w:val="Page Numbers (Bottom of Page)"/>
        <w:docPartUnique/>
      </w:docPartObj>
    </w:sdtPr>
    <w:sdtEndPr>
      <w:rPr>
        <w:noProof/>
      </w:rPr>
    </w:sdtEndPr>
    <w:sdtContent>
      <w:p w:rsidR="007809CB" w:rsidRDefault="007809CB">
        <w:pPr>
          <w:pStyle w:val="Footer"/>
          <w:jc w:val="center"/>
        </w:pPr>
        <w:r>
          <w:fldChar w:fldCharType="begin"/>
        </w:r>
        <w:r>
          <w:instrText xml:space="preserve"> PAGE   \* MERGEFORMAT </w:instrText>
        </w:r>
        <w:r>
          <w:fldChar w:fldCharType="separate"/>
        </w:r>
        <w:r w:rsidR="00DF7A63">
          <w:rPr>
            <w:noProof/>
          </w:rPr>
          <w:t>12</w:t>
        </w:r>
        <w:r>
          <w:rPr>
            <w:noProof/>
          </w:rPr>
          <w:fldChar w:fldCharType="end"/>
        </w:r>
      </w:p>
    </w:sdtContent>
  </w:sdt>
  <w:p w:rsidR="007809CB" w:rsidRDefault="007809CB" w:rsidP="00EF44A0">
    <w:pPr>
      <w:pStyle w:val="Footer"/>
      <w:jc w:val="center"/>
      <w:rPr>
        <w:rFonts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031" w:rsidRDefault="006430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031" w:rsidRDefault="00643031">
      <w:r>
        <w:separator/>
      </w:r>
    </w:p>
    <w:p w:rsidR="00643031" w:rsidRDefault="00643031"/>
  </w:footnote>
  <w:footnote w:type="continuationSeparator" w:id="0">
    <w:p w:rsidR="00643031" w:rsidRDefault="00643031">
      <w:r>
        <w:continuationSeparator/>
      </w:r>
    </w:p>
    <w:p w:rsidR="00643031" w:rsidRDefault="006430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031" w:rsidRDefault="006430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9CB" w:rsidRPr="00DF217D" w:rsidRDefault="007809CB" w:rsidP="001808AA">
    <w:pPr>
      <w:pStyle w:val="Header"/>
      <w:ind w:left="360"/>
      <w:jc w:val="center"/>
      <w:rPr>
        <w:rFonts w:cs="Arial"/>
        <w:i/>
        <w:color w:val="808080"/>
      </w:rPr>
    </w:pPr>
    <w:r>
      <w:rPr>
        <w:rFonts w:cs="Arial"/>
        <w:i/>
        <w:color w:val="808080"/>
      </w:rPr>
      <w:t xml:space="preserve">Public Summary Document </w:t>
    </w:r>
    <w:r w:rsidRPr="00DF217D">
      <w:rPr>
        <w:rFonts w:cs="Arial"/>
        <w:i/>
        <w:color w:val="808080"/>
      </w:rPr>
      <w:t xml:space="preserve">– </w:t>
    </w:r>
    <w:r>
      <w:rPr>
        <w:rFonts w:cs="Arial"/>
        <w:i/>
        <w:color w:val="808080"/>
      </w:rPr>
      <w:t xml:space="preserve">July 2016 </w:t>
    </w:r>
    <w:r w:rsidRPr="00DF217D">
      <w:rPr>
        <w:rFonts w:cs="Arial"/>
        <w:i/>
        <w:color w:val="808080"/>
      </w:rPr>
      <w:t>PBAC</w:t>
    </w:r>
    <w:r>
      <w:rPr>
        <w:rFonts w:cs="Arial"/>
        <w:i/>
        <w:color w:val="808080"/>
      </w:rPr>
      <w:t xml:space="preserve"> </w:t>
    </w:r>
    <w:r w:rsidRPr="00DF217D">
      <w:rPr>
        <w:rFonts w:cs="Arial"/>
        <w:i/>
        <w:color w:val="808080"/>
      </w:rPr>
      <w:t>Meeting</w:t>
    </w:r>
  </w:p>
  <w:p w:rsidR="007809CB" w:rsidRDefault="007809CB"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031" w:rsidRDefault="006430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B700431"/>
    <w:multiLevelType w:val="hybridMultilevel"/>
    <w:tmpl w:val="676E5F04"/>
    <w:lvl w:ilvl="0" w:tplc="065C3A0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6BB3C8A"/>
    <w:multiLevelType w:val="hybridMultilevel"/>
    <w:tmpl w:val="4DF04CC0"/>
    <w:lvl w:ilvl="0" w:tplc="063EE96A">
      <w:start w:val="10"/>
      <w:numFmt w:val="bullet"/>
      <w:lvlText w:val="-"/>
      <w:lvlJc w:val="left"/>
      <w:pPr>
        <w:ind w:left="360" w:hanging="360"/>
      </w:pPr>
      <w:rPr>
        <w:rFonts w:ascii="Arial Narrow" w:eastAsia="Times New Roman" w:hAnsi="Arial Narrow"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ABC64C7"/>
    <w:multiLevelType w:val="hybridMultilevel"/>
    <w:tmpl w:val="6C08DC9A"/>
    <w:lvl w:ilvl="0" w:tplc="E5F6B8A6">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7">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EE85789"/>
    <w:multiLevelType w:val="hybridMultilevel"/>
    <w:tmpl w:val="B336A284"/>
    <w:lvl w:ilvl="0" w:tplc="D32246BA">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nsid w:val="52AA19C9"/>
    <w:multiLevelType w:val="multilevel"/>
    <w:tmpl w:val="CC904F3A"/>
    <w:lvl w:ilvl="0">
      <w:start w:val="7"/>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9D808A6"/>
    <w:multiLevelType w:val="multilevel"/>
    <w:tmpl w:val="E05252FE"/>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72E51832"/>
    <w:multiLevelType w:val="hybridMultilevel"/>
    <w:tmpl w:val="6248FA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84D033C"/>
    <w:multiLevelType w:val="multilevel"/>
    <w:tmpl w:val="A884512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786A5FA5"/>
    <w:multiLevelType w:val="hybridMultilevel"/>
    <w:tmpl w:val="A9D4A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5"/>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3"/>
  </w:num>
  <w:num w:numId="11">
    <w:abstractNumId w:val="5"/>
  </w:num>
  <w:num w:numId="12">
    <w:abstractNumId w:val="4"/>
  </w:num>
  <w:num w:numId="13">
    <w:abstractNumId w:val="10"/>
  </w:num>
  <w:num w:numId="14">
    <w:abstractNumId w:val="2"/>
  </w:num>
  <w:num w:numId="15">
    <w:abstractNumId w:val="0"/>
  </w:num>
  <w:num w:numId="16">
    <w:abstractNumId w:val="7"/>
  </w:num>
  <w:num w:numId="17">
    <w:abstractNumId w:val="9"/>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acy Merlin">
    <w15:presenceInfo w15:providerId="AD" w15:userId="S-1-5-21-1390582872-192029990-4074164785-588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Vancouver Leesa&lt;/Style&gt;&lt;LeftDelim&gt;{&lt;/LeftDelim&gt;&lt;RightDelim&gt;}&lt;/RightDelim&gt;&lt;FontName&gt;Arial&lt;/FontName&gt;&lt;FontSize&gt;11&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v2zztde2sa5veefs075r5dzea050er0t5td&quot;&gt;Sacubitril valsartan&lt;record-ids&gt;&lt;item&gt;1&lt;/item&gt;&lt;item&gt;3&lt;/item&gt;&lt;item&gt;4&lt;/item&gt;&lt;item&gt;5&lt;/item&gt;&lt;item&gt;7&lt;/item&gt;&lt;item&gt;8&lt;/item&gt;&lt;/record-ids&gt;&lt;/item&gt;&lt;/Libraries&gt;"/>
  </w:docVars>
  <w:rsids>
    <w:rsidRoot w:val="0004240E"/>
    <w:rsid w:val="000025AD"/>
    <w:rsid w:val="00004B37"/>
    <w:rsid w:val="00013F5F"/>
    <w:rsid w:val="000207B8"/>
    <w:rsid w:val="0002088B"/>
    <w:rsid w:val="00022478"/>
    <w:rsid w:val="0002464A"/>
    <w:rsid w:val="00030993"/>
    <w:rsid w:val="0003106B"/>
    <w:rsid w:val="00036FE6"/>
    <w:rsid w:val="000421A1"/>
    <w:rsid w:val="0004240E"/>
    <w:rsid w:val="0004302A"/>
    <w:rsid w:val="00045E26"/>
    <w:rsid w:val="000514B5"/>
    <w:rsid w:val="00060E64"/>
    <w:rsid w:val="0006134F"/>
    <w:rsid w:val="00061752"/>
    <w:rsid w:val="00061E66"/>
    <w:rsid w:val="00064354"/>
    <w:rsid w:val="000647F1"/>
    <w:rsid w:val="00066755"/>
    <w:rsid w:val="000735AC"/>
    <w:rsid w:val="00073AC1"/>
    <w:rsid w:val="000748D5"/>
    <w:rsid w:val="0007575C"/>
    <w:rsid w:val="000759B5"/>
    <w:rsid w:val="000770BC"/>
    <w:rsid w:val="000772FF"/>
    <w:rsid w:val="00080244"/>
    <w:rsid w:val="0009509B"/>
    <w:rsid w:val="000969AD"/>
    <w:rsid w:val="000A0006"/>
    <w:rsid w:val="000A1499"/>
    <w:rsid w:val="000A1573"/>
    <w:rsid w:val="000A3467"/>
    <w:rsid w:val="000A49EF"/>
    <w:rsid w:val="000A50B9"/>
    <w:rsid w:val="000B558D"/>
    <w:rsid w:val="000C2C5F"/>
    <w:rsid w:val="000C4A75"/>
    <w:rsid w:val="000C4B08"/>
    <w:rsid w:val="000C4BFD"/>
    <w:rsid w:val="000C6996"/>
    <w:rsid w:val="000D21ED"/>
    <w:rsid w:val="000D23BA"/>
    <w:rsid w:val="000D507E"/>
    <w:rsid w:val="000D5B20"/>
    <w:rsid w:val="000E17E9"/>
    <w:rsid w:val="000E2F96"/>
    <w:rsid w:val="000E681E"/>
    <w:rsid w:val="000F24C8"/>
    <w:rsid w:val="000F4E6A"/>
    <w:rsid w:val="0010258C"/>
    <w:rsid w:val="001037C1"/>
    <w:rsid w:val="00104CF6"/>
    <w:rsid w:val="001107BF"/>
    <w:rsid w:val="001151CE"/>
    <w:rsid w:val="0012417C"/>
    <w:rsid w:val="001335F1"/>
    <w:rsid w:val="00142395"/>
    <w:rsid w:val="00142714"/>
    <w:rsid w:val="001452ED"/>
    <w:rsid w:val="001516CE"/>
    <w:rsid w:val="00157205"/>
    <w:rsid w:val="00165321"/>
    <w:rsid w:val="00173B69"/>
    <w:rsid w:val="001808AA"/>
    <w:rsid w:val="001830CE"/>
    <w:rsid w:val="00190237"/>
    <w:rsid w:val="0019137F"/>
    <w:rsid w:val="00196307"/>
    <w:rsid w:val="00196BF8"/>
    <w:rsid w:val="00196DDF"/>
    <w:rsid w:val="001A6337"/>
    <w:rsid w:val="001B017F"/>
    <w:rsid w:val="001B5129"/>
    <w:rsid w:val="001C1195"/>
    <w:rsid w:val="001D214E"/>
    <w:rsid w:val="001E16EF"/>
    <w:rsid w:val="001E716C"/>
    <w:rsid w:val="001F2D53"/>
    <w:rsid w:val="002114C9"/>
    <w:rsid w:val="00213AC6"/>
    <w:rsid w:val="00213CFB"/>
    <w:rsid w:val="00221859"/>
    <w:rsid w:val="00221C1D"/>
    <w:rsid w:val="00224417"/>
    <w:rsid w:val="002341E2"/>
    <w:rsid w:val="002349D2"/>
    <w:rsid w:val="00235AC1"/>
    <w:rsid w:val="00240A09"/>
    <w:rsid w:val="0024288D"/>
    <w:rsid w:val="002456AE"/>
    <w:rsid w:val="002503B8"/>
    <w:rsid w:val="00257E5B"/>
    <w:rsid w:val="00261306"/>
    <w:rsid w:val="00265E2C"/>
    <w:rsid w:val="002716E5"/>
    <w:rsid w:val="00271BA1"/>
    <w:rsid w:val="00276A07"/>
    <w:rsid w:val="00277505"/>
    <w:rsid w:val="00284699"/>
    <w:rsid w:val="00286BCA"/>
    <w:rsid w:val="0029458F"/>
    <w:rsid w:val="002A03E0"/>
    <w:rsid w:val="002A0CE1"/>
    <w:rsid w:val="002A104C"/>
    <w:rsid w:val="002A4960"/>
    <w:rsid w:val="002B161F"/>
    <w:rsid w:val="002B1AE6"/>
    <w:rsid w:val="002B30F8"/>
    <w:rsid w:val="002C212F"/>
    <w:rsid w:val="002D78CF"/>
    <w:rsid w:val="002E3153"/>
    <w:rsid w:val="002E612B"/>
    <w:rsid w:val="002E6406"/>
    <w:rsid w:val="002E72CA"/>
    <w:rsid w:val="002F49E3"/>
    <w:rsid w:val="003008FB"/>
    <w:rsid w:val="00301D12"/>
    <w:rsid w:val="00302922"/>
    <w:rsid w:val="003069A1"/>
    <w:rsid w:val="0031030E"/>
    <w:rsid w:val="0031662E"/>
    <w:rsid w:val="00326E79"/>
    <w:rsid w:val="003273E0"/>
    <w:rsid w:val="00330CDF"/>
    <w:rsid w:val="00330D8C"/>
    <w:rsid w:val="00333F7A"/>
    <w:rsid w:val="003367EF"/>
    <w:rsid w:val="00341AE4"/>
    <w:rsid w:val="00342C06"/>
    <w:rsid w:val="00343968"/>
    <w:rsid w:val="0034454E"/>
    <w:rsid w:val="0034471D"/>
    <w:rsid w:val="00345BBD"/>
    <w:rsid w:val="00357391"/>
    <w:rsid w:val="00367F06"/>
    <w:rsid w:val="00376731"/>
    <w:rsid w:val="003836DD"/>
    <w:rsid w:val="003872CF"/>
    <w:rsid w:val="0039782C"/>
    <w:rsid w:val="003A476C"/>
    <w:rsid w:val="003A5B4A"/>
    <w:rsid w:val="003B23C5"/>
    <w:rsid w:val="003B2A75"/>
    <w:rsid w:val="003B7819"/>
    <w:rsid w:val="003C35AA"/>
    <w:rsid w:val="003C427F"/>
    <w:rsid w:val="003C5E62"/>
    <w:rsid w:val="003D4AC4"/>
    <w:rsid w:val="003D63B7"/>
    <w:rsid w:val="003E195E"/>
    <w:rsid w:val="003E468B"/>
    <w:rsid w:val="003F5C8C"/>
    <w:rsid w:val="00415B58"/>
    <w:rsid w:val="0041628B"/>
    <w:rsid w:val="00423B66"/>
    <w:rsid w:val="0044294F"/>
    <w:rsid w:val="004465BD"/>
    <w:rsid w:val="00466964"/>
    <w:rsid w:val="00466ADA"/>
    <w:rsid w:val="00466B19"/>
    <w:rsid w:val="00466E40"/>
    <w:rsid w:val="004757C3"/>
    <w:rsid w:val="00476245"/>
    <w:rsid w:val="00485940"/>
    <w:rsid w:val="004A2B0B"/>
    <w:rsid w:val="004A5A85"/>
    <w:rsid w:val="004B03E4"/>
    <w:rsid w:val="004B2657"/>
    <w:rsid w:val="004B4CF7"/>
    <w:rsid w:val="004B5640"/>
    <w:rsid w:val="004B6818"/>
    <w:rsid w:val="004C1BD7"/>
    <w:rsid w:val="004C238F"/>
    <w:rsid w:val="004C39B2"/>
    <w:rsid w:val="004C64DF"/>
    <w:rsid w:val="004C691D"/>
    <w:rsid w:val="004E66C7"/>
    <w:rsid w:val="004E692D"/>
    <w:rsid w:val="004E7F71"/>
    <w:rsid w:val="004F7BFE"/>
    <w:rsid w:val="00500CDA"/>
    <w:rsid w:val="00501554"/>
    <w:rsid w:val="00503974"/>
    <w:rsid w:val="00504F8A"/>
    <w:rsid w:val="00511F49"/>
    <w:rsid w:val="00514CD7"/>
    <w:rsid w:val="00515E79"/>
    <w:rsid w:val="0051673E"/>
    <w:rsid w:val="0052217C"/>
    <w:rsid w:val="00525942"/>
    <w:rsid w:val="00525F0B"/>
    <w:rsid w:val="005319B2"/>
    <w:rsid w:val="00532C74"/>
    <w:rsid w:val="00534E2E"/>
    <w:rsid w:val="00536986"/>
    <w:rsid w:val="00540E14"/>
    <w:rsid w:val="00544552"/>
    <w:rsid w:val="00546834"/>
    <w:rsid w:val="00547DCA"/>
    <w:rsid w:val="00561FA9"/>
    <w:rsid w:val="005669D5"/>
    <w:rsid w:val="00580AEE"/>
    <w:rsid w:val="00581932"/>
    <w:rsid w:val="00586CCD"/>
    <w:rsid w:val="005916ED"/>
    <w:rsid w:val="00593061"/>
    <w:rsid w:val="005933E0"/>
    <w:rsid w:val="00596380"/>
    <w:rsid w:val="005963BB"/>
    <w:rsid w:val="005A0C81"/>
    <w:rsid w:val="005A1EAB"/>
    <w:rsid w:val="005A3173"/>
    <w:rsid w:val="005A3223"/>
    <w:rsid w:val="005A3DA3"/>
    <w:rsid w:val="005A52C4"/>
    <w:rsid w:val="005A534A"/>
    <w:rsid w:val="005B258C"/>
    <w:rsid w:val="005B5B99"/>
    <w:rsid w:val="005C0BA2"/>
    <w:rsid w:val="005D03AB"/>
    <w:rsid w:val="005D5017"/>
    <w:rsid w:val="005D739A"/>
    <w:rsid w:val="005E0F6F"/>
    <w:rsid w:val="005E2B20"/>
    <w:rsid w:val="005E2BEE"/>
    <w:rsid w:val="005E44FA"/>
    <w:rsid w:val="005F1A6D"/>
    <w:rsid w:val="005F5BE7"/>
    <w:rsid w:val="005F748F"/>
    <w:rsid w:val="00601A91"/>
    <w:rsid w:val="00602BA3"/>
    <w:rsid w:val="00603629"/>
    <w:rsid w:val="00614159"/>
    <w:rsid w:val="00617C00"/>
    <w:rsid w:val="006214DC"/>
    <w:rsid w:val="006263BF"/>
    <w:rsid w:val="006265C2"/>
    <w:rsid w:val="0062748A"/>
    <w:rsid w:val="00630A2C"/>
    <w:rsid w:val="00640187"/>
    <w:rsid w:val="00643031"/>
    <w:rsid w:val="00650453"/>
    <w:rsid w:val="00651169"/>
    <w:rsid w:val="006513B4"/>
    <w:rsid w:val="00653D69"/>
    <w:rsid w:val="0065643D"/>
    <w:rsid w:val="006600B2"/>
    <w:rsid w:val="00666658"/>
    <w:rsid w:val="00670A76"/>
    <w:rsid w:val="00670F2F"/>
    <w:rsid w:val="006711AA"/>
    <w:rsid w:val="00672B57"/>
    <w:rsid w:val="00675622"/>
    <w:rsid w:val="00675E5A"/>
    <w:rsid w:val="00684F3F"/>
    <w:rsid w:val="0068589B"/>
    <w:rsid w:val="00685BBE"/>
    <w:rsid w:val="0068615D"/>
    <w:rsid w:val="006906DB"/>
    <w:rsid w:val="00692515"/>
    <w:rsid w:val="006A12A5"/>
    <w:rsid w:val="006A2B1C"/>
    <w:rsid w:val="006A3AEF"/>
    <w:rsid w:val="006A7DCB"/>
    <w:rsid w:val="006B0D94"/>
    <w:rsid w:val="006B359B"/>
    <w:rsid w:val="006B420A"/>
    <w:rsid w:val="006B485D"/>
    <w:rsid w:val="006B6540"/>
    <w:rsid w:val="006C1BE2"/>
    <w:rsid w:val="006C707F"/>
    <w:rsid w:val="006C708E"/>
    <w:rsid w:val="006D6EC7"/>
    <w:rsid w:val="006F1092"/>
    <w:rsid w:val="006F1DAB"/>
    <w:rsid w:val="006F5125"/>
    <w:rsid w:val="00700A5C"/>
    <w:rsid w:val="00702F55"/>
    <w:rsid w:val="007105EC"/>
    <w:rsid w:val="00716DBB"/>
    <w:rsid w:val="007174BB"/>
    <w:rsid w:val="00730340"/>
    <w:rsid w:val="007317CC"/>
    <w:rsid w:val="00763050"/>
    <w:rsid w:val="0076313D"/>
    <w:rsid w:val="0076420C"/>
    <w:rsid w:val="00774000"/>
    <w:rsid w:val="007753C2"/>
    <w:rsid w:val="00777AC4"/>
    <w:rsid w:val="007809CB"/>
    <w:rsid w:val="00782B90"/>
    <w:rsid w:val="007838B8"/>
    <w:rsid w:val="007852AE"/>
    <w:rsid w:val="00792A13"/>
    <w:rsid w:val="00797B56"/>
    <w:rsid w:val="007A11DF"/>
    <w:rsid w:val="007A2AE5"/>
    <w:rsid w:val="007A2BBF"/>
    <w:rsid w:val="007C0F57"/>
    <w:rsid w:val="007C294D"/>
    <w:rsid w:val="007C40B6"/>
    <w:rsid w:val="007C729F"/>
    <w:rsid w:val="007C7600"/>
    <w:rsid w:val="007C79F4"/>
    <w:rsid w:val="007D2B3D"/>
    <w:rsid w:val="007D2EA6"/>
    <w:rsid w:val="007E1D28"/>
    <w:rsid w:val="007E29ED"/>
    <w:rsid w:val="007E7573"/>
    <w:rsid w:val="007F06A9"/>
    <w:rsid w:val="007F2641"/>
    <w:rsid w:val="007F7C36"/>
    <w:rsid w:val="00802110"/>
    <w:rsid w:val="00806796"/>
    <w:rsid w:val="00821E06"/>
    <w:rsid w:val="00822288"/>
    <w:rsid w:val="00826F6D"/>
    <w:rsid w:val="00836C6B"/>
    <w:rsid w:val="00837917"/>
    <w:rsid w:val="00853E8C"/>
    <w:rsid w:val="00856DDD"/>
    <w:rsid w:val="008608D5"/>
    <w:rsid w:val="008616A4"/>
    <w:rsid w:val="00863E68"/>
    <w:rsid w:val="00866AA3"/>
    <w:rsid w:val="0087540D"/>
    <w:rsid w:val="00881953"/>
    <w:rsid w:val="00882085"/>
    <w:rsid w:val="00883188"/>
    <w:rsid w:val="00895DF9"/>
    <w:rsid w:val="00897D58"/>
    <w:rsid w:val="008A1956"/>
    <w:rsid w:val="008A4937"/>
    <w:rsid w:val="008A7CC6"/>
    <w:rsid w:val="008B477E"/>
    <w:rsid w:val="008C6322"/>
    <w:rsid w:val="008D3C82"/>
    <w:rsid w:val="008D447E"/>
    <w:rsid w:val="008D4F92"/>
    <w:rsid w:val="008D7A41"/>
    <w:rsid w:val="008E3680"/>
    <w:rsid w:val="008E5870"/>
    <w:rsid w:val="008F1434"/>
    <w:rsid w:val="008F7355"/>
    <w:rsid w:val="008F7E7B"/>
    <w:rsid w:val="00900487"/>
    <w:rsid w:val="009036F1"/>
    <w:rsid w:val="009067B7"/>
    <w:rsid w:val="00914487"/>
    <w:rsid w:val="00921E47"/>
    <w:rsid w:val="00930937"/>
    <w:rsid w:val="00933E6C"/>
    <w:rsid w:val="00935BD7"/>
    <w:rsid w:val="009374A6"/>
    <w:rsid w:val="00937C68"/>
    <w:rsid w:val="00942160"/>
    <w:rsid w:val="00950174"/>
    <w:rsid w:val="009579B1"/>
    <w:rsid w:val="009602C5"/>
    <w:rsid w:val="00963D29"/>
    <w:rsid w:val="0097216A"/>
    <w:rsid w:val="00974C21"/>
    <w:rsid w:val="009878D4"/>
    <w:rsid w:val="00990A9A"/>
    <w:rsid w:val="009B0F67"/>
    <w:rsid w:val="009B6F75"/>
    <w:rsid w:val="009B75BE"/>
    <w:rsid w:val="009B7C3A"/>
    <w:rsid w:val="009C1A3A"/>
    <w:rsid w:val="009C7038"/>
    <w:rsid w:val="009C703C"/>
    <w:rsid w:val="009D3CAA"/>
    <w:rsid w:val="009E037E"/>
    <w:rsid w:val="009F4E46"/>
    <w:rsid w:val="009F5808"/>
    <w:rsid w:val="009F5B65"/>
    <w:rsid w:val="009F5F2E"/>
    <w:rsid w:val="00A06225"/>
    <w:rsid w:val="00A112C7"/>
    <w:rsid w:val="00A128E6"/>
    <w:rsid w:val="00A235C7"/>
    <w:rsid w:val="00A37196"/>
    <w:rsid w:val="00A37C8D"/>
    <w:rsid w:val="00A40C49"/>
    <w:rsid w:val="00A45B70"/>
    <w:rsid w:val="00A47860"/>
    <w:rsid w:val="00A504C5"/>
    <w:rsid w:val="00A5132F"/>
    <w:rsid w:val="00A5273B"/>
    <w:rsid w:val="00A53A9D"/>
    <w:rsid w:val="00A55FEE"/>
    <w:rsid w:val="00A62C1A"/>
    <w:rsid w:val="00A6426D"/>
    <w:rsid w:val="00A70622"/>
    <w:rsid w:val="00A70977"/>
    <w:rsid w:val="00A828AD"/>
    <w:rsid w:val="00A8390C"/>
    <w:rsid w:val="00A84749"/>
    <w:rsid w:val="00A928BD"/>
    <w:rsid w:val="00A94E75"/>
    <w:rsid w:val="00AA17D6"/>
    <w:rsid w:val="00AA4D1C"/>
    <w:rsid w:val="00AB02A6"/>
    <w:rsid w:val="00AB33B2"/>
    <w:rsid w:val="00AB5BE1"/>
    <w:rsid w:val="00AC5206"/>
    <w:rsid w:val="00AC571B"/>
    <w:rsid w:val="00AD40D0"/>
    <w:rsid w:val="00AD51AA"/>
    <w:rsid w:val="00AE11A5"/>
    <w:rsid w:val="00AE13E2"/>
    <w:rsid w:val="00AE5476"/>
    <w:rsid w:val="00AF68CC"/>
    <w:rsid w:val="00AF6A9F"/>
    <w:rsid w:val="00B040C8"/>
    <w:rsid w:val="00B119AB"/>
    <w:rsid w:val="00B13138"/>
    <w:rsid w:val="00B205AA"/>
    <w:rsid w:val="00B22E84"/>
    <w:rsid w:val="00B23429"/>
    <w:rsid w:val="00B25F75"/>
    <w:rsid w:val="00B30B8F"/>
    <w:rsid w:val="00B341C4"/>
    <w:rsid w:val="00B43E90"/>
    <w:rsid w:val="00B50C75"/>
    <w:rsid w:val="00B56118"/>
    <w:rsid w:val="00B633A6"/>
    <w:rsid w:val="00B65AE9"/>
    <w:rsid w:val="00B6773F"/>
    <w:rsid w:val="00B71E88"/>
    <w:rsid w:val="00B7238F"/>
    <w:rsid w:val="00B73482"/>
    <w:rsid w:val="00B77EE6"/>
    <w:rsid w:val="00B801BA"/>
    <w:rsid w:val="00B860C1"/>
    <w:rsid w:val="00B94B79"/>
    <w:rsid w:val="00B953B1"/>
    <w:rsid w:val="00BB031E"/>
    <w:rsid w:val="00BB08B5"/>
    <w:rsid w:val="00BB69F5"/>
    <w:rsid w:val="00BB7EC3"/>
    <w:rsid w:val="00BC0A65"/>
    <w:rsid w:val="00BC4B9A"/>
    <w:rsid w:val="00BD07F1"/>
    <w:rsid w:val="00BD784C"/>
    <w:rsid w:val="00BF113E"/>
    <w:rsid w:val="00BF3D3A"/>
    <w:rsid w:val="00BF4CB6"/>
    <w:rsid w:val="00BF705B"/>
    <w:rsid w:val="00C00DA7"/>
    <w:rsid w:val="00C06A8A"/>
    <w:rsid w:val="00C12768"/>
    <w:rsid w:val="00C20F01"/>
    <w:rsid w:val="00C2185D"/>
    <w:rsid w:val="00C24F82"/>
    <w:rsid w:val="00C27B58"/>
    <w:rsid w:val="00C343B1"/>
    <w:rsid w:val="00C35996"/>
    <w:rsid w:val="00C40A98"/>
    <w:rsid w:val="00C41B5B"/>
    <w:rsid w:val="00C46074"/>
    <w:rsid w:val="00C5342C"/>
    <w:rsid w:val="00C62162"/>
    <w:rsid w:val="00C6256A"/>
    <w:rsid w:val="00C62FF3"/>
    <w:rsid w:val="00C64C30"/>
    <w:rsid w:val="00C80D64"/>
    <w:rsid w:val="00C82CE7"/>
    <w:rsid w:val="00C841F2"/>
    <w:rsid w:val="00C91449"/>
    <w:rsid w:val="00C92D10"/>
    <w:rsid w:val="00C9351B"/>
    <w:rsid w:val="00C9757F"/>
    <w:rsid w:val="00CB043C"/>
    <w:rsid w:val="00CB6B34"/>
    <w:rsid w:val="00CC10B3"/>
    <w:rsid w:val="00CC64EE"/>
    <w:rsid w:val="00CC7F7B"/>
    <w:rsid w:val="00CD28FE"/>
    <w:rsid w:val="00CD45B2"/>
    <w:rsid w:val="00CE10C4"/>
    <w:rsid w:val="00CE27B5"/>
    <w:rsid w:val="00CF1C8B"/>
    <w:rsid w:val="00CF6468"/>
    <w:rsid w:val="00CF7A60"/>
    <w:rsid w:val="00D0321E"/>
    <w:rsid w:val="00D062F4"/>
    <w:rsid w:val="00D11F3E"/>
    <w:rsid w:val="00D1455A"/>
    <w:rsid w:val="00D145D4"/>
    <w:rsid w:val="00D151AA"/>
    <w:rsid w:val="00D15594"/>
    <w:rsid w:val="00D158D1"/>
    <w:rsid w:val="00D17D0A"/>
    <w:rsid w:val="00D3280C"/>
    <w:rsid w:val="00D3406A"/>
    <w:rsid w:val="00D35253"/>
    <w:rsid w:val="00D43657"/>
    <w:rsid w:val="00D449D9"/>
    <w:rsid w:val="00D469B2"/>
    <w:rsid w:val="00D55182"/>
    <w:rsid w:val="00D708DC"/>
    <w:rsid w:val="00D741EB"/>
    <w:rsid w:val="00D76509"/>
    <w:rsid w:val="00D84934"/>
    <w:rsid w:val="00D84A0F"/>
    <w:rsid w:val="00D91271"/>
    <w:rsid w:val="00DA2CB5"/>
    <w:rsid w:val="00DA485D"/>
    <w:rsid w:val="00DA4BAC"/>
    <w:rsid w:val="00DC6007"/>
    <w:rsid w:val="00DD2731"/>
    <w:rsid w:val="00DD2D0E"/>
    <w:rsid w:val="00DE4F0A"/>
    <w:rsid w:val="00DE6D27"/>
    <w:rsid w:val="00DE71EA"/>
    <w:rsid w:val="00DF217D"/>
    <w:rsid w:val="00DF26A7"/>
    <w:rsid w:val="00DF2B83"/>
    <w:rsid w:val="00DF6225"/>
    <w:rsid w:val="00DF7A63"/>
    <w:rsid w:val="00E01742"/>
    <w:rsid w:val="00E13A88"/>
    <w:rsid w:val="00E164B3"/>
    <w:rsid w:val="00E16910"/>
    <w:rsid w:val="00E20DE4"/>
    <w:rsid w:val="00E237C6"/>
    <w:rsid w:val="00E2527B"/>
    <w:rsid w:val="00E273AD"/>
    <w:rsid w:val="00E405C5"/>
    <w:rsid w:val="00E43CF6"/>
    <w:rsid w:val="00E52E33"/>
    <w:rsid w:val="00E57EE7"/>
    <w:rsid w:val="00E614C3"/>
    <w:rsid w:val="00E6413C"/>
    <w:rsid w:val="00E64A7B"/>
    <w:rsid w:val="00E65E54"/>
    <w:rsid w:val="00E71100"/>
    <w:rsid w:val="00E72146"/>
    <w:rsid w:val="00E72810"/>
    <w:rsid w:val="00E73864"/>
    <w:rsid w:val="00E80155"/>
    <w:rsid w:val="00E848C0"/>
    <w:rsid w:val="00E854EB"/>
    <w:rsid w:val="00E91B96"/>
    <w:rsid w:val="00E93532"/>
    <w:rsid w:val="00E941A1"/>
    <w:rsid w:val="00E95CE3"/>
    <w:rsid w:val="00EA2563"/>
    <w:rsid w:val="00EA2825"/>
    <w:rsid w:val="00EA6EEC"/>
    <w:rsid w:val="00EB5088"/>
    <w:rsid w:val="00EB516F"/>
    <w:rsid w:val="00EC5F07"/>
    <w:rsid w:val="00ED1644"/>
    <w:rsid w:val="00ED24D5"/>
    <w:rsid w:val="00EE063B"/>
    <w:rsid w:val="00EE5627"/>
    <w:rsid w:val="00EE7E20"/>
    <w:rsid w:val="00EF0EA3"/>
    <w:rsid w:val="00EF0ED5"/>
    <w:rsid w:val="00EF1D76"/>
    <w:rsid w:val="00EF44A0"/>
    <w:rsid w:val="00F050BD"/>
    <w:rsid w:val="00F05657"/>
    <w:rsid w:val="00F11ABA"/>
    <w:rsid w:val="00F1337B"/>
    <w:rsid w:val="00F25578"/>
    <w:rsid w:val="00F258E5"/>
    <w:rsid w:val="00F300BC"/>
    <w:rsid w:val="00F31D94"/>
    <w:rsid w:val="00F3334E"/>
    <w:rsid w:val="00F346E9"/>
    <w:rsid w:val="00F40C11"/>
    <w:rsid w:val="00F44269"/>
    <w:rsid w:val="00F50EC4"/>
    <w:rsid w:val="00F57856"/>
    <w:rsid w:val="00F57A6D"/>
    <w:rsid w:val="00F638CC"/>
    <w:rsid w:val="00F661BF"/>
    <w:rsid w:val="00F71DC6"/>
    <w:rsid w:val="00F72816"/>
    <w:rsid w:val="00F73949"/>
    <w:rsid w:val="00F76EFD"/>
    <w:rsid w:val="00F81D4C"/>
    <w:rsid w:val="00F8247A"/>
    <w:rsid w:val="00F9629A"/>
    <w:rsid w:val="00FA5883"/>
    <w:rsid w:val="00FA6055"/>
    <w:rsid w:val="00FB2338"/>
    <w:rsid w:val="00FB322F"/>
    <w:rsid w:val="00FB442F"/>
    <w:rsid w:val="00FC1929"/>
    <w:rsid w:val="00FC3D86"/>
    <w:rsid w:val="00FC5B46"/>
    <w:rsid w:val="00FD50CA"/>
    <w:rsid w:val="00FE1C3D"/>
    <w:rsid w:val="00FE62F4"/>
    <w:rsid w:val="00FE66A7"/>
    <w:rsid w:val="00FF00BD"/>
    <w:rsid w:val="00FF1ED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uiPriority="9"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32"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0A49EF"/>
    <w:pPr>
      <w:jc w:val="both"/>
    </w:pPr>
    <w:rPr>
      <w:rFonts w:ascii="Arial" w:hAnsi="Arial"/>
      <w:sz w:val="22"/>
      <w:szCs w:val="24"/>
    </w:rPr>
  </w:style>
  <w:style w:type="paragraph" w:styleId="Heading1">
    <w:name w:val="heading 1"/>
    <w:basedOn w:val="Normal"/>
    <w:next w:val="Normal"/>
    <w:qFormat/>
    <w:rsid w:val="00643031"/>
    <w:pPr>
      <w:contextualSpacing/>
      <w:outlineLvl w:val="0"/>
    </w:pPr>
    <w:rPr>
      <w:b/>
      <w:szCs w:val="22"/>
    </w:rPr>
  </w:style>
  <w:style w:type="paragraph" w:styleId="Heading2">
    <w:name w:val="heading 2"/>
    <w:basedOn w:val="Normal"/>
    <w:next w:val="Normal"/>
    <w:qFormat/>
    <w:rsid w:val="00643031"/>
    <w:pPr>
      <w:outlineLvl w:val="1"/>
    </w:pPr>
    <w:rPr>
      <w:rFonts w:cs="Arial"/>
      <w:b/>
      <w:bCs/>
      <w:i/>
      <w:snapToGrid w:val="0"/>
      <w:szCs w:val="22"/>
    </w:rPr>
  </w:style>
  <w:style w:type="paragraph" w:styleId="Heading3">
    <w:name w:val="heading 3"/>
    <w:basedOn w:val="Normal"/>
    <w:next w:val="Normal"/>
    <w:link w:val="Heading3Char"/>
    <w:unhideWhenUsed/>
    <w:qFormat/>
    <w:rsid w:val="00CD45B2"/>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unhideWhenUsed/>
    <w:qFormat/>
    <w:rsid w:val="00525942"/>
    <w:pPr>
      <w:keepNext/>
      <w:keepLines/>
      <w:spacing w:before="40" w:line="259" w:lineRule="auto"/>
      <w:outlineLvl w:val="3"/>
    </w:pPr>
    <w:rPr>
      <w:rFonts w:asciiTheme="majorHAnsi" w:eastAsiaTheme="majorEastAsia" w:hAnsiTheme="majorHAnsi" w:cstheme="majorBidi"/>
      <w:i/>
      <w:iCs/>
      <w:color w:val="365F91" w:themeColor="accent1" w:themeShade="BF"/>
      <w:szCs w:val="22"/>
      <w:lang w:eastAsia="en-US"/>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CMA Table Templat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sz w:val="20"/>
      <w:szCs w:val="20"/>
      <w:lang w:eastAsia="en-US"/>
    </w:rPr>
  </w:style>
  <w:style w:type="paragraph" w:styleId="BodyText2">
    <w:name w:val="Body Text 2"/>
    <w:basedOn w:val="Normal"/>
    <w:link w:val="BodyText2Char"/>
    <w:pPr>
      <w:widowControl w:val="0"/>
    </w:pPr>
    <w:rPr>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CD45B2"/>
    <w:rPr>
      <w:rFonts w:ascii="Arial" w:eastAsiaTheme="majorEastAsia" w:hAnsi="Arial" w:cstheme="majorBidi"/>
      <w:b/>
      <w:bCs/>
      <w:sz w:val="22"/>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rPr>
      <w:szCs w:val="22"/>
    </w:rPr>
  </w:style>
  <w:style w:type="paragraph" w:customStyle="1" w:styleId="PBACTableText">
    <w:name w:val="PBAC Table Text"/>
    <w:basedOn w:val="Normal"/>
    <w:link w:val="PBACTableTextChar"/>
    <w:qFormat/>
    <w:rsid w:val="006600B2"/>
    <w:pPr>
      <w:spacing w:before="40" w:after="40"/>
    </w:pPr>
    <w:rPr>
      <w:rFonts w:ascii="Sabon" w:hAnsi="Sabon"/>
      <w:szCs w:val="20"/>
      <w:lang w:val="en-US" w:eastAsia="en-US"/>
    </w:rPr>
  </w:style>
  <w:style w:type="character" w:customStyle="1" w:styleId="PBACTableTextChar">
    <w:name w:val="PBAC Table Text Char"/>
    <w:basedOn w:val="DefaultParagraphFont"/>
    <w:link w:val="PBACTableText"/>
    <w:rsid w:val="006600B2"/>
    <w:rPr>
      <w:rFonts w:ascii="Sabon" w:hAnsi="Sabon"/>
      <w:sz w:val="22"/>
      <w:lang w:val="en-US" w:eastAsia="en-US"/>
    </w:rPr>
  </w:style>
  <w:style w:type="character" w:customStyle="1" w:styleId="Heading4Char">
    <w:name w:val="Heading 4 Char"/>
    <w:basedOn w:val="DefaultParagraphFont"/>
    <w:link w:val="Heading4"/>
    <w:uiPriority w:val="9"/>
    <w:rsid w:val="00525942"/>
    <w:rPr>
      <w:rFonts w:asciiTheme="majorHAnsi" w:eastAsiaTheme="majorEastAsia" w:hAnsiTheme="majorHAnsi" w:cstheme="majorBidi"/>
      <w:i/>
      <w:iCs/>
      <w:color w:val="365F91" w:themeColor="accent1" w:themeShade="BF"/>
      <w:sz w:val="22"/>
      <w:szCs w:val="22"/>
      <w:lang w:eastAsia="en-US"/>
    </w:rPr>
  </w:style>
  <w:style w:type="paragraph" w:styleId="FootnoteText">
    <w:name w:val="footnote text"/>
    <w:basedOn w:val="Normal"/>
    <w:link w:val="FootnoteTextChar"/>
    <w:uiPriority w:val="99"/>
    <w:semiHidden/>
    <w:unhideWhenUsed/>
    <w:rsid w:val="00C64C30"/>
    <w:pPr>
      <w:jc w:val="left"/>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C64C30"/>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C64C30"/>
    <w:rPr>
      <w:vertAlign w:val="superscript"/>
    </w:rPr>
  </w:style>
  <w:style w:type="paragraph" w:styleId="Caption">
    <w:name w:val="caption"/>
    <w:basedOn w:val="Normal"/>
    <w:next w:val="Normal"/>
    <w:unhideWhenUsed/>
    <w:qFormat/>
    <w:rsid w:val="007C7600"/>
    <w:pPr>
      <w:spacing w:after="200"/>
    </w:pPr>
    <w:rPr>
      <w:i/>
      <w:iCs/>
      <w:color w:val="1F497D" w:themeColor="text2"/>
      <w:sz w:val="18"/>
      <w:szCs w:val="18"/>
    </w:rPr>
  </w:style>
  <w:style w:type="paragraph" w:customStyle="1" w:styleId="TableFooter">
    <w:name w:val="Table Footer"/>
    <w:basedOn w:val="Normal"/>
    <w:qFormat/>
    <w:rsid w:val="00CC64EE"/>
    <w:pPr>
      <w:widowControl w:val="0"/>
      <w:snapToGrid w:val="0"/>
    </w:pPr>
    <w:rPr>
      <w:rFonts w:ascii="Arial Narrow" w:hAnsi="Arial Narrow" w:cs="Arial"/>
      <w:sz w:val="18"/>
      <w:szCs w:val="20"/>
      <w:lang w:eastAsia="en-US"/>
    </w:rPr>
  </w:style>
  <w:style w:type="character" w:customStyle="1" w:styleId="TabletextChar">
    <w:name w:val="Table text Char"/>
    <w:link w:val="Tabletext"/>
    <w:locked/>
    <w:rsid w:val="00CC64EE"/>
    <w:rPr>
      <w:rFonts w:ascii="Arial" w:hAnsi="Arial"/>
      <w:lang w:eastAsia="en-US"/>
    </w:rPr>
  </w:style>
  <w:style w:type="character" w:customStyle="1" w:styleId="ListParagraphChar">
    <w:name w:val="List Paragraph Char"/>
    <w:aliases w:val="BulletPoints Char"/>
    <w:basedOn w:val="DefaultParagraphFont"/>
    <w:link w:val="ListParagraph"/>
    <w:uiPriority w:val="72"/>
    <w:locked/>
    <w:rsid w:val="002F49E3"/>
    <w:rPr>
      <w:rFonts w:ascii="Arial" w:hAnsi="Arial"/>
      <w:sz w:val="22"/>
      <w:szCs w:val="24"/>
    </w:rPr>
  </w:style>
  <w:style w:type="table" w:customStyle="1" w:styleId="GridTableLight">
    <w:name w:val="Grid Table Light"/>
    <w:basedOn w:val="TableNormal"/>
    <w:uiPriority w:val="40"/>
    <w:rsid w:val="00C24F8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rsid w:val="00423B66"/>
    <w:rPr>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dNoteBibliographyTitle">
    <w:name w:val="EndNote Bibliography Title"/>
    <w:basedOn w:val="Normal"/>
    <w:link w:val="EndNoteBibliographyTitleChar"/>
    <w:rsid w:val="00004B37"/>
    <w:pPr>
      <w:jc w:val="center"/>
    </w:pPr>
    <w:rPr>
      <w:rFonts w:cs="Arial"/>
      <w:noProof/>
    </w:rPr>
  </w:style>
  <w:style w:type="character" w:customStyle="1" w:styleId="EndNoteBibliographyTitleChar">
    <w:name w:val="EndNote Bibliography Title Char"/>
    <w:basedOn w:val="DefaultParagraphFont"/>
    <w:link w:val="EndNoteBibliographyTitle"/>
    <w:rsid w:val="00004B37"/>
    <w:rPr>
      <w:rFonts w:ascii="Arial" w:hAnsi="Arial" w:cs="Arial"/>
      <w:noProof/>
      <w:sz w:val="22"/>
      <w:szCs w:val="24"/>
    </w:rPr>
  </w:style>
  <w:style w:type="paragraph" w:customStyle="1" w:styleId="EndNoteBibliography">
    <w:name w:val="EndNote Bibliography"/>
    <w:basedOn w:val="Normal"/>
    <w:link w:val="EndNoteBibliographyChar"/>
    <w:rsid w:val="00004B37"/>
    <w:rPr>
      <w:rFonts w:cs="Arial"/>
      <w:noProof/>
    </w:rPr>
  </w:style>
  <w:style w:type="character" w:customStyle="1" w:styleId="EndNoteBibliographyChar">
    <w:name w:val="EndNote Bibliography Char"/>
    <w:basedOn w:val="DefaultParagraphFont"/>
    <w:link w:val="EndNoteBibliography"/>
    <w:rsid w:val="00004B37"/>
    <w:rPr>
      <w:rFonts w:ascii="Arial" w:hAnsi="Arial" w:cs="Arial"/>
      <w:noProof/>
      <w:sz w:val="22"/>
      <w:szCs w:val="24"/>
    </w:rPr>
  </w:style>
  <w:style w:type="paragraph" w:styleId="Revision">
    <w:name w:val="Revision"/>
    <w:hidden/>
    <w:uiPriority w:val="71"/>
    <w:semiHidden/>
    <w:rsid w:val="00357391"/>
    <w:rPr>
      <w:rFonts w:ascii="Arial" w:hAnsi="Arial"/>
      <w:sz w:val="22"/>
      <w:szCs w:val="24"/>
    </w:rPr>
  </w:style>
  <w:style w:type="paragraph" w:customStyle="1" w:styleId="PBACHeading1">
    <w:name w:val="PBAC Heading 1"/>
    <w:basedOn w:val="ListParagraph"/>
    <w:qFormat/>
    <w:rsid w:val="00D17D0A"/>
    <w:pPr>
      <w:spacing w:before="240" w:after="120"/>
      <w:ind w:hanging="720"/>
    </w:pPr>
    <w:rPr>
      <w:rFonts w:ascii="Times New Roman" w:hAnsi="Times New Roman"/>
      <w:b/>
      <w:sz w:val="24"/>
      <w:szCs w:val="22"/>
      <w:lang w:eastAsia="en-US"/>
    </w:rPr>
  </w:style>
  <w:style w:type="character" w:styleId="IntenseReference">
    <w:name w:val="Intense Reference"/>
    <w:basedOn w:val="DefaultParagraphFont"/>
    <w:uiPriority w:val="32"/>
    <w:rsid w:val="00C40A98"/>
    <w:rPr>
      <w:b/>
      <w:bCs/>
      <w:smallCaps/>
      <w:color w:val="C0504D" w:themeColor="accent2"/>
      <w:spacing w:val="5"/>
      <w:u w:val="single"/>
    </w:rPr>
  </w:style>
  <w:style w:type="paragraph" w:styleId="Title">
    <w:name w:val="Title"/>
    <w:basedOn w:val="Heading1"/>
    <w:next w:val="Normal"/>
    <w:link w:val="TitleChar"/>
    <w:qFormat/>
    <w:rsid w:val="00643031"/>
    <w:rPr>
      <w:rFonts w:ascii="Arial Bold" w:eastAsiaTheme="majorEastAsia" w:hAnsi="Arial Bold" w:cstheme="majorBidi"/>
      <w:spacing w:val="5"/>
      <w:kern w:val="28"/>
      <w:sz w:val="28"/>
      <w:szCs w:val="28"/>
    </w:rPr>
  </w:style>
  <w:style w:type="character" w:customStyle="1" w:styleId="TitleChar">
    <w:name w:val="Title Char"/>
    <w:basedOn w:val="DefaultParagraphFont"/>
    <w:link w:val="Title"/>
    <w:rsid w:val="00643031"/>
    <w:rPr>
      <w:rFonts w:ascii="Arial Bold" w:eastAsiaTheme="majorEastAsia" w:hAnsi="Arial Bold" w:cstheme="majorBidi"/>
      <w:b/>
      <w:spacing w:val="5"/>
      <w:kern w:val="28"/>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uiPriority="9"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32"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0A49EF"/>
    <w:pPr>
      <w:jc w:val="both"/>
    </w:pPr>
    <w:rPr>
      <w:rFonts w:ascii="Arial" w:hAnsi="Arial"/>
      <w:sz w:val="22"/>
      <w:szCs w:val="24"/>
    </w:rPr>
  </w:style>
  <w:style w:type="paragraph" w:styleId="Heading1">
    <w:name w:val="heading 1"/>
    <w:basedOn w:val="Normal"/>
    <w:next w:val="Normal"/>
    <w:qFormat/>
    <w:rsid w:val="00643031"/>
    <w:pPr>
      <w:contextualSpacing/>
      <w:outlineLvl w:val="0"/>
    </w:pPr>
    <w:rPr>
      <w:b/>
      <w:szCs w:val="22"/>
    </w:rPr>
  </w:style>
  <w:style w:type="paragraph" w:styleId="Heading2">
    <w:name w:val="heading 2"/>
    <w:basedOn w:val="Normal"/>
    <w:next w:val="Normal"/>
    <w:qFormat/>
    <w:rsid w:val="00643031"/>
    <w:pPr>
      <w:outlineLvl w:val="1"/>
    </w:pPr>
    <w:rPr>
      <w:rFonts w:cs="Arial"/>
      <w:b/>
      <w:bCs/>
      <w:i/>
      <w:snapToGrid w:val="0"/>
      <w:szCs w:val="22"/>
    </w:rPr>
  </w:style>
  <w:style w:type="paragraph" w:styleId="Heading3">
    <w:name w:val="heading 3"/>
    <w:basedOn w:val="Normal"/>
    <w:next w:val="Normal"/>
    <w:link w:val="Heading3Char"/>
    <w:unhideWhenUsed/>
    <w:qFormat/>
    <w:rsid w:val="00CD45B2"/>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unhideWhenUsed/>
    <w:qFormat/>
    <w:rsid w:val="00525942"/>
    <w:pPr>
      <w:keepNext/>
      <w:keepLines/>
      <w:spacing w:before="40" w:line="259" w:lineRule="auto"/>
      <w:outlineLvl w:val="3"/>
    </w:pPr>
    <w:rPr>
      <w:rFonts w:asciiTheme="majorHAnsi" w:eastAsiaTheme="majorEastAsia" w:hAnsiTheme="majorHAnsi" w:cstheme="majorBidi"/>
      <w:i/>
      <w:iCs/>
      <w:color w:val="365F91" w:themeColor="accent1" w:themeShade="BF"/>
      <w:szCs w:val="22"/>
      <w:lang w:eastAsia="en-US"/>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CMA Table Templat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sz w:val="20"/>
      <w:szCs w:val="20"/>
      <w:lang w:eastAsia="en-US"/>
    </w:rPr>
  </w:style>
  <w:style w:type="paragraph" w:styleId="BodyText2">
    <w:name w:val="Body Text 2"/>
    <w:basedOn w:val="Normal"/>
    <w:link w:val="BodyText2Char"/>
    <w:pPr>
      <w:widowControl w:val="0"/>
    </w:pPr>
    <w:rPr>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CD45B2"/>
    <w:rPr>
      <w:rFonts w:ascii="Arial" w:eastAsiaTheme="majorEastAsia" w:hAnsi="Arial" w:cstheme="majorBidi"/>
      <w:b/>
      <w:bCs/>
      <w:sz w:val="22"/>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rPr>
      <w:szCs w:val="22"/>
    </w:rPr>
  </w:style>
  <w:style w:type="paragraph" w:customStyle="1" w:styleId="PBACTableText">
    <w:name w:val="PBAC Table Text"/>
    <w:basedOn w:val="Normal"/>
    <w:link w:val="PBACTableTextChar"/>
    <w:qFormat/>
    <w:rsid w:val="006600B2"/>
    <w:pPr>
      <w:spacing w:before="40" w:after="40"/>
    </w:pPr>
    <w:rPr>
      <w:rFonts w:ascii="Sabon" w:hAnsi="Sabon"/>
      <w:szCs w:val="20"/>
      <w:lang w:val="en-US" w:eastAsia="en-US"/>
    </w:rPr>
  </w:style>
  <w:style w:type="character" w:customStyle="1" w:styleId="PBACTableTextChar">
    <w:name w:val="PBAC Table Text Char"/>
    <w:basedOn w:val="DefaultParagraphFont"/>
    <w:link w:val="PBACTableText"/>
    <w:rsid w:val="006600B2"/>
    <w:rPr>
      <w:rFonts w:ascii="Sabon" w:hAnsi="Sabon"/>
      <w:sz w:val="22"/>
      <w:lang w:val="en-US" w:eastAsia="en-US"/>
    </w:rPr>
  </w:style>
  <w:style w:type="character" w:customStyle="1" w:styleId="Heading4Char">
    <w:name w:val="Heading 4 Char"/>
    <w:basedOn w:val="DefaultParagraphFont"/>
    <w:link w:val="Heading4"/>
    <w:uiPriority w:val="9"/>
    <w:rsid w:val="00525942"/>
    <w:rPr>
      <w:rFonts w:asciiTheme="majorHAnsi" w:eastAsiaTheme="majorEastAsia" w:hAnsiTheme="majorHAnsi" w:cstheme="majorBidi"/>
      <w:i/>
      <w:iCs/>
      <w:color w:val="365F91" w:themeColor="accent1" w:themeShade="BF"/>
      <w:sz w:val="22"/>
      <w:szCs w:val="22"/>
      <w:lang w:eastAsia="en-US"/>
    </w:rPr>
  </w:style>
  <w:style w:type="paragraph" w:styleId="FootnoteText">
    <w:name w:val="footnote text"/>
    <w:basedOn w:val="Normal"/>
    <w:link w:val="FootnoteTextChar"/>
    <w:uiPriority w:val="99"/>
    <w:semiHidden/>
    <w:unhideWhenUsed/>
    <w:rsid w:val="00C64C30"/>
    <w:pPr>
      <w:jc w:val="left"/>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C64C30"/>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C64C30"/>
    <w:rPr>
      <w:vertAlign w:val="superscript"/>
    </w:rPr>
  </w:style>
  <w:style w:type="paragraph" w:styleId="Caption">
    <w:name w:val="caption"/>
    <w:basedOn w:val="Normal"/>
    <w:next w:val="Normal"/>
    <w:unhideWhenUsed/>
    <w:qFormat/>
    <w:rsid w:val="007C7600"/>
    <w:pPr>
      <w:spacing w:after="200"/>
    </w:pPr>
    <w:rPr>
      <w:i/>
      <w:iCs/>
      <w:color w:val="1F497D" w:themeColor="text2"/>
      <w:sz w:val="18"/>
      <w:szCs w:val="18"/>
    </w:rPr>
  </w:style>
  <w:style w:type="paragraph" w:customStyle="1" w:styleId="TableFooter">
    <w:name w:val="Table Footer"/>
    <w:basedOn w:val="Normal"/>
    <w:qFormat/>
    <w:rsid w:val="00CC64EE"/>
    <w:pPr>
      <w:widowControl w:val="0"/>
      <w:snapToGrid w:val="0"/>
    </w:pPr>
    <w:rPr>
      <w:rFonts w:ascii="Arial Narrow" w:hAnsi="Arial Narrow" w:cs="Arial"/>
      <w:sz w:val="18"/>
      <w:szCs w:val="20"/>
      <w:lang w:eastAsia="en-US"/>
    </w:rPr>
  </w:style>
  <w:style w:type="character" w:customStyle="1" w:styleId="TabletextChar">
    <w:name w:val="Table text Char"/>
    <w:link w:val="Tabletext"/>
    <w:locked/>
    <w:rsid w:val="00CC64EE"/>
    <w:rPr>
      <w:rFonts w:ascii="Arial" w:hAnsi="Arial"/>
      <w:lang w:eastAsia="en-US"/>
    </w:rPr>
  </w:style>
  <w:style w:type="character" w:customStyle="1" w:styleId="ListParagraphChar">
    <w:name w:val="List Paragraph Char"/>
    <w:aliases w:val="BulletPoints Char"/>
    <w:basedOn w:val="DefaultParagraphFont"/>
    <w:link w:val="ListParagraph"/>
    <w:uiPriority w:val="72"/>
    <w:locked/>
    <w:rsid w:val="002F49E3"/>
    <w:rPr>
      <w:rFonts w:ascii="Arial" w:hAnsi="Arial"/>
      <w:sz w:val="22"/>
      <w:szCs w:val="24"/>
    </w:rPr>
  </w:style>
  <w:style w:type="table" w:customStyle="1" w:styleId="GridTableLight">
    <w:name w:val="Grid Table Light"/>
    <w:basedOn w:val="TableNormal"/>
    <w:uiPriority w:val="40"/>
    <w:rsid w:val="00C24F8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rsid w:val="00423B66"/>
    <w:rPr>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dNoteBibliographyTitle">
    <w:name w:val="EndNote Bibliography Title"/>
    <w:basedOn w:val="Normal"/>
    <w:link w:val="EndNoteBibliographyTitleChar"/>
    <w:rsid w:val="00004B37"/>
    <w:pPr>
      <w:jc w:val="center"/>
    </w:pPr>
    <w:rPr>
      <w:rFonts w:cs="Arial"/>
      <w:noProof/>
    </w:rPr>
  </w:style>
  <w:style w:type="character" w:customStyle="1" w:styleId="EndNoteBibliographyTitleChar">
    <w:name w:val="EndNote Bibliography Title Char"/>
    <w:basedOn w:val="DefaultParagraphFont"/>
    <w:link w:val="EndNoteBibliographyTitle"/>
    <w:rsid w:val="00004B37"/>
    <w:rPr>
      <w:rFonts w:ascii="Arial" w:hAnsi="Arial" w:cs="Arial"/>
      <w:noProof/>
      <w:sz w:val="22"/>
      <w:szCs w:val="24"/>
    </w:rPr>
  </w:style>
  <w:style w:type="paragraph" w:customStyle="1" w:styleId="EndNoteBibliography">
    <w:name w:val="EndNote Bibliography"/>
    <w:basedOn w:val="Normal"/>
    <w:link w:val="EndNoteBibliographyChar"/>
    <w:rsid w:val="00004B37"/>
    <w:rPr>
      <w:rFonts w:cs="Arial"/>
      <w:noProof/>
    </w:rPr>
  </w:style>
  <w:style w:type="character" w:customStyle="1" w:styleId="EndNoteBibliographyChar">
    <w:name w:val="EndNote Bibliography Char"/>
    <w:basedOn w:val="DefaultParagraphFont"/>
    <w:link w:val="EndNoteBibliography"/>
    <w:rsid w:val="00004B37"/>
    <w:rPr>
      <w:rFonts w:ascii="Arial" w:hAnsi="Arial" w:cs="Arial"/>
      <w:noProof/>
      <w:sz w:val="22"/>
      <w:szCs w:val="24"/>
    </w:rPr>
  </w:style>
  <w:style w:type="paragraph" w:styleId="Revision">
    <w:name w:val="Revision"/>
    <w:hidden/>
    <w:uiPriority w:val="71"/>
    <w:semiHidden/>
    <w:rsid w:val="00357391"/>
    <w:rPr>
      <w:rFonts w:ascii="Arial" w:hAnsi="Arial"/>
      <w:sz w:val="22"/>
      <w:szCs w:val="24"/>
    </w:rPr>
  </w:style>
  <w:style w:type="paragraph" w:customStyle="1" w:styleId="PBACHeading1">
    <w:name w:val="PBAC Heading 1"/>
    <w:basedOn w:val="ListParagraph"/>
    <w:qFormat/>
    <w:rsid w:val="00D17D0A"/>
    <w:pPr>
      <w:spacing w:before="240" w:after="120"/>
      <w:ind w:hanging="720"/>
    </w:pPr>
    <w:rPr>
      <w:rFonts w:ascii="Times New Roman" w:hAnsi="Times New Roman"/>
      <w:b/>
      <w:sz w:val="24"/>
      <w:szCs w:val="22"/>
      <w:lang w:eastAsia="en-US"/>
    </w:rPr>
  </w:style>
  <w:style w:type="character" w:styleId="IntenseReference">
    <w:name w:val="Intense Reference"/>
    <w:basedOn w:val="DefaultParagraphFont"/>
    <w:uiPriority w:val="32"/>
    <w:rsid w:val="00C40A98"/>
    <w:rPr>
      <w:b/>
      <w:bCs/>
      <w:smallCaps/>
      <w:color w:val="C0504D" w:themeColor="accent2"/>
      <w:spacing w:val="5"/>
      <w:u w:val="single"/>
    </w:rPr>
  </w:style>
  <w:style w:type="paragraph" w:styleId="Title">
    <w:name w:val="Title"/>
    <w:basedOn w:val="Heading1"/>
    <w:next w:val="Normal"/>
    <w:link w:val="TitleChar"/>
    <w:qFormat/>
    <w:rsid w:val="00643031"/>
    <w:rPr>
      <w:rFonts w:ascii="Arial Bold" w:eastAsiaTheme="majorEastAsia" w:hAnsi="Arial Bold" w:cstheme="majorBidi"/>
      <w:spacing w:val="5"/>
      <w:kern w:val="28"/>
      <w:sz w:val="28"/>
      <w:szCs w:val="28"/>
    </w:rPr>
  </w:style>
  <w:style w:type="character" w:customStyle="1" w:styleId="TitleChar">
    <w:name w:val="Title Char"/>
    <w:basedOn w:val="DefaultParagraphFont"/>
    <w:link w:val="Title"/>
    <w:rsid w:val="00643031"/>
    <w:rPr>
      <w:rFonts w:ascii="Arial Bold" w:eastAsiaTheme="majorEastAsia" w:hAnsi="Arial Bold" w:cstheme="majorBidi"/>
      <w:b/>
      <w:spacing w:val="5"/>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2293990">
      <w:bodyDiv w:val="1"/>
      <w:marLeft w:val="0"/>
      <w:marRight w:val="0"/>
      <w:marTop w:val="0"/>
      <w:marBottom w:val="0"/>
      <w:divBdr>
        <w:top w:val="none" w:sz="0" w:space="0" w:color="auto"/>
        <w:left w:val="none" w:sz="0" w:space="0" w:color="auto"/>
        <w:bottom w:val="none" w:sz="0" w:space="0" w:color="auto"/>
        <w:right w:val="none" w:sz="0" w:space="0" w:color="auto"/>
      </w:divBdr>
    </w:div>
    <w:div w:id="119567438">
      <w:bodyDiv w:val="1"/>
      <w:marLeft w:val="0"/>
      <w:marRight w:val="0"/>
      <w:marTop w:val="0"/>
      <w:marBottom w:val="0"/>
      <w:divBdr>
        <w:top w:val="none" w:sz="0" w:space="0" w:color="auto"/>
        <w:left w:val="none" w:sz="0" w:space="0" w:color="auto"/>
        <w:bottom w:val="none" w:sz="0" w:space="0" w:color="auto"/>
        <w:right w:val="none" w:sz="0" w:space="0" w:color="auto"/>
      </w:divBdr>
    </w:div>
    <w:div w:id="149831329">
      <w:bodyDiv w:val="1"/>
      <w:marLeft w:val="0"/>
      <w:marRight w:val="0"/>
      <w:marTop w:val="0"/>
      <w:marBottom w:val="0"/>
      <w:divBdr>
        <w:top w:val="none" w:sz="0" w:space="0" w:color="auto"/>
        <w:left w:val="none" w:sz="0" w:space="0" w:color="auto"/>
        <w:bottom w:val="none" w:sz="0" w:space="0" w:color="auto"/>
        <w:right w:val="none" w:sz="0" w:space="0" w:color="auto"/>
      </w:divBdr>
    </w:div>
    <w:div w:id="198930607">
      <w:bodyDiv w:val="1"/>
      <w:marLeft w:val="0"/>
      <w:marRight w:val="0"/>
      <w:marTop w:val="0"/>
      <w:marBottom w:val="0"/>
      <w:divBdr>
        <w:top w:val="none" w:sz="0" w:space="0" w:color="auto"/>
        <w:left w:val="none" w:sz="0" w:space="0" w:color="auto"/>
        <w:bottom w:val="none" w:sz="0" w:space="0" w:color="auto"/>
        <w:right w:val="none" w:sz="0" w:space="0" w:color="auto"/>
      </w:divBdr>
    </w:div>
    <w:div w:id="222102917">
      <w:bodyDiv w:val="1"/>
      <w:marLeft w:val="0"/>
      <w:marRight w:val="0"/>
      <w:marTop w:val="0"/>
      <w:marBottom w:val="0"/>
      <w:divBdr>
        <w:top w:val="none" w:sz="0" w:space="0" w:color="auto"/>
        <w:left w:val="none" w:sz="0" w:space="0" w:color="auto"/>
        <w:bottom w:val="none" w:sz="0" w:space="0" w:color="auto"/>
        <w:right w:val="none" w:sz="0" w:space="0" w:color="auto"/>
      </w:divBdr>
    </w:div>
    <w:div w:id="238371145">
      <w:bodyDiv w:val="1"/>
      <w:marLeft w:val="0"/>
      <w:marRight w:val="0"/>
      <w:marTop w:val="0"/>
      <w:marBottom w:val="0"/>
      <w:divBdr>
        <w:top w:val="none" w:sz="0" w:space="0" w:color="auto"/>
        <w:left w:val="none" w:sz="0" w:space="0" w:color="auto"/>
        <w:bottom w:val="none" w:sz="0" w:space="0" w:color="auto"/>
        <w:right w:val="none" w:sz="0" w:space="0" w:color="auto"/>
      </w:divBdr>
    </w:div>
    <w:div w:id="291207479">
      <w:bodyDiv w:val="1"/>
      <w:marLeft w:val="0"/>
      <w:marRight w:val="0"/>
      <w:marTop w:val="0"/>
      <w:marBottom w:val="0"/>
      <w:divBdr>
        <w:top w:val="none" w:sz="0" w:space="0" w:color="auto"/>
        <w:left w:val="none" w:sz="0" w:space="0" w:color="auto"/>
        <w:bottom w:val="none" w:sz="0" w:space="0" w:color="auto"/>
        <w:right w:val="none" w:sz="0" w:space="0" w:color="auto"/>
      </w:divBdr>
    </w:div>
    <w:div w:id="410351926">
      <w:bodyDiv w:val="1"/>
      <w:marLeft w:val="0"/>
      <w:marRight w:val="0"/>
      <w:marTop w:val="0"/>
      <w:marBottom w:val="0"/>
      <w:divBdr>
        <w:top w:val="none" w:sz="0" w:space="0" w:color="auto"/>
        <w:left w:val="none" w:sz="0" w:space="0" w:color="auto"/>
        <w:bottom w:val="none" w:sz="0" w:space="0" w:color="auto"/>
        <w:right w:val="none" w:sz="0" w:space="0" w:color="auto"/>
      </w:divBdr>
    </w:div>
    <w:div w:id="58071972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62325570">
      <w:bodyDiv w:val="1"/>
      <w:marLeft w:val="0"/>
      <w:marRight w:val="0"/>
      <w:marTop w:val="0"/>
      <w:marBottom w:val="0"/>
      <w:divBdr>
        <w:top w:val="none" w:sz="0" w:space="0" w:color="auto"/>
        <w:left w:val="none" w:sz="0" w:space="0" w:color="auto"/>
        <w:bottom w:val="none" w:sz="0" w:space="0" w:color="auto"/>
        <w:right w:val="none" w:sz="0" w:space="0" w:color="auto"/>
      </w:divBdr>
    </w:div>
    <w:div w:id="873152808">
      <w:bodyDiv w:val="1"/>
      <w:marLeft w:val="0"/>
      <w:marRight w:val="0"/>
      <w:marTop w:val="0"/>
      <w:marBottom w:val="0"/>
      <w:divBdr>
        <w:top w:val="none" w:sz="0" w:space="0" w:color="auto"/>
        <w:left w:val="none" w:sz="0" w:space="0" w:color="auto"/>
        <w:bottom w:val="none" w:sz="0" w:space="0" w:color="auto"/>
        <w:right w:val="none" w:sz="0" w:space="0" w:color="auto"/>
      </w:divBdr>
    </w:div>
    <w:div w:id="969898668">
      <w:bodyDiv w:val="1"/>
      <w:marLeft w:val="0"/>
      <w:marRight w:val="0"/>
      <w:marTop w:val="0"/>
      <w:marBottom w:val="0"/>
      <w:divBdr>
        <w:top w:val="none" w:sz="0" w:space="0" w:color="auto"/>
        <w:left w:val="none" w:sz="0" w:space="0" w:color="auto"/>
        <w:bottom w:val="none" w:sz="0" w:space="0" w:color="auto"/>
        <w:right w:val="none" w:sz="0" w:space="0" w:color="auto"/>
      </w:divBdr>
    </w:div>
    <w:div w:id="1176847703">
      <w:bodyDiv w:val="1"/>
      <w:marLeft w:val="0"/>
      <w:marRight w:val="0"/>
      <w:marTop w:val="0"/>
      <w:marBottom w:val="0"/>
      <w:divBdr>
        <w:top w:val="none" w:sz="0" w:space="0" w:color="auto"/>
        <w:left w:val="none" w:sz="0" w:space="0" w:color="auto"/>
        <w:bottom w:val="none" w:sz="0" w:space="0" w:color="auto"/>
        <w:right w:val="none" w:sz="0" w:space="0" w:color="auto"/>
      </w:divBdr>
    </w:div>
    <w:div w:id="1283263818">
      <w:bodyDiv w:val="1"/>
      <w:marLeft w:val="0"/>
      <w:marRight w:val="0"/>
      <w:marTop w:val="0"/>
      <w:marBottom w:val="0"/>
      <w:divBdr>
        <w:top w:val="none" w:sz="0" w:space="0" w:color="auto"/>
        <w:left w:val="none" w:sz="0" w:space="0" w:color="auto"/>
        <w:bottom w:val="none" w:sz="0" w:space="0" w:color="auto"/>
        <w:right w:val="none" w:sz="0" w:space="0" w:color="auto"/>
      </w:divBdr>
    </w:div>
    <w:div w:id="1294947836">
      <w:bodyDiv w:val="1"/>
      <w:marLeft w:val="0"/>
      <w:marRight w:val="0"/>
      <w:marTop w:val="0"/>
      <w:marBottom w:val="0"/>
      <w:divBdr>
        <w:top w:val="none" w:sz="0" w:space="0" w:color="auto"/>
        <w:left w:val="none" w:sz="0" w:space="0" w:color="auto"/>
        <w:bottom w:val="none" w:sz="0" w:space="0" w:color="auto"/>
        <w:right w:val="none" w:sz="0" w:space="0" w:color="auto"/>
      </w:divBdr>
    </w:div>
    <w:div w:id="1317608230">
      <w:bodyDiv w:val="1"/>
      <w:marLeft w:val="0"/>
      <w:marRight w:val="0"/>
      <w:marTop w:val="0"/>
      <w:marBottom w:val="0"/>
      <w:divBdr>
        <w:top w:val="none" w:sz="0" w:space="0" w:color="auto"/>
        <w:left w:val="none" w:sz="0" w:space="0" w:color="auto"/>
        <w:bottom w:val="none" w:sz="0" w:space="0" w:color="auto"/>
        <w:right w:val="none" w:sz="0" w:space="0" w:color="auto"/>
      </w:divBdr>
    </w:div>
    <w:div w:id="1590307537">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24328607">
      <w:bodyDiv w:val="1"/>
      <w:marLeft w:val="0"/>
      <w:marRight w:val="0"/>
      <w:marTop w:val="0"/>
      <w:marBottom w:val="0"/>
      <w:divBdr>
        <w:top w:val="none" w:sz="0" w:space="0" w:color="auto"/>
        <w:left w:val="none" w:sz="0" w:space="0" w:color="auto"/>
        <w:bottom w:val="none" w:sz="0" w:space="0" w:color="auto"/>
        <w:right w:val="none" w:sz="0" w:space="0" w:color="auto"/>
      </w:divBdr>
    </w:div>
    <w:div w:id="1740324131">
      <w:bodyDiv w:val="1"/>
      <w:marLeft w:val="0"/>
      <w:marRight w:val="0"/>
      <w:marTop w:val="0"/>
      <w:marBottom w:val="0"/>
      <w:divBdr>
        <w:top w:val="none" w:sz="0" w:space="0" w:color="auto"/>
        <w:left w:val="none" w:sz="0" w:space="0" w:color="auto"/>
        <w:bottom w:val="none" w:sz="0" w:space="0" w:color="auto"/>
        <w:right w:val="none" w:sz="0" w:space="0" w:color="auto"/>
      </w:divBdr>
    </w:div>
    <w:div w:id="1829127350">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6062407">
      <w:bodyDiv w:val="1"/>
      <w:marLeft w:val="0"/>
      <w:marRight w:val="0"/>
      <w:marTop w:val="0"/>
      <w:marBottom w:val="0"/>
      <w:divBdr>
        <w:top w:val="none" w:sz="0" w:space="0" w:color="auto"/>
        <w:left w:val="none" w:sz="0" w:space="0" w:color="auto"/>
        <w:bottom w:val="none" w:sz="0" w:space="0" w:color="auto"/>
        <w:right w:val="none" w:sz="0" w:space="0" w:color="auto"/>
      </w:divBdr>
    </w:div>
    <w:div w:id="203870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23"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D5421-5A7D-4435-A240-7A340FCD8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4792</Words>
  <Characters>27815</Characters>
  <Application>Microsoft Office Word</Application>
  <DocSecurity>0</DocSecurity>
  <Lines>1264</Lines>
  <Paragraphs>959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2016-10-06T03:03:00Z</dcterms:created>
  <dcterms:modified xsi:type="dcterms:W3CDTF">2016-10-13T00:27:00Z</dcterms:modified>
</cp:coreProperties>
</file>