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D1" w:rsidRDefault="004078D1" w:rsidP="004078D1">
      <w:pPr>
        <w:jc w:val="both"/>
        <w:rPr>
          <w:rFonts w:ascii="Arial" w:hAnsi="Arial" w:cs="Arial"/>
          <w:sz w:val="22"/>
          <w:szCs w:val="22"/>
        </w:rPr>
      </w:pPr>
    </w:p>
    <w:p w:rsidR="003B4E4E" w:rsidRPr="00BB644D" w:rsidRDefault="003662FE" w:rsidP="00BB644D">
      <w:pPr>
        <w:pStyle w:val="Title"/>
      </w:pPr>
      <w:r>
        <w:t>5.23</w:t>
      </w:r>
      <w:r w:rsidR="003B4E4E" w:rsidRPr="00BB644D">
        <w:tab/>
      </w:r>
      <w:r w:rsidRPr="00BB644D">
        <w:t>RUXOLITINIB</w:t>
      </w:r>
    </w:p>
    <w:p w:rsidR="003B4E4E" w:rsidRPr="00BB644D" w:rsidRDefault="003662FE" w:rsidP="00BB644D">
      <w:pPr>
        <w:pStyle w:val="Title"/>
        <w:ind w:left="709"/>
      </w:pPr>
      <w:r w:rsidRPr="00BB644D">
        <w:t>Tablet</w:t>
      </w:r>
      <w:r w:rsidR="003B4E4E" w:rsidRPr="00BB644D">
        <w:t xml:space="preserve">, </w:t>
      </w:r>
      <w:r w:rsidRPr="00BB644D">
        <w:t>10 mg</w:t>
      </w:r>
      <w:r w:rsidR="003B4E4E" w:rsidRPr="00BB644D">
        <w:t>,</w:t>
      </w:r>
      <w:r w:rsidR="0053749C" w:rsidRPr="00BB644D">
        <w:t xml:space="preserve"> 56</w:t>
      </w:r>
    </w:p>
    <w:p w:rsidR="006728B5" w:rsidRPr="00BB644D" w:rsidRDefault="003662FE" w:rsidP="00BB644D">
      <w:pPr>
        <w:pStyle w:val="Title"/>
        <w:ind w:left="709"/>
      </w:pPr>
      <w:proofErr w:type="spellStart"/>
      <w:r w:rsidRPr="00BB644D">
        <w:t>Jakavi</w:t>
      </w:r>
      <w:proofErr w:type="spellEnd"/>
      <w:r w:rsidR="003B4E4E" w:rsidRPr="00BB644D">
        <w:t xml:space="preserve">®, </w:t>
      </w:r>
      <w:r w:rsidRPr="00BB644D">
        <w:t>Novartis Pharmaceuticals Australia Pty Ltd</w:t>
      </w:r>
    </w:p>
    <w:p w:rsidR="006728B5" w:rsidRDefault="006728B5" w:rsidP="006728B5">
      <w:pPr>
        <w:widowControl w:val="0"/>
        <w:tabs>
          <w:tab w:val="right" w:pos="8669"/>
        </w:tabs>
        <w:rPr>
          <w:rFonts w:ascii="Arial" w:hAnsi="Arial" w:cs="Arial"/>
          <w:b/>
        </w:rPr>
      </w:pPr>
    </w:p>
    <w:p w:rsidR="006457A7" w:rsidRPr="00BB644D" w:rsidRDefault="006457A7" w:rsidP="00BB644D">
      <w:pPr>
        <w:pStyle w:val="Heading1"/>
      </w:pPr>
      <w:r w:rsidRPr="00BB644D">
        <w:t xml:space="preserve">Purpose of </w:t>
      </w:r>
      <w:r w:rsidR="00277907" w:rsidRPr="00BB644D">
        <w:t>A</w:t>
      </w:r>
      <w:r w:rsidRPr="00BB644D">
        <w:t>pplication</w:t>
      </w:r>
    </w:p>
    <w:p w:rsidR="006457A7" w:rsidRDefault="006457A7" w:rsidP="00277907">
      <w:pPr>
        <w:rPr>
          <w:snapToGrid w:val="0"/>
          <w:lang w:eastAsia="en-US"/>
        </w:rPr>
      </w:pPr>
    </w:p>
    <w:p w:rsidR="00051E48" w:rsidRPr="00035A22" w:rsidRDefault="00D72C09" w:rsidP="00035A22">
      <w:pPr>
        <w:numPr>
          <w:ilvl w:val="1"/>
          <w:numId w:val="4"/>
        </w:numPr>
        <w:contextualSpacing/>
        <w:rPr>
          <w:rFonts w:ascii="Arial" w:hAnsi="Arial" w:cs="Arial"/>
          <w:snapToGrid w:val="0"/>
          <w:sz w:val="22"/>
          <w:szCs w:val="22"/>
          <w:lang w:eastAsia="en-US"/>
        </w:rPr>
      </w:pPr>
      <w:r w:rsidRPr="00035A22">
        <w:rPr>
          <w:rFonts w:ascii="Arial" w:hAnsi="Arial" w:cs="Arial"/>
          <w:sz w:val="22"/>
          <w:szCs w:val="22"/>
        </w:rPr>
        <w:t>The minor submission re</w:t>
      </w:r>
      <w:r w:rsidR="00277907" w:rsidRPr="00035A22">
        <w:rPr>
          <w:rFonts w:ascii="Arial" w:hAnsi="Arial" w:cs="Arial"/>
          <w:sz w:val="22"/>
          <w:szCs w:val="22"/>
        </w:rPr>
        <w:t>quested</w:t>
      </w:r>
      <w:r w:rsidRPr="00035A22">
        <w:rPr>
          <w:rFonts w:ascii="Arial" w:hAnsi="Arial" w:cs="Arial"/>
          <w:sz w:val="22"/>
          <w:szCs w:val="22"/>
        </w:rPr>
        <w:t xml:space="preserve"> a</w:t>
      </w:r>
      <w:r w:rsidR="003E7A7E" w:rsidRPr="00035A22">
        <w:rPr>
          <w:rFonts w:ascii="Arial" w:hAnsi="Arial" w:cs="Arial"/>
          <w:sz w:val="22"/>
          <w:szCs w:val="22"/>
        </w:rPr>
        <w:t xml:space="preserve"> new </w:t>
      </w:r>
      <w:r w:rsidRPr="00035A22">
        <w:rPr>
          <w:rFonts w:ascii="Arial" w:hAnsi="Arial" w:cs="Arial"/>
          <w:sz w:val="22"/>
          <w:szCs w:val="22"/>
        </w:rPr>
        <w:t xml:space="preserve">Authority Required </w:t>
      </w:r>
      <w:r w:rsidR="00284473" w:rsidRPr="00035A22">
        <w:rPr>
          <w:rFonts w:ascii="Arial" w:hAnsi="Arial" w:cs="Arial"/>
          <w:sz w:val="22"/>
          <w:szCs w:val="22"/>
        </w:rPr>
        <w:t xml:space="preserve">PBS </w:t>
      </w:r>
      <w:r w:rsidRPr="00035A22">
        <w:rPr>
          <w:rFonts w:ascii="Arial" w:hAnsi="Arial" w:cs="Arial"/>
          <w:sz w:val="22"/>
          <w:szCs w:val="22"/>
        </w:rPr>
        <w:t xml:space="preserve">listing </w:t>
      </w:r>
      <w:r w:rsidR="003E7A7E" w:rsidRPr="00035A22">
        <w:rPr>
          <w:rFonts w:ascii="Arial" w:hAnsi="Arial" w:cs="Arial"/>
          <w:sz w:val="22"/>
          <w:szCs w:val="22"/>
        </w:rPr>
        <w:t xml:space="preserve">of </w:t>
      </w:r>
      <w:r w:rsidRPr="00035A22">
        <w:rPr>
          <w:rFonts w:ascii="Arial" w:hAnsi="Arial" w:cs="Arial"/>
          <w:sz w:val="22"/>
          <w:szCs w:val="22"/>
        </w:rPr>
        <w:t>ruxolitinib 10 mg</w:t>
      </w:r>
      <w:r w:rsidR="00051E48" w:rsidRPr="00035A22">
        <w:rPr>
          <w:rFonts w:ascii="Arial" w:hAnsi="Arial" w:cs="Arial"/>
          <w:sz w:val="22"/>
          <w:szCs w:val="22"/>
        </w:rPr>
        <w:t xml:space="preserve"> strength</w:t>
      </w:r>
      <w:r w:rsidR="00366B47" w:rsidRPr="00035A22">
        <w:rPr>
          <w:rFonts w:ascii="Arial" w:hAnsi="Arial" w:cs="Arial"/>
          <w:sz w:val="22"/>
          <w:szCs w:val="22"/>
        </w:rPr>
        <w:t xml:space="preserve"> for first-line or second-line management of myelofibrosis in patients satisfying certain clinical criteria</w:t>
      </w:r>
      <w:r w:rsidRPr="00035A22">
        <w:rPr>
          <w:rFonts w:ascii="Arial" w:hAnsi="Arial" w:cs="Arial"/>
          <w:sz w:val="22"/>
          <w:szCs w:val="22"/>
        </w:rPr>
        <w:t>.</w:t>
      </w:r>
    </w:p>
    <w:p w:rsidR="006457A7" w:rsidRDefault="006457A7" w:rsidP="006457A7">
      <w:pPr>
        <w:rPr>
          <w:rFonts w:ascii="Arial" w:hAnsi="Arial" w:cs="Arial"/>
          <w:b/>
          <w:sz w:val="22"/>
          <w:szCs w:val="22"/>
        </w:rPr>
      </w:pPr>
    </w:p>
    <w:p w:rsidR="000B452B" w:rsidRPr="00596402" w:rsidRDefault="000B452B" w:rsidP="000B452B">
      <w:pPr>
        <w:rPr>
          <w:rFonts w:ascii="Arial" w:hAnsi="Arial" w:cs="Arial"/>
          <w:b/>
          <w:sz w:val="22"/>
          <w:szCs w:val="22"/>
        </w:rPr>
      </w:pPr>
    </w:p>
    <w:p w:rsidR="000B452B" w:rsidRPr="00277907" w:rsidRDefault="000B452B" w:rsidP="00BB644D">
      <w:pPr>
        <w:pStyle w:val="Heading1"/>
      </w:pPr>
      <w:r>
        <w:t>Requested Listing</w:t>
      </w:r>
    </w:p>
    <w:p w:rsidR="000B452B" w:rsidRDefault="000B452B" w:rsidP="00006A60"/>
    <w:p w:rsidR="000B452B" w:rsidRPr="00C05B8E" w:rsidRDefault="000B452B" w:rsidP="00BB644D">
      <w:pPr>
        <w:pStyle w:val="ListParagraph"/>
      </w:pPr>
      <w:r>
        <w:t xml:space="preserve">The submission did not request any changes be made to the current PBS restriction wording for </w:t>
      </w:r>
      <w:r>
        <w:rPr>
          <w:szCs w:val="22"/>
        </w:rPr>
        <w:t xml:space="preserve">ruxolitinib, i.e. proposed </w:t>
      </w:r>
      <w:r>
        <w:t>PBS listing of ruxolitinib 10 mg would be in line with the current restrictions for ruxolitinib 5, 15 and 20 mg on the PBS</w:t>
      </w:r>
      <w:r>
        <w:rPr>
          <w:szCs w:val="22"/>
        </w:rPr>
        <w:t xml:space="preserve">. </w:t>
      </w:r>
    </w:p>
    <w:p w:rsidR="00C05B8E" w:rsidRPr="00C05B8E" w:rsidRDefault="00C05B8E" w:rsidP="00C05B8E">
      <w:pPr>
        <w:rPr>
          <w:lang w:eastAsia="en-US"/>
        </w:rPr>
      </w:pPr>
    </w:p>
    <w:p w:rsidR="00C05B8E" w:rsidRPr="00745C01" w:rsidRDefault="00C05B8E" w:rsidP="00BB644D">
      <w:pPr>
        <w:pStyle w:val="ListParagraph"/>
      </w:pPr>
      <w:r>
        <w:t xml:space="preserve">The </w:t>
      </w:r>
      <w:r w:rsidR="00043DE8">
        <w:t>Pre-PBAC response</w:t>
      </w:r>
      <w:r w:rsidR="00977BBF">
        <w:t xml:space="preserve"> (on page 1)</w:t>
      </w:r>
      <w:r>
        <w:t xml:space="preserve"> </w:t>
      </w:r>
      <w:r w:rsidR="00043DE8">
        <w:t>noted</w:t>
      </w:r>
      <w:r>
        <w:t xml:space="preserve"> that </w:t>
      </w:r>
      <w:r w:rsidRPr="00C05B8E">
        <w:t xml:space="preserve">all patients previously prescribed ruxolitinib through the compassionate use program have now transitioned to </w:t>
      </w:r>
      <w:r>
        <w:t xml:space="preserve">the </w:t>
      </w:r>
      <w:r w:rsidRPr="00C05B8E">
        <w:t xml:space="preserve">PBS </w:t>
      </w:r>
      <w:r>
        <w:t>through</w:t>
      </w:r>
      <w:r w:rsidRPr="00C05B8E">
        <w:t xml:space="preserve"> the existing grandfathering </w:t>
      </w:r>
      <w:r>
        <w:t xml:space="preserve">restriction </w:t>
      </w:r>
      <w:r w:rsidR="00043DE8">
        <w:t>since</w:t>
      </w:r>
      <w:r>
        <w:t xml:space="preserve"> the PBS listing of </w:t>
      </w:r>
      <w:proofErr w:type="spellStart"/>
      <w:r>
        <w:t>ruxolitinib</w:t>
      </w:r>
      <w:proofErr w:type="spellEnd"/>
      <w:r w:rsidR="00B81FA2">
        <w:t xml:space="preserve"> </w:t>
      </w:r>
      <w:r>
        <w:t>5</w:t>
      </w:r>
      <w:r w:rsidR="00702EDC">
        <w:t> </w:t>
      </w:r>
      <w:r w:rsidR="00043DE8">
        <w:t>mg</w:t>
      </w:r>
      <w:r>
        <w:t>, 15</w:t>
      </w:r>
      <w:r w:rsidR="00043DE8">
        <w:t xml:space="preserve"> mg</w:t>
      </w:r>
      <w:r>
        <w:t xml:space="preserve"> and 20 mg. </w:t>
      </w:r>
    </w:p>
    <w:p w:rsidR="004078D1" w:rsidRDefault="004078D1" w:rsidP="004078D1">
      <w:pPr>
        <w:pStyle w:val="PBACheading1"/>
        <w:rPr>
          <w:i/>
        </w:rPr>
      </w:pPr>
    </w:p>
    <w:p w:rsidR="000B452B" w:rsidRPr="000C7026" w:rsidRDefault="00935A80" w:rsidP="004078D1">
      <w:pPr>
        <w:pStyle w:val="PBACheading1"/>
        <w:ind w:firstLine="0"/>
        <w:rPr>
          <w:i/>
        </w:rPr>
      </w:pPr>
      <w:r w:rsidRPr="003F09C3">
        <w:rPr>
          <w:i/>
        </w:rPr>
        <w:t>For more detail on PBAC’s view see section 5 ‘PBAC outcome’</w:t>
      </w:r>
    </w:p>
    <w:p w:rsidR="000B452B" w:rsidRDefault="000B452B" w:rsidP="000B452B">
      <w:pPr>
        <w:pStyle w:val="PBACheading1"/>
        <w:ind w:firstLine="0"/>
        <w:rPr>
          <w:b/>
          <w:i/>
        </w:rPr>
      </w:pPr>
    </w:p>
    <w:p w:rsidR="00CD62E0" w:rsidRPr="000B452B" w:rsidRDefault="00CD62E0" w:rsidP="000B452B">
      <w:pPr>
        <w:pStyle w:val="PBACheading1"/>
        <w:ind w:firstLine="0"/>
        <w:rPr>
          <w:b/>
          <w:i/>
        </w:rPr>
      </w:pPr>
    </w:p>
    <w:p w:rsidR="00527F05" w:rsidRPr="006457A7" w:rsidRDefault="00527F05" w:rsidP="00BB644D">
      <w:pPr>
        <w:pStyle w:val="Heading1"/>
      </w:pPr>
      <w:r w:rsidRPr="00CE680F">
        <w:t>Background</w:t>
      </w:r>
    </w:p>
    <w:p w:rsidR="00527F05" w:rsidRPr="006457A7" w:rsidRDefault="00527F05" w:rsidP="00527F05">
      <w:pPr>
        <w:jc w:val="both"/>
        <w:rPr>
          <w:rFonts w:ascii="Arial" w:hAnsi="Arial"/>
          <w:b/>
          <w:sz w:val="22"/>
          <w:szCs w:val="22"/>
        </w:rPr>
      </w:pPr>
    </w:p>
    <w:p w:rsidR="00527F05" w:rsidRDefault="00527F05" w:rsidP="00BB644D">
      <w:pPr>
        <w:pStyle w:val="ListParagraph"/>
      </w:pPr>
      <w:r w:rsidRPr="004F02CC">
        <w:t xml:space="preserve">Ruxolitinib </w:t>
      </w:r>
      <w:r>
        <w:t xml:space="preserve">5 mg, 15 mg and 20 mg </w:t>
      </w:r>
      <w:r w:rsidRPr="004F02CC">
        <w:t>w</w:t>
      </w:r>
      <w:r>
        <w:t>ere</w:t>
      </w:r>
      <w:r w:rsidRPr="004F02CC">
        <w:t xml:space="preserve"> TGA registered on 5 November 2013 for treatment of disease-related splenomegaly or symptoms in patients with primary myelofibrosis, post-polycythemia vera myelofibrosis or post-essential thrombocythemia myelofibrosis</w:t>
      </w:r>
      <w:r>
        <w:t xml:space="preserve">. </w:t>
      </w:r>
    </w:p>
    <w:p w:rsidR="00527F05" w:rsidRPr="00527F05" w:rsidRDefault="00527F05" w:rsidP="00527F05">
      <w:pPr>
        <w:rPr>
          <w:lang w:eastAsia="en-US"/>
        </w:rPr>
      </w:pPr>
    </w:p>
    <w:p w:rsidR="00527F05" w:rsidRDefault="00527F05" w:rsidP="00BB644D">
      <w:pPr>
        <w:pStyle w:val="ListParagraph"/>
      </w:pPr>
      <w:r>
        <w:t xml:space="preserve">In December 2015, a new strength of ruxolitinib (10 mg) was TGA registered </w:t>
      </w:r>
      <w:r w:rsidRPr="004F02CC">
        <w:t>for treatment of disease-related splenomegaly or symptoms in patients with primary myelofibrosis, post-polycythemia vera myelofibrosis or post-essential thrombocythemia myelofibrosis</w:t>
      </w:r>
      <w:r>
        <w:t xml:space="preserve">. </w:t>
      </w:r>
    </w:p>
    <w:p w:rsidR="00527F05" w:rsidRPr="00527F05" w:rsidRDefault="00527F05" w:rsidP="00006A60">
      <w:pPr>
        <w:rPr>
          <w:snapToGrid w:val="0"/>
        </w:rPr>
      </w:pPr>
    </w:p>
    <w:p w:rsidR="00527F05" w:rsidRDefault="00527F05" w:rsidP="00BB644D">
      <w:pPr>
        <w:pStyle w:val="ListParagraph"/>
      </w:pPr>
      <w:r>
        <w:t>Further, in December 2015 ruxolitinib 5 mg, 10 mg, 15 mg and 20 mg were TGA registered for treatment of adult patients with polycythaemia vera who are resistant to or intolerant of hydroxyurea.</w:t>
      </w:r>
    </w:p>
    <w:p w:rsidR="00527F05" w:rsidRDefault="00527F05" w:rsidP="00006A60">
      <w:pPr>
        <w:rPr>
          <w:snapToGrid w:val="0"/>
        </w:rPr>
      </w:pPr>
    </w:p>
    <w:p w:rsidR="00527F05" w:rsidRDefault="00527F05" w:rsidP="00527F05">
      <w:pPr>
        <w:widowControl w:val="0"/>
        <w:numPr>
          <w:ilvl w:val="1"/>
          <w:numId w:val="4"/>
        </w:numPr>
        <w:contextualSpacing/>
        <w:jc w:val="both"/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Pr="000B6978">
        <w:rPr>
          <w:rFonts w:ascii="Arial" w:hAnsi="Arial" w:cs="Arial"/>
          <w:snapToGrid w:val="0"/>
          <w:sz w:val="22"/>
          <w:szCs w:val="22"/>
          <w:lang w:eastAsia="en-US"/>
        </w:rPr>
        <w:t>uxolitinib has previously been considered by the PBAC t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hree times, in July 2013, </w:t>
      </w:r>
      <w:r w:rsidRPr="000B6978">
        <w:rPr>
          <w:rFonts w:ascii="Arial" w:hAnsi="Arial" w:cs="Arial"/>
          <w:snapToGrid w:val="0"/>
          <w:sz w:val="22"/>
          <w:szCs w:val="22"/>
          <w:lang w:eastAsia="en-US"/>
        </w:rPr>
        <w:t>July 2014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 and March 2015</w:t>
      </w:r>
      <w:r w:rsidRPr="000B6978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p w:rsidR="00527F05" w:rsidRDefault="00527F05" w:rsidP="00006A60">
      <w:pPr>
        <w:rPr>
          <w:snapToGrid w:val="0"/>
        </w:rPr>
      </w:pPr>
    </w:p>
    <w:p w:rsidR="00687141" w:rsidRDefault="00687141" w:rsidP="00BB644D">
      <w:pPr>
        <w:pStyle w:val="ListParagraph"/>
      </w:pPr>
      <w:r>
        <w:t>At its March 2015 meeting, t</w:t>
      </w:r>
      <w:r w:rsidRPr="00687141">
        <w:t>he PBAC recommended the listing of ruxolitinib for the treatment of myelofibrosis</w:t>
      </w:r>
      <w:r>
        <w:t>.</w:t>
      </w:r>
    </w:p>
    <w:p w:rsidR="00687141" w:rsidRPr="00687141" w:rsidRDefault="00687141" w:rsidP="00687141">
      <w:pPr>
        <w:rPr>
          <w:lang w:eastAsia="en-US"/>
        </w:rPr>
      </w:pPr>
    </w:p>
    <w:p w:rsidR="00515DF6" w:rsidRPr="000C7026" w:rsidRDefault="00527F05" w:rsidP="00BB644D">
      <w:pPr>
        <w:pStyle w:val="ListParagraph"/>
        <w:rPr>
          <w:b/>
          <w:szCs w:val="22"/>
        </w:rPr>
      </w:pPr>
      <w:r w:rsidRPr="004F02CC">
        <w:lastRenderedPageBreak/>
        <w:t xml:space="preserve">Ruxolitinib </w:t>
      </w:r>
      <w:r>
        <w:t xml:space="preserve">5 mg, 15 mg and 20 mg were </w:t>
      </w:r>
      <w:r w:rsidRPr="004F02CC">
        <w:t xml:space="preserve">listed on the </w:t>
      </w:r>
      <w:r w:rsidR="00F23083">
        <w:t xml:space="preserve">PBS General schedule </w:t>
      </w:r>
      <w:r w:rsidRPr="004F02CC">
        <w:t xml:space="preserve">on </w:t>
      </w:r>
      <w:r w:rsidRPr="000C7026">
        <w:t>1</w:t>
      </w:r>
      <w:r w:rsidR="00702EDC">
        <w:t> </w:t>
      </w:r>
      <w:r w:rsidRPr="000C7026">
        <w:t>February 2016.</w:t>
      </w:r>
    </w:p>
    <w:p w:rsidR="0094111A" w:rsidRDefault="0094111A" w:rsidP="00006A60">
      <w:pPr>
        <w:rPr>
          <w:snapToGrid w:val="0"/>
        </w:rPr>
      </w:pPr>
      <w:bookmarkStart w:id="0" w:name="_GoBack"/>
      <w:bookmarkEnd w:id="0"/>
    </w:p>
    <w:p w:rsidR="000B452B" w:rsidRPr="00BB644D" w:rsidRDefault="000B452B" w:rsidP="00BB644D">
      <w:pPr>
        <w:pStyle w:val="Heading1"/>
      </w:pPr>
      <w:r w:rsidRPr="00BB644D">
        <w:t>Consideration of the evidence</w:t>
      </w:r>
    </w:p>
    <w:p w:rsidR="009B5542" w:rsidRDefault="009B5542" w:rsidP="00BB644D">
      <w:pPr>
        <w:rPr>
          <w:lang w:eastAsia="en-US"/>
        </w:rPr>
      </w:pPr>
    </w:p>
    <w:p w:rsidR="009B5542" w:rsidRPr="00BB644D" w:rsidRDefault="009B5542" w:rsidP="00BB644D">
      <w:pPr>
        <w:pStyle w:val="Heading2"/>
      </w:pPr>
      <w:r w:rsidRPr="00BB644D">
        <w:t>Sponsor hearing</w:t>
      </w:r>
    </w:p>
    <w:p w:rsidR="009B5542" w:rsidRDefault="009B5542" w:rsidP="00BB644D">
      <w:pPr>
        <w:rPr>
          <w:lang w:eastAsia="en-US"/>
        </w:rPr>
      </w:pPr>
    </w:p>
    <w:p w:rsidR="009B5542" w:rsidRPr="009B5542" w:rsidRDefault="009B5542" w:rsidP="00BB644D">
      <w:pPr>
        <w:pStyle w:val="ListParagraph"/>
      </w:pPr>
      <w:r w:rsidRPr="009B5542">
        <w:t>There was no hearing for this item as it was a minor submission</w:t>
      </w:r>
      <w:r w:rsidR="00331FF8">
        <w:t>.</w:t>
      </w:r>
    </w:p>
    <w:p w:rsidR="009B5542" w:rsidRDefault="009B5542" w:rsidP="00BB644D"/>
    <w:p w:rsidR="009B5542" w:rsidRDefault="009B5542" w:rsidP="00BB644D">
      <w:pPr>
        <w:pStyle w:val="Heading2"/>
      </w:pPr>
      <w:r w:rsidRPr="009B5542">
        <w:t>Consumer comments</w:t>
      </w:r>
    </w:p>
    <w:p w:rsidR="009B5542" w:rsidRDefault="009B5542" w:rsidP="00BB644D">
      <w:pPr>
        <w:rPr>
          <w:lang w:eastAsia="en-US"/>
        </w:rPr>
      </w:pPr>
    </w:p>
    <w:p w:rsidR="009B5542" w:rsidRDefault="009B5542" w:rsidP="00BB644D">
      <w:pPr>
        <w:pStyle w:val="ListParagraph"/>
      </w:pPr>
      <w:r w:rsidRPr="009B5542">
        <w:t>The PBAC noted that no consumer comments were received for this item</w:t>
      </w:r>
      <w:r w:rsidR="00331FF8">
        <w:t>.</w:t>
      </w:r>
    </w:p>
    <w:p w:rsidR="005C5684" w:rsidRDefault="005C5684" w:rsidP="00BB644D"/>
    <w:p w:rsidR="005C5684" w:rsidRPr="005C5684" w:rsidRDefault="005C5684" w:rsidP="00BB644D">
      <w:pPr>
        <w:pStyle w:val="Heading2"/>
      </w:pPr>
      <w:r w:rsidRPr="005C5684">
        <w:t>Clinical trails</w:t>
      </w:r>
    </w:p>
    <w:p w:rsidR="009B5542" w:rsidRDefault="009B5542" w:rsidP="00BB644D"/>
    <w:p w:rsidR="005C5684" w:rsidRPr="005C5684" w:rsidRDefault="005C5684" w:rsidP="00BB644D">
      <w:pPr>
        <w:pStyle w:val="ListParagraph"/>
      </w:pPr>
      <w:r w:rsidRPr="005C5684">
        <w:t>As a minor submission, no clinical trials were presented in the submission.</w:t>
      </w:r>
    </w:p>
    <w:p w:rsidR="005C5684" w:rsidRPr="005C5684" w:rsidRDefault="005C5684" w:rsidP="005C5684">
      <w:pPr>
        <w:rPr>
          <w:lang w:eastAsia="en-US"/>
        </w:rPr>
      </w:pPr>
      <w:r>
        <w:rPr>
          <w:lang w:eastAsia="en-US"/>
        </w:rPr>
        <w:tab/>
      </w:r>
    </w:p>
    <w:p w:rsidR="009B5542" w:rsidRDefault="0053749C" w:rsidP="00BB644D">
      <w:pPr>
        <w:pStyle w:val="Heading2"/>
      </w:pPr>
      <w:r>
        <w:t>Estimated PBS usage and financial implications</w:t>
      </w:r>
    </w:p>
    <w:p w:rsidR="006B67F0" w:rsidRDefault="006B67F0" w:rsidP="006B67F0">
      <w:pPr>
        <w:rPr>
          <w:rFonts w:ascii="Arial" w:hAnsi="Arial" w:cs="Arial"/>
          <w:snapToGrid w:val="0"/>
          <w:sz w:val="22"/>
          <w:lang w:eastAsia="en-US"/>
        </w:rPr>
      </w:pPr>
    </w:p>
    <w:p w:rsidR="006B67F0" w:rsidRPr="006B67F0" w:rsidRDefault="00ED5045" w:rsidP="003F09C3">
      <w:pPr>
        <w:pStyle w:val="PBACheading1"/>
        <w:numPr>
          <w:ilvl w:val="1"/>
          <w:numId w:val="4"/>
        </w:numPr>
      </w:pPr>
      <w:r>
        <w:t>T</w:t>
      </w:r>
      <w:r w:rsidR="006B67F0" w:rsidRPr="006B67F0">
        <w:t xml:space="preserve">he PBS pricing arrangements currently in place for the existing strengths of ruxolitinib would also be applied to the 10 mg strength. Consistent with the </w:t>
      </w:r>
      <w:r w:rsidR="006B67F0" w:rsidRPr="00702EDC">
        <w:t>March</w:t>
      </w:r>
      <w:r w:rsidR="00702EDC">
        <w:t> </w:t>
      </w:r>
      <w:r w:rsidR="006B67F0" w:rsidRPr="00702EDC">
        <w:t>2015</w:t>
      </w:r>
      <w:r w:rsidR="006B67F0" w:rsidRPr="006B67F0">
        <w:t xml:space="preserve"> recommendation, a flat pricing arrangement would cover the 10 mg strength of ruxolitinib, which supports the proposed </w:t>
      </w:r>
      <w:r w:rsidR="003F09C3">
        <w:t xml:space="preserve">effective </w:t>
      </w:r>
      <w:r w:rsidR="006B67F0" w:rsidRPr="006B67F0">
        <w:t>ex-manufacturer price of $</w:t>
      </w:r>
      <w:r w:rsidR="005A5882">
        <w:rPr>
          <w:noProof/>
          <w:color w:val="000000"/>
          <w:highlight w:val="black"/>
        </w:rPr>
        <w:t>'''''''''''''''''''''</w:t>
      </w:r>
      <w:r w:rsidR="006B67F0" w:rsidRPr="006B67F0">
        <w:t xml:space="preserve"> per pack containing 56 tablets.</w:t>
      </w:r>
      <w:r w:rsidR="00E71C07">
        <w:t xml:space="preserve"> The </w:t>
      </w:r>
      <w:r w:rsidR="00F23083">
        <w:t xml:space="preserve">Pre-PBAC response </w:t>
      </w:r>
      <w:r w:rsidR="00977BBF">
        <w:t xml:space="preserve">(on page 1) </w:t>
      </w:r>
      <w:r w:rsidR="00F23083">
        <w:t>requested</w:t>
      </w:r>
      <w:r w:rsidR="00E71C07">
        <w:t xml:space="preserve"> that t</w:t>
      </w:r>
      <w:r w:rsidR="00E71C07" w:rsidRPr="00E71C07">
        <w:t>he published price should be equivalent to that of the 15 and 20 mg strengths</w:t>
      </w:r>
      <w:r w:rsidR="00F23083">
        <w:t>.</w:t>
      </w:r>
    </w:p>
    <w:p w:rsidR="006B67F0" w:rsidRPr="006B67F0" w:rsidRDefault="006B67F0" w:rsidP="006B67F0">
      <w:pPr>
        <w:rPr>
          <w:lang w:eastAsia="en-US"/>
        </w:rPr>
      </w:pPr>
    </w:p>
    <w:p w:rsidR="00527F05" w:rsidRPr="00BB644D" w:rsidRDefault="00515DF6" w:rsidP="00BB644D">
      <w:pPr>
        <w:pStyle w:val="ListParagraph"/>
      </w:pPr>
      <w:r w:rsidRPr="00BB644D">
        <w:t>The minor submission estimated there to be no financial implications to the PBS, as t</w:t>
      </w:r>
      <w:r w:rsidR="009057D7" w:rsidRPr="00BB644D">
        <w:t xml:space="preserve">he sponsor proposed that </w:t>
      </w:r>
      <w:proofErr w:type="spellStart"/>
      <w:r w:rsidR="009057D7" w:rsidRPr="00BB644D">
        <w:t>ruxolitinib</w:t>
      </w:r>
      <w:proofErr w:type="spellEnd"/>
      <w:r w:rsidR="009057D7" w:rsidRPr="00BB644D">
        <w:t xml:space="preserve"> 10 mg will not incur additional costs beyond those outlined in the submission for the March 2015 PBAC meeting.</w:t>
      </w:r>
      <w:r w:rsidR="00E34621" w:rsidRPr="00BB644D">
        <w:t xml:space="preserve"> </w:t>
      </w:r>
    </w:p>
    <w:p w:rsidR="00527F05" w:rsidRPr="00527F05" w:rsidRDefault="00527F05" w:rsidP="00527F05">
      <w:pPr>
        <w:rPr>
          <w:lang w:eastAsia="en-US"/>
        </w:rPr>
      </w:pPr>
    </w:p>
    <w:p w:rsidR="006457A7" w:rsidRDefault="00E34621" w:rsidP="00BB644D">
      <w:pPr>
        <w:pStyle w:val="ListParagraph"/>
      </w:pPr>
      <w:r w:rsidRPr="000C7026">
        <w:t xml:space="preserve">It was estimated in the </w:t>
      </w:r>
      <w:r w:rsidR="00785D62" w:rsidRPr="000C7026">
        <w:t xml:space="preserve">sponsor’s </w:t>
      </w:r>
      <w:r w:rsidRPr="000C7026">
        <w:t>submission</w:t>
      </w:r>
      <w:r w:rsidR="00785D62" w:rsidRPr="000C7026">
        <w:t xml:space="preserve"> for PBAC’s consideration in March</w:t>
      </w:r>
      <w:r w:rsidR="00702EDC">
        <w:t> </w:t>
      </w:r>
      <w:r w:rsidR="00785D62" w:rsidRPr="000C7026">
        <w:t>2015</w:t>
      </w:r>
      <w:r w:rsidRPr="000C7026">
        <w:t xml:space="preserve"> that </w:t>
      </w:r>
      <w:r w:rsidR="005A5882">
        <w:rPr>
          <w:noProof/>
          <w:color w:val="000000"/>
          <w:highlight w:val="black"/>
        </w:rPr>
        <w:t>''''''</w:t>
      </w:r>
      <w:r w:rsidRPr="000C7026">
        <w:t xml:space="preserve">% of </w:t>
      </w:r>
      <w:r w:rsidR="00B1711B" w:rsidRPr="000C7026">
        <w:t xml:space="preserve">all </w:t>
      </w:r>
      <w:proofErr w:type="spellStart"/>
      <w:r w:rsidRPr="000C7026">
        <w:t>ruxolitinib</w:t>
      </w:r>
      <w:proofErr w:type="spellEnd"/>
      <w:r w:rsidRPr="000C7026">
        <w:t xml:space="preserve"> patients would take the 10 mg dose </w:t>
      </w:r>
      <w:r w:rsidR="00FB7B87" w:rsidRPr="000C7026">
        <w:t>(</w:t>
      </w:r>
      <w:r w:rsidRPr="000C7026">
        <w:t>twice daily</w:t>
      </w:r>
      <w:r w:rsidR="0027521B" w:rsidRPr="000C7026">
        <w:t>; in the form of two 5 mg tablets</w:t>
      </w:r>
      <w:r w:rsidR="00FB7B87" w:rsidRPr="000C7026">
        <w:t>)</w:t>
      </w:r>
      <w:r w:rsidRPr="000C7026">
        <w:t>.</w:t>
      </w:r>
      <w:r w:rsidR="00FB7B87" w:rsidRPr="000C7026">
        <w:t xml:space="preserve"> </w:t>
      </w:r>
      <w:r w:rsidR="00B1711B" w:rsidRPr="000C7026">
        <w:t>It was assumed</w:t>
      </w:r>
      <w:r w:rsidR="00FB7B87" w:rsidRPr="000C7026">
        <w:t xml:space="preserve"> </w:t>
      </w:r>
      <w:r w:rsidR="00BA6E24" w:rsidRPr="000C7026">
        <w:t>in th</w:t>
      </w:r>
      <w:r w:rsidR="00785D62" w:rsidRPr="000C7026">
        <w:t>is</w:t>
      </w:r>
      <w:r w:rsidR="00BA6E24" w:rsidRPr="000C7026">
        <w:t xml:space="preserve"> submission </w:t>
      </w:r>
      <w:r w:rsidR="00FB7B87" w:rsidRPr="000C7026">
        <w:t xml:space="preserve">that </w:t>
      </w:r>
      <w:r w:rsidR="0053749C" w:rsidRPr="000C7026">
        <w:t>th</w:t>
      </w:r>
      <w:r w:rsidR="0053749C">
        <w:t xml:space="preserve">e </w:t>
      </w:r>
      <w:r w:rsidR="00FB7B87" w:rsidRPr="000C7026">
        <w:t xml:space="preserve">proportion </w:t>
      </w:r>
      <w:r w:rsidR="00B1711B" w:rsidRPr="000C7026">
        <w:t xml:space="preserve">of total patients </w:t>
      </w:r>
      <w:r w:rsidR="00FB7B87" w:rsidRPr="000C7026">
        <w:t xml:space="preserve">would </w:t>
      </w:r>
      <w:r w:rsidR="00B1711B" w:rsidRPr="000C7026">
        <w:t xml:space="preserve">remain unchanged </w:t>
      </w:r>
      <w:r w:rsidR="00FB7B87" w:rsidRPr="000C7026">
        <w:t>from 2015 to 2020</w:t>
      </w:r>
      <w:r w:rsidR="00ED5045">
        <w:t>.</w:t>
      </w:r>
    </w:p>
    <w:p w:rsidR="0053749C" w:rsidRDefault="0053749C" w:rsidP="00BB644D">
      <w:pPr>
        <w:rPr>
          <w:snapToGrid w:val="0"/>
        </w:rPr>
      </w:pPr>
    </w:p>
    <w:p w:rsidR="00B23C31" w:rsidRPr="00E33694" w:rsidRDefault="00B23C31" w:rsidP="00E33694">
      <w:pPr>
        <w:ind w:firstLine="720"/>
        <w:rPr>
          <w:rFonts w:ascii="Arial" w:hAnsi="Arial"/>
          <w:i/>
          <w:sz w:val="22"/>
          <w:szCs w:val="22"/>
        </w:rPr>
      </w:pPr>
      <w:r w:rsidRPr="00E33694">
        <w:rPr>
          <w:rFonts w:ascii="Arial" w:hAnsi="Arial"/>
          <w:i/>
          <w:sz w:val="22"/>
          <w:szCs w:val="22"/>
        </w:rPr>
        <w:t>For more detail of the PBAC’s view, see section 5 ‘PBAC outcome’.</w:t>
      </w:r>
    </w:p>
    <w:p w:rsidR="00B23C31" w:rsidRPr="00B23C31" w:rsidRDefault="00B23C31" w:rsidP="00BB644D">
      <w:pPr>
        <w:rPr>
          <w:snapToGrid w:val="0"/>
        </w:rPr>
      </w:pPr>
    </w:p>
    <w:p w:rsidR="009B5542" w:rsidRPr="00B23C31" w:rsidRDefault="009B5542" w:rsidP="00BB644D">
      <w:pPr>
        <w:rPr>
          <w:snapToGrid w:val="0"/>
        </w:rPr>
      </w:pPr>
    </w:p>
    <w:p w:rsidR="00F23083" w:rsidRDefault="009B5542" w:rsidP="00BB644D">
      <w:pPr>
        <w:pStyle w:val="Heading1"/>
      </w:pPr>
      <w:r>
        <w:t>PBAC outcome</w:t>
      </w:r>
    </w:p>
    <w:p w:rsidR="00F23083" w:rsidRPr="00EB352E" w:rsidRDefault="00F23083" w:rsidP="00EB352E">
      <w:pPr>
        <w:rPr>
          <w:lang w:eastAsia="en-US"/>
        </w:rPr>
      </w:pPr>
    </w:p>
    <w:p w:rsidR="00872000" w:rsidRDefault="003C7891" w:rsidP="00BB644D">
      <w:pPr>
        <w:pStyle w:val="ListParagraph"/>
        <w:rPr>
          <w:b/>
        </w:rPr>
      </w:pPr>
      <w:r w:rsidRPr="00C80100">
        <w:t xml:space="preserve">The </w:t>
      </w:r>
      <w:r>
        <w:t>PBAC recommended the</w:t>
      </w:r>
      <w:r w:rsidR="00035A22">
        <w:t xml:space="preserve"> PBS</w:t>
      </w:r>
      <w:r>
        <w:t xml:space="preserve"> listing of</w:t>
      </w:r>
      <w:r w:rsidRPr="00C80100">
        <w:t xml:space="preserve"> ruxolitinib</w:t>
      </w:r>
      <w:r>
        <w:t xml:space="preserve"> 10 mg </w:t>
      </w:r>
      <w:r w:rsidRPr="00C80100">
        <w:t>for first-line or</w:t>
      </w:r>
      <w:r w:rsidR="000D2405">
        <w:t xml:space="preserve">   </w:t>
      </w:r>
      <w:r w:rsidRPr="00C80100">
        <w:t xml:space="preserve">second-line management of myelofibrosis under the same </w:t>
      </w:r>
      <w:r>
        <w:t xml:space="preserve">PBS listing </w:t>
      </w:r>
      <w:r w:rsidRPr="00C80100">
        <w:t>conditions as for the 5</w:t>
      </w:r>
      <w:r>
        <w:t xml:space="preserve"> </w:t>
      </w:r>
      <w:r w:rsidRPr="00C80100">
        <w:t>mg, 15</w:t>
      </w:r>
      <w:r>
        <w:t xml:space="preserve"> </w:t>
      </w:r>
      <w:r w:rsidRPr="00C80100">
        <w:t>mg and 20</w:t>
      </w:r>
      <w:r>
        <w:t xml:space="preserve"> </w:t>
      </w:r>
      <w:r w:rsidRPr="00C80100">
        <w:t>mg strengths</w:t>
      </w:r>
      <w:r w:rsidR="00035A22">
        <w:t xml:space="preserve"> of ruxolitinib</w:t>
      </w:r>
      <w:r w:rsidR="00C80100" w:rsidRPr="00C80100">
        <w:t>.</w:t>
      </w:r>
    </w:p>
    <w:p w:rsidR="00872000" w:rsidRPr="000C7026" w:rsidRDefault="00872000" w:rsidP="00BB644D"/>
    <w:p w:rsidR="00F34177" w:rsidRDefault="00F34177" w:rsidP="00BB644D">
      <w:pPr>
        <w:pStyle w:val="ListParagraph"/>
        <w:rPr>
          <w:b/>
        </w:rPr>
      </w:pPr>
      <w:r w:rsidRPr="00F34177">
        <w:t>The PBAC noted that it will be timely to remove the existing grandfathering restriction for PBS-listed ruxolitinib 5</w:t>
      </w:r>
      <w:r w:rsidR="00B81FA2">
        <w:t xml:space="preserve"> mg</w:t>
      </w:r>
      <w:r w:rsidRPr="00F34177">
        <w:t xml:space="preserve">, 15 </w:t>
      </w:r>
      <w:r w:rsidR="00B81FA2">
        <w:t xml:space="preserve">mg </w:t>
      </w:r>
      <w:r w:rsidRPr="00F34177">
        <w:t>and 20 mg when the PBS listing of ruxolitinib 10 mg is implemented.</w:t>
      </w:r>
    </w:p>
    <w:p w:rsidR="00F34177" w:rsidRDefault="00F34177" w:rsidP="00BB644D"/>
    <w:p w:rsidR="00F23083" w:rsidRDefault="00F23083" w:rsidP="00BB644D">
      <w:pPr>
        <w:pStyle w:val="ListParagraph"/>
        <w:rPr>
          <w:b/>
        </w:rPr>
      </w:pPr>
      <w:r>
        <w:lastRenderedPageBreak/>
        <w:t xml:space="preserve">The PBAC </w:t>
      </w:r>
      <w:r w:rsidR="0009278F">
        <w:t xml:space="preserve">accepted </w:t>
      </w:r>
      <w:r>
        <w:t xml:space="preserve">that the </w:t>
      </w:r>
      <w:r w:rsidR="0009278F">
        <w:t xml:space="preserve">proposed price was consistent with the </w:t>
      </w:r>
      <w:r>
        <w:t xml:space="preserve">current flat pricing arrangement. </w:t>
      </w:r>
    </w:p>
    <w:p w:rsidR="00F23083" w:rsidRPr="00F23083" w:rsidRDefault="00F23083" w:rsidP="00BB644D"/>
    <w:p w:rsidR="001743F4" w:rsidRDefault="00872000" w:rsidP="00BB644D">
      <w:pPr>
        <w:pStyle w:val="ListParagraph"/>
        <w:rPr>
          <w:b/>
        </w:rPr>
      </w:pPr>
      <w:r w:rsidRPr="00872000">
        <w:t xml:space="preserve">The PBAC </w:t>
      </w:r>
      <w:r w:rsidR="001743F4">
        <w:t>agreed with the su</w:t>
      </w:r>
      <w:r w:rsidRPr="00872000">
        <w:t xml:space="preserve">bmission </w:t>
      </w:r>
      <w:r w:rsidR="001743F4">
        <w:t xml:space="preserve">that this listing </w:t>
      </w:r>
      <w:r w:rsidRPr="00872000">
        <w:t>was likely to have no financial impact</w:t>
      </w:r>
      <w:r w:rsidR="001743F4">
        <w:t xml:space="preserve"> to the PBS.</w:t>
      </w:r>
    </w:p>
    <w:p w:rsidR="001743F4" w:rsidRPr="001743F4" w:rsidRDefault="001743F4" w:rsidP="00BB644D"/>
    <w:p w:rsidR="001743F4" w:rsidRDefault="001743F4" w:rsidP="00BB644D">
      <w:pPr>
        <w:pStyle w:val="ListParagraph"/>
        <w:rPr>
          <w:b/>
        </w:rPr>
      </w:pPr>
      <w:r>
        <w:t xml:space="preserve">The PBAC advised that </w:t>
      </w:r>
      <w:r w:rsidRPr="000C7026">
        <w:t>ruxolitinib</w:t>
      </w:r>
      <w:r w:rsidRPr="001743F4">
        <w:t xml:space="preserve"> </w:t>
      </w:r>
      <w:r w:rsidRPr="000C7026">
        <w:t>10 mg is not suitable for prescribing by nurse practitioners.</w:t>
      </w:r>
    </w:p>
    <w:p w:rsidR="001743F4" w:rsidRPr="001743F4" w:rsidRDefault="001743F4" w:rsidP="00BB644D"/>
    <w:p w:rsidR="001743F4" w:rsidRDefault="001743F4" w:rsidP="00BB644D">
      <w:pPr>
        <w:pStyle w:val="ListParagraph"/>
        <w:rPr>
          <w:b/>
        </w:rPr>
      </w:pPr>
      <w:r>
        <w:t xml:space="preserve">The PBAC advised that the </w:t>
      </w:r>
      <w:r w:rsidR="00407CD5" w:rsidRPr="004078D1">
        <w:t xml:space="preserve">PBS </w:t>
      </w:r>
      <w:r w:rsidR="000D2405" w:rsidRPr="004078D1">
        <w:t>e</w:t>
      </w:r>
      <w:r w:rsidRPr="004078D1">
        <w:t xml:space="preserve">arly </w:t>
      </w:r>
      <w:r w:rsidR="000D2405" w:rsidRPr="004078D1">
        <w:t>s</w:t>
      </w:r>
      <w:r w:rsidRPr="004078D1">
        <w:t xml:space="preserve">upply </w:t>
      </w:r>
      <w:r w:rsidR="000D2405" w:rsidRPr="004078D1">
        <w:t>r</w:t>
      </w:r>
      <w:r w:rsidRPr="004078D1">
        <w:t>ule</w:t>
      </w:r>
      <w:r>
        <w:t xml:space="preserve"> should apply for the continuation restrictions.</w:t>
      </w:r>
    </w:p>
    <w:p w:rsidR="001743F4" w:rsidRPr="001743F4" w:rsidRDefault="001743F4" w:rsidP="00BB644D"/>
    <w:p w:rsidR="00872000" w:rsidRPr="001743F4" w:rsidRDefault="001743F4" w:rsidP="00BB644D">
      <w:pPr>
        <w:pStyle w:val="ListParagraph"/>
        <w:rPr>
          <w:b/>
        </w:rPr>
      </w:pPr>
      <w:r>
        <w:t>The PBAC noted that this submission is not eligible for an Independent Review</w:t>
      </w:r>
      <w:r w:rsidR="00F23083">
        <w:t xml:space="preserve"> as it received a positive recommendation</w:t>
      </w:r>
      <w:r>
        <w:t>.</w:t>
      </w:r>
      <w:r w:rsidR="00872000" w:rsidRPr="001743F4">
        <w:tab/>
      </w:r>
    </w:p>
    <w:p w:rsidR="00C80100" w:rsidRPr="00C80100" w:rsidRDefault="00C80100" w:rsidP="00C80100"/>
    <w:p w:rsidR="00D47DA6" w:rsidRDefault="00D47DA6" w:rsidP="00D47DA6">
      <w:pPr>
        <w:rPr>
          <w:rFonts w:ascii="Arial" w:hAnsi="Arial" w:cs="Arial"/>
          <w:b/>
          <w:snapToGrid w:val="0"/>
          <w:sz w:val="22"/>
          <w:lang w:eastAsia="en-US"/>
        </w:rPr>
      </w:pPr>
      <w:r w:rsidRPr="00D47DA6">
        <w:rPr>
          <w:rFonts w:ascii="Arial" w:hAnsi="Arial" w:cs="Arial"/>
          <w:b/>
          <w:snapToGrid w:val="0"/>
          <w:sz w:val="22"/>
          <w:lang w:eastAsia="en-US"/>
        </w:rPr>
        <w:t>Outcome</w:t>
      </w:r>
      <w:r>
        <w:rPr>
          <w:rFonts w:ascii="Arial" w:hAnsi="Arial" w:cs="Arial"/>
          <w:b/>
          <w:snapToGrid w:val="0"/>
          <w:sz w:val="22"/>
          <w:lang w:eastAsia="en-US"/>
        </w:rPr>
        <w:t>:</w:t>
      </w:r>
    </w:p>
    <w:p w:rsidR="00D47DA6" w:rsidRPr="00D47DA6" w:rsidRDefault="00D47DA6" w:rsidP="00D47DA6">
      <w:pPr>
        <w:rPr>
          <w:rFonts w:ascii="Arial" w:hAnsi="Arial" w:cs="Arial"/>
          <w:snapToGrid w:val="0"/>
          <w:sz w:val="22"/>
          <w:lang w:eastAsia="en-US"/>
        </w:rPr>
      </w:pPr>
      <w:r>
        <w:rPr>
          <w:rFonts w:ascii="Arial" w:hAnsi="Arial" w:cs="Arial"/>
          <w:snapToGrid w:val="0"/>
          <w:sz w:val="22"/>
          <w:lang w:eastAsia="en-US"/>
        </w:rPr>
        <w:t>Recommended</w:t>
      </w:r>
    </w:p>
    <w:p w:rsidR="009A6413" w:rsidRPr="00186641" w:rsidRDefault="009A6413" w:rsidP="00186641">
      <w:pPr>
        <w:jc w:val="both"/>
        <w:rPr>
          <w:rFonts w:ascii="Arial" w:hAnsi="Arial"/>
          <w:b/>
          <w:sz w:val="22"/>
          <w:szCs w:val="22"/>
        </w:rPr>
      </w:pPr>
    </w:p>
    <w:p w:rsidR="00AA6A28" w:rsidRDefault="00AA6A28">
      <w:pPr>
        <w:spacing w:after="200" w:line="276" w:lineRule="auto"/>
      </w:pPr>
      <w:r>
        <w:br w:type="page"/>
      </w:r>
    </w:p>
    <w:p w:rsidR="00977BBF" w:rsidRPr="00977BBF" w:rsidRDefault="00977BBF" w:rsidP="00977BBF"/>
    <w:p w:rsidR="001743F4" w:rsidRDefault="00D807D6" w:rsidP="00BB644D">
      <w:pPr>
        <w:pStyle w:val="Heading1"/>
      </w:pPr>
      <w:r w:rsidRPr="000C7026">
        <w:t>Recommended Listin</w:t>
      </w:r>
      <w:r>
        <w:t>g</w:t>
      </w:r>
    </w:p>
    <w:p w:rsidR="00ED5045" w:rsidRPr="00ED5045" w:rsidRDefault="00ED5045" w:rsidP="00ED5045">
      <w:pPr>
        <w:rPr>
          <w:lang w:eastAsia="en-US"/>
        </w:rPr>
      </w:pPr>
    </w:p>
    <w:p w:rsidR="00D807D6" w:rsidRDefault="00D807D6" w:rsidP="00BB644D">
      <w:pPr>
        <w:pStyle w:val="ListParagraph"/>
      </w:pPr>
      <w:r w:rsidRPr="00D807D6">
        <w:t xml:space="preserve">Add new </w:t>
      </w:r>
      <w:r>
        <w:t>item:</w:t>
      </w:r>
    </w:p>
    <w:p w:rsidR="003F09C3" w:rsidRDefault="003F09C3">
      <w:pPr>
        <w:spacing w:after="200" w:line="276" w:lineRule="auto"/>
        <w:rPr>
          <w:szCs w:val="22"/>
        </w:rPr>
      </w:pPr>
    </w:p>
    <w:p w:rsidR="00D807D6" w:rsidRPr="00977BBF" w:rsidRDefault="00D807D6" w:rsidP="00D807D6">
      <w:pPr>
        <w:rPr>
          <w:rFonts w:ascii="Arial" w:hAnsi="Arial" w:cs="Arial"/>
          <w:sz w:val="22"/>
          <w:szCs w:val="22"/>
        </w:rPr>
      </w:pPr>
      <w:r w:rsidRPr="00977BBF">
        <w:rPr>
          <w:rFonts w:ascii="Arial" w:hAnsi="Arial" w:cs="Arial"/>
          <w:sz w:val="22"/>
          <w:szCs w:val="22"/>
        </w:rPr>
        <w:t>Intermediate-2 and high risk initiation</w:t>
      </w:r>
    </w:p>
    <w:p w:rsidR="00D807D6" w:rsidRDefault="00D807D6" w:rsidP="00D807D6">
      <w:pPr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426"/>
        <w:gridCol w:w="992"/>
        <w:gridCol w:w="1417"/>
        <w:gridCol w:w="1418"/>
        <w:gridCol w:w="2126"/>
      </w:tblGrid>
      <w:tr w:rsidR="00D807D6" w:rsidRPr="00260CE3" w:rsidTr="00826EDD">
        <w:trPr>
          <w:cantSplit/>
          <w:trHeight w:val="471"/>
        </w:trPr>
        <w:tc>
          <w:tcPr>
            <w:tcW w:w="3261" w:type="dxa"/>
            <w:gridSpan w:val="3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Name, Restriction,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Manner of administration and form</w:t>
            </w:r>
          </w:p>
        </w:tc>
        <w:tc>
          <w:tcPr>
            <w:tcW w:w="992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Max.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Qty</w:t>
            </w:r>
          </w:p>
        </w:tc>
        <w:tc>
          <w:tcPr>
            <w:tcW w:w="1417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№.of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Rpts</w:t>
            </w:r>
          </w:p>
        </w:tc>
        <w:tc>
          <w:tcPr>
            <w:tcW w:w="3544" w:type="dxa"/>
            <w:gridSpan w:val="2"/>
          </w:tcPr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</w:rPr>
              <w:t>Proprietary Name and Manufacturer</w:t>
            </w:r>
          </w:p>
        </w:tc>
      </w:tr>
      <w:tr w:rsidR="00D807D6" w:rsidRPr="00260CE3" w:rsidTr="00826EDD">
        <w:trPr>
          <w:cantSplit/>
          <w:trHeight w:val="577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mallCaps/>
                <w:sz w:val="20"/>
              </w:rPr>
              <w:t>RUXOLITINIB</w:t>
            </w:r>
          </w:p>
          <w:p w:rsidR="00D807D6" w:rsidRPr="00260CE3" w:rsidRDefault="00D807D6" w:rsidP="00D807D6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Tablet 10 mg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D807D6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D807D6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Jakavi®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NM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 xml:space="preserve">Category / </w:t>
            </w:r>
          </w:p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Program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GENERAL – General Schedule (Code GE)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Episodicity: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Chronic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High risk and Intermediate-2 risk 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Treatment phase: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2F723C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Initial treatment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  <w:p w:rsidR="00D807D6" w:rsidRDefault="00D807D6" w:rsidP="00826EDD">
            <w:pPr>
              <w:rPr>
                <w:rFonts w:ascii="Arial Narrow" w:hAnsi="Arial Narrow"/>
                <w:i/>
                <w:sz w:val="20"/>
                <w:highlight w:val="yellow"/>
              </w:rPr>
            </w:pPr>
          </w:p>
          <w:p w:rsidR="00D807D6" w:rsidRPr="00CD28F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083B2F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Clinical criteria: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condition must be primary myelofibrosis or post-polycythemia vera myelofibrosis or post-essential thrombocythemia myelofibrosis.</w:t>
            </w:r>
          </w:p>
        </w:tc>
      </w:tr>
      <w:tr w:rsidR="006310BD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260CE3" w:rsidRDefault="006310BD" w:rsidP="00826ED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The authority application must be made in writing and must include: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(1) A completed authority prescription form; and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(2) A completed Myelofibrosis Authority Application Supporting Information Form, which includes all of the following: 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(a) A copy of the bone marrow biopsy report confirming diagnosis of myelofibrosis; and 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(b) A classification of risk of myelofibrosis according to either the IPSS, DIPSS, or the Age-Adjusted DIPSS. </w:t>
            </w:r>
          </w:p>
          <w:p w:rsidR="006310BD" w:rsidRDefault="006310BD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Administrative Advice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C2" w:rsidRPr="008B31C2" w:rsidRDefault="008B31C2" w:rsidP="008B31C2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Risk of myelofibrosis is defined in accordance with the Myelofibrosis International Prognostic Scoring System (IPSS) OR the Dynamic International Prognostic Scoring System (DIPSS) OR the Age-Adjusted DIPSS.</w:t>
            </w:r>
          </w:p>
          <w:p w:rsidR="008B31C2" w:rsidRPr="008B31C2" w:rsidRDefault="008B31C2" w:rsidP="008B31C2">
            <w:pPr>
              <w:rPr>
                <w:rFonts w:ascii="Arial Narrow" w:hAnsi="Arial Narrow"/>
                <w:sz w:val="20"/>
              </w:rPr>
            </w:pPr>
          </w:p>
          <w:p w:rsidR="00D807D6" w:rsidRDefault="008B31C2" w:rsidP="008B31C2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No increase in the maximum quantity may be authorised for the 15 mg and 20 mg dose strengths.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Written applications for authority to prescribe should be forwarded to: 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Department of Human Services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Complex Programs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Reply Paid 9826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HOBART TAS 7001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</w:p>
          <w:p w:rsidR="006310BD" w:rsidRPr="00260CE3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 Pricing Arrangements apply. </w:t>
            </w:r>
          </w:p>
        </w:tc>
      </w:tr>
    </w:tbl>
    <w:p w:rsidR="005F27A0" w:rsidRDefault="005F27A0" w:rsidP="00D807D6">
      <w:pPr>
        <w:rPr>
          <w:szCs w:val="22"/>
        </w:rPr>
      </w:pPr>
    </w:p>
    <w:p w:rsidR="000A26A7" w:rsidRDefault="000A26A7" w:rsidP="00D807D6">
      <w:pPr>
        <w:rPr>
          <w:szCs w:val="22"/>
        </w:rPr>
      </w:pPr>
    </w:p>
    <w:p w:rsidR="00D807D6" w:rsidRDefault="00D807D6" w:rsidP="00D807D6">
      <w:pPr>
        <w:rPr>
          <w:szCs w:val="22"/>
        </w:rPr>
      </w:pPr>
      <w:r>
        <w:rPr>
          <w:szCs w:val="22"/>
        </w:rPr>
        <w:t>Intermediate-2 and high risk continuation</w:t>
      </w:r>
    </w:p>
    <w:p w:rsidR="00D807D6" w:rsidRDefault="00D807D6" w:rsidP="00D807D6">
      <w:pPr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426"/>
        <w:gridCol w:w="992"/>
        <w:gridCol w:w="1417"/>
        <w:gridCol w:w="1418"/>
        <w:gridCol w:w="2126"/>
      </w:tblGrid>
      <w:tr w:rsidR="00D807D6" w:rsidRPr="00260CE3" w:rsidTr="00826EDD">
        <w:trPr>
          <w:cantSplit/>
          <w:trHeight w:val="471"/>
        </w:trPr>
        <w:tc>
          <w:tcPr>
            <w:tcW w:w="3261" w:type="dxa"/>
            <w:gridSpan w:val="3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Name, Restriction,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Manner of administration and form</w:t>
            </w:r>
          </w:p>
        </w:tc>
        <w:tc>
          <w:tcPr>
            <w:tcW w:w="992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Max.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Qty</w:t>
            </w:r>
          </w:p>
        </w:tc>
        <w:tc>
          <w:tcPr>
            <w:tcW w:w="1417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№.of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Rpts</w:t>
            </w:r>
          </w:p>
        </w:tc>
        <w:tc>
          <w:tcPr>
            <w:tcW w:w="3544" w:type="dxa"/>
            <w:gridSpan w:val="2"/>
          </w:tcPr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</w:rPr>
              <w:t>Proprietary Name and Manufacturer</w:t>
            </w:r>
          </w:p>
        </w:tc>
      </w:tr>
      <w:tr w:rsidR="00D807D6" w:rsidRPr="00260CE3" w:rsidTr="00826EDD">
        <w:trPr>
          <w:cantSplit/>
          <w:trHeight w:val="577"/>
        </w:trPr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mallCaps/>
                <w:sz w:val="20"/>
              </w:rPr>
              <w:t>RUXOLITINIB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Tablet 10 mg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Jakavi®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NM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 xml:space="preserve">Category / </w:t>
            </w:r>
          </w:p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Program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GENERAL – General Schedule (Code GE)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High risk and Intermediate-2 risk 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High risk and Intermediate-2 risk m</w:t>
            </w:r>
            <w:r w:rsidR="00D807D6">
              <w:rPr>
                <w:rFonts w:ascii="Arial Narrow" w:hAnsi="Arial Narrow"/>
                <w:sz w:val="20"/>
              </w:rPr>
              <w:t>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Treatment phase: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Continu</w:t>
            </w:r>
            <w:r w:rsidR="008B31C2">
              <w:rPr>
                <w:rFonts w:ascii="Arial Narrow" w:hAnsi="Arial Narrow"/>
                <w:sz w:val="20"/>
              </w:rPr>
              <w:t>ing</w:t>
            </w:r>
            <w:r w:rsidR="006310BD">
              <w:rPr>
                <w:rFonts w:ascii="Arial Narrow" w:hAnsi="Arial Narrow"/>
                <w:sz w:val="20"/>
              </w:rPr>
              <w:t xml:space="preserve"> treatment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  <w:p w:rsidR="00D807D6" w:rsidRDefault="00D807D6" w:rsidP="00826EDD">
            <w:pPr>
              <w:rPr>
                <w:rFonts w:ascii="Arial Narrow" w:hAnsi="Arial Narrow"/>
                <w:i/>
                <w:sz w:val="20"/>
                <w:highlight w:val="yellow"/>
              </w:rPr>
            </w:pPr>
          </w:p>
          <w:p w:rsidR="00D807D6" w:rsidRPr="00CD28F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Clinical criteria: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The condition must be primary myelofibrosis or post-polycythemia vera myelofibrosis or post-essential thrombocythemia myelofibrosis. 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AND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Patient must have previously been treated with PBS-subsidised ruxolitinib for this condition.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083B2F" w:rsidRDefault="006310BD" w:rsidP="00826ED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Authority applications for continuing treatment may be made by telephone to the Department of Human Services on 1800 700 270 (hours of operation 8 a.m. to 5 p.m. EST Monday to Friday). </w:t>
            </w:r>
          </w:p>
        </w:tc>
      </w:tr>
      <w:tr w:rsidR="006310BD" w:rsidRPr="00260CE3" w:rsidTr="00826EDD">
        <w:trPr>
          <w:cantSplit/>
          <w:trHeight w:val="3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083B2F" w:rsidRDefault="006310BD" w:rsidP="005F27A0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Administrative Advice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Default="006310BD" w:rsidP="005F27A0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Risk of myelofibrosis is defined in accordance with the Myelofibrosis International Prognostic Scoring System (IPSS) OR the Dynamic International Prognostic Scoring System (DIPSS) OR the Age-Adjusted DIPSS. </w:t>
            </w:r>
          </w:p>
          <w:p w:rsidR="006310BD" w:rsidRDefault="006310BD" w:rsidP="005F27A0">
            <w:pPr>
              <w:rPr>
                <w:rFonts w:ascii="Arial Narrow" w:hAnsi="Arial Narrow"/>
                <w:sz w:val="20"/>
              </w:rPr>
            </w:pP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No increase in the maximum quantity may be authorised for the 15 mg and 20 mg dose strengths.</w:t>
            </w:r>
          </w:p>
          <w:p w:rsidR="006310BD" w:rsidRDefault="006310BD" w:rsidP="005F27A0">
            <w:pPr>
              <w:rPr>
                <w:rFonts w:ascii="Arial Narrow" w:hAnsi="Arial Narrow"/>
                <w:sz w:val="20"/>
              </w:rPr>
            </w:pPr>
          </w:p>
          <w:p w:rsidR="006310BD" w:rsidRPr="00260CE3" w:rsidRDefault="006310BD" w:rsidP="005F27A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Special Pricing Arrangements apply</w:t>
            </w:r>
          </w:p>
        </w:tc>
      </w:tr>
    </w:tbl>
    <w:p w:rsidR="00D807D6" w:rsidRDefault="00D807D6" w:rsidP="00D807D6">
      <w:pPr>
        <w:rPr>
          <w:szCs w:val="22"/>
        </w:rPr>
      </w:pPr>
    </w:p>
    <w:p w:rsidR="00D807D6" w:rsidRDefault="00D807D6" w:rsidP="00D807D6">
      <w:pPr>
        <w:rPr>
          <w:szCs w:val="22"/>
        </w:rPr>
      </w:pPr>
      <w:r>
        <w:rPr>
          <w:szCs w:val="22"/>
        </w:rPr>
        <w:t>Intermediate-1 risk initiation</w:t>
      </w:r>
    </w:p>
    <w:p w:rsidR="00D807D6" w:rsidRPr="00552722" w:rsidRDefault="00D807D6" w:rsidP="00D807D6">
      <w:pPr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992"/>
        <w:gridCol w:w="142"/>
        <w:gridCol w:w="1134"/>
        <w:gridCol w:w="141"/>
        <w:gridCol w:w="1418"/>
        <w:gridCol w:w="425"/>
        <w:gridCol w:w="1701"/>
      </w:tblGrid>
      <w:tr w:rsidR="00D807D6" w:rsidRPr="00260CE3" w:rsidTr="00826EDD">
        <w:trPr>
          <w:gridAfter w:val="1"/>
          <w:wAfter w:w="1701" w:type="dxa"/>
          <w:cantSplit/>
          <w:trHeight w:val="583"/>
        </w:trPr>
        <w:tc>
          <w:tcPr>
            <w:tcW w:w="3261" w:type="dxa"/>
            <w:gridSpan w:val="2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Name, Restriction,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Manner of administration and form</w:t>
            </w:r>
          </w:p>
        </w:tc>
        <w:tc>
          <w:tcPr>
            <w:tcW w:w="1134" w:type="dxa"/>
            <w:gridSpan w:val="2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Max.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Qty</w:t>
            </w:r>
          </w:p>
        </w:tc>
        <w:tc>
          <w:tcPr>
            <w:tcW w:w="1134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№.of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Rpts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</w:rPr>
              <w:t>Proprietary Name and Manufacturer</w:t>
            </w:r>
          </w:p>
        </w:tc>
      </w:tr>
      <w:tr w:rsidR="00D807D6" w:rsidRPr="00260CE3" w:rsidTr="00826EDD">
        <w:trPr>
          <w:cantSplit/>
          <w:trHeight w:val="577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mallCaps/>
                <w:sz w:val="20"/>
              </w:rPr>
              <w:t>RUXOLITINIB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Tablet 10 mg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Jakavi®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NM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9214" w:type="dxa"/>
            <w:gridSpan w:val="9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 xml:space="preserve">Category / </w:t>
            </w:r>
          </w:p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Program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GENERAL – General Schedule (Code GE)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type: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Intermediate-1 risk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Intermediate-1 risk m</w:t>
            </w:r>
            <w:r w:rsidR="00D807D6">
              <w:rPr>
                <w:rFonts w:ascii="Arial Narrow" w:hAnsi="Arial Narrow"/>
                <w:sz w:val="20"/>
              </w:rPr>
              <w:t>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Treatment phase: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8B31C2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Initial treatment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  <w:p w:rsidR="00D807D6" w:rsidRPr="00CD28F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083B2F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Clinical criteria: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The condition must be primary myelofibrosis or post-polycythemia vera myelofibrosis or post-essential thrombocythemia myelofibrosis. 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AND 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Patient must have severe disease-related symptoms that are resistant, refractory or intolerant to available therapy.</w:t>
            </w:r>
          </w:p>
        </w:tc>
      </w:tr>
      <w:tr w:rsidR="006310BD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260CE3" w:rsidRDefault="006310BD" w:rsidP="00826ED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The authority application must be made in writing and must include: 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(1) A completed authority prescription form; and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(2) A completed Myelofibrosis Authority Application Supporting Information Form, which includes all of the following: 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a) A copy of the bone marrow biopsy report confirming diagnosis of myelofibrosis;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 xml:space="preserve">b) A classification of risk of myelofibrosis according to either the IPSS, DIPSS, or the Age-Adjusted DIPSS; and 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c) A confirmation that the patient's disease related symptoms are resistant, refractory or intolerant to available therapy.</w:t>
            </w:r>
          </w:p>
          <w:p w:rsidR="006310BD" w:rsidRDefault="006310BD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B31C2">
        <w:trPr>
          <w:cantSplit/>
          <w:trHeight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Administrative Advice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Risk of myelofibrosis is defined in accordance with the Myelofibrosis International Prognostic Scoring System (IPSS) OR the Dynamic International Prognostic Scoring System (DIPSS) OR the Age-Adjusted DIPSS.</w:t>
            </w:r>
          </w:p>
          <w:p w:rsidR="006310BD" w:rsidRPr="008B31C2" w:rsidRDefault="006310BD" w:rsidP="006310BD">
            <w:pPr>
              <w:rPr>
                <w:rFonts w:ascii="Arial Narrow" w:hAnsi="Arial Narrow"/>
                <w:sz w:val="20"/>
              </w:rPr>
            </w:pP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No increase in the maximum quantity may be authorised for the 15 mg and 20 mg dose strengths.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Written applications for authority to prescribe should be forwarded to: 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Department of Human Services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Complex Programs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Reply Paid 9826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HOBART TAS 7001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</w:p>
          <w:p w:rsidR="008B31C2" w:rsidRPr="00260CE3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Special Pricing Arrangements apply.</w:t>
            </w:r>
          </w:p>
        </w:tc>
      </w:tr>
    </w:tbl>
    <w:p w:rsidR="005F27A0" w:rsidRDefault="005F27A0" w:rsidP="00D807D6">
      <w:pPr>
        <w:rPr>
          <w:szCs w:val="22"/>
        </w:rPr>
      </w:pPr>
    </w:p>
    <w:p w:rsidR="000A26A7" w:rsidRDefault="000A26A7" w:rsidP="00D807D6">
      <w:pPr>
        <w:rPr>
          <w:szCs w:val="22"/>
        </w:rPr>
      </w:pPr>
    </w:p>
    <w:p w:rsidR="005F27A0" w:rsidRDefault="005F27A0" w:rsidP="00D807D6">
      <w:pPr>
        <w:rPr>
          <w:szCs w:val="22"/>
        </w:rPr>
      </w:pPr>
    </w:p>
    <w:p w:rsidR="00D807D6" w:rsidRDefault="00D807D6" w:rsidP="00D807D6">
      <w:pPr>
        <w:rPr>
          <w:szCs w:val="22"/>
        </w:rPr>
      </w:pPr>
      <w:r>
        <w:rPr>
          <w:szCs w:val="22"/>
        </w:rPr>
        <w:t>Intermediate-1 risk continuation</w:t>
      </w:r>
    </w:p>
    <w:p w:rsidR="00D807D6" w:rsidRDefault="00D807D6" w:rsidP="00D807D6">
      <w:pPr>
        <w:rPr>
          <w:szCs w:val="22"/>
        </w:rPr>
      </w:pPr>
    </w:p>
    <w:p w:rsidR="00D807D6" w:rsidRPr="00552722" w:rsidRDefault="00D807D6" w:rsidP="00D807D6">
      <w:pPr>
        <w:rPr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992"/>
        <w:gridCol w:w="1417"/>
        <w:gridCol w:w="1418"/>
        <w:gridCol w:w="2126"/>
      </w:tblGrid>
      <w:tr w:rsidR="00D807D6" w:rsidRPr="00260CE3" w:rsidTr="00826EDD">
        <w:trPr>
          <w:cantSplit/>
          <w:trHeight w:val="471"/>
        </w:trPr>
        <w:tc>
          <w:tcPr>
            <w:tcW w:w="3261" w:type="dxa"/>
            <w:gridSpan w:val="2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Name, Restriction,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Manner of administration and form</w:t>
            </w:r>
          </w:p>
        </w:tc>
        <w:tc>
          <w:tcPr>
            <w:tcW w:w="992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Max.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Qty</w:t>
            </w:r>
          </w:p>
        </w:tc>
        <w:tc>
          <w:tcPr>
            <w:tcW w:w="1417" w:type="dxa"/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№.of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Rpts</w:t>
            </w:r>
          </w:p>
        </w:tc>
        <w:tc>
          <w:tcPr>
            <w:tcW w:w="3544" w:type="dxa"/>
            <w:gridSpan w:val="2"/>
          </w:tcPr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</w:rPr>
              <w:t>Proprietary Name and Manufacturer</w:t>
            </w:r>
          </w:p>
        </w:tc>
      </w:tr>
      <w:tr w:rsidR="00D807D6" w:rsidRPr="00260CE3" w:rsidTr="00826EDD">
        <w:trPr>
          <w:cantSplit/>
          <w:trHeight w:val="577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mallCaps/>
                <w:sz w:val="20"/>
              </w:rPr>
              <w:t>RUXOLITINIB</w:t>
            </w: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Tablet 10 mg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Jakavi®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7D6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keepNext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NM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9214" w:type="dxa"/>
            <w:gridSpan w:val="6"/>
            <w:tcBorders>
              <w:bottom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 xml:space="preserve">Category / </w:t>
            </w:r>
          </w:p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Program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GENERAL – General Schedule (Code GE)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Intermediate-1 risk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Myelofibrosis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Intermediate-1 risk m</w:t>
            </w:r>
            <w:r w:rsidR="00D807D6">
              <w:rPr>
                <w:rFonts w:ascii="Arial Narrow" w:hAnsi="Arial Narrow"/>
                <w:sz w:val="20"/>
              </w:rPr>
              <w:t xml:space="preserve">yelofibrosis 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6C3A0F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Treatment phase: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Continu</w:t>
            </w:r>
            <w:r w:rsidR="008B31C2">
              <w:rPr>
                <w:rFonts w:ascii="Arial Narrow" w:hAnsi="Arial Narrow"/>
                <w:sz w:val="20"/>
              </w:rPr>
              <w:t>ing</w:t>
            </w:r>
            <w:r w:rsidR="006310BD">
              <w:rPr>
                <w:rFonts w:ascii="Arial Narrow" w:hAnsi="Arial Narrow"/>
                <w:sz w:val="20"/>
              </w:rPr>
              <w:t xml:space="preserve"> treatment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  <w:p w:rsidR="00D807D6" w:rsidRDefault="00D807D6" w:rsidP="00826EDD">
            <w:pPr>
              <w:rPr>
                <w:rFonts w:ascii="Arial Narrow" w:hAnsi="Arial Narrow"/>
                <w:i/>
                <w:sz w:val="20"/>
                <w:highlight w:val="yellow"/>
              </w:rPr>
            </w:pPr>
          </w:p>
          <w:p w:rsidR="00D807D6" w:rsidRPr="00CD28F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807D6" w:rsidRPr="00106BCF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z w:val="20"/>
              </w:rPr>
            </w:r>
            <w:r w:rsidR="00006A60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807D6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Pr="00260CE3" w:rsidRDefault="00D807D6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Clinical criteria:</w:t>
            </w:r>
          </w:p>
          <w:p w:rsidR="00D807D6" w:rsidRPr="00260CE3" w:rsidRDefault="00D807D6" w:rsidP="00826EDD">
            <w:pPr>
              <w:rPr>
                <w:rFonts w:ascii="Arial Narrow" w:hAnsi="Arial Narrow"/>
                <w:i/>
                <w:sz w:val="20"/>
              </w:rPr>
            </w:pP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The condition must be primary myelofibrosis or post-polycythemia vera myelofibrosis or post-essential thrombocythemia myelofibrosis. 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AND</w:t>
            </w:r>
          </w:p>
          <w:p w:rsidR="00D807D6" w:rsidRDefault="00D807D6" w:rsidP="00826EDD">
            <w:pPr>
              <w:rPr>
                <w:rFonts w:ascii="Arial Narrow" w:hAnsi="Arial Narrow"/>
                <w:sz w:val="20"/>
              </w:rPr>
            </w:pPr>
          </w:p>
          <w:p w:rsidR="00D807D6" w:rsidRPr="00260CE3" w:rsidRDefault="00D807D6" w:rsidP="00826E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Patient must have previously been treated with PBS-subsidised ruxolitinib for this condition. </w:t>
            </w:r>
          </w:p>
        </w:tc>
      </w:tr>
      <w:tr w:rsidR="006310BD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083B2F" w:rsidRDefault="006310BD" w:rsidP="005F27A0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260CE3" w:rsidRDefault="006310BD" w:rsidP="005F27A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Authority applications for continuing treatment may be made by telephone to the Department of Human Services on 1800 700 270 (hours of operation 8 a.m. to 5 p.m. EST Monday to Friday). </w:t>
            </w:r>
          </w:p>
        </w:tc>
      </w:tr>
      <w:tr w:rsidR="006310BD" w:rsidRPr="00260CE3" w:rsidTr="00826EDD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Pr="00260CE3" w:rsidRDefault="006310BD" w:rsidP="00826EDD">
            <w:pPr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Administrative Advice</w:t>
            </w:r>
          </w:p>
          <w:p w:rsidR="006310BD" w:rsidRPr="00260CE3" w:rsidRDefault="006310BD" w:rsidP="00826EDD">
            <w:pPr>
              <w:rPr>
                <w:rFonts w:ascii="Arial Narrow" w:hAnsi="Arial Narrow"/>
                <w:i/>
                <w:sz w:val="20"/>
              </w:rPr>
            </w:pPr>
          </w:p>
          <w:p w:rsidR="006310BD" w:rsidRPr="00260CE3" w:rsidRDefault="006310BD" w:rsidP="00826EDD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Risk of myelofibrosis is defined in accordance with the Myelofibrosis International Prognostic Scoring System (IPSS) OR the Dynamic International Prognostic Scoring System (DIPSS) (or the Age Adjusted DIPSS).</w:t>
            </w:r>
          </w:p>
          <w:p w:rsidR="006310BD" w:rsidRDefault="006310BD" w:rsidP="008B31C2">
            <w:pPr>
              <w:rPr>
                <w:rFonts w:ascii="Arial Narrow" w:hAnsi="Arial Narrow"/>
                <w:sz w:val="20"/>
              </w:rPr>
            </w:pP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  <w:r w:rsidRPr="008B31C2">
              <w:rPr>
                <w:rFonts w:ascii="Arial Narrow" w:hAnsi="Arial Narrow"/>
                <w:sz w:val="20"/>
              </w:rPr>
              <w:t>No increase in the maximum quantity may be authorised for the 15 mg and 20 mg dose strengths.</w:t>
            </w:r>
          </w:p>
          <w:p w:rsidR="006310BD" w:rsidRDefault="006310BD" w:rsidP="006310BD">
            <w:pPr>
              <w:rPr>
                <w:rFonts w:ascii="Arial Narrow" w:hAnsi="Arial Narrow"/>
                <w:sz w:val="20"/>
              </w:rPr>
            </w:pPr>
          </w:p>
          <w:p w:rsidR="006310BD" w:rsidRPr="00260CE3" w:rsidRDefault="006310BD" w:rsidP="006310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Special Pricing Arrangements apply</w:t>
            </w:r>
          </w:p>
        </w:tc>
      </w:tr>
    </w:tbl>
    <w:p w:rsidR="00D807D6" w:rsidRDefault="00D807D6" w:rsidP="000C7026"/>
    <w:p w:rsidR="00967411" w:rsidRDefault="00967411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967411" w:rsidRDefault="00967411" w:rsidP="00BB644D">
      <w:pPr>
        <w:pStyle w:val="ListParagraph"/>
      </w:pPr>
      <w:r>
        <w:t>Delete</w:t>
      </w:r>
      <w:r w:rsidRPr="00D807D6">
        <w:t xml:space="preserve"> </w:t>
      </w:r>
      <w:r>
        <w:t>item:</w:t>
      </w:r>
    </w:p>
    <w:p w:rsidR="00A66539" w:rsidRDefault="00A66539" w:rsidP="003F09C3">
      <w:pPr>
        <w:spacing w:after="200" w:line="276" w:lineRule="auto"/>
        <w:rPr>
          <w:rFonts w:ascii="Arial" w:hAnsi="Arial" w:cs="Arial"/>
          <w:sz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992"/>
        <w:gridCol w:w="1417"/>
        <w:gridCol w:w="1418"/>
        <w:gridCol w:w="2126"/>
      </w:tblGrid>
      <w:tr w:rsidR="00F3113B" w:rsidRPr="00260CE3" w:rsidTr="00702EDC">
        <w:trPr>
          <w:cantSplit/>
          <w:trHeight w:val="471"/>
        </w:trPr>
        <w:tc>
          <w:tcPr>
            <w:tcW w:w="3261" w:type="dxa"/>
            <w:gridSpan w:val="2"/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Name, Restriction,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Manner of administration and form</w:t>
            </w:r>
          </w:p>
        </w:tc>
        <w:tc>
          <w:tcPr>
            <w:tcW w:w="992" w:type="dxa"/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Max.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Qty</w:t>
            </w:r>
          </w:p>
        </w:tc>
        <w:tc>
          <w:tcPr>
            <w:tcW w:w="1417" w:type="dxa"/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№.of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Rpts</w:t>
            </w:r>
          </w:p>
        </w:tc>
        <w:tc>
          <w:tcPr>
            <w:tcW w:w="3544" w:type="dxa"/>
            <w:gridSpan w:val="2"/>
          </w:tcPr>
          <w:p w:rsidR="00F3113B" w:rsidRPr="00F3113B" w:rsidRDefault="00F3113B" w:rsidP="00702EDC">
            <w:pPr>
              <w:keepNext/>
              <w:rPr>
                <w:rFonts w:ascii="Arial Narrow" w:hAnsi="Arial Narrow"/>
                <w:strike/>
                <w:sz w:val="20"/>
                <w:lang w:val="fr-FR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Proprietary Name and Manufacturer</w:t>
            </w:r>
          </w:p>
        </w:tc>
      </w:tr>
      <w:tr w:rsidR="00F3113B" w:rsidRPr="00260CE3" w:rsidTr="00702EDC">
        <w:trPr>
          <w:cantSplit/>
          <w:trHeight w:val="577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mallCaps/>
                <w:strike/>
                <w:sz w:val="20"/>
              </w:rPr>
              <w:t>RUXOLITINIB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Tablet 5 mg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Tablet 15 mg</w:t>
            </w: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Tablet 20 mg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702EDC">
            <w:pPr>
              <w:keepNext/>
              <w:ind w:left="-108"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keepNext/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702EDC">
            <w:pPr>
              <w:keepNext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Jakavi®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keepNext/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702EDC">
            <w:pPr>
              <w:keepNext/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NM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9214" w:type="dxa"/>
            <w:gridSpan w:val="6"/>
            <w:tcBorders>
              <w:bottom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 xml:space="preserve">Category / </w:t>
            </w:r>
          </w:p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Program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GENERAL – General Schedule (Code GE)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Prescriber type: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 xml:space="preserve">Dental  </w:t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 xml:space="preserve">Medical Practitioners  </w:t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 xml:space="preserve">Nurse practitioners  </w:t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Optometrists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Midwives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Severity: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Intermediate-1 risk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Condition: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Myelofibrosis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PBS Indication: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High risk, intermediate-2 risk and intermediate-1 risk myelofibrosis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Treatment phase: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Grandfathering treatment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Restriction Level / Method:</w:t>
            </w:r>
          </w:p>
          <w:p w:rsidR="00F3113B" w:rsidRPr="00F3113B" w:rsidRDefault="00F3113B" w:rsidP="00702EDC">
            <w:pPr>
              <w:rPr>
                <w:rFonts w:ascii="Arial Narrow" w:hAnsi="Arial Narrow"/>
                <w:i/>
                <w:strike/>
                <w:sz w:val="20"/>
                <w:highlight w:val="yellow"/>
              </w:rPr>
            </w:pPr>
          </w:p>
          <w:p w:rsidR="00F3113B" w:rsidRPr="00F3113B" w:rsidRDefault="00F3113B" w:rsidP="00702EDC">
            <w:pPr>
              <w:rPr>
                <w:rFonts w:ascii="Arial Narrow" w:hAnsi="Arial Narrow"/>
                <w:i/>
                <w:strike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Restricted benefit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Authority Required - In Writing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Authority Required - Telephone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Authority Required – Emergency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Authority Required - Electronic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3B">
              <w:rPr>
                <w:rFonts w:ascii="Arial Narrow" w:hAnsi="Arial Narrow"/>
                <w:strike/>
                <w:sz w:val="20"/>
              </w:rPr>
              <w:instrText xml:space="preserve"> FORMCHECKBOX </w:instrText>
            </w:r>
            <w:r w:rsidR="00006A60">
              <w:rPr>
                <w:rFonts w:ascii="Arial Narrow" w:hAnsi="Arial Narrow"/>
                <w:strike/>
                <w:sz w:val="20"/>
              </w:rPr>
            </w:r>
            <w:r w:rsidR="00006A60">
              <w:rPr>
                <w:rFonts w:ascii="Arial Narrow" w:hAnsi="Arial Narrow"/>
                <w:strike/>
                <w:sz w:val="20"/>
              </w:rPr>
              <w:fldChar w:fldCharType="separate"/>
            </w:r>
            <w:r w:rsidRPr="00F3113B">
              <w:rPr>
                <w:rFonts w:ascii="Arial Narrow" w:hAnsi="Arial Narrow"/>
                <w:strike/>
                <w:sz w:val="20"/>
              </w:rPr>
              <w:fldChar w:fldCharType="end"/>
            </w:r>
            <w:r w:rsidRPr="00F3113B">
              <w:rPr>
                <w:rFonts w:ascii="Arial Narrow" w:hAnsi="Arial Narrow"/>
                <w:strike/>
                <w:sz w:val="20"/>
              </w:rPr>
              <w:t>Streamlined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Clinical criteria:</w:t>
            </w:r>
          </w:p>
          <w:p w:rsidR="00F3113B" w:rsidRPr="00F3113B" w:rsidRDefault="00F3113B" w:rsidP="00702EDC">
            <w:pPr>
              <w:rPr>
                <w:rFonts w:ascii="Arial Narrow" w:hAnsi="Arial Narrow"/>
                <w:i/>
                <w:strike/>
                <w:sz w:val="20"/>
              </w:rPr>
            </w:pP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 xml:space="preserve">The condition must be primary myelofibrosis or post-polycythemia vera myelofibrosis or post-essential </w:t>
            </w:r>
            <w:proofErr w:type="spellStart"/>
            <w:r w:rsidRPr="00F3113B">
              <w:rPr>
                <w:rFonts w:ascii="Arial Narrow" w:hAnsi="Arial Narrow"/>
                <w:strike/>
                <w:sz w:val="20"/>
              </w:rPr>
              <w:t>thrombocythemia</w:t>
            </w:r>
            <w:proofErr w:type="spellEnd"/>
            <w:r w:rsidRPr="00F3113B">
              <w:rPr>
                <w:rFonts w:ascii="Arial Narrow" w:hAnsi="Arial Narrow"/>
                <w:strike/>
                <w:sz w:val="20"/>
              </w:rPr>
              <w:t xml:space="preserve"> </w:t>
            </w:r>
            <w:proofErr w:type="spellStart"/>
            <w:r w:rsidRPr="00F3113B">
              <w:rPr>
                <w:rFonts w:ascii="Arial Narrow" w:hAnsi="Arial Narrow"/>
                <w:strike/>
                <w:sz w:val="20"/>
              </w:rPr>
              <w:t>myelofibrosis</w:t>
            </w:r>
            <w:proofErr w:type="spellEnd"/>
            <w:r w:rsidRPr="00F3113B">
              <w:rPr>
                <w:rFonts w:ascii="Arial Narrow" w:hAnsi="Arial Narrow"/>
                <w:strike/>
                <w:sz w:val="20"/>
              </w:rPr>
              <w:t xml:space="preserve">. 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AND</w:t>
            </w:r>
          </w:p>
          <w:p w:rsidR="00F3113B" w:rsidRPr="00F3113B" w:rsidRDefault="00F3113B" w:rsidP="00702EDC">
            <w:pPr>
              <w:rPr>
                <w:rFonts w:ascii="Arial Narrow" w:hAnsi="Arial Narrow"/>
                <w:strike/>
                <w:sz w:val="20"/>
              </w:rPr>
            </w:pP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Patient must have previously received non-PBS-subsidised treatment with this drug for this condition before 1 February 2016.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Prescriber instructions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The authority application must be made in writing and must include: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(1) A completed authority prescription form; and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(2) A completed Myelofibrosis Authority Application Supporting Information Form, which includes all of the following: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a) A copy of the bone marrow biopsy report confirming diagnosis of myelofibrosis; and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b) A classification of risk of myelofibrosis according to either the IPSS, DIPSS, or the Age-Adjusted DIPSS.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(3) Details of previous ruxolitinib treatment, including all of the following: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a) The date which treatment with ruxolitinib was initiated;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b) A confirmation that the PBS restriction criteria for the relevant risk category was met at the time of initiation; and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c) The method by which ruxolitinib treatment was accessed at the time of initiation (e.g. through a compassionate use program).</w:t>
            </w:r>
          </w:p>
        </w:tc>
      </w:tr>
      <w:tr w:rsidR="00F3113B" w:rsidRPr="00260CE3" w:rsidTr="00702EDC">
        <w:trPr>
          <w:cantSplit/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702EDC">
            <w:pPr>
              <w:rPr>
                <w:rFonts w:ascii="Arial Narrow" w:hAnsi="Arial Narrow"/>
                <w:b/>
                <w:strike/>
                <w:sz w:val="20"/>
              </w:rPr>
            </w:pPr>
            <w:r w:rsidRPr="00F3113B">
              <w:rPr>
                <w:rFonts w:ascii="Arial Narrow" w:hAnsi="Arial Narrow"/>
                <w:b/>
                <w:strike/>
                <w:sz w:val="20"/>
              </w:rPr>
              <w:t>Administrative Advice</w:t>
            </w:r>
          </w:p>
          <w:p w:rsidR="00F3113B" w:rsidRPr="00F3113B" w:rsidRDefault="00F3113B" w:rsidP="00702EDC">
            <w:pPr>
              <w:rPr>
                <w:rFonts w:ascii="Arial Narrow" w:hAnsi="Arial Narrow"/>
                <w:i/>
                <w:strike/>
                <w:sz w:val="20"/>
              </w:rPr>
            </w:pPr>
          </w:p>
          <w:p w:rsidR="00F3113B" w:rsidRPr="00F3113B" w:rsidRDefault="00F3113B" w:rsidP="00702EDC">
            <w:pPr>
              <w:rPr>
                <w:rFonts w:ascii="Arial Narrow" w:hAnsi="Arial Narrow"/>
                <w:i/>
                <w:strike/>
                <w:sz w:val="2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Written applications for authority to prescribe should be forwarded to: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Department of Human Services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Complex Programs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Reply Paid 9826</w:t>
            </w:r>
          </w:p>
          <w:p w:rsidR="00F3113B" w:rsidRPr="00F3113B" w:rsidRDefault="00F3113B" w:rsidP="00F3113B">
            <w:pPr>
              <w:rPr>
                <w:rFonts w:ascii="Arial Narrow" w:hAnsi="Arial Narrow"/>
                <w:strike/>
                <w:sz w:val="20"/>
              </w:rPr>
            </w:pPr>
            <w:r w:rsidRPr="00F3113B">
              <w:rPr>
                <w:rFonts w:ascii="Arial Narrow" w:hAnsi="Arial Narrow"/>
                <w:strike/>
                <w:sz w:val="20"/>
              </w:rPr>
              <w:t>HOBART TAS 7001</w:t>
            </w:r>
          </w:p>
        </w:tc>
      </w:tr>
    </w:tbl>
    <w:p w:rsidR="00F3113B" w:rsidRDefault="00F3113B" w:rsidP="003F09C3">
      <w:pPr>
        <w:spacing w:after="200" w:line="276" w:lineRule="auto"/>
        <w:rPr>
          <w:rFonts w:ascii="Arial" w:hAnsi="Arial" w:cs="Arial"/>
          <w:sz w:val="22"/>
        </w:rPr>
      </w:pPr>
    </w:p>
    <w:p w:rsidR="00F50220" w:rsidRPr="00F50220" w:rsidRDefault="00F50220" w:rsidP="00BB644D">
      <w:pPr>
        <w:pStyle w:val="Heading1"/>
      </w:pPr>
      <w:r w:rsidRPr="00F50220">
        <w:t>Context for Decision</w:t>
      </w:r>
    </w:p>
    <w:p w:rsidR="00F50220" w:rsidRPr="00F50220" w:rsidRDefault="00F50220" w:rsidP="00F50220">
      <w:pPr>
        <w:widowControl w:val="0"/>
        <w:ind w:left="720"/>
        <w:jc w:val="both"/>
        <w:rPr>
          <w:rFonts w:ascii="Arial" w:hAnsi="Arial" w:cs="Arial"/>
          <w:bCs/>
          <w:snapToGrid w:val="0"/>
          <w:sz w:val="22"/>
          <w:szCs w:val="20"/>
          <w:lang w:eastAsia="en-US"/>
        </w:rPr>
      </w:pPr>
    </w:p>
    <w:p w:rsidR="00F50220" w:rsidRPr="00F50220" w:rsidRDefault="00F50220" w:rsidP="00F50220">
      <w:pPr>
        <w:widowControl w:val="0"/>
        <w:ind w:left="720"/>
        <w:jc w:val="both"/>
        <w:rPr>
          <w:rFonts w:ascii="Arial" w:hAnsi="Arial" w:cs="Arial"/>
          <w:bCs/>
          <w:snapToGrid w:val="0"/>
          <w:sz w:val="22"/>
          <w:szCs w:val="20"/>
          <w:lang w:eastAsia="en-US"/>
        </w:rPr>
      </w:pPr>
      <w:r w:rsidRPr="00F50220">
        <w:rPr>
          <w:rFonts w:ascii="Arial" w:hAnsi="Arial" w:cs="Arial"/>
          <w:bCs/>
          <w:snapToGrid w:val="0"/>
          <w:sz w:val="22"/>
          <w:szCs w:val="20"/>
          <w:lang w:eastAsia="en-US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F50220" w:rsidRPr="00F50220" w:rsidRDefault="00F50220" w:rsidP="00F50220">
      <w:pPr>
        <w:widowControl w:val="0"/>
        <w:ind w:left="720"/>
        <w:jc w:val="both"/>
        <w:rPr>
          <w:rFonts w:ascii="Arial" w:hAnsi="Arial" w:cs="Arial"/>
          <w:bCs/>
          <w:snapToGrid w:val="0"/>
          <w:sz w:val="22"/>
          <w:szCs w:val="20"/>
          <w:lang w:eastAsia="en-US"/>
        </w:rPr>
      </w:pPr>
    </w:p>
    <w:p w:rsidR="00F50220" w:rsidRDefault="00F50220" w:rsidP="00BB644D">
      <w:pPr>
        <w:pStyle w:val="Heading1"/>
      </w:pPr>
      <w:r w:rsidRPr="00F50220">
        <w:t>Sponsor’s Comment</w:t>
      </w:r>
      <w:r w:rsidRPr="00F50220">
        <w:tab/>
      </w:r>
    </w:p>
    <w:p w:rsidR="00442A75" w:rsidRPr="00F50220" w:rsidRDefault="00442A75" w:rsidP="00442A75">
      <w:pPr>
        <w:widowControl w:val="0"/>
        <w:ind w:left="720"/>
        <w:contextualSpacing/>
        <w:jc w:val="both"/>
        <w:rPr>
          <w:rFonts w:ascii="Arial" w:hAnsi="Arial" w:cs="Arial"/>
          <w:b/>
          <w:bCs/>
          <w:snapToGrid w:val="0"/>
          <w:sz w:val="22"/>
          <w:szCs w:val="20"/>
          <w:lang w:eastAsia="en-US"/>
        </w:rPr>
      </w:pPr>
    </w:p>
    <w:p w:rsidR="00F50220" w:rsidRPr="00F50220" w:rsidRDefault="00F50220" w:rsidP="00F50220">
      <w:pPr>
        <w:widowControl w:val="0"/>
        <w:ind w:left="720"/>
        <w:jc w:val="both"/>
        <w:rPr>
          <w:rFonts w:ascii="Arial" w:hAnsi="Arial" w:cs="Arial"/>
          <w:bCs/>
          <w:snapToGrid w:val="0"/>
          <w:sz w:val="22"/>
          <w:szCs w:val="20"/>
          <w:lang w:eastAsia="en-US"/>
        </w:rPr>
      </w:pPr>
      <w:r w:rsidRPr="00F50220">
        <w:rPr>
          <w:rFonts w:ascii="Arial" w:hAnsi="Arial" w:cs="Arial"/>
          <w:bCs/>
          <w:snapToGrid w:val="0"/>
          <w:sz w:val="22"/>
          <w:szCs w:val="20"/>
          <w:lang w:eastAsia="en-US"/>
        </w:rPr>
        <w:t>The sponsor had no comment.</w:t>
      </w:r>
    </w:p>
    <w:p w:rsidR="00F50220" w:rsidRPr="00F76D5F" w:rsidRDefault="00F50220" w:rsidP="003F09C3">
      <w:pPr>
        <w:spacing w:after="200" w:line="276" w:lineRule="auto"/>
        <w:rPr>
          <w:rFonts w:ascii="Arial" w:hAnsi="Arial" w:cs="Arial"/>
          <w:sz w:val="22"/>
        </w:rPr>
      </w:pPr>
    </w:p>
    <w:sectPr w:rsidR="00F50220" w:rsidRPr="00F76D5F" w:rsidSect="00277907">
      <w:headerReference w:type="default" r:id="rId9"/>
      <w:footerReference w:type="default" r:id="rId10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82" w:rsidRDefault="005A5882" w:rsidP="00F31FFD">
      <w:r>
        <w:separator/>
      </w:r>
    </w:p>
  </w:endnote>
  <w:endnote w:type="continuationSeparator" w:id="0">
    <w:p w:rsidR="005A5882" w:rsidRDefault="005A5882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81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EDC" w:rsidRDefault="00702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A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02EDC" w:rsidRDefault="00702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82" w:rsidRDefault="005A5882" w:rsidP="00F31FFD">
      <w:r>
        <w:separator/>
      </w:r>
    </w:p>
  </w:footnote>
  <w:footnote w:type="continuationSeparator" w:id="0">
    <w:p w:rsidR="005A5882" w:rsidRDefault="005A5882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DC" w:rsidRPr="000C7026" w:rsidRDefault="00702EDC" w:rsidP="000C7026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Public Summary Document</w:t>
    </w:r>
    <w:r w:rsidRPr="000C7026">
      <w:rPr>
        <w:rFonts w:ascii="Arial" w:hAnsi="Arial" w:cs="Arial"/>
        <w:i/>
      </w:rPr>
      <w:t xml:space="preserve"> – </w:t>
    </w:r>
    <w:r>
      <w:rPr>
        <w:rFonts w:ascii="Arial" w:hAnsi="Arial" w:cs="Arial"/>
        <w:i/>
      </w:rPr>
      <w:t>July</w:t>
    </w:r>
    <w:r w:rsidRPr="000C7026">
      <w:rPr>
        <w:rFonts w:ascii="Arial" w:hAnsi="Arial" w:cs="Arial"/>
        <w:i/>
      </w:rPr>
      <w:t xml:space="preserve"> 2016 PBAC Meeting</w:t>
    </w:r>
  </w:p>
  <w:p w:rsidR="00702EDC" w:rsidRDefault="00702E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8023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0FAB9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EE3F8B"/>
    <w:multiLevelType w:val="hybridMultilevel"/>
    <w:tmpl w:val="1A52059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C6DDE"/>
    <w:multiLevelType w:val="hybridMultilevel"/>
    <w:tmpl w:val="2BF6D462"/>
    <w:lvl w:ilvl="0" w:tplc="BEEE3FA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D942B1"/>
    <w:multiLevelType w:val="hybridMultilevel"/>
    <w:tmpl w:val="971CAC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D033C"/>
    <w:multiLevelType w:val="multilevel"/>
    <w:tmpl w:val="4FBE8788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ListParagraph"/>
      <w:lvlText w:val="%1.%2"/>
      <w:lvlJc w:val="left"/>
      <w:pPr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"/>
  </w:num>
  <w:num w:numId="8">
    <w:abstractNumId w:val="4"/>
  </w:num>
  <w:num w:numId="9">
    <w:abstractNumId w:val="5"/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7"/>
    <w:lvlOverride w:ilvl="0">
      <w:startOverride w:val="5"/>
    </w:lvlOverride>
    <w:lvlOverride w:ilvl="1">
      <w:startOverride w:val="3"/>
    </w:lvlOverride>
  </w:num>
  <w:num w:numId="16">
    <w:abstractNumId w:val="2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03129"/>
    <w:rsid w:val="00006A60"/>
    <w:rsid w:val="00035A22"/>
    <w:rsid w:val="00042785"/>
    <w:rsid w:val="00043DE8"/>
    <w:rsid w:val="00044635"/>
    <w:rsid w:val="00051E48"/>
    <w:rsid w:val="000706DF"/>
    <w:rsid w:val="000863D3"/>
    <w:rsid w:val="0009278F"/>
    <w:rsid w:val="000A26A7"/>
    <w:rsid w:val="000A2E52"/>
    <w:rsid w:val="000B0581"/>
    <w:rsid w:val="000B452B"/>
    <w:rsid w:val="000B6978"/>
    <w:rsid w:val="000C7026"/>
    <w:rsid w:val="000D2405"/>
    <w:rsid w:val="000F30B8"/>
    <w:rsid w:val="000F7E7B"/>
    <w:rsid w:val="00100828"/>
    <w:rsid w:val="001200E5"/>
    <w:rsid w:val="00122D10"/>
    <w:rsid w:val="00133188"/>
    <w:rsid w:val="00140510"/>
    <w:rsid w:val="00145E11"/>
    <w:rsid w:val="001743F4"/>
    <w:rsid w:val="00185514"/>
    <w:rsid w:val="00186641"/>
    <w:rsid w:val="00204126"/>
    <w:rsid w:val="002325A3"/>
    <w:rsid w:val="0027521B"/>
    <w:rsid w:val="00277907"/>
    <w:rsid w:val="0028043E"/>
    <w:rsid w:val="00284473"/>
    <w:rsid w:val="002B373B"/>
    <w:rsid w:val="002B499E"/>
    <w:rsid w:val="002D7DC7"/>
    <w:rsid w:val="002E44FC"/>
    <w:rsid w:val="002F723C"/>
    <w:rsid w:val="00300CA0"/>
    <w:rsid w:val="00331FF8"/>
    <w:rsid w:val="003662FE"/>
    <w:rsid w:val="00366B47"/>
    <w:rsid w:val="003849D9"/>
    <w:rsid w:val="00384F0B"/>
    <w:rsid w:val="00387EFE"/>
    <w:rsid w:val="003B4E4E"/>
    <w:rsid w:val="003C7891"/>
    <w:rsid w:val="003E7A7E"/>
    <w:rsid w:val="003F09C3"/>
    <w:rsid w:val="003F27AD"/>
    <w:rsid w:val="003F2B73"/>
    <w:rsid w:val="004078D1"/>
    <w:rsid w:val="00407CD5"/>
    <w:rsid w:val="00442A75"/>
    <w:rsid w:val="00447B31"/>
    <w:rsid w:val="004503A0"/>
    <w:rsid w:val="004534E6"/>
    <w:rsid w:val="004677C4"/>
    <w:rsid w:val="004B30A4"/>
    <w:rsid w:val="004C5951"/>
    <w:rsid w:val="004F02CC"/>
    <w:rsid w:val="004F691F"/>
    <w:rsid w:val="00507840"/>
    <w:rsid w:val="00515DF6"/>
    <w:rsid w:val="00527F05"/>
    <w:rsid w:val="00532A12"/>
    <w:rsid w:val="0053749C"/>
    <w:rsid w:val="00544E2E"/>
    <w:rsid w:val="005741FF"/>
    <w:rsid w:val="00596402"/>
    <w:rsid w:val="005A5882"/>
    <w:rsid w:val="005B6D23"/>
    <w:rsid w:val="005C5684"/>
    <w:rsid w:val="005D58B6"/>
    <w:rsid w:val="005D6F2A"/>
    <w:rsid w:val="005E7B97"/>
    <w:rsid w:val="005F27A0"/>
    <w:rsid w:val="0061315E"/>
    <w:rsid w:val="006310BD"/>
    <w:rsid w:val="006411C3"/>
    <w:rsid w:val="006457A7"/>
    <w:rsid w:val="0066203D"/>
    <w:rsid w:val="006728B5"/>
    <w:rsid w:val="00683AE0"/>
    <w:rsid w:val="00687141"/>
    <w:rsid w:val="006927A1"/>
    <w:rsid w:val="006B67F0"/>
    <w:rsid w:val="006F6A69"/>
    <w:rsid w:val="00702EDC"/>
    <w:rsid w:val="00731AC3"/>
    <w:rsid w:val="00735C18"/>
    <w:rsid w:val="00745C01"/>
    <w:rsid w:val="007505AB"/>
    <w:rsid w:val="00765576"/>
    <w:rsid w:val="00785D62"/>
    <w:rsid w:val="00787057"/>
    <w:rsid w:val="00795F43"/>
    <w:rsid w:val="00796FDD"/>
    <w:rsid w:val="007B3354"/>
    <w:rsid w:val="007E7D09"/>
    <w:rsid w:val="007F4E20"/>
    <w:rsid w:val="00807C1E"/>
    <w:rsid w:val="00826EDD"/>
    <w:rsid w:val="00835BB6"/>
    <w:rsid w:val="008374A2"/>
    <w:rsid w:val="0084140F"/>
    <w:rsid w:val="0084151D"/>
    <w:rsid w:val="008556D5"/>
    <w:rsid w:val="00872000"/>
    <w:rsid w:val="008B31C2"/>
    <w:rsid w:val="008C665E"/>
    <w:rsid w:val="009057D7"/>
    <w:rsid w:val="00935A80"/>
    <w:rsid w:val="0094111A"/>
    <w:rsid w:val="00960B8C"/>
    <w:rsid w:val="00967411"/>
    <w:rsid w:val="00977BBF"/>
    <w:rsid w:val="009A6413"/>
    <w:rsid w:val="009B5542"/>
    <w:rsid w:val="009E6E36"/>
    <w:rsid w:val="009F1C22"/>
    <w:rsid w:val="00A66539"/>
    <w:rsid w:val="00AA0534"/>
    <w:rsid w:val="00AA6A28"/>
    <w:rsid w:val="00AE46E8"/>
    <w:rsid w:val="00AF00D8"/>
    <w:rsid w:val="00AF049D"/>
    <w:rsid w:val="00AF26FA"/>
    <w:rsid w:val="00B1711B"/>
    <w:rsid w:val="00B23C31"/>
    <w:rsid w:val="00B45120"/>
    <w:rsid w:val="00B47438"/>
    <w:rsid w:val="00B522CE"/>
    <w:rsid w:val="00B81FA2"/>
    <w:rsid w:val="00BA34DF"/>
    <w:rsid w:val="00BA3DCE"/>
    <w:rsid w:val="00BA4A30"/>
    <w:rsid w:val="00BA6E24"/>
    <w:rsid w:val="00BB644D"/>
    <w:rsid w:val="00BD73CF"/>
    <w:rsid w:val="00C05B8E"/>
    <w:rsid w:val="00C23E07"/>
    <w:rsid w:val="00C24623"/>
    <w:rsid w:val="00C26110"/>
    <w:rsid w:val="00C265F0"/>
    <w:rsid w:val="00C80100"/>
    <w:rsid w:val="00C81829"/>
    <w:rsid w:val="00C84998"/>
    <w:rsid w:val="00C93E79"/>
    <w:rsid w:val="00CD369E"/>
    <w:rsid w:val="00CD62E0"/>
    <w:rsid w:val="00CE680F"/>
    <w:rsid w:val="00D3544E"/>
    <w:rsid w:val="00D47DA6"/>
    <w:rsid w:val="00D72C09"/>
    <w:rsid w:val="00D807D6"/>
    <w:rsid w:val="00D8362C"/>
    <w:rsid w:val="00D8464B"/>
    <w:rsid w:val="00DC3016"/>
    <w:rsid w:val="00DE2C6B"/>
    <w:rsid w:val="00DE3640"/>
    <w:rsid w:val="00DE487E"/>
    <w:rsid w:val="00E1248C"/>
    <w:rsid w:val="00E143E3"/>
    <w:rsid w:val="00E33694"/>
    <w:rsid w:val="00E34621"/>
    <w:rsid w:val="00E71C07"/>
    <w:rsid w:val="00E741E5"/>
    <w:rsid w:val="00E83C92"/>
    <w:rsid w:val="00E956E1"/>
    <w:rsid w:val="00E9793A"/>
    <w:rsid w:val="00EA598E"/>
    <w:rsid w:val="00EB352E"/>
    <w:rsid w:val="00ED5045"/>
    <w:rsid w:val="00EE4FF9"/>
    <w:rsid w:val="00EE79EB"/>
    <w:rsid w:val="00F06632"/>
    <w:rsid w:val="00F23083"/>
    <w:rsid w:val="00F3113B"/>
    <w:rsid w:val="00F31FFD"/>
    <w:rsid w:val="00F34177"/>
    <w:rsid w:val="00F36311"/>
    <w:rsid w:val="00F50220"/>
    <w:rsid w:val="00F5299C"/>
    <w:rsid w:val="00F76D5F"/>
    <w:rsid w:val="00FA657F"/>
    <w:rsid w:val="00FB7B87"/>
    <w:rsid w:val="00FD68B7"/>
    <w:rsid w:val="00FE6B97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qFormat/>
    <w:rsid w:val="00BB644D"/>
    <w:pPr>
      <w:numPr>
        <w:numId w:val="17"/>
      </w:numPr>
      <w:jc w:val="both"/>
      <w:outlineLvl w:val="0"/>
    </w:pPr>
    <w:rPr>
      <w:rFonts w:ascii="Arial" w:hAnsi="Arial"/>
      <w:b/>
      <w:snapToGrid w:val="0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44D"/>
    <w:pPr>
      <w:outlineLvl w:val="1"/>
    </w:pPr>
    <w:rPr>
      <w:rFonts w:ascii="Arial" w:hAnsi="Arial" w:cs="Arial"/>
      <w:b/>
      <w:i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B644D"/>
    <w:pPr>
      <w:numPr>
        <w:ilvl w:val="1"/>
        <w:numId w:val="4"/>
      </w:numPr>
      <w:contextualSpacing/>
    </w:pPr>
    <w:rPr>
      <w:rFonts w:ascii="Arial" w:hAnsi="Arial" w:cs="Arial"/>
      <w:snapToGrid w:val="0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B644D"/>
    <w:rPr>
      <w:rFonts w:ascii="Arial" w:eastAsia="Times New Roman" w:hAnsi="Arial" w:cs="Times New Roman"/>
      <w:b/>
      <w:snapToGrid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644D"/>
    <w:rPr>
      <w:rFonts w:ascii="Arial" w:eastAsia="Times New Roman" w:hAnsi="Arial" w:cs="Arial"/>
      <w:b/>
      <w:i/>
      <w:sz w:val="22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BB644D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B644D"/>
    <w:rPr>
      <w:rFonts w:ascii="Arial" w:eastAsiaTheme="majorEastAsia" w:hAnsi="Arial" w:cstheme="majorBidi"/>
      <w:b/>
      <w:spacing w:val="5"/>
      <w:kern w:val="28"/>
      <w:sz w:val="28"/>
      <w:szCs w:val="28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644D"/>
    <w:rPr>
      <w:rFonts w:ascii="Arial" w:eastAsia="Times New Roman" w:hAnsi="Arial" w:cs="Arial"/>
      <w:snapToGrid w:val="0"/>
      <w:sz w:val="22"/>
      <w:szCs w:val="24"/>
    </w:rPr>
  </w:style>
  <w:style w:type="character" w:styleId="IntenseReference">
    <w:name w:val="Intense Reference"/>
    <w:basedOn w:val="DefaultParagraphFont"/>
    <w:uiPriority w:val="32"/>
    <w:qFormat/>
    <w:rsid w:val="008C665E"/>
    <w:rPr>
      <w:b/>
      <w:bCs/>
      <w:i/>
      <w:smallCaps/>
      <w:color w:val="C0504D" w:themeColor="accent2"/>
      <w:spacing w:val="5"/>
      <w:u w:val="none"/>
    </w:rPr>
  </w:style>
  <w:style w:type="paragraph" w:customStyle="1" w:styleId="PBACheading1">
    <w:name w:val="PBAC heading 1"/>
    <w:qFormat/>
    <w:rsid w:val="00EE4FF9"/>
    <w:pPr>
      <w:spacing w:after="0" w:line="240" w:lineRule="auto"/>
      <w:ind w:left="720" w:hanging="720"/>
    </w:pPr>
    <w:rPr>
      <w:rFonts w:ascii="Arial" w:eastAsia="Times New Roman" w:hAnsi="Arial" w:cs="Arial"/>
      <w:snapToGrid w:val="0"/>
      <w:sz w:val="22"/>
    </w:rPr>
  </w:style>
  <w:style w:type="table" w:styleId="TableGrid">
    <w:name w:val="Table Grid"/>
    <w:aliases w:val="Summary box"/>
    <w:basedOn w:val="TableNormal"/>
    <w:rsid w:val="009F1C22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E48"/>
    <w:rPr>
      <w:rFonts w:eastAsia="Times New Roman" w:cs="Times New Roman"/>
      <w:b/>
      <w:bCs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6411C3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411C3"/>
    <w:rPr>
      <w:rFonts w:eastAsia="Times New Roman" w:cs="Times New Roman"/>
      <w:b/>
      <w:szCs w:val="20"/>
    </w:rPr>
  </w:style>
  <w:style w:type="paragraph" w:styleId="Revision">
    <w:name w:val="Revision"/>
    <w:hidden/>
    <w:uiPriority w:val="99"/>
    <w:semiHidden/>
    <w:rsid w:val="00935A80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customStyle="1" w:styleId="Char">
    <w:name w:val="Char"/>
    <w:basedOn w:val="Normal"/>
    <w:uiPriority w:val="99"/>
    <w:rsid w:val="00826EDD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PBACHeading10">
    <w:name w:val="PBAC Heading 1"/>
    <w:qFormat/>
    <w:rsid w:val="00F50220"/>
    <w:pPr>
      <w:spacing w:after="0" w:line="240" w:lineRule="auto"/>
      <w:ind w:left="720" w:hanging="720"/>
      <w:outlineLvl w:val="0"/>
    </w:pPr>
    <w:rPr>
      <w:rFonts w:ascii="Arial" w:eastAsia="Times New Roman" w:hAnsi="Arial" w:cs="Arial"/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ListNumber"/>
    <w:next w:val="Normal"/>
    <w:link w:val="Heading1Char"/>
    <w:autoRedefine/>
    <w:qFormat/>
    <w:rsid w:val="00BB644D"/>
    <w:pPr>
      <w:numPr>
        <w:numId w:val="17"/>
      </w:numPr>
      <w:jc w:val="both"/>
      <w:outlineLvl w:val="0"/>
    </w:pPr>
    <w:rPr>
      <w:rFonts w:ascii="Arial" w:hAnsi="Arial"/>
      <w:b/>
      <w:snapToGrid w:val="0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44D"/>
    <w:pPr>
      <w:outlineLvl w:val="1"/>
    </w:pPr>
    <w:rPr>
      <w:rFonts w:ascii="Arial" w:hAnsi="Arial" w:cs="Arial"/>
      <w:b/>
      <w:i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aliases w:val="Table Title"/>
    <w:qFormat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B644D"/>
    <w:pPr>
      <w:numPr>
        <w:ilvl w:val="1"/>
        <w:numId w:val="4"/>
      </w:numPr>
      <w:contextualSpacing/>
    </w:pPr>
    <w:rPr>
      <w:rFonts w:ascii="Arial" w:hAnsi="Arial" w:cs="Arial"/>
      <w:snapToGrid w:val="0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B644D"/>
    <w:rPr>
      <w:rFonts w:ascii="Arial" w:eastAsia="Times New Roman" w:hAnsi="Arial" w:cs="Times New Roman"/>
      <w:b/>
      <w:snapToGrid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644D"/>
    <w:rPr>
      <w:rFonts w:ascii="Arial" w:eastAsia="Times New Roman" w:hAnsi="Arial" w:cs="Arial"/>
      <w:b/>
      <w:i/>
      <w:sz w:val="22"/>
    </w:rPr>
  </w:style>
  <w:style w:type="paragraph" w:styleId="ListNumber">
    <w:name w:val="List Number"/>
    <w:basedOn w:val="Normal"/>
    <w:uiPriority w:val="99"/>
    <w:unhideWhenUsed/>
    <w:rsid w:val="007B3354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BB644D"/>
    <w:pPr>
      <w:spacing w:after="300"/>
      <w:contextualSpacing/>
      <w:outlineLvl w:val="0"/>
    </w:pPr>
    <w:rPr>
      <w:rFonts w:ascii="Arial" w:eastAsiaTheme="majorEastAsia" w:hAnsi="Arial" w:cstheme="majorBidi"/>
      <w:b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B644D"/>
    <w:rPr>
      <w:rFonts w:ascii="Arial" w:eastAsiaTheme="majorEastAsia" w:hAnsi="Arial" w:cstheme="majorBidi"/>
      <w:b/>
      <w:spacing w:val="5"/>
      <w:kern w:val="28"/>
      <w:sz w:val="28"/>
      <w:szCs w:val="28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644D"/>
    <w:rPr>
      <w:rFonts w:ascii="Arial" w:eastAsia="Times New Roman" w:hAnsi="Arial" w:cs="Arial"/>
      <w:snapToGrid w:val="0"/>
      <w:sz w:val="22"/>
      <w:szCs w:val="24"/>
    </w:rPr>
  </w:style>
  <w:style w:type="character" w:styleId="IntenseReference">
    <w:name w:val="Intense Reference"/>
    <w:basedOn w:val="DefaultParagraphFont"/>
    <w:uiPriority w:val="32"/>
    <w:qFormat/>
    <w:rsid w:val="008C665E"/>
    <w:rPr>
      <w:b/>
      <w:bCs/>
      <w:i/>
      <w:smallCaps/>
      <w:color w:val="C0504D" w:themeColor="accent2"/>
      <w:spacing w:val="5"/>
      <w:u w:val="none"/>
    </w:rPr>
  </w:style>
  <w:style w:type="paragraph" w:customStyle="1" w:styleId="PBACheading1">
    <w:name w:val="PBAC heading 1"/>
    <w:qFormat/>
    <w:rsid w:val="00EE4FF9"/>
    <w:pPr>
      <w:spacing w:after="0" w:line="240" w:lineRule="auto"/>
      <w:ind w:left="720" w:hanging="720"/>
    </w:pPr>
    <w:rPr>
      <w:rFonts w:ascii="Arial" w:eastAsia="Times New Roman" w:hAnsi="Arial" w:cs="Arial"/>
      <w:snapToGrid w:val="0"/>
      <w:sz w:val="22"/>
    </w:rPr>
  </w:style>
  <w:style w:type="table" w:styleId="TableGrid">
    <w:name w:val="Table Grid"/>
    <w:aliases w:val="Summary box"/>
    <w:basedOn w:val="TableNormal"/>
    <w:rsid w:val="009F1C22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E48"/>
    <w:rPr>
      <w:rFonts w:eastAsia="Times New Roman" w:cs="Times New Roman"/>
      <w:b/>
      <w:bCs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6411C3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411C3"/>
    <w:rPr>
      <w:rFonts w:eastAsia="Times New Roman" w:cs="Times New Roman"/>
      <w:b/>
      <w:szCs w:val="20"/>
    </w:rPr>
  </w:style>
  <w:style w:type="paragraph" w:styleId="Revision">
    <w:name w:val="Revision"/>
    <w:hidden/>
    <w:uiPriority w:val="99"/>
    <w:semiHidden/>
    <w:rsid w:val="00935A80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customStyle="1" w:styleId="Char">
    <w:name w:val="Char"/>
    <w:basedOn w:val="Normal"/>
    <w:uiPriority w:val="99"/>
    <w:rsid w:val="00826EDD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PBACHeading10">
    <w:name w:val="PBAC Heading 1"/>
    <w:qFormat/>
    <w:rsid w:val="00F50220"/>
    <w:pPr>
      <w:spacing w:after="0" w:line="240" w:lineRule="auto"/>
      <w:ind w:left="720" w:hanging="720"/>
      <w:outlineLvl w:val="0"/>
    </w:pPr>
    <w:rPr>
      <w:rFonts w:ascii="Arial" w:eastAsia="Times New Roman" w:hAnsi="Arial" w:cs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8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09C4-C4FF-4B77-B99D-22E56F01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2016-09-22T00:38:00Z</dcterms:created>
  <dcterms:modified xsi:type="dcterms:W3CDTF">2016-09-22T00:53:00Z</dcterms:modified>
</cp:coreProperties>
</file>