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1B0B8A" w:rsidRDefault="002E76D4" w:rsidP="001B0B8A">
      <w:pPr>
        <w:pStyle w:val="Title"/>
      </w:pPr>
      <w:r w:rsidRPr="001B0B8A">
        <w:t>6.12</w:t>
      </w:r>
      <w:r w:rsidR="007C0F57" w:rsidRPr="001B0B8A">
        <w:tab/>
      </w:r>
      <w:r w:rsidRPr="001B0B8A">
        <w:t>RIBAVIRIN</w:t>
      </w:r>
    </w:p>
    <w:p w:rsidR="00C27B58" w:rsidRPr="001B0B8A" w:rsidRDefault="002E76D4" w:rsidP="001B0B8A">
      <w:pPr>
        <w:pStyle w:val="Title"/>
      </w:pPr>
      <w:r w:rsidRPr="001B0B8A">
        <w:t>tablet 400 mg, tablet 600 mg</w:t>
      </w:r>
    </w:p>
    <w:p w:rsidR="00D3280C" w:rsidRPr="001B0B8A" w:rsidRDefault="002E76D4" w:rsidP="001B0B8A">
      <w:pPr>
        <w:pStyle w:val="Title"/>
      </w:pPr>
      <w:r w:rsidRPr="001B0B8A">
        <w:t>Ibavyr</w:t>
      </w:r>
      <w:r w:rsidR="0004240E" w:rsidRPr="001B0B8A">
        <w:t>®</w:t>
      </w:r>
      <w:r w:rsidR="00EF44A0" w:rsidRPr="001B0B8A">
        <w:t xml:space="preserve">, </w:t>
      </w:r>
      <w:r w:rsidR="00FC6875" w:rsidRPr="001B0B8A">
        <w:t>Clinect Pty Ltd</w:t>
      </w:r>
      <w:r w:rsidR="00FC6875" w:rsidRPr="001B0B8A">
        <w:tab/>
      </w:r>
    </w:p>
    <w:p w:rsidR="00CE10C4" w:rsidRPr="000F28E1" w:rsidRDefault="00CE10C4" w:rsidP="00BD4A45">
      <w:pPr>
        <w:pStyle w:val="Heading1"/>
        <w:numPr>
          <w:ilvl w:val="0"/>
          <w:numId w:val="1"/>
        </w:numPr>
      </w:pPr>
      <w:r w:rsidRPr="000F28E1">
        <w:t xml:space="preserve">Purpose of </w:t>
      </w:r>
      <w:r w:rsidR="0004240E" w:rsidRPr="000F28E1">
        <w:t>Application</w:t>
      </w:r>
    </w:p>
    <w:p w:rsidR="006A12A5" w:rsidRPr="000F28E1" w:rsidRDefault="006A12A5" w:rsidP="00877C4B">
      <w:pPr>
        <w:jc w:val="both"/>
        <w:rPr>
          <w:rFonts w:ascii="Arial" w:hAnsi="Arial"/>
          <w:sz w:val="22"/>
          <w:szCs w:val="22"/>
        </w:rPr>
      </w:pPr>
    </w:p>
    <w:p w:rsidR="00B46008" w:rsidRPr="000F28E1" w:rsidRDefault="00EF44A0" w:rsidP="00877C4B">
      <w:pPr>
        <w:pStyle w:val="ListParagraph"/>
        <w:numPr>
          <w:ilvl w:val="1"/>
          <w:numId w:val="1"/>
        </w:numPr>
        <w:jc w:val="both"/>
        <w:rPr>
          <w:rFonts w:ascii="Arial" w:hAnsi="Arial"/>
          <w:b/>
          <w:i/>
          <w:sz w:val="22"/>
          <w:szCs w:val="22"/>
        </w:rPr>
      </w:pPr>
      <w:r w:rsidRPr="000F28E1">
        <w:rPr>
          <w:rFonts w:ascii="Arial" w:hAnsi="Arial"/>
          <w:sz w:val="22"/>
          <w:szCs w:val="22"/>
        </w:rPr>
        <w:t>The mi</w:t>
      </w:r>
      <w:r w:rsidR="00FF2801" w:rsidRPr="000F28E1">
        <w:rPr>
          <w:rFonts w:ascii="Arial" w:hAnsi="Arial"/>
          <w:sz w:val="22"/>
          <w:szCs w:val="22"/>
        </w:rPr>
        <w:t>nor submission requested</w:t>
      </w:r>
      <w:r w:rsidR="00B46008" w:rsidRPr="000F28E1">
        <w:rPr>
          <w:rFonts w:ascii="Arial" w:hAnsi="Arial"/>
          <w:sz w:val="22"/>
          <w:szCs w:val="22"/>
        </w:rPr>
        <w:t xml:space="preserve"> an extension to the listing of ribavirin for the treatment of chronic hepatitis C (</w:t>
      </w:r>
      <w:r w:rsidR="000E7117" w:rsidRPr="000F28E1">
        <w:rPr>
          <w:rFonts w:ascii="Arial" w:hAnsi="Arial"/>
          <w:sz w:val="22"/>
          <w:szCs w:val="22"/>
        </w:rPr>
        <w:t>CHC</w:t>
      </w:r>
      <w:r w:rsidR="00B46008" w:rsidRPr="000F28E1">
        <w:rPr>
          <w:rFonts w:ascii="Arial" w:hAnsi="Arial"/>
          <w:sz w:val="22"/>
          <w:szCs w:val="22"/>
        </w:rPr>
        <w:t>) infection to include treatment regimens of dacla</w:t>
      </w:r>
      <w:r w:rsidR="004C79AB" w:rsidRPr="000F28E1">
        <w:rPr>
          <w:rFonts w:ascii="Arial" w:hAnsi="Arial"/>
          <w:sz w:val="22"/>
          <w:szCs w:val="22"/>
        </w:rPr>
        <w:t>tasvir + sofosbuvir +</w:t>
      </w:r>
      <w:r w:rsidR="00B46008" w:rsidRPr="000F28E1">
        <w:rPr>
          <w:rFonts w:ascii="Arial" w:hAnsi="Arial"/>
          <w:sz w:val="22"/>
          <w:szCs w:val="22"/>
        </w:rPr>
        <w:t xml:space="preserve"> ribavirin</w:t>
      </w:r>
      <w:r w:rsidR="004C79AB" w:rsidRPr="000F28E1">
        <w:rPr>
          <w:rFonts w:ascii="Arial" w:hAnsi="Arial"/>
          <w:sz w:val="22"/>
          <w:szCs w:val="22"/>
        </w:rPr>
        <w:t xml:space="preserve"> (DAC/SOF/RBV)</w:t>
      </w:r>
      <w:r w:rsidR="00B46008" w:rsidRPr="000F28E1">
        <w:rPr>
          <w:rFonts w:ascii="Arial" w:hAnsi="Arial"/>
          <w:sz w:val="22"/>
          <w:szCs w:val="22"/>
        </w:rPr>
        <w:t xml:space="preserve"> for 12 or 24 weeks for the use in </w:t>
      </w:r>
      <w:r w:rsidR="00626F14" w:rsidRPr="000F28E1">
        <w:rPr>
          <w:rFonts w:ascii="Arial" w:hAnsi="Arial"/>
          <w:sz w:val="22"/>
          <w:szCs w:val="22"/>
        </w:rPr>
        <w:t>HCV</w:t>
      </w:r>
      <w:r w:rsidR="00B46008" w:rsidRPr="000F28E1">
        <w:rPr>
          <w:rFonts w:ascii="Arial" w:hAnsi="Arial"/>
          <w:sz w:val="22"/>
          <w:szCs w:val="22"/>
        </w:rPr>
        <w:t> Genotypes</w:t>
      </w:r>
      <w:r w:rsidR="00872EFE" w:rsidRPr="000F28E1">
        <w:rPr>
          <w:rFonts w:ascii="Arial" w:hAnsi="Arial"/>
          <w:sz w:val="22"/>
          <w:szCs w:val="22"/>
        </w:rPr>
        <w:t xml:space="preserve"> (GT)</w:t>
      </w:r>
      <w:r w:rsidR="00B46008" w:rsidRPr="000F28E1">
        <w:rPr>
          <w:rFonts w:ascii="Arial" w:hAnsi="Arial"/>
          <w:sz w:val="22"/>
          <w:szCs w:val="22"/>
        </w:rPr>
        <w:t xml:space="preserve"> 2, 3, 4, 5 and 6</w:t>
      </w:r>
      <w:r w:rsidR="002F08A0" w:rsidRPr="000F28E1">
        <w:rPr>
          <w:rFonts w:ascii="Arial" w:hAnsi="Arial"/>
          <w:sz w:val="22"/>
          <w:szCs w:val="22"/>
        </w:rPr>
        <w:t xml:space="preserve"> for patients with decompensated liver disease</w:t>
      </w:r>
      <w:r w:rsidR="001B0B8A">
        <w:rPr>
          <w:rFonts w:ascii="Arial" w:hAnsi="Arial"/>
          <w:sz w:val="22"/>
          <w:szCs w:val="22"/>
        </w:rPr>
        <w:t>.</w:t>
      </w:r>
    </w:p>
    <w:p w:rsidR="00EF44A0" w:rsidRPr="000F28E1" w:rsidRDefault="00EF44A0" w:rsidP="00877C4B">
      <w:pPr>
        <w:pStyle w:val="NoSpacing"/>
      </w:pPr>
    </w:p>
    <w:p w:rsidR="00077143" w:rsidRDefault="006A12A5" w:rsidP="00BD4A45">
      <w:pPr>
        <w:pStyle w:val="Heading1"/>
        <w:numPr>
          <w:ilvl w:val="0"/>
          <w:numId w:val="1"/>
        </w:numPr>
      </w:pPr>
      <w:r w:rsidRPr="000F28E1">
        <w:t>Requested listing</w:t>
      </w:r>
      <w:r w:rsidR="00077143" w:rsidRPr="000F28E1">
        <w:t xml:space="preserve"> </w:t>
      </w:r>
    </w:p>
    <w:p w:rsidR="008A334E" w:rsidRPr="008A334E" w:rsidRDefault="008A334E" w:rsidP="008A334E"/>
    <w:p w:rsidR="005918A1" w:rsidRPr="001B0B8A" w:rsidRDefault="005918A1" w:rsidP="001B0B8A">
      <w:pPr>
        <w:jc w:val="both"/>
        <w:rPr>
          <w:rFonts w:ascii="Arial" w:hAnsi="Arial"/>
          <w:vanish/>
          <w:sz w:val="22"/>
          <w:szCs w:val="22"/>
        </w:rPr>
      </w:pPr>
    </w:p>
    <w:p w:rsidR="00F0373B" w:rsidRPr="000F28E1" w:rsidRDefault="00F0373B" w:rsidP="005918A1">
      <w:pPr>
        <w:pStyle w:val="ListParagraph"/>
        <w:numPr>
          <w:ilvl w:val="1"/>
          <w:numId w:val="1"/>
        </w:numPr>
        <w:jc w:val="both"/>
        <w:rPr>
          <w:rFonts w:ascii="Arial" w:hAnsi="Arial"/>
          <w:sz w:val="22"/>
          <w:szCs w:val="22"/>
        </w:rPr>
      </w:pPr>
      <w:r w:rsidRPr="000F28E1">
        <w:rPr>
          <w:rFonts w:ascii="Arial" w:hAnsi="Arial"/>
          <w:sz w:val="22"/>
          <w:szCs w:val="22"/>
        </w:rPr>
        <w:t>The submission requested changes to the existing listings of ribavirin for the treatment of HCV in combination with other direct acting antiviral agents.</w:t>
      </w:r>
    </w:p>
    <w:p w:rsidR="00F0373B" w:rsidRPr="000F28E1" w:rsidRDefault="00F0373B" w:rsidP="00877C4B">
      <w:pPr>
        <w:jc w:val="both"/>
        <w:rPr>
          <w:rFonts w:ascii="Arial" w:hAnsi="Arial"/>
          <w:sz w:val="22"/>
          <w:szCs w:val="22"/>
        </w:rPr>
      </w:pPr>
    </w:p>
    <w:p w:rsidR="00F0373B" w:rsidRPr="000F28E1" w:rsidRDefault="00F0373B" w:rsidP="00877C4B">
      <w:pPr>
        <w:pStyle w:val="ListParagraph"/>
        <w:numPr>
          <w:ilvl w:val="1"/>
          <w:numId w:val="1"/>
        </w:numPr>
        <w:jc w:val="both"/>
        <w:rPr>
          <w:rFonts w:ascii="Arial" w:hAnsi="Arial"/>
          <w:sz w:val="22"/>
          <w:szCs w:val="22"/>
        </w:rPr>
      </w:pPr>
      <w:r w:rsidRPr="000F28E1">
        <w:rPr>
          <w:rFonts w:ascii="Arial" w:hAnsi="Arial"/>
          <w:sz w:val="22"/>
          <w:szCs w:val="22"/>
        </w:rPr>
        <w:t xml:space="preserve">Treatment regimens for HCV infection are not contained within individual prescribing rules for medicines used for this indication. The minor submission requested an amendment to the treatment matrix within </w:t>
      </w:r>
      <w:r w:rsidR="007916FD" w:rsidRPr="000F28E1">
        <w:rPr>
          <w:rFonts w:ascii="Arial" w:hAnsi="Arial"/>
          <w:sz w:val="22"/>
          <w:szCs w:val="22"/>
        </w:rPr>
        <w:t>the</w:t>
      </w:r>
      <w:r w:rsidRPr="000F28E1">
        <w:rPr>
          <w:rFonts w:ascii="Arial" w:hAnsi="Arial"/>
          <w:sz w:val="22"/>
          <w:szCs w:val="22"/>
        </w:rPr>
        <w:t xml:space="preserve"> General statement for drugs for the treatment of hepatitis.</w:t>
      </w:r>
    </w:p>
    <w:p w:rsidR="006F09C9" w:rsidRPr="000F28E1" w:rsidRDefault="006F09C9" w:rsidP="00877C4B">
      <w:pPr>
        <w:jc w:val="both"/>
        <w:rPr>
          <w:rFonts w:ascii="Arial" w:hAnsi="Arial"/>
          <w:b/>
          <w:sz w:val="22"/>
          <w:szCs w:val="22"/>
        </w:rPr>
        <w:sectPr w:rsidR="006F09C9" w:rsidRPr="000F28E1" w:rsidSect="00F0373B">
          <w:headerReference w:type="even" r:id="rId9"/>
          <w:headerReference w:type="default" r:id="rId10"/>
          <w:footerReference w:type="even" r:id="rId11"/>
          <w:footerReference w:type="default" r:id="rId12"/>
          <w:footerReference w:type="first" r:id="rId13"/>
          <w:footnotePr>
            <w:pos w:val="beneathText"/>
          </w:footnotePr>
          <w:type w:val="continuous"/>
          <w:pgSz w:w="11906" w:h="16838" w:code="9"/>
          <w:pgMar w:top="1440" w:right="1440" w:bottom="1440" w:left="1440" w:header="1440" w:footer="1440" w:gutter="0"/>
          <w:cols w:space="708"/>
          <w:docGrid w:linePitch="360"/>
        </w:sectPr>
      </w:pPr>
    </w:p>
    <w:p w:rsidR="00BB7EC3" w:rsidRPr="000F28E1" w:rsidRDefault="00BB7EC3" w:rsidP="00877C4B">
      <w:pPr>
        <w:jc w:val="both"/>
        <w:rPr>
          <w:rFonts w:ascii="Arial" w:hAnsi="Arial"/>
          <w:b/>
          <w:sz w:val="22"/>
          <w:szCs w:val="22"/>
        </w:rPr>
      </w:pPr>
    </w:p>
    <w:p w:rsidR="00CE10C4" w:rsidRPr="000F28E1" w:rsidRDefault="00CE10C4" w:rsidP="00877C4B">
      <w:pPr>
        <w:pStyle w:val="Heading1"/>
        <w:numPr>
          <w:ilvl w:val="0"/>
          <w:numId w:val="1"/>
        </w:numPr>
      </w:pPr>
      <w:r w:rsidRPr="000F28E1">
        <w:t>Background</w:t>
      </w:r>
    </w:p>
    <w:p w:rsidR="006A12A5" w:rsidRPr="000F28E1" w:rsidRDefault="006A12A5" w:rsidP="00877C4B">
      <w:pPr>
        <w:jc w:val="both"/>
        <w:rPr>
          <w:rFonts w:ascii="Arial" w:hAnsi="Arial"/>
          <w:sz w:val="22"/>
          <w:szCs w:val="22"/>
        </w:rPr>
      </w:pPr>
    </w:p>
    <w:p w:rsidR="002B1AE6" w:rsidRPr="000F28E1" w:rsidRDefault="005E4901" w:rsidP="00877C4B">
      <w:pPr>
        <w:pStyle w:val="ListParagraph"/>
        <w:numPr>
          <w:ilvl w:val="1"/>
          <w:numId w:val="1"/>
        </w:numPr>
        <w:jc w:val="both"/>
        <w:rPr>
          <w:rFonts w:ascii="Arial" w:hAnsi="Arial"/>
          <w:sz w:val="22"/>
          <w:szCs w:val="22"/>
        </w:rPr>
      </w:pPr>
      <w:r w:rsidRPr="000F28E1">
        <w:rPr>
          <w:rFonts w:ascii="Arial" w:hAnsi="Arial"/>
          <w:sz w:val="22"/>
          <w:szCs w:val="22"/>
        </w:rPr>
        <w:t>Single agent r</w:t>
      </w:r>
      <w:r w:rsidR="000D11AA" w:rsidRPr="000F28E1">
        <w:rPr>
          <w:rFonts w:ascii="Arial" w:hAnsi="Arial"/>
          <w:sz w:val="22"/>
          <w:szCs w:val="22"/>
        </w:rPr>
        <w:t>ibavirin</w:t>
      </w:r>
      <w:r w:rsidRPr="000F28E1">
        <w:rPr>
          <w:rFonts w:ascii="Arial" w:hAnsi="Arial"/>
          <w:sz w:val="22"/>
          <w:szCs w:val="22"/>
        </w:rPr>
        <w:t xml:space="preserve"> was</w:t>
      </w:r>
      <w:r w:rsidR="00476245" w:rsidRPr="000F28E1">
        <w:rPr>
          <w:rFonts w:ascii="Arial" w:hAnsi="Arial"/>
          <w:sz w:val="22"/>
          <w:szCs w:val="22"/>
        </w:rPr>
        <w:t xml:space="preserve"> </w:t>
      </w:r>
      <w:r w:rsidRPr="000F28E1">
        <w:rPr>
          <w:rFonts w:ascii="Arial" w:hAnsi="Arial"/>
          <w:sz w:val="22"/>
          <w:szCs w:val="22"/>
        </w:rPr>
        <w:t>registered by the TGA</w:t>
      </w:r>
      <w:r w:rsidR="00476245" w:rsidRPr="000F28E1">
        <w:rPr>
          <w:rFonts w:ascii="Arial" w:hAnsi="Arial"/>
          <w:sz w:val="22"/>
          <w:szCs w:val="22"/>
        </w:rPr>
        <w:t xml:space="preserve"> for</w:t>
      </w:r>
      <w:r w:rsidR="000D11AA" w:rsidRPr="000F28E1">
        <w:rPr>
          <w:rFonts w:ascii="Arial" w:hAnsi="Arial"/>
          <w:sz w:val="22"/>
          <w:szCs w:val="22"/>
        </w:rPr>
        <w:t xml:space="preserve"> treatment</w:t>
      </w:r>
      <w:r w:rsidRPr="000F28E1">
        <w:rPr>
          <w:rFonts w:ascii="Arial" w:hAnsi="Arial"/>
          <w:sz w:val="22"/>
          <w:szCs w:val="22"/>
        </w:rPr>
        <w:t>,</w:t>
      </w:r>
      <w:r w:rsidR="000D11AA" w:rsidRPr="000F28E1">
        <w:rPr>
          <w:rFonts w:ascii="Arial" w:hAnsi="Arial"/>
          <w:sz w:val="22"/>
          <w:szCs w:val="22"/>
        </w:rPr>
        <w:t xml:space="preserve"> in com</w:t>
      </w:r>
      <w:r w:rsidRPr="000F28E1">
        <w:rPr>
          <w:rFonts w:ascii="Arial" w:hAnsi="Arial"/>
          <w:sz w:val="22"/>
          <w:szCs w:val="22"/>
        </w:rPr>
        <w:t xml:space="preserve">bination with other oral agents, </w:t>
      </w:r>
      <w:r w:rsidR="000D11AA" w:rsidRPr="000F28E1">
        <w:rPr>
          <w:rFonts w:ascii="Arial" w:hAnsi="Arial"/>
          <w:sz w:val="22"/>
          <w:szCs w:val="22"/>
        </w:rPr>
        <w:t>of chronic hepatitis C</w:t>
      </w:r>
      <w:r w:rsidRPr="000F28E1">
        <w:rPr>
          <w:rFonts w:ascii="Arial" w:hAnsi="Arial"/>
          <w:sz w:val="22"/>
          <w:szCs w:val="22"/>
        </w:rPr>
        <w:t xml:space="preserve"> on 26 February 2015.</w:t>
      </w:r>
    </w:p>
    <w:p w:rsidR="002F08A0" w:rsidRPr="000F28E1" w:rsidRDefault="002F08A0" w:rsidP="00877C4B">
      <w:pPr>
        <w:jc w:val="both"/>
        <w:rPr>
          <w:rFonts w:ascii="Arial" w:hAnsi="Arial"/>
          <w:i/>
          <w:sz w:val="22"/>
          <w:szCs w:val="22"/>
        </w:rPr>
      </w:pPr>
    </w:p>
    <w:p w:rsidR="001D673B" w:rsidRPr="000F28E1" w:rsidRDefault="002F08A0" w:rsidP="00877C4B">
      <w:pPr>
        <w:pStyle w:val="ListParagraph"/>
        <w:numPr>
          <w:ilvl w:val="1"/>
          <w:numId w:val="1"/>
        </w:numPr>
        <w:jc w:val="both"/>
        <w:rPr>
          <w:rFonts w:ascii="Arial" w:hAnsi="Arial"/>
          <w:sz w:val="22"/>
          <w:szCs w:val="22"/>
        </w:rPr>
      </w:pPr>
      <w:r w:rsidRPr="000F28E1">
        <w:rPr>
          <w:rFonts w:ascii="Arial" w:hAnsi="Arial"/>
          <w:sz w:val="22"/>
          <w:szCs w:val="22"/>
        </w:rPr>
        <w:t xml:space="preserve">The PBAC previously considered treatment regimens for the various </w:t>
      </w:r>
      <w:r w:rsidR="000E7117" w:rsidRPr="000F28E1">
        <w:rPr>
          <w:rFonts w:ascii="Arial" w:hAnsi="Arial"/>
          <w:sz w:val="22"/>
          <w:szCs w:val="22"/>
        </w:rPr>
        <w:t xml:space="preserve">CHC </w:t>
      </w:r>
      <w:r w:rsidRPr="000F28E1">
        <w:rPr>
          <w:rFonts w:ascii="Arial" w:hAnsi="Arial"/>
          <w:sz w:val="22"/>
          <w:szCs w:val="22"/>
        </w:rPr>
        <w:t>genotypes in 2015, and did not recommend treatment regimens containing daclatasvir and sofosbuvir +/- ribavirin for GT 4/5/6 on the basis of limited evidence to support them.</w:t>
      </w:r>
    </w:p>
    <w:p w:rsidR="006B0D94" w:rsidRPr="000F28E1" w:rsidRDefault="006B0D94" w:rsidP="00010C90">
      <w:pPr>
        <w:jc w:val="both"/>
        <w:rPr>
          <w:rFonts w:ascii="Arial" w:hAnsi="Arial"/>
          <w:sz w:val="22"/>
          <w:szCs w:val="22"/>
        </w:rPr>
      </w:pPr>
    </w:p>
    <w:p w:rsidR="00326E79" w:rsidRPr="000F28E1" w:rsidRDefault="000D11AA" w:rsidP="00877C4B">
      <w:pPr>
        <w:pStyle w:val="ListParagraph"/>
        <w:numPr>
          <w:ilvl w:val="1"/>
          <w:numId w:val="1"/>
        </w:numPr>
        <w:jc w:val="both"/>
        <w:rPr>
          <w:rFonts w:ascii="Arial" w:hAnsi="Arial"/>
          <w:sz w:val="22"/>
          <w:szCs w:val="22"/>
        </w:rPr>
      </w:pPr>
      <w:r w:rsidRPr="000F28E1">
        <w:rPr>
          <w:rFonts w:ascii="Arial" w:hAnsi="Arial"/>
          <w:sz w:val="22"/>
          <w:szCs w:val="22"/>
        </w:rPr>
        <w:t xml:space="preserve">The PBAC has previously considered ribavirin for treatment of </w:t>
      </w:r>
      <w:r w:rsidR="000E7117" w:rsidRPr="000F28E1">
        <w:rPr>
          <w:rFonts w:ascii="Arial" w:hAnsi="Arial"/>
          <w:sz w:val="22"/>
          <w:szCs w:val="22"/>
        </w:rPr>
        <w:t>CHC</w:t>
      </w:r>
      <w:r w:rsidR="002F08A0" w:rsidRPr="000F28E1">
        <w:rPr>
          <w:rFonts w:ascii="Arial" w:hAnsi="Arial"/>
          <w:sz w:val="22"/>
          <w:szCs w:val="22"/>
        </w:rPr>
        <w:t xml:space="preserve"> as part of a regimen containing direct acting antivirals</w:t>
      </w:r>
      <w:r w:rsidRPr="000F28E1">
        <w:rPr>
          <w:rFonts w:ascii="Arial" w:hAnsi="Arial"/>
          <w:sz w:val="22"/>
          <w:szCs w:val="22"/>
        </w:rPr>
        <w:t xml:space="preserve"> </w:t>
      </w:r>
      <w:r w:rsidR="007E7080" w:rsidRPr="000F28E1">
        <w:rPr>
          <w:rFonts w:ascii="Arial" w:hAnsi="Arial"/>
          <w:sz w:val="22"/>
          <w:szCs w:val="22"/>
        </w:rPr>
        <w:t xml:space="preserve">on </w:t>
      </w:r>
      <w:r w:rsidR="002F08A0" w:rsidRPr="000F28E1">
        <w:rPr>
          <w:rFonts w:ascii="Arial" w:hAnsi="Arial"/>
          <w:sz w:val="22"/>
          <w:szCs w:val="22"/>
        </w:rPr>
        <w:t xml:space="preserve">several </w:t>
      </w:r>
      <w:r w:rsidR="007E7080" w:rsidRPr="000F28E1">
        <w:rPr>
          <w:rFonts w:ascii="Arial" w:hAnsi="Arial"/>
          <w:sz w:val="22"/>
          <w:szCs w:val="22"/>
        </w:rPr>
        <w:t>occasions. These previous considerations are summarised below:</w:t>
      </w:r>
    </w:p>
    <w:p w:rsidR="007E7080" w:rsidRPr="000F28E1" w:rsidRDefault="007E7080" w:rsidP="00877C4B">
      <w:pPr>
        <w:pStyle w:val="ListParagraph"/>
        <w:rPr>
          <w:rFonts w:ascii="Arial" w:hAnsi="Arial"/>
          <w:sz w:val="22"/>
          <w:szCs w:val="22"/>
        </w:rPr>
      </w:pPr>
    </w:p>
    <w:p w:rsidR="007E7080" w:rsidRPr="000F28E1" w:rsidRDefault="007E7080" w:rsidP="00313DC8">
      <w:pPr>
        <w:pStyle w:val="ListParagraph"/>
        <w:numPr>
          <w:ilvl w:val="1"/>
          <w:numId w:val="6"/>
        </w:numPr>
        <w:ind w:left="1276" w:hanging="567"/>
        <w:jc w:val="both"/>
        <w:rPr>
          <w:rFonts w:ascii="Arial" w:hAnsi="Arial"/>
          <w:sz w:val="22"/>
          <w:szCs w:val="22"/>
        </w:rPr>
      </w:pPr>
      <w:r w:rsidRPr="000F28E1">
        <w:rPr>
          <w:rFonts w:ascii="Arial" w:hAnsi="Arial"/>
          <w:sz w:val="22"/>
          <w:szCs w:val="22"/>
        </w:rPr>
        <w:t>March 2015, PBAC rejected the submission for S100 (Highly Specialised Drugs Prog</w:t>
      </w:r>
      <w:r w:rsidR="00D41ACE" w:rsidRPr="000F28E1">
        <w:rPr>
          <w:rFonts w:ascii="Arial" w:hAnsi="Arial"/>
          <w:sz w:val="22"/>
          <w:szCs w:val="22"/>
        </w:rPr>
        <w:t xml:space="preserve">ram) listing of ribavirin co-prescribed </w:t>
      </w:r>
      <w:r w:rsidRPr="000F28E1">
        <w:rPr>
          <w:rFonts w:ascii="Arial" w:hAnsi="Arial"/>
          <w:sz w:val="22"/>
          <w:szCs w:val="22"/>
        </w:rPr>
        <w:t xml:space="preserve">with sofosbuvir for the treatment of GT 2 or 3 </w:t>
      </w:r>
      <w:r w:rsidR="00626F14" w:rsidRPr="000F28E1">
        <w:rPr>
          <w:rFonts w:ascii="Arial" w:hAnsi="Arial"/>
          <w:sz w:val="22"/>
          <w:szCs w:val="22"/>
        </w:rPr>
        <w:t>HCV</w:t>
      </w:r>
      <w:r w:rsidRPr="000F28E1">
        <w:rPr>
          <w:rFonts w:ascii="Arial" w:hAnsi="Arial"/>
          <w:sz w:val="22"/>
          <w:szCs w:val="22"/>
        </w:rPr>
        <w:t xml:space="preserve"> on the basis of inadequately justified incremental cost effectiveness compared to the existing ribavirin and peg</w:t>
      </w:r>
      <w:r w:rsidR="00C47D46" w:rsidRPr="000F28E1">
        <w:rPr>
          <w:rFonts w:ascii="Arial" w:hAnsi="Arial"/>
          <w:sz w:val="22"/>
          <w:szCs w:val="22"/>
        </w:rPr>
        <w:t>-</w:t>
      </w:r>
      <w:r w:rsidRPr="000F28E1">
        <w:rPr>
          <w:rFonts w:ascii="Arial" w:hAnsi="Arial"/>
          <w:sz w:val="22"/>
          <w:szCs w:val="22"/>
        </w:rPr>
        <w:t>interferon combination items.</w:t>
      </w:r>
    </w:p>
    <w:p w:rsidR="007E7080" w:rsidRPr="000F28E1" w:rsidRDefault="007E7080" w:rsidP="00544466">
      <w:pPr>
        <w:pStyle w:val="ListParagraph"/>
        <w:numPr>
          <w:ilvl w:val="1"/>
          <w:numId w:val="6"/>
        </w:numPr>
        <w:ind w:left="1276" w:hanging="567"/>
        <w:jc w:val="both"/>
        <w:rPr>
          <w:rFonts w:ascii="Arial" w:hAnsi="Arial"/>
          <w:sz w:val="22"/>
          <w:szCs w:val="22"/>
        </w:rPr>
      </w:pPr>
      <w:r w:rsidRPr="000F28E1">
        <w:rPr>
          <w:rFonts w:ascii="Arial" w:hAnsi="Arial"/>
          <w:sz w:val="22"/>
          <w:szCs w:val="22"/>
        </w:rPr>
        <w:t>July 2015, PBAC deferred the submission for standalone ribavirin</w:t>
      </w:r>
      <w:r w:rsidR="002A10F4" w:rsidRPr="000F28E1">
        <w:rPr>
          <w:rFonts w:ascii="Arial" w:hAnsi="Arial"/>
          <w:sz w:val="22"/>
          <w:szCs w:val="22"/>
        </w:rPr>
        <w:t xml:space="preserve"> on the basis of uncertain use in association with other oral interferon-free regimens, and as the requested listing may</w:t>
      </w:r>
      <w:r w:rsidR="002F08A0" w:rsidRPr="000F28E1">
        <w:rPr>
          <w:rFonts w:ascii="Arial" w:hAnsi="Arial"/>
          <w:sz w:val="22"/>
          <w:szCs w:val="22"/>
        </w:rPr>
        <w:t xml:space="preserve"> have</w:t>
      </w:r>
      <w:r w:rsidR="002A10F4" w:rsidRPr="000F28E1">
        <w:rPr>
          <w:rFonts w:ascii="Arial" w:hAnsi="Arial"/>
          <w:sz w:val="22"/>
          <w:szCs w:val="22"/>
        </w:rPr>
        <w:t xml:space="preserve"> inappropriate</w:t>
      </w:r>
      <w:r w:rsidR="002F08A0" w:rsidRPr="000F28E1">
        <w:rPr>
          <w:rFonts w:ascii="Arial" w:hAnsi="Arial"/>
          <w:sz w:val="22"/>
          <w:szCs w:val="22"/>
        </w:rPr>
        <w:t>ly</w:t>
      </w:r>
      <w:r w:rsidR="002A10F4" w:rsidRPr="000F28E1">
        <w:rPr>
          <w:rFonts w:ascii="Arial" w:hAnsi="Arial"/>
          <w:sz w:val="22"/>
          <w:szCs w:val="22"/>
        </w:rPr>
        <w:t xml:space="preserve"> restrict</w:t>
      </w:r>
      <w:r w:rsidR="00F0373B" w:rsidRPr="000F28E1">
        <w:rPr>
          <w:rFonts w:ascii="Arial" w:hAnsi="Arial"/>
          <w:sz w:val="22"/>
          <w:szCs w:val="22"/>
        </w:rPr>
        <w:t>ed</w:t>
      </w:r>
      <w:r w:rsidR="002A10F4" w:rsidRPr="000F28E1">
        <w:rPr>
          <w:rFonts w:ascii="Arial" w:hAnsi="Arial"/>
          <w:sz w:val="22"/>
          <w:szCs w:val="22"/>
        </w:rPr>
        <w:t xml:space="preserve"> availability of ribavirin to patients infected with other </w:t>
      </w:r>
      <w:r w:rsidR="00626F14" w:rsidRPr="000F28E1">
        <w:rPr>
          <w:rFonts w:ascii="Arial" w:hAnsi="Arial"/>
          <w:sz w:val="22"/>
          <w:szCs w:val="22"/>
        </w:rPr>
        <w:t>HCV</w:t>
      </w:r>
      <w:r w:rsidR="002A10F4" w:rsidRPr="000F28E1">
        <w:rPr>
          <w:rFonts w:ascii="Arial" w:hAnsi="Arial"/>
          <w:sz w:val="22"/>
          <w:szCs w:val="22"/>
        </w:rPr>
        <w:t xml:space="preserve"> genotypes.</w:t>
      </w:r>
    </w:p>
    <w:p w:rsidR="00B90581" w:rsidRPr="001B0B8A" w:rsidRDefault="002A10F4" w:rsidP="00B90581">
      <w:pPr>
        <w:pStyle w:val="ListParagraph"/>
        <w:numPr>
          <w:ilvl w:val="1"/>
          <w:numId w:val="6"/>
        </w:numPr>
        <w:ind w:left="1276" w:hanging="567"/>
        <w:jc w:val="both"/>
        <w:rPr>
          <w:rFonts w:ascii="Arial" w:hAnsi="Arial"/>
          <w:sz w:val="22"/>
          <w:szCs w:val="22"/>
        </w:rPr>
      </w:pPr>
      <w:r w:rsidRPr="000F28E1">
        <w:rPr>
          <w:rFonts w:ascii="Arial" w:hAnsi="Arial"/>
          <w:sz w:val="22"/>
          <w:szCs w:val="22"/>
        </w:rPr>
        <w:t>November 2015, PBAC recommended the listing of ribavirin in combination with</w:t>
      </w:r>
      <w:r w:rsidR="00010C90" w:rsidRPr="000F28E1">
        <w:rPr>
          <w:rFonts w:ascii="Arial" w:hAnsi="Arial"/>
          <w:sz w:val="22"/>
          <w:szCs w:val="22"/>
        </w:rPr>
        <w:t xml:space="preserve"> other direct-acting antivirals.</w:t>
      </w:r>
    </w:p>
    <w:p w:rsidR="00CF2F2A" w:rsidRPr="000F28E1" w:rsidRDefault="00CF2F2A" w:rsidP="00877C4B">
      <w:pPr>
        <w:jc w:val="both"/>
        <w:rPr>
          <w:rFonts w:ascii="Arial" w:hAnsi="Arial"/>
          <w:b/>
          <w:sz w:val="22"/>
          <w:szCs w:val="22"/>
        </w:rPr>
      </w:pPr>
    </w:p>
    <w:p w:rsidR="00CE10C4" w:rsidRDefault="00D41F3A" w:rsidP="00877C4B">
      <w:pPr>
        <w:pStyle w:val="Heading1"/>
        <w:numPr>
          <w:ilvl w:val="0"/>
          <w:numId w:val="1"/>
        </w:numPr>
      </w:pPr>
      <w:r w:rsidRPr="000F28E1">
        <w:t>Current situation</w:t>
      </w:r>
    </w:p>
    <w:p w:rsidR="001B0B8A" w:rsidRPr="001B0B8A" w:rsidRDefault="001B0B8A" w:rsidP="001B0B8A"/>
    <w:p w:rsidR="006A12A5" w:rsidRPr="000F28E1" w:rsidRDefault="00D41F3A" w:rsidP="00877C4B">
      <w:pPr>
        <w:pStyle w:val="ListParagraph"/>
        <w:numPr>
          <w:ilvl w:val="1"/>
          <w:numId w:val="1"/>
        </w:numPr>
        <w:jc w:val="both"/>
        <w:rPr>
          <w:rFonts w:ascii="Arial" w:hAnsi="Arial"/>
          <w:sz w:val="22"/>
          <w:szCs w:val="22"/>
        </w:rPr>
      </w:pPr>
      <w:r w:rsidRPr="000F28E1">
        <w:rPr>
          <w:rFonts w:ascii="Arial" w:hAnsi="Arial"/>
          <w:sz w:val="22"/>
          <w:szCs w:val="22"/>
        </w:rPr>
        <w:lastRenderedPageBreak/>
        <w:t xml:space="preserve">The current treatment regimen matrices </w:t>
      </w:r>
      <w:r w:rsidR="003719A0" w:rsidRPr="000F28E1">
        <w:rPr>
          <w:rFonts w:ascii="Arial" w:hAnsi="Arial"/>
          <w:sz w:val="22"/>
          <w:szCs w:val="22"/>
        </w:rPr>
        <w:t xml:space="preserve">for </w:t>
      </w:r>
      <w:r w:rsidRPr="000F28E1">
        <w:rPr>
          <w:rFonts w:ascii="Arial" w:hAnsi="Arial"/>
          <w:sz w:val="22"/>
          <w:szCs w:val="22"/>
        </w:rPr>
        <w:t xml:space="preserve">cirrhotic patients are </w:t>
      </w:r>
      <w:r w:rsidR="00D41ACE" w:rsidRPr="000F28E1">
        <w:rPr>
          <w:rFonts w:ascii="Arial" w:hAnsi="Arial"/>
          <w:sz w:val="22"/>
          <w:szCs w:val="22"/>
        </w:rPr>
        <w:t>included</w:t>
      </w:r>
      <w:r w:rsidRPr="000F28E1">
        <w:rPr>
          <w:rFonts w:ascii="Arial" w:hAnsi="Arial"/>
          <w:sz w:val="22"/>
          <w:szCs w:val="22"/>
        </w:rPr>
        <w:t xml:space="preserve"> below (source: General Statement for Drugs for the Treatment of H</w:t>
      </w:r>
      <w:r w:rsidR="00D41ACE" w:rsidRPr="000F28E1">
        <w:rPr>
          <w:rFonts w:ascii="Arial" w:hAnsi="Arial"/>
          <w:sz w:val="22"/>
          <w:szCs w:val="22"/>
        </w:rPr>
        <w:t>epatitis </w:t>
      </w:r>
      <w:r w:rsidRPr="000F28E1">
        <w:rPr>
          <w:rFonts w:ascii="Arial" w:hAnsi="Arial"/>
          <w:sz w:val="22"/>
          <w:szCs w:val="22"/>
        </w:rPr>
        <w:t>C)</w:t>
      </w:r>
      <w:r w:rsidR="00206171" w:rsidRPr="000F28E1">
        <w:rPr>
          <w:rFonts w:ascii="Arial" w:hAnsi="Arial"/>
          <w:sz w:val="22"/>
          <w:szCs w:val="22"/>
        </w:rPr>
        <w:t>.</w:t>
      </w:r>
    </w:p>
    <w:p w:rsidR="00FA1104" w:rsidRPr="000F28E1" w:rsidRDefault="00FA1104" w:rsidP="00877C4B">
      <w:pPr>
        <w:keepNext/>
        <w:jc w:val="both"/>
        <w:rPr>
          <w:rFonts w:ascii="Arial" w:hAnsi="Arial"/>
          <w:sz w:val="22"/>
          <w:szCs w:val="22"/>
        </w:rPr>
      </w:pPr>
    </w:p>
    <w:tbl>
      <w:tblPr>
        <w:tblStyle w:val="TableGrid"/>
        <w:tblW w:w="0" w:type="auto"/>
        <w:tblInd w:w="817" w:type="dxa"/>
        <w:tblLook w:val="04A0" w:firstRow="1" w:lastRow="0" w:firstColumn="1" w:lastColumn="0" w:noHBand="0" w:noVBand="1"/>
      </w:tblPr>
      <w:tblGrid>
        <w:gridCol w:w="1319"/>
        <w:gridCol w:w="3478"/>
        <w:gridCol w:w="3628"/>
      </w:tblGrid>
      <w:tr w:rsidR="00FA1104" w:rsidRPr="000F28E1" w:rsidTr="00313DC8">
        <w:trPr>
          <w:cantSplit/>
          <w:tblHeader/>
        </w:trPr>
        <w:tc>
          <w:tcPr>
            <w:tcW w:w="0" w:type="auto"/>
          </w:tcPr>
          <w:p w:rsidR="00FA1104" w:rsidRPr="000F28E1" w:rsidRDefault="00FA1104" w:rsidP="00877C4B">
            <w:pPr>
              <w:keepNext/>
              <w:rPr>
                <w:rFonts w:ascii="Arial" w:hAnsi="Arial" w:cs="Arial"/>
                <w:b/>
                <w:sz w:val="20"/>
                <w:szCs w:val="20"/>
              </w:rPr>
            </w:pPr>
          </w:p>
        </w:tc>
        <w:tc>
          <w:tcPr>
            <w:tcW w:w="0" w:type="auto"/>
          </w:tcPr>
          <w:p w:rsidR="00FA1104" w:rsidRPr="000F28E1" w:rsidRDefault="00FA1104" w:rsidP="00877C4B">
            <w:pPr>
              <w:keepNext/>
              <w:rPr>
                <w:rFonts w:ascii="Arial" w:hAnsi="Arial" w:cs="Arial"/>
                <w:b/>
                <w:sz w:val="20"/>
                <w:szCs w:val="20"/>
              </w:rPr>
            </w:pPr>
            <w:r w:rsidRPr="000F28E1">
              <w:rPr>
                <w:rFonts w:ascii="Arial" w:hAnsi="Arial" w:cs="Arial"/>
                <w:b/>
                <w:sz w:val="20"/>
                <w:szCs w:val="20"/>
              </w:rPr>
              <w:t>Treatment naïve</w:t>
            </w:r>
          </w:p>
        </w:tc>
        <w:tc>
          <w:tcPr>
            <w:tcW w:w="0" w:type="auto"/>
          </w:tcPr>
          <w:p w:rsidR="00FA1104" w:rsidRPr="000F28E1" w:rsidRDefault="00FA1104" w:rsidP="00877C4B">
            <w:pPr>
              <w:keepNext/>
              <w:rPr>
                <w:rFonts w:ascii="Arial" w:hAnsi="Arial" w:cs="Arial"/>
                <w:b/>
                <w:sz w:val="20"/>
                <w:szCs w:val="20"/>
              </w:rPr>
            </w:pPr>
            <w:r w:rsidRPr="000F28E1">
              <w:rPr>
                <w:rFonts w:ascii="Arial" w:hAnsi="Arial" w:cs="Arial"/>
                <w:b/>
                <w:sz w:val="20"/>
                <w:szCs w:val="20"/>
              </w:rPr>
              <w:t>Treatment experienced</w:t>
            </w:r>
          </w:p>
        </w:tc>
      </w:tr>
      <w:tr w:rsidR="00FA1104" w:rsidRPr="000F28E1" w:rsidTr="00313DC8">
        <w:tc>
          <w:tcPr>
            <w:tcW w:w="0" w:type="auto"/>
          </w:tcPr>
          <w:p w:rsidR="00FA1104" w:rsidRPr="000F28E1" w:rsidRDefault="00FA1104" w:rsidP="00877C4B">
            <w:pPr>
              <w:keepNext/>
              <w:rPr>
                <w:rFonts w:ascii="Arial" w:hAnsi="Arial" w:cs="Arial"/>
                <w:b/>
                <w:sz w:val="20"/>
                <w:szCs w:val="20"/>
              </w:rPr>
            </w:pPr>
            <w:r w:rsidRPr="000F28E1">
              <w:rPr>
                <w:rFonts w:ascii="Arial" w:hAnsi="Arial" w:cs="Arial"/>
                <w:b/>
                <w:sz w:val="20"/>
                <w:szCs w:val="20"/>
              </w:rPr>
              <w:t>Genotype 1</w:t>
            </w:r>
          </w:p>
        </w:tc>
        <w:tc>
          <w:tcPr>
            <w:tcW w:w="0" w:type="auto"/>
          </w:tcPr>
          <w:p w:rsidR="00FA1104" w:rsidRPr="000F28E1" w:rsidRDefault="00FA1104" w:rsidP="00877C4B">
            <w:pPr>
              <w:keepNext/>
              <w:rPr>
                <w:rFonts w:ascii="Arial" w:hAnsi="Arial" w:cs="Arial"/>
                <w:sz w:val="20"/>
                <w:szCs w:val="20"/>
              </w:rPr>
            </w:pPr>
            <w:r w:rsidRPr="000F28E1">
              <w:rPr>
                <w:rFonts w:ascii="Arial" w:hAnsi="Arial" w:cs="Arial"/>
                <w:sz w:val="20"/>
                <w:szCs w:val="20"/>
              </w:rPr>
              <w:t xml:space="preserve">LEDIPASVIR + SOFOSBUVIR </w:t>
            </w:r>
          </w:p>
          <w:p w:rsidR="00FA1104" w:rsidRPr="000F28E1" w:rsidRDefault="00FA1104" w:rsidP="00877C4B">
            <w:pPr>
              <w:keepNext/>
              <w:rPr>
                <w:rFonts w:ascii="Arial" w:hAnsi="Arial" w:cs="Arial"/>
                <w:sz w:val="20"/>
                <w:szCs w:val="20"/>
              </w:rPr>
            </w:pPr>
            <w:r w:rsidRPr="000F28E1">
              <w:rPr>
                <w:rFonts w:ascii="Arial" w:hAnsi="Arial" w:cs="Arial"/>
                <w:sz w:val="20"/>
                <w:szCs w:val="20"/>
              </w:rPr>
              <w:t>[12 weeks]</w:t>
            </w:r>
          </w:p>
          <w:p w:rsidR="00FA1104" w:rsidRPr="000F28E1" w:rsidRDefault="00FA1104" w:rsidP="00877C4B">
            <w:pPr>
              <w:keepNext/>
              <w:rPr>
                <w:rFonts w:ascii="Arial" w:hAnsi="Arial" w:cs="Arial"/>
                <w:sz w:val="20"/>
                <w:szCs w:val="20"/>
              </w:rPr>
            </w:pPr>
          </w:p>
          <w:p w:rsidR="00FA1104" w:rsidRPr="000F28E1" w:rsidRDefault="00FA1104" w:rsidP="00877C4B">
            <w:pPr>
              <w:keepNext/>
              <w:rPr>
                <w:rFonts w:ascii="Arial" w:hAnsi="Arial" w:cs="Arial"/>
                <w:sz w:val="20"/>
                <w:szCs w:val="20"/>
              </w:rPr>
            </w:pPr>
            <w:r w:rsidRPr="000F28E1">
              <w:rPr>
                <w:rFonts w:ascii="Arial" w:hAnsi="Arial" w:cs="Arial"/>
                <w:sz w:val="20"/>
                <w:szCs w:val="20"/>
              </w:rPr>
              <w:t>OR</w:t>
            </w:r>
          </w:p>
          <w:p w:rsidR="00FA1104" w:rsidRPr="000F28E1" w:rsidRDefault="00FA1104" w:rsidP="00877C4B">
            <w:pPr>
              <w:keepNext/>
              <w:rPr>
                <w:rFonts w:ascii="Arial" w:hAnsi="Arial" w:cs="Arial"/>
                <w:sz w:val="20"/>
                <w:szCs w:val="20"/>
              </w:rPr>
            </w:pPr>
            <w:r w:rsidRPr="000F28E1">
              <w:rPr>
                <w:rFonts w:ascii="Arial" w:hAnsi="Arial" w:cs="Arial"/>
                <w:sz w:val="20"/>
                <w:szCs w:val="20"/>
              </w:rPr>
              <w:t xml:space="preserve">DACLATASVIR and SOFOSBUVIR </w:t>
            </w:r>
          </w:p>
          <w:p w:rsidR="00FA1104" w:rsidRPr="000F28E1" w:rsidRDefault="00FA1104" w:rsidP="00877C4B">
            <w:pPr>
              <w:keepNext/>
              <w:rPr>
                <w:rFonts w:ascii="Arial" w:hAnsi="Arial" w:cs="Arial"/>
                <w:sz w:val="20"/>
                <w:szCs w:val="20"/>
              </w:rPr>
            </w:pPr>
            <w:r w:rsidRPr="000F28E1">
              <w:rPr>
                <w:rFonts w:ascii="Arial" w:hAnsi="Arial" w:cs="Arial"/>
                <w:sz w:val="20"/>
                <w:szCs w:val="20"/>
              </w:rPr>
              <w:t>[</w:t>
            </w:r>
            <w:r w:rsidR="00CD7A01">
              <w:rPr>
                <w:rFonts w:ascii="Arial" w:hAnsi="Arial" w:cs="Arial"/>
                <w:sz w:val="20"/>
                <w:szCs w:val="20"/>
              </w:rPr>
              <w:t>24</w:t>
            </w:r>
            <w:r w:rsidR="00CD7A01" w:rsidRPr="000F28E1">
              <w:rPr>
                <w:rFonts w:ascii="Arial" w:hAnsi="Arial" w:cs="Arial"/>
                <w:sz w:val="20"/>
                <w:szCs w:val="20"/>
              </w:rPr>
              <w:t xml:space="preserve"> </w:t>
            </w:r>
            <w:r w:rsidRPr="000F28E1">
              <w:rPr>
                <w:rFonts w:ascii="Arial" w:hAnsi="Arial" w:cs="Arial"/>
                <w:sz w:val="20"/>
                <w:szCs w:val="20"/>
              </w:rPr>
              <w:t>weeks]</w:t>
            </w:r>
          </w:p>
          <w:p w:rsidR="00FA1104" w:rsidRPr="000F28E1" w:rsidRDefault="00FA1104" w:rsidP="00877C4B">
            <w:pPr>
              <w:keepNext/>
              <w:rPr>
                <w:rFonts w:ascii="Arial" w:hAnsi="Arial" w:cs="Arial"/>
                <w:sz w:val="20"/>
                <w:szCs w:val="20"/>
              </w:rPr>
            </w:pPr>
          </w:p>
          <w:p w:rsidR="00FA1104" w:rsidRPr="000F28E1" w:rsidRDefault="00FA1104" w:rsidP="00877C4B">
            <w:pPr>
              <w:keepNext/>
              <w:rPr>
                <w:rFonts w:ascii="Arial" w:hAnsi="Arial" w:cs="Arial"/>
                <w:sz w:val="20"/>
                <w:szCs w:val="20"/>
              </w:rPr>
            </w:pPr>
            <w:r w:rsidRPr="000F28E1">
              <w:rPr>
                <w:rFonts w:ascii="Arial" w:hAnsi="Arial" w:cs="Arial"/>
                <w:sz w:val="20"/>
                <w:szCs w:val="20"/>
              </w:rPr>
              <w:t>OR</w:t>
            </w:r>
            <w:r w:rsidRPr="000F28E1">
              <w:rPr>
                <w:rFonts w:ascii="Arial" w:hAnsi="Arial" w:cs="Arial"/>
                <w:sz w:val="20"/>
                <w:szCs w:val="20"/>
              </w:rPr>
              <w:br/>
            </w:r>
            <w:r w:rsidR="00C128E7" w:rsidRPr="000F28E1">
              <w:rPr>
                <w:rFonts w:ascii="Arial" w:hAnsi="Arial" w:cs="Arial"/>
                <w:sz w:val="20"/>
                <w:szCs w:val="20"/>
              </w:rPr>
              <w:t>DACLATASVIR and SOFOSBUVIR and RBV [</w:t>
            </w:r>
            <w:r w:rsidR="00CD7A01">
              <w:rPr>
                <w:rFonts w:ascii="Arial" w:hAnsi="Arial" w:cs="Arial"/>
                <w:sz w:val="20"/>
                <w:szCs w:val="20"/>
              </w:rPr>
              <w:t>12</w:t>
            </w:r>
            <w:r w:rsidR="00CD7A01" w:rsidRPr="000F28E1">
              <w:rPr>
                <w:rFonts w:ascii="Arial" w:hAnsi="Arial" w:cs="Arial"/>
                <w:sz w:val="20"/>
                <w:szCs w:val="20"/>
              </w:rPr>
              <w:t xml:space="preserve"> </w:t>
            </w:r>
            <w:r w:rsidR="00C128E7" w:rsidRPr="000F28E1">
              <w:rPr>
                <w:rFonts w:ascii="Arial" w:hAnsi="Arial" w:cs="Arial"/>
                <w:sz w:val="20"/>
                <w:szCs w:val="20"/>
              </w:rPr>
              <w:t>weeks]</w:t>
            </w:r>
          </w:p>
          <w:p w:rsidR="00C128E7" w:rsidRPr="000F28E1" w:rsidRDefault="00C128E7" w:rsidP="00877C4B">
            <w:pPr>
              <w:keepNext/>
              <w:rPr>
                <w:rFonts w:ascii="Arial" w:hAnsi="Arial" w:cs="Arial"/>
                <w:sz w:val="20"/>
                <w:szCs w:val="20"/>
              </w:rPr>
            </w:pPr>
          </w:p>
          <w:p w:rsidR="00C128E7" w:rsidRPr="000F28E1" w:rsidRDefault="00C128E7" w:rsidP="00877C4B">
            <w:pPr>
              <w:keepNext/>
              <w:rPr>
                <w:rFonts w:ascii="Arial" w:hAnsi="Arial" w:cs="Arial"/>
                <w:sz w:val="20"/>
                <w:szCs w:val="20"/>
              </w:rPr>
            </w:pPr>
            <w:r w:rsidRPr="000F28E1">
              <w:rPr>
                <w:rFonts w:ascii="Arial" w:hAnsi="Arial" w:cs="Arial"/>
                <w:sz w:val="20"/>
                <w:szCs w:val="20"/>
              </w:rPr>
              <w:t>OR</w:t>
            </w:r>
          </w:p>
          <w:p w:rsidR="00FA1104" w:rsidRPr="000F28E1" w:rsidRDefault="00FA1104" w:rsidP="00877C4B">
            <w:pPr>
              <w:keepNext/>
              <w:rPr>
                <w:rFonts w:ascii="Arial" w:hAnsi="Arial" w:cs="Arial"/>
                <w:sz w:val="20"/>
                <w:szCs w:val="20"/>
              </w:rPr>
            </w:pPr>
            <w:r w:rsidRPr="000F28E1">
              <w:rPr>
                <w:rFonts w:ascii="Arial" w:hAnsi="Arial" w:cs="Arial"/>
                <w:sz w:val="20"/>
                <w:szCs w:val="20"/>
              </w:rPr>
              <w:t>SOFOSBUVIR and PEG-IFN (&amp;) RBV</w:t>
            </w:r>
            <w:r w:rsidR="000E7117" w:rsidRPr="000F28E1">
              <w:rPr>
                <w:rFonts w:ascii="Arial" w:hAnsi="Arial" w:cs="Arial"/>
                <w:sz w:val="20"/>
                <w:szCs w:val="20"/>
              </w:rPr>
              <w:t xml:space="preserve"> </w:t>
            </w:r>
            <w:r w:rsidRPr="000F28E1">
              <w:rPr>
                <w:rFonts w:ascii="Arial" w:hAnsi="Arial" w:cs="Arial"/>
                <w:sz w:val="20"/>
                <w:szCs w:val="20"/>
              </w:rPr>
              <w:t>[12 weeks]</w:t>
            </w:r>
          </w:p>
          <w:p w:rsidR="00FA1104" w:rsidRPr="000F28E1" w:rsidRDefault="00FA1104" w:rsidP="00877C4B">
            <w:pPr>
              <w:keepNext/>
              <w:rPr>
                <w:rFonts w:ascii="Arial" w:hAnsi="Arial" w:cs="Arial"/>
                <w:sz w:val="20"/>
                <w:szCs w:val="20"/>
              </w:rPr>
            </w:pPr>
          </w:p>
          <w:p w:rsidR="00FA1104" w:rsidRPr="000F28E1" w:rsidRDefault="00FA1104" w:rsidP="00877C4B">
            <w:pPr>
              <w:keepNext/>
              <w:rPr>
                <w:rFonts w:ascii="Arial" w:hAnsi="Arial" w:cs="Arial"/>
                <w:sz w:val="20"/>
                <w:szCs w:val="20"/>
              </w:rPr>
            </w:pPr>
            <w:r w:rsidRPr="000F28E1">
              <w:rPr>
                <w:rFonts w:ascii="Arial" w:hAnsi="Arial" w:cs="Arial"/>
                <w:sz w:val="20"/>
                <w:szCs w:val="20"/>
              </w:rPr>
              <w:t>OR</w:t>
            </w:r>
          </w:p>
          <w:p w:rsidR="00FA1104" w:rsidRPr="000F28E1" w:rsidRDefault="00FA1104" w:rsidP="00877C4B">
            <w:pPr>
              <w:keepNext/>
              <w:rPr>
                <w:rFonts w:ascii="Arial" w:hAnsi="Arial" w:cs="Arial"/>
                <w:sz w:val="20"/>
                <w:szCs w:val="20"/>
              </w:rPr>
            </w:pPr>
            <w:r w:rsidRPr="000F28E1">
              <w:rPr>
                <w:rFonts w:ascii="Arial" w:hAnsi="Arial" w:cs="Arial"/>
                <w:sz w:val="20"/>
                <w:szCs w:val="20"/>
              </w:rPr>
              <w:t>PARITAPREVIR + RITONAVIR + OMBITASVIR (&amp;) DASABUVIR (&amp;) RBV [12 weeks]</w:t>
            </w:r>
          </w:p>
          <w:p w:rsidR="00FA1104" w:rsidRPr="000F28E1" w:rsidRDefault="00FA1104" w:rsidP="00877C4B">
            <w:pPr>
              <w:keepNext/>
              <w:rPr>
                <w:rFonts w:ascii="Arial" w:hAnsi="Arial" w:cs="Arial"/>
                <w:sz w:val="20"/>
                <w:szCs w:val="20"/>
              </w:rPr>
            </w:pPr>
          </w:p>
        </w:tc>
        <w:tc>
          <w:tcPr>
            <w:tcW w:w="0" w:type="auto"/>
          </w:tcPr>
          <w:p w:rsidR="00FA1104" w:rsidRPr="000F28E1" w:rsidRDefault="00FA1104" w:rsidP="00877C4B">
            <w:pPr>
              <w:keepNext/>
              <w:rPr>
                <w:rFonts w:ascii="Arial" w:hAnsi="Arial" w:cs="Arial"/>
                <w:sz w:val="20"/>
                <w:szCs w:val="20"/>
              </w:rPr>
            </w:pPr>
            <w:r w:rsidRPr="000F28E1">
              <w:rPr>
                <w:rFonts w:ascii="Arial" w:hAnsi="Arial" w:cs="Arial"/>
                <w:sz w:val="20"/>
                <w:szCs w:val="20"/>
              </w:rPr>
              <w:t>LEDIPASVIR +SOFOSBUVIR</w:t>
            </w:r>
          </w:p>
          <w:p w:rsidR="00FA1104" w:rsidRPr="000F28E1" w:rsidRDefault="00FA1104" w:rsidP="00877C4B">
            <w:pPr>
              <w:keepNext/>
              <w:rPr>
                <w:rFonts w:ascii="Arial" w:hAnsi="Arial" w:cs="Arial"/>
                <w:sz w:val="20"/>
                <w:szCs w:val="20"/>
                <w:vertAlign w:val="superscript"/>
              </w:rPr>
            </w:pPr>
            <w:r w:rsidRPr="000F28E1">
              <w:rPr>
                <w:rFonts w:ascii="Arial" w:hAnsi="Arial" w:cs="Arial"/>
                <w:sz w:val="20"/>
                <w:szCs w:val="20"/>
              </w:rPr>
              <w:t>[24 weeks]</w:t>
            </w:r>
            <w:r w:rsidRPr="000F28E1">
              <w:rPr>
                <w:rFonts w:ascii="Arial" w:hAnsi="Arial" w:cs="Arial"/>
                <w:sz w:val="20"/>
                <w:szCs w:val="20"/>
                <w:vertAlign w:val="superscript"/>
              </w:rPr>
              <w:t xml:space="preserve"> </w:t>
            </w:r>
          </w:p>
          <w:p w:rsidR="00FA1104" w:rsidRPr="000F28E1" w:rsidRDefault="00FA1104" w:rsidP="00877C4B">
            <w:pPr>
              <w:keepNext/>
              <w:rPr>
                <w:rFonts w:ascii="Arial" w:hAnsi="Arial" w:cs="Arial"/>
                <w:sz w:val="20"/>
                <w:szCs w:val="20"/>
              </w:rPr>
            </w:pPr>
          </w:p>
          <w:p w:rsidR="00FA1104" w:rsidRPr="000F28E1" w:rsidRDefault="00FA1104" w:rsidP="00877C4B">
            <w:pPr>
              <w:keepNext/>
              <w:rPr>
                <w:rFonts w:ascii="Arial" w:hAnsi="Arial" w:cs="Arial"/>
                <w:sz w:val="20"/>
                <w:szCs w:val="20"/>
              </w:rPr>
            </w:pPr>
            <w:r w:rsidRPr="000F28E1">
              <w:rPr>
                <w:rFonts w:ascii="Arial" w:hAnsi="Arial" w:cs="Arial"/>
                <w:sz w:val="20"/>
                <w:szCs w:val="20"/>
              </w:rPr>
              <w:t>OR</w:t>
            </w:r>
          </w:p>
          <w:p w:rsidR="00FA1104" w:rsidRPr="000F28E1" w:rsidRDefault="00FA1104" w:rsidP="00877C4B">
            <w:pPr>
              <w:keepNext/>
              <w:rPr>
                <w:rFonts w:ascii="Arial" w:hAnsi="Arial" w:cs="Arial"/>
                <w:sz w:val="20"/>
                <w:szCs w:val="20"/>
              </w:rPr>
            </w:pPr>
            <w:r w:rsidRPr="000F28E1">
              <w:rPr>
                <w:rFonts w:ascii="Arial" w:hAnsi="Arial" w:cs="Arial"/>
                <w:sz w:val="20"/>
                <w:szCs w:val="20"/>
              </w:rPr>
              <w:t>DACLATASVIR and SOFOSBUVIR</w:t>
            </w:r>
          </w:p>
          <w:p w:rsidR="00FA1104" w:rsidRPr="000F28E1" w:rsidRDefault="00FA1104" w:rsidP="00877C4B">
            <w:pPr>
              <w:keepNext/>
              <w:rPr>
                <w:rFonts w:ascii="Arial" w:hAnsi="Arial" w:cs="Arial"/>
                <w:sz w:val="20"/>
                <w:szCs w:val="20"/>
              </w:rPr>
            </w:pPr>
            <w:r w:rsidRPr="000F28E1">
              <w:rPr>
                <w:rFonts w:ascii="Arial" w:hAnsi="Arial" w:cs="Arial"/>
                <w:sz w:val="20"/>
                <w:szCs w:val="20"/>
              </w:rPr>
              <w:t xml:space="preserve">[24 weeks] </w:t>
            </w:r>
          </w:p>
          <w:p w:rsidR="00FA1104" w:rsidRPr="000F28E1" w:rsidRDefault="00FA1104" w:rsidP="00877C4B">
            <w:pPr>
              <w:keepNext/>
              <w:rPr>
                <w:rFonts w:ascii="Arial" w:hAnsi="Arial" w:cs="Arial"/>
                <w:sz w:val="20"/>
                <w:szCs w:val="20"/>
              </w:rPr>
            </w:pPr>
          </w:p>
          <w:p w:rsidR="00FA1104" w:rsidRPr="000F28E1" w:rsidRDefault="00FA1104" w:rsidP="00877C4B">
            <w:pPr>
              <w:keepNext/>
              <w:rPr>
                <w:rFonts w:ascii="Arial" w:hAnsi="Arial" w:cs="Arial"/>
                <w:sz w:val="20"/>
                <w:szCs w:val="20"/>
              </w:rPr>
            </w:pPr>
            <w:r w:rsidRPr="000F28E1">
              <w:rPr>
                <w:rFonts w:ascii="Arial" w:hAnsi="Arial" w:cs="Arial"/>
                <w:sz w:val="20"/>
                <w:szCs w:val="20"/>
              </w:rPr>
              <w:t>OR</w:t>
            </w:r>
          </w:p>
          <w:p w:rsidR="00C128E7" w:rsidRPr="000F28E1" w:rsidRDefault="00C128E7" w:rsidP="00877C4B">
            <w:pPr>
              <w:keepNext/>
              <w:rPr>
                <w:rFonts w:ascii="Arial" w:hAnsi="Arial" w:cs="Arial"/>
                <w:sz w:val="20"/>
                <w:szCs w:val="20"/>
              </w:rPr>
            </w:pPr>
            <w:r w:rsidRPr="000F28E1">
              <w:rPr>
                <w:rFonts w:ascii="Arial" w:hAnsi="Arial" w:cs="Arial"/>
                <w:sz w:val="20"/>
                <w:szCs w:val="20"/>
              </w:rPr>
              <w:t>DACLATASVIR and SOFOSBUVIR and RBV [12 weeks]</w:t>
            </w:r>
          </w:p>
          <w:p w:rsidR="00C128E7" w:rsidRPr="000F28E1" w:rsidRDefault="00C128E7" w:rsidP="00877C4B">
            <w:pPr>
              <w:keepNext/>
              <w:rPr>
                <w:rFonts w:ascii="Arial" w:hAnsi="Arial" w:cs="Arial"/>
                <w:sz w:val="20"/>
                <w:szCs w:val="20"/>
              </w:rPr>
            </w:pPr>
          </w:p>
          <w:p w:rsidR="00C128E7" w:rsidRPr="000F28E1" w:rsidRDefault="00C128E7" w:rsidP="00877C4B">
            <w:pPr>
              <w:keepNext/>
              <w:rPr>
                <w:rFonts w:ascii="Arial" w:hAnsi="Arial" w:cs="Arial"/>
                <w:sz w:val="20"/>
                <w:szCs w:val="20"/>
              </w:rPr>
            </w:pPr>
            <w:r w:rsidRPr="000F28E1">
              <w:rPr>
                <w:rFonts w:ascii="Arial" w:hAnsi="Arial" w:cs="Arial"/>
                <w:sz w:val="20"/>
                <w:szCs w:val="20"/>
              </w:rPr>
              <w:t>OR</w:t>
            </w:r>
          </w:p>
          <w:p w:rsidR="00FA1104" w:rsidRPr="000F28E1" w:rsidRDefault="00FA1104" w:rsidP="00877C4B">
            <w:pPr>
              <w:keepNext/>
              <w:rPr>
                <w:rFonts w:ascii="Arial" w:hAnsi="Arial" w:cs="Arial"/>
                <w:sz w:val="20"/>
                <w:szCs w:val="20"/>
              </w:rPr>
            </w:pPr>
            <w:r w:rsidRPr="000F28E1">
              <w:rPr>
                <w:rFonts w:ascii="Arial" w:hAnsi="Arial" w:cs="Arial"/>
                <w:sz w:val="20"/>
                <w:szCs w:val="20"/>
              </w:rPr>
              <w:t>SOFOSBUVIR and PEG-IFN (&amp;) RBV</w:t>
            </w:r>
          </w:p>
          <w:p w:rsidR="00FA1104" w:rsidRPr="000F28E1" w:rsidRDefault="00FA1104" w:rsidP="00877C4B">
            <w:pPr>
              <w:keepNext/>
              <w:rPr>
                <w:rFonts w:ascii="Arial" w:hAnsi="Arial" w:cs="Arial"/>
                <w:sz w:val="20"/>
                <w:szCs w:val="20"/>
              </w:rPr>
            </w:pPr>
            <w:r w:rsidRPr="000F28E1">
              <w:rPr>
                <w:rFonts w:ascii="Arial" w:hAnsi="Arial" w:cs="Arial"/>
                <w:sz w:val="20"/>
                <w:szCs w:val="20"/>
              </w:rPr>
              <w:t>[12 weeks]</w:t>
            </w:r>
          </w:p>
          <w:p w:rsidR="00FA1104" w:rsidRPr="000F28E1" w:rsidRDefault="00FA1104" w:rsidP="00877C4B">
            <w:pPr>
              <w:keepNext/>
              <w:rPr>
                <w:rFonts w:ascii="Arial" w:hAnsi="Arial" w:cs="Arial"/>
                <w:sz w:val="20"/>
                <w:szCs w:val="20"/>
              </w:rPr>
            </w:pPr>
          </w:p>
          <w:p w:rsidR="00FA1104" w:rsidRPr="000F28E1" w:rsidRDefault="00FA1104" w:rsidP="00877C4B">
            <w:pPr>
              <w:keepNext/>
              <w:rPr>
                <w:rFonts w:ascii="Arial" w:hAnsi="Arial" w:cs="Arial"/>
                <w:sz w:val="20"/>
                <w:szCs w:val="20"/>
              </w:rPr>
            </w:pPr>
            <w:r w:rsidRPr="000F28E1">
              <w:rPr>
                <w:rFonts w:ascii="Arial" w:hAnsi="Arial" w:cs="Arial"/>
                <w:sz w:val="20"/>
                <w:szCs w:val="20"/>
              </w:rPr>
              <w:t>OR</w:t>
            </w:r>
          </w:p>
          <w:p w:rsidR="00FA1104" w:rsidRPr="000F28E1" w:rsidRDefault="00FA1104" w:rsidP="00877C4B">
            <w:pPr>
              <w:keepNext/>
              <w:rPr>
                <w:rFonts w:ascii="Arial" w:hAnsi="Arial" w:cs="Arial"/>
                <w:sz w:val="20"/>
                <w:szCs w:val="20"/>
              </w:rPr>
            </w:pPr>
            <w:r w:rsidRPr="000F28E1">
              <w:rPr>
                <w:rFonts w:ascii="Arial" w:hAnsi="Arial" w:cs="Arial"/>
                <w:sz w:val="20"/>
                <w:szCs w:val="20"/>
              </w:rPr>
              <w:t>PARITAPREVIR + RITONAVIR + OMBITASVIR (&amp;) DASABUVIR (&amp;) RBV [12</w:t>
            </w:r>
            <w:r w:rsidR="00C128E7" w:rsidRPr="000F28E1">
              <w:rPr>
                <w:rFonts w:ascii="Arial" w:hAnsi="Arial" w:cs="Arial"/>
                <w:sz w:val="20"/>
                <w:szCs w:val="20"/>
              </w:rPr>
              <w:t xml:space="preserve"> or 24</w:t>
            </w:r>
            <w:r w:rsidRPr="000F28E1">
              <w:rPr>
                <w:rFonts w:ascii="Arial" w:hAnsi="Arial" w:cs="Arial"/>
                <w:sz w:val="20"/>
                <w:szCs w:val="20"/>
              </w:rPr>
              <w:t xml:space="preserve"> weeks]</w:t>
            </w:r>
          </w:p>
        </w:tc>
      </w:tr>
      <w:tr w:rsidR="00FA1104" w:rsidRPr="000F28E1" w:rsidTr="00313DC8">
        <w:trPr>
          <w:cantSplit/>
        </w:trPr>
        <w:tc>
          <w:tcPr>
            <w:tcW w:w="0" w:type="auto"/>
          </w:tcPr>
          <w:p w:rsidR="00FA1104" w:rsidRPr="000F28E1" w:rsidRDefault="00FA1104" w:rsidP="00877C4B">
            <w:pPr>
              <w:keepNext/>
              <w:rPr>
                <w:rFonts w:ascii="Arial" w:hAnsi="Arial" w:cs="Arial"/>
                <w:b/>
                <w:sz w:val="20"/>
                <w:szCs w:val="20"/>
              </w:rPr>
            </w:pPr>
            <w:r w:rsidRPr="000F28E1">
              <w:rPr>
                <w:rFonts w:ascii="Arial" w:hAnsi="Arial" w:cs="Arial"/>
                <w:b/>
                <w:sz w:val="20"/>
                <w:szCs w:val="20"/>
              </w:rPr>
              <w:t>Genotype 2</w:t>
            </w:r>
          </w:p>
        </w:tc>
        <w:tc>
          <w:tcPr>
            <w:tcW w:w="0" w:type="auto"/>
          </w:tcPr>
          <w:p w:rsidR="00FA1104" w:rsidRPr="000F28E1" w:rsidRDefault="00FA1104" w:rsidP="00877C4B">
            <w:pPr>
              <w:keepNext/>
              <w:rPr>
                <w:rFonts w:ascii="Arial" w:hAnsi="Arial" w:cs="Arial"/>
                <w:sz w:val="20"/>
                <w:szCs w:val="20"/>
              </w:rPr>
            </w:pPr>
            <w:r w:rsidRPr="000F28E1">
              <w:rPr>
                <w:rFonts w:ascii="Arial" w:hAnsi="Arial" w:cs="Arial"/>
                <w:sz w:val="20"/>
                <w:szCs w:val="20"/>
              </w:rPr>
              <w:t>SOFOSBUVIR and RBV [12 weeks]</w:t>
            </w:r>
          </w:p>
          <w:p w:rsidR="00FA1104" w:rsidRPr="000F28E1" w:rsidRDefault="00FA1104" w:rsidP="00877C4B">
            <w:pPr>
              <w:keepNext/>
              <w:rPr>
                <w:rFonts w:ascii="Arial" w:hAnsi="Arial" w:cs="Arial"/>
                <w:sz w:val="20"/>
                <w:szCs w:val="20"/>
              </w:rPr>
            </w:pPr>
          </w:p>
        </w:tc>
        <w:tc>
          <w:tcPr>
            <w:tcW w:w="0" w:type="auto"/>
          </w:tcPr>
          <w:p w:rsidR="00FA1104" w:rsidRPr="000F28E1" w:rsidRDefault="00FA1104" w:rsidP="00877C4B">
            <w:pPr>
              <w:keepNext/>
              <w:rPr>
                <w:rFonts w:ascii="Arial" w:hAnsi="Arial" w:cs="Arial"/>
                <w:sz w:val="20"/>
                <w:szCs w:val="20"/>
              </w:rPr>
            </w:pPr>
            <w:r w:rsidRPr="000F28E1">
              <w:rPr>
                <w:rFonts w:ascii="Arial" w:hAnsi="Arial" w:cs="Arial"/>
                <w:sz w:val="20"/>
                <w:szCs w:val="20"/>
              </w:rPr>
              <w:t>SOFOSBUVIR and RBV [12 weeks]</w:t>
            </w:r>
          </w:p>
        </w:tc>
      </w:tr>
      <w:tr w:rsidR="00FA1104" w:rsidRPr="000F28E1" w:rsidTr="00313DC8">
        <w:tc>
          <w:tcPr>
            <w:tcW w:w="0" w:type="auto"/>
          </w:tcPr>
          <w:p w:rsidR="00FA1104" w:rsidRPr="000F28E1" w:rsidRDefault="00FA1104" w:rsidP="00877C4B">
            <w:pPr>
              <w:keepNext/>
              <w:rPr>
                <w:rFonts w:ascii="Arial" w:hAnsi="Arial" w:cs="Arial"/>
                <w:b/>
                <w:sz w:val="20"/>
                <w:szCs w:val="20"/>
              </w:rPr>
            </w:pPr>
            <w:r w:rsidRPr="000F28E1">
              <w:rPr>
                <w:rFonts w:ascii="Arial" w:hAnsi="Arial" w:cs="Arial"/>
                <w:b/>
                <w:sz w:val="20"/>
                <w:szCs w:val="20"/>
              </w:rPr>
              <w:t>Genotype 3</w:t>
            </w:r>
          </w:p>
        </w:tc>
        <w:tc>
          <w:tcPr>
            <w:tcW w:w="0" w:type="auto"/>
          </w:tcPr>
          <w:p w:rsidR="00FA1104" w:rsidRPr="000F28E1" w:rsidRDefault="00FA1104" w:rsidP="00877C4B">
            <w:pPr>
              <w:keepNext/>
              <w:rPr>
                <w:rFonts w:ascii="Arial" w:hAnsi="Arial" w:cs="Arial"/>
                <w:sz w:val="20"/>
                <w:szCs w:val="20"/>
              </w:rPr>
            </w:pPr>
            <w:r w:rsidRPr="000F28E1">
              <w:rPr>
                <w:rFonts w:ascii="Arial" w:hAnsi="Arial" w:cs="Arial"/>
                <w:sz w:val="20"/>
                <w:szCs w:val="20"/>
              </w:rPr>
              <w:t>DACLATASVIR and SOFOSBUVIR</w:t>
            </w:r>
          </w:p>
          <w:p w:rsidR="00FA1104" w:rsidRPr="000F28E1" w:rsidRDefault="00C128E7" w:rsidP="00877C4B">
            <w:pPr>
              <w:keepNext/>
              <w:rPr>
                <w:rFonts w:ascii="Arial" w:hAnsi="Arial" w:cs="Arial"/>
                <w:sz w:val="20"/>
                <w:szCs w:val="20"/>
              </w:rPr>
            </w:pPr>
            <w:r w:rsidRPr="000F28E1">
              <w:rPr>
                <w:rFonts w:ascii="Arial" w:hAnsi="Arial" w:cs="Arial"/>
                <w:sz w:val="20"/>
                <w:szCs w:val="20"/>
              </w:rPr>
              <w:t>[24</w:t>
            </w:r>
            <w:r w:rsidR="00FA1104" w:rsidRPr="000F28E1">
              <w:rPr>
                <w:rFonts w:ascii="Arial" w:hAnsi="Arial" w:cs="Arial"/>
                <w:sz w:val="20"/>
                <w:szCs w:val="20"/>
              </w:rPr>
              <w:t xml:space="preserve"> weeks]</w:t>
            </w:r>
          </w:p>
          <w:p w:rsidR="00FA1104" w:rsidRPr="000F28E1" w:rsidRDefault="00FA1104" w:rsidP="00877C4B">
            <w:pPr>
              <w:keepNext/>
              <w:rPr>
                <w:rFonts w:ascii="Arial" w:hAnsi="Arial" w:cs="Arial"/>
                <w:sz w:val="20"/>
                <w:szCs w:val="20"/>
              </w:rPr>
            </w:pPr>
          </w:p>
          <w:p w:rsidR="00FA1104" w:rsidRPr="000F28E1" w:rsidRDefault="00FA1104" w:rsidP="00877C4B">
            <w:pPr>
              <w:keepNext/>
              <w:rPr>
                <w:rFonts w:ascii="Arial" w:hAnsi="Arial" w:cs="Arial"/>
                <w:sz w:val="20"/>
                <w:szCs w:val="20"/>
              </w:rPr>
            </w:pPr>
            <w:r w:rsidRPr="000F28E1">
              <w:rPr>
                <w:rFonts w:ascii="Arial" w:hAnsi="Arial" w:cs="Arial"/>
                <w:sz w:val="20"/>
                <w:szCs w:val="20"/>
              </w:rPr>
              <w:t>OR</w:t>
            </w:r>
          </w:p>
          <w:p w:rsidR="00FA1104" w:rsidRPr="000F28E1" w:rsidRDefault="00FA1104" w:rsidP="00877C4B">
            <w:pPr>
              <w:keepNext/>
              <w:rPr>
                <w:rFonts w:ascii="Arial" w:hAnsi="Arial" w:cs="Arial"/>
                <w:sz w:val="20"/>
                <w:szCs w:val="20"/>
              </w:rPr>
            </w:pPr>
            <w:r w:rsidRPr="000F28E1">
              <w:rPr>
                <w:rFonts w:ascii="Arial" w:hAnsi="Arial" w:cs="Arial"/>
                <w:sz w:val="20"/>
                <w:szCs w:val="20"/>
              </w:rPr>
              <w:t>SOFOSBUVIR and RBV</w:t>
            </w:r>
          </w:p>
          <w:p w:rsidR="00FA1104" w:rsidRPr="000F28E1" w:rsidRDefault="00C128E7" w:rsidP="00877C4B">
            <w:pPr>
              <w:keepNext/>
              <w:rPr>
                <w:rFonts w:ascii="Arial" w:hAnsi="Arial" w:cs="Arial"/>
                <w:sz w:val="20"/>
                <w:szCs w:val="20"/>
              </w:rPr>
            </w:pPr>
            <w:r w:rsidRPr="000F28E1">
              <w:rPr>
                <w:rFonts w:ascii="Arial" w:hAnsi="Arial" w:cs="Arial"/>
                <w:sz w:val="20"/>
                <w:szCs w:val="20"/>
              </w:rPr>
              <w:t>[24</w:t>
            </w:r>
            <w:r w:rsidR="00FA1104" w:rsidRPr="000F28E1">
              <w:rPr>
                <w:rFonts w:ascii="Arial" w:hAnsi="Arial" w:cs="Arial"/>
                <w:sz w:val="20"/>
                <w:szCs w:val="20"/>
              </w:rPr>
              <w:t xml:space="preserve"> weeks]</w:t>
            </w:r>
          </w:p>
          <w:p w:rsidR="00FA1104" w:rsidRPr="000F28E1" w:rsidRDefault="00FA1104" w:rsidP="00877C4B">
            <w:pPr>
              <w:keepNext/>
              <w:rPr>
                <w:rFonts w:ascii="Arial" w:hAnsi="Arial" w:cs="Arial"/>
                <w:sz w:val="20"/>
                <w:szCs w:val="20"/>
              </w:rPr>
            </w:pPr>
          </w:p>
          <w:p w:rsidR="00FA1104" w:rsidRPr="000F28E1" w:rsidRDefault="00FA1104" w:rsidP="00877C4B">
            <w:pPr>
              <w:keepNext/>
              <w:rPr>
                <w:rFonts w:ascii="Arial" w:hAnsi="Arial" w:cs="Arial"/>
                <w:sz w:val="20"/>
                <w:szCs w:val="20"/>
              </w:rPr>
            </w:pPr>
            <w:r w:rsidRPr="000F28E1">
              <w:rPr>
                <w:rFonts w:ascii="Arial" w:hAnsi="Arial" w:cs="Arial"/>
                <w:sz w:val="20"/>
                <w:szCs w:val="20"/>
              </w:rPr>
              <w:t>OR</w:t>
            </w:r>
          </w:p>
          <w:p w:rsidR="00FA1104" w:rsidRPr="000F28E1" w:rsidRDefault="00FA1104" w:rsidP="00877C4B">
            <w:pPr>
              <w:keepNext/>
              <w:rPr>
                <w:rFonts w:ascii="Arial" w:hAnsi="Arial" w:cs="Arial"/>
                <w:sz w:val="20"/>
                <w:szCs w:val="20"/>
              </w:rPr>
            </w:pPr>
            <w:r w:rsidRPr="000F28E1">
              <w:rPr>
                <w:rFonts w:ascii="Arial" w:hAnsi="Arial" w:cs="Arial"/>
                <w:sz w:val="20"/>
                <w:szCs w:val="20"/>
              </w:rPr>
              <w:t>SOFOSBUVIR and PEG-IFN/RBV</w:t>
            </w:r>
          </w:p>
          <w:p w:rsidR="00FA1104" w:rsidRPr="000F28E1" w:rsidRDefault="00FA1104" w:rsidP="00877C4B">
            <w:pPr>
              <w:keepNext/>
              <w:rPr>
                <w:rFonts w:ascii="Arial" w:hAnsi="Arial" w:cs="Arial"/>
                <w:sz w:val="20"/>
                <w:szCs w:val="20"/>
              </w:rPr>
            </w:pPr>
            <w:r w:rsidRPr="000F28E1">
              <w:rPr>
                <w:rFonts w:ascii="Arial" w:hAnsi="Arial" w:cs="Arial"/>
                <w:sz w:val="20"/>
                <w:szCs w:val="20"/>
              </w:rPr>
              <w:t>[12 weeks]</w:t>
            </w:r>
          </w:p>
          <w:p w:rsidR="00FA1104" w:rsidRPr="000F28E1" w:rsidRDefault="00FA1104" w:rsidP="00877C4B">
            <w:pPr>
              <w:keepNext/>
              <w:rPr>
                <w:rFonts w:ascii="Arial" w:hAnsi="Arial" w:cs="Arial"/>
                <w:sz w:val="20"/>
                <w:szCs w:val="20"/>
              </w:rPr>
            </w:pPr>
          </w:p>
        </w:tc>
        <w:tc>
          <w:tcPr>
            <w:tcW w:w="0" w:type="auto"/>
          </w:tcPr>
          <w:p w:rsidR="00FA1104" w:rsidRPr="000F28E1" w:rsidRDefault="00FA1104" w:rsidP="00877C4B">
            <w:pPr>
              <w:keepNext/>
              <w:rPr>
                <w:rFonts w:ascii="Arial" w:hAnsi="Arial" w:cs="Arial"/>
                <w:sz w:val="20"/>
                <w:szCs w:val="20"/>
              </w:rPr>
            </w:pPr>
            <w:r w:rsidRPr="000F28E1">
              <w:rPr>
                <w:rFonts w:ascii="Arial" w:hAnsi="Arial" w:cs="Arial"/>
                <w:sz w:val="20"/>
                <w:szCs w:val="20"/>
              </w:rPr>
              <w:t>DACLATASVIR and SOFOSBUVIR</w:t>
            </w:r>
          </w:p>
          <w:p w:rsidR="00FA1104" w:rsidRPr="000F28E1" w:rsidRDefault="00C128E7" w:rsidP="00877C4B">
            <w:pPr>
              <w:keepNext/>
              <w:rPr>
                <w:rFonts w:ascii="Arial" w:hAnsi="Arial" w:cs="Arial"/>
                <w:sz w:val="20"/>
                <w:szCs w:val="20"/>
                <w:vertAlign w:val="superscript"/>
              </w:rPr>
            </w:pPr>
            <w:r w:rsidRPr="000F28E1">
              <w:rPr>
                <w:rFonts w:ascii="Arial" w:hAnsi="Arial" w:cs="Arial"/>
                <w:sz w:val="20"/>
                <w:szCs w:val="20"/>
              </w:rPr>
              <w:t>[24</w:t>
            </w:r>
            <w:r w:rsidR="00FA1104" w:rsidRPr="000F28E1">
              <w:rPr>
                <w:rFonts w:ascii="Arial" w:hAnsi="Arial" w:cs="Arial"/>
                <w:sz w:val="20"/>
                <w:szCs w:val="20"/>
              </w:rPr>
              <w:t xml:space="preserve"> weeks]</w:t>
            </w:r>
          </w:p>
          <w:p w:rsidR="00FA1104" w:rsidRPr="000F28E1" w:rsidRDefault="00FA1104" w:rsidP="00877C4B">
            <w:pPr>
              <w:keepNext/>
              <w:rPr>
                <w:rFonts w:ascii="Arial" w:hAnsi="Arial" w:cs="Arial"/>
                <w:sz w:val="20"/>
                <w:szCs w:val="20"/>
              </w:rPr>
            </w:pPr>
          </w:p>
          <w:p w:rsidR="00FA1104" w:rsidRPr="000F28E1" w:rsidRDefault="00FA1104" w:rsidP="00877C4B">
            <w:pPr>
              <w:keepNext/>
              <w:rPr>
                <w:rFonts w:ascii="Arial" w:hAnsi="Arial" w:cs="Arial"/>
                <w:sz w:val="20"/>
                <w:szCs w:val="20"/>
              </w:rPr>
            </w:pPr>
            <w:r w:rsidRPr="000F28E1">
              <w:rPr>
                <w:rFonts w:ascii="Arial" w:hAnsi="Arial" w:cs="Arial"/>
                <w:sz w:val="20"/>
                <w:szCs w:val="20"/>
              </w:rPr>
              <w:t>OR</w:t>
            </w:r>
          </w:p>
          <w:p w:rsidR="00FA1104" w:rsidRPr="000F28E1" w:rsidRDefault="00FA1104" w:rsidP="00877C4B">
            <w:pPr>
              <w:keepNext/>
              <w:rPr>
                <w:rFonts w:ascii="Arial" w:hAnsi="Arial" w:cs="Arial"/>
                <w:sz w:val="20"/>
                <w:szCs w:val="20"/>
              </w:rPr>
            </w:pPr>
            <w:r w:rsidRPr="000F28E1">
              <w:rPr>
                <w:rFonts w:ascii="Arial" w:hAnsi="Arial" w:cs="Arial"/>
                <w:sz w:val="20"/>
                <w:szCs w:val="20"/>
              </w:rPr>
              <w:t>SOFOSBUVIR and RBV</w:t>
            </w:r>
          </w:p>
          <w:p w:rsidR="00FA1104" w:rsidRPr="000F28E1" w:rsidRDefault="00C128E7" w:rsidP="00877C4B">
            <w:pPr>
              <w:keepNext/>
              <w:rPr>
                <w:rFonts w:ascii="Arial" w:hAnsi="Arial" w:cs="Arial"/>
                <w:sz w:val="20"/>
                <w:szCs w:val="20"/>
              </w:rPr>
            </w:pPr>
            <w:r w:rsidRPr="000F28E1">
              <w:rPr>
                <w:rFonts w:ascii="Arial" w:hAnsi="Arial" w:cs="Arial"/>
                <w:sz w:val="20"/>
                <w:szCs w:val="20"/>
              </w:rPr>
              <w:t>[24</w:t>
            </w:r>
            <w:r w:rsidR="00FA1104" w:rsidRPr="000F28E1">
              <w:rPr>
                <w:rFonts w:ascii="Arial" w:hAnsi="Arial" w:cs="Arial"/>
                <w:sz w:val="20"/>
                <w:szCs w:val="20"/>
              </w:rPr>
              <w:t xml:space="preserve"> weeks]</w:t>
            </w:r>
          </w:p>
          <w:p w:rsidR="00FA1104" w:rsidRPr="000F28E1" w:rsidRDefault="00FA1104" w:rsidP="00877C4B">
            <w:pPr>
              <w:keepNext/>
              <w:rPr>
                <w:rFonts w:ascii="Arial" w:hAnsi="Arial" w:cs="Arial"/>
                <w:sz w:val="20"/>
                <w:szCs w:val="20"/>
              </w:rPr>
            </w:pPr>
          </w:p>
          <w:p w:rsidR="00FA1104" w:rsidRPr="000F28E1" w:rsidRDefault="00FA1104" w:rsidP="00877C4B">
            <w:pPr>
              <w:keepNext/>
              <w:rPr>
                <w:rFonts w:ascii="Arial" w:hAnsi="Arial" w:cs="Arial"/>
                <w:sz w:val="20"/>
                <w:szCs w:val="20"/>
              </w:rPr>
            </w:pPr>
            <w:r w:rsidRPr="000F28E1">
              <w:rPr>
                <w:rFonts w:ascii="Arial" w:hAnsi="Arial" w:cs="Arial"/>
                <w:sz w:val="20"/>
                <w:szCs w:val="20"/>
              </w:rPr>
              <w:t>OR</w:t>
            </w:r>
          </w:p>
          <w:p w:rsidR="00FA1104" w:rsidRPr="000F28E1" w:rsidRDefault="00FA1104" w:rsidP="00877C4B">
            <w:pPr>
              <w:keepNext/>
              <w:rPr>
                <w:rFonts w:ascii="Arial" w:hAnsi="Arial" w:cs="Arial"/>
                <w:sz w:val="20"/>
                <w:szCs w:val="20"/>
              </w:rPr>
            </w:pPr>
            <w:r w:rsidRPr="000F28E1">
              <w:rPr>
                <w:rFonts w:ascii="Arial" w:hAnsi="Arial" w:cs="Arial"/>
                <w:sz w:val="20"/>
                <w:szCs w:val="20"/>
              </w:rPr>
              <w:t>SOFOSBUVIR and PEG-IFN/RBV</w:t>
            </w:r>
          </w:p>
          <w:p w:rsidR="00FA1104" w:rsidRPr="000F28E1" w:rsidRDefault="00FA1104" w:rsidP="00877C4B">
            <w:pPr>
              <w:keepNext/>
              <w:rPr>
                <w:rFonts w:ascii="Arial" w:hAnsi="Arial" w:cs="Arial"/>
                <w:sz w:val="20"/>
                <w:szCs w:val="20"/>
              </w:rPr>
            </w:pPr>
            <w:r w:rsidRPr="000F28E1">
              <w:rPr>
                <w:rFonts w:ascii="Arial" w:hAnsi="Arial" w:cs="Arial"/>
                <w:sz w:val="20"/>
                <w:szCs w:val="20"/>
              </w:rPr>
              <w:t>[12 weeks]</w:t>
            </w:r>
          </w:p>
          <w:p w:rsidR="00FA1104" w:rsidRPr="000F28E1" w:rsidRDefault="00FA1104" w:rsidP="00877C4B">
            <w:pPr>
              <w:keepNext/>
              <w:rPr>
                <w:rFonts w:ascii="Arial" w:hAnsi="Arial" w:cs="Arial"/>
                <w:sz w:val="20"/>
                <w:szCs w:val="20"/>
              </w:rPr>
            </w:pPr>
          </w:p>
        </w:tc>
      </w:tr>
      <w:tr w:rsidR="00FA1104" w:rsidRPr="000F28E1" w:rsidTr="00313DC8">
        <w:trPr>
          <w:cantSplit/>
        </w:trPr>
        <w:tc>
          <w:tcPr>
            <w:tcW w:w="0" w:type="auto"/>
          </w:tcPr>
          <w:p w:rsidR="00FA1104" w:rsidRPr="000F28E1" w:rsidRDefault="00FA1104" w:rsidP="00877C4B">
            <w:pPr>
              <w:keepNext/>
              <w:rPr>
                <w:rFonts w:ascii="Arial" w:hAnsi="Arial" w:cs="Arial"/>
                <w:b/>
                <w:sz w:val="20"/>
                <w:szCs w:val="20"/>
              </w:rPr>
            </w:pPr>
            <w:r w:rsidRPr="000F28E1">
              <w:rPr>
                <w:rFonts w:ascii="Arial" w:hAnsi="Arial" w:cs="Arial"/>
                <w:b/>
                <w:sz w:val="20"/>
                <w:szCs w:val="20"/>
              </w:rPr>
              <w:t>Genotype 4, 5, 6</w:t>
            </w:r>
          </w:p>
        </w:tc>
        <w:tc>
          <w:tcPr>
            <w:tcW w:w="0" w:type="auto"/>
          </w:tcPr>
          <w:p w:rsidR="00FA1104" w:rsidRPr="000F28E1" w:rsidRDefault="00FA1104" w:rsidP="00877C4B">
            <w:pPr>
              <w:keepNext/>
              <w:rPr>
                <w:rFonts w:ascii="Arial" w:hAnsi="Arial" w:cs="Arial"/>
                <w:sz w:val="20"/>
                <w:szCs w:val="20"/>
              </w:rPr>
            </w:pPr>
            <w:r w:rsidRPr="000F28E1">
              <w:rPr>
                <w:rFonts w:ascii="Arial" w:hAnsi="Arial" w:cs="Arial"/>
                <w:sz w:val="20"/>
                <w:szCs w:val="20"/>
              </w:rPr>
              <w:t>SOFOSBUVIR and PEG-IFN/RBV</w:t>
            </w:r>
          </w:p>
          <w:p w:rsidR="00FA1104" w:rsidRPr="000F28E1" w:rsidRDefault="00FA1104" w:rsidP="00877C4B">
            <w:pPr>
              <w:keepNext/>
              <w:rPr>
                <w:rFonts w:ascii="Arial" w:hAnsi="Arial" w:cs="Arial"/>
                <w:sz w:val="20"/>
                <w:szCs w:val="20"/>
              </w:rPr>
            </w:pPr>
            <w:r w:rsidRPr="000F28E1">
              <w:rPr>
                <w:rFonts w:ascii="Arial" w:hAnsi="Arial" w:cs="Arial"/>
                <w:sz w:val="20"/>
                <w:szCs w:val="20"/>
              </w:rPr>
              <w:t>[12 weeks]</w:t>
            </w:r>
          </w:p>
          <w:p w:rsidR="00FA1104" w:rsidRPr="000F28E1" w:rsidRDefault="00FA1104" w:rsidP="00877C4B">
            <w:pPr>
              <w:keepNext/>
              <w:rPr>
                <w:rFonts w:ascii="Arial" w:hAnsi="Arial" w:cs="Arial"/>
                <w:b/>
                <w:sz w:val="20"/>
                <w:szCs w:val="20"/>
              </w:rPr>
            </w:pPr>
          </w:p>
        </w:tc>
        <w:tc>
          <w:tcPr>
            <w:tcW w:w="0" w:type="auto"/>
          </w:tcPr>
          <w:p w:rsidR="00FA1104" w:rsidRPr="000F28E1" w:rsidRDefault="00FA1104" w:rsidP="00877C4B">
            <w:pPr>
              <w:keepNext/>
              <w:rPr>
                <w:rFonts w:ascii="Arial" w:hAnsi="Arial" w:cs="Arial"/>
                <w:sz w:val="20"/>
                <w:szCs w:val="20"/>
              </w:rPr>
            </w:pPr>
            <w:r w:rsidRPr="000F28E1">
              <w:rPr>
                <w:rFonts w:ascii="Arial" w:hAnsi="Arial" w:cs="Arial"/>
                <w:sz w:val="20"/>
                <w:szCs w:val="20"/>
              </w:rPr>
              <w:t>SOFOSBUVIR and PEG-IFN/RBV</w:t>
            </w:r>
          </w:p>
          <w:p w:rsidR="00FA1104" w:rsidRPr="000F28E1" w:rsidRDefault="00FA1104" w:rsidP="00877C4B">
            <w:pPr>
              <w:keepNext/>
              <w:rPr>
                <w:rFonts w:ascii="Arial" w:hAnsi="Arial" w:cs="Arial"/>
                <w:sz w:val="20"/>
                <w:szCs w:val="20"/>
              </w:rPr>
            </w:pPr>
            <w:r w:rsidRPr="000F28E1">
              <w:rPr>
                <w:rFonts w:ascii="Arial" w:hAnsi="Arial" w:cs="Arial"/>
                <w:sz w:val="20"/>
                <w:szCs w:val="20"/>
              </w:rPr>
              <w:t>[12 weeks]</w:t>
            </w:r>
          </w:p>
          <w:p w:rsidR="00FA1104" w:rsidRPr="000F28E1" w:rsidRDefault="00FA1104" w:rsidP="00877C4B">
            <w:pPr>
              <w:keepNext/>
              <w:rPr>
                <w:rFonts w:ascii="Arial" w:hAnsi="Arial" w:cs="Arial"/>
                <w:sz w:val="20"/>
                <w:szCs w:val="20"/>
              </w:rPr>
            </w:pPr>
          </w:p>
        </w:tc>
      </w:tr>
    </w:tbl>
    <w:p w:rsidR="005019ED" w:rsidRPr="000F28E1" w:rsidRDefault="005019ED" w:rsidP="00877C4B">
      <w:pPr>
        <w:jc w:val="both"/>
        <w:rPr>
          <w:rFonts w:ascii="Arial" w:hAnsi="Arial"/>
          <w:sz w:val="22"/>
          <w:szCs w:val="22"/>
        </w:rPr>
      </w:pPr>
    </w:p>
    <w:p w:rsidR="005019ED" w:rsidRPr="000F28E1" w:rsidRDefault="005019ED" w:rsidP="00DA4B35">
      <w:pPr>
        <w:pStyle w:val="ListParagraph"/>
        <w:numPr>
          <w:ilvl w:val="0"/>
          <w:numId w:val="1"/>
        </w:numPr>
        <w:jc w:val="both"/>
        <w:outlineLvl w:val="0"/>
        <w:rPr>
          <w:rFonts w:ascii="Arial" w:hAnsi="Arial"/>
          <w:b/>
          <w:sz w:val="22"/>
          <w:szCs w:val="22"/>
        </w:rPr>
      </w:pPr>
      <w:r w:rsidRPr="000F28E1">
        <w:rPr>
          <w:rFonts w:ascii="Arial" w:hAnsi="Arial"/>
          <w:b/>
          <w:sz w:val="22"/>
          <w:szCs w:val="22"/>
        </w:rPr>
        <w:t>Consideration of the Evidence</w:t>
      </w:r>
    </w:p>
    <w:p w:rsidR="006138C8" w:rsidRPr="000F28E1" w:rsidRDefault="006138C8" w:rsidP="00C84E86">
      <w:pPr>
        <w:rPr>
          <w:rFonts w:ascii="Arial" w:hAnsi="Arial" w:cs="Arial"/>
          <w:bCs/>
          <w:snapToGrid w:val="0"/>
          <w:sz w:val="22"/>
          <w:szCs w:val="22"/>
        </w:rPr>
      </w:pPr>
    </w:p>
    <w:p w:rsidR="00C84E86" w:rsidRPr="000F28E1" w:rsidRDefault="00C84E86" w:rsidP="00C47D46">
      <w:pPr>
        <w:pStyle w:val="Heading2"/>
        <w:rPr>
          <w:snapToGrid w:val="0"/>
        </w:rPr>
      </w:pPr>
      <w:r w:rsidRPr="000F28E1">
        <w:rPr>
          <w:snapToGrid w:val="0"/>
        </w:rPr>
        <w:t>Sponsor hearing</w:t>
      </w:r>
    </w:p>
    <w:p w:rsidR="00C84E86" w:rsidRPr="000F28E1" w:rsidRDefault="00C84E86" w:rsidP="00C84E86">
      <w:pPr>
        <w:rPr>
          <w:rFonts w:ascii="Arial" w:hAnsi="Arial" w:cs="Arial"/>
          <w:bCs/>
          <w:snapToGrid w:val="0"/>
          <w:sz w:val="22"/>
          <w:szCs w:val="22"/>
        </w:rPr>
      </w:pPr>
    </w:p>
    <w:p w:rsidR="00C84E86" w:rsidRPr="000F28E1" w:rsidRDefault="00C84E86" w:rsidP="00C84E86">
      <w:pPr>
        <w:numPr>
          <w:ilvl w:val="1"/>
          <w:numId w:val="1"/>
        </w:numPr>
        <w:spacing w:after="120"/>
        <w:rPr>
          <w:rFonts w:ascii="Arial" w:hAnsi="Arial" w:cs="Arial"/>
          <w:bCs/>
          <w:snapToGrid w:val="0"/>
          <w:sz w:val="22"/>
          <w:szCs w:val="22"/>
        </w:rPr>
      </w:pPr>
      <w:r w:rsidRPr="000F28E1">
        <w:rPr>
          <w:rFonts w:ascii="Arial" w:hAnsi="Arial" w:cs="Arial"/>
          <w:bCs/>
          <w:snapToGrid w:val="0"/>
          <w:sz w:val="22"/>
          <w:szCs w:val="22"/>
        </w:rPr>
        <w:t>There was no hearing for this item as it was a minor submission.</w:t>
      </w:r>
    </w:p>
    <w:p w:rsidR="00C84E86" w:rsidRPr="000F28E1" w:rsidRDefault="00C84E86" w:rsidP="00C84E86">
      <w:pPr>
        <w:rPr>
          <w:rFonts w:ascii="Arial" w:hAnsi="Arial" w:cs="Arial"/>
          <w:bCs/>
          <w:snapToGrid w:val="0"/>
          <w:sz w:val="22"/>
          <w:szCs w:val="22"/>
        </w:rPr>
      </w:pPr>
    </w:p>
    <w:p w:rsidR="00C84E86" w:rsidRPr="000F28E1" w:rsidRDefault="00C84E86" w:rsidP="00C47D46">
      <w:pPr>
        <w:pStyle w:val="Heading2"/>
        <w:rPr>
          <w:snapToGrid w:val="0"/>
        </w:rPr>
      </w:pPr>
      <w:r w:rsidRPr="000F28E1">
        <w:rPr>
          <w:snapToGrid w:val="0"/>
        </w:rPr>
        <w:t>Consumer comments</w:t>
      </w:r>
    </w:p>
    <w:p w:rsidR="00C84E86" w:rsidRPr="000F28E1" w:rsidRDefault="00C84E86" w:rsidP="00C84E86">
      <w:pPr>
        <w:rPr>
          <w:rFonts w:ascii="Arial" w:hAnsi="Arial" w:cs="Arial"/>
          <w:bCs/>
          <w:snapToGrid w:val="0"/>
          <w:sz w:val="22"/>
          <w:szCs w:val="22"/>
        </w:rPr>
      </w:pPr>
    </w:p>
    <w:p w:rsidR="000E7117" w:rsidRDefault="00C84E86" w:rsidP="00C47D46">
      <w:pPr>
        <w:numPr>
          <w:ilvl w:val="1"/>
          <w:numId w:val="1"/>
        </w:numPr>
        <w:spacing w:after="120"/>
        <w:rPr>
          <w:rFonts w:ascii="Arial" w:hAnsi="Arial" w:cs="Arial"/>
          <w:bCs/>
          <w:snapToGrid w:val="0"/>
          <w:sz w:val="22"/>
          <w:szCs w:val="22"/>
        </w:rPr>
      </w:pPr>
      <w:r w:rsidRPr="000F28E1">
        <w:rPr>
          <w:rFonts w:ascii="Arial" w:hAnsi="Arial" w:cs="Arial"/>
          <w:bCs/>
          <w:snapToGrid w:val="0"/>
          <w:sz w:val="22"/>
          <w:szCs w:val="22"/>
        </w:rPr>
        <w:t>The PBAC noted that no consumer comments were received for this item.</w:t>
      </w:r>
    </w:p>
    <w:p w:rsidR="001B0B8A" w:rsidRPr="001B0B8A" w:rsidRDefault="001B0B8A" w:rsidP="001B0B8A">
      <w:pPr>
        <w:spacing w:after="120"/>
        <w:rPr>
          <w:rFonts w:ascii="Arial" w:hAnsi="Arial" w:cs="Arial"/>
          <w:bCs/>
          <w:snapToGrid w:val="0"/>
          <w:sz w:val="22"/>
          <w:szCs w:val="22"/>
        </w:rPr>
      </w:pPr>
    </w:p>
    <w:p w:rsidR="005019ED" w:rsidRPr="000F28E1" w:rsidRDefault="005019ED" w:rsidP="005019ED">
      <w:pPr>
        <w:pStyle w:val="Heading2"/>
      </w:pPr>
      <w:r w:rsidRPr="000F28E1">
        <w:lastRenderedPageBreak/>
        <w:t>Drug cost per patient per course: $</w:t>
      </w:r>
      <w:r w:rsidR="00E1625A">
        <w:rPr>
          <w:noProof/>
          <w:color w:val="000000"/>
          <w:highlight w:val="black"/>
        </w:rPr>
        <w:t>'''''''''''''''''</w:t>
      </w:r>
      <w:r w:rsidRPr="000F28E1">
        <w:t>, based on a treatment course of 24 weeks.</w:t>
      </w:r>
    </w:p>
    <w:p w:rsidR="005019ED" w:rsidRPr="000F28E1" w:rsidRDefault="005019ED" w:rsidP="005019ED">
      <w:pPr>
        <w:jc w:val="both"/>
        <w:rPr>
          <w:rFonts w:ascii="Arial" w:hAnsi="Arial"/>
          <w:b/>
          <w:sz w:val="22"/>
          <w:szCs w:val="22"/>
        </w:rPr>
      </w:pPr>
    </w:p>
    <w:p w:rsidR="005019ED" w:rsidRPr="000F28E1" w:rsidRDefault="005019ED" w:rsidP="005019ED">
      <w:pPr>
        <w:pStyle w:val="ListParagraph"/>
        <w:numPr>
          <w:ilvl w:val="1"/>
          <w:numId w:val="1"/>
        </w:numPr>
        <w:jc w:val="both"/>
        <w:rPr>
          <w:rFonts w:ascii="Arial" w:hAnsi="Arial"/>
          <w:b/>
          <w:sz w:val="22"/>
          <w:szCs w:val="22"/>
        </w:rPr>
      </w:pPr>
      <w:r w:rsidRPr="000F28E1">
        <w:rPr>
          <w:rFonts w:ascii="Arial" w:hAnsi="Arial"/>
          <w:sz w:val="22"/>
          <w:szCs w:val="22"/>
        </w:rPr>
        <w:t>The duration of treatment proposed was 24 weeks, in combination with daclatasvir and sofosbuvir. Patients weighing less than 75 kg would receive 1,000 mg/ day, while patients over 75 kg will receive 1,200 mg/ day. The cost per course was averaged between a 50/50 split of patients above and below the dose/weight threshold. The sponsor did not provide a treatment cost for a 12 week regimen as they estimated less than one patient per year for genotypes 2, 4, 5 or 6 would be eligible for treatment.</w:t>
      </w:r>
    </w:p>
    <w:p w:rsidR="00A55FEE" w:rsidRPr="000F28E1" w:rsidRDefault="00A55FEE" w:rsidP="00877C4B">
      <w:pPr>
        <w:pStyle w:val="ListParagraph"/>
        <w:jc w:val="both"/>
        <w:rPr>
          <w:rFonts w:ascii="Arial" w:hAnsi="Arial"/>
          <w:sz w:val="22"/>
          <w:szCs w:val="22"/>
        </w:rPr>
      </w:pPr>
    </w:p>
    <w:p w:rsidR="005A3173" w:rsidRPr="000F28E1" w:rsidRDefault="005A3173" w:rsidP="00877C4B">
      <w:pPr>
        <w:pStyle w:val="Heading2"/>
        <w:rPr>
          <w:rFonts w:cs="Arial"/>
          <w:szCs w:val="22"/>
        </w:rPr>
      </w:pPr>
      <w:r w:rsidRPr="000F28E1">
        <w:rPr>
          <w:rFonts w:cs="Arial"/>
          <w:szCs w:val="22"/>
        </w:rPr>
        <w:t>Estimated PBS usage &amp; financial implications</w:t>
      </w:r>
    </w:p>
    <w:p w:rsidR="005A3173" w:rsidRPr="000F28E1" w:rsidRDefault="005A3173" w:rsidP="00877C4B">
      <w:pPr>
        <w:pStyle w:val="ListParagraph"/>
        <w:jc w:val="both"/>
        <w:rPr>
          <w:rFonts w:ascii="Arial" w:hAnsi="Arial"/>
          <w:sz w:val="22"/>
          <w:szCs w:val="22"/>
        </w:rPr>
      </w:pPr>
    </w:p>
    <w:p w:rsidR="00950E67" w:rsidRPr="000F28E1" w:rsidRDefault="000C6000" w:rsidP="00877C4B">
      <w:pPr>
        <w:pStyle w:val="ListParagraph"/>
        <w:numPr>
          <w:ilvl w:val="1"/>
          <w:numId w:val="1"/>
        </w:numPr>
        <w:jc w:val="both"/>
        <w:rPr>
          <w:rFonts w:ascii="Arial" w:hAnsi="Arial"/>
          <w:sz w:val="22"/>
          <w:szCs w:val="22"/>
        </w:rPr>
      </w:pPr>
      <w:r w:rsidRPr="000F28E1">
        <w:rPr>
          <w:rFonts w:ascii="Arial" w:hAnsi="Arial"/>
          <w:sz w:val="22"/>
          <w:szCs w:val="22"/>
        </w:rPr>
        <w:t xml:space="preserve">The submission estimated a total treated population of </w:t>
      </w:r>
      <w:r w:rsidR="001D472C">
        <w:rPr>
          <w:rFonts w:ascii="Arial" w:hAnsi="Arial"/>
          <w:sz w:val="22"/>
          <w:szCs w:val="22"/>
        </w:rPr>
        <w:t>10,000 – 50,000</w:t>
      </w:r>
      <w:r w:rsidRPr="000F28E1">
        <w:rPr>
          <w:rFonts w:ascii="Arial" w:hAnsi="Arial"/>
          <w:sz w:val="22"/>
          <w:szCs w:val="22"/>
        </w:rPr>
        <w:t xml:space="preserve">per year in years 1-3, decreasing to </w:t>
      </w:r>
      <w:r w:rsidR="001D472C">
        <w:rPr>
          <w:rFonts w:ascii="Arial" w:hAnsi="Arial"/>
          <w:sz w:val="22"/>
          <w:szCs w:val="22"/>
        </w:rPr>
        <w:t>less than 10,000</w:t>
      </w:r>
      <w:r w:rsidRPr="000F28E1">
        <w:rPr>
          <w:rFonts w:ascii="Arial" w:hAnsi="Arial"/>
          <w:sz w:val="22"/>
          <w:szCs w:val="22"/>
        </w:rPr>
        <w:t xml:space="preserve">in year 4, and </w:t>
      </w:r>
      <w:r w:rsidR="001D472C">
        <w:rPr>
          <w:rFonts w:ascii="Arial" w:hAnsi="Arial"/>
          <w:sz w:val="22"/>
          <w:szCs w:val="22"/>
        </w:rPr>
        <w:t>less than 10,000</w:t>
      </w:r>
      <w:r w:rsidRPr="000F28E1">
        <w:rPr>
          <w:rFonts w:ascii="Arial" w:hAnsi="Arial"/>
          <w:sz w:val="22"/>
          <w:szCs w:val="22"/>
        </w:rPr>
        <w:t xml:space="preserve">in year 5. It was predicted that the proposed change to listing would add </w:t>
      </w:r>
      <w:r w:rsidR="001D472C">
        <w:rPr>
          <w:rFonts w:ascii="Arial" w:hAnsi="Arial"/>
          <w:sz w:val="22"/>
          <w:szCs w:val="22"/>
        </w:rPr>
        <w:t>less than 10,000</w:t>
      </w:r>
      <w:r w:rsidRPr="000F28E1">
        <w:rPr>
          <w:rFonts w:ascii="Arial" w:hAnsi="Arial"/>
          <w:sz w:val="22"/>
          <w:szCs w:val="22"/>
        </w:rPr>
        <w:t xml:space="preserve"> patients per year in years 1-3, </w:t>
      </w:r>
      <w:r w:rsidR="001D472C">
        <w:rPr>
          <w:rFonts w:ascii="Arial" w:hAnsi="Arial"/>
          <w:sz w:val="22"/>
          <w:szCs w:val="22"/>
        </w:rPr>
        <w:t>less than 10,000</w:t>
      </w:r>
      <w:r w:rsidR="001B0B8A">
        <w:rPr>
          <w:rFonts w:ascii="Arial" w:hAnsi="Arial"/>
          <w:sz w:val="22"/>
          <w:szCs w:val="22"/>
        </w:rPr>
        <w:t xml:space="preserve"> </w:t>
      </w:r>
      <w:r w:rsidRPr="000F28E1">
        <w:rPr>
          <w:rFonts w:ascii="Arial" w:hAnsi="Arial"/>
          <w:sz w:val="22"/>
          <w:szCs w:val="22"/>
        </w:rPr>
        <w:t xml:space="preserve">patients in year 4, and </w:t>
      </w:r>
      <w:r w:rsidR="001D472C">
        <w:rPr>
          <w:rFonts w:ascii="Arial" w:hAnsi="Arial"/>
          <w:sz w:val="22"/>
          <w:szCs w:val="22"/>
        </w:rPr>
        <w:t>less than 10,000</w:t>
      </w:r>
      <w:r w:rsidRPr="000F28E1">
        <w:rPr>
          <w:rFonts w:ascii="Arial" w:hAnsi="Arial"/>
          <w:sz w:val="22"/>
          <w:szCs w:val="22"/>
        </w:rPr>
        <w:t xml:space="preserve"> patients in year 5.</w:t>
      </w:r>
    </w:p>
    <w:p w:rsidR="00D41F3A" w:rsidRPr="000F28E1" w:rsidRDefault="00D41F3A" w:rsidP="00877C4B">
      <w:pPr>
        <w:pStyle w:val="ListParagraph"/>
        <w:jc w:val="both"/>
        <w:rPr>
          <w:rFonts w:ascii="Arial" w:hAnsi="Arial"/>
          <w:sz w:val="22"/>
          <w:szCs w:val="22"/>
        </w:rPr>
      </w:pPr>
    </w:p>
    <w:p w:rsidR="000E7117" w:rsidRPr="000F28E1" w:rsidRDefault="00D41F3A" w:rsidP="00313DC8">
      <w:pPr>
        <w:pStyle w:val="ListParagraph"/>
        <w:rPr>
          <w:rFonts w:ascii="Arial" w:hAnsi="Arial"/>
          <w:sz w:val="22"/>
          <w:szCs w:val="22"/>
        </w:rPr>
      </w:pPr>
      <w:r w:rsidRPr="000F28E1">
        <w:rPr>
          <w:rFonts w:ascii="Arial" w:hAnsi="Arial"/>
          <w:sz w:val="22"/>
          <w:szCs w:val="22"/>
        </w:rPr>
        <w:t xml:space="preserve">The minor submission estimated a net cost to the PBS of </w:t>
      </w:r>
      <w:r w:rsidR="001D472C">
        <w:rPr>
          <w:rFonts w:ascii="Arial" w:hAnsi="Arial"/>
          <w:sz w:val="22"/>
          <w:szCs w:val="22"/>
        </w:rPr>
        <w:t xml:space="preserve">less than $10 million per year </w:t>
      </w:r>
      <w:r w:rsidRPr="000F28E1">
        <w:rPr>
          <w:rFonts w:ascii="Arial" w:hAnsi="Arial"/>
          <w:sz w:val="22"/>
          <w:szCs w:val="22"/>
        </w:rPr>
        <w:t>in Year 1 of listi</w:t>
      </w:r>
      <w:r w:rsidR="00F0373B" w:rsidRPr="000F28E1">
        <w:rPr>
          <w:rFonts w:ascii="Arial" w:hAnsi="Arial"/>
          <w:sz w:val="22"/>
          <w:szCs w:val="22"/>
        </w:rPr>
        <w:t>ng, with a total net cost</w:t>
      </w:r>
      <w:r w:rsidRPr="000F28E1">
        <w:rPr>
          <w:rFonts w:ascii="Arial" w:hAnsi="Arial"/>
          <w:sz w:val="22"/>
          <w:szCs w:val="22"/>
        </w:rPr>
        <w:t xml:space="preserve"> to the PBS of </w:t>
      </w:r>
      <w:r w:rsidR="001D472C">
        <w:rPr>
          <w:rFonts w:ascii="Arial" w:hAnsi="Arial"/>
          <w:sz w:val="22"/>
          <w:szCs w:val="22"/>
        </w:rPr>
        <w:t xml:space="preserve">less than $10 million </w:t>
      </w:r>
      <w:r w:rsidRPr="000F28E1">
        <w:rPr>
          <w:rFonts w:ascii="Arial" w:hAnsi="Arial"/>
          <w:sz w:val="22"/>
          <w:szCs w:val="22"/>
        </w:rPr>
        <w:t>over the first 5 years of listing. This i</w:t>
      </w:r>
      <w:r w:rsidR="00C47D46" w:rsidRPr="000F28E1">
        <w:rPr>
          <w:rFonts w:ascii="Arial" w:hAnsi="Arial"/>
          <w:sz w:val="22"/>
          <w:szCs w:val="22"/>
        </w:rPr>
        <w:t>s summarised in the table below.</w:t>
      </w:r>
    </w:p>
    <w:p w:rsidR="000E7117" w:rsidRPr="000F28E1" w:rsidRDefault="000E7117" w:rsidP="00313DC8">
      <w:pPr>
        <w:pStyle w:val="ListParagraph"/>
        <w:rPr>
          <w:rFonts w:ascii="Arial" w:hAnsi="Arial"/>
          <w:sz w:val="22"/>
          <w:szCs w:val="22"/>
        </w:rPr>
      </w:pPr>
    </w:p>
    <w:p w:rsidR="00BB7EC3" w:rsidRPr="000F28E1" w:rsidRDefault="00B41828" w:rsidP="00313DC8">
      <w:pPr>
        <w:pStyle w:val="ListParagraph"/>
        <w:rPr>
          <w:rFonts w:ascii="Arial Narrow" w:hAnsi="Arial Narrow"/>
          <w:b/>
          <w:sz w:val="20"/>
          <w:szCs w:val="20"/>
        </w:rPr>
      </w:pPr>
      <w:r w:rsidRPr="000F28E1">
        <w:rPr>
          <w:rFonts w:ascii="Arial Narrow" w:hAnsi="Arial Narrow"/>
          <w:b/>
          <w:sz w:val="20"/>
          <w:szCs w:val="20"/>
        </w:rPr>
        <w:t>Table 1: Estimated extent of use and financial implications</w:t>
      </w:r>
    </w:p>
    <w:tbl>
      <w:tblPr>
        <w:tblStyle w:val="TableGrid"/>
        <w:tblW w:w="0" w:type="auto"/>
        <w:tblInd w:w="817" w:type="dxa"/>
        <w:tblLayout w:type="fixed"/>
        <w:tblLook w:val="04A0" w:firstRow="1" w:lastRow="0" w:firstColumn="1" w:lastColumn="0" w:noHBand="0" w:noVBand="1"/>
      </w:tblPr>
      <w:tblGrid>
        <w:gridCol w:w="3479"/>
        <w:gridCol w:w="901"/>
        <w:gridCol w:w="901"/>
        <w:gridCol w:w="901"/>
        <w:gridCol w:w="901"/>
        <w:gridCol w:w="809"/>
      </w:tblGrid>
      <w:tr w:rsidR="00950E67" w:rsidRPr="000F28E1" w:rsidTr="00313DC8">
        <w:trPr>
          <w:trHeight w:val="288"/>
        </w:trPr>
        <w:tc>
          <w:tcPr>
            <w:tcW w:w="3479" w:type="dxa"/>
            <w:noWrap/>
            <w:hideMark/>
          </w:tcPr>
          <w:p w:rsidR="00950E67" w:rsidRPr="000F28E1" w:rsidRDefault="00950E67" w:rsidP="00877C4B">
            <w:pPr>
              <w:keepNext/>
              <w:rPr>
                <w:rFonts w:ascii="Arial Narrow" w:hAnsi="Arial Narrow" w:cs="Arial"/>
                <w:b/>
                <w:bCs/>
                <w:sz w:val="20"/>
                <w:szCs w:val="20"/>
              </w:rPr>
            </w:pPr>
            <w:r w:rsidRPr="000F28E1">
              <w:rPr>
                <w:rFonts w:ascii="Arial Narrow" w:hAnsi="Arial Narrow" w:cs="Arial"/>
                <w:b/>
                <w:bCs/>
                <w:sz w:val="20"/>
                <w:szCs w:val="20"/>
              </w:rPr>
              <w:t>Use and cost of IBAVYR to the PBS/RPBS</w:t>
            </w:r>
          </w:p>
        </w:tc>
        <w:tc>
          <w:tcPr>
            <w:tcW w:w="901" w:type="dxa"/>
            <w:noWrap/>
            <w:hideMark/>
          </w:tcPr>
          <w:p w:rsidR="00950E67" w:rsidRPr="000F28E1" w:rsidRDefault="00950E67" w:rsidP="00877C4B">
            <w:pPr>
              <w:keepNext/>
              <w:rPr>
                <w:rFonts w:ascii="Arial Narrow" w:hAnsi="Arial Narrow" w:cs="Arial"/>
                <w:b/>
                <w:bCs/>
                <w:sz w:val="20"/>
                <w:szCs w:val="20"/>
              </w:rPr>
            </w:pPr>
            <w:r w:rsidRPr="000F28E1">
              <w:rPr>
                <w:rFonts w:ascii="Arial Narrow" w:hAnsi="Arial Narrow" w:cs="Arial"/>
                <w:b/>
                <w:bCs/>
                <w:sz w:val="20"/>
                <w:szCs w:val="20"/>
              </w:rPr>
              <w:t>Year 1</w:t>
            </w:r>
          </w:p>
        </w:tc>
        <w:tc>
          <w:tcPr>
            <w:tcW w:w="901" w:type="dxa"/>
            <w:noWrap/>
            <w:hideMark/>
          </w:tcPr>
          <w:p w:rsidR="00950E67" w:rsidRPr="000F28E1" w:rsidRDefault="00950E67" w:rsidP="00877C4B">
            <w:pPr>
              <w:keepNext/>
              <w:rPr>
                <w:rFonts w:ascii="Arial Narrow" w:hAnsi="Arial Narrow" w:cs="Arial"/>
                <w:b/>
                <w:bCs/>
                <w:sz w:val="20"/>
                <w:szCs w:val="20"/>
              </w:rPr>
            </w:pPr>
            <w:r w:rsidRPr="000F28E1">
              <w:rPr>
                <w:rFonts w:ascii="Arial Narrow" w:hAnsi="Arial Narrow" w:cs="Arial"/>
                <w:b/>
                <w:bCs/>
                <w:sz w:val="20"/>
                <w:szCs w:val="20"/>
              </w:rPr>
              <w:t>Year 2</w:t>
            </w:r>
          </w:p>
        </w:tc>
        <w:tc>
          <w:tcPr>
            <w:tcW w:w="901" w:type="dxa"/>
            <w:noWrap/>
            <w:hideMark/>
          </w:tcPr>
          <w:p w:rsidR="00950E67" w:rsidRPr="000F28E1" w:rsidRDefault="00950E67" w:rsidP="00877C4B">
            <w:pPr>
              <w:keepNext/>
              <w:rPr>
                <w:rFonts w:ascii="Arial Narrow" w:hAnsi="Arial Narrow" w:cs="Arial"/>
                <w:b/>
                <w:bCs/>
                <w:sz w:val="20"/>
                <w:szCs w:val="20"/>
              </w:rPr>
            </w:pPr>
            <w:r w:rsidRPr="000F28E1">
              <w:rPr>
                <w:rFonts w:ascii="Arial Narrow" w:hAnsi="Arial Narrow" w:cs="Arial"/>
                <w:b/>
                <w:bCs/>
                <w:sz w:val="20"/>
                <w:szCs w:val="20"/>
              </w:rPr>
              <w:t>Year 3</w:t>
            </w:r>
          </w:p>
        </w:tc>
        <w:tc>
          <w:tcPr>
            <w:tcW w:w="901" w:type="dxa"/>
            <w:noWrap/>
            <w:hideMark/>
          </w:tcPr>
          <w:p w:rsidR="00950E67" w:rsidRPr="000F28E1" w:rsidRDefault="00950E67" w:rsidP="00877C4B">
            <w:pPr>
              <w:keepNext/>
              <w:rPr>
                <w:rFonts w:ascii="Arial Narrow" w:hAnsi="Arial Narrow" w:cs="Arial"/>
                <w:b/>
                <w:bCs/>
                <w:sz w:val="20"/>
                <w:szCs w:val="20"/>
              </w:rPr>
            </w:pPr>
            <w:r w:rsidRPr="000F28E1">
              <w:rPr>
                <w:rFonts w:ascii="Arial Narrow" w:hAnsi="Arial Narrow" w:cs="Arial"/>
                <w:b/>
                <w:bCs/>
                <w:sz w:val="20"/>
                <w:szCs w:val="20"/>
              </w:rPr>
              <w:t>Year 4</w:t>
            </w:r>
          </w:p>
        </w:tc>
        <w:tc>
          <w:tcPr>
            <w:tcW w:w="809" w:type="dxa"/>
            <w:noWrap/>
            <w:hideMark/>
          </w:tcPr>
          <w:p w:rsidR="00950E67" w:rsidRPr="000F28E1" w:rsidRDefault="00950E67" w:rsidP="00877C4B">
            <w:pPr>
              <w:keepNext/>
              <w:rPr>
                <w:rFonts w:ascii="Arial Narrow" w:hAnsi="Arial Narrow" w:cs="Arial"/>
                <w:b/>
                <w:bCs/>
                <w:sz w:val="20"/>
                <w:szCs w:val="20"/>
              </w:rPr>
            </w:pPr>
            <w:r w:rsidRPr="000F28E1">
              <w:rPr>
                <w:rFonts w:ascii="Arial Narrow" w:hAnsi="Arial Narrow" w:cs="Arial"/>
                <w:b/>
                <w:bCs/>
                <w:sz w:val="20"/>
                <w:szCs w:val="20"/>
              </w:rPr>
              <w:t>Year 5</w:t>
            </w:r>
          </w:p>
        </w:tc>
      </w:tr>
      <w:tr w:rsidR="00950E67" w:rsidRPr="000F28E1" w:rsidTr="00313DC8">
        <w:trPr>
          <w:trHeight w:val="288"/>
        </w:trPr>
        <w:tc>
          <w:tcPr>
            <w:tcW w:w="3479" w:type="dxa"/>
            <w:noWrap/>
            <w:hideMark/>
          </w:tcPr>
          <w:p w:rsidR="00950E67" w:rsidRPr="000F28E1" w:rsidRDefault="00950E67" w:rsidP="00877C4B">
            <w:pPr>
              <w:keepNext/>
              <w:rPr>
                <w:rFonts w:ascii="Arial Narrow" w:hAnsi="Arial Narrow" w:cs="Arial"/>
                <w:b/>
                <w:bCs/>
                <w:sz w:val="20"/>
                <w:szCs w:val="20"/>
              </w:rPr>
            </w:pPr>
            <w:r w:rsidRPr="000F28E1">
              <w:rPr>
                <w:rFonts w:ascii="Arial Narrow" w:hAnsi="Arial Narrow" w:cs="Arial"/>
                <w:b/>
                <w:bCs/>
                <w:sz w:val="20"/>
                <w:szCs w:val="20"/>
              </w:rPr>
              <w:t>Total treated population</w:t>
            </w:r>
          </w:p>
        </w:tc>
        <w:tc>
          <w:tcPr>
            <w:tcW w:w="901"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01"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01"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01"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809"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950E67" w:rsidRPr="000F28E1" w:rsidTr="00313DC8">
        <w:trPr>
          <w:trHeight w:val="288"/>
        </w:trPr>
        <w:tc>
          <w:tcPr>
            <w:tcW w:w="3479" w:type="dxa"/>
            <w:noWrap/>
            <w:hideMark/>
          </w:tcPr>
          <w:p w:rsidR="00950E67" w:rsidRPr="000F28E1" w:rsidRDefault="00950E67" w:rsidP="00877C4B">
            <w:pPr>
              <w:keepNext/>
              <w:rPr>
                <w:rFonts w:ascii="Arial Narrow" w:hAnsi="Arial Narrow" w:cs="Arial"/>
                <w:sz w:val="20"/>
                <w:szCs w:val="20"/>
              </w:rPr>
            </w:pPr>
            <w:r w:rsidRPr="000F28E1">
              <w:rPr>
                <w:rFonts w:ascii="Arial Narrow" w:hAnsi="Arial Narrow" w:cs="Arial"/>
                <w:sz w:val="20"/>
                <w:szCs w:val="20"/>
              </w:rPr>
              <w:t>Genotype 1</w:t>
            </w:r>
          </w:p>
        </w:tc>
        <w:tc>
          <w:tcPr>
            <w:tcW w:w="901"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01"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01"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01"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809"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950E67" w:rsidRPr="000F28E1" w:rsidTr="00313DC8">
        <w:trPr>
          <w:trHeight w:val="288"/>
        </w:trPr>
        <w:tc>
          <w:tcPr>
            <w:tcW w:w="3479" w:type="dxa"/>
            <w:noWrap/>
            <w:hideMark/>
          </w:tcPr>
          <w:p w:rsidR="00950E67" w:rsidRPr="000F28E1" w:rsidRDefault="00950E67" w:rsidP="00877C4B">
            <w:pPr>
              <w:keepNext/>
              <w:rPr>
                <w:rFonts w:ascii="Arial Narrow" w:hAnsi="Arial Narrow" w:cs="Arial"/>
                <w:sz w:val="20"/>
                <w:szCs w:val="20"/>
              </w:rPr>
            </w:pPr>
            <w:r w:rsidRPr="000F28E1">
              <w:rPr>
                <w:rFonts w:ascii="Arial Narrow" w:hAnsi="Arial Narrow" w:cs="Arial"/>
                <w:sz w:val="20"/>
                <w:szCs w:val="20"/>
              </w:rPr>
              <w:t>Genotype 2</w:t>
            </w:r>
          </w:p>
        </w:tc>
        <w:tc>
          <w:tcPr>
            <w:tcW w:w="901"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01"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01"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01"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809"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950E67" w:rsidRPr="000F28E1" w:rsidTr="00313DC8">
        <w:trPr>
          <w:trHeight w:val="288"/>
        </w:trPr>
        <w:tc>
          <w:tcPr>
            <w:tcW w:w="3479" w:type="dxa"/>
            <w:noWrap/>
            <w:hideMark/>
          </w:tcPr>
          <w:p w:rsidR="00950E67" w:rsidRPr="000F28E1" w:rsidRDefault="00950E67" w:rsidP="00877C4B">
            <w:pPr>
              <w:keepNext/>
              <w:rPr>
                <w:rFonts w:ascii="Arial Narrow" w:hAnsi="Arial Narrow" w:cs="Arial"/>
                <w:sz w:val="20"/>
                <w:szCs w:val="20"/>
              </w:rPr>
            </w:pPr>
            <w:r w:rsidRPr="000F28E1">
              <w:rPr>
                <w:rFonts w:ascii="Arial Narrow" w:hAnsi="Arial Narrow" w:cs="Arial"/>
                <w:sz w:val="20"/>
                <w:szCs w:val="20"/>
              </w:rPr>
              <w:t>Genotype 3</w:t>
            </w:r>
          </w:p>
        </w:tc>
        <w:tc>
          <w:tcPr>
            <w:tcW w:w="901"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01"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01"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01"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809"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950E67" w:rsidRPr="000F28E1" w:rsidTr="00313DC8">
        <w:trPr>
          <w:trHeight w:val="288"/>
        </w:trPr>
        <w:tc>
          <w:tcPr>
            <w:tcW w:w="3479" w:type="dxa"/>
            <w:noWrap/>
            <w:hideMark/>
          </w:tcPr>
          <w:p w:rsidR="00950E67" w:rsidRPr="000F28E1" w:rsidRDefault="00950E67" w:rsidP="00877C4B">
            <w:pPr>
              <w:keepNext/>
              <w:rPr>
                <w:rFonts w:ascii="Arial Narrow" w:hAnsi="Arial Narrow" w:cs="Arial"/>
                <w:sz w:val="20"/>
                <w:szCs w:val="20"/>
              </w:rPr>
            </w:pPr>
            <w:r w:rsidRPr="000F28E1">
              <w:rPr>
                <w:rFonts w:ascii="Arial Narrow" w:hAnsi="Arial Narrow" w:cs="Arial"/>
                <w:sz w:val="20"/>
                <w:szCs w:val="20"/>
              </w:rPr>
              <w:t>Genotypes 4,5,6</w:t>
            </w:r>
          </w:p>
        </w:tc>
        <w:tc>
          <w:tcPr>
            <w:tcW w:w="901"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01"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01"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01"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809"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950E67" w:rsidRPr="000F28E1" w:rsidTr="00313DC8">
        <w:trPr>
          <w:trHeight w:val="288"/>
        </w:trPr>
        <w:tc>
          <w:tcPr>
            <w:tcW w:w="7892" w:type="dxa"/>
            <w:gridSpan w:val="6"/>
            <w:noWrap/>
            <w:hideMark/>
          </w:tcPr>
          <w:p w:rsidR="00950E67" w:rsidRPr="000F28E1" w:rsidRDefault="00950E67" w:rsidP="00877C4B">
            <w:pPr>
              <w:keepNext/>
              <w:rPr>
                <w:rFonts w:ascii="Arial Narrow" w:hAnsi="Arial Narrow" w:cs="Arial"/>
                <w:sz w:val="20"/>
                <w:szCs w:val="20"/>
              </w:rPr>
            </w:pPr>
            <w:r w:rsidRPr="000F28E1">
              <w:rPr>
                <w:rFonts w:ascii="Arial Narrow" w:hAnsi="Arial Narrow" w:cs="Arial"/>
                <w:b/>
                <w:bCs/>
                <w:sz w:val="20"/>
                <w:szCs w:val="20"/>
              </w:rPr>
              <w:t>Incremental patients prescribed IBAVYR per proposed amendment</w:t>
            </w:r>
          </w:p>
        </w:tc>
      </w:tr>
      <w:tr w:rsidR="00950E67" w:rsidRPr="000F28E1" w:rsidTr="00313DC8">
        <w:trPr>
          <w:trHeight w:val="288"/>
        </w:trPr>
        <w:tc>
          <w:tcPr>
            <w:tcW w:w="3479" w:type="dxa"/>
            <w:noWrap/>
            <w:hideMark/>
          </w:tcPr>
          <w:p w:rsidR="00950E67" w:rsidRPr="000F28E1" w:rsidRDefault="00950E67" w:rsidP="00877C4B">
            <w:pPr>
              <w:keepNext/>
              <w:rPr>
                <w:rFonts w:ascii="Arial Narrow" w:hAnsi="Arial Narrow" w:cs="Arial"/>
                <w:sz w:val="20"/>
                <w:szCs w:val="20"/>
              </w:rPr>
            </w:pPr>
            <w:r w:rsidRPr="000F28E1">
              <w:rPr>
                <w:rFonts w:ascii="Arial Narrow" w:hAnsi="Arial Narrow" w:cs="Arial"/>
                <w:sz w:val="20"/>
                <w:szCs w:val="20"/>
              </w:rPr>
              <w:t xml:space="preserve"> Genotype 3, with decompensated disease</w:t>
            </w:r>
          </w:p>
        </w:tc>
        <w:tc>
          <w:tcPr>
            <w:tcW w:w="901"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01"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01"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01"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809"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950E67" w:rsidRPr="000F28E1" w:rsidTr="00313DC8">
        <w:trPr>
          <w:trHeight w:val="288"/>
        </w:trPr>
        <w:tc>
          <w:tcPr>
            <w:tcW w:w="3479" w:type="dxa"/>
            <w:noWrap/>
            <w:hideMark/>
          </w:tcPr>
          <w:p w:rsidR="00950E67" w:rsidRPr="000F28E1" w:rsidRDefault="00950E67" w:rsidP="00877C4B">
            <w:pPr>
              <w:keepNext/>
              <w:rPr>
                <w:rFonts w:ascii="Arial Narrow" w:hAnsi="Arial Narrow" w:cs="Arial"/>
                <w:sz w:val="20"/>
                <w:szCs w:val="20"/>
              </w:rPr>
            </w:pPr>
            <w:r w:rsidRPr="000F28E1">
              <w:rPr>
                <w:rFonts w:ascii="Arial Narrow" w:hAnsi="Arial Narrow" w:cs="Arial"/>
                <w:sz w:val="20"/>
                <w:szCs w:val="20"/>
              </w:rPr>
              <w:t xml:space="preserve"> -weighing up to 75 kg, 1,000mg/</w:t>
            </w:r>
            <w:r w:rsidR="00877C4B" w:rsidRPr="000F28E1">
              <w:rPr>
                <w:rFonts w:ascii="Arial Narrow" w:hAnsi="Arial Narrow" w:cs="Arial"/>
                <w:sz w:val="20"/>
                <w:szCs w:val="20"/>
              </w:rPr>
              <w:t xml:space="preserve"> </w:t>
            </w:r>
            <w:r w:rsidRPr="000F28E1">
              <w:rPr>
                <w:rFonts w:ascii="Arial Narrow" w:hAnsi="Arial Narrow" w:cs="Arial"/>
                <w:sz w:val="20"/>
                <w:szCs w:val="20"/>
              </w:rPr>
              <w:t>day</w:t>
            </w:r>
          </w:p>
        </w:tc>
        <w:tc>
          <w:tcPr>
            <w:tcW w:w="901"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01"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01"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01"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809"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950E67" w:rsidRPr="000F28E1" w:rsidTr="00313DC8">
        <w:trPr>
          <w:trHeight w:val="288"/>
        </w:trPr>
        <w:tc>
          <w:tcPr>
            <w:tcW w:w="3479" w:type="dxa"/>
            <w:noWrap/>
            <w:hideMark/>
          </w:tcPr>
          <w:p w:rsidR="00950E67" w:rsidRPr="000F28E1" w:rsidRDefault="00950E67" w:rsidP="00877C4B">
            <w:pPr>
              <w:keepNext/>
              <w:rPr>
                <w:rFonts w:ascii="Arial Narrow" w:hAnsi="Arial Narrow" w:cs="Arial"/>
                <w:sz w:val="20"/>
                <w:szCs w:val="20"/>
              </w:rPr>
            </w:pPr>
            <w:r w:rsidRPr="000F28E1">
              <w:rPr>
                <w:rFonts w:ascii="Arial Narrow" w:hAnsi="Arial Narrow" w:cs="Arial"/>
                <w:sz w:val="20"/>
                <w:szCs w:val="20"/>
              </w:rPr>
              <w:t xml:space="preserve"> -</w:t>
            </w:r>
            <w:r w:rsidR="00877C4B" w:rsidRPr="000F28E1">
              <w:rPr>
                <w:rFonts w:ascii="Arial Narrow" w:hAnsi="Arial Narrow" w:cs="Arial"/>
                <w:sz w:val="20"/>
                <w:szCs w:val="20"/>
              </w:rPr>
              <w:t>weighing more than 75 kg, 1,200 </w:t>
            </w:r>
            <w:r w:rsidRPr="000F28E1">
              <w:rPr>
                <w:rFonts w:ascii="Arial Narrow" w:hAnsi="Arial Narrow" w:cs="Arial"/>
                <w:sz w:val="20"/>
                <w:szCs w:val="20"/>
              </w:rPr>
              <w:t>mg/</w:t>
            </w:r>
            <w:r w:rsidR="00877C4B" w:rsidRPr="000F28E1">
              <w:rPr>
                <w:rFonts w:ascii="Arial Narrow" w:hAnsi="Arial Narrow" w:cs="Arial"/>
                <w:sz w:val="20"/>
                <w:szCs w:val="20"/>
              </w:rPr>
              <w:t xml:space="preserve"> </w:t>
            </w:r>
            <w:r w:rsidRPr="000F28E1">
              <w:rPr>
                <w:rFonts w:ascii="Arial Narrow" w:hAnsi="Arial Narrow" w:cs="Arial"/>
                <w:sz w:val="20"/>
                <w:szCs w:val="20"/>
              </w:rPr>
              <w:t>day</w:t>
            </w:r>
          </w:p>
        </w:tc>
        <w:tc>
          <w:tcPr>
            <w:tcW w:w="901"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01"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01"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01"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809" w:type="dxa"/>
            <w:noWrap/>
            <w:hideMark/>
          </w:tcPr>
          <w:p w:rsidR="00950E67" w:rsidRPr="00E1625A" w:rsidRDefault="00E1625A" w:rsidP="00877C4B">
            <w:pPr>
              <w:keepNext/>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950E67" w:rsidRPr="000F28E1" w:rsidTr="00313DC8">
        <w:trPr>
          <w:trHeight w:val="288"/>
        </w:trPr>
        <w:tc>
          <w:tcPr>
            <w:tcW w:w="3479" w:type="dxa"/>
            <w:noWrap/>
            <w:hideMark/>
          </w:tcPr>
          <w:p w:rsidR="00950E67" w:rsidRPr="000F28E1" w:rsidRDefault="00950E67" w:rsidP="00877C4B">
            <w:pPr>
              <w:keepNext/>
              <w:rPr>
                <w:rFonts w:ascii="Arial Narrow" w:hAnsi="Arial Narrow" w:cs="Arial"/>
                <w:b/>
                <w:bCs/>
                <w:color w:val="000000"/>
                <w:sz w:val="20"/>
                <w:szCs w:val="20"/>
              </w:rPr>
            </w:pPr>
            <w:r w:rsidRPr="000F28E1">
              <w:rPr>
                <w:rFonts w:ascii="Arial Narrow" w:hAnsi="Arial Narrow" w:cs="Arial"/>
                <w:b/>
                <w:bCs/>
                <w:color w:val="000000"/>
                <w:sz w:val="20"/>
                <w:szCs w:val="20"/>
              </w:rPr>
              <w:t>Cost at DPMQ</w:t>
            </w:r>
          </w:p>
        </w:tc>
        <w:tc>
          <w:tcPr>
            <w:tcW w:w="901"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c>
          <w:tcPr>
            <w:tcW w:w="901"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c>
          <w:tcPr>
            <w:tcW w:w="901"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c>
          <w:tcPr>
            <w:tcW w:w="901"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c>
          <w:tcPr>
            <w:tcW w:w="809"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r>
      <w:tr w:rsidR="00950E67" w:rsidRPr="000F28E1" w:rsidTr="00313DC8">
        <w:trPr>
          <w:trHeight w:val="288"/>
        </w:trPr>
        <w:tc>
          <w:tcPr>
            <w:tcW w:w="3479" w:type="dxa"/>
            <w:noWrap/>
            <w:hideMark/>
          </w:tcPr>
          <w:p w:rsidR="00950E67" w:rsidRPr="000F28E1" w:rsidRDefault="00950E67" w:rsidP="00877C4B">
            <w:pPr>
              <w:keepNext/>
              <w:rPr>
                <w:rFonts w:ascii="Arial Narrow" w:hAnsi="Arial Narrow" w:cs="Arial"/>
                <w:color w:val="000000"/>
                <w:sz w:val="20"/>
                <w:szCs w:val="20"/>
              </w:rPr>
            </w:pPr>
            <w:r w:rsidRPr="000F28E1">
              <w:rPr>
                <w:rFonts w:ascii="Arial Narrow" w:hAnsi="Arial Narrow" w:cs="Arial"/>
                <w:color w:val="000000"/>
                <w:sz w:val="20"/>
                <w:szCs w:val="20"/>
              </w:rPr>
              <w:t>PBS</w:t>
            </w:r>
          </w:p>
        </w:tc>
        <w:tc>
          <w:tcPr>
            <w:tcW w:w="901"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c>
          <w:tcPr>
            <w:tcW w:w="901"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c>
          <w:tcPr>
            <w:tcW w:w="901"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c>
          <w:tcPr>
            <w:tcW w:w="901"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c>
          <w:tcPr>
            <w:tcW w:w="809"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r>
      <w:tr w:rsidR="00950E67" w:rsidRPr="000F28E1" w:rsidTr="00313DC8">
        <w:trPr>
          <w:trHeight w:val="288"/>
        </w:trPr>
        <w:tc>
          <w:tcPr>
            <w:tcW w:w="3479" w:type="dxa"/>
            <w:noWrap/>
            <w:hideMark/>
          </w:tcPr>
          <w:p w:rsidR="00950E67" w:rsidRPr="000F28E1" w:rsidRDefault="00950E67" w:rsidP="00877C4B">
            <w:pPr>
              <w:keepNext/>
              <w:rPr>
                <w:rFonts w:ascii="Arial Narrow" w:hAnsi="Arial Narrow" w:cs="Arial"/>
                <w:color w:val="000000"/>
                <w:sz w:val="20"/>
                <w:szCs w:val="20"/>
              </w:rPr>
            </w:pPr>
            <w:r w:rsidRPr="000F28E1">
              <w:rPr>
                <w:rFonts w:ascii="Arial Narrow" w:hAnsi="Arial Narrow" w:cs="Arial"/>
                <w:color w:val="000000"/>
                <w:sz w:val="20"/>
                <w:szCs w:val="20"/>
              </w:rPr>
              <w:t>RPBS</w:t>
            </w:r>
          </w:p>
        </w:tc>
        <w:tc>
          <w:tcPr>
            <w:tcW w:w="901"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c>
          <w:tcPr>
            <w:tcW w:w="901"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c>
          <w:tcPr>
            <w:tcW w:w="901"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c>
          <w:tcPr>
            <w:tcW w:w="901"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c>
          <w:tcPr>
            <w:tcW w:w="809"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r>
      <w:tr w:rsidR="00950E67" w:rsidRPr="000F28E1" w:rsidTr="00313DC8">
        <w:trPr>
          <w:trHeight w:val="288"/>
        </w:trPr>
        <w:tc>
          <w:tcPr>
            <w:tcW w:w="3479" w:type="dxa"/>
            <w:noWrap/>
            <w:hideMark/>
          </w:tcPr>
          <w:p w:rsidR="00950E67" w:rsidRPr="000F28E1" w:rsidRDefault="00950E67" w:rsidP="00877C4B">
            <w:pPr>
              <w:keepNext/>
              <w:rPr>
                <w:rFonts w:ascii="Arial Narrow" w:hAnsi="Arial Narrow" w:cs="Arial"/>
                <w:b/>
                <w:bCs/>
                <w:color w:val="000000"/>
                <w:sz w:val="20"/>
                <w:szCs w:val="20"/>
              </w:rPr>
            </w:pPr>
            <w:r w:rsidRPr="000F28E1">
              <w:rPr>
                <w:rFonts w:ascii="Arial Narrow" w:hAnsi="Arial Narrow" w:cs="Arial"/>
                <w:b/>
                <w:bCs/>
                <w:color w:val="000000"/>
                <w:sz w:val="20"/>
                <w:szCs w:val="20"/>
              </w:rPr>
              <w:t>Co-payments</w:t>
            </w:r>
          </w:p>
        </w:tc>
        <w:tc>
          <w:tcPr>
            <w:tcW w:w="901" w:type="dxa"/>
            <w:noWrap/>
            <w:hideMark/>
          </w:tcPr>
          <w:p w:rsidR="00950E67" w:rsidRPr="00E1625A" w:rsidRDefault="00E1625A" w:rsidP="00877C4B">
            <w:pPr>
              <w:keepNext/>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901" w:type="dxa"/>
            <w:noWrap/>
            <w:hideMark/>
          </w:tcPr>
          <w:p w:rsidR="00950E67" w:rsidRPr="00E1625A" w:rsidRDefault="00E1625A" w:rsidP="00877C4B">
            <w:pPr>
              <w:keepNext/>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901" w:type="dxa"/>
            <w:noWrap/>
            <w:hideMark/>
          </w:tcPr>
          <w:p w:rsidR="00950E67" w:rsidRPr="00E1625A" w:rsidRDefault="00E1625A" w:rsidP="00877C4B">
            <w:pPr>
              <w:keepNext/>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901" w:type="dxa"/>
            <w:noWrap/>
            <w:hideMark/>
          </w:tcPr>
          <w:p w:rsidR="00950E67" w:rsidRPr="00E1625A" w:rsidRDefault="00E1625A" w:rsidP="00877C4B">
            <w:pPr>
              <w:keepNext/>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809" w:type="dxa"/>
            <w:noWrap/>
            <w:hideMark/>
          </w:tcPr>
          <w:p w:rsidR="00950E67" w:rsidRPr="00E1625A" w:rsidRDefault="00E1625A" w:rsidP="00877C4B">
            <w:pPr>
              <w:keepNext/>
              <w:jc w:val="right"/>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950E67" w:rsidRPr="000F28E1" w:rsidTr="00313DC8">
        <w:trPr>
          <w:trHeight w:val="288"/>
        </w:trPr>
        <w:tc>
          <w:tcPr>
            <w:tcW w:w="3479" w:type="dxa"/>
            <w:noWrap/>
            <w:hideMark/>
          </w:tcPr>
          <w:p w:rsidR="00950E67" w:rsidRPr="000F28E1" w:rsidRDefault="00950E67" w:rsidP="00877C4B">
            <w:pPr>
              <w:keepNext/>
              <w:rPr>
                <w:rFonts w:ascii="Arial Narrow" w:hAnsi="Arial Narrow" w:cs="Arial"/>
                <w:color w:val="000000"/>
                <w:sz w:val="20"/>
                <w:szCs w:val="20"/>
              </w:rPr>
            </w:pPr>
            <w:r w:rsidRPr="000F28E1">
              <w:rPr>
                <w:rFonts w:ascii="Arial Narrow" w:hAnsi="Arial Narrow" w:cs="Arial"/>
                <w:color w:val="000000"/>
                <w:sz w:val="20"/>
                <w:szCs w:val="20"/>
              </w:rPr>
              <w:t>PBS</w:t>
            </w:r>
          </w:p>
        </w:tc>
        <w:tc>
          <w:tcPr>
            <w:tcW w:w="901"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c>
          <w:tcPr>
            <w:tcW w:w="901"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c>
          <w:tcPr>
            <w:tcW w:w="901"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c>
          <w:tcPr>
            <w:tcW w:w="901"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c>
          <w:tcPr>
            <w:tcW w:w="809"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r>
      <w:tr w:rsidR="00950E67" w:rsidRPr="000F28E1" w:rsidTr="00313DC8">
        <w:trPr>
          <w:trHeight w:val="288"/>
        </w:trPr>
        <w:tc>
          <w:tcPr>
            <w:tcW w:w="3479" w:type="dxa"/>
            <w:noWrap/>
            <w:hideMark/>
          </w:tcPr>
          <w:p w:rsidR="00950E67" w:rsidRPr="000F28E1" w:rsidRDefault="00950E67" w:rsidP="00877C4B">
            <w:pPr>
              <w:keepNext/>
              <w:rPr>
                <w:rFonts w:ascii="Arial Narrow" w:hAnsi="Arial Narrow" w:cs="Arial"/>
                <w:color w:val="000000"/>
                <w:sz w:val="20"/>
                <w:szCs w:val="20"/>
              </w:rPr>
            </w:pPr>
            <w:r w:rsidRPr="000F28E1">
              <w:rPr>
                <w:rFonts w:ascii="Arial Narrow" w:hAnsi="Arial Narrow" w:cs="Arial"/>
                <w:color w:val="000000"/>
                <w:sz w:val="20"/>
                <w:szCs w:val="20"/>
              </w:rPr>
              <w:t>RPBS</w:t>
            </w:r>
          </w:p>
        </w:tc>
        <w:tc>
          <w:tcPr>
            <w:tcW w:w="901"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c>
          <w:tcPr>
            <w:tcW w:w="901"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c>
          <w:tcPr>
            <w:tcW w:w="901"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c>
          <w:tcPr>
            <w:tcW w:w="901"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c>
          <w:tcPr>
            <w:tcW w:w="809"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r>
      <w:tr w:rsidR="00950E67" w:rsidRPr="000F28E1" w:rsidTr="00313DC8">
        <w:trPr>
          <w:trHeight w:val="288"/>
        </w:trPr>
        <w:tc>
          <w:tcPr>
            <w:tcW w:w="3479" w:type="dxa"/>
            <w:noWrap/>
            <w:hideMark/>
          </w:tcPr>
          <w:p w:rsidR="00950E67" w:rsidRPr="000F28E1" w:rsidRDefault="00950E67" w:rsidP="00877C4B">
            <w:pPr>
              <w:keepNext/>
              <w:rPr>
                <w:rFonts w:ascii="Arial Narrow" w:hAnsi="Arial Narrow" w:cs="Arial"/>
                <w:b/>
                <w:bCs/>
                <w:color w:val="000000"/>
                <w:sz w:val="20"/>
                <w:szCs w:val="20"/>
              </w:rPr>
            </w:pPr>
            <w:r w:rsidRPr="000F28E1">
              <w:rPr>
                <w:rFonts w:ascii="Arial Narrow" w:hAnsi="Arial Narrow" w:cs="Arial"/>
                <w:b/>
                <w:bCs/>
                <w:color w:val="000000"/>
                <w:sz w:val="20"/>
                <w:szCs w:val="20"/>
              </w:rPr>
              <w:t>Net Cost to PBS/RPBS</w:t>
            </w:r>
          </w:p>
        </w:tc>
        <w:tc>
          <w:tcPr>
            <w:tcW w:w="901" w:type="dxa"/>
            <w:noWrap/>
            <w:hideMark/>
          </w:tcPr>
          <w:p w:rsidR="00950E67" w:rsidRPr="000F28E1" w:rsidRDefault="00950E67" w:rsidP="00877C4B">
            <w:pPr>
              <w:keepNext/>
              <w:jc w:val="right"/>
              <w:rPr>
                <w:rFonts w:ascii="Arial Narrow" w:hAnsi="Arial Narrow" w:cs="Arial"/>
                <w:b/>
                <w:bCs/>
                <w:color w:val="000000"/>
                <w:sz w:val="20"/>
                <w:szCs w:val="20"/>
              </w:rPr>
            </w:pPr>
            <w:r w:rsidRPr="000F28E1">
              <w:rPr>
                <w:rFonts w:ascii="Arial Narrow" w:hAnsi="Arial Narrow" w:cs="Arial"/>
                <w:b/>
                <w:bCs/>
                <w:color w:val="000000"/>
                <w:sz w:val="20"/>
                <w:szCs w:val="20"/>
              </w:rPr>
              <w:t>$</w:t>
            </w:r>
            <w:r w:rsidR="00E1625A">
              <w:rPr>
                <w:rFonts w:ascii="Arial Narrow" w:hAnsi="Arial Narrow" w:cs="Arial"/>
                <w:b/>
                <w:bCs/>
                <w:noProof/>
                <w:color w:val="000000"/>
                <w:sz w:val="20"/>
                <w:szCs w:val="20"/>
                <w:highlight w:val="black"/>
              </w:rPr>
              <w:t>'''''''''''''''''</w:t>
            </w:r>
          </w:p>
        </w:tc>
        <w:tc>
          <w:tcPr>
            <w:tcW w:w="901" w:type="dxa"/>
            <w:noWrap/>
            <w:hideMark/>
          </w:tcPr>
          <w:p w:rsidR="00950E67" w:rsidRPr="000F28E1" w:rsidRDefault="00950E67" w:rsidP="00877C4B">
            <w:pPr>
              <w:keepNext/>
              <w:jc w:val="right"/>
              <w:rPr>
                <w:rFonts w:ascii="Arial Narrow" w:hAnsi="Arial Narrow" w:cs="Arial"/>
                <w:b/>
                <w:bCs/>
                <w:color w:val="000000"/>
                <w:sz w:val="20"/>
                <w:szCs w:val="20"/>
              </w:rPr>
            </w:pPr>
            <w:r w:rsidRPr="000F28E1">
              <w:rPr>
                <w:rFonts w:ascii="Arial Narrow" w:hAnsi="Arial Narrow" w:cs="Arial"/>
                <w:b/>
                <w:bCs/>
                <w:color w:val="000000"/>
                <w:sz w:val="20"/>
                <w:szCs w:val="20"/>
              </w:rPr>
              <w:t>$</w:t>
            </w:r>
            <w:r w:rsidR="00E1625A">
              <w:rPr>
                <w:rFonts w:ascii="Arial Narrow" w:hAnsi="Arial Narrow" w:cs="Arial"/>
                <w:b/>
                <w:bCs/>
                <w:noProof/>
                <w:color w:val="000000"/>
                <w:sz w:val="20"/>
                <w:szCs w:val="20"/>
                <w:highlight w:val="black"/>
              </w:rPr>
              <w:t>''''''''''''''''</w:t>
            </w:r>
          </w:p>
        </w:tc>
        <w:tc>
          <w:tcPr>
            <w:tcW w:w="901" w:type="dxa"/>
            <w:noWrap/>
            <w:hideMark/>
          </w:tcPr>
          <w:p w:rsidR="00950E67" w:rsidRPr="000F28E1" w:rsidRDefault="00950E67" w:rsidP="00877C4B">
            <w:pPr>
              <w:keepNext/>
              <w:jc w:val="right"/>
              <w:rPr>
                <w:rFonts w:ascii="Arial Narrow" w:hAnsi="Arial Narrow" w:cs="Arial"/>
                <w:b/>
                <w:bCs/>
                <w:color w:val="000000"/>
                <w:sz w:val="20"/>
                <w:szCs w:val="20"/>
              </w:rPr>
            </w:pPr>
            <w:r w:rsidRPr="000F28E1">
              <w:rPr>
                <w:rFonts w:ascii="Arial Narrow" w:hAnsi="Arial Narrow" w:cs="Arial"/>
                <w:b/>
                <w:bCs/>
                <w:color w:val="000000"/>
                <w:sz w:val="20"/>
                <w:szCs w:val="20"/>
              </w:rPr>
              <w:t>$</w:t>
            </w:r>
            <w:r w:rsidR="00E1625A">
              <w:rPr>
                <w:rFonts w:ascii="Arial Narrow" w:hAnsi="Arial Narrow" w:cs="Arial"/>
                <w:b/>
                <w:bCs/>
                <w:noProof/>
                <w:color w:val="000000"/>
                <w:sz w:val="20"/>
                <w:szCs w:val="20"/>
                <w:highlight w:val="black"/>
              </w:rPr>
              <w:t>''''''''''''''''</w:t>
            </w:r>
          </w:p>
        </w:tc>
        <w:tc>
          <w:tcPr>
            <w:tcW w:w="901" w:type="dxa"/>
            <w:noWrap/>
            <w:hideMark/>
          </w:tcPr>
          <w:p w:rsidR="00950E67" w:rsidRPr="000F28E1" w:rsidRDefault="00950E67" w:rsidP="00877C4B">
            <w:pPr>
              <w:keepNext/>
              <w:jc w:val="right"/>
              <w:rPr>
                <w:rFonts w:ascii="Arial Narrow" w:hAnsi="Arial Narrow" w:cs="Arial"/>
                <w:b/>
                <w:bCs/>
                <w:color w:val="000000"/>
                <w:sz w:val="20"/>
                <w:szCs w:val="20"/>
              </w:rPr>
            </w:pPr>
            <w:r w:rsidRPr="000F28E1">
              <w:rPr>
                <w:rFonts w:ascii="Arial Narrow" w:hAnsi="Arial Narrow" w:cs="Arial"/>
                <w:b/>
                <w:bCs/>
                <w:color w:val="000000"/>
                <w:sz w:val="20"/>
                <w:szCs w:val="20"/>
              </w:rPr>
              <w:t>$</w:t>
            </w:r>
            <w:r w:rsidR="00E1625A">
              <w:rPr>
                <w:rFonts w:ascii="Arial Narrow" w:hAnsi="Arial Narrow" w:cs="Arial"/>
                <w:b/>
                <w:bCs/>
                <w:noProof/>
                <w:color w:val="000000"/>
                <w:sz w:val="20"/>
                <w:szCs w:val="20"/>
                <w:highlight w:val="black"/>
              </w:rPr>
              <w:t>'''''''''''''''</w:t>
            </w:r>
          </w:p>
        </w:tc>
        <w:tc>
          <w:tcPr>
            <w:tcW w:w="809" w:type="dxa"/>
            <w:noWrap/>
            <w:hideMark/>
          </w:tcPr>
          <w:p w:rsidR="00950E67" w:rsidRPr="000F28E1" w:rsidRDefault="00950E67" w:rsidP="00877C4B">
            <w:pPr>
              <w:keepNext/>
              <w:jc w:val="right"/>
              <w:rPr>
                <w:rFonts w:ascii="Arial Narrow" w:hAnsi="Arial Narrow" w:cs="Arial"/>
                <w:b/>
                <w:bCs/>
                <w:color w:val="000000"/>
                <w:sz w:val="20"/>
                <w:szCs w:val="20"/>
              </w:rPr>
            </w:pPr>
            <w:r w:rsidRPr="000F28E1">
              <w:rPr>
                <w:rFonts w:ascii="Arial Narrow" w:hAnsi="Arial Narrow" w:cs="Arial"/>
                <w:b/>
                <w:bCs/>
                <w:color w:val="000000"/>
                <w:sz w:val="20"/>
                <w:szCs w:val="20"/>
              </w:rPr>
              <w:t>$</w:t>
            </w:r>
            <w:r w:rsidR="00E1625A">
              <w:rPr>
                <w:rFonts w:ascii="Arial Narrow" w:hAnsi="Arial Narrow" w:cs="Arial"/>
                <w:b/>
                <w:bCs/>
                <w:noProof/>
                <w:color w:val="000000"/>
                <w:sz w:val="20"/>
                <w:szCs w:val="20"/>
                <w:highlight w:val="black"/>
              </w:rPr>
              <w:t>'''''''''''''</w:t>
            </w:r>
          </w:p>
        </w:tc>
      </w:tr>
      <w:tr w:rsidR="00950E67" w:rsidRPr="000F28E1" w:rsidTr="00313DC8">
        <w:trPr>
          <w:trHeight w:val="288"/>
        </w:trPr>
        <w:tc>
          <w:tcPr>
            <w:tcW w:w="3479" w:type="dxa"/>
            <w:noWrap/>
            <w:hideMark/>
          </w:tcPr>
          <w:p w:rsidR="00950E67" w:rsidRPr="000F28E1" w:rsidRDefault="00950E67" w:rsidP="00877C4B">
            <w:pPr>
              <w:keepNext/>
              <w:rPr>
                <w:rFonts w:ascii="Arial Narrow" w:hAnsi="Arial Narrow" w:cs="Arial"/>
                <w:color w:val="000000"/>
                <w:sz w:val="20"/>
                <w:szCs w:val="20"/>
              </w:rPr>
            </w:pPr>
            <w:r w:rsidRPr="000F28E1">
              <w:rPr>
                <w:rFonts w:ascii="Arial Narrow" w:hAnsi="Arial Narrow" w:cs="Arial"/>
                <w:color w:val="000000"/>
                <w:sz w:val="20"/>
                <w:szCs w:val="20"/>
              </w:rPr>
              <w:t>Net Cost to PBS</w:t>
            </w:r>
          </w:p>
        </w:tc>
        <w:tc>
          <w:tcPr>
            <w:tcW w:w="901"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c>
          <w:tcPr>
            <w:tcW w:w="901"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c>
          <w:tcPr>
            <w:tcW w:w="901"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c>
          <w:tcPr>
            <w:tcW w:w="901"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c>
          <w:tcPr>
            <w:tcW w:w="809"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r>
      <w:tr w:rsidR="00950E67" w:rsidRPr="000F28E1" w:rsidTr="00313DC8">
        <w:trPr>
          <w:trHeight w:val="288"/>
        </w:trPr>
        <w:tc>
          <w:tcPr>
            <w:tcW w:w="3479" w:type="dxa"/>
            <w:noWrap/>
            <w:hideMark/>
          </w:tcPr>
          <w:p w:rsidR="00950E67" w:rsidRPr="000F28E1" w:rsidRDefault="00950E67" w:rsidP="00877C4B">
            <w:pPr>
              <w:keepNext/>
              <w:rPr>
                <w:rFonts w:ascii="Arial Narrow" w:hAnsi="Arial Narrow" w:cs="Arial"/>
                <w:color w:val="000000"/>
                <w:sz w:val="20"/>
                <w:szCs w:val="20"/>
              </w:rPr>
            </w:pPr>
            <w:r w:rsidRPr="000F28E1">
              <w:rPr>
                <w:rFonts w:ascii="Arial Narrow" w:hAnsi="Arial Narrow" w:cs="Arial"/>
                <w:color w:val="000000"/>
                <w:sz w:val="20"/>
                <w:szCs w:val="20"/>
              </w:rPr>
              <w:t>Net Cost to RPBS</w:t>
            </w:r>
          </w:p>
        </w:tc>
        <w:tc>
          <w:tcPr>
            <w:tcW w:w="901"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c>
          <w:tcPr>
            <w:tcW w:w="901"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c>
          <w:tcPr>
            <w:tcW w:w="901"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c>
          <w:tcPr>
            <w:tcW w:w="901"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c>
          <w:tcPr>
            <w:tcW w:w="809" w:type="dxa"/>
            <w:noWrap/>
            <w:hideMark/>
          </w:tcPr>
          <w:p w:rsidR="00950E67" w:rsidRPr="000F28E1" w:rsidRDefault="00950E67" w:rsidP="00877C4B">
            <w:pPr>
              <w:keepNext/>
              <w:jc w:val="right"/>
              <w:rPr>
                <w:rFonts w:ascii="Arial Narrow" w:hAnsi="Arial Narrow" w:cs="Arial"/>
                <w:color w:val="000000"/>
                <w:sz w:val="20"/>
                <w:szCs w:val="20"/>
              </w:rPr>
            </w:pPr>
            <w:r w:rsidRPr="000F28E1">
              <w:rPr>
                <w:rFonts w:ascii="Arial Narrow" w:hAnsi="Arial Narrow" w:cs="Arial"/>
                <w:color w:val="000000"/>
                <w:sz w:val="20"/>
                <w:szCs w:val="20"/>
              </w:rPr>
              <w:t>$</w:t>
            </w:r>
            <w:r w:rsidR="00E1625A">
              <w:rPr>
                <w:rFonts w:ascii="Arial Narrow" w:hAnsi="Arial Narrow" w:cs="Arial"/>
                <w:noProof/>
                <w:color w:val="000000"/>
                <w:sz w:val="20"/>
                <w:szCs w:val="20"/>
                <w:highlight w:val="black"/>
              </w:rPr>
              <w:t>''''''''</w:t>
            </w:r>
          </w:p>
        </w:tc>
      </w:tr>
    </w:tbl>
    <w:p w:rsidR="00286AE2" w:rsidRPr="000F28E1" w:rsidRDefault="00B41828" w:rsidP="00877C4B">
      <w:pPr>
        <w:ind w:firstLine="709"/>
        <w:rPr>
          <w:rFonts w:ascii="Arial Narrow" w:hAnsi="Arial Narrow"/>
          <w:sz w:val="20"/>
          <w:szCs w:val="20"/>
        </w:rPr>
      </w:pPr>
      <w:r w:rsidRPr="000F28E1">
        <w:rPr>
          <w:rFonts w:ascii="Arial Narrow" w:hAnsi="Arial Narrow"/>
          <w:sz w:val="20"/>
          <w:szCs w:val="20"/>
        </w:rPr>
        <w:t>Source: Ribavirin submission, p. 6.</w:t>
      </w:r>
    </w:p>
    <w:p w:rsidR="00B90581" w:rsidRPr="000F28E1" w:rsidRDefault="00B90581" w:rsidP="00B90581">
      <w:pPr>
        <w:jc w:val="both"/>
        <w:rPr>
          <w:rFonts w:ascii="Arial" w:hAnsi="Arial"/>
          <w:sz w:val="22"/>
          <w:szCs w:val="22"/>
        </w:rPr>
      </w:pPr>
    </w:p>
    <w:p w:rsidR="001D472C" w:rsidRPr="005D6DE4" w:rsidRDefault="001D472C" w:rsidP="005D6DE4">
      <w:pPr>
        <w:ind w:left="709" w:firstLine="11"/>
        <w:rPr>
          <w:rFonts w:ascii="Arial" w:hAnsi="Arial" w:cs="Arial"/>
          <w:bCs/>
          <w:snapToGrid w:val="0"/>
          <w:sz w:val="22"/>
          <w:szCs w:val="22"/>
        </w:rPr>
      </w:pPr>
      <w:r w:rsidRPr="001D472C">
        <w:rPr>
          <w:rFonts w:ascii="Arial" w:hAnsi="Arial" w:cs="Arial"/>
          <w:bCs/>
          <w:snapToGrid w:val="0"/>
          <w:sz w:val="22"/>
          <w:szCs w:val="22"/>
        </w:rPr>
        <w:lastRenderedPageBreak/>
        <w:t>The redacted table shows that at year 5, the estimated number of patients was less than 10,000 per year and the net cost to the PBS would be less than $10 million</w:t>
      </w:r>
      <w:r w:rsidR="00816695">
        <w:rPr>
          <w:rFonts w:ascii="Arial" w:hAnsi="Arial" w:cs="Arial"/>
          <w:bCs/>
          <w:snapToGrid w:val="0"/>
          <w:sz w:val="22"/>
          <w:szCs w:val="22"/>
        </w:rPr>
        <w:t xml:space="preserve"> per year</w:t>
      </w:r>
      <w:r w:rsidRPr="001D472C">
        <w:rPr>
          <w:rFonts w:ascii="Arial" w:hAnsi="Arial" w:cs="Arial"/>
          <w:bCs/>
          <w:snapToGrid w:val="0"/>
          <w:sz w:val="22"/>
          <w:szCs w:val="22"/>
        </w:rPr>
        <w:t>.</w:t>
      </w:r>
    </w:p>
    <w:p w:rsidR="001D472C" w:rsidRDefault="001D472C" w:rsidP="00B90581">
      <w:pPr>
        <w:ind w:firstLine="720"/>
        <w:rPr>
          <w:rFonts w:ascii="Arial" w:hAnsi="Arial" w:cs="Arial"/>
          <w:bCs/>
          <w:i/>
          <w:snapToGrid w:val="0"/>
          <w:sz w:val="22"/>
          <w:szCs w:val="22"/>
        </w:rPr>
      </w:pPr>
    </w:p>
    <w:p w:rsidR="00B90581" w:rsidRPr="000F28E1" w:rsidRDefault="00B90581" w:rsidP="00B90581">
      <w:pPr>
        <w:ind w:firstLine="720"/>
        <w:rPr>
          <w:rFonts w:ascii="Arial" w:hAnsi="Arial" w:cs="Arial"/>
          <w:bCs/>
          <w:snapToGrid w:val="0"/>
          <w:sz w:val="22"/>
          <w:szCs w:val="22"/>
        </w:rPr>
      </w:pPr>
      <w:r w:rsidRPr="000F28E1">
        <w:rPr>
          <w:rFonts w:ascii="Arial" w:hAnsi="Arial" w:cs="Arial"/>
          <w:bCs/>
          <w:i/>
          <w:snapToGrid w:val="0"/>
          <w:sz w:val="22"/>
          <w:szCs w:val="22"/>
        </w:rPr>
        <w:t>For more deta</w:t>
      </w:r>
      <w:r w:rsidR="00DA4B35" w:rsidRPr="000F28E1">
        <w:rPr>
          <w:rFonts w:ascii="Arial" w:hAnsi="Arial" w:cs="Arial"/>
          <w:bCs/>
          <w:i/>
          <w:snapToGrid w:val="0"/>
          <w:sz w:val="22"/>
          <w:szCs w:val="22"/>
        </w:rPr>
        <w:t>il on PBAC’s view, see section 6</w:t>
      </w:r>
      <w:r w:rsidRPr="000F28E1">
        <w:rPr>
          <w:rFonts w:ascii="Arial" w:hAnsi="Arial" w:cs="Arial"/>
          <w:bCs/>
          <w:i/>
          <w:snapToGrid w:val="0"/>
          <w:sz w:val="22"/>
          <w:szCs w:val="22"/>
        </w:rPr>
        <w:t xml:space="preserve"> “PBAC outcome”</w:t>
      </w:r>
    </w:p>
    <w:p w:rsidR="001D472C" w:rsidRDefault="001D472C" w:rsidP="001D472C">
      <w:pPr>
        <w:rPr>
          <w:rFonts w:ascii="Arial" w:hAnsi="Arial"/>
          <w:sz w:val="22"/>
          <w:szCs w:val="22"/>
        </w:rPr>
      </w:pPr>
    </w:p>
    <w:p w:rsidR="00C90251" w:rsidRPr="001D472C" w:rsidRDefault="00C90251" w:rsidP="001D472C">
      <w:pPr>
        <w:pStyle w:val="ListParagraph"/>
        <w:numPr>
          <w:ilvl w:val="0"/>
          <w:numId w:val="1"/>
        </w:numPr>
        <w:jc w:val="both"/>
        <w:outlineLvl w:val="0"/>
        <w:rPr>
          <w:rFonts w:ascii="Arial" w:hAnsi="Arial"/>
          <w:b/>
          <w:sz w:val="22"/>
          <w:szCs w:val="22"/>
        </w:rPr>
      </w:pPr>
      <w:r w:rsidRPr="001D472C">
        <w:rPr>
          <w:rFonts w:ascii="Arial" w:hAnsi="Arial"/>
          <w:b/>
          <w:sz w:val="22"/>
          <w:szCs w:val="22"/>
        </w:rPr>
        <w:t>PBAC Outcome</w:t>
      </w:r>
    </w:p>
    <w:p w:rsidR="00C90251" w:rsidRPr="00233FB3" w:rsidRDefault="00C90251" w:rsidP="00C90251">
      <w:pPr>
        <w:widowControl w:val="0"/>
        <w:jc w:val="both"/>
        <w:rPr>
          <w:rFonts w:ascii="Arial" w:hAnsi="Arial" w:cs="Arial"/>
          <w:b/>
          <w:bCs/>
          <w:snapToGrid w:val="0"/>
          <w:sz w:val="22"/>
          <w:szCs w:val="20"/>
        </w:rPr>
      </w:pPr>
    </w:p>
    <w:p w:rsidR="008E6766" w:rsidRPr="00233FB3" w:rsidRDefault="00CF2F2A" w:rsidP="00934048">
      <w:pPr>
        <w:widowControl w:val="0"/>
        <w:numPr>
          <w:ilvl w:val="1"/>
          <w:numId w:val="1"/>
        </w:numPr>
        <w:jc w:val="both"/>
        <w:rPr>
          <w:rFonts w:ascii="Arial" w:hAnsi="Arial" w:cs="Arial"/>
          <w:bCs/>
          <w:snapToGrid w:val="0"/>
          <w:sz w:val="22"/>
          <w:szCs w:val="20"/>
        </w:rPr>
      </w:pPr>
      <w:r w:rsidRPr="00233FB3">
        <w:rPr>
          <w:rFonts w:ascii="Arial" w:hAnsi="Arial" w:cs="Arial"/>
          <w:bCs/>
          <w:snapToGrid w:val="0"/>
          <w:sz w:val="22"/>
          <w:szCs w:val="20"/>
        </w:rPr>
        <w:t>The PBAC recommended the listing of</w:t>
      </w:r>
      <w:r w:rsidR="00D31A7B" w:rsidRPr="00233FB3">
        <w:rPr>
          <w:rFonts w:ascii="Arial" w:hAnsi="Arial" w:cs="Arial"/>
          <w:bCs/>
          <w:snapToGrid w:val="0"/>
          <w:sz w:val="22"/>
          <w:szCs w:val="20"/>
        </w:rPr>
        <w:t xml:space="preserve"> ribavirin in combination with</w:t>
      </w:r>
      <w:r w:rsidRPr="00233FB3">
        <w:rPr>
          <w:rFonts w:ascii="Arial" w:hAnsi="Arial" w:cs="Arial"/>
          <w:bCs/>
          <w:snapToGrid w:val="0"/>
          <w:sz w:val="22"/>
          <w:szCs w:val="20"/>
        </w:rPr>
        <w:t xml:space="preserve"> daclatasvir and sofosbuvir</w:t>
      </w:r>
      <w:r w:rsidR="00EE333A" w:rsidRPr="00233FB3">
        <w:rPr>
          <w:rFonts w:ascii="Arial" w:hAnsi="Arial" w:cs="Arial"/>
          <w:bCs/>
          <w:snapToGrid w:val="0"/>
          <w:sz w:val="22"/>
          <w:szCs w:val="20"/>
        </w:rPr>
        <w:t xml:space="preserve"> as a 12 week treatment course</w:t>
      </w:r>
      <w:r w:rsidRPr="00233FB3">
        <w:rPr>
          <w:rFonts w:ascii="Arial" w:hAnsi="Arial" w:cs="Arial"/>
          <w:bCs/>
          <w:snapToGrid w:val="0"/>
          <w:sz w:val="22"/>
          <w:szCs w:val="20"/>
        </w:rPr>
        <w:t xml:space="preserve"> for the treatment of </w:t>
      </w:r>
      <w:r w:rsidR="00EE333A" w:rsidRPr="00233FB3">
        <w:rPr>
          <w:rFonts w:ascii="Arial" w:hAnsi="Arial" w:cs="Arial"/>
          <w:bCs/>
          <w:snapToGrid w:val="0"/>
          <w:sz w:val="22"/>
          <w:szCs w:val="20"/>
        </w:rPr>
        <w:t xml:space="preserve">Genotype 3 </w:t>
      </w:r>
      <w:r w:rsidR="000E7117" w:rsidRPr="00233FB3">
        <w:rPr>
          <w:rFonts w:ascii="Arial" w:hAnsi="Arial" w:cs="Arial"/>
          <w:bCs/>
          <w:snapToGrid w:val="0"/>
          <w:sz w:val="22"/>
          <w:szCs w:val="20"/>
        </w:rPr>
        <w:t>CHC</w:t>
      </w:r>
      <w:r w:rsidRPr="00233FB3">
        <w:rPr>
          <w:rFonts w:ascii="Arial" w:hAnsi="Arial" w:cs="Arial"/>
          <w:bCs/>
          <w:snapToGrid w:val="0"/>
          <w:sz w:val="22"/>
          <w:szCs w:val="20"/>
        </w:rPr>
        <w:t xml:space="preserve"> in </w:t>
      </w:r>
      <w:r w:rsidR="003719A0" w:rsidRPr="00233FB3">
        <w:rPr>
          <w:rFonts w:ascii="Arial" w:hAnsi="Arial" w:cs="Arial"/>
          <w:bCs/>
          <w:snapToGrid w:val="0"/>
          <w:sz w:val="22"/>
          <w:szCs w:val="20"/>
        </w:rPr>
        <w:t xml:space="preserve">treatment naïve and treatment experienced </w:t>
      </w:r>
      <w:r w:rsidRPr="00233FB3">
        <w:rPr>
          <w:rFonts w:ascii="Arial" w:hAnsi="Arial" w:cs="Arial"/>
          <w:bCs/>
          <w:snapToGrid w:val="0"/>
          <w:sz w:val="22"/>
          <w:szCs w:val="20"/>
        </w:rPr>
        <w:t>cirrhotic patients.</w:t>
      </w:r>
      <w:r w:rsidR="003719A0" w:rsidRPr="00233FB3">
        <w:rPr>
          <w:rFonts w:ascii="Arial" w:hAnsi="Arial" w:cs="Arial"/>
          <w:bCs/>
          <w:snapToGrid w:val="0"/>
          <w:sz w:val="22"/>
          <w:szCs w:val="20"/>
        </w:rPr>
        <w:t xml:space="preserve"> The PBAC also recommended a footnote be added to the GT3 daclatasvir with sofosbuvir 24 week</w:t>
      </w:r>
      <w:r w:rsidR="00544466" w:rsidRPr="00233FB3">
        <w:rPr>
          <w:rFonts w:ascii="Arial" w:hAnsi="Arial" w:cs="Arial"/>
          <w:bCs/>
          <w:snapToGrid w:val="0"/>
          <w:sz w:val="22"/>
          <w:szCs w:val="20"/>
        </w:rPr>
        <w:t xml:space="preserve"> regimen</w:t>
      </w:r>
      <w:r w:rsidR="003719A0" w:rsidRPr="00233FB3">
        <w:rPr>
          <w:rFonts w:ascii="Arial" w:hAnsi="Arial" w:cs="Arial"/>
          <w:bCs/>
          <w:snapToGrid w:val="0"/>
          <w:sz w:val="22"/>
          <w:szCs w:val="20"/>
        </w:rPr>
        <w:t xml:space="preserve"> to allow for the addition of ribavirin to this regimen when clinically appropriate, for example in patients with decompensated liver disease.</w:t>
      </w:r>
      <w:r w:rsidRPr="00233FB3">
        <w:rPr>
          <w:rFonts w:ascii="Arial" w:hAnsi="Arial" w:cs="Arial"/>
          <w:bCs/>
          <w:snapToGrid w:val="0"/>
          <w:sz w:val="22"/>
          <w:szCs w:val="20"/>
        </w:rPr>
        <w:t xml:space="preserve"> In making this recommendation, </w:t>
      </w:r>
      <w:r w:rsidRPr="00233FB3">
        <w:rPr>
          <w:rFonts w:ascii="Arial" w:hAnsi="Arial" w:cs="Arial"/>
          <w:bCs/>
          <w:sz w:val="22"/>
          <w:szCs w:val="22"/>
        </w:rPr>
        <w:t xml:space="preserve">the PBAC noted that new </w:t>
      </w:r>
      <w:r w:rsidR="00935054" w:rsidRPr="00233FB3">
        <w:rPr>
          <w:rFonts w:ascii="Arial" w:hAnsi="Arial" w:cs="Arial"/>
          <w:bCs/>
          <w:sz w:val="22"/>
          <w:szCs w:val="22"/>
        </w:rPr>
        <w:t>direct-acting antiviral</w:t>
      </w:r>
      <w:r w:rsidRPr="00233FB3">
        <w:rPr>
          <w:rFonts w:ascii="Arial" w:hAnsi="Arial" w:cs="Arial"/>
          <w:bCs/>
          <w:sz w:val="22"/>
          <w:szCs w:val="22"/>
        </w:rPr>
        <w:t xml:space="preserve"> treatment regimens for </w:t>
      </w:r>
      <w:r w:rsidR="000E7117" w:rsidRPr="00233FB3">
        <w:rPr>
          <w:rFonts w:ascii="Arial" w:hAnsi="Arial" w:cs="Arial"/>
          <w:bCs/>
          <w:sz w:val="22"/>
          <w:szCs w:val="22"/>
        </w:rPr>
        <w:t xml:space="preserve">CHC </w:t>
      </w:r>
      <w:r w:rsidRPr="00233FB3">
        <w:rPr>
          <w:rFonts w:ascii="Arial" w:hAnsi="Arial" w:cs="Arial"/>
          <w:bCs/>
          <w:sz w:val="22"/>
          <w:szCs w:val="22"/>
        </w:rPr>
        <w:t xml:space="preserve">are available both as General Schedule items and under special arrangements under Section 100. </w:t>
      </w:r>
      <w:r w:rsidR="00934048" w:rsidRPr="00233FB3">
        <w:rPr>
          <w:rFonts w:ascii="Arial" w:hAnsi="Arial" w:cs="Arial"/>
          <w:bCs/>
          <w:sz w:val="22"/>
          <w:szCs w:val="22"/>
        </w:rPr>
        <w:t>The PBAC recommended the special arrangements currently in place for new drugs for CHC listed under the Highly Specialised Drugs Program should apply to any new Section 100 listings for ribavirin.</w:t>
      </w:r>
    </w:p>
    <w:p w:rsidR="00532239" w:rsidRPr="00233FB3" w:rsidRDefault="00532239" w:rsidP="00544466">
      <w:pPr>
        <w:widowControl w:val="0"/>
        <w:ind w:left="720"/>
        <w:jc w:val="both"/>
        <w:rPr>
          <w:rFonts w:ascii="Arial" w:hAnsi="Arial" w:cs="Arial"/>
          <w:bCs/>
          <w:snapToGrid w:val="0"/>
          <w:sz w:val="22"/>
          <w:szCs w:val="20"/>
        </w:rPr>
      </w:pPr>
    </w:p>
    <w:p w:rsidR="00532239" w:rsidRPr="00233FB3" w:rsidRDefault="00532239" w:rsidP="00532239">
      <w:pPr>
        <w:pStyle w:val="ListParagraph"/>
        <w:numPr>
          <w:ilvl w:val="1"/>
          <w:numId w:val="1"/>
        </w:numPr>
        <w:rPr>
          <w:rFonts w:ascii="Arial" w:hAnsi="Arial" w:cs="Arial"/>
          <w:bCs/>
          <w:snapToGrid w:val="0"/>
          <w:sz w:val="22"/>
          <w:szCs w:val="20"/>
        </w:rPr>
      </w:pPr>
      <w:r w:rsidRPr="00233FB3">
        <w:rPr>
          <w:rFonts w:ascii="Arial" w:hAnsi="Arial" w:cs="Arial"/>
          <w:bCs/>
          <w:snapToGrid w:val="0"/>
          <w:sz w:val="22"/>
          <w:szCs w:val="20"/>
        </w:rPr>
        <w:t xml:space="preserve">The PBAC noted that the sponsor and some clinicians had informally stated they </w:t>
      </w:r>
      <w:r w:rsidR="000E7117" w:rsidRPr="00233FB3">
        <w:rPr>
          <w:rFonts w:ascii="Arial" w:hAnsi="Arial" w:cs="Arial"/>
          <w:bCs/>
          <w:snapToGrid w:val="0"/>
          <w:sz w:val="22"/>
          <w:szCs w:val="20"/>
        </w:rPr>
        <w:t xml:space="preserve">had </w:t>
      </w:r>
      <w:r w:rsidRPr="00233FB3">
        <w:rPr>
          <w:rFonts w:ascii="Arial" w:hAnsi="Arial" w:cs="Arial"/>
          <w:bCs/>
          <w:snapToGrid w:val="0"/>
          <w:sz w:val="22"/>
          <w:szCs w:val="20"/>
        </w:rPr>
        <w:t xml:space="preserve">requested ribavirin from the sponsor on compassionate grounds to treat </w:t>
      </w:r>
      <w:r w:rsidR="000E7117" w:rsidRPr="00233FB3">
        <w:rPr>
          <w:rFonts w:ascii="Arial" w:hAnsi="Arial" w:cs="Arial"/>
          <w:bCs/>
          <w:snapToGrid w:val="0"/>
          <w:sz w:val="22"/>
          <w:szCs w:val="20"/>
        </w:rPr>
        <w:t xml:space="preserve">CHC </w:t>
      </w:r>
      <w:r w:rsidRPr="00233FB3">
        <w:rPr>
          <w:rFonts w:ascii="Arial" w:hAnsi="Arial" w:cs="Arial"/>
          <w:bCs/>
          <w:snapToGrid w:val="0"/>
          <w:sz w:val="22"/>
          <w:szCs w:val="20"/>
        </w:rPr>
        <w:t>patients with decompensated liver disease outside current PBS listings.</w:t>
      </w:r>
    </w:p>
    <w:p w:rsidR="00532239" w:rsidRPr="00233FB3" w:rsidRDefault="00532239" w:rsidP="00313DC8">
      <w:pPr>
        <w:widowControl w:val="0"/>
        <w:ind w:left="720"/>
        <w:jc w:val="both"/>
        <w:rPr>
          <w:rFonts w:ascii="Arial" w:hAnsi="Arial" w:cs="Arial"/>
          <w:bCs/>
          <w:snapToGrid w:val="0"/>
          <w:sz w:val="22"/>
          <w:szCs w:val="20"/>
        </w:rPr>
      </w:pPr>
    </w:p>
    <w:p w:rsidR="00C90251" w:rsidRPr="00233FB3" w:rsidRDefault="00CF2F2A" w:rsidP="00980706">
      <w:pPr>
        <w:widowControl w:val="0"/>
        <w:numPr>
          <w:ilvl w:val="1"/>
          <w:numId w:val="1"/>
        </w:numPr>
        <w:jc w:val="both"/>
        <w:rPr>
          <w:rFonts w:ascii="Arial" w:hAnsi="Arial" w:cs="Arial"/>
          <w:bCs/>
          <w:snapToGrid w:val="0"/>
          <w:sz w:val="22"/>
          <w:szCs w:val="20"/>
        </w:rPr>
      </w:pPr>
      <w:r w:rsidRPr="00233FB3">
        <w:rPr>
          <w:rFonts w:ascii="Arial" w:hAnsi="Arial" w:cs="Arial"/>
          <w:bCs/>
          <w:snapToGrid w:val="0"/>
          <w:sz w:val="22"/>
          <w:szCs w:val="20"/>
        </w:rPr>
        <w:t>The PBAC considered that while no new data was presented in the submission, results from the published ALLY-3+ study</w:t>
      </w:r>
      <w:r w:rsidR="0045293C" w:rsidRPr="00233FB3">
        <w:rPr>
          <w:rStyle w:val="FootnoteReference"/>
          <w:rFonts w:ascii="Arial" w:hAnsi="Arial" w:cs="Arial"/>
          <w:bCs/>
          <w:snapToGrid w:val="0"/>
          <w:sz w:val="22"/>
          <w:szCs w:val="20"/>
        </w:rPr>
        <w:footnoteReference w:id="1"/>
      </w:r>
      <w:r w:rsidR="00C84E86" w:rsidRPr="00233FB3">
        <w:rPr>
          <w:rFonts w:ascii="Arial" w:hAnsi="Arial" w:cs="Arial"/>
          <w:bCs/>
          <w:snapToGrid w:val="0"/>
          <w:sz w:val="22"/>
          <w:szCs w:val="20"/>
        </w:rPr>
        <w:t xml:space="preserve">, </w:t>
      </w:r>
      <w:r w:rsidR="002008FC" w:rsidRPr="00233FB3">
        <w:rPr>
          <w:rFonts w:ascii="Arial" w:hAnsi="Arial" w:cs="Arial"/>
          <w:bCs/>
          <w:snapToGrid w:val="0"/>
          <w:sz w:val="22"/>
          <w:szCs w:val="20"/>
        </w:rPr>
        <w:t xml:space="preserve">demonstrated that treatment with </w:t>
      </w:r>
      <w:r w:rsidR="00980706" w:rsidRPr="00233FB3">
        <w:rPr>
          <w:rFonts w:ascii="Arial" w:hAnsi="Arial" w:cs="Arial"/>
          <w:bCs/>
          <w:snapToGrid w:val="0"/>
          <w:sz w:val="22"/>
          <w:szCs w:val="20"/>
        </w:rPr>
        <w:t xml:space="preserve">12 weeks of ribavirin in combination with daclatasvir and sofosbuvir </w:t>
      </w:r>
      <w:r w:rsidR="00532239" w:rsidRPr="00233FB3">
        <w:rPr>
          <w:rFonts w:ascii="Arial" w:hAnsi="Arial" w:cs="Arial"/>
          <w:bCs/>
          <w:snapToGrid w:val="0"/>
          <w:sz w:val="22"/>
          <w:szCs w:val="20"/>
        </w:rPr>
        <w:t xml:space="preserve">in GT3 patients with cirrhosis </w:t>
      </w:r>
      <w:r w:rsidR="002008FC" w:rsidRPr="00233FB3">
        <w:rPr>
          <w:rFonts w:ascii="Arial" w:hAnsi="Arial" w:cs="Arial"/>
          <w:bCs/>
          <w:snapToGrid w:val="0"/>
          <w:sz w:val="22"/>
          <w:szCs w:val="20"/>
        </w:rPr>
        <w:t>was well tolerated and resulted in similar response rates to currently subsidised treatment regimens.</w:t>
      </w:r>
      <w:r w:rsidR="001B0B8A">
        <w:rPr>
          <w:rFonts w:ascii="Arial" w:hAnsi="Arial" w:cs="Arial"/>
          <w:bCs/>
          <w:snapToGrid w:val="0"/>
          <w:sz w:val="22"/>
          <w:szCs w:val="20"/>
        </w:rPr>
        <w:t xml:space="preserve"> </w:t>
      </w:r>
    </w:p>
    <w:p w:rsidR="008E6766" w:rsidRPr="00233FB3" w:rsidRDefault="008E6766" w:rsidP="008E6766">
      <w:pPr>
        <w:pStyle w:val="ListParagraph"/>
        <w:rPr>
          <w:rFonts w:ascii="Arial" w:hAnsi="Arial" w:cs="Arial"/>
          <w:bCs/>
          <w:snapToGrid w:val="0"/>
          <w:sz w:val="22"/>
          <w:szCs w:val="20"/>
        </w:rPr>
      </w:pPr>
    </w:p>
    <w:p w:rsidR="007039D9" w:rsidRPr="00233FB3" w:rsidRDefault="008E6766" w:rsidP="00532239">
      <w:pPr>
        <w:widowControl w:val="0"/>
        <w:numPr>
          <w:ilvl w:val="1"/>
          <w:numId w:val="1"/>
        </w:numPr>
        <w:jc w:val="both"/>
        <w:rPr>
          <w:rFonts w:ascii="Arial" w:hAnsi="Arial" w:cs="Arial"/>
          <w:bCs/>
          <w:snapToGrid w:val="0"/>
          <w:sz w:val="22"/>
          <w:szCs w:val="20"/>
        </w:rPr>
      </w:pPr>
      <w:r w:rsidRPr="00233FB3">
        <w:rPr>
          <w:rFonts w:ascii="Arial" w:hAnsi="Arial" w:cs="Arial"/>
          <w:bCs/>
          <w:snapToGrid w:val="0"/>
          <w:sz w:val="22"/>
          <w:szCs w:val="20"/>
        </w:rPr>
        <w:t xml:space="preserve">The PBAC noted the </w:t>
      </w:r>
      <w:r w:rsidR="000F28E1">
        <w:rPr>
          <w:rFonts w:ascii="Arial" w:hAnsi="Arial" w:cs="Arial"/>
          <w:bCs/>
          <w:snapToGrid w:val="0"/>
          <w:sz w:val="22"/>
          <w:szCs w:val="20"/>
        </w:rPr>
        <w:t>“</w:t>
      </w:r>
      <w:r w:rsidR="00532239" w:rsidRPr="00233FB3">
        <w:rPr>
          <w:rFonts w:ascii="Arial" w:hAnsi="Arial" w:cs="Arial"/>
          <w:bCs/>
          <w:i/>
          <w:snapToGrid w:val="0"/>
          <w:sz w:val="22"/>
          <w:szCs w:val="20"/>
        </w:rPr>
        <w:t>Hepatitis C Virus Infection Consensus Statement Working Group. Australian recommendations for the management of hepatitis C virus infection: a consensus statement 2016. Melbourne: Gastroenterological Society of Australia, 2016</w:t>
      </w:r>
      <w:r w:rsidR="007276D6" w:rsidRPr="00233FB3">
        <w:rPr>
          <w:rFonts w:ascii="Arial" w:hAnsi="Arial" w:cs="Arial"/>
          <w:bCs/>
          <w:i/>
          <w:snapToGrid w:val="0"/>
          <w:sz w:val="22"/>
          <w:szCs w:val="20"/>
        </w:rPr>
        <w:t>”</w:t>
      </w:r>
      <w:r w:rsidR="00532239" w:rsidRPr="00233FB3">
        <w:rPr>
          <w:rFonts w:ascii="Arial" w:hAnsi="Arial" w:cs="Arial"/>
          <w:bCs/>
          <w:snapToGrid w:val="0"/>
          <w:sz w:val="22"/>
          <w:szCs w:val="20"/>
        </w:rPr>
        <w:t xml:space="preserve"> </w:t>
      </w:r>
      <w:r w:rsidR="00306526" w:rsidRPr="00233FB3">
        <w:rPr>
          <w:rFonts w:ascii="Arial" w:hAnsi="Arial" w:cs="Arial"/>
          <w:bCs/>
          <w:snapToGrid w:val="0"/>
          <w:sz w:val="22"/>
          <w:szCs w:val="20"/>
        </w:rPr>
        <w:t xml:space="preserve">identified patients with decompensated liver disease as a special population where limited evidence was available, </w:t>
      </w:r>
      <w:r w:rsidR="00980706" w:rsidRPr="00233FB3">
        <w:rPr>
          <w:rFonts w:ascii="Arial" w:hAnsi="Arial" w:cs="Arial"/>
          <w:bCs/>
          <w:snapToGrid w:val="0"/>
          <w:sz w:val="22"/>
          <w:szCs w:val="20"/>
        </w:rPr>
        <w:t xml:space="preserve">and agreed </w:t>
      </w:r>
      <w:r w:rsidR="00532239" w:rsidRPr="00233FB3">
        <w:rPr>
          <w:rFonts w:ascii="Arial" w:hAnsi="Arial" w:cs="Arial"/>
          <w:bCs/>
          <w:snapToGrid w:val="0"/>
          <w:sz w:val="22"/>
          <w:szCs w:val="20"/>
        </w:rPr>
        <w:t xml:space="preserve">to </w:t>
      </w:r>
      <w:r w:rsidR="00980706" w:rsidRPr="00233FB3">
        <w:rPr>
          <w:rFonts w:ascii="Arial" w:hAnsi="Arial" w:cs="Arial"/>
          <w:bCs/>
          <w:snapToGrid w:val="0"/>
          <w:sz w:val="22"/>
          <w:szCs w:val="20"/>
        </w:rPr>
        <w:t>allow</w:t>
      </w:r>
      <w:r w:rsidR="00532239" w:rsidRPr="00233FB3">
        <w:rPr>
          <w:rFonts w:ascii="Arial" w:hAnsi="Arial" w:cs="Arial"/>
          <w:bCs/>
          <w:snapToGrid w:val="0"/>
          <w:sz w:val="22"/>
          <w:szCs w:val="20"/>
        </w:rPr>
        <w:t xml:space="preserve"> </w:t>
      </w:r>
      <w:r w:rsidR="007276D6" w:rsidRPr="00233FB3">
        <w:rPr>
          <w:rFonts w:ascii="Arial" w:hAnsi="Arial" w:cs="Arial"/>
          <w:bCs/>
          <w:snapToGrid w:val="0"/>
          <w:sz w:val="22"/>
          <w:szCs w:val="20"/>
        </w:rPr>
        <w:t>prescribers</w:t>
      </w:r>
      <w:r w:rsidR="00532239" w:rsidRPr="00233FB3">
        <w:rPr>
          <w:rFonts w:ascii="Arial" w:hAnsi="Arial" w:cs="Arial"/>
          <w:bCs/>
          <w:snapToGrid w:val="0"/>
          <w:sz w:val="22"/>
          <w:szCs w:val="20"/>
        </w:rPr>
        <w:t xml:space="preserve"> to add</w:t>
      </w:r>
      <w:r w:rsidR="00980706" w:rsidRPr="00233FB3">
        <w:rPr>
          <w:rFonts w:ascii="Arial" w:hAnsi="Arial" w:cs="Arial"/>
          <w:bCs/>
          <w:snapToGrid w:val="0"/>
          <w:sz w:val="22"/>
          <w:szCs w:val="20"/>
        </w:rPr>
        <w:t xml:space="preserve"> ribavirin to the current 24 week daclatasvir and sofosbuvir </w:t>
      </w:r>
      <w:r w:rsidR="00532239" w:rsidRPr="00233FB3">
        <w:rPr>
          <w:rFonts w:ascii="Arial" w:hAnsi="Arial" w:cs="Arial"/>
          <w:bCs/>
          <w:snapToGrid w:val="0"/>
          <w:sz w:val="22"/>
          <w:szCs w:val="20"/>
        </w:rPr>
        <w:t xml:space="preserve">treatment regimen in GT3 patients with cirrhosis where that was considered </w:t>
      </w:r>
      <w:r w:rsidR="007276D6" w:rsidRPr="00233FB3">
        <w:rPr>
          <w:rFonts w:ascii="Arial" w:hAnsi="Arial" w:cs="Arial"/>
          <w:bCs/>
          <w:snapToGrid w:val="0"/>
          <w:sz w:val="22"/>
          <w:szCs w:val="20"/>
        </w:rPr>
        <w:t xml:space="preserve">clinically </w:t>
      </w:r>
      <w:r w:rsidR="00532239" w:rsidRPr="00233FB3">
        <w:rPr>
          <w:rFonts w:ascii="Arial" w:hAnsi="Arial" w:cs="Arial"/>
          <w:bCs/>
          <w:snapToGrid w:val="0"/>
          <w:sz w:val="22"/>
          <w:szCs w:val="20"/>
        </w:rPr>
        <w:t xml:space="preserve">appropriate. </w:t>
      </w:r>
    </w:p>
    <w:p w:rsidR="00532239" w:rsidRPr="00233FB3" w:rsidRDefault="00532239" w:rsidP="00313DC8">
      <w:pPr>
        <w:pStyle w:val="ListParagraph"/>
        <w:rPr>
          <w:rFonts w:ascii="Arial" w:hAnsi="Arial" w:cs="Arial"/>
          <w:bCs/>
          <w:snapToGrid w:val="0"/>
          <w:sz w:val="22"/>
          <w:szCs w:val="20"/>
        </w:rPr>
      </w:pPr>
    </w:p>
    <w:p w:rsidR="00532239" w:rsidRPr="00233FB3" w:rsidRDefault="00532239" w:rsidP="00532239">
      <w:pPr>
        <w:widowControl w:val="0"/>
        <w:numPr>
          <w:ilvl w:val="1"/>
          <w:numId w:val="1"/>
        </w:numPr>
        <w:jc w:val="both"/>
        <w:rPr>
          <w:rFonts w:ascii="Arial" w:hAnsi="Arial" w:cs="Arial"/>
          <w:bCs/>
          <w:snapToGrid w:val="0"/>
          <w:sz w:val="22"/>
          <w:szCs w:val="20"/>
        </w:rPr>
      </w:pPr>
      <w:r w:rsidRPr="00233FB3">
        <w:rPr>
          <w:rFonts w:ascii="Arial" w:hAnsi="Arial" w:cs="Arial"/>
          <w:bCs/>
          <w:snapToGrid w:val="0"/>
          <w:sz w:val="22"/>
          <w:szCs w:val="20"/>
        </w:rPr>
        <w:t xml:space="preserve">The PBAC did not consider it appropriate to extend the listing of ribavirin in combination with daclatasvir and sofosbuvir </w:t>
      </w:r>
      <w:r w:rsidR="00857C94" w:rsidRPr="00233FB3">
        <w:rPr>
          <w:rFonts w:ascii="Arial" w:hAnsi="Arial" w:cs="Arial"/>
          <w:bCs/>
          <w:snapToGrid w:val="0"/>
          <w:sz w:val="22"/>
          <w:szCs w:val="20"/>
        </w:rPr>
        <w:t>to GT 2, 4, 5 or 6 at this time. The Committee acknowledged that there is a clinical need for further treatment options for these less common genotypes, and indicated it would continue to review this recommendation as new evidence becomes available.</w:t>
      </w:r>
    </w:p>
    <w:p w:rsidR="007039D9" w:rsidRPr="00233FB3" w:rsidRDefault="007039D9" w:rsidP="007039D9">
      <w:pPr>
        <w:pStyle w:val="ListParagraph"/>
        <w:rPr>
          <w:rFonts w:ascii="Arial" w:hAnsi="Arial" w:cs="Arial"/>
          <w:bCs/>
          <w:snapToGrid w:val="0"/>
          <w:sz w:val="22"/>
          <w:szCs w:val="20"/>
        </w:rPr>
      </w:pPr>
    </w:p>
    <w:p w:rsidR="007039D9" w:rsidRPr="00233FB3" w:rsidRDefault="007039D9" w:rsidP="00857C94">
      <w:pPr>
        <w:widowControl w:val="0"/>
        <w:numPr>
          <w:ilvl w:val="1"/>
          <w:numId w:val="1"/>
        </w:numPr>
        <w:jc w:val="both"/>
        <w:rPr>
          <w:rFonts w:ascii="Arial" w:hAnsi="Arial" w:cs="Arial"/>
          <w:bCs/>
          <w:snapToGrid w:val="0"/>
          <w:sz w:val="22"/>
          <w:szCs w:val="20"/>
        </w:rPr>
      </w:pPr>
      <w:r w:rsidRPr="00233FB3">
        <w:rPr>
          <w:rFonts w:ascii="Arial" w:hAnsi="Arial" w:cs="Arial"/>
          <w:bCs/>
          <w:snapToGrid w:val="0"/>
          <w:sz w:val="22"/>
          <w:szCs w:val="20"/>
        </w:rPr>
        <w:lastRenderedPageBreak/>
        <w:t xml:space="preserve">The PBAC considered </w:t>
      </w:r>
      <w:r w:rsidR="006138C8" w:rsidRPr="00233FB3">
        <w:rPr>
          <w:rFonts w:ascii="Arial" w:hAnsi="Arial" w:cs="Arial"/>
          <w:bCs/>
          <w:snapToGrid w:val="0"/>
          <w:sz w:val="22"/>
          <w:szCs w:val="20"/>
        </w:rPr>
        <w:t xml:space="preserve">that </w:t>
      </w:r>
      <w:r w:rsidR="00857C94" w:rsidRPr="00233FB3">
        <w:rPr>
          <w:rFonts w:ascii="Arial" w:hAnsi="Arial" w:cs="Arial"/>
          <w:bCs/>
          <w:snapToGrid w:val="0"/>
          <w:sz w:val="22"/>
          <w:szCs w:val="20"/>
        </w:rPr>
        <w:t xml:space="preserve">these changes could be given effect without any impact on the cost to Government of subsidising the new treatments for CHC.  The PBAC reached this view </w:t>
      </w:r>
      <w:r w:rsidR="00F4036F" w:rsidRPr="00233FB3">
        <w:rPr>
          <w:rFonts w:ascii="Arial" w:hAnsi="Arial" w:cs="Arial"/>
          <w:bCs/>
          <w:snapToGrid w:val="0"/>
          <w:sz w:val="22"/>
          <w:szCs w:val="20"/>
        </w:rPr>
        <w:t>because</w:t>
      </w:r>
      <w:r w:rsidR="00857C94" w:rsidRPr="00233FB3">
        <w:rPr>
          <w:rFonts w:ascii="Arial" w:hAnsi="Arial" w:cs="Arial"/>
          <w:bCs/>
          <w:snapToGrid w:val="0"/>
          <w:sz w:val="22"/>
          <w:szCs w:val="20"/>
        </w:rPr>
        <w:t xml:space="preserve"> although a small number of patients with GT3 disease would have ribavirin added to their treatment regimen, a similarly small number would now be treated with a 12 week treatment course of ribavirin with daclatasvir and sofosbuvir in place of the currently subsidised 24 week treatment course of daclatasvir and sofosbuvir.</w:t>
      </w:r>
      <w:r w:rsidR="001B0B8A">
        <w:rPr>
          <w:rFonts w:ascii="Arial" w:hAnsi="Arial" w:cs="Arial"/>
          <w:bCs/>
          <w:snapToGrid w:val="0"/>
          <w:sz w:val="22"/>
          <w:szCs w:val="20"/>
        </w:rPr>
        <w:t xml:space="preserve"> </w:t>
      </w:r>
    </w:p>
    <w:p w:rsidR="00C90251" w:rsidRPr="00233FB3" w:rsidRDefault="00C90251" w:rsidP="00C90251">
      <w:pPr>
        <w:widowControl w:val="0"/>
        <w:jc w:val="both"/>
        <w:rPr>
          <w:rFonts w:ascii="Arial" w:hAnsi="Arial" w:cs="Arial"/>
          <w:bCs/>
          <w:snapToGrid w:val="0"/>
          <w:sz w:val="22"/>
          <w:szCs w:val="20"/>
        </w:rPr>
      </w:pPr>
    </w:p>
    <w:p w:rsidR="00C90251" w:rsidRPr="00233FB3" w:rsidRDefault="00C90251" w:rsidP="00C90251">
      <w:pPr>
        <w:widowControl w:val="0"/>
        <w:numPr>
          <w:ilvl w:val="1"/>
          <w:numId w:val="1"/>
        </w:numPr>
        <w:jc w:val="both"/>
        <w:rPr>
          <w:rFonts w:ascii="Arial" w:hAnsi="Arial" w:cs="Arial"/>
          <w:bCs/>
          <w:snapToGrid w:val="0"/>
          <w:sz w:val="22"/>
          <w:szCs w:val="20"/>
        </w:rPr>
      </w:pPr>
      <w:r w:rsidRPr="00233FB3">
        <w:rPr>
          <w:rFonts w:ascii="Arial" w:hAnsi="Arial" w:cs="Arial"/>
          <w:bCs/>
          <w:snapToGrid w:val="0"/>
          <w:sz w:val="22"/>
          <w:szCs w:val="20"/>
        </w:rPr>
        <w:t xml:space="preserve">The PBAC advised </w:t>
      </w:r>
      <w:r w:rsidR="00CB29D3" w:rsidRPr="00233FB3">
        <w:rPr>
          <w:rFonts w:ascii="Arial" w:hAnsi="Arial" w:cs="Arial"/>
          <w:bCs/>
          <w:snapToGrid w:val="0"/>
          <w:sz w:val="22"/>
          <w:szCs w:val="20"/>
        </w:rPr>
        <w:t>there should be no change to the status of ribavirin for nurse practitioner prescribing.</w:t>
      </w:r>
    </w:p>
    <w:p w:rsidR="00C90251" w:rsidRPr="00233FB3" w:rsidRDefault="00C90251" w:rsidP="00C90251">
      <w:pPr>
        <w:widowControl w:val="0"/>
        <w:jc w:val="both"/>
        <w:rPr>
          <w:rFonts w:ascii="Arial" w:hAnsi="Arial" w:cs="Arial"/>
          <w:bCs/>
          <w:snapToGrid w:val="0"/>
          <w:sz w:val="22"/>
          <w:szCs w:val="20"/>
        </w:rPr>
      </w:pPr>
    </w:p>
    <w:p w:rsidR="00C90251" w:rsidRPr="00233FB3" w:rsidRDefault="00C90251" w:rsidP="00C90251">
      <w:pPr>
        <w:widowControl w:val="0"/>
        <w:numPr>
          <w:ilvl w:val="1"/>
          <w:numId w:val="1"/>
        </w:numPr>
        <w:jc w:val="both"/>
        <w:rPr>
          <w:rFonts w:ascii="Arial" w:hAnsi="Arial" w:cs="Arial"/>
          <w:bCs/>
          <w:snapToGrid w:val="0"/>
          <w:sz w:val="22"/>
          <w:szCs w:val="20"/>
        </w:rPr>
      </w:pPr>
      <w:r w:rsidRPr="00233FB3">
        <w:rPr>
          <w:rFonts w:ascii="Arial" w:hAnsi="Arial" w:cs="Arial"/>
          <w:bCs/>
          <w:snapToGrid w:val="0"/>
          <w:sz w:val="22"/>
          <w:szCs w:val="20"/>
        </w:rPr>
        <w:t xml:space="preserve">The PBAC </w:t>
      </w:r>
      <w:r w:rsidR="00995E9E" w:rsidRPr="00233FB3">
        <w:rPr>
          <w:rFonts w:ascii="Arial" w:hAnsi="Arial" w:cs="Arial"/>
          <w:bCs/>
          <w:snapToGrid w:val="0"/>
          <w:sz w:val="22"/>
          <w:szCs w:val="20"/>
        </w:rPr>
        <w:t>advised</w:t>
      </w:r>
      <w:r w:rsidRPr="00233FB3">
        <w:rPr>
          <w:rFonts w:ascii="Arial" w:hAnsi="Arial" w:cs="Arial"/>
          <w:bCs/>
          <w:snapToGrid w:val="0"/>
          <w:sz w:val="22"/>
          <w:szCs w:val="20"/>
        </w:rPr>
        <w:t xml:space="preserve"> </w:t>
      </w:r>
      <w:r w:rsidR="00CB29D3" w:rsidRPr="00233FB3">
        <w:rPr>
          <w:rFonts w:ascii="Arial" w:hAnsi="Arial" w:cs="Arial"/>
          <w:bCs/>
          <w:snapToGrid w:val="0"/>
          <w:sz w:val="22"/>
          <w:szCs w:val="20"/>
        </w:rPr>
        <w:t>there should be no change to the status of ribavirin with regards to the early supply rule.</w:t>
      </w:r>
    </w:p>
    <w:p w:rsidR="00C90251" w:rsidRPr="00233FB3" w:rsidRDefault="00C90251" w:rsidP="00C90251">
      <w:pPr>
        <w:widowControl w:val="0"/>
        <w:jc w:val="both"/>
        <w:rPr>
          <w:rFonts w:ascii="Arial" w:hAnsi="Arial" w:cs="Arial"/>
          <w:bCs/>
          <w:snapToGrid w:val="0"/>
          <w:sz w:val="22"/>
          <w:szCs w:val="20"/>
        </w:rPr>
      </w:pPr>
    </w:p>
    <w:p w:rsidR="00C90251" w:rsidRPr="00233FB3" w:rsidRDefault="00C90251" w:rsidP="00C90251">
      <w:pPr>
        <w:widowControl w:val="0"/>
        <w:numPr>
          <w:ilvl w:val="1"/>
          <w:numId w:val="1"/>
        </w:numPr>
        <w:jc w:val="both"/>
        <w:rPr>
          <w:rFonts w:ascii="Arial" w:hAnsi="Arial" w:cs="Arial"/>
          <w:bCs/>
          <w:snapToGrid w:val="0"/>
          <w:sz w:val="22"/>
          <w:szCs w:val="20"/>
        </w:rPr>
      </w:pPr>
      <w:r w:rsidRPr="00233FB3">
        <w:rPr>
          <w:rFonts w:ascii="Arial" w:hAnsi="Arial" w:cs="Arial"/>
          <w:bCs/>
          <w:snapToGrid w:val="0"/>
          <w:sz w:val="22"/>
          <w:szCs w:val="20"/>
        </w:rPr>
        <w:t>The PBA</w:t>
      </w:r>
      <w:r w:rsidR="002F6E15" w:rsidRPr="00233FB3">
        <w:rPr>
          <w:rFonts w:ascii="Arial" w:hAnsi="Arial" w:cs="Arial"/>
          <w:bCs/>
          <w:snapToGrid w:val="0"/>
          <w:sz w:val="22"/>
          <w:szCs w:val="20"/>
        </w:rPr>
        <w:t xml:space="preserve">C noted that this submission </w:t>
      </w:r>
      <w:r w:rsidR="00995E9E" w:rsidRPr="00233FB3">
        <w:rPr>
          <w:rFonts w:ascii="Arial" w:hAnsi="Arial" w:cs="Arial"/>
          <w:bCs/>
          <w:snapToGrid w:val="0"/>
          <w:sz w:val="22"/>
          <w:szCs w:val="20"/>
        </w:rPr>
        <w:t xml:space="preserve">was </w:t>
      </w:r>
      <w:r w:rsidRPr="00233FB3">
        <w:rPr>
          <w:rFonts w:ascii="Arial" w:hAnsi="Arial" w:cs="Arial"/>
          <w:bCs/>
          <w:snapToGrid w:val="0"/>
          <w:sz w:val="22"/>
          <w:szCs w:val="20"/>
        </w:rPr>
        <w:t>not eligible for an Independent Review</w:t>
      </w:r>
      <w:r w:rsidR="002F6E15" w:rsidRPr="00233FB3">
        <w:rPr>
          <w:rFonts w:ascii="Arial" w:hAnsi="Arial" w:cs="Arial"/>
          <w:bCs/>
          <w:snapToGrid w:val="0"/>
          <w:sz w:val="22"/>
          <w:szCs w:val="20"/>
        </w:rPr>
        <w:t xml:space="preserve"> as it received a positive recommendation</w:t>
      </w:r>
      <w:r w:rsidRPr="00233FB3">
        <w:rPr>
          <w:rFonts w:ascii="Arial" w:hAnsi="Arial" w:cs="Arial"/>
          <w:bCs/>
          <w:snapToGrid w:val="0"/>
          <w:sz w:val="22"/>
          <w:szCs w:val="20"/>
        </w:rPr>
        <w:t xml:space="preserve">. </w:t>
      </w:r>
    </w:p>
    <w:p w:rsidR="00C90251" w:rsidRPr="00233FB3" w:rsidRDefault="00C90251" w:rsidP="00C90251">
      <w:pPr>
        <w:widowControl w:val="0"/>
        <w:jc w:val="both"/>
        <w:rPr>
          <w:rFonts w:ascii="Arial" w:hAnsi="Arial" w:cs="Arial"/>
          <w:b/>
          <w:snapToGrid w:val="0"/>
          <w:sz w:val="22"/>
          <w:szCs w:val="20"/>
        </w:rPr>
      </w:pPr>
    </w:p>
    <w:p w:rsidR="00C90251" w:rsidRPr="00233FB3" w:rsidRDefault="00C90251" w:rsidP="001B0B8A">
      <w:pPr>
        <w:pStyle w:val="Heading2"/>
        <w:rPr>
          <w:snapToGrid w:val="0"/>
        </w:rPr>
      </w:pPr>
      <w:r w:rsidRPr="00233FB3">
        <w:rPr>
          <w:snapToGrid w:val="0"/>
        </w:rPr>
        <w:t>Outcome:</w:t>
      </w:r>
    </w:p>
    <w:p w:rsidR="00C90251" w:rsidRPr="00233FB3" w:rsidRDefault="00C90251" w:rsidP="00C90251">
      <w:pPr>
        <w:widowControl w:val="0"/>
        <w:jc w:val="both"/>
        <w:rPr>
          <w:rFonts w:ascii="Arial" w:hAnsi="Arial" w:cs="Arial"/>
          <w:bCs/>
          <w:snapToGrid w:val="0"/>
          <w:sz w:val="22"/>
          <w:szCs w:val="20"/>
        </w:rPr>
      </w:pPr>
      <w:r w:rsidRPr="00233FB3">
        <w:rPr>
          <w:rFonts w:ascii="Arial" w:hAnsi="Arial" w:cs="Arial"/>
          <w:bCs/>
          <w:snapToGrid w:val="0"/>
          <w:sz w:val="22"/>
          <w:szCs w:val="20"/>
        </w:rPr>
        <w:t xml:space="preserve">Recommended </w:t>
      </w:r>
    </w:p>
    <w:p w:rsidR="00C90251" w:rsidRPr="000F28E1" w:rsidRDefault="00C90251" w:rsidP="00C90251">
      <w:pPr>
        <w:widowControl w:val="0"/>
        <w:jc w:val="both"/>
        <w:rPr>
          <w:rFonts w:ascii="Arial" w:hAnsi="Arial" w:cs="Arial"/>
          <w:b/>
          <w:bCs/>
          <w:snapToGrid w:val="0"/>
          <w:sz w:val="22"/>
          <w:szCs w:val="20"/>
        </w:rPr>
      </w:pPr>
    </w:p>
    <w:p w:rsidR="00C90251" w:rsidRPr="00233FB3" w:rsidRDefault="00C90251" w:rsidP="00DA4B35">
      <w:pPr>
        <w:widowControl w:val="0"/>
        <w:numPr>
          <w:ilvl w:val="0"/>
          <w:numId w:val="1"/>
        </w:numPr>
        <w:jc w:val="both"/>
        <w:outlineLvl w:val="0"/>
        <w:rPr>
          <w:rFonts w:ascii="Arial" w:hAnsi="Arial" w:cs="Arial"/>
          <w:b/>
          <w:bCs/>
          <w:i/>
          <w:snapToGrid w:val="0"/>
          <w:sz w:val="22"/>
          <w:szCs w:val="20"/>
        </w:rPr>
      </w:pPr>
      <w:r w:rsidRPr="00233FB3">
        <w:rPr>
          <w:rFonts w:ascii="Arial" w:hAnsi="Arial" w:cs="Arial"/>
          <w:b/>
          <w:bCs/>
          <w:snapToGrid w:val="0"/>
          <w:sz w:val="22"/>
          <w:szCs w:val="20"/>
        </w:rPr>
        <w:t>Recommended listing</w:t>
      </w:r>
    </w:p>
    <w:p w:rsidR="00C90251" w:rsidRPr="00233FB3" w:rsidRDefault="00C90251" w:rsidP="00C90251">
      <w:pPr>
        <w:widowControl w:val="0"/>
        <w:jc w:val="both"/>
        <w:rPr>
          <w:rFonts w:ascii="Arial" w:hAnsi="Arial" w:cs="Arial"/>
          <w:b/>
          <w:bCs/>
          <w:i/>
          <w:snapToGrid w:val="0"/>
          <w:sz w:val="22"/>
          <w:szCs w:val="20"/>
        </w:rPr>
      </w:pPr>
    </w:p>
    <w:p w:rsidR="00C90251" w:rsidRPr="000F28E1" w:rsidRDefault="00C90251" w:rsidP="00C90251">
      <w:pPr>
        <w:widowControl w:val="0"/>
        <w:numPr>
          <w:ilvl w:val="1"/>
          <w:numId w:val="1"/>
        </w:numPr>
        <w:jc w:val="both"/>
        <w:rPr>
          <w:rFonts w:ascii="Arial" w:hAnsi="Arial" w:cs="Arial"/>
          <w:b/>
          <w:bCs/>
          <w:snapToGrid w:val="0"/>
          <w:sz w:val="22"/>
          <w:szCs w:val="20"/>
        </w:rPr>
      </w:pPr>
      <w:r w:rsidRPr="000F28E1">
        <w:rPr>
          <w:rFonts w:ascii="Arial" w:hAnsi="Arial" w:cs="Arial"/>
          <w:bCs/>
          <w:snapToGrid w:val="0"/>
          <w:sz w:val="22"/>
          <w:szCs w:val="20"/>
        </w:rPr>
        <w:t>Amend existing/recommended listing as follows:</w:t>
      </w:r>
    </w:p>
    <w:p w:rsidR="002F6E15" w:rsidRPr="000F28E1" w:rsidRDefault="002F6E15" w:rsidP="00C90251">
      <w:pPr>
        <w:widowControl w:val="0"/>
        <w:jc w:val="both"/>
        <w:rPr>
          <w:rFonts w:ascii="Arial" w:hAnsi="Arial" w:cs="Arial"/>
          <w:bCs/>
          <w:snapToGrid w:val="0"/>
          <w:sz w:val="22"/>
          <w:szCs w:val="20"/>
        </w:rPr>
      </w:pPr>
    </w:p>
    <w:p w:rsidR="002F6E15" w:rsidRPr="000F28E1" w:rsidRDefault="002F6E15" w:rsidP="001B0B8A">
      <w:pPr>
        <w:pStyle w:val="Heading2"/>
        <w:rPr>
          <w:snapToGrid w:val="0"/>
        </w:rPr>
      </w:pPr>
      <w:r w:rsidRPr="000F28E1">
        <w:rPr>
          <w:snapToGrid w:val="0"/>
        </w:rPr>
        <w:t>General statement for drugs used for the treatment of hepatitis C</w:t>
      </w:r>
    </w:p>
    <w:p w:rsidR="002F6E15" w:rsidRPr="000F28E1" w:rsidRDefault="002F6E15" w:rsidP="00C90251">
      <w:pPr>
        <w:widowControl w:val="0"/>
        <w:jc w:val="both"/>
        <w:rPr>
          <w:rFonts w:ascii="Arial" w:hAnsi="Arial" w:cs="Arial"/>
          <w:b/>
          <w:bCs/>
          <w:snapToGrid w:val="0"/>
          <w:sz w:val="22"/>
          <w:szCs w:val="20"/>
        </w:rPr>
      </w:pPr>
    </w:p>
    <w:p w:rsidR="002F6E15" w:rsidRPr="000F28E1" w:rsidRDefault="002F6E15" w:rsidP="00C90251">
      <w:pPr>
        <w:widowControl w:val="0"/>
        <w:jc w:val="both"/>
        <w:rPr>
          <w:rFonts w:ascii="Arial" w:hAnsi="Arial" w:cs="Arial"/>
          <w:bCs/>
          <w:snapToGrid w:val="0"/>
          <w:sz w:val="22"/>
          <w:szCs w:val="20"/>
        </w:rPr>
      </w:pPr>
      <w:r w:rsidRPr="000F28E1">
        <w:rPr>
          <w:rFonts w:ascii="Arial" w:hAnsi="Arial" w:cs="Arial"/>
          <w:bCs/>
          <w:snapToGrid w:val="0"/>
          <w:sz w:val="22"/>
          <w:szCs w:val="20"/>
        </w:rPr>
        <w:t>For cirrhotic patients</w:t>
      </w:r>
      <w:r w:rsidR="000E7117" w:rsidRPr="000F28E1">
        <w:rPr>
          <w:rFonts w:ascii="Arial" w:hAnsi="Arial" w:cs="Arial"/>
          <w:bCs/>
          <w:snapToGrid w:val="0"/>
          <w:sz w:val="22"/>
          <w:szCs w:val="20"/>
        </w:rPr>
        <w:t xml:space="preserve"> with GT3</w:t>
      </w:r>
      <w:r w:rsidRPr="000F28E1">
        <w:rPr>
          <w:rFonts w:ascii="Arial" w:hAnsi="Arial" w:cs="Arial"/>
          <w:bCs/>
          <w:snapToGrid w:val="0"/>
          <w:sz w:val="22"/>
          <w:szCs w:val="20"/>
        </w:rPr>
        <w:t>:</w:t>
      </w:r>
      <w:bookmarkStart w:id="0" w:name="_GoBack"/>
      <w:bookmarkEnd w:id="0"/>
    </w:p>
    <w:p w:rsidR="002F6E15" w:rsidRPr="000F28E1" w:rsidRDefault="002F6E15" w:rsidP="00C90251">
      <w:pPr>
        <w:widowControl w:val="0"/>
        <w:jc w:val="both"/>
        <w:rPr>
          <w:rFonts w:ascii="Arial" w:hAnsi="Arial" w:cs="Arial"/>
          <w:bCs/>
          <w:snapToGrid w:val="0"/>
          <w:sz w:val="22"/>
          <w:szCs w:val="20"/>
        </w:rPr>
      </w:pPr>
    </w:p>
    <w:tbl>
      <w:tblPr>
        <w:tblStyle w:val="TableGrid"/>
        <w:tblW w:w="0" w:type="auto"/>
        <w:tblInd w:w="817" w:type="dxa"/>
        <w:tblLook w:val="04A0" w:firstRow="1" w:lastRow="0" w:firstColumn="1" w:lastColumn="0" w:noHBand="0" w:noVBand="1"/>
      </w:tblPr>
      <w:tblGrid>
        <w:gridCol w:w="1559"/>
        <w:gridCol w:w="3402"/>
        <w:gridCol w:w="3402"/>
      </w:tblGrid>
      <w:tr w:rsidR="002F6E15" w:rsidRPr="000F28E1" w:rsidTr="00010C90">
        <w:trPr>
          <w:tblHeader/>
        </w:trPr>
        <w:tc>
          <w:tcPr>
            <w:tcW w:w="1559" w:type="dxa"/>
          </w:tcPr>
          <w:p w:rsidR="002F6E15" w:rsidRPr="000F28E1" w:rsidRDefault="002F6E15" w:rsidP="00010C90">
            <w:pPr>
              <w:rPr>
                <w:rFonts w:ascii="Arial" w:hAnsi="Arial" w:cs="Arial"/>
                <w:b/>
                <w:sz w:val="22"/>
                <w:szCs w:val="22"/>
              </w:rPr>
            </w:pPr>
          </w:p>
        </w:tc>
        <w:tc>
          <w:tcPr>
            <w:tcW w:w="3402" w:type="dxa"/>
          </w:tcPr>
          <w:p w:rsidR="002F6E15" w:rsidRPr="000F28E1" w:rsidRDefault="002F6E15" w:rsidP="00010C90">
            <w:pPr>
              <w:rPr>
                <w:rFonts w:ascii="Arial" w:hAnsi="Arial" w:cs="Arial"/>
                <w:b/>
                <w:sz w:val="22"/>
                <w:szCs w:val="22"/>
              </w:rPr>
            </w:pPr>
            <w:r w:rsidRPr="000F28E1">
              <w:rPr>
                <w:rFonts w:ascii="Arial" w:hAnsi="Arial" w:cs="Arial"/>
                <w:b/>
                <w:sz w:val="22"/>
                <w:szCs w:val="22"/>
              </w:rPr>
              <w:t>Treatment naïve</w:t>
            </w:r>
          </w:p>
        </w:tc>
        <w:tc>
          <w:tcPr>
            <w:tcW w:w="3402" w:type="dxa"/>
          </w:tcPr>
          <w:p w:rsidR="002F6E15" w:rsidRPr="000F28E1" w:rsidRDefault="002F6E15" w:rsidP="00010C90">
            <w:pPr>
              <w:rPr>
                <w:rFonts w:ascii="Arial" w:hAnsi="Arial" w:cs="Arial"/>
                <w:b/>
                <w:sz w:val="22"/>
                <w:szCs w:val="22"/>
              </w:rPr>
            </w:pPr>
            <w:r w:rsidRPr="000F28E1">
              <w:rPr>
                <w:rFonts w:ascii="Arial" w:hAnsi="Arial" w:cs="Arial"/>
                <w:b/>
                <w:sz w:val="22"/>
                <w:szCs w:val="22"/>
              </w:rPr>
              <w:t>Treatment experienced</w:t>
            </w:r>
          </w:p>
        </w:tc>
      </w:tr>
      <w:tr w:rsidR="002F6E15" w:rsidRPr="000F28E1" w:rsidTr="00010C90">
        <w:tc>
          <w:tcPr>
            <w:tcW w:w="1559" w:type="dxa"/>
          </w:tcPr>
          <w:p w:rsidR="002F6E15" w:rsidRPr="000F28E1" w:rsidRDefault="002F6E15" w:rsidP="00010C90">
            <w:pPr>
              <w:rPr>
                <w:rFonts w:ascii="Arial" w:hAnsi="Arial" w:cs="Arial"/>
                <w:b/>
                <w:sz w:val="22"/>
                <w:szCs w:val="22"/>
              </w:rPr>
            </w:pPr>
            <w:r w:rsidRPr="000F28E1">
              <w:rPr>
                <w:rFonts w:ascii="Arial" w:hAnsi="Arial" w:cs="Arial"/>
                <w:b/>
                <w:sz w:val="22"/>
                <w:szCs w:val="22"/>
              </w:rPr>
              <w:t>Genotype 3</w:t>
            </w:r>
          </w:p>
        </w:tc>
        <w:tc>
          <w:tcPr>
            <w:tcW w:w="3402" w:type="dxa"/>
          </w:tcPr>
          <w:p w:rsidR="002F6E15" w:rsidRPr="000F28E1" w:rsidRDefault="002F6E15" w:rsidP="00010C90">
            <w:pPr>
              <w:rPr>
                <w:rFonts w:ascii="Arial" w:hAnsi="Arial" w:cs="Arial"/>
                <w:sz w:val="22"/>
                <w:szCs w:val="22"/>
              </w:rPr>
            </w:pPr>
            <w:r w:rsidRPr="000F28E1">
              <w:rPr>
                <w:rFonts w:ascii="Arial" w:hAnsi="Arial" w:cs="Arial"/>
                <w:sz w:val="22"/>
                <w:szCs w:val="22"/>
              </w:rPr>
              <w:t>DACLATASVIR and SOFOSBUVIR</w:t>
            </w:r>
          </w:p>
          <w:p w:rsidR="002F6E15" w:rsidRPr="000F28E1" w:rsidRDefault="002F6E15" w:rsidP="00010C90">
            <w:pPr>
              <w:rPr>
                <w:rFonts w:ascii="Arial" w:hAnsi="Arial" w:cs="Arial"/>
                <w:sz w:val="22"/>
                <w:szCs w:val="22"/>
              </w:rPr>
            </w:pPr>
            <w:r w:rsidRPr="000F28E1">
              <w:rPr>
                <w:rFonts w:ascii="Arial" w:hAnsi="Arial" w:cs="Arial"/>
                <w:sz w:val="22"/>
                <w:szCs w:val="22"/>
              </w:rPr>
              <w:t>[24 weeks</w:t>
            </w:r>
            <w:r w:rsidR="00544466" w:rsidRPr="000F28E1">
              <w:rPr>
                <w:rFonts w:ascii="Arial" w:hAnsi="Arial" w:cs="Arial"/>
                <w:sz w:val="22"/>
                <w:szCs w:val="22"/>
              </w:rPr>
              <w:t>]</w:t>
            </w:r>
            <w:r w:rsidR="00544466" w:rsidRPr="000F28E1">
              <w:rPr>
                <w:rStyle w:val="FootnoteReference"/>
                <w:rFonts w:ascii="Arial" w:hAnsi="Arial" w:cs="Arial"/>
                <w:sz w:val="22"/>
                <w:szCs w:val="22"/>
              </w:rPr>
              <w:footnoteReference w:id="2"/>
            </w:r>
          </w:p>
          <w:p w:rsidR="002F6E15" w:rsidRPr="000F28E1" w:rsidRDefault="002F6E15" w:rsidP="00010C90">
            <w:pPr>
              <w:rPr>
                <w:rFonts w:ascii="Arial" w:hAnsi="Arial" w:cs="Arial"/>
                <w:sz w:val="22"/>
                <w:szCs w:val="22"/>
              </w:rPr>
            </w:pPr>
          </w:p>
          <w:p w:rsidR="002F6E15" w:rsidRPr="000F28E1" w:rsidRDefault="002F6E15" w:rsidP="00010C90">
            <w:pPr>
              <w:rPr>
                <w:rFonts w:ascii="Arial" w:hAnsi="Arial" w:cs="Arial"/>
                <w:sz w:val="22"/>
                <w:szCs w:val="22"/>
              </w:rPr>
            </w:pPr>
            <w:r w:rsidRPr="000F28E1">
              <w:rPr>
                <w:rFonts w:ascii="Arial" w:hAnsi="Arial" w:cs="Arial"/>
                <w:sz w:val="22"/>
                <w:szCs w:val="22"/>
              </w:rPr>
              <w:t>OR</w:t>
            </w:r>
          </w:p>
          <w:p w:rsidR="002F6E15" w:rsidRPr="000F28E1" w:rsidRDefault="002F6E15" w:rsidP="00010C90">
            <w:pPr>
              <w:rPr>
                <w:rFonts w:ascii="Arial" w:hAnsi="Arial" w:cs="Arial"/>
                <w:sz w:val="22"/>
                <w:szCs w:val="22"/>
              </w:rPr>
            </w:pPr>
          </w:p>
          <w:p w:rsidR="002F6E15" w:rsidRPr="000F28E1" w:rsidRDefault="002F6E15" w:rsidP="00010C90">
            <w:pPr>
              <w:rPr>
                <w:rFonts w:ascii="Arial" w:hAnsi="Arial" w:cs="Arial"/>
                <w:sz w:val="22"/>
                <w:szCs w:val="22"/>
              </w:rPr>
            </w:pPr>
            <w:r w:rsidRPr="000F28E1">
              <w:rPr>
                <w:rFonts w:ascii="Arial" w:hAnsi="Arial" w:cs="Arial"/>
                <w:sz w:val="22"/>
                <w:szCs w:val="22"/>
              </w:rPr>
              <w:t>SOFOSBUVIR and RBV</w:t>
            </w:r>
          </w:p>
          <w:p w:rsidR="002F6E15" w:rsidRPr="000F28E1" w:rsidRDefault="002F6E15" w:rsidP="00010C90">
            <w:pPr>
              <w:rPr>
                <w:rFonts w:ascii="Arial" w:hAnsi="Arial" w:cs="Arial"/>
                <w:sz w:val="22"/>
                <w:szCs w:val="22"/>
              </w:rPr>
            </w:pPr>
            <w:r w:rsidRPr="000F28E1">
              <w:rPr>
                <w:rFonts w:ascii="Arial" w:hAnsi="Arial" w:cs="Arial"/>
                <w:sz w:val="22"/>
                <w:szCs w:val="22"/>
              </w:rPr>
              <w:t>[24 weeks]</w:t>
            </w:r>
          </w:p>
          <w:p w:rsidR="002F6E15" w:rsidRPr="000F28E1" w:rsidRDefault="002F6E15" w:rsidP="00010C90">
            <w:pPr>
              <w:rPr>
                <w:rFonts w:ascii="Arial" w:hAnsi="Arial" w:cs="Arial"/>
                <w:sz w:val="22"/>
                <w:szCs w:val="22"/>
              </w:rPr>
            </w:pPr>
          </w:p>
          <w:p w:rsidR="002F6E15" w:rsidRPr="000F28E1" w:rsidRDefault="002F6E15" w:rsidP="00010C90">
            <w:pPr>
              <w:rPr>
                <w:rFonts w:ascii="Arial" w:hAnsi="Arial" w:cs="Arial"/>
                <w:sz w:val="22"/>
                <w:szCs w:val="22"/>
              </w:rPr>
            </w:pPr>
            <w:r w:rsidRPr="000F28E1">
              <w:rPr>
                <w:rFonts w:ascii="Arial" w:hAnsi="Arial" w:cs="Arial"/>
                <w:sz w:val="22"/>
                <w:szCs w:val="22"/>
              </w:rPr>
              <w:t>OR</w:t>
            </w:r>
          </w:p>
          <w:p w:rsidR="002F6E15" w:rsidRPr="000F28E1" w:rsidRDefault="002F6E15" w:rsidP="00010C90">
            <w:pPr>
              <w:rPr>
                <w:rFonts w:ascii="Arial" w:hAnsi="Arial" w:cs="Arial"/>
                <w:sz w:val="22"/>
                <w:szCs w:val="22"/>
              </w:rPr>
            </w:pPr>
          </w:p>
          <w:p w:rsidR="002F6E15" w:rsidRPr="000F28E1" w:rsidRDefault="002F6E15" w:rsidP="00010C90">
            <w:pPr>
              <w:rPr>
                <w:rFonts w:ascii="Arial" w:hAnsi="Arial" w:cs="Arial"/>
                <w:sz w:val="22"/>
                <w:szCs w:val="22"/>
              </w:rPr>
            </w:pPr>
            <w:r w:rsidRPr="000F28E1">
              <w:rPr>
                <w:rFonts w:ascii="Arial" w:hAnsi="Arial" w:cs="Arial"/>
                <w:sz w:val="22"/>
                <w:szCs w:val="22"/>
              </w:rPr>
              <w:t>SOFOSBUVIR and PEG-IFN/RBV</w:t>
            </w:r>
          </w:p>
          <w:p w:rsidR="002F6E15" w:rsidRPr="000F28E1" w:rsidRDefault="002F6E15" w:rsidP="00010C90">
            <w:pPr>
              <w:rPr>
                <w:rFonts w:ascii="Arial" w:hAnsi="Arial" w:cs="Arial"/>
                <w:sz w:val="22"/>
                <w:szCs w:val="22"/>
              </w:rPr>
            </w:pPr>
            <w:r w:rsidRPr="000F28E1">
              <w:rPr>
                <w:rFonts w:ascii="Arial" w:hAnsi="Arial" w:cs="Arial"/>
                <w:sz w:val="22"/>
                <w:szCs w:val="22"/>
              </w:rPr>
              <w:t>[12 weeks]</w:t>
            </w:r>
          </w:p>
          <w:p w:rsidR="002F6E15" w:rsidRPr="000F28E1" w:rsidRDefault="002F6E15" w:rsidP="00010C90">
            <w:pPr>
              <w:rPr>
                <w:rFonts w:ascii="Arial" w:hAnsi="Arial" w:cs="Arial"/>
                <w:sz w:val="22"/>
                <w:szCs w:val="22"/>
              </w:rPr>
            </w:pPr>
          </w:p>
          <w:p w:rsidR="002F6E15" w:rsidRPr="000F28E1" w:rsidRDefault="002F6E15" w:rsidP="00010C90">
            <w:pPr>
              <w:rPr>
                <w:rFonts w:ascii="Arial" w:hAnsi="Arial" w:cs="Arial"/>
                <w:i/>
                <w:sz w:val="22"/>
                <w:szCs w:val="22"/>
              </w:rPr>
            </w:pPr>
            <w:r w:rsidRPr="000F28E1">
              <w:rPr>
                <w:rFonts w:ascii="Arial" w:hAnsi="Arial" w:cs="Arial"/>
                <w:i/>
                <w:sz w:val="22"/>
                <w:szCs w:val="22"/>
              </w:rPr>
              <w:t xml:space="preserve">OR </w:t>
            </w:r>
          </w:p>
          <w:p w:rsidR="002F6E15" w:rsidRPr="000F28E1" w:rsidRDefault="002F6E15" w:rsidP="00010C90">
            <w:pPr>
              <w:rPr>
                <w:rFonts w:ascii="Arial" w:hAnsi="Arial" w:cs="Arial"/>
                <w:i/>
                <w:sz w:val="22"/>
                <w:szCs w:val="22"/>
              </w:rPr>
            </w:pPr>
          </w:p>
          <w:p w:rsidR="002F6E15" w:rsidRPr="000F28E1" w:rsidRDefault="002F6E15" w:rsidP="00544466">
            <w:pPr>
              <w:rPr>
                <w:rFonts w:ascii="Arial" w:hAnsi="Arial" w:cs="Arial"/>
                <w:sz w:val="22"/>
                <w:szCs w:val="22"/>
              </w:rPr>
            </w:pPr>
            <w:r w:rsidRPr="000F28E1">
              <w:rPr>
                <w:rFonts w:ascii="Arial" w:hAnsi="Arial" w:cs="Arial"/>
                <w:i/>
                <w:color w:val="FF0000"/>
                <w:sz w:val="22"/>
                <w:szCs w:val="22"/>
              </w:rPr>
              <w:t xml:space="preserve">DACLATASVIR and </w:t>
            </w:r>
            <w:r w:rsidRPr="000F28E1">
              <w:rPr>
                <w:rFonts w:ascii="Arial" w:hAnsi="Arial" w:cs="Arial"/>
                <w:i/>
                <w:color w:val="FF0000"/>
                <w:sz w:val="22"/>
                <w:szCs w:val="22"/>
              </w:rPr>
              <w:lastRenderedPageBreak/>
              <w:t>SOFOSBUVIR and RBV [</w:t>
            </w:r>
            <w:r w:rsidR="00544466" w:rsidRPr="000F28E1">
              <w:rPr>
                <w:rFonts w:ascii="Arial" w:hAnsi="Arial" w:cs="Arial"/>
                <w:i/>
                <w:color w:val="FF0000"/>
                <w:sz w:val="22"/>
                <w:szCs w:val="22"/>
              </w:rPr>
              <w:t>12</w:t>
            </w:r>
            <w:r w:rsidRPr="000F28E1">
              <w:rPr>
                <w:rFonts w:ascii="Arial" w:hAnsi="Arial" w:cs="Arial"/>
                <w:i/>
                <w:color w:val="FF0000"/>
                <w:sz w:val="22"/>
                <w:szCs w:val="22"/>
              </w:rPr>
              <w:t xml:space="preserve"> weeks]</w:t>
            </w:r>
            <w:r w:rsidR="00544466" w:rsidRPr="000F28E1" w:rsidDel="00544466">
              <w:rPr>
                <w:rFonts w:ascii="Arial" w:hAnsi="Arial" w:cs="Arial"/>
                <w:i/>
                <w:color w:val="FF0000"/>
                <w:sz w:val="22"/>
                <w:szCs w:val="22"/>
                <w:vertAlign w:val="superscript"/>
              </w:rPr>
              <w:t xml:space="preserve"> </w:t>
            </w:r>
          </w:p>
        </w:tc>
        <w:tc>
          <w:tcPr>
            <w:tcW w:w="3402" w:type="dxa"/>
          </w:tcPr>
          <w:p w:rsidR="002F6E15" w:rsidRPr="000F28E1" w:rsidRDefault="002F6E15" w:rsidP="00010C90">
            <w:pPr>
              <w:rPr>
                <w:rFonts w:ascii="Arial" w:hAnsi="Arial" w:cs="Arial"/>
                <w:sz w:val="22"/>
                <w:szCs w:val="22"/>
              </w:rPr>
            </w:pPr>
            <w:r w:rsidRPr="000F28E1">
              <w:rPr>
                <w:rFonts w:ascii="Arial" w:hAnsi="Arial" w:cs="Arial"/>
                <w:sz w:val="22"/>
                <w:szCs w:val="22"/>
              </w:rPr>
              <w:lastRenderedPageBreak/>
              <w:t>DACLATASVIR and SOFOSBUVIR</w:t>
            </w:r>
          </w:p>
          <w:p w:rsidR="002F6E15" w:rsidRPr="000F28E1" w:rsidRDefault="002F6E15" w:rsidP="00010C90">
            <w:pPr>
              <w:rPr>
                <w:rFonts w:ascii="Arial" w:hAnsi="Arial" w:cs="Arial"/>
                <w:sz w:val="22"/>
                <w:szCs w:val="22"/>
                <w:vertAlign w:val="superscript"/>
              </w:rPr>
            </w:pPr>
            <w:r w:rsidRPr="000F28E1">
              <w:rPr>
                <w:rFonts w:ascii="Arial" w:hAnsi="Arial" w:cs="Arial"/>
                <w:sz w:val="22"/>
                <w:szCs w:val="22"/>
              </w:rPr>
              <w:t>[24 weeks]</w:t>
            </w:r>
            <w:r w:rsidR="00C47D46" w:rsidRPr="000F28E1">
              <w:rPr>
                <w:rFonts w:ascii="Arial" w:hAnsi="Arial" w:cs="Arial"/>
                <w:sz w:val="22"/>
                <w:szCs w:val="22"/>
                <w:vertAlign w:val="superscript"/>
              </w:rPr>
              <w:t>2</w:t>
            </w:r>
          </w:p>
          <w:p w:rsidR="002F6E15" w:rsidRPr="000F28E1" w:rsidRDefault="002F6E15" w:rsidP="00010C90">
            <w:pPr>
              <w:rPr>
                <w:rFonts w:ascii="Arial" w:hAnsi="Arial" w:cs="Arial"/>
                <w:sz w:val="22"/>
                <w:szCs w:val="22"/>
              </w:rPr>
            </w:pPr>
          </w:p>
          <w:p w:rsidR="002F6E15" w:rsidRPr="000F28E1" w:rsidRDefault="002F6E15" w:rsidP="00010C90">
            <w:pPr>
              <w:rPr>
                <w:rFonts w:ascii="Arial" w:hAnsi="Arial" w:cs="Arial"/>
                <w:sz w:val="22"/>
                <w:szCs w:val="22"/>
              </w:rPr>
            </w:pPr>
            <w:r w:rsidRPr="000F28E1">
              <w:rPr>
                <w:rFonts w:ascii="Arial" w:hAnsi="Arial" w:cs="Arial"/>
                <w:sz w:val="22"/>
                <w:szCs w:val="22"/>
              </w:rPr>
              <w:t>OR</w:t>
            </w:r>
          </w:p>
          <w:p w:rsidR="002F6E15" w:rsidRPr="000F28E1" w:rsidRDefault="002F6E15" w:rsidP="00010C90">
            <w:pPr>
              <w:rPr>
                <w:rFonts w:ascii="Arial" w:hAnsi="Arial" w:cs="Arial"/>
                <w:sz w:val="22"/>
                <w:szCs w:val="22"/>
              </w:rPr>
            </w:pPr>
          </w:p>
          <w:p w:rsidR="002F6E15" w:rsidRPr="000F28E1" w:rsidRDefault="002F6E15" w:rsidP="00010C90">
            <w:pPr>
              <w:rPr>
                <w:rFonts w:ascii="Arial" w:hAnsi="Arial" w:cs="Arial"/>
                <w:sz w:val="22"/>
                <w:szCs w:val="22"/>
              </w:rPr>
            </w:pPr>
            <w:r w:rsidRPr="000F28E1">
              <w:rPr>
                <w:rFonts w:ascii="Arial" w:hAnsi="Arial" w:cs="Arial"/>
                <w:sz w:val="22"/>
                <w:szCs w:val="22"/>
              </w:rPr>
              <w:t>SOFOSBUVIR and RBV</w:t>
            </w:r>
          </w:p>
          <w:p w:rsidR="002F6E15" w:rsidRPr="000F28E1" w:rsidRDefault="002F6E15" w:rsidP="00010C90">
            <w:pPr>
              <w:rPr>
                <w:rFonts w:ascii="Arial" w:hAnsi="Arial" w:cs="Arial"/>
                <w:sz w:val="22"/>
                <w:szCs w:val="22"/>
              </w:rPr>
            </w:pPr>
            <w:r w:rsidRPr="000F28E1">
              <w:rPr>
                <w:rFonts w:ascii="Arial" w:hAnsi="Arial" w:cs="Arial"/>
                <w:sz w:val="22"/>
                <w:szCs w:val="22"/>
              </w:rPr>
              <w:t>[24 weeks]</w:t>
            </w:r>
          </w:p>
          <w:p w:rsidR="002F6E15" w:rsidRPr="000F28E1" w:rsidRDefault="002F6E15" w:rsidP="00010C90">
            <w:pPr>
              <w:rPr>
                <w:rFonts w:ascii="Arial" w:hAnsi="Arial" w:cs="Arial"/>
                <w:sz w:val="22"/>
                <w:szCs w:val="22"/>
              </w:rPr>
            </w:pPr>
          </w:p>
          <w:p w:rsidR="002F6E15" w:rsidRPr="000F28E1" w:rsidRDefault="002F6E15" w:rsidP="00010C90">
            <w:pPr>
              <w:rPr>
                <w:rFonts w:ascii="Arial" w:hAnsi="Arial" w:cs="Arial"/>
                <w:sz w:val="22"/>
                <w:szCs w:val="22"/>
              </w:rPr>
            </w:pPr>
            <w:r w:rsidRPr="000F28E1">
              <w:rPr>
                <w:rFonts w:ascii="Arial" w:hAnsi="Arial" w:cs="Arial"/>
                <w:sz w:val="22"/>
                <w:szCs w:val="22"/>
              </w:rPr>
              <w:t>OR</w:t>
            </w:r>
          </w:p>
          <w:p w:rsidR="002F6E15" w:rsidRPr="000F28E1" w:rsidRDefault="002F6E15" w:rsidP="00010C90">
            <w:pPr>
              <w:rPr>
                <w:rFonts w:ascii="Arial" w:hAnsi="Arial" w:cs="Arial"/>
                <w:sz w:val="22"/>
                <w:szCs w:val="22"/>
              </w:rPr>
            </w:pPr>
          </w:p>
          <w:p w:rsidR="002F6E15" w:rsidRPr="000F28E1" w:rsidRDefault="002F6E15" w:rsidP="00010C90">
            <w:pPr>
              <w:rPr>
                <w:rFonts w:ascii="Arial" w:hAnsi="Arial" w:cs="Arial"/>
                <w:sz w:val="22"/>
                <w:szCs w:val="22"/>
              </w:rPr>
            </w:pPr>
            <w:r w:rsidRPr="000F28E1">
              <w:rPr>
                <w:rFonts w:ascii="Arial" w:hAnsi="Arial" w:cs="Arial"/>
                <w:sz w:val="22"/>
                <w:szCs w:val="22"/>
              </w:rPr>
              <w:t>SOFOSBUVIR and PEG-IFN/RBV</w:t>
            </w:r>
          </w:p>
          <w:p w:rsidR="002F6E15" w:rsidRPr="000F28E1" w:rsidRDefault="002F6E15" w:rsidP="00010C90">
            <w:pPr>
              <w:rPr>
                <w:rFonts w:ascii="Arial" w:hAnsi="Arial" w:cs="Arial"/>
                <w:sz w:val="22"/>
                <w:szCs w:val="22"/>
              </w:rPr>
            </w:pPr>
            <w:r w:rsidRPr="000F28E1">
              <w:rPr>
                <w:rFonts w:ascii="Arial" w:hAnsi="Arial" w:cs="Arial"/>
                <w:sz w:val="22"/>
                <w:szCs w:val="22"/>
              </w:rPr>
              <w:t xml:space="preserve">[12 weeks] </w:t>
            </w:r>
          </w:p>
          <w:p w:rsidR="002F6E15" w:rsidRPr="000F28E1" w:rsidRDefault="002F6E15" w:rsidP="00010C90">
            <w:pPr>
              <w:rPr>
                <w:rFonts w:ascii="Arial" w:hAnsi="Arial" w:cs="Arial"/>
                <w:sz w:val="22"/>
                <w:szCs w:val="22"/>
              </w:rPr>
            </w:pPr>
          </w:p>
          <w:p w:rsidR="002F6E15" w:rsidRPr="000F28E1" w:rsidRDefault="002F6E15" w:rsidP="00010C90">
            <w:pPr>
              <w:rPr>
                <w:rFonts w:ascii="Arial" w:hAnsi="Arial" w:cs="Arial"/>
                <w:i/>
                <w:sz w:val="22"/>
                <w:szCs w:val="22"/>
              </w:rPr>
            </w:pPr>
            <w:r w:rsidRPr="000F28E1">
              <w:rPr>
                <w:rFonts w:ascii="Arial" w:hAnsi="Arial" w:cs="Arial"/>
                <w:i/>
                <w:sz w:val="22"/>
                <w:szCs w:val="22"/>
              </w:rPr>
              <w:t xml:space="preserve">OR </w:t>
            </w:r>
          </w:p>
          <w:p w:rsidR="002F6E15" w:rsidRPr="000F28E1" w:rsidRDefault="002F6E15" w:rsidP="00010C90">
            <w:pPr>
              <w:rPr>
                <w:rFonts w:ascii="Arial" w:hAnsi="Arial" w:cs="Arial"/>
                <w:i/>
                <w:sz w:val="22"/>
                <w:szCs w:val="22"/>
              </w:rPr>
            </w:pPr>
          </w:p>
          <w:p w:rsidR="002F6E15" w:rsidRPr="00BD4A45" w:rsidRDefault="002F6E15" w:rsidP="00010C90">
            <w:pPr>
              <w:rPr>
                <w:rFonts w:ascii="Arial" w:hAnsi="Arial" w:cs="Arial"/>
                <w:i/>
                <w:color w:val="FF0000"/>
                <w:sz w:val="22"/>
                <w:szCs w:val="22"/>
              </w:rPr>
            </w:pPr>
            <w:r w:rsidRPr="000F28E1">
              <w:rPr>
                <w:rFonts w:ascii="Arial" w:hAnsi="Arial" w:cs="Arial"/>
                <w:i/>
                <w:color w:val="FF0000"/>
                <w:sz w:val="22"/>
                <w:szCs w:val="22"/>
              </w:rPr>
              <w:t xml:space="preserve">DACLATASVIR and </w:t>
            </w:r>
            <w:r w:rsidRPr="000F28E1">
              <w:rPr>
                <w:rFonts w:ascii="Arial" w:hAnsi="Arial" w:cs="Arial"/>
                <w:i/>
                <w:color w:val="FF0000"/>
                <w:sz w:val="22"/>
                <w:szCs w:val="22"/>
              </w:rPr>
              <w:lastRenderedPageBreak/>
              <w:t>SOFOSBUVIR and RBV [</w:t>
            </w:r>
            <w:r w:rsidR="00544466" w:rsidRPr="000F28E1">
              <w:rPr>
                <w:rFonts w:ascii="Arial" w:hAnsi="Arial" w:cs="Arial"/>
                <w:i/>
                <w:color w:val="FF0000"/>
                <w:sz w:val="22"/>
                <w:szCs w:val="22"/>
              </w:rPr>
              <w:t xml:space="preserve">12 </w:t>
            </w:r>
            <w:r w:rsidRPr="000F28E1">
              <w:rPr>
                <w:rFonts w:ascii="Arial" w:hAnsi="Arial" w:cs="Arial"/>
                <w:i/>
                <w:color w:val="FF0000"/>
                <w:sz w:val="22"/>
                <w:szCs w:val="22"/>
              </w:rPr>
              <w:t>weeks]</w:t>
            </w:r>
          </w:p>
        </w:tc>
      </w:tr>
    </w:tbl>
    <w:p w:rsidR="00F64CC1" w:rsidRDefault="00F64CC1" w:rsidP="00BD4A45">
      <w:pPr>
        <w:jc w:val="both"/>
        <w:rPr>
          <w:rFonts w:ascii="Arial" w:hAnsi="Arial"/>
          <w:sz w:val="22"/>
          <w:szCs w:val="22"/>
        </w:rPr>
      </w:pPr>
    </w:p>
    <w:p w:rsidR="000023D7" w:rsidRPr="000023D7" w:rsidRDefault="000023D7" w:rsidP="000023D7">
      <w:pPr>
        <w:widowControl w:val="0"/>
        <w:numPr>
          <w:ilvl w:val="0"/>
          <w:numId w:val="1"/>
        </w:numPr>
        <w:jc w:val="both"/>
        <w:outlineLvl w:val="0"/>
        <w:rPr>
          <w:rFonts w:ascii="Arial" w:hAnsi="Arial" w:cs="Arial"/>
          <w:b/>
          <w:bCs/>
          <w:snapToGrid w:val="0"/>
          <w:sz w:val="22"/>
          <w:szCs w:val="20"/>
        </w:rPr>
      </w:pPr>
      <w:r>
        <w:rPr>
          <w:rFonts w:ascii="Arial" w:hAnsi="Arial" w:cs="Arial"/>
          <w:b/>
          <w:bCs/>
          <w:snapToGrid w:val="0"/>
          <w:sz w:val="22"/>
          <w:szCs w:val="20"/>
        </w:rPr>
        <w:t>C</w:t>
      </w:r>
      <w:r w:rsidRPr="000023D7">
        <w:rPr>
          <w:rFonts w:ascii="Arial" w:hAnsi="Arial" w:cs="Arial"/>
          <w:b/>
          <w:bCs/>
          <w:snapToGrid w:val="0"/>
          <w:sz w:val="22"/>
          <w:szCs w:val="20"/>
        </w:rPr>
        <w:t>ontext for Decision</w:t>
      </w:r>
    </w:p>
    <w:p w:rsidR="000023D7" w:rsidRDefault="000023D7" w:rsidP="000023D7">
      <w:pPr>
        <w:ind w:left="426"/>
        <w:jc w:val="both"/>
        <w:rPr>
          <w:rFonts w:ascii="Arial" w:hAnsi="Arial" w:cs="Arial"/>
          <w:sz w:val="22"/>
        </w:rPr>
      </w:pPr>
    </w:p>
    <w:p w:rsidR="000023D7" w:rsidRPr="000023D7" w:rsidRDefault="000023D7" w:rsidP="000023D7">
      <w:pPr>
        <w:widowControl w:val="0"/>
        <w:ind w:left="720"/>
        <w:jc w:val="both"/>
        <w:rPr>
          <w:rFonts w:ascii="Arial" w:hAnsi="Arial" w:cs="Arial"/>
          <w:bCs/>
          <w:snapToGrid w:val="0"/>
          <w:sz w:val="22"/>
          <w:szCs w:val="20"/>
        </w:rPr>
      </w:pPr>
      <w:r w:rsidRPr="000023D7">
        <w:rPr>
          <w:rFonts w:ascii="Arial" w:hAnsi="Arial" w:cs="Arial"/>
          <w:bCs/>
          <w:snapToGrid w:val="0"/>
          <w:sz w:val="22"/>
          <w:szCs w:val="20"/>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023D7" w:rsidRDefault="000023D7" w:rsidP="000023D7">
      <w:pPr>
        <w:ind w:left="426"/>
        <w:jc w:val="both"/>
        <w:rPr>
          <w:rFonts w:ascii="Arial" w:hAnsi="Arial" w:cs="Arial"/>
          <w:sz w:val="22"/>
        </w:rPr>
      </w:pPr>
    </w:p>
    <w:p w:rsidR="000023D7" w:rsidRPr="000023D7" w:rsidRDefault="000023D7" w:rsidP="000023D7">
      <w:pPr>
        <w:widowControl w:val="0"/>
        <w:numPr>
          <w:ilvl w:val="0"/>
          <w:numId w:val="1"/>
        </w:numPr>
        <w:jc w:val="both"/>
        <w:outlineLvl w:val="0"/>
        <w:rPr>
          <w:rFonts w:ascii="Arial" w:hAnsi="Arial" w:cs="Arial"/>
          <w:b/>
          <w:bCs/>
          <w:snapToGrid w:val="0"/>
          <w:sz w:val="22"/>
          <w:szCs w:val="20"/>
        </w:rPr>
      </w:pPr>
      <w:r w:rsidRPr="000023D7">
        <w:rPr>
          <w:rFonts w:ascii="Arial" w:hAnsi="Arial" w:cs="Arial"/>
          <w:b/>
          <w:bCs/>
          <w:snapToGrid w:val="0"/>
          <w:sz w:val="22"/>
          <w:szCs w:val="20"/>
        </w:rPr>
        <w:t>Sponsor’s Comment</w:t>
      </w:r>
    </w:p>
    <w:p w:rsidR="000023D7" w:rsidRPr="000023D7" w:rsidRDefault="000023D7" w:rsidP="001B0B8A">
      <w:pPr>
        <w:widowControl w:val="0"/>
        <w:jc w:val="both"/>
        <w:rPr>
          <w:rFonts w:ascii="Arial" w:hAnsi="Arial" w:cs="Arial"/>
          <w:bCs/>
          <w:snapToGrid w:val="0"/>
          <w:sz w:val="22"/>
          <w:szCs w:val="20"/>
        </w:rPr>
      </w:pPr>
    </w:p>
    <w:p w:rsidR="000023D7" w:rsidRPr="000023D7" w:rsidRDefault="000023D7" w:rsidP="000023D7">
      <w:pPr>
        <w:widowControl w:val="0"/>
        <w:ind w:left="720"/>
        <w:jc w:val="both"/>
        <w:rPr>
          <w:rFonts w:ascii="Arial" w:hAnsi="Arial" w:cs="Arial"/>
          <w:bCs/>
          <w:snapToGrid w:val="0"/>
          <w:sz w:val="22"/>
          <w:szCs w:val="20"/>
        </w:rPr>
      </w:pPr>
      <w:r w:rsidRPr="000023D7">
        <w:rPr>
          <w:rFonts w:ascii="Arial" w:hAnsi="Arial" w:cs="Arial"/>
          <w:bCs/>
          <w:snapToGrid w:val="0"/>
          <w:sz w:val="22"/>
          <w:szCs w:val="20"/>
        </w:rPr>
        <w:t>The sponsor had no comment.</w:t>
      </w:r>
    </w:p>
    <w:p w:rsidR="000023D7" w:rsidRPr="000F28E1" w:rsidRDefault="000023D7" w:rsidP="00BD4A45">
      <w:pPr>
        <w:jc w:val="both"/>
        <w:rPr>
          <w:rFonts w:ascii="Arial" w:hAnsi="Arial"/>
          <w:sz w:val="22"/>
          <w:szCs w:val="22"/>
        </w:rPr>
      </w:pPr>
    </w:p>
    <w:sectPr w:rsidR="000023D7" w:rsidRPr="000F28E1" w:rsidSect="00F0373B">
      <w:footnotePr>
        <w:numRestart w:val="eachSect"/>
      </w:footnotePr>
      <w:type w:val="continuous"/>
      <w:pgSz w:w="11906" w:h="16838"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25A" w:rsidRDefault="00E1625A">
      <w:r>
        <w:separator/>
      </w:r>
    </w:p>
    <w:p w:rsidR="00E1625A" w:rsidRDefault="00E1625A"/>
  </w:endnote>
  <w:endnote w:type="continuationSeparator" w:id="0">
    <w:p w:rsidR="00E1625A" w:rsidRDefault="00E1625A">
      <w:r>
        <w:continuationSeparator/>
      </w:r>
    </w:p>
    <w:p w:rsidR="00E1625A" w:rsidRDefault="00E162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719A0" w:rsidTr="005A3173">
      <w:trPr>
        <w:trHeight w:val="151"/>
      </w:trPr>
      <w:tc>
        <w:tcPr>
          <w:tcW w:w="2250" w:type="pct"/>
          <w:tcBorders>
            <w:top w:val="nil"/>
            <w:left w:val="nil"/>
            <w:bottom w:val="single" w:sz="4" w:space="0" w:color="4F81BD"/>
            <w:right w:val="nil"/>
          </w:tcBorders>
        </w:tcPr>
        <w:p w:rsidR="003719A0" w:rsidRPr="005A3173" w:rsidRDefault="003719A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719A0" w:rsidRPr="005A3173" w:rsidRDefault="003719A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719A0" w:rsidRPr="005A3173" w:rsidRDefault="003719A0" w:rsidP="005A3173">
          <w:pPr>
            <w:pStyle w:val="Header"/>
            <w:spacing w:line="276" w:lineRule="auto"/>
            <w:rPr>
              <w:rFonts w:ascii="Calibri" w:eastAsia="MS Gothic" w:hAnsi="Calibri"/>
              <w:b/>
              <w:bCs/>
              <w:color w:val="4F81BD"/>
            </w:rPr>
          </w:pPr>
        </w:p>
      </w:tc>
    </w:tr>
    <w:tr w:rsidR="003719A0" w:rsidTr="005A3173">
      <w:trPr>
        <w:trHeight w:val="150"/>
      </w:trPr>
      <w:tc>
        <w:tcPr>
          <w:tcW w:w="2250" w:type="pct"/>
          <w:tcBorders>
            <w:top w:val="single" w:sz="4" w:space="0" w:color="4F81BD"/>
            <w:left w:val="nil"/>
            <w:bottom w:val="nil"/>
            <w:right w:val="nil"/>
          </w:tcBorders>
        </w:tcPr>
        <w:p w:rsidR="003719A0" w:rsidRPr="005A3173" w:rsidRDefault="003719A0" w:rsidP="005A3173">
          <w:pPr>
            <w:pStyle w:val="Header"/>
            <w:spacing w:line="276" w:lineRule="auto"/>
            <w:rPr>
              <w:rFonts w:ascii="Calibri" w:eastAsia="MS Gothic" w:hAnsi="Calibri"/>
              <w:b/>
              <w:bCs/>
              <w:color w:val="4F81BD"/>
            </w:rPr>
          </w:pPr>
        </w:p>
      </w:tc>
      <w:tc>
        <w:tcPr>
          <w:tcW w:w="0" w:type="auto"/>
          <w:vMerge/>
          <w:vAlign w:val="center"/>
          <w:hideMark/>
        </w:tcPr>
        <w:p w:rsidR="003719A0" w:rsidRPr="005A3173" w:rsidRDefault="003719A0" w:rsidP="005A3173">
          <w:pPr>
            <w:rPr>
              <w:rFonts w:ascii="Calibri" w:hAnsi="Calibri"/>
              <w:color w:val="365F91"/>
              <w:sz w:val="22"/>
              <w:szCs w:val="22"/>
            </w:rPr>
          </w:pPr>
        </w:p>
      </w:tc>
      <w:tc>
        <w:tcPr>
          <w:tcW w:w="2250" w:type="pct"/>
          <w:tcBorders>
            <w:top w:val="single" w:sz="4" w:space="0" w:color="4F81BD"/>
            <w:left w:val="nil"/>
            <w:bottom w:val="nil"/>
            <w:right w:val="nil"/>
          </w:tcBorders>
        </w:tcPr>
        <w:p w:rsidR="003719A0" w:rsidRPr="005A3173" w:rsidRDefault="003719A0" w:rsidP="005A3173">
          <w:pPr>
            <w:pStyle w:val="Header"/>
            <w:spacing w:line="276" w:lineRule="auto"/>
            <w:rPr>
              <w:rFonts w:ascii="Calibri" w:eastAsia="MS Gothic" w:hAnsi="Calibri"/>
              <w:b/>
              <w:bCs/>
              <w:color w:val="4F81BD"/>
            </w:rPr>
          </w:pPr>
        </w:p>
      </w:tc>
    </w:tr>
  </w:tbl>
  <w:p w:rsidR="003719A0" w:rsidRDefault="003719A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19A0" w:rsidRDefault="003719A0">
    <w:pPr>
      <w:pStyle w:val="Footer"/>
    </w:pPr>
  </w:p>
  <w:p w:rsidR="003719A0" w:rsidRDefault="003719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42556"/>
      <w:docPartObj>
        <w:docPartGallery w:val="Page Numbers (Bottom of Page)"/>
        <w:docPartUnique/>
      </w:docPartObj>
    </w:sdtPr>
    <w:sdtEndPr>
      <w:rPr>
        <w:noProof/>
      </w:rPr>
    </w:sdtEndPr>
    <w:sdtContent>
      <w:p w:rsidR="003719A0" w:rsidRDefault="003719A0">
        <w:pPr>
          <w:pStyle w:val="Footer"/>
          <w:jc w:val="center"/>
        </w:pPr>
        <w:r w:rsidRPr="00B90581">
          <w:rPr>
            <w:rFonts w:ascii="Arial" w:hAnsi="Arial" w:cs="Arial"/>
          </w:rPr>
          <w:fldChar w:fldCharType="begin"/>
        </w:r>
        <w:r w:rsidRPr="00B90581">
          <w:rPr>
            <w:rFonts w:ascii="Arial" w:hAnsi="Arial" w:cs="Arial"/>
          </w:rPr>
          <w:instrText xml:space="preserve"> PAGE   \* MERGEFORMAT </w:instrText>
        </w:r>
        <w:r w:rsidRPr="00B90581">
          <w:rPr>
            <w:rFonts w:ascii="Arial" w:hAnsi="Arial" w:cs="Arial"/>
          </w:rPr>
          <w:fldChar w:fldCharType="separate"/>
        </w:r>
        <w:r w:rsidR="00191D07">
          <w:rPr>
            <w:rFonts w:ascii="Arial" w:hAnsi="Arial" w:cs="Arial"/>
            <w:noProof/>
          </w:rPr>
          <w:t>2</w:t>
        </w:r>
        <w:r w:rsidRPr="00B90581">
          <w:rPr>
            <w:rFonts w:ascii="Arial" w:hAnsi="Arial" w:cs="Arial"/>
            <w:noProof/>
          </w:rPr>
          <w:fldChar w:fldCharType="end"/>
        </w:r>
      </w:p>
    </w:sdtContent>
  </w:sdt>
  <w:p w:rsidR="003719A0" w:rsidRDefault="003719A0"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3719A0" w:rsidTr="005A3173">
      <w:trPr>
        <w:trHeight w:val="151"/>
      </w:trPr>
      <w:tc>
        <w:tcPr>
          <w:tcW w:w="2250" w:type="pct"/>
          <w:tcBorders>
            <w:top w:val="nil"/>
            <w:left w:val="nil"/>
            <w:bottom w:val="single" w:sz="4" w:space="0" w:color="4F81BD"/>
            <w:right w:val="nil"/>
          </w:tcBorders>
        </w:tcPr>
        <w:p w:rsidR="003719A0" w:rsidRPr="005A3173" w:rsidRDefault="003719A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719A0" w:rsidRPr="005A3173" w:rsidRDefault="003719A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719A0" w:rsidRPr="005A3173" w:rsidRDefault="003719A0" w:rsidP="005A3173">
          <w:pPr>
            <w:pStyle w:val="Header"/>
            <w:spacing w:line="276" w:lineRule="auto"/>
            <w:rPr>
              <w:rFonts w:ascii="Calibri" w:eastAsia="MS Gothic" w:hAnsi="Calibri"/>
              <w:b/>
              <w:bCs/>
              <w:color w:val="4F81BD"/>
            </w:rPr>
          </w:pPr>
        </w:p>
      </w:tc>
    </w:tr>
    <w:tr w:rsidR="003719A0" w:rsidTr="005A3173">
      <w:trPr>
        <w:trHeight w:val="150"/>
      </w:trPr>
      <w:tc>
        <w:tcPr>
          <w:tcW w:w="2250" w:type="pct"/>
          <w:tcBorders>
            <w:top w:val="single" w:sz="4" w:space="0" w:color="4F81BD"/>
            <w:left w:val="nil"/>
            <w:bottom w:val="nil"/>
            <w:right w:val="nil"/>
          </w:tcBorders>
        </w:tcPr>
        <w:p w:rsidR="003719A0" w:rsidRPr="005A3173" w:rsidRDefault="003719A0" w:rsidP="005A3173">
          <w:pPr>
            <w:pStyle w:val="Header"/>
            <w:spacing w:line="276" w:lineRule="auto"/>
            <w:rPr>
              <w:rFonts w:ascii="Calibri" w:eastAsia="MS Gothic" w:hAnsi="Calibri"/>
              <w:b/>
              <w:bCs/>
              <w:color w:val="4F81BD"/>
            </w:rPr>
          </w:pPr>
        </w:p>
      </w:tc>
      <w:tc>
        <w:tcPr>
          <w:tcW w:w="0" w:type="auto"/>
          <w:vMerge/>
          <w:vAlign w:val="center"/>
          <w:hideMark/>
        </w:tcPr>
        <w:p w:rsidR="003719A0" w:rsidRPr="005A3173" w:rsidRDefault="003719A0" w:rsidP="005A3173">
          <w:pPr>
            <w:rPr>
              <w:rFonts w:ascii="Calibri" w:hAnsi="Calibri"/>
              <w:color w:val="365F91"/>
              <w:sz w:val="22"/>
              <w:szCs w:val="22"/>
            </w:rPr>
          </w:pPr>
        </w:p>
      </w:tc>
      <w:tc>
        <w:tcPr>
          <w:tcW w:w="2250" w:type="pct"/>
          <w:tcBorders>
            <w:top w:val="single" w:sz="4" w:space="0" w:color="4F81BD"/>
            <w:left w:val="nil"/>
            <w:bottom w:val="nil"/>
            <w:right w:val="nil"/>
          </w:tcBorders>
        </w:tcPr>
        <w:p w:rsidR="003719A0" w:rsidRPr="005A3173" w:rsidRDefault="003719A0"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719A0" w:rsidTr="005A3173">
      <w:trPr>
        <w:trHeight w:val="151"/>
      </w:trPr>
      <w:tc>
        <w:tcPr>
          <w:tcW w:w="2250" w:type="pct"/>
          <w:tcBorders>
            <w:top w:val="nil"/>
            <w:left w:val="nil"/>
            <w:bottom w:val="single" w:sz="4" w:space="0" w:color="4F81BD"/>
            <w:right w:val="nil"/>
          </w:tcBorders>
        </w:tcPr>
        <w:p w:rsidR="003719A0" w:rsidRPr="005A3173" w:rsidRDefault="003719A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719A0" w:rsidRPr="005A3173" w:rsidRDefault="003719A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719A0" w:rsidRPr="005A3173" w:rsidRDefault="003719A0" w:rsidP="005A3173">
          <w:pPr>
            <w:pStyle w:val="Header"/>
            <w:spacing w:line="276" w:lineRule="auto"/>
            <w:rPr>
              <w:rFonts w:ascii="Calibri" w:eastAsia="MS Gothic" w:hAnsi="Calibri"/>
              <w:b/>
              <w:bCs/>
              <w:color w:val="4F81BD"/>
            </w:rPr>
          </w:pPr>
        </w:p>
      </w:tc>
    </w:tr>
    <w:tr w:rsidR="003719A0" w:rsidTr="005A3173">
      <w:trPr>
        <w:trHeight w:val="150"/>
      </w:trPr>
      <w:tc>
        <w:tcPr>
          <w:tcW w:w="2250" w:type="pct"/>
          <w:tcBorders>
            <w:top w:val="single" w:sz="4" w:space="0" w:color="4F81BD"/>
            <w:left w:val="nil"/>
            <w:bottom w:val="nil"/>
            <w:right w:val="nil"/>
          </w:tcBorders>
        </w:tcPr>
        <w:p w:rsidR="003719A0" w:rsidRPr="005A3173" w:rsidRDefault="003719A0" w:rsidP="005A3173">
          <w:pPr>
            <w:pStyle w:val="Header"/>
            <w:spacing w:line="276" w:lineRule="auto"/>
            <w:rPr>
              <w:rFonts w:ascii="Calibri" w:eastAsia="MS Gothic" w:hAnsi="Calibri"/>
              <w:b/>
              <w:bCs/>
              <w:color w:val="4F81BD"/>
            </w:rPr>
          </w:pPr>
        </w:p>
      </w:tc>
      <w:tc>
        <w:tcPr>
          <w:tcW w:w="0" w:type="auto"/>
          <w:vMerge/>
          <w:vAlign w:val="center"/>
          <w:hideMark/>
        </w:tcPr>
        <w:p w:rsidR="003719A0" w:rsidRPr="005A3173" w:rsidRDefault="003719A0" w:rsidP="005A3173">
          <w:pPr>
            <w:rPr>
              <w:rFonts w:ascii="Calibri" w:hAnsi="Calibri"/>
              <w:color w:val="365F91"/>
              <w:sz w:val="22"/>
              <w:szCs w:val="22"/>
            </w:rPr>
          </w:pPr>
        </w:p>
      </w:tc>
      <w:tc>
        <w:tcPr>
          <w:tcW w:w="2250" w:type="pct"/>
          <w:tcBorders>
            <w:top w:val="single" w:sz="4" w:space="0" w:color="4F81BD"/>
            <w:left w:val="nil"/>
            <w:bottom w:val="nil"/>
            <w:right w:val="nil"/>
          </w:tcBorders>
        </w:tcPr>
        <w:p w:rsidR="003719A0" w:rsidRPr="005A3173" w:rsidRDefault="003719A0" w:rsidP="005A3173">
          <w:pPr>
            <w:pStyle w:val="Header"/>
            <w:spacing w:line="276" w:lineRule="auto"/>
            <w:rPr>
              <w:rFonts w:ascii="Calibri" w:eastAsia="MS Gothic" w:hAnsi="Calibri"/>
              <w:b/>
              <w:bCs/>
              <w:color w:val="4F81BD"/>
            </w:rPr>
          </w:pPr>
        </w:p>
      </w:tc>
    </w:tr>
  </w:tbl>
  <w:p w:rsidR="003719A0" w:rsidRPr="007C0F57" w:rsidRDefault="003719A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3719A0" w:rsidRPr="007C0F57" w:rsidRDefault="003719A0" w:rsidP="007C0F57">
    <w:pPr>
      <w:pStyle w:val="Footer"/>
      <w:jc w:val="center"/>
      <w:rPr>
        <w:b/>
        <w:i/>
        <w:sz w:val="20"/>
        <w:szCs w:val="20"/>
      </w:rPr>
    </w:pPr>
    <w:r w:rsidRPr="007C0F57">
      <w:rPr>
        <w:b/>
        <w:i/>
        <w:sz w:val="20"/>
        <w:szCs w:val="20"/>
      </w:rPr>
      <w:t>Commercial-in-Confidence</w:t>
    </w:r>
  </w:p>
  <w:p w:rsidR="003719A0" w:rsidRDefault="003719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25A" w:rsidRDefault="00E1625A">
      <w:r>
        <w:separator/>
      </w:r>
    </w:p>
    <w:p w:rsidR="00E1625A" w:rsidRDefault="00E1625A"/>
  </w:footnote>
  <w:footnote w:type="continuationSeparator" w:id="0">
    <w:p w:rsidR="00E1625A" w:rsidRDefault="00E1625A">
      <w:r>
        <w:continuationSeparator/>
      </w:r>
    </w:p>
    <w:p w:rsidR="00E1625A" w:rsidRDefault="00E1625A"/>
  </w:footnote>
  <w:footnote w:id="1">
    <w:p w:rsidR="003719A0" w:rsidRPr="00BD4A45" w:rsidRDefault="003719A0" w:rsidP="0045293C">
      <w:pPr>
        <w:pStyle w:val="FootnoteText"/>
        <w:rPr>
          <w:rFonts w:ascii="Arial" w:hAnsi="Arial" w:cs="Arial"/>
          <w:sz w:val="18"/>
        </w:rPr>
      </w:pPr>
      <w:r w:rsidRPr="00BD4A45">
        <w:rPr>
          <w:rStyle w:val="FootnoteReference"/>
          <w:rFonts w:ascii="Arial" w:hAnsi="Arial" w:cs="Arial"/>
          <w:sz w:val="18"/>
        </w:rPr>
        <w:footnoteRef/>
      </w:r>
      <w:r w:rsidRPr="00BD4A45">
        <w:rPr>
          <w:rFonts w:ascii="Arial" w:hAnsi="Arial" w:cs="Arial"/>
          <w:sz w:val="18"/>
        </w:rPr>
        <w:t xml:space="preserve"> Nelson DR, </w:t>
      </w:r>
      <w:r w:rsidRPr="00BD4A45">
        <w:rPr>
          <w:rFonts w:ascii="Arial" w:hAnsi="Arial" w:cs="Arial"/>
          <w:i/>
          <w:sz w:val="18"/>
        </w:rPr>
        <w:t>et al</w:t>
      </w:r>
      <w:r w:rsidRPr="00BD4A45">
        <w:rPr>
          <w:rFonts w:ascii="Arial" w:hAnsi="Arial" w:cs="Arial"/>
          <w:sz w:val="18"/>
        </w:rPr>
        <w:t>. (2015) All-oral 12-week treatment with daclatasvir plus sofosbuvir in patients with hepatitis C virus genotype 3 infection: ALLY-3 phase III study. Hepatology. 2015 Apr;61(4):1127-35.</w:t>
      </w:r>
    </w:p>
    <w:p w:rsidR="003719A0" w:rsidRPr="00BD4A45" w:rsidRDefault="003719A0" w:rsidP="0045293C">
      <w:pPr>
        <w:pStyle w:val="FootnoteText"/>
        <w:rPr>
          <w:rFonts w:ascii="Arial" w:hAnsi="Arial" w:cs="Arial"/>
          <w:sz w:val="18"/>
        </w:rPr>
      </w:pPr>
      <w:r w:rsidRPr="00BD4A45">
        <w:rPr>
          <w:rFonts w:ascii="Arial" w:hAnsi="Arial" w:cs="Arial"/>
          <w:sz w:val="18"/>
        </w:rPr>
        <w:t xml:space="preserve">Leroy V, </w:t>
      </w:r>
      <w:r w:rsidRPr="00BD4A45">
        <w:rPr>
          <w:rFonts w:ascii="Arial" w:hAnsi="Arial" w:cs="Arial"/>
          <w:i/>
          <w:sz w:val="18"/>
        </w:rPr>
        <w:t>et al</w:t>
      </w:r>
      <w:r w:rsidRPr="00BD4A45">
        <w:rPr>
          <w:rFonts w:ascii="Arial" w:hAnsi="Arial" w:cs="Arial"/>
          <w:sz w:val="18"/>
        </w:rPr>
        <w:t>. (2016) Daclatasvir, sofosbuvir, and ribavirin for hepatitis C virus genotype 3 and advanced liver disease: A randomized phase III study (ALLY-3+). Hepatology. 2016 May;63(5):1430-41.</w:t>
      </w:r>
    </w:p>
    <w:p w:rsidR="003719A0" w:rsidRPr="00BD4A45" w:rsidRDefault="003719A0" w:rsidP="0045293C">
      <w:pPr>
        <w:pStyle w:val="FootnoteText"/>
        <w:rPr>
          <w:rFonts w:ascii="Arial" w:hAnsi="Arial" w:cs="Arial"/>
          <w:sz w:val="18"/>
        </w:rPr>
      </w:pPr>
      <w:r w:rsidRPr="00BD4A45">
        <w:rPr>
          <w:rFonts w:ascii="Arial" w:hAnsi="Arial" w:cs="Arial"/>
          <w:sz w:val="18"/>
        </w:rPr>
        <w:t>.</w:t>
      </w:r>
    </w:p>
  </w:footnote>
  <w:footnote w:id="2">
    <w:p w:rsidR="00544466" w:rsidRPr="00DC2BB9" w:rsidRDefault="00544466">
      <w:pPr>
        <w:pStyle w:val="FootnoteText"/>
        <w:rPr>
          <w:rFonts w:asciiTheme="minorHAnsi" w:hAnsiTheme="minorHAnsi"/>
        </w:rPr>
      </w:pPr>
      <w:r w:rsidRPr="00DC2BB9">
        <w:rPr>
          <w:rStyle w:val="FootnoteReference"/>
          <w:rFonts w:asciiTheme="minorHAnsi" w:hAnsiTheme="minorHAnsi"/>
        </w:rPr>
        <w:footnoteRef/>
      </w:r>
      <w:r w:rsidRPr="00DC2BB9">
        <w:rPr>
          <w:rFonts w:asciiTheme="minorHAnsi" w:hAnsiTheme="minorHAnsi"/>
        </w:rPr>
        <w:t xml:space="preserve"> Consider adding ribavirin where clinically appropriate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3719A0" w:rsidRPr="008E0D90" w:rsidTr="00A06225">
      <w:trPr>
        <w:trHeight w:val="151"/>
      </w:trPr>
      <w:tc>
        <w:tcPr>
          <w:tcW w:w="2389" w:type="pct"/>
          <w:tcBorders>
            <w:top w:val="nil"/>
            <w:left w:val="nil"/>
            <w:bottom w:val="single" w:sz="4" w:space="0" w:color="4F81BD"/>
            <w:right w:val="nil"/>
          </w:tcBorders>
        </w:tcPr>
        <w:p w:rsidR="003719A0" w:rsidRPr="00A06225" w:rsidRDefault="003719A0">
          <w:pPr>
            <w:pStyle w:val="Header"/>
            <w:spacing w:line="276" w:lineRule="auto"/>
            <w:rPr>
              <w:rFonts w:ascii="Cambria" w:eastAsia="MS Gothic" w:hAnsi="Cambria"/>
              <w:b/>
              <w:bCs/>
              <w:color w:val="4F81BD"/>
            </w:rPr>
          </w:pPr>
        </w:p>
      </w:tc>
      <w:tc>
        <w:tcPr>
          <w:tcW w:w="333" w:type="pct"/>
          <w:vMerge w:val="restart"/>
          <w:noWrap/>
          <w:vAlign w:val="center"/>
          <w:hideMark/>
        </w:tcPr>
        <w:p w:rsidR="003719A0" w:rsidRPr="00A06225" w:rsidRDefault="003719A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3719A0" w:rsidRPr="00A06225" w:rsidRDefault="003719A0">
          <w:pPr>
            <w:pStyle w:val="Header"/>
            <w:spacing w:line="276" w:lineRule="auto"/>
            <w:rPr>
              <w:rFonts w:ascii="Cambria" w:eastAsia="MS Gothic" w:hAnsi="Cambria"/>
              <w:b/>
              <w:bCs/>
              <w:color w:val="4F81BD"/>
            </w:rPr>
          </w:pPr>
        </w:p>
      </w:tc>
    </w:tr>
    <w:tr w:rsidR="003719A0" w:rsidRPr="008E0D90" w:rsidTr="00A06225">
      <w:trPr>
        <w:trHeight w:val="150"/>
      </w:trPr>
      <w:tc>
        <w:tcPr>
          <w:tcW w:w="2389" w:type="pct"/>
          <w:tcBorders>
            <w:top w:val="single" w:sz="4" w:space="0" w:color="4F81BD"/>
            <w:left w:val="nil"/>
            <w:bottom w:val="nil"/>
            <w:right w:val="nil"/>
          </w:tcBorders>
        </w:tcPr>
        <w:p w:rsidR="003719A0" w:rsidRPr="00A06225" w:rsidRDefault="003719A0">
          <w:pPr>
            <w:pStyle w:val="Header"/>
            <w:spacing w:line="276" w:lineRule="auto"/>
            <w:rPr>
              <w:rFonts w:ascii="Cambria" w:eastAsia="MS Gothic" w:hAnsi="Cambria"/>
              <w:b/>
              <w:bCs/>
              <w:color w:val="4F81BD"/>
            </w:rPr>
          </w:pPr>
        </w:p>
      </w:tc>
      <w:tc>
        <w:tcPr>
          <w:tcW w:w="0" w:type="auto"/>
          <w:vMerge/>
          <w:vAlign w:val="center"/>
          <w:hideMark/>
        </w:tcPr>
        <w:p w:rsidR="003719A0" w:rsidRPr="00A06225" w:rsidRDefault="003719A0">
          <w:pPr>
            <w:rPr>
              <w:rFonts w:ascii="Cambria" w:hAnsi="Cambria"/>
              <w:color w:val="4F81BD"/>
              <w:sz w:val="22"/>
              <w:szCs w:val="22"/>
            </w:rPr>
          </w:pPr>
        </w:p>
      </w:tc>
      <w:tc>
        <w:tcPr>
          <w:tcW w:w="2278" w:type="pct"/>
          <w:tcBorders>
            <w:top w:val="single" w:sz="4" w:space="0" w:color="4F81BD"/>
            <w:left w:val="nil"/>
            <w:bottom w:val="nil"/>
            <w:right w:val="nil"/>
          </w:tcBorders>
        </w:tcPr>
        <w:p w:rsidR="003719A0" w:rsidRPr="00A06225" w:rsidRDefault="003719A0">
          <w:pPr>
            <w:pStyle w:val="Header"/>
            <w:spacing w:line="276" w:lineRule="auto"/>
            <w:rPr>
              <w:rFonts w:ascii="Cambria" w:eastAsia="MS Gothic" w:hAnsi="Cambria"/>
              <w:b/>
              <w:bCs/>
              <w:color w:val="4F81BD"/>
            </w:rPr>
          </w:pPr>
        </w:p>
      </w:tc>
    </w:tr>
  </w:tbl>
  <w:p w:rsidR="003719A0" w:rsidRDefault="003719A0">
    <w:pPr>
      <w:pStyle w:val="Header"/>
    </w:pPr>
  </w:p>
  <w:p w:rsidR="003719A0" w:rsidRDefault="003719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9A0" w:rsidRPr="00DF217D" w:rsidRDefault="000023D7" w:rsidP="00B90581">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003719A0" w:rsidRPr="00DF217D">
      <w:rPr>
        <w:rFonts w:ascii="Arial" w:hAnsi="Arial" w:cs="Arial"/>
        <w:i/>
        <w:color w:val="808080"/>
        <w:sz w:val="22"/>
      </w:rPr>
      <w:t xml:space="preserve">– </w:t>
    </w:r>
    <w:r w:rsidR="003719A0">
      <w:rPr>
        <w:rFonts w:ascii="Arial" w:hAnsi="Arial" w:cs="Arial"/>
        <w:i/>
        <w:color w:val="808080"/>
        <w:sz w:val="22"/>
      </w:rPr>
      <w:t xml:space="preserve">July 2016 </w:t>
    </w:r>
    <w:r w:rsidR="003719A0" w:rsidRPr="00DF217D">
      <w:rPr>
        <w:rFonts w:ascii="Arial" w:hAnsi="Arial" w:cs="Arial"/>
        <w:i/>
        <w:color w:val="808080"/>
        <w:sz w:val="22"/>
      </w:rPr>
      <w:t>PBAC</w:t>
    </w:r>
    <w:r w:rsidR="003719A0">
      <w:rPr>
        <w:rFonts w:ascii="Arial" w:hAnsi="Arial" w:cs="Arial"/>
        <w:i/>
        <w:color w:val="808080"/>
        <w:sz w:val="22"/>
      </w:rPr>
      <w:t xml:space="preserve"> </w:t>
    </w:r>
    <w:r w:rsidR="003719A0" w:rsidRPr="00DF217D">
      <w:rPr>
        <w:rFonts w:ascii="Arial" w:hAnsi="Arial" w:cs="Arial"/>
        <w:i/>
        <w:color w:val="808080"/>
        <w:sz w:val="22"/>
      </w:rPr>
      <w:t>Meeting</w:t>
    </w:r>
  </w:p>
  <w:p w:rsidR="003719A0" w:rsidRDefault="003719A0"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406D41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E0204E2"/>
    <w:multiLevelType w:val="hybridMultilevel"/>
    <w:tmpl w:val="1ACA10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E26072D"/>
    <w:multiLevelType w:val="hybridMultilevel"/>
    <w:tmpl w:val="ED50D1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D050046"/>
    <w:multiLevelType w:val="multilevel"/>
    <w:tmpl w:val="2F98559C"/>
    <w:lvl w:ilvl="0">
      <w:start w:val="2"/>
      <w:numFmt w:val="decimal"/>
      <w:lvlText w:val="%1"/>
      <w:lvlJc w:val="left"/>
      <w:pPr>
        <w:ind w:left="720" w:hanging="720"/>
      </w:pPr>
      <w:rPr>
        <w:rFonts w:hint="default"/>
        <w:b/>
      </w:rPr>
    </w:lvl>
    <w:lvl w:ilvl="1">
      <w:start w:val="15"/>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A555A14"/>
    <w:multiLevelType w:val="multilevel"/>
    <w:tmpl w:val="D866529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67E5DF4"/>
    <w:multiLevelType w:val="hybridMultilevel"/>
    <w:tmpl w:val="616C0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8A629FC"/>
    <w:multiLevelType w:val="hybridMultilevel"/>
    <w:tmpl w:val="CB22941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711D267E"/>
    <w:multiLevelType w:val="multilevel"/>
    <w:tmpl w:val="A042A59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84D033C"/>
    <w:multiLevelType w:val="multilevel"/>
    <w:tmpl w:val="35C63BF0"/>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
  </w:num>
  <w:num w:numId="3">
    <w:abstractNumId w:val="0"/>
  </w:num>
  <w:num w:numId="4">
    <w:abstractNumId w:val="8"/>
  </w:num>
  <w:num w:numId="5">
    <w:abstractNumId w:val="6"/>
  </w:num>
  <w:num w:numId="6">
    <w:abstractNumId w:val="11"/>
  </w:num>
  <w:num w:numId="7">
    <w:abstractNumId w:val="12"/>
  </w:num>
  <w:num w:numId="8">
    <w:abstractNumId w:val="5"/>
  </w:num>
  <w:num w:numId="9">
    <w:abstractNumId w:val="9"/>
  </w:num>
  <w:num w:numId="10">
    <w:abstractNumId w:val="3"/>
  </w:num>
  <w:num w:numId="11">
    <w:abstractNumId w:val="2"/>
  </w:num>
  <w:num w:numId="12">
    <w:abstractNumId w:val="7"/>
  </w:num>
  <w:num w:numId="13">
    <w:abstractNumId w:val="4"/>
  </w:num>
  <w:num w:numId="14">
    <w:abstractNumId w:val="10"/>
  </w:num>
  <w:num w:numId="15">
    <w:abstractNumId w:val="0"/>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3D7"/>
    <w:rsid w:val="000025AD"/>
    <w:rsid w:val="00010C90"/>
    <w:rsid w:val="0002464A"/>
    <w:rsid w:val="0003106B"/>
    <w:rsid w:val="000421A1"/>
    <w:rsid w:val="0004240E"/>
    <w:rsid w:val="00045E26"/>
    <w:rsid w:val="000514B5"/>
    <w:rsid w:val="00060E64"/>
    <w:rsid w:val="00066755"/>
    <w:rsid w:val="00077143"/>
    <w:rsid w:val="000917D5"/>
    <w:rsid w:val="000969AD"/>
    <w:rsid w:val="000B558D"/>
    <w:rsid w:val="000C6000"/>
    <w:rsid w:val="000C6996"/>
    <w:rsid w:val="000D11AA"/>
    <w:rsid w:val="000D23BA"/>
    <w:rsid w:val="000E22A1"/>
    <w:rsid w:val="000E3EB1"/>
    <w:rsid w:val="000E681E"/>
    <w:rsid w:val="000E7117"/>
    <w:rsid w:val="000F28E1"/>
    <w:rsid w:val="000F4E6A"/>
    <w:rsid w:val="001000E9"/>
    <w:rsid w:val="001107BF"/>
    <w:rsid w:val="0012417C"/>
    <w:rsid w:val="00132310"/>
    <w:rsid w:val="00142395"/>
    <w:rsid w:val="00142714"/>
    <w:rsid w:val="001452ED"/>
    <w:rsid w:val="00155E15"/>
    <w:rsid w:val="0017225B"/>
    <w:rsid w:val="001830CE"/>
    <w:rsid w:val="0018643B"/>
    <w:rsid w:val="001873A1"/>
    <w:rsid w:val="00191D07"/>
    <w:rsid w:val="00196307"/>
    <w:rsid w:val="001B017F"/>
    <w:rsid w:val="001B0B8A"/>
    <w:rsid w:val="001B5129"/>
    <w:rsid w:val="001B6620"/>
    <w:rsid w:val="001C1195"/>
    <w:rsid w:val="001C7AA7"/>
    <w:rsid w:val="001D472C"/>
    <w:rsid w:val="001D673B"/>
    <w:rsid w:val="001F5D1D"/>
    <w:rsid w:val="002008FC"/>
    <w:rsid w:val="00206171"/>
    <w:rsid w:val="00206787"/>
    <w:rsid w:val="00213CFB"/>
    <w:rsid w:val="00233FB3"/>
    <w:rsid w:val="00246245"/>
    <w:rsid w:val="00271BA1"/>
    <w:rsid w:val="00277505"/>
    <w:rsid w:val="00286AE2"/>
    <w:rsid w:val="0029348D"/>
    <w:rsid w:val="0029458F"/>
    <w:rsid w:val="002A104C"/>
    <w:rsid w:val="002A10F4"/>
    <w:rsid w:val="002A1BDC"/>
    <w:rsid w:val="002A3DF1"/>
    <w:rsid w:val="002A4960"/>
    <w:rsid w:val="002B1AE6"/>
    <w:rsid w:val="002B30F8"/>
    <w:rsid w:val="002C212F"/>
    <w:rsid w:val="002E3153"/>
    <w:rsid w:val="002E72CA"/>
    <w:rsid w:val="002E76D4"/>
    <w:rsid w:val="002F08A0"/>
    <w:rsid w:val="002F1FD5"/>
    <w:rsid w:val="002F6E15"/>
    <w:rsid w:val="00306526"/>
    <w:rsid w:val="00313DC8"/>
    <w:rsid w:val="00317D3C"/>
    <w:rsid w:val="00325549"/>
    <w:rsid w:val="00326E79"/>
    <w:rsid w:val="003359FC"/>
    <w:rsid w:val="003367EF"/>
    <w:rsid w:val="003369C4"/>
    <w:rsid w:val="00341AE4"/>
    <w:rsid w:val="003426F8"/>
    <w:rsid w:val="003719A0"/>
    <w:rsid w:val="003872CF"/>
    <w:rsid w:val="0039782C"/>
    <w:rsid w:val="003A5B4A"/>
    <w:rsid w:val="003A5EC0"/>
    <w:rsid w:val="003B23C5"/>
    <w:rsid w:val="003B2951"/>
    <w:rsid w:val="003B2A75"/>
    <w:rsid w:val="003D4AC4"/>
    <w:rsid w:val="003D63B7"/>
    <w:rsid w:val="003E468B"/>
    <w:rsid w:val="003F5C8C"/>
    <w:rsid w:val="004303CD"/>
    <w:rsid w:val="004465BD"/>
    <w:rsid w:val="0045293C"/>
    <w:rsid w:val="00466ADA"/>
    <w:rsid w:val="0047139A"/>
    <w:rsid w:val="00476245"/>
    <w:rsid w:val="00485940"/>
    <w:rsid w:val="00487837"/>
    <w:rsid w:val="004A2484"/>
    <w:rsid w:val="004A5A85"/>
    <w:rsid w:val="004B5640"/>
    <w:rsid w:val="004C1BD7"/>
    <w:rsid w:val="004C691D"/>
    <w:rsid w:val="004C79AB"/>
    <w:rsid w:val="004E692D"/>
    <w:rsid w:val="004F2ACE"/>
    <w:rsid w:val="00501554"/>
    <w:rsid w:val="005019ED"/>
    <w:rsid w:val="00514CD7"/>
    <w:rsid w:val="00524611"/>
    <w:rsid w:val="005319B2"/>
    <w:rsid w:val="00532239"/>
    <w:rsid w:val="00532C74"/>
    <w:rsid w:val="00534E2E"/>
    <w:rsid w:val="00544466"/>
    <w:rsid w:val="00544552"/>
    <w:rsid w:val="00550C41"/>
    <w:rsid w:val="00573C27"/>
    <w:rsid w:val="00581932"/>
    <w:rsid w:val="005918A1"/>
    <w:rsid w:val="005963BB"/>
    <w:rsid w:val="005A3173"/>
    <w:rsid w:val="005A3223"/>
    <w:rsid w:val="005A3DA3"/>
    <w:rsid w:val="005A52C4"/>
    <w:rsid w:val="005D03AB"/>
    <w:rsid w:val="005D1623"/>
    <w:rsid w:val="005D5017"/>
    <w:rsid w:val="005D6DE4"/>
    <w:rsid w:val="005E4901"/>
    <w:rsid w:val="006003E3"/>
    <w:rsid w:val="00601818"/>
    <w:rsid w:val="00601A91"/>
    <w:rsid w:val="00602BA3"/>
    <w:rsid w:val="006138C8"/>
    <w:rsid w:val="00614159"/>
    <w:rsid w:val="00617C00"/>
    <w:rsid w:val="006263BF"/>
    <w:rsid w:val="00626F14"/>
    <w:rsid w:val="0062748A"/>
    <w:rsid w:val="00630A2C"/>
    <w:rsid w:val="00651169"/>
    <w:rsid w:val="00653D69"/>
    <w:rsid w:val="00662664"/>
    <w:rsid w:val="006667B7"/>
    <w:rsid w:val="00670A76"/>
    <w:rsid w:val="006711AA"/>
    <w:rsid w:val="00672B57"/>
    <w:rsid w:val="00675622"/>
    <w:rsid w:val="006906DB"/>
    <w:rsid w:val="006A12A5"/>
    <w:rsid w:val="006B0D94"/>
    <w:rsid w:val="006B2BB2"/>
    <w:rsid w:val="006B485D"/>
    <w:rsid w:val="006C708E"/>
    <w:rsid w:val="006D6EC7"/>
    <w:rsid w:val="006E6B23"/>
    <w:rsid w:val="006F09C9"/>
    <w:rsid w:val="006F5125"/>
    <w:rsid w:val="007039D9"/>
    <w:rsid w:val="007174BB"/>
    <w:rsid w:val="007276D6"/>
    <w:rsid w:val="00733EF3"/>
    <w:rsid w:val="0076420C"/>
    <w:rsid w:val="007753C2"/>
    <w:rsid w:val="007838B8"/>
    <w:rsid w:val="007916FD"/>
    <w:rsid w:val="00795C7F"/>
    <w:rsid w:val="007A3B7F"/>
    <w:rsid w:val="007C0F57"/>
    <w:rsid w:val="007C40B6"/>
    <w:rsid w:val="007C729F"/>
    <w:rsid w:val="007E1D28"/>
    <w:rsid w:val="007E4B24"/>
    <w:rsid w:val="007E5AA3"/>
    <w:rsid w:val="007E7080"/>
    <w:rsid w:val="007F2641"/>
    <w:rsid w:val="007F7C36"/>
    <w:rsid w:val="00806796"/>
    <w:rsid w:val="00812CD4"/>
    <w:rsid w:val="008151D6"/>
    <w:rsid w:val="00816695"/>
    <w:rsid w:val="00826F6D"/>
    <w:rsid w:val="00830C88"/>
    <w:rsid w:val="00837929"/>
    <w:rsid w:val="00856DDD"/>
    <w:rsid w:val="00857C94"/>
    <w:rsid w:val="00863E68"/>
    <w:rsid w:val="00872EFE"/>
    <w:rsid w:val="00877C4B"/>
    <w:rsid w:val="00877E0E"/>
    <w:rsid w:val="00882085"/>
    <w:rsid w:val="00883188"/>
    <w:rsid w:val="00897D58"/>
    <w:rsid w:val="008A1956"/>
    <w:rsid w:val="008A334E"/>
    <w:rsid w:val="008A4937"/>
    <w:rsid w:val="008D1B5C"/>
    <w:rsid w:val="008D3C82"/>
    <w:rsid w:val="008D447E"/>
    <w:rsid w:val="008D7A41"/>
    <w:rsid w:val="008E3680"/>
    <w:rsid w:val="008E5870"/>
    <w:rsid w:val="008E6766"/>
    <w:rsid w:val="008F1434"/>
    <w:rsid w:val="008F2CFB"/>
    <w:rsid w:val="008F7355"/>
    <w:rsid w:val="009067B7"/>
    <w:rsid w:val="00930937"/>
    <w:rsid w:val="00933E6C"/>
    <w:rsid w:val="00934048"/>
    <w:rsid w:val="00935054"/>
    <w:rsid w:val="00942160"/>
    <w:rsid w:val="00950E67"/>
    <w:rsid w:val="009602C5"/>
    <w:rsid w:val="00961063"/>
    <w:rsid w:val="00974C21"/>
    <w:rsid w:val="0097738C"/>
    <w:rsid w:val="00980706"/>
    <w:rsid w:val="00995E9E"/>
    <w:rsid w:val="009B0F67"/>
    <w:rsid w:val="009B2000"/>
    <w:rsid w:val="009B47B7"/>
    <w:rsid w:val="009C703C"/>
    <w:rsid w:val="009D3CAA"/>
    <w:rsid w:val="009E5B06"/>
    <w:rsid w:val="009E7FA6"/>
    <w:rsid w:val="009F4E46"/>
    <w:rsid w:val="009F5B65"/>
    <w:rsid w:val="009F5F2E"/>
    <w:rsid w:val="00A06225"/>
    <w:rsid w:val="00A06BBC"/>
    <w:rsid w:val="00A128E6"/>
    <w:rsid w:val="00A200BC"/>
    <w:rsid w:val="00A26267"/>
    <w:rsid w:val="00A37C8D"/>
    <w:rsid w:val="00A5273B"/>
    <w:rsid w:val="00A53A9D"/>
    <w:rsid w:val="00A55FEE"/>
    <w:rsid w:val="00A62C1A"/>
    <w:rsid w:val="00A6426D"/>
    <w:rsid w:val="00A70622"/>
    <w:rsid w:val="00A70977"/>
    <w:rsid w:val="00A75A5A"/>
    <w:rsid w:val="00A8390C"/>
    <w:rsid w:val="00A928BD"/>
    <w:rsid w:val="00A97B28"/>
    <w:rsid w:val="00AA4D1C"/>
    <w:rsid w:val="00AC193C"/>
    <w:rsid w:val="00AC5206"/>
    <w:rsid w:val="00AD1CD3"/>
    <w:rsid w:val="00AE11A5"/>
    <w:rsid w:val="00AE13E2"/>
    <w:rsid w:val="00AF391B"/>
    <w:rsid w:val="00AF68CC"/>
    <w:rsid w:val="00B1059E"/>
    <w:rsid w:val="00B205AA"/>
    <w:rsid w:val="00B22E84"/>
    <w:rsid w:val="00B25F75"/>
    <w:rsid w:val="00B41828"/>
    <w:rsid w:val="00B43E90"/>
    <w:rsid w:val="00B46008"/>
    <w:rsid w:val="00B467DC"/>
    <w:rsid w:val="00B5053F"/>
    <w:rsid w:val="00B56118"/>
    <w:rsid w:val="00B6773F"/>
    <w:rsid w:val="00B7646F"/>
    <w:rsid w:val="00B801BA"/>
    <w:rsid w:val="00B90581"/>
    <w:rsid w:val="00BB09A2"/>
    <w:rsid w:val="00BB1081"/>
    <w:rsid w:val="00BB69F5"/>
    <w:rsid w:val="00BB7EC3"/>
    <w:rsid w:val="00BC4B9A"/>
    <w:rsid w:val="00BD4A45"/>
    <w:rsid w:val="00BD784C"/>
    <w:rsid w:val="00BF4CB6"/>
    <w:rsid w:val="00C00DA7"/>
    <w:rsid w:val="00C03F56"/>
    <w:rsid w:val="00C12768"/>
    <w:rsid w:val="00C128E7"/>
    <w:rsid w:val="00C27B58"/>
    <w:rsid w:val="00C35996"/>
    <w:rsid w:val="00C4638E"/>
    <w:rsid w:val="00C47D46"/>
    <w:rsid w:val="00C5342C"/>
    <w:rsid w:val="00C6256A"/>
    <w:rsid w:val="00C84E86"/>
    <w:rsid w:val="00C86D29"/>
    <w:rsid w:val="00C90251"/>
    <w:rsid w:val="00C91449"/>
    <w:rsid w:val="00C92D10"/>
    <w:rsid w:val="00CB29D3"/>
    <w:rsid w:val="00CD3137"/>
    <w:rsid w:val="00CD7A01"/>
    <w:rsid w:val="00CE10C4"/>
    <w:rsid w:val="00CE27B5"/>
    <w:rsid w:val="00CF06A7"/>
    <w:rsid w:val="00CF2F2A"/>
    <w:rsid w:val="00D0321E"/>
    <w:rsid w:val="00D1455A"/>
    <w:rsid w:val="00D3138B"/>
    <w:rsid w:val="00D31A7B"/>
    <w:rsid w:val="00D3280C"/>
    <w:rsid w:val="00D3406A"/>
    <w:rsid w:val="00D41ACE"/>
    <w:rsid w:val="00D41F3A"/>
    <w:rsid w:val="00D44FAC"/>
    <w:rsid w:val="00D469B2"/>
    <w:rsid w:val="00D5064B"/>
    <w:rsid w:val="00D73544"/>
    <w:rsid w:val="00D741EB"/>
    <w:rsid w:val="00D84934"/>
    <w:rsid w:val="00D91271"/>
    <w:rsid w:val="00D91F4D"/>
    <w:rsid w:val="00DA2CB5"/>
    <w:rsid w:val="00DA4B35"/>
    <w:rsid w:val="00DA4BAC"/>
    <w:rsid w:val="00DC2BB9"/>
    <w:rsid w:val="00DD687C"/>
    <w:rsid w:val="00DE6D27"/>
    <w:rsid w:val="00DF0715"/>
    <w:rsid w:val="00DF217D"/>
    <w:rsid w:val="00DF26A7"/>
    <w:rsid w:val="00DF7979"/>
    <w:rsid w:val="00E1625A"/>
    <w:rsid w:val="00E164B3"/>
    <w:rsid w:val="00E16910"/>
    <w:rsid w:val="00E21FA1"/>
    <w:rsid w:val="00E50CBD"/>
    <w:rsid w:val="00E5295F"/>
    <w:rsid w:val="00E65E54"/>
    <w:rsid w:val="00E67E6E"/>
    <w:rsid w:val="00E71815"/>
    <w:rsid w:val="00E80155"/>
    <w:rsid w:val="00E848C0"/>
    <w:rsid w:val="00E91B96"/>
    <w:rsid w:val="00E941A1"/>
    <w:rsid w:val="00E95CE3"/>
    <w:rsid w:val="00EA2825"/>
    <w:rsid w:val="00EB3A06"/>
    <w:rsid w:val="00EB5088"/>
    <w:rsid w:val="00ED1644"/>
    <w:rsid w:val="00ED2593"/>
    <w:rsid w:val="00EE333A"/>
    <w:rsid w:val="00EF44A0"/>
    <w:rsid w:val="00EF4FED"/>
    <w:rsid w:val="00F0373B"/>
    <w:rsid w:val="00F050BD"/>
    <w:rsid w:val="00F05657"/>
    <w:rsid w:val="00F25578"/>
    <w:rsid w:val="00F258E5"/>
    <w:rsid w:val="00F300BC"/>
    <w:rsid w:val="00F3334E"/>
    <w:rsid w:val="00F4036F"/>
    <w:rsid w:val="00F40877"/>
    <w:rsid w:val="00F42DF1"/>
    <w:rsid w:val="00F50EC4"/>
    <w:rsid w:val="00F57A6D"/>
    <w:rsid w:val="00F638CC"/>
    <w:rsid w:val="00F64CC1"/>
    <w:rsid w:val="00F67B6B"/>
    <w:rsid w:val="00F8247A"/>
    <w:rsid w:val="00F9629A"/>
    <w:rsid w:val="00FA1104"/>
    <w:rsid w:val="00FA5883"/>
    <w:rsid w:val="00FA6055"/>
    <w:rsid w:val="00FB322F"/>
    <w:rsid w:val="00FB442F"/>
    <w:rsid w:val="00FC1929"/>
    <w:rsid w:val="00FC5B46"/>
    <w:rsid w:val="00FC6875"/>
    <w:rsid w:val="00FE0E94"/>
    <w:rsid w:val="00FE378D"/>
    <w:rsid w:val="00FF00BD"/>
    <w:rsid w:val="00FF1ED4"/>
    <w:rsid w:val="00FF2801"/>
    <w:rsid w:val="00FF3A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Hyperlink" w:uiPriority="99"/>
    <w:lsdException w:name="Strong" w:qFormat="1"/>
    <w:lsdException w:name="Emphasis" w:qFormat="1"/>
    <w:lsdException w:name="Table Grid" w:uiPriority="3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077143"/>
    <w:pPr>
      <w:numPr>
        <w:numId w:val="3"/>
      </w:numPr>
      <w:jc w:val="both"/>
      <w:outlineLvl w:val="0"/>
    </w:pPr>
    <w:rPr>
      <w:rFonts w:ascii="Arial" w:hAnsi="Arial"/>
      <w:b/>
      <w:sz w:val="22"/>
      <w:szCs w:val="22"/>
    </w:rPr>
  </w:style>
  <w:style w:type="paragraph" w:styleId="Heading2">
    <w:name w:val="heading 2"/>
    <w:basedOn w:val="Normal"/>
    <w:next w:val="Normal"/>
    <w:qFormat/>
    <w:rsid w:val="00C47D46"/>
    <w:pPr>
      <w:keepNext/>
      <w:outlineLvl w:val="1"/>
    </w:pPr>
    <w:rPr>
      <w:rFonts w:ascii="Arial" w:hAnsi="Arial"/>
      <w:b/>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basedOn w:val="DefaultParagraphFont"/>
    <w:link w:val="ListParagraph"/>
    <w:uiPriority w:val="72"/>
    <w:rsid w:val="00077143"/>
    <w:rPr>
      <w:sz w:val="24"/>
      <w:szCs w:val="24"/>
    </w:rPr>
  </w:style>
  <w:style w:type="character" w:customStyle="1" w:styleId="apple-converted-space">
    <w:name w:val="apple-converted-space"/>
    <w:basedOn w:val="DefaultParagraphFont"/>
    <w:rsid w:val="00961063"/>
  </w:style>
  <w:style w:type="paragraph" w:styleId="Revision">
    <w:name w:val="Revision"/>
    <w:hidden/>
    <w:uiPriority w:val="71"/>
    <w:rsid w:val="002A1BDC"/>
    <w:rPr>
      <w:sz w:val="24"/>
      <w:szCs w:val="24"/>
    </w:rPr>
  </w:style>
  <w:style w:type="paragraph" w:styleId="FootnoteText">
    <w:name w:val="footnote text"/>
    <w:basedOn w:val="Normal"/>
    <w:link w:val="FootnoteTextChar"/>
    <w:rsid w:val="000917D5"/>
    <w:rPr>
      <w:sz w:val="20"/>
      <w:szCs w:val="20"/>
    </w:rPr>
  </w:style>
  <w:style w:type="character" w:customStyle="1" w:styleId="FootnoteTextChar">
    <w:name w:val="Footnote Text Char"/>
    <w:basedOn w:val="DefaultParagraphFont"/>
    <w:link w:val="FootnoteText"/>
    <w:rsid w:val="000917D5"/>
  </w:style>
  <w:style w:type="character" w:styleId="FootnoteReference">
    <w:name w:val="footnote reference"/>
    <w:basedOn w:val="DefaultParagraphFont"/>
    <w:rsid w:val="000917D5"/>
    <w:rPr>
      <w:vertAlign w:val="superscript"/>
    </w:rPr>
  </w:style>
  <w:style w:type="character" w:styleId="IntenseReference">
    <w:name w:val="Intense Reference"/>
    <w:basedOn w:val="DefaultParagraphFont"/>
    <w:uiPriority w:val="32"/>
    <w:rsid w:val="00C90251"/>
    <w:rPr>
      <w:b/>
      <w:bCs/>
      <w:smallCaps/>
      <w:color w:val="C0504D" w:themeColor="accent2"/>
      <w:spacing w:val="5"/>
      <w:u w:val="single"/>
    </w:rPr>
  </w:style>
  <w:style w:type="paragraph" w:customStyle="1" w:styleId="PBACHeading1">
    <w:name w:val="PBAC Heading 1"/>
    <w:basedOn w:val="ListParagraph"/>
    <w:qFormat/>
    <w:rsid w:val="00C90251"/>
    <w:pPr>
      <w:spacing w:before="240" w:after="120"/>
      <w:ind w:hanging="720"/>
      <w:jc w:val="both"/>
    </w:pPr>
    <w:rPr>
      <w:b/>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Hyperlink" w:uiPriority="99"/>
    <w:lsdException w:name="Strong" w:qFormat="1"/>
    <w:lsdException w:name="Emphasis" w:qFormat="1"/>
    <w:lsdException w:name="Table Grid" w:uiPriority="3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077143"/>
    <w:pPr>
      <w:numPr>
        <w:numId w:val="3"/>
      </w:numPr>
      <w:jc w:val="both"/>
      <w:outlineLvl w:val="0"/>
    </w:pPr>
    <w:rPr>
      <w:rFonts w:ascii="Arial" w:hAnsi="Arial"/>
      <w:b/>
      <w:sz w:val="22"/>
      <w:szCs w:val="22"/>
    </w:rPr>
  </w:style>
  <w:style w:type="paragraph" w:styleId="Heading2">
    <w:name w:val="heading 2"/>
    <w:basedOn w:val="Normal"/>
    <w:next w:val="Normal"/>
    <w:qFormat/>
    <w:rsid w:val="00C47D46"/>
    <w:pPr>
      <w:keepNext/>
      <w:outlineLvl w:val="1"/>
    </w:pPr>
    <w:rPr>
      <w:rFonts w:ascii="Arial" w:hAnsi="Arial"/>
      <w:b/>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basedOn w:val="DefaultParagraphFont"/>
    <w:link w:val="ListParagraph"/>
    <w:uiPriority w:val="72"/>
    <w:rsid w:val="00077143"/>
    <w:rPr>
      <w:sz w:val="24"/>
      <w:szCs w:val="24"/>
    </w:rPr>
  </w:style>
  <w:style w:type="character" w:customStyle="1" w:styleId="apple-converted-space">
    <w:name w:val="apple-converted-space"/>
    <w:basedOn w:val="DefaultParagraphFont"/>
    <w:rsid w:val="00961063"/>
  </w:style>
  <w:style w:type="paragraph" w:styleId="Revision">
    <w:name w:val="Revision"/>
    <w:hidden/>
    <w:uiPriority w:val="71"/>
    <w:rsid w:val="002A1BDC"/>
    <w:rPr>
      <w:sz w:val="24"/>
      <w:szCs w:val="24"/>
    </w:rPr>
  </w:style>
  <w:style w:type="paragraph" w:styleId="FootnoteText">
    <w:name w:val="footnote text"/>
    <w:basedOn w:val="Normal"/>
    <w:link w:val="FootnoteTextChar"/>
    <w:rsid w:val="000917D5"/>
    <w:rPr>
      <w:sz w:val="20"/>
      <w:szCs w:val="20"/>
    </w:rPr>
  </w:style>
  <w:style w:type="character" w:customStyle="1" w:styleId="FootnoteTextChar">
    <w:name w:val="Footnote Text Char"/>
    <w:basedOn w:val="DefaultParagraphFont"/>
    <w:link w:val="FootnoteText"/>
    <w:rsid w:val="000917D5"/>
  </w:style>
  <w:style w:type="character" w:styleId="FootnoteReference">
    <w:name w:val="footnote reference"/>
    <w:basedOn w:val="DefaultParagraphFont"/>
    <w:rsid w:val="000917D5"/>
    <w:rPr>
      <w:vertAlign w:val="superscript"/>
    </w:rPr>
  </w:style>
  <w:style w:type="character" w:styleId="IntenseReference">
    <w:name w:val="Intense Reference"/>
    <w:basedOn w:val="DefaultParagraphFont"/>
    <w:uiPriority w:val="32"/>
    <w:rsid w:val="00C90251"/>
    <w:rPr>
      <w:b/>
      <w:bCs/>
      <w:smallCaps/>
      <w:color w:val="C0504D" w:themeColor="accent2"/>
      <w:spacing w:val="5"/>
      <w:u w:val="single"/>
    </w:rPr>
  </w:style>
  <w:style w:type="paragraph" w:customStyle="1" w:styleId="PBACHeading1">
    <w:name w:val="PBAC Heading 1"/>
    <w:basedOn w:val="ListParagraph"/>
    <w:qFormat/>
    <w:rsid w:val="00C90251"/>
    <w:pPr>
      <w:spacing w:before="240" w:after="120"/>
      <w:ind w:hanging="720"/>
      <w:jc w:val="both"/>
    </w:pPr>
    <w:rPr>
      <w:b/>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D6EAF-7259-496E-BCC3-433BC57F0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1650</Words>
  <Characters>9270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2016-10-26T22:16:00Z</dcterms:created>
  <dcterms:modified xsi:type="dcterms:W3CDTF">2016-10-26T22:18:00Z</dcterms:modified>
</cp:coreProperties>
</file>