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671" w:rsidRDefault="00C350A8" w:rsidP="00244671">
      <w:pPr>
        <w:pStyle w:val="Title"/>
      </w:pPr>
      <w:bookmarkStart w:id="0" w:name="_Toc451242677"/>
      <w:r w:rsidRPr="00244671">
        <w:t>6</w:t>
      </w:r>
      <w:r w:rsidR="00BE6EA8" w:rsidRPr="00244671">
        <w:t>.</w:t>
      </w:r>
      <w:r w:rsidR="00B55E3E" w:rsidRPr="00244671">
        <w:t>0</w:t>
      </w:r>
      <w:r w:rsidRPr="00244671">
        <w:t>5</w:t>
      </w:r>
      <w:r w:rsidR="00BE6EA8" w:rsidRPr="00244671">
        <w:tab/>
      </w:r>
      <w:r w:rsidR="00BF0561" w:rsidRPr="00244671">
        <w:t>PERAMPANEL</w:t>
      </w:r>
    </w:p>
    <w:p w:rsidR="006534E9" w:rsidRPr="00244671" w:rsidRDefault="00BF0561" w:rsidP="00244671">
      <w:pPr>
        <w:pStyle w:val="Title"/>
        <w:ind w:firstLine="0"/>
      </w:pPr>
      <w:r w:rsidRPr="00244671">
        <w:t>Film-coated tablets</w:t>
      </w:r>
      <w:r w:rsidR="00BE6EA8" w:rsidRPr="00244671">
        <w:t xml:space="preserve">, </w:t>
      </w:r>
      <w:r w:rsidRPr="00244671">
        <w:t>2</w:t>
      </w:r>
      <w:r w:rsidR="0054775F" w:rsidRPr="00244671">
        <w:t xml:space="preserve"> </w:t>
      </w:r>
      <w:r w:rsidRPr="00244671">
        <w:t>mg, 4</w:t>
      </w:r>
      <w:r w:rsidR="0054775F" w:rsidRPr="00244671">
        <w:t xml:space="preserve"> </w:t>
      </w:r>
      <w:r w:rsidRPr="00244671">
        <w:t>mg, 6</w:t>
      </w:r>
      <w:r w:rsidR="0054775F" w:rsidRPr="00244671">
        <w:t xml:space="preserve"> </w:t>
      </w:r>
      <w:r w:rsidRPr="00244671">
        <w:t>mg, 8</w:t>
      </w:r>
      <w:r w:rsidR="0054775F" w:rsidRPr="00244671">
        <w:t xml:space="preserve"> </w:t>
      </w:r>
      <w:r w:rsidRPr="00244671">
        <w:t>mg, 10</w:t>
      </w:r>
      <w:r w:rsidR="0054775F" w:rsidRPr="00244671">
        <w:t xml:space="preserve"> </w:t>
      </w:r>
      <w:r w:rsidRPr="00244671">
        <w:t>mg and 12mg</w:t>
      </w:r>
    </w:p>
    <w:p w:rsidR="006534E9" w:rsidRPr="00244671" w:rsidRDefault="00BF0561" w:rsidP="00244671">
      <w:pPr>
        <w:pStyle w:val="Title"/>
        <w:ind w:firstLine="0"/>
      </w:pPr>
      <w:r w:rsidRPr="00244671">
        <w:t>FYcompa</w:t>
      </w:r>
      <w:r w:rsidR="00BE6EA8" w:rsidRPr="00244671">
        <w:t>®</w:t>
      </w:r>
    </w:p>
    <w:p w:rsidR="00BE6EA8" w:rsidRPr="00244671" w:rsidRDefault="00BF0561" w:rsidP="00244671">
      <w:pPr>
        <w:pStyle w:val="Title"/>
        <w:ind w:firstLine="0"/>
      </w:pPr>
      <w:r w:rsidRPr="00244671">
        <w:t>Eisai</w:t>
      </w:r>
      <w:bookmarkEnd w:id="0"/>
    </w:p>
    <w:p w:rsidR="00BE6EA8" w:rsidRPr="003C6C31" w:rsidRDefault="00BE6EA8" w:rsidP="00785BBC">
      <w:pPr>
        <w:widowControl/>
      </w:pPr>
    </w:p>
    <w:p w:rsidR="00BE6EA8" w:rsidRPr="003C6C31" w:rsidRDefault="00BE6EA8" w:rsidP="00785BBC">
      <w:pPr>
        <w:widowControl/>
      </w:pPr>
    </w:p>
    <w:p w:rsidR="00BE6EA8" w:rsidRPr="00244671" w:rsidRDefault="00BE6EA8" w:rsidP="00244671">
      <w:pPr>
        <w:pStyle w:val="Heading1"/>
      </w:pPr>
      <w:bookmarkStart w:id="1" w:name="_Toc451242679"/>
      <w:r w:rsidRPr="00244671">
        <w:t>Purpose of Application</w:t>
      </w:r>
      <w:bookmarkEnd w:id="1"/>
    </w:p>
    <w:p w:rsidR="00BE6EA8" w:rsidRPr="003C6C31" w:rsidRDefault="00BE6EA8" w:rsidP="00785BBC">
      <w:pPr>
        <w:widowControl/>
        <w:rPr>
          <w:szCs w:val="22"/>
        </w:rPr>
      </w:pPr>
    </w:p>
    <w:p w:rsidR="00BE6EA8" w:rsidRPr="003C6C31" w:rsidRDefault="00BE6EA8" w:rsidP="00785BBC">
      <w:pPr>
        <w:pStyle w:val="ListParagraph"/>
        <w:widowControl/>
        <w:numPr>
          <w:ilvl w:val="1"/>
          <w:numId w:val="7"/>
        </w:numPr>
        <w:rPr>
          <w:szCs w:val="22"/>
        </w:rPr>
      </w:pPr>
      <w:r w:rsidRPr="003C6C31">
        <w:t xml:space="preserve">The submission proposed an Authority Required (STREAMLINED) listing for perampanel for </w:t>
      </w:r>
      <w:r w:rsidR="00206819" w:rsidRPr="003C6C31">
        <w:t xml:space="preserve">the </w:t>
      </w:r>
      <w:r w:rsidRPr="003C6C31">
        <w:t>treatment of primary generalised tonic-clonic (PGTC) seizures.</w:t>
      </w:r>
    </w:p>
    <w:p w:rsidR="00BE6EA8" w:rsidRDefault="00BE6EA8" w:rsidP="00785BBC">
      <w:pPr>
        <w:widowControl/>
      </w:pPr>
    </w:p>
    <w:p w:rsidR="00EB66E9" w:rsidRPr="003C6C31" w:rsidRDefault="00EB66E9" w:rsidP="00785BBC">
      <w:pPr>
        <w:widowControl/>
      </w:pPr>
    </w:p>
    <w:p w:rsidR="00BE6EA8" w:rsidRPr="003C6C31" w:rsidRDefault="00BE6EA8" w:rsidP="00244671">
      <w:pPr>
        <w:pStyle w:val="Heading1"/>
      </w:pPr>
      <w:bookmarkStart w:id="2" w:name="_Toc451242680"/>
      <w:r w:rsidRPr="003C6C31">
        <w:t>Requested listing</w:t>
      </w:r>
      <w:bookmarkEnd w:id="2"/>
    </w:p>
    <w:p w:rsidR="00BE6EA8" w:rsidRPr="003C6C31" w:rsidRDefault="00BE6EA8" w:rsidP="00785BBC">
      <w:pPr>
        <w:keepNext/>
        <w:widowControl/>
      </w:pPr>
    </w:p>
    <w:p w:rsidR="00BE6EA8" w:rsidRPr="00A17A73" w:rsidRDefault="00A17A73" w:rsidP="00A17A73">
      <w:pPr>
        <w:pStyle w:val="ListParagraph"/>
        <w:keepNext/>
        <w:widowControl/>
        <w:numPr>
          <w:ilvl w:val="1"/>
          <w:numId w:val="7"/>
        </w:numPr>
        <w:rPr>
          <w:szCs w:val="22"/>
        </w:rPr>
      </w:pPr>
      <w:r>
        <w:t>The Pre-Sub-Committee Response</w:t>
      </w:r>
      <w:r w:rsidR="00EB66E9">
        <w:t xml:space="preserve"> (PSCR)</w:t>
      </w:r>
      <w:r>
        <w:t xml:space="preserve"> </w:t>
      </w:r>
      <w:r w:rsidRPr="00C250F8">
        <w:t>propose</w:t>
      </w:r>
      <w:r>
        <w:t>d</w:t>
      </w:r>
      <w:r w:rsidRPr="00C250F8">
        <w:t xml:space="preserve"> that the requested restriction be modified</w:t>
      </w:r>
      <w:r>
        <w:t xml:space="preserve"> from “</w:t>
      </w:r>
      <w:r w:rsidRPr="003C6C31">
        <w:t>the treatment of primary generalised tonic-clonic (PGTC) seizures</w:t>
      </w:r>
      <w:r>
        <w:t>”</w:t>
      </w:r>
      <w:r w:rsidRPr="00C250F8">
        <w:t xml:space="preserve"> </w:t>
      </w:r>
      <w:r>
        <w:t xml:space="preserve">to “the treatment of Idiopathic </w:t>
      </w:r>
      <w:r w:rsidRPr="00C250F8">
        <w:t>G</w:t>
      </w:r>
      <w:r>
        <w:t xml:space="preserve">eneralised </w:t>
      </w:r>
      <w:r w:rsidRPr="00C250F8">
        <w:t>E</w:t>
      </w:r>
      <w:r>
        <w:t>pilepsy</w:t>
      </w:r>
      <w:r w:rsidRPr="00C250F8">
        <w:t xml:space="preserve"> with </w:t>
      </w:r>
      <w:r>
        <w:t xml:space="preserve">primary </w:t>
      </w:r>
      <w:r w:rsidRPr="00C250F8">
        <w:t>generalised tonic-clonic seizures</w:t>
      </w:r>
      <w:r>
        <w:t xml:space="preserve">.” </w:t>
      </w:r>
    </w:p>
    <w:p w:rsidR="00BE6EA8" w:rsidRPr="003C6C31" w:rsidRDefault="00BE6EA8" w:rsidP="00785BBC">
      <w:pPr>
        <w:widowControl/>
      </w:pPr>
    </w:p>
    <w:p w:rsidR="00BE6EA8" w:rsidRDefault="00BE6EA8" w:rsidP="00A17A73">
      <w:pPr>
        <w:pStyle w:val="ListParagraph"/>
        <w:widowControl/>
        <w:numPr>
          <w:ilvl w:val="1"/>
          <w:numId w:val="7"/>
        </w:numPr>
        <w:rPr>
          <w:szCs w:val="22"/>
        </w:rPr>
      </w:pPr>
      <w:r w:rsidRPr="003C6C31">
        <w:rPr>
          <w:szCs w:val="22"/>
        </w:rPr>
        <w:t xml:space="preserve">The </w:t>
      </w:r>
      <w:r w:rsidR="00A17A73">
        <w:rPr>
          <w:szCs w:val="22"/>
        </w:rPr>
        <w:t xml:space="preserve">revised proposed listing </w:t>
      </w:r>
      <w:r w:rsidR="006E6A9B">
        <w:rPr>
          <w:szCs w:val="22"/>
        </w:rPr>
        <w:t xml:space="preserve">was </w:t>
      </w:r>
      <w:r w:rsidR="000B2A01" w:rsidRPr="003C6C31">
        <w:rPr>
          <w:szCs w:val="22"/>
        </w:rPr>
        <w:t xml:space="preserve">consistent with </w:t>
      </w:r>
      <w:r w:rsidRPr="003C6C31">
        <w:rPr>
          <w:szCs w:val="22"/>
        </w:rPr>
        <w:t>the TGA indication</w:t>
      </w:r>
      <w:r w:rsidR="00A17A73">
        <w:rPr>
          <w:szCs w:val="22"/>
        </w:rPr>
        <w:t xml:space="preserve"> </w:t>
      </w:r>
      <w:r w:rsidR="006368F7" w:rsidRPr="00A17A73">
        <w:rPr>
          <w:szCs w:val="22"/>
        </w:rPr>
        <w:t xml:space="preserve">in the </w:t>
      </w:r>
      <w:r w:rsidRPr="00A17A73">
        <w:rPr>
          <w:szCs w:val="22"/>
        </w:rPr>
        <w:t>draft Product Information (PI)</w:t>
      </w:r>
      <w:r w:rsidR="00A17A73">
        <w:rPr>
          <w:szCs w:val="22"/>
        </w:rPr>
        <w:t>, which state</w:t>
      </w:r>
      <w:r w:rsidR="00EF4598">
        <w:rPr>
          <w:szCs w:val="22"/>
        </w:rPr>
        <w:t>s</w:t>
      </w:r>
      <w:r w:rsidR="00A17A73">
        <w:rPr>
          <w:szCs w:val="22"/>
        </w:rPr>
        <w:t xml:space="preserve"> that perampanel </w:t>
      </w:r>
      <w:r w:rsidR="00EF4598">
        <w:rPr>
          <w:szCs w:val="22"/>
        </w:rPr>
        <w:t>i</w:t>
      </w:r>
      <w:r w:rsidRPr="00A17A73">
        <w:rPr>
          <w:szCs w:val="22"/>
        </w:rPr>
        <w:t xml:space="preserve">s indicated for </w:t>
      </w:r>
      <w:r w:rsidR="006368F7" w:rsidRPr="00A17A73">
        <w:rPr>
          <w:szCs w:val="22"/>
        </w:rPr>
        <w:t xml:space="preserve">treatment of </w:t>
      </w:r>
      <w:r w:rsidR="00382E9F" w:rsidRPr="00A17A73">
        <w:rPr>
          <w:szCs w:val="22"/>
        </w:rPr>
        <w:t>PGTC</w:t>
      </w:r>
      <w:r w:rsidRPr="00A17A73">
        <w:rPr>
          <w:szCs w:val="22"/>
        </w:rPr>
        <w:t xml:space="preserve"> seizures</w:t>
      </w:r>
      <w:r w:rsidR="00382E9F" w:rsidRPr="00A17A73">
        <w:rPr>
          <w:szCs w:val="22"/>
        </w:rPr>
        <w:t xml:space="preserve"> in patients</w:t>
      </w:r>
      <w:r w:rsidRPr="00A17A73">
        <w:rPr>
          <w:szCs w:val="22"/>
        </w:rPr>
        <w:t xml:space="preserve"> with idiopathic generalised epilepsy</w:t>
      </w:r>
      <w:r w:rsidR="006368F7" w:rsidRPr="00A17A73">
        <w:rPr>
          <w:szCs w:val="22"/>
        </w:rPr>
        <w:t xml:space="preserve"> (IGE)</w:t>
      </w:r>
      <w:r w:rsidRPr="00A17A73">
        <w:rPr>
          <w:szCs w:val="22"/>
        </w:rPr>
        <w:t xml:space="preserve">. </w:t>
      </w:r>
    </w:p>
    <w:p w:rsidR="00EF4598" w:rsidRPr="00EF4598" w:rsidRDefault="00EF4598" w:rsidP="00EF4598">
      <w:pPr>
        <w:pStyle w:val="ListParagraph"/>
        <w:rPr>
          <w:szCs w:val="22"/>
        </w:rPr>
      </w:pPr>
    </w:p>
    <w:p w:rsidR="00EF4598" w:rsidRPr="003C6C31" w:rsidRDefault="009F3F55" w:rsidP="00EF4598">
      <w:pPr>
        <w:pStyle w:val="ListParagraph"/>
        <w:keepNext/>
        <w:widowControl/>
        <w:numPr>
          <w:ilvl w:val="1"/>
          <w:numId w:val="7"/>
        </w:numPr>
        <w:rPr>
          <w:szCs w:val="22"/>
        </w:rPr>
      </w:pPr>
      <w:r>
        <w:t xml:space="preserve">In order to restrict usage </w:t>
      </w:r>
      <w:r w:rsidR="00954B7F" w:rsidRPr="00954B7F">
        <w:t>to “last option add-on to the current regimen in practice</w:t>
      </w:r>
      <w:r w:rsidR="00954B7F">
        <w:t xml:space="preserve">”, the pre-PBAC Response proposed the following </w:t>
      </w:r>
      <w:r w:rsidR="00EF4598">
        <w:t>clinical criteria</w:t>
      </w:r>
      <w:r w:rsidR="00954B7F">
        <w:t xml:space="preserve"> be included in the listing</w:t>
      </w:r>
      <w:r w:rsidR="00EF4598" w:rsidRPr="003C6C31">
        <w:t>:</w:t>
      </w:r>
    </w:p>
    <w:p w:rsidR="00954B7F" w:rsidRDefault="00954B7F" w:rsidP="00EF4598">
      <w:pPr>
        <w:pStyle w:val="ListParagraph"/>
        <w:keepNext/>
        <w:widowControl/>
        <w:numPr>
          <w:ilvl w:val="0"/>
          <w:numId w:val="41"/>
        </w:numPr>
      </w:pPr>
      <w:r w:rsidRPr="00A637FE">
        <w:t xml:space="preserve">The treatment must be in combination with two or more anti-epileptic drugs </w:t>
      </w:r>
    </w:p>
    <w:p w:rsidR="00EF4598" w:rsidRDefault="00954B7F" w:rsidP="00EF4598">
      <w:pPr>
        <w:pStyle w:val="ListParagraph"/>
        <w:keepNext/>
        <w:widowControl/>
        <w:numPr>
          <w:ilvl w:val="0"/>
          <w:numId w:val="41"/>
        </w:numPr>
      </w:pPr>
      <w:r>
        <w:t>T</w:t>
      </w:r>
      <w:r w:rsidRPr="005D403D">
        <w:t xml:space="preserve">he condition must have failed to be controlled satisfactorily by </w:t>
      </w:r>
      <w:r>
        <w:t>all available</w:t>
      </w:r>
      <w:r w:rsidRPr="005D403D">
        <w:t xml:space="preserve"> </w:t>
      </w:r>
      <w:r>
        <w:t xml:space="preserve">and reimbursed </w:t>
      </w:r>
      <w:r w:rsidRPr="005D403D">
        <w:t>anti-epileptic drug</w:t>
      </w:r>
      <w:r>
        <w:t>s excluding those which are clinically contraindicated OR may exacerbate other seizure types co-existing in patients OR where adjunctive treatment is likely to significantly worsen tolerability</w:t>
      </w:r>
      <w:r w:rsidR="00EF4598">
        <w:t>.</w:t>
      </w:r>
    </w:p>
    <w:p w:rsidR="00A17A73" w:rsidRPr="00A17A73" w:rsidRDefault="00A17A73" w:rsidP="00A17A73">
      <w:pPr>
        <w:widowControl/>
        <w:rPr>
          <w:szCs w:val="22"/>
        </w:rPr>
      </w:pPr>
    </w:p>
    <w:p w:rsidR="00BE6EA8" w:rsidRPr="003C6C31" w:rsidRDefault="00BE6EA8" w:rsidP="00785BBC">
      <w:pPr>
        <w:pStyle w:val="ListParagraph"/>
        <w:widowControl/>
        <w:numPr>
          <w:ilvl w:val="1"/>
          <w:numId w:val="7"/>
        </w:numPr>
        <w:rPr>
          <w:szCs w:val="22"/>
        </w:rPr>
      </w:pPr>
      <w:r w:rsidRPr="003C6C31">
        <w:rPr>
          <w:szCs w:val="22"/>
        </w:rPr>
        <w:t>The submission was based on a cost-effectiveness analysis of perampanel plus standard care in comparison with placebo plus standard care. Standard care refers to antiepileptic drugs (AEDs) that patients currently receive.</w:t>
      </w:r>
    </w:p>
    <w:p w:rsidR="00BE6EA8" w:rsidRDefault="00BE6EA8" w:rsidP="00785BBC">
      <w:pPr>
        <w:widowControl/>
        <w:rPr>
          <w:szCs w:val="22"/>
        </w:rPr>
      </w:pPr>
    </w:p>
    <w:p w:rsidR="00343228" w:rsidRPr="0005234D" w:rsidRDefault="00343228" w:rsidP="00343228">
      <w:pPr>
        <w:ind w:firstLine="720"/>
        <w:rPr>
          <w:bCs/>
          <w:szCs w:val="22"/>
        </w:rPr>
      </w:pPr>
      <w:r w:rsidRPr="004F08BC">
        <w:rPr>
          <w:bCs/>
          <w:i/>
          <w:szCs w:val="22"/>
        </w:rPr>
        <w:t>For more detail on PBAC’s view, see section 7 “PBAC outcome”</w:t>
      </w:r>
    </w:p>
    <w:p w:rsidR="00343228" w:rsidRPr="003C6C31" w:rsidRDefault="00343228" w:rsidP="00785BBC">
      <w:pPr>
        <w:widowControl/>
        <w:rPr>
          <w:szCs w:val="22"/>
        </w:rPr>
      </w:pPr>
    </w:p>
    <w:p w:rsidR="006368F7" w:rsidRPr="003C6C31" w:rsidRDefault="006368F7" w:rsidP="00785BBC">
      <w:pPr>
        <w:widowControl/>
      </w:pPr>
    </w:p>
    <w:p w:rsidR="00BE6EA8" w:rsidRPr="003C6C31" w:rsidRDefault="00BE6EA8" w:rsidP="00244671">
      <w:pPr>
        <w:pStyle w:val="Heading1"/>
      </w:pPr>
      <w:bookmarkStart w:id="3" w:name="_Toc451242681"/>
      <w:r w:rsidRPr="003C6C31">
        <w:t>Background</w:t>
      </w:r>
      <w:bookmarkEnd w:id="3"/>
    </w:p>
    <w:p w:rsidR="00BE6EA8" w:rsidRPr="003C6C31" w:rsidRDefault="00BE6EA8" w:rsidP="00785BBC">
      <w:pPr>
        <w:widowControl/>
        <w:rPr>
          <w:szCs w:val="22"/>
        </w:rPr>
      </w:pPr>
    </w:p>
    <w:p w:rsidR="006E6A9B" w:rsidRDefault="00382E9F" w:rsidP="00785BBC">
      <w:pPr>
        <w:pStyle w:val="ListParagraph"/>
        <w:widowControl/>
        <w:numPr>
          <w:ilvl w:val="1"/>
          <w:numId w:val="7"/>
        </w:numPr>
      </w:pPr>
      <w:r w:rsidRPr="0084009D">
        <w:t>Perampanel received approval by the TGA in May 2014 for the indication of</w:t>
      </w:r>
      <w:r w:rsidR="006E6A9B">
        <w:t>:</w:t>
      </w:r>
    </w:p>
    <w:p w:rsidR="006E6A9B" w:rsidRDefault="00382E9F" w:rsidP="006E6A9B">
      <w:pPr>
        <w:pStyle w:val="ListParagraph"/>
        <w:widowControl/>
        <w:ind w:left="1440" w:firstLine="60"/>
      </w:pPr>
      <w:r w:rsidRPr="0084009D">
        <w:t xml:space="preserve">"adjunctive treatment of partial-onset seizures with or without secondary generalised seizures in patients with epilepsy aged 12 years and older". </w:t>
      </w:r>
    </w:p>
    <w:p w:rsidR="00BE6EA8" w:rsidRDefault="00BE6EA8" w:rsidP="00785BBC">
      <w:pPr>
        <w:pStyle w:val="ListParagraph"/>
        <w:widowControl/>
        <w:rPr>
          <w:szCs w:val="22"/>
        </w:rPr>
      </w:pPr>
    </w:p>
    <w:p w:rsidR="00A17A73" w:rsidRDefault="00A17A73" w:rsidP="00A17A73">
      <w:pPr>
        <w:pStyle w:val="ListParagraph"/>
        <w:widowControl/>
        <w:numPr>
          <w:ilvl w:val="1"/>
          <w:numId w:val="7"/>
        </w:numPr>
      </w:pPr>
      <w:r w:rsidRPr="00382E9F">
        <w:t xml:space="preserve">In </w:t>
      </w:r>
      <w:r w:rsidR="00077D9E">
        <w:t xml:space="preserve">May </w:t>
      </w:r>
      <w:r w:rsidRPr="00382E9F">
        <w:t>2016, the TGA indication for perampanel was extended to include</w:t>
      </w:r>
      <w:r>
        <w:t>:</w:t>
      </w:r>
    </w:p>
    <w:p w:rsidR="00A17A73" w:rsidRPr="00382E9F" w:rsidRDefault="00A17A73" w:rsidP="00A17A73">
      <w:pPr>
        <w:pStyle w:val="ListParagraph"/>
        <w:widowControl/>
        <w:ind w:left="1418"/>
      </w:pPr>
      <w:r>
        <w:t>“</w:t>
      </w:r>
      <w:r w:rsidRPr="00382E9F">
        <w:t>PGTC seizures in adult and adolescent patients from 12 years of age with idiopathic generalised epilepsy.</w:t>
      </w:r>
      <w:r>
        <w:t>”</w:t>
      </w:r>
    </w:p>
    <w:p w:rsidR="00A17A73" w:rsidRPr="003C6C31" w:rsidRDefault="00A17A73" w:rsidP="00785BBC">
      <w:pPr>
        <w:pStyle w:val="ListParagraph"/>
        <w:widowControl/>
        <w:rPr>
          <w:szCs w:val="22"/>
        </w:rPr>
      </w:pPr>
    </w:p>
    <w:p w:rsidR="00BE6EA8" w:rsidRPr="003C6C31" w:rsidRDefault="006E6A9B" w:rsidP="00785BBC">
      <w:pPr>
        <w:pStyle w:val="ListParagraph"/>
        <w:widowControl/>
        <w:numPr>
          <w:ilvl w:val="1"/>
          <w:numId w:val="7"/>
        </w:numPr>
        <w:rPr>
          <w:szCs w:val="22"/>
        </w:rPr>
      </w:pPr>
      <w:r>
        <w:rPr>
          <w:szCs w:val="22"/>
        </w:rPr>
        <w:lastRenderedPageBreak/>
        <w:t>This wa</w:t>
      </w:r>
      <w:r w:rsidR="00BE6EA8" w:rsidRPr="003C6C31">
        <w:rPr>
          <w:szCs w:val="22"/>
        </w:rPr>
        <w:t>s the first submission of perampanel to the PBAC for the treatment of primary generalised ton</w:t>
      </w:r>
      <w:r>
        <w:rPr>
          <w:szCs w:val="22"/>
        </w:rPr>
        <w:t>i</w:t>
      </w:r>
      <w:r w:rsidR="009449F4">
        <w:rPr>
          <w:szCs w:val="22"/>
        </w:rPr>
        <w:t>c-clonic seizures. Perampanel i</w:t>
      </w:r>
      <w:r>
        <w:rPr>
          <w:szCs w:val="22"/>
        </w:rPr>
        <w:t>s</w:t>
      </w:r>
      <w:r w:rsidR="00BE6EA8" w:rsidRPr="003C6C31">
        <w:rPr>
          <w:szCs w:val="22"/>
        </w:rPr>
        <w:t xml:space="preserve"> listed on the </w:t>
      </w:r>
      <w:r w:rsidR="00D16366" w:rsidRPr="003C6C31">
        <w:rPr>
          <w:szCs w:val="22"/>
        </w:rPr>
        <w:t>PBS</w:t>
      </w:r>
      <w:r w:rsidR="00BE6EA8" w:rsidRPr="003C6C31">
        <w:rPr>
          <w:szCs w:val="22"/>
        </w:rPr>
        <w:t xml:space="preserve"> for the treatment of partial onset seizures.</w:t>
      </w:r>
    </w:p>
    <w:p w:rsidR="00343228" w:rsidRPr="003C6C31" w:rsidRDefault="00343228" w:rsidP="00785BBC">
      <w:pPr>
        <w:widowControl/>
      </w:pPr>
    </w:p>
    <w:p w:rsidR="00BE6EA8" w:rsidRPr="003C6C31" w:rsidRDefault="00BE6EA8" w:rsidP="00785BBC">
      <w:pPr>
        <w:widowControl/>
      </w:pPr>
    </w:p>
    <w:p w:rsidR="00BE6EA8" w:rsidRPr="003C6C31" w:rsidRDefault="00BE6EA8" w:rsidP="00244671">
      <w:pPr>
        <w:pStyle w:val="Heading1"/>
      </w:pPr>
      <w:bookmarkStart w:id="4" w:name="_Toc451242682"/>
      <w:r w:rsidRPr="003C6C31">
        <w:t>Clinical place for the proposed therapy</w:t>
      </w:r>
      <w:bookmarkEnd w:id="4"/>
    </w:p>
    <w:p w:rsidR="00BE6EA8" w:rsidRPr="003C6C31" w:rsidRDefault="00BE6EA8" w:rsidP="00785BBC">
      <w:pPr>
        <w:widowControl/>
        <w:rPr>
          <w:szCs w:val="22"/>
        </w:rPr>
      </w:pPr>
    </w:p>
    <w:p w:rsidR="00BE6EA8" w:rsidRPr="003C6C31" w:rsidRDefault="00BE6EA8" w:rsidP="00785BBC">
      <w:pPr>
        <w:pStyle w:val="ListParagraph"/>
        <w:widowControl/>
        <w:numPr>
          <w:ilvl w:val="1"/>
          <w:numId w:val="7"/>
        </w:numPr>
        <w:rPr>
          <w:szCs w:val="22"/>
        </w:rPr>
      </w:pPr>
      <w:r w:rsidRPr="003C6C31">
        <w:rPr>
          <w:lang w:val="en-GB"/>
        </w:rPr>
        <w:t>PGTC seizures are clinically characterised by a sudden onset with an initial tonic phase, in which patients experience generalised muscle contraction and body stiffening, followed by a clonic phase of rhythmic clonic jerking of the face and limbs.</w:t>
      </w:r>
    </w:p>
    <w:p w:rsidR="00BE6EA8" w:rsidRPr="003C6C31" w:rsidRDefault="00BE6EA8" w:rsidP="00785BBC">
      <w:pPr>
        <w:widowControl/>
        <w:rPr>
          <w:szCs w:val="22"/>
        </w:rPr>
      </w:pPr>
    </w:p>
    <w:p w:rsidR="00D16366" w:rsidRPr="003C6C31" w:rsidRDefault="00BE6EA8" w:rsidP="00785BBC">
      <w:pPr>
        <w:pStyle w:val="ListParagraph"/>
        <w:widowControl/>
        <w:numPr>
          <w:ilvl w:val="1"/>
          <w:numId w:val="7"/>
        </w:numPr>
        <w:rPr>
          <w:szCs w:val="22"/>
        </w:rPr>
      </w:pPr>
      <w:r w:rsidRPr="003C6C31">
        <w:rPr>
          <w:lang w:eastAsia="zh-CN"/>
        </w:rPr>
        <w:t xml:space="preserve">Treatment of PGTC seizures is primarily through therapy with AEDs. </w:t>
      </w:r>
      <w:r w:rsidR="00D16366" w:rsidRPr="003C6C31">
        <w:t>The management of epilepsy with multiple AEDs is a complex algorithm, with no clear lines of therapy</w:t>
      </w:r>
      <w:r w:rsidR="006B52AF" w:rsidRPr="003C6C31">
        <w:t xml:space="preserve">. </w:t>
      </w:r>
      <w:r w:rsidR="00D16366" w:rsidRPr="003C6C31">
        <w:t>Following stabilisation on new adjunctive therapy, gradual withdrawal of marginally ineffective drugs from multiple anti-epileptic drug regimens may occur over time.</w:t>
      </w:r>
    </w:p>
    <w:p w:rsidR="006B52AF" w:rsidRPr="003C6C31" w:rsidRDefault="006B52AF" w:rsidP="00785BBC">
      <w:pPr>
        <w:pStyle w:val="ListParagraph"/>
        <w:widowControl/>
        <w:rPr>
          <w:lang w:eastAsia="zh-CN"/>
        </w:rPr>
      </w:pPr>
    </w:p>
    <w:p w:rsidR="001A0ABA" w:rsidRPr="001A0ABA" w:rsidRDefault="00D63BAB" w:rsidP="001A0ABA">
      <w:pPr>
        <w:pStyle w:val="ListParagraph"/>
        <w:widowControl/>
        <w:numPr>
          <w:ilvl w:val="1"/>
          <w:numId w:val="7"/>
        </w:numPr>
        <w:rPr>
          <w:szCs w:val="22"/>
        </w:rPr>
      </w:pPr>
      <w:r>
        <w:rPr>
          <w:lang w:eastAsia="zh-CN"/>
        </w:rPr>
        <w:t xml:space="preserve">The </w:t>
      </w:r>
      <w:r w:rsidR="00954B7F">
        <w:rPr>
          <w:lang w:eastAsia="zh-CN"/>
        </w:rPr>
        <w:t>pre-PBAC Response</w:t>
      </w:r>
      <w:r>
        <w:rPr>
          <w:lang w:eastAsia="zh-CN"/>
        </w:rPr>
        <w:t xml:space="preserve"> proposed that p</w:t>
      </w:r>
      <w:r w:rsidR="00BE6EA8" w:rsidRPr="003C6C31">
        <w:rPr>
          <w:lang w:eastAsia="zh-CN"/>
        </w:rPr>
        <w:t xml:space="preserve">erampanel be used </w:t>
      </w:r>
      <w:r w:rsidR="00954B7F" w:rsidRPr="00A637FE">
        <w:t>in combination with two or more anti-epileptic drugs</w:t>
      </w:r>
      <w:r w:rsidR="00954B7F">
        <w:t xml:space="preserve">, and that patients </w:t>
      </w:r>
      <w:r w:rsidR="00954B7F" w:rsidRPr="005D403D">
        <w:t xml:space="preserve">must have failed to be controlled satisfactorily by </w:t>
      </w:r>
      <w:r w:rsidR="00954B7F">
        <w:t>all available</w:t>
      </w:r>
      <w:r w:rsidR="00954B7F" w:rsidRPr="005D403D">
        <w:t xml:space="preserve"> </w:t>
      </w:r>
      <w:r w:rsidR="00954B7F">
        <w:t xml:space="preserve">and reimbursed </w:t>
      </w:r>
      <w:r w:rsidR="00954B7F" w:rsidRPr="005D403D">
        <w:t>anti-epileptic drug</w:t>
      </w:r>
      <w:r w:rsidR="00954B7F">
        <w:t>s excluding those which are clinically contraindicated/may exacerbate other seizure types co-existing in patients/where adjunctive treatment is likely to significantly worsen tolerability</w:t>
      </w:r>
      <w:r w:rsidR="00BE6EA8" w:rsidRPr="003C6C31">
        <w:rPr>
          <w:lang w:eastAsia="zh-CN"/>
        </w:rPr>
        <w:t xml:space="preserve">. </w:t>
      </w:r>
    </w:p>
    <w:p w:rsidR="001A0ABA" w:rsidRPr="001A0ABA" w:rsidRDefault="001A0ABA" w:rsidP="001A0ABA">
      <w:pPr>
        <w:pStyle w:val="ListParagraph"/>
        <w:rPr>
          <w:szCs w:val="22"/>
        </w:rPr>
      </w:pPr>
    </w:p>
    <w:p w:rsidR="00343228" w:rsidRPr="001A0ABA" w:rsidRDefault="001A0ABA" w:rsidP="00785BBC">
      <w:pPr>
        <w:pStyle w:val="ListParagraph"/>
        <w:widowControl/>
        <w:numPr>
          <w:ilvl w:val="1"/>
          <w:numId w:val="7"/>
        </w:numPr>
        <w:rPr>
          <w:szCs w:val="22"/>
        </w:rPr>
      </w:pPr>
      <w:r>
        <w:rPr>
          <w:szCs w:val="22"/>
        </w:rPr>
        <w:t xml:space="preserve">The PBAC considered </w:t>
      </w:r>
      <w:r w:rsidR="00954B7F">
        <w:rPr>
          <w:szCs w:val="22"/>
        </w:rPr>
        <w:t>that, rather than requiring patients to have failed all available treatments, the most appropriate</w:t>
      </w:r>
      <w:r>
        <w:rPr>
          <w:szCs w:val="22"/>
        </w:rPr>
        <w:t xml:space="preserve"> place in therapy for perampanel was for it to be</w:t>
      </w:r>
      <w:r w:rsidR="0017727D">
        <w:rPr>
          <w:szCs w:val="22"/>
        </w:rPr>
        <w:t xml:space="preserve"> an additional </w:t>
      </w:r>
      <w:r w:rsidR="006F70DE">
        <w:rPr>
          <w:szCs w:val="22"/>
        </w:rPr>
        <w:t xml:space="preserve">option </w:t>
      </w:r>
      <w:r>
        <w:rPr>
          <w:szCs w:val="22"/>
        </w:rPr>
        <w:t>to th</w:t>
      </w:r>
      <w:r w:rsidR="006F70DE">
        <w:rPr>
          <w:szCs w:val="22"/>
        </w:rPr>
        <w:t>ose</w:t>
      </w:r>
      <w:r>
        <w:rPr>
          <w:szCs w:val="22"/>
        </w:rPr>
        <w:t xml:space="preserve"> currently available for the treatment of refractory patients.</w:t>
      </w:r>
    </w:p>
    <w:p w:rsidR="00BE6EA8" w:rsidRDefault="00BE6EA8" w:rsidP="00785BBC">
      <w:pPr>
        <w:pStyle w:val="Header"/>
        <w:widowControl/>
        <w:rPr>
          <w:szCs w:val="22"/>
        </w:rPr>
      </w:pPr>
    </w:p>
    <w:p w:rsidR="00EB66E9" w:rsidRPr="003C6C31" w:rsidRDefault="00EB66E9" w:rsidP="00785BBC">
      <w:pPr>
        <w:pStyle w:val="Header"/>
        <w:widowControl/>
        <w:rPr>
          <w:szCs w:val="22"/>
        </w:rPr>
      </w:pPr>
    </w:p>
    <w:p w:rsidR="00BE6EA8" w:rsidRPr="003C6C31" w:rsidRDefault="00BE6EA8" w:rsidP="00244671">
      <w:pPr>
        <w:pStyle w:val="Heading1"/>
      </w:pPr>
      <w:bookmarkStart w:id="5" w:name="_Toc451242683"/>
      <w:r w:rsidRPr="003C6C31">
        <w:t>Comparator</w:t>
      </w:r>
      <w:bookmarkEnd w:id="5"/>
    </w:p>
    <w:p w:rsidR="00BE6EA8" w:rsidRPr="003C6C31" w:rsidRDefault="00BE6EA8" w:rsidP="00785BBC">
      <w:pPr>
        <w:widowControl/>
      </w:pPr>
    </w:p>
    <w:p w:rsidR="004A1383" w:rsidRPr="003C6C31" w:rsidRDefault="004A1383" w:rsidP="00785BBC">
      <w:pPr>
        <w:pStyle w:val="ListParagraph"/>
        <w:widowControl/>
        <w:numPr>
          <w:ilvl w:val="1"/>
          <w:numId w:val="7"/>
        </w:numPr>
        <w:rPr>
          <w:szCs w:val="22"/>
        </w:rPr>
      </w:pPr>
      <w:r>
        <w:t>T</w:t>
      </w:r>
      <w:r w:rsidRPr="003C6C31">
        <w:t xml:space="preserve">he submission nominated placebo plus standard care as the comparator for perampanel plus standard care. This </w:t>
      </w:r>
      <w:r w:rsidR="004F08BC">
        <w:t>would be</w:t>
      </w:r>
      <w:r w:rsidRPr="003C6C31">
        <w:t xml:space="preserve"> the appropriate comparator only if perampanel </w:t>
      </w:r>
      <w:r w:rsidR="004F08BC">
        <w:t>was</w:t>
      </w:r>
      <w:r w:rsidR="001A0ABA">
        <w:t xml:space="preserve"> used as the</w:t>
      </w:r>
      <w:r w:rsidRPr="003C6C31">
        <w:t xml:space="preserve"> last option add-on to the current regimen in practice.</w:t>
      </w:r>
    </w:p>
    <w:p w:rsidR="004A1383" w:rsidRPr="004A1383" w:rsidRDefault="004A1383" w:rsidP="00785BBC">
      <w:pPr>
        <w:pStyle w:val="ListParagraph"/>
        <w:widowControl/>
        <w:rPr>
          <w:szCs w:val="22"/>
        </w:rPr>
      </w:pPr>
    </w:p>
    <w:p w:rsidR="008415F9" w:rsidRPr="00343228" w:rsidRDefault="00E8028A" w:rsidP="00785BBC">
      <w:pPr>
        <w:pStyle w:val="ListParagraph"/>
        <w:widowControl/>
        <w:numPr>
          <w:ilvl w:val="1"/>
          <w:numId w:val="7"/>
        </w:numPr>
        <w:rPr>
          <w:szCs w:val="22"/>
        </w:rPr>
      </w:pPr>
      <w:r w:rsidRPr="00343228">
        <w:rPr>
          <w:szCs w:val="22"/>
        </w:rPr>
        <w:t xml:space="preserve">The ESC </w:t>
      </w:r>
      <w:r w:rsidRPr="00343228">
        <w:t>agreed with the evaluation that perampanel will substitute for other AEDs, and noted that there are currently numerous medications listed on the PBS for primary tonic-clonic seizures, including sodium valproate, levetiracetam, lamotrigine, topiramate and oxcarbazepine</w:t>
      </w:r>
      <w:r w:rsidR="00E469DE" w:rsidRPr="00343228">
        <w:t>. The</w:t>
      </w:r>
      <w:r w:rsidR="006F70DE">
        <w:t xml:space="preserve"> </w:t>
      </w:r>
      <w:r w:rsidR="00E469DE" w:rsidRPr="00343228">
        <w:t>ESC noted that the comparator for the November 2008 submission for lev</w:t>
      </w:r>
      <w:r w:rsidR="002B127F" w:rsidRPr="00343228">
        <w:t>i</w:t>
      </w:r>
      <w:r w:rsidR="00E469DE" w:rsidRPr="00343228">
        <w:t>tiracetam for primary generalised tonic clonic seizures (and generalised myoclonic seizures) was lamotrigine.</w:t>
      </w:r>
      <w:r w:rsidR="006F70DE">
        <w:t xml:space="preserve"> </w:t>
      </w:r>
    </w:p>
    <w:p w:rsidR="00E469DE" w:rsidRPr="004F08BC" w:rsidRDefault="00E469DE" w:rsidP="004F08BC">
      <w:pPr>
        <w:widowControl/>
        <w:rPr>
          <w:szCs w:val="22"/>
        </w:rPr>
      </w:pPr>
    </w:p>
    <w:p w:rsidR="0084009D" w:rsidRPr="004F08BC" w:rsidRDefault="000A5254" w:rsidP="00785BBC">
      <w:pPr>
        <w:pStyle w:val="ListParagraph"/>
        <w:widowControl/>
        <w:numPr>
          <w:ilvl w:val="1"/>
          <w:numId w:val="7"/>
        </w:numPr>
        <w:rPr>
          <w:szCs w:val="22"/>
        </w:rPr>
      </w:pPr>
      <w:r w:rsidRPr="00343228">
        <w:t>The ESC recommended that further clinical advice be sought from the Epilepsy Society of Australia regarding current clinical practise.</w:t>
      </w:r>
      <w:r w:rsidR="00D63BAB">
        <w:t xml:space="preserve"> Advice was not received prior to the PBAC meeting</w:t>
      </w:r>
      <w:r w:rsidR="004F08BC">
        <w:t>.</w:t>
      </w:r>
    </w:p>
    <w:p w:rsidR="004F08BC" w:rsidRPr="004F08BC" w:rsidRDefault="004F08BC" w:rsidP="004F08BC">
      <w:pPr>
        <w:pStyle w:val="ListParagraph"/>
        <w:rPr>
          <w:szCs w:val="22"/>
        </w:rPr>
      </w:pPr>
    </w:p>
    <w:p w:rsidR="004F08BC" w:rsidRPr="00343228" w:rsidRDefault="004F08BC" w:rsidP="00785BBC">
      <w:pPr>
        <w:pStyle w:val="ListParagraph"/>
        <w:widowControl/>
        <w:numPr>
          <w:ilvl w:val="1"/>
          <w:numId w:val="7"/>
        </w:numPr>
        <w:rPr>
          <w:szCs w:val="22"/>
        </w:rPr>
      </w:pPr>
      <w:r>
        <w:rPr>
          <w:szCs w:val="22"/>
        </w:rPr>
        <w:t xml:space="preserve">Overall, the PBAC considered that the submission’s nomination of placebo plus standard care as the comparator was not </w:t>
      </w:r>
      <w:r w:rsidR="009449F4">
        <w:rPr>
          <w:szCs w:val="22"/>
        </w:rPr>
        <w:t>appropriate</w:t>
      </w:r>
      <w:r>
        <w:rPr>
          <w:szCs w:val="22"/>
        </w:rPr>
        <w:t>. As noted above, the PBAC con</w:t>
      </w:r>
      <w:r w:rsidR="00954B7F">
        <w:rPr>
          <w:szCs w:val="22"/>
        </w:rPr>
        <w:t>sidered that the most appropriate</w:t>
      </w:r>
      <w:r>
        <w:rPr>
          <w:szCs w:val="22"/>
        </w:rPr>
        <w:t xml:space="preserve"> place in clinical therapy for perampanel was as an additional therapeutic option in refractory patients, and that </w:t>
      </w:r>
      <w:r w:rsidR="001A0ABA">
        <w:rPr>
          <w:szCs w:val="22"/>
        </w:rPr>
        <w:t xml:space="preserve">the appropriate comparison was therefore against other therapies currently available for treating this population. </w:t>
      </w:r>
      <w:r w:rsidR="00954B7F">
        <w:rPr>
          <w:szCs w:val="22"/>
        </w:rPr>
        <w:t xml:space="preserve">Based on information from the submission, pre-PBAC Response and clinician hearing, these therapies would include: </w:t>
      </w:r>
      <w:r w:rsidR="00954B7F">
        <w:t xml:space="preserve">valproate, </w:t>
      </w:r>
      <w:r w:rsidR="00954B7F" w:rsidRPr="009B3221">
        <w:t>lamotrigine</w:t>
      </w:r>
      <w:r w:rsidR="00954B7F">
        <w:t>,</w:t>
      </w:r>
      <w:r w:rsidR="00954B7F" w:rsidRPr="009B3221">
        <w:t xml:space="preserve"> </w:t>
      </w:r>
      <w:r w:rsidR="00954B7F">
        <w:t xml:space="preserve">levetiracetam, and </w:t>
      </w:r>
      <w:r w:rsidR="00954B7F" w:rsidRPr="009B3221">
        <w:t>topiramate</w:t>
      </w:r>
      <w:r w:rsidR="00954B7F">
        <w:t>.</w:t>
      </w:r>
    </w:p>
    <w:p w:rsidR="00BE6EA8" w:rsidRDefault="00BE6EA8" w:rsidP="00785BBC">
      <w:pPr>
        <w:widowControl/>
        <w:rPr>
          <w:szCs w:val="22"/>
        </w:rPr>
      </w:pPr>
    </w:p>
    <w:p w:rsidR="00343228" w:rsidRPr="0005234D" w:rsidRDefault="00343228" w:rsidP="00343228">
      <w:pPr>
        <w:ind w:firstLine="720"/>
        <w:rPr>
          <w:bCs/>
          <w:szCs w:val="22"/>
        </w:rPr>
      </w:pPr>
      <w:r w:rsidRPr="00D81BF5">
        <w:rPr>
          <w:bCs/>
          <w:i/>
          <w:szCs w:val="22"/>
        </w:rPr>
        <w:t>For more detail on PBAC’s view, see section 7 “PBAC outcome”</w:t>
      </w:r>
    </w:p>
    <w:p w:rsidR="00343228" w:rsidRDefault="00343228" w:rsidP="00785BBC">
      <w:pPr>
        <w:widowControl/>
        <w:rPr>
          <w:szCs w:val="22"/>
        </w:rPr>
      </w:pPr>
    </w:p>
    <w:p w:rsidR="004A1383" w:rsidRPr="003C6C31" w:rsidRDefault="004A1383" w:rsidP="00785BBC">
      <w:pPr>
        <w:widowControl/>
        <w:rPr>
          <w:szCs w:val="22"/>
        </w:rPr>
      </w:pPr>
    </w:p>
    <w:p w:rsidR="00BE6EA8" w:rsidRPr="003C6C31" w:rsidRDefault="00BE6EA8" w:rsidP="00244671">
      <w:pPr>
        <w:pStyle w:val="Heading1"/>
      </w:pPr>
      <w:bookmarkStart w:id="6" w:name="_Toc451242684"/>
      <w:r w:rsidRPr="003C6C31">
        <w:t>Consideration of the evidence</w:t>
      </w:r>
      <w:bookmarkEnd w:id="6"/>
    </w:p>
    <w:p w:rsidR="00B32AC8" w:rsidRDefault="00B32AC8" w:rsidP="00ED0483">
      <w:pPr>
        <w:keepNext/>
        <w:widowControl/>
      </w:pPr>
    </w:p>
    <w:p w:rsidR="00F2754E" w:rsidRPr="00244671" w:rsidRDefault="00F2754E" w:rsidP="00244671">
      <w:pPr>
        <w:pStyle w:val="Heading2"/>
      </w:pPr>
      <w:r w:rsidRPr="00244671">
        <w:t>Sponsor hearing</w:t>
      </w:r>
    </w:p>
    <w:p w:rsidR="00584D31" w:rsidRPr="00D81BF5" w:rsidRDefault="00584D31" w:rsidP="00ED0483">
      <w:pPr>
        <w:rPr>
          <w:b/>
          <w:bCs/>
          <w:szCs w:val="22"/>
        </w:rPr>
      </w:pPr>
    </w:p>
    <w:p w:rsidR="00F2754E" w:rsidRPr="00420DEB" w:rsidRDefault="00F2754E" w:rsidP="00D63BAB">
      <w:pPr>
        <w:widowControl/>
        <w:numPr>
          <w:ilvl w:val="1"/>
          <w:numId w:val="7"/>
        </w:numPr>
        <w:spacing w:after="120"/>
        <w:rPr>
          <w:bCs/>
          <w:szCs w:val="22"/>
        </w:rPr>
      </w:pPr>
      <w:r w:rsidRPr="00420DEB">
        <w:rPr>
          <w:bCs/>
          <w:szCs w:val="22"/>
        </w:rPr>
        <w:t>The sponsor requested a hearing for this item.</w:t>
      </w:r>
      <w:r w:rsidR="00420DEB">
        <w:rPr>
          <w:bCs/>
          <w:szCs w:val="22"/>
        </w:rPr>
        <w:t xml:space="preserve"> </w:t>
      </w:r>
      <w:r w:rsidRPr="00420DEB">
        <w:rPr>
          <w:bCs/>
          <w:szCs w:val="22"/>
        </w:rPr>
        <w:t xml:space="preserve">The clinician discussed </w:t>
      </w:r>
      <w:r w:rsidR="00ED0483" w:rsidRPr="00420DEB">
        <w:rPr>
          <w:bCs/>
          <w:szCs w:val="22"/>
        </w:rPr>
        <w:t xml:space="preserve">how perampenal would be used in practice, and highlighted the clinical need for treatment options in this patient population </w:t>
      </w:r>
      <w:r w:rsidR="00D63BAB" w:rsidRPr="00420DEB">
        <w:rPr>
          <w:bCs/>
          <w:szCs w:val="22"/>
        </w:rPr>
        <w:t>The hearing focused on the importance of having agents with different profiles available for use in the treatment of patients with epilepsy, and noted that although there are four products that are available and effective in this population, approximately 20%-40% of patients continue to suffer seizures and/or side effects.</w:t>
      </w:r>
      <w:r w:rsidR="00420DEB">
        <w:rPr>
          <w:bCs/>
          <w:szCs w:val="22"/>
        </w:rPr>
        <w:t xml:space="preserve"> </w:t>
      </w:r>
      <w:r w:rsidRPr="00420DEB">
        <w:rPr>
          <w:bCs/>
          <w:szCs w:val="22"/>
        </w:rPr>
        <w:t>The PBAC considered that the hearing was informative as it provided a clinical perspective.</w:t>
      </w:r>
    </w:p>
    <w:p w:rsidR="0045211E" w:rsidRDefault="00A90309" w:rsidP="006D203F">
      <w:pPr>
        <w:rPr>
          <w:b/>
          <w:bCs/>
          <w:szCs w:val="22"/>
        </w:rPr>
      </w:pPr>
      <w:r w:rsidRPr="00D81BF5">
        <w:rPr>
          <w:bCs/>
          <w:szCs w:val="22"/>
        </w:rPr>
        <w:t xml:space="preserve"> </w:t>
      </w:r>
    </w:p>
    <w:p w:rsidR="00F2754E" w:rsidRDefault="00F2754E" w:rsidP="00244671">
      <w:pPr>
        <w:pStyle w:val="Heading2"/>
      </w:pPr>
      <w:r w:rsidRPr="00D81BF5">
        <w:t>Consumer comments</w:t>
      </w:r>
    </w:p>
    <w:p w:rsidR="00584D31" w:rsidRPr="00D81BF5" w:rsidRDefault="00584D31" w:rsidP="00ED0483">
      <w:pPr>
        <w:rPr>
          <w:b/>
          <w:bCs/>
          <w:szCs w:val="22"/>
        </w:rPr>
      </w:pPr>
    </w:p>
    <w:p w:rsidR="00F2754E" w:rsidRPr="00D81BF5" w:rsidRDefault="00F2754E" w:rsidP="00F2754E">
      <w:pPr>
        <w:widowControl/>
        <w:numPr>
          <w:ilvl w:val="1"/>
          <w:numId w:val="7"/>
        </w:numPr>
        <w:spacing w:after="120"/>
        <w:rPr>
          <w:bCs/>
          <w:szCs w:val="22"/>
        </w:rPr>
      </w:pPr>
      <w:r w:rsidRPr="00D81BF5">
        <w:rPr>
          <w:bCs/>
          <w:szCs w:val="22"/>
        </w:rPr>
        <w:t xml:space="preserve">The PBAC noted and welcomed the input from </w:t>
      </w:r>
      <w:r w:rsidR="00A90309" w:rsidRPr="00D81BF5">
        <w:rPr>
          <w:bCs/>
          <w:szCs w:val="22"/>
        </w:rPr>
        <w:t xml:space="preserve">several </w:t>
      </w:r>
      <w:r w:rsidRPr="00D81BF5">
        <w:rPr>
          <w:bCs/>
          <w:szCs w:val="22"/>
        </w:rPr>
        <w:t>organisations (</w:t>
      </w:r>
      <w:r w:rsidR="00A90309" w:rsidRPr="00D81BF5">
        <w:rPr>
          <w:bCs/>
          <w:szCs w:val="22"/>
        </w:rPr>
        <w:t>3</w:t>
      </w:r>
      <w:r w:rsidRPr="00D81BF5">
        <w:rPr>
          <w:bCs/>
          <w:szCs w:val="22"/>
        </w:rPr>
        <w:t>) via the Consumer Comment</w:t>
      </w:r>
      <w:r w:rsidR="00D63BAB" w:rsidRPr="00D81BF5">
        <w:rPr>
          <w:bCs/>
          <w:szCs w:val="22"/>
        </w:rPr>
        <w:t>s facility on the PBS website. The comments described the need for a variety of treatments to be available to patients with epilepsy.</w:t>
      </w:r>
    </w:p>
    <w:p w:rsidR="00F2754E" w:rsidRPr="003C6C31" w:rsidRDefault="00F2754E" w:rsidP="00785BBC">
      <w:pPr>
        <w:keepNext/>
        <w:widowControl/>
      </w:pPr>
    </w:p>
    <w:p w:rsidR="00BE6EA8" w:rsidRPr="003C6C31" w:rsidRDefault="00BE6EA8" w:rsidP="00244671">
      <w:pPr>
        <w:pStyle w:val="Heading2"/>
      </w:pPr>
      <w:bookmarkStart w:id="7" w:name="_Toc451242685"/>
      <w:r w:rsidRPr="003C6C31">
        <w:t>Clinical trials</w:t>
      </w:r>
      <w:bookmarkEnd w:id="7"/>
    </w:p>
    <w:p w:rsidR="00BE6EA8" w:rsidRPr="003C6C31" w:rsidRDefault="00BE6EA8" w:rsidP="00785BBC">
      <w:pPr>
        <w:widowControl/>
        <w:rPr>
          <w:szCs w:val="22"/>
        </w:rPr>
      </w:pPr>
    </w:p>
    <w:p w:rsidR="00BE6EA8" w:rsidRPr="003C6C31" w:rsidRDefault="00BE6EA8" w:rsidP="00785BBC">
      <w:pPr>
        <w:pStyle w:val="ListParagraph"/>
        <w:widowControl/>
        <w:numPr>
          <w:ilvl w:val="1"/>
          <w:numId w:val="7"/>
        </w:numPr>
        <w:rPr>
          <w:szCs w:val="22"/>
        </w:rPr>
      </w:pPr>
      <w:r w:rsidRPr="003C6C31">
        <w:t>The submission was based on one head-to-head trial (E2007-G000-332</w:t>
      </w:r>
      <w:r w:rsidRPr="006B24A1">
        <w:t xml:space="preserve">, referred </w:t>
      </w:r>
      <w:r w:rsidR="008415F9" w:rsidRPr="006B24A1">
        <w:t xml:space="preserve">to </w:t>
      </w:r>
      <w:r w:rsidRPr="006B24A1">
        <w:t>as Trial 332 in the Commentary) comparing peram</w:t>
      </w:r>
      <w:r w:rsidRPr="003C6C31">
        <w:t>panel plus standard care to placebo plus standard care (n=</w:t>
      </w:r>
      <w:r w:rsidR="008415F9" w:rsidRPr="003C6C31">
        <w:t>164</w:t>
      </w:r>
      <w:r w:rsidRPr="003C6C31">
        <w:t>).</w:t>
      </w:r>
      <w:r w:rsidRPr="003C6C31">
        <w:rPr>
          <w:color w:val="3366FF"/>
        </w:rPr>
        <w:t xml:space="preserve"> </w:t>
      </w:r>
    </w:p>
    <w:p w:rsidR="00BE6EA8" w:rsidRPr="003C6C31" w:rsidRDefault="00BE6EA8" w:rsidP="00785BBC">
      <w:pPr>
        <w:widowControl/>
        <w:rPr>
          <w:szCs w:val="22"/>
        </w:rPr>
      </w:pPr>
    </w:p>
    <w:p w:rsidR="00BE6EA8" w:rsidRPr="003C6C31" w:rsidRDefault="00BE6EA8" w:rsidP="00785BBC">
      <w:pPr>
        <w:pStyle w:val="ListParagraph"/>
        <w:widowControl/>
        <w:numPr>
          <w:ilvl w:val="1"/>
          <w:numId w:val="7"/>
        </w:numPr>
        <w:rPr>
          <w:szCs w:val="22"/>
        </w:rPr>
      </w:pPr>
      <w:r w:rsidRPr="003C6C31">
        <w:rPr>
          <w:szCs w:val="22"/>
        </w:rPr>
        <w:t xml:space="preserve">Details of the trial presented in the submission are provided in the table below. </w:t>
      </w:r>
    </w:p>
    <w:p w:rsidR="00BE6EA8" w:rsidRPr="003C6C31" w:rsidRDefault="00BE6EA8" w:rsidP="00785BBC">
      <w:pPr>
        <w:widowControl/>
        <w:rPr>
          <w:szCs w:val="22"/>
        </w:rPr>
      </w:pPr>
    </w:p>
    <w:p w:rsidR="00BE6EA8" w:rsidRPr="003C6C31" w:rsidRDefault="00BE6EA8" w:rsidP="00785BBC">
      <w:pPr>
        <w:pStyle w:val="TableHeader"/>
        <w:widowControl/>
        <w:ind w:firstLine="720"/>
      </w:pPr>
      <w:r w:rsidRPr="003C6C31">
        <w:t>Table 1: Trial and associated reports presented in the submission</w:t>
      </w:r>
    </w:p>
    <w:tbl>
      <w:tblPr>
        <w:tblW w:w="4615" w:type="pct"/>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28"/>
        <w:gridCol w:w="3977"/>
        <w:gridCol w:w="3278"/>
      </w:tblGrid>
      <w:tr w:rsidR="00BE6EA8" w:rsidRPr="003C6C31" w:rsidTr="00BE6EA8">
        <w:tc>
          <w:tcPr>
            <w:tcW w:w="673" w:type="pct"/>
          </w:tcPr>
          <w:p w:rsidR="00BE6EA8" w:rsidRPr="003C6C31" w:rsidRDefault="00BE6EA8" w:rsidP="00785BBC">
            <w:pPr>
              <w:widowControl/>
              <w:jc w:val="left"/>
              <w:rPr>
                <w:rFonts w:ascii="Arial Narrow" w:hAnsi="Arial Narrow"/>
                <w:b/>
                <w:sz w:val="20"/>
              </w:rPr>
            </w:pPr>
            <w:r w:rsidRPr="003C6C31">
              <w:rPr>
                <w:rFonts w:ascii="Arial Narrow" w:hAnsi="Arial Narrow"/>
                <w:b/>
                <w:sz w:val="20"/>
              </w:rPr>
              <w:t>Trial ID</w:t>
            </w:r>
          </w:p>
        </w:tc>
        <w:tc>
          <w:tcPr>
            <w:tcW w:w="2372" w:type="pct"/>
          </w:tcPr>
          <w:p w:rsidR="00BE6EA8" w:rsidRPr="003C6C31" w:rsidRDefault="00BE6EA8" w:rsidP="00785BBC">
            <w:pPr>
              <w:widowControl/>
              <w:jc w:val="center"/>
              <w:rPr>
                <w:rFonts w:ascii="Arial Narrow" w:hAnsi="Arial Narrow"/>
                <w:b/>
                <w:sz w:val="20"/>
              </w:rPr>
            </w:pPr>
            <w:r w:rsidRPr="003C6C31">
              <w:rPr>
                <w:rFonts w:ascii="Arial Narrow" w:hAnsi="Arial Narrow"/>
                <w:b/>
                <w:sz w:val="20"/>
              </w:rPr>
              <w:t>Protocol title/ Publication title</w:t>
            </w:r>
          </w:p>
        </w:tc>
        <w:tc>
          <w:tcPr>
            <w:tcW w:w="1955" w:type="pct"/>
          </w:tcPr>
          <w:p w:rsidR="00BE6EA8" w:rsidRPr="003C6C31" w:rsidRDefault="00BE6EA8" w:rsidP="00785BBC">
            <w:pPr>
              <w:widowControl/>
              <w:jc w:val="center"/>
              <w:rPr>
                <w:rFonts w:ascii="Arial Narrow" w:hAnsi="Arial Narrow"/>
                <w:b/>
                <w:sz w:val="20"/>
              </w:rPr>
            </w:pPr>
            <w:r w:rsidRPr="003C6C31">
              <w:rPr>
                <w:rFonts w:ascii="Arial Narrow" w:hAnsi="Arial Narrow"/>
                <w:b/>
                <w:sz w:val="20"/>
              </w:rPr>
              <w:t>Publication citation</w:t>
            </w:r>
          </w:p>
        </w:tc>
      </w:tr>
      <w:tr w:rsidR="00BE6EA8" w:rsidRPr="003C6C31" w:rsidTr="00BE6EA8">
        <w:tc>
          <w:tcPr>
            <w:tcW w:w="5000" w:type="pct"/>
            <w:gridSpan w:val="3"/>
          </w:tcPr>
          <w:p w:rsidR="00BE6EA8" w:rsidRPr="003C6C31" w:rsidRDefault="00BE6EA8" w:rsidP="00785BBC">
            <w:pPr>
              <w:widowControl/>
              <w:jc w:val="left"/>
              <w:rPr>
                <w:rFonts w:ascii="Arial Narrow" w:hAnsi="Arial Narrow"/>
                <w:b/>
                <w:sz w:val="20"/>
              </w:rPr>
            </w:pPr>
            <w:r w:rsidRPr="003C6C31">
              <w:rPr>
                <w:rFonts w:ascii="Arial Narrow" w:hAnsi="Arial Narrow"/>
                <w:b/>
                <w:sz w:val="20"/>
              </w:rPr>
              <w:t>Direct randomised trial</w:t>
            </w:r>
          </w:p>
        </w:tc>
      </w:tr>
      <w:tr w:rsidR="00244671" w:rsidRPr="003C6C31" w:rsidTr="00244671">
        <w:trPr>
          <w:trHeight w:val="788"/>
        </w:trPr>
        <w:tc>
          <w:tcPr>
            <w:tcW w:w="673" w:type="pct"/>
            <w:vMerge w:val="restart"/>
          </w:tcPr>
          <w:p w:rsidR="00244671" w:rsidRPr="003C6C31" w:rsidRDefault="00244671" w:rsidP="00785BBC">
            <w:pPr>
              <w:widowControl/>
              <w:jc w:val="left"/>
              <w:rPr>
                <w:rFonts w:ascii="Arial Narrow" w:hAnsi="Arial Narrow"/>
                <w:sz w:val="20"/>
              </w:rPr>
            </w:pPr>
            <w:r w:rsidRPr="003C6C31">
              <w:rPr>
                <w:rFonts w:ascii="Arial Narrow" w:hAnsi="Arial Narrow"/>
                <w:sz w:val="20"/>
              </w:rPr>
              <w:t>Trial 332</w:t>
            </w:r>
          </w:p>
        </w:tc>
        <w:tc>
          <w:tcPr>
            <w:tcW w:w="2372" w:type="pct"/>
          </w:tcPr>
          <w:p w:rsidR="00244671" w:rsidRDefault="00244671" w:rsidP="00785BBC">
            <w:pPr>
              <w:widowControl/>
              <w:spacing w:before="40" w:after="40"/>
              <w:jc w:val="left"/>
              <w:rPr>
                <w:rFonts w:ascii="Arial Narrow" w:hAnsi="Arial Narrow"/>
                <w:sz w:val="20"/>
              </w:rPr>
            </w:pPr>
            <w:r w:rsidRPr="003C6C31">
              <w:rPr>
                <w:rFonts w:ascii="Arial Narrow" w:hAnsi="Arial Narrow"/>
                <w:sz w:val="20"/>
              </w:rPr>
              <w:t xml:space="preserve">A Double-Blind, Randomized, Placebo-Controlled, Multicenter, Parallel-Group Study with an Open-Label Extension Phase to Evaluate the Efficacy and Safety of Adjunctive Perampanel in Primary Generalized Tonic-Clonic Seizures. </w:t>
            </w:r>
          </w:p>
          <w:p w:rsidR="00875B5D" w:rsidRPr="003C6C31" w:rsidRDefault="00875B5D" w:rsidP="00785BBC">
            <w:pPr>
              <w:widowControl/>
              <w:spacing w:before="40" w:after="40"/>
              <w:jc w:val="left"/>
              <w:rPr>
                <w:rFonts w:ascii="Arial Narrow" w:hAnsi="Arial Narrow"/>
                <w:sz w:val="20"/>
              </w:rPr>
            </w:pPr>
          </w:p>
        </w:tc>
        <w:tc>
          <w:tcPr>
            <w:tcW w:w="1955" w:type="pct"/>
          </w:tcPr>
          <w:p w:rsidR="00875B5D" w:rsidRPr="00875B5D" w:rsidRDefault="00244671" w:rsidP="00785BBC">
            <w:pPr>
              <w:widowControl/>
              <w:jc w:val="left"/>
              <w:rPr>
                <w:rFonts w:ascii="Arial Narrow" w:hAnsi="Arial Narrow"/>
                <w:sz w:val="20"/>
              </w:rPr>
            </w:pPr>
            <w:r w:rsidRPr="003C6C31">
              <w:rPr>
                <w:rFonts w:ascii="Arial Narrow" w:hAnsi="Arial Narrow"/>
                <w:sz w:val="20"/>
              </w:rPr>
              <w:t>July 2014</w:t>
            </w:r>
          </w:p>
        </w:tc>
      </w:tr>
      <w:tr w:rsidR="00244671" w:rsidRPr="003C6C31" w:rsidTr="00C76D2A">
        <w:trPr>
          <w:trHeight w:val="788"/>
        </w:trPr>
        <w:tc>
          <w:tcPr>
            <w:tcW w:w="673" w:type="pct"/>
            <w:vMerge/>
          </w:tcPr>
          <w:p w:rsidR="00244671" w:rsidRPr="003C6C31" w:rsidRDefault="00244671" w:rsidP="00785BBC">
            <w:pPr>
              <w:widowControl/>
              <w:jc w:val="left"/>
              <w:rPr>
                <w:rFonts w:ascii="Arial Narrow" w:hAnsi="Arial Narrow"/>
                <w:sz w:val="20"/>
              </w:rPr>
            </w:pPr>
          </w:p>
        </w:tc>
        <w:tc>
          <w:tcPr>
            <w:tcW w:w="2372" w:type="pct"/>
          </w:tcPr>
          <w:p w:rsidR="00244671" w:rsidRDefault="00244671" w:rsidP="00244671">
            <w:pPr>
              <w:widowControl/>
              <w:spacing w:before="40" w:after="40"/>
              <w:jc w:val="left"/>
              <w:rPr>
                <w:rFonts w:ascii="Arial Narrow" w:hAnsi="Arial Narrow"/>
                <w:sz w:val="20"/>
              </w:rPr>
            </w:pPr>
            <w:r w:rsidRPr="003C6C31">
              <w:rPr>
                <w:rFonts w:ascii="Arial Narrow" w:hAnsi="Arial Narrow"/>
                <w:sz w:val="20"/>
              </w:rPr>
              <w:t xml:space="preserve">French JA et.  al.  Perampanel for tonic-clonic seizures in idiopathic generalized epilepsy: a randomized trial. </w:t>
            </w:r>
          </w:p>
          <w:p w:rsidR="00875B5D" w:rsidRPr="003C6C31" w:rsidRDefault="00875B5D" w:rsidP="00244671">
            <w:pPr>
              <w:widowControl/>
              <w:spacing w:before="40" w:after="40"/>
              <w:jc w:val="left"/>
              <w:rPr>
                <w:rFonts w:ascii="Arial Narrow" w:hAnsi="Arial Narrow"/>
                <w:sz w:val="20"/>
              </w:rPr>
            </w:pPr>
          </w:p>
        </w:tc>
        <w:tc>
          <w:tcPr>
            <w:tcW w:w="1955" w:type="pct"/>
          </w:tcPr>
          <w:p w:rsidR="00875B5D" w:rsidRPr="003C6C31" w:rsidRDefault="00875B5D" w:rsidP="00875B5D">
            <w:pPr>
              <w:widowControl/>
              <w:jc w:val="left"/>
              <w:rPr>
                <w:rFonts w:ascii="Arial Narrow" w:hAnsi="Arial Narrow"/>
                <w:sz w:val="20"/>
              </w:rPr>
            </w:pPr>
            <w:r w:rsidRPr="003C6C31">
              <w:rPr>
                <w:rFonts w:ascii="Arial Narrow" w:hAnsi="Arial Narrow"/>
                <w:sz w:val="20"/>
              </w:rPr>
              <w:t>Neurology 2015; 85:1-8</w:t>
            </w:r>
          </w:p>
          <w:p w:rsidR="00244671" w:rsidRPr="00875B5D" w:rsidRDefault="00244671" w:rsidP="00875B5D">
            <w:pPr>
              <w:rPr>
                <w:rFonts w:ascii="Arial Narrow" w:hAnsi="Arial Narrow"/>
                <w:sz w:val="20"/>
              </w:rPr>
            </w:pPr>
          </w:p>
        </w:tc>
      </w:tr>
      <w:tr w:rsidR="00244671" w:rsidRPr="003C6C31" w:rsidTr="00C76D2A">
        <w:trPr>
          <w:trHeight w:val="788"/>
        </w:trPr>
        <w:tc>
          <w:tcPr>
            <w:tcW w:w="673" w:type="pct"/>
            <w:vMerge/>
          </w:tcPr>
          <w:p w:rsidR="00244671" w:rsidRPr="003C6C31" w:rsidRDefault="00244671" w:rsidP="00785BBC">
            <w:pPr>
              <w:widowControl/>
              <w:jc w:val="left"/>
              <w:rPr>
                <w:rFonts w:ascii="Arial Narrow" w:hAnsi="Arial Narrow"/>
                <w:sz w:val="20"/>
              </w:rPr>
            </w:pPr>
          </w:p>
        </w:tc>
        <w:tc>
          <w:tcPr>
            <w:tcW w:w="2372" w:type="pct"/>
          </w:tcPr>
          <w:p w:rsidR="00244671" w:rsidRPr="003C6C31" w:rsidRDefault="00244671" w:rsidP="00244671">
            <w:pPr>
              <w:widowControl/>
              <w:spacing w:before="40" w:after="40"/>
              <w:jc w:val="left"/>
              <w:rPr>
                <w:rFonts w:ascii="Arial Narrow" w:hAnsi="Arial Narrow"/>
                <w:sz w:val="20"/>
              </w:rPr>
            </w:pPr>
            <w:r w:rsidRPr="003C6C31">
              <w:rPr>
                <w:rFonts w:ascii="Arial Narrow" w:hAnsi="Arial Narrow"/>
                <w:sz w:val="20"/>
              </w:rPr>
              <w:t xml:space="preserve">French JA et.  al.  Adjunctive perampanel for the treatment of drug-resistant primary generalized tonic-clonic (PGTC) seizures in patients with idiopathic generalized epilepsy (IGE): A double-blind randomized placebo-controlled phase III trial. </w:t>
            </w:r>
          </w:p>
          <w:p w:rsidR="00244671" w:rsidRPr="003C6C31" w:rsidRDefault="00244671" w:rsidP="00244671">
            <w:pPr>
              <w:widowControl/>
              <w:spacing w:before="40" w:after="40"/>
              <w:jc w:val="left"/>
              <w:rPr>
                <w:rFonts w:ascii="Arial Narrow" w:hAnsi="Arial Narrow"/>
                <w:sz w:val="20"/>
              </w:rPr>
            </w:pPr>
          </w:p>
        </w:tc>
        <w:tc>
          <w:tcPr>
            <w:tcW w:w="1955" w:type="pct"/>
          </w:tcPr>
          <w:p w:rsidR="00244671" w:rsidRPr="003C6C31" w:rsidRDefault="00875B5D" w:rsidP="00875B5D">
            <w:pPr>
              <w:widowControl/>
              <w:spacing w:before="40" w:after="40"/>
              <w:jc w:val="left"/>
              <w:rPr>
                <w:rFonts w:ascii="Arial Narrow" w:hAnsi="Arial Narrow"/>
                <w:sz w:val="20"/>
              </w:rPr>
            </w:pPr>
            <w:r w:rsidRPr="003C6C31">
              <w:rPr>
                <w:rFonts w:ascii="Arial Narrow" w:hAnsi="Arial Narrow"/>
                <w:sz w:val="20"/>
              </w:rPr>
              <w:t>Neurology 2015; 84 (14):S31.007</w:t>
            </w:r>
          </w:p>
        </w:tc>
      </w:tr>
      <w:tr w:rsidR="00244671" w:rsidRPr="003C6C31" w:rsidTr="00C76D2A">
        <w:trPr>
          <w:trHeight w:val="788"/>
        </w:trPr>
        <w:tc>
          <w:tcPr>
            <w:tcW w:w="673" w:type="pct"/>
            <w:vMerge/>
          </w:tcPr>
          <w:p w:rsidR="00244671" w:rsidRPr="003C6C31" w:rsidRDefault="00244671" w:rsidP="00785BBC">
            <w:pPr>
              <w:widowControl/>
              <w:jc w:val="left"/>
              <w:rPr>
                <w:rFonts w:ascii="Arial Narrow" w:hAnsi="Arial Narrow"/>
                <w:sz w:val="20"/>
              </w:rPr>
            </w:pPr>
          </w:p>
        </w:tc>
        <w:tc>
          <w:tcPr>
            <w:tcW w:w="2372" w:type="pct"/>
          </w:tcPr>
          <w:p w:rsidR="00875B5D" w:rsidRPr="003C6C31" w:rsidRDefault="00875B5D" w:rsidP="00875B5D">
            <w:pPr>
              <w:widowControl/>
              <w:spacing w:before="40" w:after="40"/>
              <w:jc w:val="left"/>
              <w:rPr>
                <w:rFonts w:ascii="Arial Narrow" w:hAnsi="Arial Narrow"/>
                <w:sz w:val="20"/>
              </w:rPr>
            </w:pPr>
            <w:r w:rsidRPr="003C6C31">
              <w:rPr>
                <w:rFonts w:ascii="Arial Narrow" w:hAnsi="Arial Narrow"/>
                <w:sz w:val="20"/>
              </w:rPr>
              <w:t xml:space="preserve">French JA et al.  Adjunctive perampanel (PER) for treatment of drug-resistant primary generalized tonic-clonic (PGTC) seizures in patients (PTS) with idiopathic generalized epilepsy (IGE): A double-blind, randomized, placebo-controlled phase III trial. </w:t>
            </w:r>
          </w:p>
          <w:p w:rsidR="00244671" w:rsidRPr="003C6C31" w:rsidRDefault="00244671" w:rsidP="00875B5D">
            <w:pPr>
              <w:widowControl/>
              <w:spacing w:before="40" w:after="40"/>
              <w:jc w:val="left"/>
              <w:rPr>
                <w:rFonts w:ascii="Arial Narrow" w:hAnsi="Arial Narrow"/>
                <w:sz w:val="20"/>
              </w:rPr>
            </w:pPr>
          </w:p>
        </w:tc>
        <w:tc>
          <w:tcPr>
            <w:tcW w:w="1955" w:type="pct"/>
          </w:tcPr>
          <w:p w:rsidR="00875B5D" w:rsidRPr="003C6C31" w:rsidRDefault="00875B5D" w:rsidP="00875B5D">
            <w:pPr>
              <w:widowControl/>
              <w:spacing w:before="40" w:after="40"/>
              <w:jc w:val="left"/>
              <w:rPr>
                <w:rFonts w:ascii="Arial Narrow" w:hAnsi="Arial Narrow"/>
                <w:sz w:val="20"/>
              </w:rPr>
            </w:pPr>
            <w:r w:rsidRPr="003C6C31">
              <w:rPr>
                <w:rFonts w:ascii="Arial Narrow" w:hAnsi="Arial Narrow"/>
                <w:sz w:val="20"/>
              </w:rPr>
              <w:t>Epilepsy Currents 2015; 85:367</w:t>
            </w:r>
          </w:p>
          <w:p w:rsidR="00244671" w:rsidRPr="003C6C31" w:rsidRDefault="00244671" w:rsidP="00785BBC">
            <w:pPr>
              <w:widowControl/>
              <w:jc w:val="left"/>
              <w:rPr>
                <w:rFonts w:ascii="Arial Narrow" w:hAnsi="Arial Narrow"/>
                <w:sz w:val="20"/>
              </w:rPr>
            </w:pPr>
          </w:p>
        </w:tc>
      </w:tr>
      <w:tr w:rsidR="00244671" w:rsidRPr="003C6C31" w:rsidTr="00C76D2A">
        <w:trPr>
          <w:trHeight w:val="788"/>
        </w:trPr>
        <w:tc>
          <w:tcPr>
            <w:tcW w:w="673" w:type="pct"/>
            <w:vMerge/>
          </w:tcPr>
          <w:p w:rsidR="00244671" w:rsidRPr="003C6C31" w:rsidRDefault="00244671" w:rsidP="00785BBC">
            <w:pPr>
              <w:widowControl/>
              <w:jc w:val="left"/>
              <w:rPr>
                <w:rFonts w:ascii="Arial Narrow" w:hAnsi="Arial Narrow"/>
                <w:sz w:val="20"/>
              </w:rPr>
            </w:pPr>
          </w:p>
        </w:tc>
        <w:tc>
          <w:tcPr>
            <w:tcW w:w="2372" w:type="pct"/>
          </w:tcPr>
          <w:p w:rsidR="00244671" w:rsidRPr="003C6C31" w:rsidRDefault="00875B5D" w:rsidP="00785BBC">
            <w:pPr>
              <w:widowControl/>
              <w:spacing w:before="40" w:after="40"/>
              <w:jc w:val="left"/>
              <w:rPr>
                <w:rFonts w:ascii="Arial Narrow" w:hAnsi="Arial Narrow"/>
                <w:sz w:val="20"/>
              </w:rPr>
            </w:pPr>
            <w:r w:rsidRPr="003C6C31">
              <w:rPr>
                <w:rFonts w:ascii="Arial Narrow" w:hAnsi="Arial Narrow"/>
                <w:sz w:val="20"/>
              </w:rPr>
              <w:t xml:space="preserve">Steinhoff BJ et al.  Efficacy of adjunctive perampanel in idiopathic generalised epilepsy patients with drug-resistant primary generalised tonic-clonic seizures by age, sex, race: A double-blind PBO-controlled phase 3 trial.  </w:t>
            </w:r>
          </w:p>
        </w:tc>
        <w:tc>
          <w:tcPr>
            <w:tcW w:w="1955" w:type="pct"/>
          </w:tcPr>
          <w:p w:rsidR="00244671" w:rsidRPr="003C6C31" w:rsidRDefault="00875B5D" w:rsidP="00785BBC">
            <w:pPr>
              <w:widowControl/>
              <w:jc w:val="left"/>
              <w:rPr>
                <w:rFonts w:ascii="Arial Narrow" w:hAnsi="Arial Narrow"/>
                <w:sz w:val="20"/>
              </w:rPr>
            </w:pPr>
            <w:r w:rsidRPr="003C6C31">
              <w:rPr>
                <w:rFonts w:ascii="Arial Narrow" w:hAnsi="Arial Narrow"/>
                <w:sz w:val="20"/>
              </w:rPr>
              <w:t>European Journal of Neurology 2015; 22:64-65</w:t>
            </w:r>
          </w:p>
        </w:tc>
      </w:tr>
    </w:tbl>
    <w:p w:rsidR="00BE6EA8" w:rsidRPr="003C6C31" w:rsidRDefault="00BE6EA8" w:rsidP="00785BBC">
      <w:pPr>
        <w:pStyle w:val="TableFooter"/>
        <w:widowControl/>
        <w:ind w:firstLine="720"/>
      </w:pPr>
      <w:r w:rsidRPr="003C6C31">
        <w:t>PBO = placebo</w:t>
      </w:r>
    </w:p>
    <w:p w:rsidR="00BE6EA8" w:rsidRPr="003C6C31" w:rsidRDefault="00BE6EA8" w:rsidP="00785BBC">
      <w:pPr>
        <w:pStyle w:val="TableFooter"/>
        <w:widowControl/>
        <w:ind w:firstLine="720"/>
        <w:rPr>
          <w:szCs w:val="22"/>
        </w:rPr>
      </w:pPr>
      <w:r w:rsidRPr="006B24A1">
        <w:t>Source: Table B.2.2, p28 of the submission</w:t>
      </w:r>
    </w:p>
    <w:p w:rsidR="00BE6EA8" w:rsidRPr="003C6C31" w:rsidRDefault="00BE6EA8" w:rsidP="00785BBC">
      <w:pPr>
        <w:widowControl/>
        <w:rPr>
          <w:szCs w:val="22"/>
        </w:rPr>
      </w:pPr>
    </w:p>
    <w:p w:rsidR="00BE6EA8" w:rsidRPr="003C6C31" w:rsidRDefault="00BE6EA8" w:rsidP="00785BBC">
      <w:pPr>
        <w:pStyle w:val="ListParagraph"/>
        <w:widowControl/>
        <w:numPr>
          <w:ilvl w:val="1"/>
          <w:numId w:val="7"/>
        </w:numPr>
        <w:rPr>
          <w:szCs w:val="22"/>
        </w:rPr>
      </w:pPr>
      <w:r w:rsidRPr="003C6C31">
        <w:rPr>
          <w:szCs w:val="22"/>
        </w:rPr>
        <w:t xml:space="preserve">The key features of the direct randomised trial are summarised in the table below. </w:t>
      </w:r>
    </w:p>
    <w:p w:rsidR="00BE6EA8" w:rsidRPr="003C6C31" w:rsidRDefault="00BE6EA8" w:rsidP="00785BBC">
      <w:pPr>
        <w:widowControl/>
        <w:rPr>
          <w:szCs w:val="22"/>
        </w:rPr>
      </w:pPr>
    </w:p>
    <w:p w:rsidR="00F82CB0" w:rsidRPr="003C6C31" w:rsidRDefault="00F82CB0" w:rsidP="00785BBC">
      <w:pPr>
        <w:pStyle w:val="TableHeader"/>
        <w:keepNext/>
        <w:widowControl/>
        <w:ind w:firstLine="720"/>
      </w:pPr>
      <w:r w:rsidRPr="003C6C31">
        <w:t>Table 2: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24"/>
        <w:gridCol w:w="427"/>
        <w:gridCol w:w="1000"/>
        <w:gridCol w:w="571"/>
        <w:gridCol w:w="1000"/>
        <w:gridCol w:w="2777"/>
        <w:gridCol w:w="1746"/>
      </w:tblGrid>
      <w:tr w:rsidR="00F82CB0" w:rsidRPr="003C6C31" w:rsidTr="004C20F5">
        <w:tc>
          <w:tcPr>
            <w:tcW w:w="494" w:type="pct"/>
            <w:shd w:val="clear" w:color="auto" w:fill="auto"/>
            <w:vAlign w:val="center"/>
          </w:tcPr>
          <w:p w:rsidR="00F82CB0" w:rsidRPr="003C6C31" w:rsidRDefault="00F82CB0" w:rsidP="00785BBC">
            <w:pPr>
              <w:keepNext/>
              <w:widowControl/>
              <w:jc w:val="left"/>
              <w:rPr>
                <w:rFonts w:ascii="Arial Narrow" w:hAnsi="Arial Narrow"/>
                <w:b/>
                <w:sz w:val="20"/>
                <w:lang w:val="en-US"/>
              </w:rPr>
            </w:pPr>
            <w:r w:rsidRPr="003C6C31">
              <w:rPr>
                <w:rFonts w:ascii="Arial Narrow" w:hAnsi="Arial Narrow"/>
                <w:b/>
                <w:sz w:val="20"/>
                <w:lang w:val="en-US"/>
              </w:rPr>
              <w:t>Trial</w:t>
            </w:r>
          </w:p>
        </w:tc>
        <w:tc>
          <w:tcPr>
            <w:tcW w:w="256" w:type="pct"/>
            <w:shd w:val="clear" w:color="auto" w:fill="auto"/>
            <w:vAlign w:val="center"/>
          </w:tcPr>
          <w:p w:rsidR="00F82CB0" w:rsidRPr="003C6C31" w:rsidRDefault="00F82CB0" w:rsidP="00785BBC">
            <w:pPr>
              <w:keepNext/>
              <w:widowControl/>
              <w:jc w:val="center"/>
              <w:rPr>
                <w:rFonts w:ascii="Arial Narrow" w:hAnsi="Arial Narrow"/>
                <w:b/>
                <w:sz w:val="20"/>
                <w:lang w:val="en-US"/>
              </w:rPr>
            </w:pPr>
            <w:r w:rsidRPr="003C6C31">
              <w:rPr>
                <w:rFonts w:ascii="Arial Narrow" w:hAnsi="Arial Narrow"/>
                <w:b/>
                <w:sz w:val="20"/>
                <w:lang w:val="en-US"/>
              </w:rPr>
              <w:t>N</w:t>
            </w:r>
          </w:p>
        </w:tc>
        <w:tc>
          <w:tcPr>
            <w:tcW w:w="599" w:type="pct"/>
            <w:shd w:val="clear" w:color="auto" w:fill="auto"/>
            <w:vAlign w:val="center"/>
          </w:tcPr>
          <w:p w:rsidR="00F82CB0" w:rsidRPr="003C6C31" w:rsidRDefault="00F82CB0" w:rsidP="00785BBC">
            <w:pPr>
              <w:keepNext/>
              <w:widowControl/>
              <w:jc w:val="center"/>
              <w:rPr>
                <w:rFonts w:ascii="Arial Narrow" w:hAnsi="Arial Narrow"/>
                <w:b/>
                <w:sz w:val="20"/>
                <w:lang w:val="en-US"/>
              </w:rPr>
            </w:pPr>
            <w:r w:rsidRPr="003C6C31">
              <w:rPr>
                <w:rFonts w:ascii="Arial Narrow" w:hAnsi="Arial Narrow"/>
                <w:b/>
                <w:sz w:val="20"/>
                <w:lang w:val="en-US"/>
              </w:rPr>
              <w:t>Design/ duration</w:t>
            </w:r>
          </w:p>
        </w:tc>
        <w:tc>
          <w:tcPr>
            <w:tcW w:w="342" w:type="pct"/>
            <w:shd w:val="clear" w:color="auto" w:fill="auto"/>
            <w:vAlign w:val="center"/>
          </w:tcPr>
          <w:p w:rsidR="00F82CB0" w:rsidRPr="003C6C31" w:rsidRDefault="00F82CB0" w:rsidP="00785BBC">
            <w:pPr>
              <w:keepNext/>
              <w:widowControl/>
              <w:jc w:val="center"/>
              <w:rPr>
                <w:rFonts w:ascii="Arial Narrow" w:hAnsi="Arial Narrow"/>
                <w:b/>
                <w:sz w:val="20"/>
                <w:lang w:val="en-US"/>
              </w:rPr>
            </w:pPr>
            <w:r w:rsidRPr="003C6C31">
              <w:rPr>
                <w:rFonts w:ascii="Arial Narrow" w:hAnsi="Arial Narrow"/>
                <w:b/>
                <w:sz w:val="20"/>
                <w:lang w:val="en-US"/>
              </w:rPr>
              <w:t>Risk of bias</w:t>
            </w:r>
          </w:p>
        </w:tc>
        <w:tc>
          <w:tcPr>
            <w:tcW w:w="599" w:type="pct"/>
            <w:shd w:val="clear" w:color="auto" w:fill="auto"/>
            <w:vAlign w:val="center"/>
          </w:tcPr>
          <w:p w:rsidR="00F82CB0" w:rsidRPr="003C6C31" w:rsidRDefault="00F82CB0" w:rsidP="00785BBC">
            <w:pPr>
              <w:keepNext/>
              <w:widowControl/>
              <w:jc w:val="center"/>
              <w:rPr>
                <w:rFonts w:ascii="Arial Narrow" w:hAnsi="Arial Narrow"/>
                <w:b/>
                <w:sz w:val="20"/>
                <w:lang w:val="en-US"/>
              </w:rPr>
            </w:pPr>
            <w:r w:rsidRPr="003C6C31">
              <w:rPr>
                <w:rFonts w:ascii="Arial Narrow" w:hAnsi="Arial Narrow"/>
                <w:b/>
                <w:sz w:val="20"/>
                <w:lang w:val="en-US"/>
              </w:rPr>
              <w:t>Patient population</w:t>
            </w:r>
          </w:p>
        </w:tc>
        <w:tc>
          <w:tcPr>
            <w:tcW w:w="1664" w:type="pct"/>
            <w:shd w:val="clear" w:color="auto" w:fill="auto"/>
            <w:vAlign w:val="center"/>
          </w:tcPr>
          <w:p w:rsidR="00F82CB0" w:rsidRPr="003C6C31" w:rsidRDefault="002F45A8" w:rsidP="00785BBC">
            <w:pPr>
              <w:keepNext/>
              <w:widowControl/>
              <w:jc w:val="center"/>
              <w:rPr>
                <w:rFonts w:ascii="Arial Narrow" w:hAnsi="Arial Narrow"/>
                <w:b/>
                <w:sz w:val="20"/>
                <w:lang w:val="en-US"/>
              </w:rPr>
            </w:pPr>
            <w:r w:rsidRPr="003C6C31">
              <w:rPr>
                <w:rFonts w:ascii="Arial Narrow" w:hAnsi="Arial Narrow"/>
                <w:b/>
                <w:sz w:val="20"/>
                <w:lang w:val="en-US"/>
              </w:rPr>
              <w:t>Outcomes</w:t>
            </w:r>
            <w:r w:rsidRPr="003C6C31">
              <w:rPr>
                <w:rFonts w:ascii="Arial Narrow" w:hAnsi="Arial Narrow"/>
                <w:b/>
                <w:sz w:val="20"/>
                <w:vertAlign w:val="superscript"/>
                <w:lang w:val="en-US"/>
              </w:rPr>
              <w:t>a</w:t>
            </w:r>
          </w:p>
        </w:tc>
        <w:tc>
          <w:tcPr>
            <w:tcW w:w="1046" w:type="pct"/>
            <w:shd w:val="clear" w:color="auto" w:fill="auto"/>
            <w:vAlign w:val="center"/>
          </w:tcPr>
          <w:p w:rsidR="00F82CB0" w:rsidRPr="003C6C31" w:rsidRDefault="00F82CB0" w:rsidP="00785BBC">
            <w:pPr>
              <w:keepNext/>
              <w:widowControl/>
              <w:jc w:val="center"/>
              <w:rPr>
                <w:rFonts w:ascii="Arial Narrow" w:hAnsi="Arial Narrow"/>
                <w:b/>
                <w:sz w:val="20"/>
                <w:lang w:val="en-US"/>
              </w:rPr>
            </w:pPr>
            <w:r w:rsidRPr="003C6C31">
              <w:rPr>
                <w:rFonts w:ascii="Arial Narrow" w:hAnsi="Arial Narrow"/>
                <w:b/>
                <w:sz w:val="20"/>
                <w:lang w:val="en-US"/>
              </w:rPr>
              <w:t>Use in modelled evaluation</w:t>
            </w:r>
          </w:p>
        </w:tc>
      </w:tr>
      <w:tr w:rsidR="00F82CB0" w:rsidRPr="003C6C31" w:rsidTr="004C20F5">
        <w:tc>
          <w:tcPr>
            <w:tcW w:w="5000" w:type="pct"/>
            <w:gridSpan w:val="7"/>
            <w:shd w:val="clear" w:color="auto" w:fill="auto"/>
            <w:vAlign w:val="center"/>
          </w:tcPr>
          <w:p w:rsidR="00F82CB0" w:rsidRPr="003C6C31" w:rsidRDefault="00F82CB0" w:rsidP="00785BBC">
            <w:pPr>
              <w:keepNext/>
              <w:widowControl/>
              <w:jc w:val="left"/>
              <w:rPr>
                <w:rFonts w:ascii="Arial Narrow" w:hAnsi="Arial Narrow"/>
                <w:b/>
                <w:sz w:val="20"/>
                <w:lang w:val="en-US"/>
              </w:rPr>
            </w:pPr>
            <w:r w:rsidRPr="003C6C31">
              <w:rPr>
                <w:rFonts w:ascii="Arial Narrow" w:hAnsi="Arial Narrow"/>
                <w:b/>
                <w:sz w:val="20"/>
                <w:lang w:val="en-US"/>
              </w:rPr>
              <w:t>Perampanel plus standard care versus placebo plus standard care</w:t>
            </w:r>
          </w:p>
        </w:tc>
      </w:tr>
      <w:tr w:rsidR="00F82CB0" w:rsidRPr="003C6C31" w:rsidTr="004C20F5">
        <w:tc>
          <w:tcPr>
            <w:tcW w:w="494" w:type="pct"/>
            <w:shd w:val="clear" w:color="auto" w:fill="auto"/>
            <w:vAlign w:val="center"/>
          </w:tcPr>
          <w:p w:rsidR="00F82CB0" w:rsidRPr="003C6C31" w:rsidRDefault="00F82CB0" w:rsidP="00785BBC">
            <w:pPr>
              <w:keepNext/>
              <w:widowControl/>
              <w:jc w:val="left"/>
              <w:rPr>
                <w:rFonts w:ascii="Arial Narrow" w:hAnsi="Arial Narrow"/>
                <w:sz w:val="20"/>
                <w:lang w:val="en-US"/>
              </w:rPr>
            </w:pPr>
            <w:r w:rsidRPr="003C6C31">
              <w:rPr>
                <w:rFonts w:ascii="Arial Narrow" w:hAnsi="Arial Narrow"/>
                <w:sz w:val="20"/>
                <w:lang w:val="en-US"/>
              </w:rPr>
              <w:t>Trial 332</w:t>
            </w:r>
          </w:p>
        </w:tc>
        <w:tc>
          <w:tcPr>
            <w:tcW w:w="256" w:type="pct"/>
            <w:shd w:val="clear" w:color="auto" w:fill="auto"/>
            <w:vAlign w:val="center"/>
          </w:tcPr>
          <w:p w:rsidR="00F82CB0" w:rsidRPr="003C6C31" w:rsidRDefault="002F45A8" w:rsidP="00785BBC">
            <w:pPr>
              <w:keepNext/>
              <w:widowControl/>
              <w:jc w:val="center"/>
              <w:rPr>
                <w:rFonts w:ascii="Arial Narrow" w:hAnsi="Arial Narrow"/>
                <w:sz w:val="20"/>
                <w:lang w:val="en-US"/>
              </w:rPr>
            </w:pPr>
            <w:r w:rsidRPr="003C6C31">
              <w:rPr>
                <w:rFonts w:ascii="Arial Narrow" w:hAnsi="Arial Narrow"/>
                <w:sz w:val="20"/>
                <w:lang w:val="en-US"/>
              </w:rPr>
              <w:t>164</w:t>
            </w:r>
            <w:r w:rsidRPr="003C6C31">
              <w:rPr>
                <w:rFonts w:ascii="Arial Narrow" w:hAnsi="Arial Narrow"/>
                <w:sz w:val="20"/>
                <w:vertAlign w:val="superscript"/>
                <w:lang w:val="en-US"/>
              </w:rPr>
              <w:t>b</w:t>
            </w:r>
          </w:p>
        </w:tc>
        <w:tc>
          <w:tcPr>
            <w:tcW w:w="599" w:type="pct"/>
            <w:shd w:val="clear" w:color="auto" w:fill="auto"/>
            <w:vAlign w:val="center"/>
          </w:tcPr>
          <w:p w:rsidR="00F82CB0" w:rsidRPr="003C6C31" w:rsidRDefault="00F82CB0" w:rsidP="00785BBC">
            <w:pPr>
              <w:keepNext/>
              <w:widowControl/>
              <w:jc w:val="center"/>
              <w:rPr>
                <w:rFonts w:ascii="Arial Narrow" w:hAnsi="Arial Narrow"/>
                <w:sz w:val="20"/>
                <w:lang w:val="en-US"/>
              </w:rPr>
            </w:pPr>
            <w:r w:rsidRPr="003C6C31">
              <w:rPr>
                <w:rFonts w:ascii="Arial Narrow" w:hAnsi="Arial Narrow"/>
                <w:sz w:val="20"/>
                <w:lang w:val="en-US"/>
              </w:rPr>
              <w:t>R, DB, MC</w:t>
            </w:r>
          </w:p>
          <w:p w:rsidR="00F82CB0" w:rsidRPr="003C6C31" w:rsidRDefault="00F82CB0" w:rsidP="00785BBC">
            <w:pPr>
              <w:keepNext/>
              <w:widowControl/>
              <w:jc w:val="center"/>
              <w:rPr>
                <w:rFonts w:ascii="Arial Narrow" w:hAnsi="Arial Narrow"/>
                <w:sz w:val="20"/>
                <w:lang w:val="en-US"/>
              </w:rPr>
            </w:pPr>
            <w:r w:rsidRPr="003C6C31">
              <w:rPr>
                <w:rFonts w:ascii="Arial Narrow" w:hAnsi="Arial Narrow"/>
                <w:sz w:val="20"/>
                <w:lang w:val="en-US"/>
              </w:rPr>
              <w:t>17 weeks’ treatment</w:t>
            </w:r>
            <w:r w:rsidR="002F45A8" w:rsidRPr="003C6C31">
              <w:rPr>
                <w:rFonts w:ascii="Arial Narrow" w:hAnsi="Arial Narrow"/>
                <w:sz w:val="20"/>
                <w:vertAlign w:val="superscript"/>
                <w:lang w:val="en-US"/>
              </w:rPr>
              <w:t>c</w:t>
            </w:r>
            <w:r w:rsidRPr="003C6C31">
              <w:rPr>
                <w:rFonts w:ascii="Arial Narrow" w:hAnsi="Arial Narrow"/>
                <w:sz w:val="20"/>
                <w:vertAlign w:val="superscript"/>
                <w:lang w:val="en-US"/>
              </w:rPr>
              <w:t xml:space="preserve"> </w:t>
            </w:r>
          </w:p>
        </w:tc>
        <w:tc>
          <w:tcPr>
            <w:tcW w:w="342" w:type="pct"/>
            <w:shd w:val="clear" w:color="auto" w:fill="auto"/>
            <w:vAlign w:val="center"/>
          </w:tcPr>
          <w:p w:rsidR="00F82CB0" w:rsidRPr="003C6C31" w:rsidRDefault="00F82CB0" w:rsidP="00785BBC">
            <w:pPr>
              <w:keepNext/>
              <w:widowControl/>
              <w:jc w:val="center"/>
              <w:rPr>
                <w:rFonts w:ascii="Arial Narrow" w:hAnsi="Arial Narrow"/>
                <w:sz w:val="20"/>
                <w:lang w:val="en-US"/>
              </w:rPr>
            </w:pPr>
            <w:r w:rsidRPr="003C6C31">
              <w:rPr>
                <w:rFonts w:ascii="Arial Narrow" w:hAnsi="Arial Narrow"/>
                <w:sz w:val="20"/>
                <w:lang w:val="en-US"/>
              </w:rPr>
              <w:t>Low</w:t>
            </w:r>
          </w:p>
        </w:tc>
        <w:tc>
          <w:tcPr>
            <w:tcW w:w="599" w:type="pct"/>
            <w:shd w:val="clear" w:color="auto" w:fill="auto"/>
            <w:vAlign w:val="center"/>
          </w:tcPr>
          <w:p w:rsidR="00F82CB0" w:rsidRPr="003C6C31" w:rsidRDefault="00F82CB0" w:rsidP="00785BBC">
            <w:pPr>
              <w:keepNext/>
              <w:widowControl/>
              <w:jc w:val="left"/>
              <w:rPr>
                <w:rFonts w:ascii="Arial Narrow" w:hAnsi="Arial Narrow"/>
                <w:sz w:val="20"/>
                <w:lang w:val="en-US"/>
              </w:rPr>
            </w:pPr>
            <w:r w:rsidRPr="003C6C31">
              <w:rPr>
                <w:rFonts w:ascii="Arial Narrow" w:hAnsi="Arial Narrow"/>
                <w:sz w:val="20"/>
              </w:rPr>
              <w:t>IGE patients with refractory PGTC seizures</w:t>
            </w:r>
          </w:p>
        </w:tc>
        <w:tc>
          <w:tcPr>
            <w:tcW w:w="1664" w:type="pct"/>
            <w:shd w:val="clear" w:color="auto" w:fill="auto"/>
            <w:vAlign w:val="center"/>
          </w:tcPr>
          <w:p w:rsidR="00F82CB0" w:rsidRPr="003C6C31" w:rsidRDefault="00F82CB0" w:rsidP="00785BBC">
            <w:pPr>
              <w:keepNext/>
              <w:widowControl/>
              <w:jc w:val="left"/>
              <w:rPr>
                <w:rFonts w:ascii="Arial Narrow" w:hAnsi="Arial Narrow"/>
                <w:sz w:val="20"/>
              </w:rPr>
            </w:pPr>
            <w:r w:rsidRPr="003C6C31">
              <w:rPr>
                <w:rFonts w:ascii="Arial Narrow" w:hAnsi="Arial Narrow"/>
                <w:sz w:val="20"/>
              </w:rPr>
              <w:t>1) Percent change from baseline in PGTC seizure frequency per 28 days during treatment;</w:t>
            </w:r>
          </w:p>
          <w:p w:rsidR="00F82CB0" w:rsidRPr="003C6C31" w:rsidRDefault="008415F9" w:rsidP="00785BBC">
            <w:pPr>
              <w:keepNext/>
              <w:widowControl/>
              <w:jc w:val="left"/>
              <w:rPr>
                <w:rFonts w:ascii="Arial Narrow" w:hAnsi="Arial Narrow"/>
                <w:sz w:val="20"/>
                <w:lang w:val="en-US"/>
              </w:rPr>
            </w:pPr>
            <w:r w:rsidRPr="003C6C31">
              <w:rPr>
                <w:rFonts w:ascii="Arial Narrow" w:hAnsi="Arial Narrow"/>
                <w:sz w:val="20"/>
                <w:lang w:val="en-US"/>
              </w:rPr>
              <w:t>2) P</w:t>
            </w:r>
            <w:r w:rsidR="00F82CB0" w:rsidRPr="003C6C31">
              <w:rPr>
                <w:rFonts w:ascii="Arial Narrow" w:hAnsi="Arial Narrow"/>
                <w:sz w:val="20"/>
                <w:lang w:val="en-US"/>
              </w:rPr>
              <w:t>ercentage of subjects experiencing a 50% or greater reduction in PGTC seizure frequency in the Maintenance Period relative to baseline (50% PGTC seizure responder rate)</w:t>
            </w:r>
          </w:p>
        </w:tc>
        <w:tc>
          <w:tcPr>
            <w:tcW w:w="1046" w:type="pct"/>
            <w:shd w:val="clear" w:color="auto" w:fill="auto"/>
            <w:vAlign w:val="center"/>
          </w:tcPr>
          <w:p w:rsidR="00F82CB0" w:rsidRPr="003C6C31" w:rsidRDefault="00763542" w:rsidP="00785BBC">
            <w:pPr>
              <w:keepNext/>
              <w:widowControl/>
              <w:jc w:val="left"/>
              <w:rPr>
                <w:rFonts w:ascii="Arial Narrow" w:hAnsi="Arial Narrow"/>
                <w:sz w:val="20"/>
                <w:lang w:val="en-US"/>
              </w:rPr>
            </w:pPr>
            <w:r w:rsidRPr="003C6C31">
              <w:rPr>
                <w:rFonts w:ascii="Arial Narrow" w:hAnsi="Arial Narrow"/>
                <w:sz w:val="20"/>
                <w:lang w:val="en-US"/>
              </w:rPr>
              <w:t>The proportion of patients in each response category (seizure increase, &lt;50% seizure reduction, 50-74% seizure reduction, 75-99% seizure reduction or seizure free) in terms of PGTC seizures was used in the model</w:t>
            </w:r>
          </w:p>
        </w:tc>
      </w:tr>
    </w:tbl>
    <w:p w:rsidR="002F45A8" w:rsidRPr="003C6C31" w:rsidRDefault="002F45A8" w:rsidP="00785BBC">
      <w:pPr>
        <w:pStyle w:val="TableFooter"/>
        <w:widowControl/>
        <w:ind w:left="851" w:hanging="131"/>
        <w:rPr>
          <w:szCs w:val="18"/>
        </w:rPr>
      </w:pPr>
      <w:r w:rsidRPr="003C6C31">
        <w:rPr>
          <w:szCs w:val="18"/>
          <w:vertAlign w:val="superscript"/>
        </w:rPr>
        <w:t>a</w:t>
      </w:r>
      <w:r w:rsidRPr="003C6C31">
        <w:rPr>
          <w:szCs w:val="18"/>
        </w:rPr>
        <w:t xml:space="preserve"> For missing data, the last observation carried forward (LOCF) method was used to impute data. </w:t>
      </w:r>
    </w:p>
    <w:p w:rsidR="00F82CB0" w:rsidRPr="003C6C31" w:rsidRDefault="002F45A8" w:rsidP="00785BBC">
      <w:pPr>
        <w:pStyle w:val="TableFooter"/>
        <w:widowControl/>
        <w:ind w:left="851" w:hanging="131"/>
        <w:rPr>
          <w:szCs w:val="18"/>
        </w:rPr>
      </w:pPr>
      <w:r w:rsidRPr="003C6C31">
        <w:rPr>
          <w:szCs w:val="18"/>
          <w:vertAlign w:val="superscript"/>
        </w:rPr>
        <w:t>b</w:t>
      </w:r>
      <w:r w:rsidR="00F82CB0" w:rsidRPr="003C6C31">
        <w:rPr>
          <w:szCs w:val="18"/>
        </w:rPr>
        <w:t xml:space="preserve"> A total of 164 patients were randomised. 2 randomised patients were subsequently excluded from the full analysis set: 1 patient in the perampanel arm did not receive treatment and 1 patient in the placebo arm did not have any post-baseline seizure data.</w:t>
      </w:r>
    </w:p>
    <w:p w:rsidR="003516CD" w:rsidRPr="003C6C31" w:rsidRDefault="002F45A8" w:rsidP="00785BBC">
      <w:pPr>
        <w:pStyle w:val="TableFooter"/>
        <w:widowControl/>
        <w:ind w:left="851" w:hanging="131"/>
        <w:rPr>
          <w:szCs w:val="18"/>
        </w:rPr>
      </w:pPr>
      <w:r w:rsidRPr="003C6C31">
        <w:rPr>
          <w:szCs w:val="18"/>
          <w:vertAlign w:val="superscript"/>
        </w:rPr>
        <w:t xml:space="preserve">c </w:t>
      </w:r>
      <w:r w:rsidR="003516CD" w:rsidRPr="003C6C31">
        <w:rPr>
          <w:szCs w:val="18"/>
        </w:rPr>
        <w:t>Comparative effectiveness data presented in the submission was collected during the 17-week treatment period. The CSR stated that the safety outcomes were collected up to 30 days after the last dose of treatment.</w:t>
      </w:r>
    </w:p>
    <w:p w:rsidR="005077DD" w:rsidRPr="003C6C31" w:rsidRDefault="005077DD" w:rsidP="00785BBC">
      <w:pPr>
        <w:pStyle w:val="TableFooter"/>
        <w:widowControl/>
        <w:ind w:left="720"/>
        <w:rPr>
          <w:szCs w:val="18"/>
        </w:rPr>
      </w:pPr>
      <w:r w:rsidRPr="003C6C31">
        <w:rPr>
          <w:szCs w:val="18"/>
        </w:rPr>
        <w:t>DB=double blind; MC=multi-centre; R=randomised; IGE = i</w:t>
      </w:r>
      <w:r w:rsidRPr="003C6C31">
        <w:rPr>
          <w:szCs w:val="18"/>
          <w:lang w:val="en-US"/>
        </w:rPr>
        <w:t xml:space="preserve">diopathic </w:t>
      </w:r>
      <w:r w:rsidRPr="003C6C31">
        <w:rPr>
          <w:szCs w:val="18"/>
        </w:rPr>
        <w:t>generalised epilepsy; PGTC = primary generalised tonic-clonic</w:t>
      </w:r>
    </w:p>
    <w:p w:rsidR="00F82CB0" w:rsidRPr="003C6C31" w:rsidRDefault="00F82CB0" w:rsidP="00785BBC">
      <w:pPr>
        <w:pStyle w:val="TableFooter"/>
        <w:widowControl/>
        <w:ind w:left="851" w:hanging="131"/>
        <w:rPr>
          <w:szCs w:val="18"/>
        </w:rPr>
      </w:pPr>
      <w:r w:rsidRPr="003C6C31">
        <w:rPr>
          <w:szCs w:val="18"/>
        </w:rPr>
        <w:t>Source: compiled during the evaluation</w:t>
      </w:r>
    </w:p>
    <w:p w:rsidR="00BE6EA8" w:rsidRPr="003C6C31" w:rsidRDefault="00BE6EA8" w:rsidP="00785BBC">
      <w:pPr>
        <w:widowControl/>
        <w:rPr>
          <w:lang w:eastAsia="zh-CN"/>
        </w:rPr>
      </w:pPr>
    </w:p>
    <w:p w:rsidR="002F592C" w:rsidRPr="003C6C31" w:rsidRDefault="002F592C" w:rsidP="00785BBC">
      <w:pPr>
        <w:pStyle w:val="ListParagraph"/>
        <w:widowControl/>
        <w:numPr>
          <w:ilvl w:val="1"/>
          <w:numId w:val="7"/>
        </w:numPr>
      </w:pPr>
      <w:r w:rsidRPr="003C6C31">
        <w:t xml:space="preserve">The measures undertaken by investigators to minimise bias in Trial 332 appear reasonable in terms of blinding of trial participants/outcome assessors and </w:t>
      </w:r>
      <w:r w:rsidR="008415F9" w:rsidRPr="003C6C31">
        <w:t>use of a centralised</w:t>
      </w:r>
      <w:r w:rsidRPr="003C6C31">
        <w:t xml:space="preserve"> randomisation procedure. However, there were some apparent differences </w:t>
      </w:r>
      <w:r w:rsidR="008415F9" w:rsidRPr="003C6C31">
        <w:t xml:space="preserve">in baseline characteristics </w:t>
      </w:r>
      <w:r w:rsidRPr="003C6C31">
        <w:t xml:space="preserve">between the perampanel and placebo </w:t>
      </w:r>
      <w:r w:rsidR="00225981" w:rsidRPr="003C6C31">
        <w:t xml:space="preserve">treatment </w:t>
      </w:r>
      <w:r w:rsidRPr="003C6C31">
        <w:t>arms</w:t>
      </w:r>
      <w:r w:rsidR="00DC2449" w:rsidRPr="003C6C31">
        <w:t>, all of which had the potential to introduce confounding</w:t>
      </w:r>
      <w:r w:rsidRPr="003C6C31">
        <w:t>:</w:t>
      </w:r>
    </w:p>
    <w:p w:rsidR="008C27EE" w:rsidRPr="003C6C31" w:rsidRDefault="002F592C" w:rsidP="00785BBC">
      <w:pPr>
        <w:pStyle w:val="ListParagraph"/>
        <w:widowControl/>
        <w:numPr>
          <w:ilvl w:val="0"/>
          <w:numId w:val="15"/>
        </w:numPr>
      </w:pPr>
      <w:r w:rsidRPr="003C6C31">
        <w:rPr>
          <w:szCs w:val="22"/>
        </w:rPr>
        <w:t xml:space="preserve">There was a higher proportion of patients on inducer AEDs (enzyme-inducing) in the placebo arm compared to the perampanel arm (22% vs. 11%). It is well established that inducer AEDs </w:t>
      </w:r>
      <w:r w:rsidR="009B1FC8" w:rsidRPr="003C6C31">
        <w:rPr>
          <w:szCs w:val="22"/>
        </w:rPr>
        <w:t xml:space="preserve">may </w:t>
      </w:r>
      <w:r w:rsidRPr="003C6C31">
        <w:rPr>
          <w:szCs w:val="22"/>
        </w:rPr>
        <w:t xml:space="preserve">shorten the duration of action of other </w:t>
      </w:r>
      <w:r w:rsidR="009B1FC8" w:rsidRPr="003C6C31">
        <w:rPr>
          <w:szCs w:val="22"/>
        </w:rPr>
        <w:t xml:space="preserve">co-administered </w:t>
      </w:r>
      <w:r w:rsidRPr="003C6C31">
        <w:rPr>
          <w:szCs w:val="22"/>
        </w:rPr>
        <w:t>AEDs</w:t>
      </w:r>
      <w:r w:rsidR="009B1FC8" w:rsidRPr="003C6C31">
        <w:rPr>
          <w:szCs w:val="22"/>
        </w:rPr>
        <w:t>,</w:t>
      </w:r>
      <w:r w:rsidRPr="003C6C31">
        <w:rPr>
          <w:szCs w:val="22"/>
        </w:rPr>
        <w:t xml:space="preserve"> thus reducing their effectiveness</w:t>
      </w:r>
      <w:r w:rsidRPr="003C6C31">
        <w:rPr>
          <w:szCs w:val="22"/>
          <w:vertAlign w:val="superscript"/>
        </w:rPr>
        <w:footnoteReference w:id="2"/>
      </w:r>
      <w:r w:rsidRPr="003C6C31">
        <w:rPr>
          <w:szCs w:val="22"/>
        </w:rPr>
        <w:t xml:space="preserve">. </w:t>
      </w:r>
    </w:p>
    <w:p w:rsidR="00BE6EA8" w:rsidRPr="003C6C31" w:rsidRDefault="002F592C" w:rsidP="00785BBC">
      <w:pPr>
        <w:pStyle w:val="ListParagraph"/>
        <w:widowControl/>
        <w:numPr>
          <w:ilvl w:val="0"/>
          <w:numId w:val="15"/>
        </w:numPr>
      </w:pPr>
      <w:r w:rsidRPr="003C6C31">
        <w:rPr>
          <w:szCs w:val="22"/>
        </w:rPr>
        <w:t>There was also more frequent use of topiramate and levetiracetam in the perampanel arm and zonisamide in the placebo arm. The impact of any potential confounding remains unclear without logistic regression analyses of responder rates adjusting for these imbalances.</w:t>
      </w:r>
    </w:p>
    <w:p w:rsidR="004F1F3D" w:rsidRPr="003C6C31" w:rsidRDefault="004F1F3D" w:rsidP="00785BBC">
      <w:pPr>
        <w:widowControl/>
        <w:ind w:left="720"/>
      </w:pPr>
    </w:p>
    <w:p w:rsidR="00A774A1" w:rsidRPr="006F70DE" w:rsidRDefault="00A774A1" w:rsidP="00A774A1">
      <w:pPr>
        <w:pStyle w:val="ListParagraph"/>
        <w:widowControl/>
        <w:numPr>
          <w:ilvl w:val="1"/>
          <w:numId w:val="7"/>
        </w:numPr>
      </w:pPr>
      <w:r w:rsidRPr="003C6C31">
        <w:rPr>
          <w:lang w:eastAsia="zh-CN"/>
        </w:rPr>
        <w:t xml:space="preserve">The trial population </w:t>
      </w:r>
      <w:r>
        <w:rPr>
          <w:lang w:eastAsia="zh-CN"/>
        </w:rPr>
        <w:t>wa</w:t>
      </w:r>
      <w:r w:rsidRPr="003C6C31">
        <w:rPr>
          <w:lang w:eastAsia="zh-CN"/>
        </w:rPr>
        <w:t>s not representative of the population for whom</w:t>
      </w:r>
      <w:r>
        <w:rPr>
          <w:lang w:eastAsia="zh-CN"/>
        </w:rPr>
        <w:t xml:space="preserve"> the PBS listing of perampanel wa</w:t>
      </w:r>
      <w:r w:rsidRPr="003C6C31">
        <w:rPr>
          <w:lang w:eastAsia="zh-CN"/>
        </w:rPr>
        <w:t>s sought</w:t>
      </w:r>
      <w:r>
        <w:rPr>
          <w:lang w:eastAsia="zh-CN"/>
        </w:rPr>
        <w:t xml:space="preserve">. </w:t>
      </w:r>
      <w:r w:rsidRPr="003C6C31">
        <w:t>The proposed PBS listing require</w:t>
      </w:r>
      <w:r>
        <w:t>d</w:t>
      </w:r>
      <w:r w:rsidRPr="003C6C31">
        <w:t xml:space="preserve"> that patients </w:t>
      </w:r>
      <w:r>
        <w:t>had</w:t>
      </w:r>
      <w:r w:rsidRPr="003C6C31">
        <w:t xml:space="preserve"> failed a</w:t>
      </w:r>
      <w:r>
        <w:t>t least three AEDs before they we</w:t>
      </w:r>
      <w:r w:rsidRPr="003C6C31">
        <w:t>re eligible for perampanel and perampanel should be initiated in combination with at least two AEDs. However, over 30% of patients in both trial arms were only on one AED at baseline</w:t>
      </w:r>
      <w:r>
        <w:t xml:space="preserve">. In addition, the requested listing requires patients to have failed at least three AEDs (including at least one first-line and two second adjunctive AEDs). Trial 332 only reported prior use of AEDs within 30 days before the baseline period. Therefore, whether the trial population fulfilled the PBS eligibility criterion regarding prior AED use cannot be reliably assessed. </w:t>
      </w:r>
    </w:p>
    <w:p w:rsidR="00BE6EA8" w:rsidRPr="003C6C31" w:rsidRDefault="00BE6EA8" w:rsidP="006F70DE">
      <w:pPr>
        <w:widowControl/>
      </w:pPr>
    </w:p>
    <w:p w:rsidR="006F70DE" w:rsidRDefault="006F70DE" w:rsidP="006F70DE">
      <w:pPr>
        <w:pStyle w:val="ListParagraph"/>
        <w:widowControl/>
        <w:numPr>
          <w:ilvl w:val="1"/>
          <w:numId w:val="7"/>
        </w:numPr>
      </w:pPr>
      <w:r w:rsidRPr="006F70DE">
        <w:t xml:space="preserve">The </w:t>
      </w:r>
      <w:r>
        <w:t xml:space="preserve">PBAC agreed with the </w:t>
      </w:r>
      <w:r w:rsidRPr="006F70DE">
        <w:t xml:space="preserve">ESC that the Trial 332 population did not match the suggested PBS population. The trial did not aim to recruit a refractory patient population with only ≥3 seizures required over an 8 week period on a fixed dose of at least one AED for 30 days. Overall, 33.7% of participant had received only one </w:t>
      </w:r>
      <w:r w:rsidR="00E54CE2">
        <w:t>AED</w:t>
      </w:r>
      <w:r w:rsidRPr="006F70DE">
        <w:t xml:space="preserve"> prior to entering the trial. The high proportion of ‘50% responders’ in the placebo arm of the trial further suggests the patient population was not refractory.</w:t>
      </w:r>
    </w:p>
    <w:p w:rsidR="006F70DE" w:rsidRDefault="006F70DE" w:rsidP="006F70DE">
      <w:pPr>
        <w:pStyle w:val="ListParagraph"/>
        <w:widowControl/>
      </w:pPr>
    </w:p>
    <w:p w:rsidR="00213373" w:rsidRPr="003C6C31" w:rsidRDefault="00213373" w:rsidP="006F70DE">
      <w:pPr>
        <w:pStyle w:val="ListParagraph"/>
        <w:widowControl/>
        <w:numPr>
          <w:ilvl w:val="1"/>
          <w:numId w:val="7"/>
        </w:numPr>
      </w:pPr>
      <w:r w:rsidRPr="003C6C31">
        <w:t>The primary analysis was the percent change from baseline in PGTC seizure frequency per 28 days during treatment (Titration and Maintenance Periods combined), except for the purpose</w:t>
      </w:r>
      <w:r w:rsidR="005077DD" w:rsidRPr="003C6C31">
        <w:t>s</w:t>
      </w:r>
      <w:r w:rsidRPr="003C6C31">
        <w:t xml:space="preserve"> of European Union (EU) registration. The primary analysis for the purpose of European Union (EU) registration was the 50% responder rate (≥50% reduction from baseline) in PGTC seizure frequency during the Maintenance Phase. Similar analyses were conducted for myoclonic</w:t>
      </w:r>
      <w:r w:rsidR="0099269F" w:rsidRPr="003C6C31">
        <w:t xml:space="preserve"> seizures, </w:t>
      </w:r>
      <w:r w:rsidRPr="003C6C31">
        <w:t xml:space="preserve">absence </w:t>
      </w:r>
      <w:r w:rsidR="0099269F" w:rsidRPr="003C6C31">
        <w:t xml:space="preserve">seizures and all </w:t>
      </w:r>
      <w:r w:rsidR="00DC2449" w:rsidRPr="003C6C31">
        <w:t xml:space="preserve">types of </w:t>
      </w:r>
      <w:r w:rsidR="0099269F" w:rsidRPr="003C6C31">
        <w:t>seizure</w:t>
      </w:r>
      <w:r w:rsidR="00DC2449" w:rsidRPr="003C6C31">
        <w:t>s</w:t>
      </w:r>
      <w:r w:rsidR="0099269F" w:rsidRPr="003C6C31">
        <w:t>.</w:t>
      </w:r>
    </w:p>
    <w:p w:rsidR="0099269F" w:rsidRPr="003C6C31" w:rsidRDefault="0099269F" w:rsidP="00785BBC">
      <w:pPr>
        <w:pStyle w:val="ListParagraph"/>
        <w:widowControl/>
      </w:pPr>
    </w:p>
    <w:p w:rsidR="0099269F" w:rsidRPr="003C6C31" w:rsidRDefault="0099269F" w:rsidP="00785BBC">
      <w:pPr>
        <w:pStyle w:val="ListParagraph"/>
        <w:widowControl/>
        <w:numPr>
          <w:ilvl w:val="1"/>
          <w:numId w:val="7"/>
        </w:numPr>
      </w:pPr>
      <w:r w:rsidRPr="003C6C31">
        <w:t>Of note, the literature strongly cautions against the use of percentage change from baseline in statistical analyses. It is statistically inefficient, fails to correct for imbalance between groups at baseline</w:t>
      </w:r>
      <w:r w:rsidRPr="003C6C31">
        <w:rPr>
          <w:rStyle w:val="FootnoteReference"/>
        </w:rPr>
        <w:footnoteReference w:id="3"/>
      </w:r>
      <w:r w:rsidRPr="003C6C31">
        <w:t xml:space="preserve">. </w:t>
      </w:r>
    </w:p>
    <w:p w:rsidR="0099269F" w:rsidRPr="003C6C31" w:rsidRDefault="0099269F" w:rsidP="00785BBC">
      <w:pPr>
        <w:pStyle w:val="ListParagraph"/>
        <w:widowControl/>
      </w:pPr>
    </w:p>
    <w:p w:rsidR="0099269F" w:rsidRPr="003C6C31" w:rsidRDefault="0099269F" w:rsidP="00785BBC">
      <w:pPr>
        <w:pStyle w:val="ListParagraph"/>
        <w:widowControl/>
        <w:numPr>
          <w:ilvl w:val="1"/>
          <w:numId w:val="7"/>
        </w:numPr>
      </w:pPr>
      <w:r w:rsidRPr="003C6C31">
        <w:t xml:space="preserve">Since no single outcome measure captures all relevant factors, quality of life should be considered as an important </w:t>
      </w:r>
      <w:r w:rsidR="005077DD" w:rsidRPr="003C6C31">
        <w:t xml:space="preserve">patient-relevant </w:t>
      </w:r>
      <w:r w:rsidRPr="003C6C31">
        <w:t>outcome.</w:t>
      </w:r>
    </w:p>
    <w:p w:rsidR="00BE6EA8" w:rsidRPr="003C6C31" w:rsidRDefault="00BE6EA8" w:rsidP="00785BBC">
      <w:pPr>
        <w:widowControl/>
        <w:rPr>
          <w:szCs w:val="22"/>
        </w:rPr>
      </w:pPr>
    </w:p>
    <w:p w:rsidR="00BE6EA8" w:rsidRPr="003C6C31" w:rsidRDefault="00BE6EA8" w:rsidP="00244671">
      <w:pPr>
        <w:pStyle w:val="Heading2"/>
      </w:pPr>
      <w:bookmarkStart w:id="8" w:name="_Toc451242686"/>
      <w:r w:rsidRPr="003C6C31">
        <w:t>Comparative effectiveness</w:t>
      </w:r>
      <w:bookmarkEnd w:id="8"/>
    </w:p>
    <w:p w:rsidR="00BE6EA8" w:rsidRPr="003C6C31" w:rsidRDefault="00BE6EA8" w:rsidP="00785BBC">
      <w:pPr>
        <w:widowControl/>
        <w:rPr>
          <w:szCs w:val="22"/>
        </w:rPr>
      </w:pPr>
    </w:p>
    <w:p w:rsidR="00BE6EA8" w:rsidRPr="003C6C31" w:rsidRDefault="00BE6EA8" w:rsidP="00785BBC">
      <w:pPr>
        <w:pStyle w:val="ListParagraph"/>
        <w:widowControl/>
        <w:numPr>
          <w:ilvl w:val="1"/>
          <w:numId w:val="7"/>
        </w:numPr>
        <w:rPr>
          <w:szCs w:val="22"/>
        </w:rPr>
      </w:pPr>
      <w:r w:rsidRPr="003C6C31">
        <w:rPr>
          <w:szCs w:val="22"/>
        </w:rPr>
        <w:t xml:space="preserve">Table 3 below summaries the PGTC seizure frequency per 28 days and median of percent change from baseline during treatment </w:t>
      </w:r>
      <w:r w:rsidR="005077DD" w:rsidRPr="003C6C31">
        <w:rPr>
          <w:szCs w:val="22"/>
        </w:rPr>
        <w:t xml:space="preserve">in </w:t>
      </w:r>
      <w:r w:rsidR="00DC2449" w:rsidRPr="003C6C31">
        <w:rPr>
          <w:szCs w:val="22"/>
        </w:rPr>
        <w:t>T</w:t>
      </w:r>
      <w:r w:rsidRPr="003C6C31">
        <w:rPr>
          <w:szCs w:val="22"/>
        </w:rPr>
        <w:t>rial 332.</w:t>
      </w:r>
    </w:p>
    <w:p w:rsidR="00BE6EA8" w:rsidRPr="003C6C31" w:rsidRDefault="00BE6EA8" w:rsidP="00785BBC">
      <w:pPr>
        <w:widowControl/>
        <w:rPr>
          <w:szCs w:val="22"/>
        </w:rPr>
      </w:pPr>
    </w:p>
    <w:p w:rsidR="0099269F" w:rsidRPr="003C6C31" w:rsidRDefault="0099269F" w:rsidP="00785BBC">
      <w:pPr>
        <w:pStyle w:val="TableHeader"/>
        <w:keepNext/>
        <w:widowControl/>
        <w:ind w:left="709" w:firstLine="11"/>
      </w:pPr>
      <w:r w:rsidRPr="003C6C31">
        <w:t xml:space="preserve">Table 3: </w:t>
      </w:r>
      <w:r w:rsidRPr="003C6C31">
        <w:rPr>
          <w:bCs/>
          <w:lang w:eastAsia="zh-CN"/>
        </w:rPr>
        <w:t>PGTC seizure frequency per 28 days and percent change from baseline during treatment</w:t>
      </w:r>
      <w:r w:rsidR="007B079A">
        <w:t xml:space="preserve"> – Full </w:t>
      </w:r>
      <w:r w:rsidRPr="003C6C31">
        <w:t>Analysis Set</w:t>
      </w:r>
    </w:p>
    <w:tbl>
      <w:tblPr>
        <w:tblW w:w="464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711"/>
        <w:gridCol w:w="707"/>
        <w:gridCol w:w="994"/>
        <w:gridCol w:w="850"/>
        <w:gridCol w:w="711"/>
        <w:gridCol w:w="707"/>
        <w:gridCol w:w="993"/>
        <w:gridCol w:w="1276"/>
        <w:gridCol w:w="848"/>
      </w:tblGrid>
      <w:tr w:rsidR="0099269F" w:rsidRPr="003C6C31" w:rsidTr="004D7EDF">
        <w:trPr>
          <w:cantSplit/>
          <w:tblHeader/>
        </w:trPr>
        <w:tc>
          <w:tcPr>
            <w:tcW w:w="1864" w:type="pct"/>
            <w:gridSpan w:val="4"/>
            <w:tcBorders>
              <w:top w:val="single" w:sz="4" w:space="0" w:color="auto"/>
              <w:left w:val="single" w:sz="4" w:space="0" w:color="auto"/>
              <w:right w:val="single" w:sz="4" w:space="0" w:color="auto"/>
            </w:tcBorders>
            <w:hideMark/>
          </w:tcPr>
          <w:p w:rsidR="0099269F" w:rsidRPr="003C6C31" w:rsidRDefault="0099269F" w:rsidP="00785BBC">
            <w:pPr>
              <w:keepNext/>
              <w:widowControl/>
              <w:jc w:val="center"/>
              <w:rPr>
                <w:rFonts w:ascii="Arial Narrow" w:hAnsi="Arial Narrow"/>
                <w:b/>
                <w:sz w:val="20"/>
              </w:rPr>
            </w:pPr>
            <w:r w:rsidRPr="003C6C31">
              <w:rPr>
                <w:rFonts w:ascii="Arial Narrow" w:hAnsi="Arial Narrow"/>
                <w:b/>
                <w:sz w:val="20"/>
              </w:rPr>
              <w:t>Perampanel</w:t>
            </w:r>
          </w:p>
        </w:tc>
        <w:tc>
          <w:tcPr>
            <w:tcW w:w="1899" w:type="pct"/>
            <w:gridSpan w:val="4"/>
            <w:tcBorders>
              <w:top w:val="single" w:sz="4" w:space="0" w:color="auto"/>
              <w:left w:val="single" w:sz="4" w:space="0" w:color="auto"/>
              <w:right w:val="single" w:sz="4" w:space="0" w:color="auto"/>
            </w:tcBorders>
            <w:hideMark/>
          </w:tcPr>
          <w:p w:rsidR="0099269F" w:rsidRPr="003C6C31" w:rsidRDefault="0099269F" w:rsidP="00785BBC">
            <w:pPr>
              <w:keepNext/>
              <w:widowControl/>
              <w:jc w:val="center"/>
              <w:rPr>
                <w:rFonts w:ascii="Arial Narrow" w:hAnsi="Arial Narrow"/>
                <w:b/>
                <w:sz w:val="20"/>
              </w:rPr>
            </w:pPr>
            <w:r w:rsidRPr="003C6C31">
              <w:rPr>
                <w:rFonts w:ascii="Arial Narrow" w:hAnsi="Arial Narrow"/>
                <w:b/>
                <w:sz w:val="20"/>
              </w:rPr>
              <w:t>Placebo</w:t>
            </w:r>
          </w:p>
        </w:tc>
        <w:tc>
          <w:tcPr>
            <w:tcW w:w="743" w:type="pct"/>
            <w:vMerge w:val="restart"/>
            <w:tcBorders>
              <w:top w:val="single" w:sz="4" w:space="0" w:color="auto"/>
              <w:left w:val="single" w:sz="4" w:space="0" w:color="auto"/>
              <w:bottom w:val="single" w:sz="4" w:space="0" w:color="auto"/>
              <w:right w:val="single" w:sz="4" w:space="0" w:color="auto"/>
            </w:tcBorders>
            <w:hideMark/>
          </w:tcPr>
          <w:p w:rsidR="0099269F" w:rsidRPr="003C6C31" w:rsidRDefault="0099269F" w:rsidP="00785BBC">
            <w:pPr>
              <w:keepNext/>
              <w:widowControl/>
              <w:jc w:val="center"/>
              <w:rPr>
                <w:rFonts w:ascii="Arial Narrow" w:hAnsi="Arial Narrow"/>
                <w:b/>
                <w:sz w:val="20"/>
              </w:rPr>
            </w:pPr>
            <w:r w:rsidRPr="003C6C31">
              <w:rPr>
                <w:rFonts w:ascii="Arial Narrow" w:hAnsi="Arial Narrow"/>
                <w:b/>
                <w:sz w:val="20"/>
              </w:rPr>
              <w:t>Difference</w:t>
            </w:r>
            <w:r w:rsidRPr="003C6C31">
              <w:rPr>
                <w:rFonts w:ascii="Arial Narrow" w:hAnsi="Arial Narrow"/>
                <w:b/>
                <w:sz w:val="20"/>
                <w:vertAlign w:val="superscript"/>
              </w:rPr>
              <w:t>d</w:t>
            </w:r>
            <w:r w:rsidRPr="003C6C31">
              <w:rPr>
                <w:rFonts w:ascii="Arial Narrow" w:hAnsi="Arial Narrow"/>
                <w:b/>
                <w:sz w:val="20"/>
              </w:rPr>
              <w:br/>
              <w:t>(95% CI)</w:t>
            </w:r>
          </w:p>
          <w:p w:rsidR="0099269F" w:rsidRPr="003C6C31" w:rsidRDefault="0099269F" w:rsidP="00785BBC">
            <w:pPr>
              <w:keepNext/>
              <w:widowControl/>
              <w:jc w:val="center"/>
              <w:rPr>
                <w:rFonts w:ascii="Arial Narrow" w:hAnsi="Arial Narrow"/>
                <w:sz w:val="20"/>
              </w:rPr>
            </w:pPr>
          </w:p>
        </w:tc>
        <w:tc>
          <w:tcPr>
            <w:tcW w:w="495" w:type="pct"/>
            <w:vMerge w:val="restart"/>
            <w:tcBorders>
              <w:top w:val="single" w:sz="4" w:space="0" w:color="auto"/>
              <w:left w:val="single" w:sz="4" w:space="0" w:color="auto"/>
              <w:bottom w:val="single" w:sz="4" w:space="0" w:color="auto"/>
              <w:right w:val="single" w:sz="4" w:space="0" w:color="auto"/>
            </w:tcBorders>
            <w:hideMark/>
          </w:tcPr>
          <w:p w:rsidR="0099269F" w:rsidRPr="003C6C31" w:rsidRDefault="0099269F" w:rsidP="00785BBC">
            <w:pPr>
              <w:keepNext/>
              <w:widowControl/>
              <w:jc w:val="center"/>
              <w:rPr>
                <w:rFonts w:ascii="Arial Narrow" w:hAnsi="Arial Narrow"/>
                <w:sz w:val="20"/>
              </w:rPr>
            </w:pPr>
            <w:r w:rsidRPr="003C6C31">
              <w:rPr>
                <w:rFonts w:ascii="Arial Narrow" w:hAnsi="Arial Narrow"/>
                <w:b/>
                <w:sz w:val="20"/>
              </w:rPr>
              <w:t xml:space="preserve">P </w:t>
            </w:r>
            <w:r w:rsidRPr="003C6C31">
              <w:rPr>
                <w:rFonts w:ascii="Arial Narrow" w:hAnsi="Arial Narrow"/>
                <w:b/>
                <w:sz w:val="20"/>
                <w:vertAlign w:val="superscript"/>
              </w:rPr>
              <w:t>e</w:t>
            </w:r>
          </w:p>
        </w:tc>
      </w:tr>
      <w:tr w:rsidR="004D7EDF" w:rsidRPr="003C6C31" w:rsidTr="004D7EDF">
        <w:trPr>
          <w:cantSplit/>
          <w:tblHeader/>
        </w:trPr>
        <w:tc>
          <w:tcPr>
            <w:tcW w:w="459" w:type="pct"/>
            <w:tcBorders>
              <w:left w:val="single" w:sz="4" w:space="0" w:color="auto"/>
              <w:bottom w:val="single" w:sz="4" w:space="0" w:color="auto"/>
              <w:right w:val="single" w:sz="4" w:space="0" w:color="auto"/>
            </w:tcBorders>
            <w:vAlign w:val="center"/>
            <w:hideMark/>
          </w:tcPr>
          <w:p w:rsidR="0099269F" w:rsidRPr="003C6C31" w:rsidRDefault="0099269F" w:rsidP="00785BBC">
            <w:pPr>
              <w:keepNext/>
              <w:widowControl/>
              <w:rPr>
                <w:rFonts w:ascii="Arial Narrow" w:hAnsi="Arial Narrow"/>
                <w:b/>
                <w:sz w:val="20"/>
              </w:rPr>
            </w:pPr>
            <w:r w:rsidRPr="003C6C31">
              <w:rPr>
                <w:rFonts w:ascii="Arial Narrow" w:hAnsi="Arial Narrow"/>
                <w:b/>
                <w:sz w:val="20"/>
              </w:rPr>
              <w:t xml:space="preserve">n/N </w:t>
            </w:r>
          </w:p>
          <w:p w:rsidR="0099269F" w:rsidRPr="003C6C31" w:rsidRDefault="0099269F" w:rsidP="00785BBC">
            <w:pPr>
              <w:keepNext/>
              <w:widowControl/>
              <w:rPr>
                <w:rFonts w:ascii="Arial Narrow" w:hAnsi="Arial Narrow"/>
                <w:b/>
                <w:sz w:val="20"/>
              </w:rPr>
            </w:pPr>
            <w:r w:rsidRPr="003C6C31">
              <w:rPr>
                <w:rFonts w:ascii="Arial Narrow" w:hAnsi="Arial Narrow"/>
                <w:b/>
                <w:sz w:val="20"/>
              </w:rPr>
              <w:t>(%)</w:t>
            </w:r>
          </w:p>
        </w:tc>
        <w:tc>
          <w:tcPr>
            <w:tcW w:w="414" w:type="pct"/>
            <w:tcBorders>
              <w:top w:val="single" w:sz="4" w:space="0" w:color="auto"/>
              <w:left w:val="single" w:sz="4" w:space="0" w:color="auto"/>
              <w:bottom w:val="single" w:sz="4" w:space="0" w:color="auto"/>
              <w:right w:val="single" w:sz="4" w:space="0" w:color="auto"/>
            </w:tcBorders>
            <w:hideMark/>
          </w:tcPr>
          <w:p w:rsidR="0099269F" w:rsidRPr="003C6C31" w:rsidRDefault="0099269F" w:rsidP="00785BBC">
            <w:pPr>
              <w:keepNext/>
              <w:widowControl/>
              <w:jc w:val="center"/>
              <w:rPr>
                <w:rFonts w:ascii="Arial Narrow" w:hAnsi="Arial Narrow"/>
                <w:b/>
                <w:sz w:val="20"/>
              </w:rPr>
            </w:pPr>
            <w:r w:rsidRPr="003C6C31">
              <w:rPr>
                <w:rFonts w:ascii="Arial Narrow" w:hAnsi="Arial Narrow"/>
                <w:b/>
                <w:sz w:val="20"/>
              </w:rPr>
              <w:t>Base-line</w:t>
            </w:r>
            <w:r w:rsidRPr="003C6C31">
              <w:rPr>
                <w:rFonts w:ascii="Arial Narrow" w:hAnsi="Arial Narrow"/>
                <w:b/>
                <w:sz w:val="20"/>
                <w:vertAlign w:val="superscript"/>
              </w:rPr>
              <w:t>a</w:t>
            </w:r>
          </w:p>
        </w:tc>
        <w:tc>
          <w:tcPr>
            <w:tcW w:w="412" w:type="pct"/>
            <w:tcBorders>
              <w:top w:val="single" w:sz="4" w:space="0" w:color="auto"/>
              <w:left w:val="single" w:sz="4" w:space="0" w:color="auto"/>
              <w:bottom w:val="single" w:sz="4" w:space="0" w:color="auto"/>
              <w:right w:val="single" w:sz="4" w:space="0" w:color="auto"/>
            </w:tcBorders>
            <w:hideMark/>
          </w:tcPr>
          <w:p w:rsidR="0099269F" w:rsidRPr="003C6C31" w:rsidRDefault="00D16366" w:rsidP="00785BBC">
            <w:pPr>
              <w:keepNext/>
              <w:widowControl/>
              <w:jc w:val="center"/>
              <w:rPr>
                <w:rFonts w:ascii="Arial Narrow" w:hAnsi="Arial Narrow"/>
                <w:b/>
                <w:sz w:val="20"/>
              </w:rPr>
            </w:pPr>
            <w:r w:rsidRPr="003C6C31">
              <w:rPr>
                <w:rFonts w:ascii="Arial Narrow" w:hAnsi="Arial Narrow"/>
                <w:b/>
                <w:sz w:val="20"/>
              </w:rPr>
              <w:t>Final</w:t>
            </w:r>
            <w:r w:rsidR="0099269F" w:rsidRPr="003C6C31">
              <w:rPr>
                <w:rFonts w:ascii="Arial Narrow" w:hAnsi="Arial Narrow"/>
                <w:b/>
                <w:sz w:val="20"/>
                <w:vertAlign w:val="superscript"/>
              </w:rPr>
              <w:t>b</w:t>
            </w:r>
          </w:p>
        </w:tc>
        <w:tc>
          <w:tcPr>
            <w:tcW w:w="579" w:type="pct"/>
            <w:tcBorders>
              <w:top w:val="single" w:sz="4" w:space="0" w:color="auto"/>
              <w:left w:val="single" w:sz="4" w:space="0" w:color="auto"/>
              <w:bottom w:val="single" w:sz="4" w:space="0" w:color="auto"/>
              <w:right w:val="single" w:sz="4" w:space="0" w:color="auto"/>
            </w:tcBorders>
            <w:hideMark/>
          </w:tcPr>
          <w:p w:rsidR="0099269F" w:rsidRPr="003C6C31" w:rsidRDefault="0099269F" w:rsidP="00785BBC">
            <w:pPr>
              <w:keepNext/>
              <w:widowControl/>
              <w:jc w:val="center"/>
              <w:rPr>
                <w:rFonts w:ascii="Arial Narrow" w:hAnsi="Arial Narrow"/>
                <w:b/>
                <w:sz w:val="20"/>
              </w:rPr>
            </w:pPr>
            <w:r w:rsidRPr="003C6C31">
              <w:rPr>
                <w:rFonts w:ascii="Arial Narrow" w:hAnsi="Arial Narrow"/>
                <w:b/>
                <w:sz w:val="20"/>
              </w:rPr>
              <w:t>% Change</w:t>
            </w:r>
            <w:r w:rsidRPr="003C6C31">
              <w:rPr>
                <w:rFonts w:ascii="Arial Narrow" w:hAnsi="Arial Narrow"/>
                <w:b/>
                <w:sz w:val="20"/>
                <w:vertAlign w:val="superscript"/>
              </w:rPr>
              <w:t>c</w:t>
            </w:r>
          </w:p>
        </w:tc>
        <w:tc>
          <w:tcPr>
            <w:tcW w:w="495" w:type="pct"/>
            <w:tcBorders>
              <w:left w:val="single" w:sz="4" w:space="0" w:color="auto"/>
              <w:bottom w:val="single" w:sz="4" w:space="0" w:color="auto"/>
              <w:right w:val="single" w:sz="4" w:space="0" w:color="auto"/>
            </w:tcBorders>
            <w:vAlign w:val="center"/>
            <w:hideMark/>
          </w:tcPr>
          <w:p w:rsidR="0099269F" w:rsidRPr="003C6C31" w:rsidRDefault="0099269F" w:rsidP="004D7EDF">
            <w:pPr>
              <w:keepNext/>
              <w:widowControl/>
              <w:jc w:val="center"/>
              <w:rPr>
                <w:rFonts w:ascii="Arial Narrow" w:hAnsi="Arial Narrow"/>
                <w:b/>
                <w:sz w:val="20"/>
              </w:rPr>
            </w:pPr>
            <w:r w:rsidRPr="003C6C31">
              <w:rPr>
                <w:rFonts w:ascii="Arial Narrow" w:hAnsi="Arial Narrow"/>
                <w:b/>
                <w:sz w:val="20"/>
              </w:rPr>
              <w:t>n /N</w:t>
            </w:r>
          </w:p>
          <w:p w:rsidR="0099269F" w:rsidRPr="003C6C31" w:rsidRDefault="0099269F" w:rsidP="004D7EDF">
            <w:pPr>
              <w:keepNext/>
              <w:widowControl/>
              <w:jc w:val="center"/>
              <w:rPr>
                <w:rFonts w:ascii="Arial Narrow" w:hAnsi="Arial Narrow"/>
                <w:b/>
                <w:sz w:val="20"/>
              </w:rPr>
            </w:pPr>
            <w:r w:rsidRPr="003C6C31">
              <w:rPr>
                <w:rFonts w:ascii="Arial Narrow" w:hAnsi="Arial Narrow"/>
                <w:b/>
                <w:sz w:val="20"/>
              </w:rPr>
              <w:t>(%)</w:t>
            </w:r>
          </w:p>
        </w:tc>
        <w:tc>
          <w:tcPr>
            <w:tcW w:w="414" w:type="pct"/>
            <w:tcBorders>
              <w:top w:val="single" w:sz="4" w:space="0" w:color="auto"/>
              <w:left w:val="single" w:sz="4" w:space="0" w:color="auto"/>
              <w:bottom w:val="single" w:sz="4" w:space="0" w:color="auto"/>
              <w:right w:val="single" w:sz="4" w:space="0" w:color="auto"/>
            </w:tcBorders>
            <w:hideMark/>
          </w:tcPr>
          <w:p w:rsidR="0099269F" w:rsidRPr="003C6C31" w:rsidRDefault="0099269F" w:rsidP="00785BBC">
            <w:pPr>
              <w:keepNext/>
              <w:widowControl/>
              <w:jc w:val="center"/>
              <w:rPr>
                <w:rFonts w:ascii="Arial Narrow" w:hAnsi="Arial Narrow"/>
                <w:b/>
                <w:sz w:val="20"/>
              </w:rPr>
            </w:pPr>
            <w:r w:rsidRPr="003C6C31">
              <w:rPr>
                <w:rFonts w:ascii="Arial Narrow" w:hAnsi="Arial Narrow"/>
                <w:b/>
                <w:sz w:val="20"/>
              </w:rPr>
              <w:t>Base-line</w:t>
            </w:r>
            <w:r w:rsidRPr="003C6C31">
              <w:rPr>
                <w:rFonts w:ascii="Arial Narrow" w:hAnsi="Arial Narrow"/>
                <w:b/>
                <w:sz w:val="20"/>
                <w:vertAlign w:val="superscript"/>
              </w:rPr>
              <w:t>a</w:t>
            </w:r>
          </w:p>
        </w:tc>
        <w:tc>
          <w:tcPr>
            <w:tcW w:w="412" w:type="pct"/>
            <w:tcBorders>
              <w:top w:val="single" w:sz="4" w:space="0" w:color="auto"/>
              <w:left w:val="single" w:sz="4" w:space="0" w:color="auto"/>
              <w:bottom w:val="single" w:sz="4" w:space="0" w:color="auto"/>
              <w:right w:val="single" w:sz="4" w:space="0" w:color="auto"/>
            </w:tcBorders>
            <w:hideMark/>
          </w:tcPr>
          <w:p w:rsidR="0099269F" w:rsidRPr="003C6C31" w:rsidRDefault="00D16366" w:rsidP="00785BBC">
            <w:pPr>
              <w:keepNext/>
              <w:widowControl/>
              <w:jc w:val="center"/>
              <w:rPr>
                <w:rFonts w:ascii="Arial Narrow" w:hAnsi="Arial Narrow"/>
                <w:b/>
                <w:sz w:val="20"/>
              </w:rPr>
            </w:pPr>
            <w:r w:rsidRPr="003C6C31">
              <w:rPr>
                <w:rFonts w:ascii="Arial Narrow" w:hAnsi="Arial Narrow"/>
                <w:b/>
                <w:sz w:val="20"/>
              </w:rPr>
              <w:t>Final</w:t>
            </w:r>
            <w:r w:rsidR="0099269F" w:rsidRPr="003C6C31">
              <w:rPr>
                <w:rFonts w:ascii="Arial Narrow" w:hAnsi="Arial Narrow"/>
                <w:b/>
                <w:sz w:val="20"/>
                <w:vertAlign w:val="superscript"/>
              </w:rPr>
              <w:t>b</w:t>
            </w:r>
          </w:p>
        </w:tc>
        <w:tc>
          <w:tcPr>
            <w:tcW w:w="578" w:type="pct"/>
            <w:tcBorders>
              <w:top w:val="single" w:sz="4" w:space="0" w:color="auto"/>
              <w:left w:val="single" w:sz="4" w:space="0" w:color="auto"/>
              <w:bottom w:val="single" w:sz="4" w:space="0" w:color="auto"/>
              <w:right w:val="single" w:sz="4" w:space="0" w:color="auto"/>
            </w:tcBorders>
            <w:hideMark/>
          </w:tcPr>
          <w:p w:rsidR="0099269F" w:rsidRPr="003C6C31" w:rsidRDefault="0099269F" w:rsidP="00785BBC">
            <w:pPr>
              <w:keepNext/>
              <w:widowControl/>
              <w:jc w:val="center"/>
              <w:rPr>
                <w:rFonts w:ascii="Arial Narrow" w:hAnsi="Arial Narrow"/>
                <w:b/>
                <w:sz w:val="20"/>
              </w:rPr>
            </w:pPr>
            <w:r w:rsidRPr="003C6C31">
              <w:rPr>
                <w:rFonts w:ascii="Arial Narrow" w:hAnsi="Arial Narrow"/>
                <w:b/>
                <w:sz w:val="20"/>
              </w:rPr>
              <w:t>% Change</w:t>
            </w:r>
            <w:r w:rsidRPr="003C6C31">
              <w:rPr>
                <w:rFonts w:ascii="Arial Narrow" w:hAnsi="Arial Narrow"/>
                <w:b/>
                <w:sz w:val="20"/>
                <w:vertAlign w:val="superscript"/>
              </w:rPr>
              <w:t>c</w:t>
            </w:r>
            <w:r w:rsidRPr="003C6C31">
              <w:rPr>
                <w:rFonts w:ascii="Arial Narrow" w:hAnsi="Arial Narrow"/>
                <w:b/>
                <w:sz w:val="20"/>
              </w:rPr>
              <w:t xml:space="preserve"> </w:t>
            </w:r>
          </w:p>
        </w:tc>
        <w:tc>
          <w:tcPr>
            <w:tcW w:w="743" w:type="pct"/>
            <w:vMerge/>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keepNext/>
              <w:widowControl/>
              <w:rPr>
                <w:rFonts w:ascii="Arial Narrow" w:hAnsi="Arial Narrow"/>
                <w:sz w:val="20"/>
              </w:rPr>
            </w:pPr>
          </w:p>
        </w:tc>
        <w:tc>
          <w:tcPr>
            <w:tcW w:w="495" w:type="pct"/>
            <w:vMerge/>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keepNext/>
              <w:widowControl/>
              <w:rPr>
                <w:rFonts w:ascii="Arial Narrow" w:hAnsi="Arial Narrow"/>
                <w:sz w:val="20"/>
              </w:rPr>
            </w:pPr>
          </w:p>
        </w:tc>
      </w:tr>
      <w:tr w:rsidR="004D7EDF" w:rsidRPr="003C6C31" w:rsidTr="004D7EDF">
        <w:trPr>
          <w:cantSplit/>
        </w:trPr>
        <w:tc>
          <w:tcPr>
            <w:tcW w:w="459" w:type="pct"/>
            <w:tcBorders>
              <w:top w:val="single" w:sz="4" w:space="0" w:color="auto"/>
              <w:left w:val="single" w:sz="4" w:space="0" w:color="auto"/>
              <w:bottom w:val="single" w:sz="4" w:space="0" w:color="auto"/>
              <w:right w:val="nil"/>
            </w:tcBorders>
            <w:vAlign w:val="center"/>
            <w:hideMark/>
          </w:tcPr>
          <w:p w:rsidR="0099269F" w:rsidRPr="003C6C31" w:rsidRDefault="0099269F" w:rsidP="00785BBC">
            <w:pPr>
              <w:keepNext/>
              <w:widowControl/>
              <w:jc w:val="center"/>
              <w:rPr>
                <w:rFonts w:ascii="Arial Narrow" w:hAnsi="Arial Narrow"/>
                <w:sz w:val="20"/>
              </w:rPr>
            </w:pPr>
            <w:r w:rsidRPr="003C6C31">
              <w:rPr>
                <w:rFonts w:ascii="Arial Narrow" w:hAnsi="Arial Narrow"/>
                <w:b/>
                <w:sz w:val="20"/>
              </w:rPr>
              <w:t xml:space="preserve">Median </w:t>
            </w:r>
          </w:p>
        </w:tc>
        <w:tc>
          <w:tcPr>
            <w:tcW w:w="414" w:type="pct"/>
            <w:tcBorders>
              <w:top w:val="single" w:sz="4" w:space="0" w:color="auto"/>
              <w:left w:val="nil"/>
              <w:bottom w:val="single" w:sz="4" w:space="0" w:color="auto"/>
              <w:right w:val="nil"/>
            </w:tcBorders>
            <w:vAlign w:val="center"/>
          </w:tcPr>
          <w:p w:rsidR="0099269F" w:rsidRPr="003C6C31" w:rsidRDefault="0099269F" w:rsidP="00785BBC">
            <w:pPr>
              <w:keepNext/>
              <w:widowControl/>
              <w:jc w:val="center"/>
              <w:rPr>
                <w:rFonts w:ascii="Arial Narrow" w:hAnsi="Arial Narrow"/>
                <w:sz w:val="20"/>
              </w:rPr>
            </w:pPr>
          </w:p>
        </w:tc>
        <w:tc>
          <w:tcPr>
            <w:tcW w:w="412" w:type="pct"/>
            <w:tcBorders>
              <w:top w:val="single" w:sz="4" w:space="0" w:color="auto"/>
              <w:left w:val="nil"/>
              <w:bottom w:val="single" w:sz="4" w:space="0" w:color="auto"/>
              <w:right w:val="nil"/>
            </w:tcBorders>
            <w:vAlign w:val="center"/>
          </w:tcPr>
          <w:p w:rsidR="0099269F" w:rsidRPr="003C6C31" w:rsidRDefault="0099269F" w:rsidP="00785BBC">
            <w:pPr>
              <w:keepNext/>
              <w:widowControl/>
              <w:jc w:val="center"/>
              <w:rPr>
                <w:rFonts w:ascii="Arial Narrow" w:hAnsi="Arial Narrow"/>
                <w:sz w:val="20"/>
              </w:rPr>
            </w:pPr>
          </w:p>
        </w:tc>
        <w:tc>
          <w:tcPr>
            <w:tcW w:w="579" w:type="pct"/>
            <w:tcBorders>
              <w:top w:val="single" w:sz="4" w:space="0" w:color="auto"/>
              <w:left w:val="nil"/>
              <w:bottom w:val="single" w:sz="4" w:space="0" w:color="auto"/>
              <w:right w:val="nil"/>
            </w:tcBorders>
            <w:vAlign w:val="center"/>
          </w:tcPr>
          <w:p w:rsidR="0099269F" w:rsidRPr="003C6C31" w:rsidRDefault="0099269F" w:rsidP="00785BBC">
            <w:pPr>
              <w:keepNext/>
              <w:widowControl/>
              <w:jc w:val="center"/>
              <w:rPr>
                <w:rFonts w:ascii="Arial Narrow" w:hAnsi="Arial Narrow"/>
                <w:sz w:val="20"/>
              </w:rPr>
            </w:pPr>
          </w:p>
        </w:tc>
        <w:tc>
          <w:tcPr>
            <w:tcW w:w="495" w:type="pct"/>
            <w:tcBorders>
              <w:top w:val="single" w:sz="4" w:space="0" w:color="auto"/>
              <w:left w:val="nil"/>
              <w:bottom w:val="single" w:sz="4" w:space="0" w:color="auto"/>
              <w:right w:val="nil"/>
            </w:tcBorders>
            <w:vAlign w:val="center"/>
          </w:tcPr>
          <w:p w:rsidR="0099269F" w:rsidRPr="003C6C31" w:rsidRDefault="0099269F" w:rsidP="004D7EDF">
            <w:pPr>
              <w:keepNext/>
              <w:widowControl/>
              <w:jc w:val="center"/>
              <w:rPr>
                <w:rFonts w:ascii="Arial Narrow" w:hAnsi="Arial Narrow"/>
                <w:sz w:val="20"/>
              </w:rPr>
            </w:pPr>
          </w:p>
        </w:tc>
        <w:tc>
          <w:tcPr>
            <w:tcW w:w="414" w:type="pct"/>
            <w:tcBorders>
              <w:top w:val="single" w:sz="4" w:space="0" w:color="auto"/>
              <w:left w:val="nil"/>
              <w:bottom w:val="single" w:sz="4" w:space="0" w:color="auto"/>
              <w:right w:val="nil"/>
            </w:tcBorders>
            <w:vAlign w:val="center"/>
          </w:tcPr>
          <w:p w:rsidR="0099269F" w:rsidRPr="003C6C31" w:rsidRDefault="0099269F" w:rsidP="00785BBC">
            <w:pPr>
              <w:keepNext/>
              <w:widowControl/>
              <w:jc w:val="center"/>
              <w:rPr>
                <w:rFonts w:ascii="Arial Narrow" w:hAnsi="Arial Narrow"/>
                <w:sz w:val="20"/>
              </w:rPr>
            </w:pPr>
          </w:p>
        </w:tc>
        <w:tc>
          <w:tcPr>
            <w:tcW w:w="412" w:type="pct"/>
            <w:tcBorders>
              <w:top w:val="single" w:sz="4" w:space="0" w:color="auto"/>
              <w:left w:val="nil"/>
              <w:bottom w:val="single" w:sz="4" w:space="0" w:color="auto"/>
              <w:right w:val="nil"/>
            </w:tcBorders>
            <w:vAlign w:val="center"/>
          </w:tcPr>
          <w:p w:rsidR="0099269F" w:rsidRPr="003C6C31" w:rsidRDefault="0099269F" w:rsidP="00785BBC">
            <w:pPr>
              <w:keepNext/>
              <w:widowControl/>
              <w:jc w:val="center"/>
              <w:rPr>
                <w:rFonts w:ascii="Arial Narrow" w:hAnsi="Arial Narrow"/>
                <w:sz w:val="20"/>
              </w:rPr>
            </w:pPr>
          </w:p>
        </w:tc>
        <w:tc>
          <w:tcPr>
            <w:tcW w:w="578" w:type="pct"/>
            <w:tcBorders>
              <w:top w:val="single" w:sz="4" w:space="0" w:color="auto"/>
              <w:left w:val="nil"/>
              <w:bottom w:val="single" w:sz="4" w:space="0" w:color="auto"/>
              <w:right w:val="nil"/>
            </w:tcBorders>
            <w:vAlign w:val="center"/>
          </w:tcPr>
          <w:p w:rsidR="0099269F" w:rsidRPr="003C6C31" w:rsidRDefault="0099269F" w:rsidP="00785BBC">
            <w:pPr>
              <w:keepNext/>
              <w:widowControl/>
              <w:jc w:val="center"/>
              <w:rPr>
                <w:rFonts w:ascii="Arial Narrow" w:hAnsi="Arial Narrow"/>
                <w:sz w:val="20"/>
              </w:rPr>
            </w:pPr>
          </w:p>
        </w:tc>
        <w:tc>
          <w:tcPr>
            <w:tcW w:w="743" w:type="pct"/>
            <w:tcBorders>
              <w:top w:val="single" w:sz="4" w:space="0" w:color="auto"/>
              <w:left w:val="nil"/>
              <w:bottom w:val="single" w:sz="4" w:space="0" w:color="auto"/>
              <w:right w:val="nil"/>
            </w:tcBorders>
            <w:vAlign w:val="center"/>
          </w:tcPr>
          <w:p w:rsidR="0099269F" w:rsidRPr="003C6C31" w:rsidRDefault="0099269F" w:rsidP="00785BBC">
            <w:pPr>
              <w:keepNext/>
              <w:widowControl/>
              <w:jc w:val="center"/>
              <w:rPr>
                <w:rFonts w:ascii="Arial Narrow" w:hAnsi="Arial Narrow"/>
                <w:sz w:val="20"/>
              </w:rPr>
            </w:pPr>
          </w:p>
        </w:tc>
        <w:tc>
          <w:tcPr>
            <w:tcW w:w="495" w:type="pct"/>
            <w:tcBorders>
              <w:top w:val="single" w:sz="4" w:space="0" w:color="auto"/>
              <w:left w:val="nil"/>
              <w:bottom w:val="single" w:sz="4" w:space="0" w:color="auto"/>
              <w:right w:val="single" w:sz="4" w:space="0" w:color="auto"/>
            </w:tcBorders>
          </w:tcPr>
          <w:p w:rsidR="0099269F" w:rsidRPr="003C6C31" w:rsidRDefault="0099269F" w:rsidP="00785BBC">
            <w:pPr>
              <w:keepNext/>
              <w:widowControl/>
              <w:jc w:val="center"/>
              <w:rPr>
                <w:rFonts w:ascii="Arial Narrow" w:hAnsi="Arial Narrow"/>
                <w:sz w:val="20"/>
              </w:rPr>
            </w:pPr>
          </w:p>
        </w:tc>
      </w:tr>
      <w:tr w:rsidR="004D7EDF" w:rsidRPr="003C6C31" w:rsidTr="004D7EDF">
        <w:trPr>
          <w:cantSplit/>
        </w:trPr>
        <w:tc>
          <w:tcPr>
            <w:tcW w:w="459"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keepNext/>
              <w:widowControl/>
              <w:jc w:val="center"/>
              <w:rPr>
                <w:rFonts w:ascii="Arial Narrow" w:hAnsi="Arial Narrow"/>
                <w:sz w:val="20"/>
              </w:rPr>
            </w:pPr>
            <w:r w:rsidRPr="003C6C31">
              <w:rPr>
                <w:rFonts w:ascii="Arial Narrow" w:hAnsi="Arial Narrow"/>
                <w:sz w:val="20"/>
              </w:rPr>
              <w:t>81/81</w:t>
            </w:r>
          </w:p>
          <w:p w:rsidR="0099269F" w:rsidRPr="003C6C31" w:rsidRDefault="0099269F" w:rsidP="00785BBC">
            <w:pPr>
              <w:keepNext/>
              <w:widowControl/>
              <w:jc w:val="center"/>
              <w:rPr>
                <w:rFonts w:ascii="Arial Narrow" w:hAnsi="Arial Narrow"/>
                <w:sz w:val="20"/>
              </w:rPr>
            </w:pPr>
            <w:r w:rsidRPr="003C6C31">
              <w:rPr>
                <w:rFonts w:ascii="Arial Narrow" w:hAnsi="Arial Narrow"/>
                <w:sz w:val="20"/>
              </w:rPr>
              <w:t>(100%)</w:t>
            </w:r>
          </w:p>
        </w:tc>
        <w:tc>
          <w:tcPr>
            <w:tcW w:w="414"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keepNext/>
              <w:widowControl/>
              <w:jc w:val="center"/>
              <w:rPr>
                <w:rFonts w:ascii="Arial Narrow" w:hAnsi="Arial Narrow"/>
                <w:sz w:val="20"/>
              </w:rPr>
            </w:pPr>
            <w:r w:rsidRPr="003C6C31">
              <w:rPr>
                <w:rFonts w:ascii="Arial Narrow" w:hAnsi="Arial Narrow"/>
                <w:sz w:val="20"/>
              </w:rPr>
              <w:t>2.55</w:t>
            </w:r>
          </w:p>
        </w:tc>
        <w:tc>
          <w:tcPr>
            <w:tcW w:w="412"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keepNext/>
              <w:widowControl/>
              <w:jc w:val="center"/>
              <w:rPr>
                <w:rFonts w:ascii="Arial Narrow" w:hAnsi="Arial Narrow"/>
                <w:sz w:val="20"/>
              </w:rPr>
            </w:pPr>
            <w:r w:rsidRPr="003C6C31">
              <w:rPr>
                <w:rFonts w:ascii="Arial Narrow" w:hAnsi="Arial Narrow"/>
                <w:sz w:val="20"/>
              </w:rPr>
              <w:t>0.71</w:t>
            </w:r>
          </w:p>
        </w:tc>
        <w:tc>
          <w:tcPr>
            <w:tcW w:w="579"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keepNext/>
              <w:widowControl/>
              <w:jc w:val="center"/>
              <w:rPr>
                <w:rFonts w:ascii="Arial Narrow" w:hAnsi="Arial Narrow"/>
                <w:sz w:val="20"/>
              </w:rPr>
            </w:pPr>
            <w:r w:rsidRPr="003C6C31">
              <w:rPr>
                <w:rFonts w:ascii="Arial Narrow" w:hAnsi="Arial Narrow"/>
                <w:sz w:val="20"/>
              </w:rPr>
              <w:t>-76%</w:t>
            </w:r>
          </w:p>
        </w:tc>
        <w:tc>
          <w:tcPr>
            <w:tcW w:w="495"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4D7EDF">
            <w:pPr>
              <w:keepNext/>
              <w:widowControl/>
              <w:jc w:val="center"/>
              <w:rPr>
                <w:rFonts w:ascii="Arial Narrow" w:hAnsi="Arial Narrow"/>
                <w:sz w:val="20"/>
              </w:rPr>
            </w:pPr>
            <w:r w:rsidRPr="003C6C31">
              <w:rPr>
                <w:rFonts w:ascii="Arial Narrow" w:hAnsi="Arial Narrow"/>
                <w:sz w:val="20"/>
              </w:rPr>
              <w:t>81/81 (100%)</w:t>
            </w:r>
          </w:p>
        </w:tc>
        <w:tc>
          <w:tcPr>
            <w:tcW w:w="414"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keepNext/>
              <w:widowControl/>
              <w:jc w:val="center"/>
              <w:rPr>
                <w:rFonts w:ascii="Arial Narrow" w:hAnsi="Arial Narrow"/>
                <w:sz w:val="20"/>
              </w:rPr>
            </w:pPr>
            <w:r w:rsidRPr="003C6C31">
              <w:rPr>
                <w:rFonts w:ascii="Arial Narrow" w:hAnsi="Arial Narrow"/>
                <w:sz w:val="20"/>
              </w:rPr>
              <w:t>2.50</w:t>
            </w:r>
          </w:p>
        </w:tc>
        <w:tc>
          <w:tcPr>
            <w:tcW w:w="412"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keepNext/>
              <w:widowControl/>
              <w:jc w:val="center"/>
              <w:rPr>
                <w:rFonts w:ascii="Arial Narrow" w:hAnsi="Arial Narrow"/>
                <w:sz w:val="20"/>
              </w:rPr>
            </w:pPr>
            <w:r w:rsidRPr="003C6C31">
              <w:rPr>
                <w:rFonts w:ascii="Arial Narrow" w:hAnsi="Arial Narrow"/>
                <w:sz w:val="20"/>
              </w:rPr>
              <w:t>1.57</w:t>
            </w:r>
          </w:p>
        </w:tc>
        <w:tc>
          <w:tcPr>
            <w:tcW w:w="578"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keepNext/>
              <w:widowControl/>
              <w:jc w:val="center"/>
              <w:rPr>
                <w:rFonts w:ascii="Arial Narrow" w:hAnsi="Arial Narrow"/>
                <w:sz w:val="20"/>
              </w:rPr>
            </w:pPr>
            <w:r w:rsidRPr="003C6C31">
              <w:rPr>
                <w:rFonts w:ascii="Arial Narrow" w:hAnsi="Arial Narrow"/>
                <w:sz w:val="20"/>
              </w:rPr>
              <w:t>-38%</w:t>
            </w:r>
          </w:p>
        </w:tc>
        <w:tc>
          <w:tcPr>
            <w:tcW w:w="743"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keepNext/>
              <w:widowControl/>
              <w:jc w:val="center"/>
              <w:rPr>
                <w:rFonts w:ascii="Arial Narrow" w:hAnsi="Arial Narrow"/>
                <w:sz w:val="20"/>
              </w:rPr>
            </w:pPr>
            <w:r w:rsidRPr="003C6C31">
              <w:rPr>
                <w:rFonts w:ascii="Arial Narrow" w:hAnsi="Arial Narrow"/>
                <w:sz w:val="20"/>
              </w:rPr>
              <w:t>-31%</w:t>
            </w:r>
            <w:r w:rsidRPr="003C6C31">
              <w:rPr>
                <w:rFonts w:ascii="Arial Narrow" w:hAnsi="Arial Narrow"/>
                <w:sz w:val="20"/>
              </w:rPr>
              <w:br/>
              <w:t>(-45%, -15%)</w:t>
            </w:r>
          </w:p>
        </w:tc>
        <w:tc>
          <w:tcPr>
            <w:tcW w:w="495"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keepNext/>
              <w:widowControl/>
              <w:jc w:val="center"/>
              <w:rPr>
                <w:rFonts w:ascii="Arial Narrow" w:hAnsi="Arial Narrow"/>
                <w:sz w:val="20"/>
              </w:rPr>
            </w:pPr>
            <w:r w:rsidRPr="003C6C31">
              <w:rPr>
                <w:rFonts w:ascii="Arial Narrow" w:hAnsi="Arial Narrow"/>
                <w:sz w:val="20"/>
              </w:rPr>
              <w:t>&lt;0.0001</w:t>
            </w:r>
          </w:p>
        </w:tc>
      </w:tr>
      <w:tr w:rsidR="0099269F" w:rsidRPr="003C6C31" w:rsidTr="004D7EDF">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4D7EDF">
            <w:pPr>
              <w:keepNext/>
              <w:widowControl/>
              <w:jc w:val="left"/>
              <w:rPr>
                <w:rFonts w:ascii="Arial Narrow" w:hAnsi="Arial Narrow"/>
                <w:sz w:val="20"/>
              </w:rPr>
            </w:pPr>
            <w:r w:rsidRPr="003C6C31">
              <w:rPr>
                <w:rFonts w:ascii="Arial Narrow" w:hAnsi="Arial Narrow"/>
                <w:b/>
                <w:sz w:val="20"/>
              </w:rPr>
              <w:t>Mean (SD)</w:t>
            </w:r>
          </w:p>
        </w:tc>
      </w:tr>
      <w:tr w:rsidR="004D7EDF" w:rsidRPr="003C6C31" w:rsidTr="004D7EDF">
        <w:trPr>
          <w:cantSplit/>
        </w:trPr>
        <w:tc>
          <w:tcPr>
            <w:tcW w:w="459"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keepNext/>
              <w:widowControl/>
              <w:jc w:val="center"/>
              <w:rPr>
                <w:rFonts w:ascii="Arial Narrow" w:hAnsi="Arial Narrow"/>
                <w:sz w:val="20"/>
              </w:rPr>
            </w:pPr>
            <w:r w:rsidRPr="003C6C31">
              <w:rPr>
                <w:rFonts w:ascii="Arial Narrow" w:hAnsi="Arial Narrow"/>
                <w:sz w:val="20"/>
              </w:rPr>
              <w:t>81/81 (100%)</w:t>
            </w:r>
          </w:p>
        </w:tc>
        <w:tc>
          <w:tcPr>
            <w:tcW w:w="414"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keepNext/>
              <w:widowControl/>
              <w:jc w:val="center"/>
              <w:rPr>
                <w:rFonts w:ascii="Arial Narrow" w:hAnsi="Arial Narrow"/>
                <w:sz w:val="20"/>
              </w:rPr>
            </w:pPr>
            <w:r w:rsidRPr="003C6C31">
              <w:rPr>
                <w:rFonts w:ascii="Arial Narrow" w:hAnsi="Arial Narrow"/>
                <w:sz w:val="20"/>
              </w:rPr>
              <w:t>3.50 (2.62)</w:t>
            </w:r>
          </w:p>
        </w:tc>
        <w:tc>
          <w:tcPr>
            <w:tcW w:w="412"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keepNext/>
              <w:widowControl/>
              <w:jc w:val="center"/>
              <w:rPr>
                <w:rFonts w:ascii="Arial Narrow" w:hAnsi="Arial Narrow"/>
                <w:sz w:val="20"/>
              </w:rPr>
            </w:pPr>
            <w:r w:rsidRPr="003C6C31">
              <w:rPr>
                <w:rFonts w:ascii="Arial Narrow" w:hAnsi="Arial Narrow"/>
                <w:sz w:val="20"/>
              </w:rPr>
              <w:t>1.90 (3.30)</w:t>
            </w:r>
          </w:p>
        </w:tc>
        <w:tc>
          <w:tcPr>
            <w:tcW w:w="579"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keepNext/>
              <w:widowControl/>
              <w:jc w:val="center"/>
              <w:rPr>
                <w:rFonts w:ascii="Arial Narrow" w:hAnsi="Arial Narrow"/>
                <w:sz w:val="20"/>
              </w:rPr>
            </w:pPr>
            <w:r w:rsidRPr="003C6C31">
              <w:rPr>
                <w:rFonts w:ascii="Arial Narrow" w:hAnsi="Arial Narrow"/>
                <w:sz w:val="20"/>
              </w:rPr>
              <w:t>-57% (51%)</w:t>
            </w:r>
          </w:p>
        </w:tc>
        <w:tc>
          <w:tcPr>
            <w:tcW w:w="495"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4D7EDF">
            <w:pPr>
              <w:keepNext/>
              <w:widowControl/>
              <w:jc w:val="center"/>
              <w:rPr>
                <w:rFonts w:ascii="Arial Narrow" w:hAnsi="Arial Narrow"/>
                <w:sz w:val="20"/>
              </w:rPr>
            </w:pPr>
            <w:r w:rsidRPr="003C6C31">
              <w:rPr>
                <w:rFonts w:ascii="Arial Narrow" w:hAnsi="Arial Narrow"/>
                <w:sz w:val="20"/>
              </w:rPr>
              <w:t>81/81 (100%)</w:t>
            </w:r>
          </w:p>
        </w:tc>
        <w:tc>
          <w:tcPr>
            <w:tcW w:w="414"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keepNext/>
              <w:widowControl/>
              <w:jc w:val="center"/>
              <w:rPr>
                <w:rFonts w:ascii="Arial Narrow" w:hAnsi="Arial Narrow"/>
                <w:sz w:val="20"/>
              </w:rPr>
            </w:pPr>
            <w:r w:rsidRPr="003C6C31">
              <w:rPr>
                <w:rFonts w:ascii="Arial Narrow" w:hAnsi="Arial Narrow"/>
                <w:sz w:val="20"/>
              </w:rPr>
              <w:t>3.17 (2.00)</w:t>
            </w:r>
          </w:p>
        </w:tc>
        <w:tc>
          <w:tcPr>
            <w:tcW w:w="412"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keepNext/>
              <w:widowControl/>
              <w:jc w:val="center"/>
              <w:rPr>
                <w:rFonts w:ascii="Arial Narrow" w:hAnsi="Arial Narrow"/>
                <w:sz w:val="20"/>
              </w:rPr>
            </w:pPr>
            <w:r w:rsidRPr="003C6C31">
              <w:rPr>
                <w:rFonts w:ascii="Arial Narrow" w:hAnsi="Arial Narrow"/>
                <w:sz w:val="20"/>
              </w:rPr>
              <w:t>2.87 (4.74)</w:t>
            </w:r>
          </w:p>
        </w:tc>
        <w:tc>
          <w:tcPr>
            <w:tcW w:w="578"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keepNext/>
              <w:widowControl/>
              <w:jc w:val="center"/>
              <w:rPr>
                <w:rFonts w:ascii="Arial Narrow" w:hAnsi="Arial Narrow"/>
                <w:sz w:val="20"/>
              </w:rPr>
            </w:pPr>
            <w:r w:rsidRPr="003C6C31">
              <w:rPr>
                <w:rFonts w:ascii="Arial Narrow" w:hAnsi="Arial Narrow"/>
                <w:sz w:val="20"/>
              </w:rPr>
              <w:t>-6%</w:t>
            </w:r>
          </w:p>
          <w:p w:rsidR="0099269F" w:rsidRPr="003C6C31" w:rsidRDefault="0099269F" w:rsidP="00785BBC">
            <w:pPr>
              <w:keepNext/>
              <w:widowControl/>
              <w:jc w:val="center"/>
              <w:rPr>
                <w:rFonts w:ascii="Arial Narrow" w:hAnsi="Arial Narrow"/>
                <w:sz w:val="20"/>
              </w:rPr>
            </w:pPr>
            <w:r w:rsidRPr="003C6C31">
              <w:rPr>
                <w:rFonts w:ascii="Arial Narrow" w:hAnsi="Arial Narrow"/>
                <w:sz w:val="20"/>
              </w:rPr>
              <w:t>(185%)</w:t>
            </w:r>
          </w:p>
        </w:tc>
        <w:tc>
          <w:tcPr>
            <w:tcW w:w="743"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keepNext/>
              <w:widowControl/>
              <w:jc w:val="center"/>
              <w:rPr>
                <w:rFonts w:ascii="Arial Narrow" w:hAnsi="Arial Narrow"/>
                <w:sz w:val="20"/>
              </w:rPr>
            </w:pPr>
            <w:r w:rsidRPr="003C6C31">
              <w:rPr>
                <w:rFonts w:ascii="Arial Narrow" w:hAnsi="Arial Narrow"/>
                <w:sz w:val="20"/>
              </w:rPr>
              <w:t>NR</w:t>
            </w:r>
          </w:p>
        </w:tc>
        <w:tc>
          <w:tcPr>
            <w:tcW w:w="495"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keepNext/>
              <w:widowControl/>
              <w:jc w:val="center"/>
              <w:rPr>
                <w:rFonts w:ascii="Arial Narrow" w:hAnsi="Arial Narrow"/>
                <w:sz w:val="20"/>
              </w:rPr>
            </w:pPr>
            <w:r w:rsidRPr="003C6C31">
              <w:rPr>
                <w:rFonts w:ascii="Arial Narrow" w:hAnsi="Arial Narrow"/>
                <w:sz w:val="20"/>
              </w:rPr>
              <w:t>NR</w:t>
            </w:r>
          </w:p>
        </w:tc>
      </w:tr>
    </w:tbl>
    <w:p w:rsidR="0099269F" w:rsidRPr="003C6C31" w:rsidRDefault="0099269F" w:rsidP="00785BBC">
      <w:pPr>
        <w:widowControl/>
        <w:ind w:left="851" w:hanging="131"/>
        <w:contextualSpacing/>
        <w:rPr>
          <w:rFonts w:ascii="Arial Narrow" w:hAnsi="Arial Narrow"/>
          <w:sz w:val="18"/>
          <w:szCs w:val="18"/>
          <w:lang w:eastAsia="zh-CN"/>
        </w:rPr>
      </w:pPr>
      <w:r w:rsidRPr="003C6C31">
        <w:rPr>
          <w:rFonts w:ascii="Arial Narrow" w:hAnsi="Arial Narrow"/>
          <w:sz w:val="18"/>
          <w:szCs w:val="18"/>
          <w:vertAlign w:val="superscript"/>
          <w:lang w:eastAsia="zh-CN"/>
        </w:rPr>
        <w:t>a</w:t>
      </w:r>
      <w:r w:rsidRPr="003C6C31">
        <w:rPr>
          <w:rFonts w:ascii="Arial Narrow" w:hAnsi="Arial Narrow"/>
          <w:sz w:val="18"/>
          <w:szCs w:val="18"/>
          <w:lang w:eastAsia="zh-CN"/>
        </w:rPr>
        <w:t xml:space="preserve"> The mean/median number of PGTC seizures per 28 days at pre-randomisation</w:t>
      </w:r>
    </w:p>
    <w:p w:rsidR="0099269F" w:rsidRPr="003C6C31" w:rsidRDefault="0099269F" w:rsidP="00785BBC">
      <w:pPr>
        <w:widowControl/>
        <w:ind w:left="851" w:hanging="131"/>
        <w:rPr>
          <w:rFonts w:ascii="Arial Narrow" w:hAnsi="Arial Narrow"/>
          <w:sz w:val="18"/>
          <w:szCs w:val="18"/>
        </w:rPr>
      </w:pPr>
      <w:r w:rsidRPr="003C6C31">
        <w:rPr>
          <w:rFonts w:ascii="Arial Narrow" w:hAnsi="Arial Narrow"/>
          <w:sz w:val="18"/>
          <w:szCs w:val="18"/>
          <w:vertAlign w:val="superscript"/>
        </w:rPr>
        <w:t>b</w:t>
      </w:r>
      <w:r w:rsidRPr="003C6C31">
        <w:rPr>
          <w:rFonts w:ascii="Arial Narrow" w:hAnsi="Arial Narrow"/>
          <w:sz w:val="18"/>
          <w:szCs w:val="18"/>
        </w:rPr>
        <w:t xml:space="preserve"> The mean/median number of PGTC  seizures per 28 days during the Titration and Maintenance Periods (combined)</w:t>
      </w:r>
    </w:p>
    <w:p w:rsidR="0099269F" w:rsidRPr="003C6C31" w:rsidRDefault="0099269F" w:rsidP="00785BBC">
      <w:pPr>
        <w:widowControl/>
        <w:ind w:left="851" w:hanging="131"/>
        <w:rPr>
          <w:rFonts w:ascii="Arial Narrow" w:hAnsi="Arial Narrow"/>
          <w:sz w:val="18"/>
          <w:szCs w:val="18"/>
        </w:rPr>
      </w:pPr>
      <w:r w:rsidRPr="003C6C31">
        <w:rPr>
          <w:rFonts w:ascii="Arial Narrow" w:hAnsi="Arial Narrow"/>
          <w:sz w:val="18"/>
          <w:szCs w:val="18"/>
          <w:vertAlign w:val="superscript"/>
        </w:rPr>
        <w:t>c</w:t>
      </w:r>
      <w:r w:rsidRPr="003C6C31">
        <w:rPr>
          <w:rFonts w:ascii="Arial Narrow" w:hAnsi="Arial Narrow"/>
          <w:sz w:val="18"/>
          <w:szCs w:val="18"/>
        </w:rPr>
        <w:t xml:space="preserve"> Median or mean percentage change from baseline</w:t>
      </w:r>
    </w:p>
    <w:p w:rsidR="00033E63" w:rsidRPr="003C6C31" w:rsidRDefault="00033E63" w:rsidP="00785BBC">
      <w:pPr>
        <w:widowControl/>
        <w:ind w:left="709" w:firstLine="11"/>
        <w:rPr>
          <w:rFonts w:ascii="Arial Narrow" w:hAnsi="Arial Narrow"/>
          <w:sz w:val="18"/>
          <w:szCs w:val="18"/>
          <w:u w:val="single"/>
        </w:rPr>
      </w:pPr>
      <w:r w:rsidRPr="003C6C31">
        <w:rPr>
          <w:rFonts w:ascii="Arial Narrow" w:hAnsi="Arial Narrow"/>
          <w:sz w:val="18"/>
          <w:szCs w:val="18"/>
        </w:rPr>
        <w:t xml:space="preserve">For the percent change in seizure frequency per 28 days for PGTC seizures, all seizures, and primary generalised seizure subtypes, the evaluation could not verify the median or mean percentage change in each treatment arm from the summary level data presented. </w:t>
      </w:r>
    </w:p>
    <w:p w:rsidR="0099269F" w:rsidRPr="003C6C31" w:rsidRDefault="0099269F" w:rsidP="00785BBC">
      <w:pPr>
        <w:widowControl/>
        <w:ind w:left="851" w:hanging="131"/>
        <w:rPr>
          <w:rFonts w:ascii="Arial Narrow" w:hAnsi="Arial Narrow"/>
          <w:sz w:val="18"/>
          <w:szCs w:val="18"/>
        </w:rPr>
      </w:pPr>
      <w:r w:rsidRPr="003C6C31">
        <w:rPr>
          <w:rFonts w:ascii="Arial Narrow" w:hAnsi="Arial Narrow"/>
          <w:sz w:val="18"/>
          <w:szCs w:val="18"/>
          <w:vertAlign w:val="superscript"/>
        </w:rPr>
        <w:t xml:space="preserve">d </w:t>
      </w:r>
      <w:r w:rsidRPr="003C6C31">
        <w:rPr>
          <w:rFonts w:ascii="Arial Narrow" w:hAnsi="Arial Narrow"/>
          <w:sz w:val="18"/>
          <w:szCs w:val="18"/>
        </w:rPr>
        <w:t>The median difference to placebo and the 95% confidence interval are based on the Hodges-Lehmann method</w:t>
      </w:r>
    </w:p>
    <w:p w:rsidR="0099269F" w:rsidRPr="003C6C31" w:rsidRDefault="0099269F" w:rsidP="00785BBC">
      <w:pPr>
        <w:widowControl/>
        <w:ind w:left="851" w:hanging="131"/>
        <w:rPr>
          <w:rFonts w:ascii="Arial Narrow" w:hAnsi="Arial Narrow"/>
          <w:sz w:val="18"/>
          <w:szCs w:val="18"/>
        </w:rPr>
      </w:pPr>
      <w:r w:rsidRPr="003C6C31">
        <w:rPr>
          <w:rFonts w:ascii="Arial Narrow" w:hAnsi="Arial Narrow"/>
          <w:sz w:val="18"/>
          <w:szCs w:val="18"/>
          <w:vertAlign w:val="superscript"/>
        </w:rPr>
        <w:t xml:space="preserve">e </w:t>
      </w:r>
      <w:r w:rsidRPr="003C6C31">
        <w:rPr>
          <w:rFonts w:ascii="Arial Narrow" w:hAnsi="Arial Narrow"/>
          <w:sz w:val="18"/>
          <w:szCs w:val="18"/>
        </w:rPr>
        <w:t>The P value is based on a rank analysis of covariance with treatment and pooled country as factors, and pre-randomisation seizure frequency as a covariate.</w:t>
      </w:r>
    </w:p>
    <w:p w:rsidR="0099269F" w:rsidRPr="003C6C31" w:rsidRDefault="0099269F" w:rsidP="00785BBC">
      <w:pPr>
        <w:pStyle w:val="TableFooter"/>
        <w:widowControl/>
        <w:ind w:left="709"/>
        <w:rPr>
          <w:szCs w:val="18"/>
        </w:rPr>
      </w:pPr>
      <w:r w:rsidRPr="003C6C31">
        <w:rPr>
          <w:szCs w:val="18"/>
        </w:rPr>
        <w:t xml:space="preserve">Note: the full analysis set </w:t>
      </w:r>
      <w:r w:rsidRPr="003C6C31">
        <w:t>included all patients who were randomised, took at least one dose of study medication and had any post-baseline seizure frequency data.</w:t>
      </w:r>
    </w:p>
    <w:p w:rsidR="005077DD" w:rsidRPr="003C6C31" w:rsidRDefault="005077DD" w:rsidP="00785BBC">
      <w:pPr>
        <w:widowControl/>
        <w:ind w:left="720"/>
        <w:contextualSpacing/>
        <w:rPr>
          <w:rFonts w:ascii="Arial Narrow" w:hAnsi="Arial Narrow"/>
          <w:sz w:val="18"/>
          <w:szCs w:val="18"/>
          <w:lang w:eastAsia="zh-CN"/>
        </w:rPr>
      </w:pPr>
      <w:r w:rsidRPr="003C6C31">
        <w:rPr>
          <w:rFonts w:ascii="Arial Narrow" w:hAnsi="Arial Narrow"/>
          <w:sz w:val="18"/>
          <w:szCs w:val="18"/>
          <w:lang w:eastAsia="zh-CN"/>
        </w:rPr>
        <w:t>CI = confidence interval; NR = not reported; PGTC = Primary Generalised Tonic-Clonic; SD = standard deviation</w:t>
      </w:r>
    </w:p>
    <w:p w:rsidR="0099269F" w:rsidRPr="003C6C31" w:rsidRDefault="0099269F" w:rsidP="00785BBC">
      <w:pPr>
        <w:widowControl/>
        <w:ind w:left="720"/>
        <w:contextualSpacing/>
        <w:rPr>
          <w:rFonts w:ascii="Arial Narrow" w:hAnsi="Arial Narrow"/>
          <w:sz w:val="18"/>
          <w:szCs w:val="18"/>
          <w:lang w:eastAsia="zh-CN"/>
        </w:rPr>
      </w:pPr>
      <w:r w:rsidRPr="00643247">
        <w:rPr>
          <w:rFonts w:ascii="Arial Narrow" w:hAnsi="Arial Narrow"/>
          <w:sz w:val="18"/>
          <w:szCs w:val="18"/>
        </w:rPr>
        <w:t xml:space="preserve">Source: </w:t>
      </w:r>
      <w:r w:rsidRPr="007B079A">
        <w:rPr>
          <w:rFonts w:ascii="Arial Narrow" w:hAnsi="Arial Narrow"/>
          <w:sz w:val="18"/>
          <w:szCs w:val="18"/>
        </w:rPr>
        <w:t xml:space="preserve">Table B.6.1, p49 of the submission; </w:t>
      </w:r>
      <w:r w:rsidRPr="007B079A">
        <w:rPr>
          <w:rFonts w:ascii="Arial Narrow" w:hAnsi="Arial Narrow"/>
          <w:sz w:val="18"/>
          <w:szCs w:val="18"/>
          <w:lang w:eastAsia="zh-CN"/>
        </w:rPr>
        <w:t>E2007-G000-332 Table 10, p.69</w:t>
      </w:r>
    </w:p>
    <w:p w:rsidR="00BE6EA8" w:rsidRPr="003C6C31" w:rsidRDefault="00BE6EA8" w:rsidP="00785BBC">
      <w:pPr>
        <w:widowControl/>
        <w:ind w:left="720"/>
        <w:contextualSpacing/>
        <w:rPr>
          <w:rFonts w:ascii="Arial Narrow" w:hAnsi="Arial Narrow"/>
          <w:sz w:val="18"/>
          <w:szCs w:val="18"/>
          <w:lang w:eastAsia="zh-CN"/>
        </w:rPr>
      </w:pPr>
    </w:p>
    <w:p w:rsidR="00BE6EA8" w:rsidRPr="003C6C31" w:rsidRDefault="00BE6EA8" w:rsidP="00785BBC">
      <w:pPr>
        <w:pStyle w:val="ListParagraph"/>
        <w:widowControl/>
        <w:numPr>
          <w:ilvl w:val="1"/>
          <w:numId w:val="7"/>
        </w:numPr>
        <w:rPr>
          <w:szCs w:val="22"/>
        </w:rPr>
      </w:pPr>
      <w:r w:rsidRPr="003C6C31">
        <w:rPr>
          <w:szCs w:val="22"/>
        </w:rPr>
        <w:t>Table 4 below summaries the results of the 50% responder rate during Maintenance Phase in Trial 332.</w:t>
      </w:r>
    </w:p>
    <w:p w:rsidR="00BE6EA8" w:rsidRPr="003C6C31" w:rsidRDefault="00BE6EA8" w:rsidP="00785BBC">
      <w:pPr>
        <w:pStyle w:val="ListParagraph"/>
        <w:widowControl/>
        <w:rPr>
          <w:szCs w:val="22"/>
        </w:rPr>
      </w:pPr>
    </w:p>
    <w:p w:rsidR="0099269F" w:rsidRPr="003C6C31" w:rsidRDefault="0099269F" w:rsidP="00785BBC">
      <w:pPr>
        <w:pStyle w:val="TableHeader"/>
        <w:widowControl/>
        <w:ind w:left="709"/>
      </w:pPr>
      <w:r w:rsidRPr="003C6C31">
        <w:t>Table 4: 50% responder rate</w:t>
      </w:r>
      <w:r w:rsidRPr="003C6C31">
        <w:rPr>
          <w:b w:val="0"/>
          <w:vertAlign w:val="superscript"/>
        </w:rPr>
        <w:t>a</w:t>
      </w:r>
      <w:r w:rsidRPr="003C6C31">
        <w:t xml:space="preserve"> </w:t>
      </w:r>
      <w:r w:rsidRPr="003C6C31">
        <w:rPr>
          <w:bCs/>
          <w:lang w:eastAsia="zh-CN"/>
        </w:rPr>
        <w:t>during the maintenance phase</w:t>
      </w:r>
      <w:r w:rsidR="005077DD" w:rsidRPr="003C6C31">
        <w:t xml:space="preserve"> – </w:t>
      </w:r>
      <w:r w:rsidRPr="003C6C31">
        <w:t>Full Analysis Set</w:t>
      </w:r>
    </w:p>
    <w:tbl>
      <w:tblPr>
        <w:tblW w:w="458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51"/>
        <w:gridCol w:w="2090"/>
        <w:gridCol w:w="2151"/>
        <w:gridCol w:w="1331"/>
      </w:tblGrid>
      <w:tr w:rsidR="0099269F" w:rsidRPr="003C6C31" w:rsidTr="00785BBC">
        <w:trPr>
          <w:cantSplit/>
          <w:trHeight w:val="617"/>
        </w:trPr>
        <w:tc>
          <w:tcPr>
            <w:tcW w:w="857" w:type="pct"/>
            <w:tcBorders>
              <w:top w:val="single" w:sz="4" w:space="0" w:color="auto"/>
              <w:left w:val="single" w:sz="4" w:space="0" w:color="auto"/>
              <w:right w:val="single" w:sz="4" w:space="0" w:color="auto"/>
            </w:tcBorders>
          </w:tcPr>
          <w:p w:rsidR="0099269F" w:rsidRPr="003C6C31" w:rsidRDefault="0099269F" w:rsidP="00785BBC">
            <w:pPr>
              <w:widowControl/>
              <w:spacing w:before="40" w:after="40"/>
              <w:jc w:val="center"/>
              <w:rPr>
                <w:rFonts w:ascii="Arial Narrow" w:hAnsi="Arial Narrow"/>
                <w:b/>
                <w:sz w:val="20"/>
              </w:rPr>
            </w:pPr>
            <w:r w:rsidRPr="003C6C31">
              <w:rPr>
                <w:rFonts w:ascii="Arial Narrow" w:hAnsi="Arial Narrow"/>
                <w:b/>
                <w:sz w:val="20"/>
              </w:rPr>
              <w:t>Perampanel,</w:t>
            </w:r>
          </w:p>
          <w:p w:rsidR="0099269F" w:rsidRPr="003C6C31" w:rsidRDefault="0099269F" w:rsidP="00785BBC">
            <w:pPr>
              <w:widowControl/>
              <w:spacing w:before="40" w:after="40"/>
              <w:jc w:val="center"/>
              <w:rPr>
                <w:rFonts w:ascii="Arial Narrow" w:hAnsi="Arial Narrow"/>
                <w:b/>
                <w:sz w:val="20"/>
              </w:rPr>
            </w:pPr>
            <w:r w:rsidRPr="003C6C31">
              <w:rPr>
                <w:rFonts w:ascii="Arial Narrow" w:hAnsi="Arial Narrow"/>
                <w:b/>
                <w:sz w:val="20"/>
              </w:rPr>
              <w:t>n/N (%)</w:t>
            </w:r>
          </w:p>
        </w:tc>
        <w:tc>
          <w:tcPr>
            <w:tcW w:w="856" w:type="pct"/>
            <w:tcBorders>
              <w:top w:val="single" w:sz="4" w:space="0" w:color="auto"/>
              <w:left w:val="single" w:sz="4" w:space="0" w:color="auto"/>
              <w:right w:val="single" w:sz="4" w:space="0" w:color="auto"/>
            </w:tcBorders>
            <w:hideMark/>
          </w:tcPr>
          <w:p w:rsidR="0099269F" w:rsidRPr="003C6C31" w:rsidRDefault="0099269F" w:rsidP="00785BBC">
            <w:pPr>
              <w:widowControl/>
              <w:spacing w:before="40" w:after="40"/>
              <w:jc w:val="center"/>
              <w:rPr>
                <w:rFonts w:ascii="Arial Narrow" w:hAnsi="Arial Narrow"/>
                <w:b/>
                <w:sz w:val="20"/>
              </w:rPr>
            </w:pPr>
            <w:r w:rsidRPr="003C6C31">
              <w:rPr>
                <w:rFonts w:ascii="Arial Narrow" w:hAnsi="Arial Narrow"/>
                <w:b/>
                <w:sz w:val="20"/>
              </w:rPr>
              <w:t>Placebo,</w:t>
            </w:r>
          </w:p>
          <w:p w:rsidR="0099269F" w:rsidRPr="003C6C31" w:rsidRDefault="0099269F" w:rsidP="00785BBC">
            <w:pPr>
              <w:widowControl/>
              <w:spacing w:before="40" w:after="40"/>
              <w:jc w:val="center"/>
              <w:rPr>
                <w:rFonts w:ascii="Arial Narrow" w:hAnsi="Arial Narrow"/>
                <w:b/>
                <w:sz w:val="20"/>
              </w:rPr>
            </w:pPr>
            <w:r w:rsidRPr="003C6C31">
              <w:rPr>
                <w:rFonts w:ascii="Arial Narrow" w:hAnsi="Arial Narrow"/>
                <w:b/>
                <w:sz w:val="20"/>
              </w:rPr>
              <w:t>n/N (%)</w:t>
            </w:r>
          </w:p>
        </w:tc>
        <w:tc>
          <w:tcPr>
            <w:tcW w:w="1233" w:type="pct"/>
            <w:tcBorders>
              <w:top w:val="single" w:sz="4" w:space="0" w:color="auto"/>
              <w:left w:val="single" w:sz="4" w:space="0" w:color="auto"/>
              <w:right w:val="single" w:sz="4" w:space="0" w:color="auto"/>
            </w:tcBorders>
          </w:tcPr>
          <w:p w:rsidR="0099269F" w:rsidRPr="003C6C31" w:rsidRDefault="0099269F" w:rsidP="00785BBC">
            <w:pPr>
              <w:widowControl/>
              <w:spacing w:before="40" w:after="40"/>
              <w:jc w:val="center"/>
              <w:rPr>
                <w:rFonts w:ascii="Arial Narrow" w:hAnsi="Arial Narrow"/>
                <w:b/>
                <w:sz w:val="20"/>
              </w:rPr>
            </w:pPr>
            <w:r w:rsidRPr="003C6C31">
              <w:rPr>
                <w:rFonts w:ascii="Arial Narrow" w:hAnsi="Arial Narrow"/>
                <w:b/>
                <w:sz w:val="20"/>
              </w:rPr>
              <w:t>RD (95% CI)</w:t>
            </w:r>
          </w:p>
          <w:p w:rsidR="0099269F" w:rsidRPr="003C6C31" w:rsidRDefault="0099269F" w:rsidP="00785BBC">
            <w:pPr>
              <w:widowControl/>
              <w:spacing w:before="40" w:after="40"/>
              <w:jc w:val="center"/>
              <w:rPr>
                <w:rFonts w:ascii="Arial Narrow" w:hAnsi="Arial Narrow"/>
                <w:b/>
                <w:sz w:val="20"/>
              </w:rPr>
            </w:pPr>
            <w:r w:rsidRPr="003C6C31">
              <w:rPr>
                <w:rFonts w:ascii="Arial Narrow" w:hAnsi="Arial Narrow"/>
                <w:b/>
                <w:sz w:val="20"/>
              </w:rPr>
              <w:t>Perampanel vs placebo</w:t>
            </w:r>
          </w:p>
        </w:tc>
        <w:tc>
          <w:tcPr>
            <w:tcW w:w="1269" w:type="pct"/>
            <w:tcBorders>
              <w:top w:val="single" w:sz="4" w:space="0" w:color="auto"/>
              <w:left w:val="single" w:sz="4" w:space="0" w:color="auto"/>
              <w:right w:val="single" w:sz="4" w:space="0" w:color="auto"/>
            </w:tcBorders>
          </w:tcPr>
          <w:p w:rsidR="0099269F" w:rsidRPr="003C6C31" w:rsidRDefault="0099269F" w:rsidP="00785BBC">
            <w:pPr>
              <w:widowControl/>
              <w:spacing w:before="40" w:after="40"/>
              <w:jc w:val="center"/>
              <w:rPr>
                <w:rFonts w:ascii="Arial Narrow" w:hAnsi="Arial Narrow"/>
                <w:b/>
                <w:sz w:val="20"/>
              </w:rPr>
            </w:pPr>
            <w:r w:rsidRPr="003C6C31">
              <w:rPr>
                <w:rFonts w:ascii="Arial Narrow" w:hAnsi="Arial Narrow"/>
                <w:b/>
                <w:sz w:val="20"/>
              </w:rPr>
              <w:t>RR (95% CI)</w:t>
            </w:r>
          </w:p>
          <w:p w:rsidR="0099269F" w:rsidRPr="003C6C31" w:rsidRDefault="0099269F" w:rsidP="00785BBC">
            <w:pPr>
              <w:widowControl/>
              <w:spacing w:before="40" w:after="40"/>
              <w:jc w:val="center"/>
              <w:rPr>
                <w:rFonts w:ascii="Arial Narrow" w:hAnsi="Arial Narrow"/>
                <w:b/>
                <w:sz w:val="20"/>
              </w:rPr>
            </w:pPr>
            <w:r w:rsidRPr="003C6C31">
              <w:rPr>
                <w:rFonts w:ascii="Arial Narrow" w:hAnsi="Arial Narrow"/>
                <w:b/>
                <w:sz w:val="20"/>
              </w:rPr>
              <w:t>Perampanel vs placebo</w:t>
            </w:r>
          </w:p>
        </w:tc>
        <w:tc>
          <w:tcPr>
            <w:tcW w:w="785" w:type="pct"/>
            <w:tcBorders>
              <w:top w:val="single" w:sz="4" w:space="0" w:color="auto"/>
              <w:left w:val="single" w:sz="4" w:space="0" w:color="auto"/>
              <w:bottom w:val="single" w:sz="4" w:space="0" w:color="auto"/>
              <w:right w:val="single" w:sz="4" w:space="0" w:color="auto"/>
            </w:tcBorders>
            <w:hideMark/>
          </w:tcPr>
          <w:p w:rsidR="0099269F" w:rsidRPr="003C6C31" w:rsidRDefault="0099269F" w:rsidP="00785BBC">
            <w:pPr>
              <w:widowControl/>
              <w:spacing w:before="40" w:after="40"/>
              <w:jc w:val="center"/>
              <w:rPr>
                <w:rFonts w:ascii="Arial Narrow" w:hAnsi="Arial Narrow"/>
                <w:b/>
                <w:sz w:val="20"/>
              </w:rPr>
            </w:pPr>
            <w:r w:rsidRPr="003C6C31">
              <w:rPr>
                <w:rFonts w:ascii="Arial Narrow" w:hAnsi="Arial Narrow"/>
                <w:b/>
                <w:sz w:val="20"/>
              </w:rPr>
              <w:t>P value</w:t>
            </w:r>
          </w:p>
          <w:p w:rsidR="0099269F" w:rsidRPr="003C6C31" w:rsidRDefault="0099269F" w:rsidP="00785BBC">
            <w:pPr>
              <w:widowControl/>
              <w:spacing w:before="40" w:after="40"/>
              <w:jc w:val="center"/>
              <w:rPr>
                <w:rFonts w:ascii="Arial Narrow" w:hAnsi="Arial Narrow"/>
                <w:b/>
                <w:sz w:val="20"/>
              </w:rPr>
            </w:pPr>
            <w:r w:rsidRPr="003C6C31">
              <w:rPr>
                <w:rFonts w:ascii="Arial Narrow" w:hAnsi="Arial Narrow"/>
                <w:b/>
                <w:sz w:val="20"/>
              </w:rPr>
              <w:t>Perampanel vs placebo</w:t>
            </w:r>
            <w:r w:rsidRPr="003C6C31">
              <w:rPr>
                <w:rFonts w:ascii="Arial Narrow" w:hAnsi="Arial Narrow"/>
                <w:b/>
                <w:sz w:val="20"/>
                <w:vertAlign w:val="superscript"/>
              </w:rPr>
              <w:t>b</w:t>
            </w:r>
          </w:p>
        </w:tc>
      </w:tr>
      <w:tr w:rsidR="0099269F" w:rsidRPr="003C6C31" w:rsidTr="00785BBC">
        <w:trPr>
          <w:cantSplit/>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99269F" w:rsidRPr="003C6C31" w:rsidRDefault="0099269F" w:rsidP="00785BBC">
            <w:pPr>
              <w:widowControl/>
              <w:spacing w:before="40" w:after="40"/>
              <w:jc w:val="left"/>
              <w:rPr>
                <w:rFonts w:ascii="Arial Narrow" w:hAnsi="Arial Narrow"/>
                <w:sz w:val="20"/>
              </w:rPr>
            </w:pPr>
            <w:r w:rsidRPr="003C6C31">
              <w:rPr>
                <w:rFonts w:ascii="Arial Narrow" w:hAnsi="Arial Narrow"/>
                <w:b/>
                <w:sz w:val="20"/>
              </w:rPr>
              <w:t>PGTC</w:t>
            </w:r>
            <w:r w:rsidRPr="003C6C31">
              <w:rPr>
                <w:rFonts w:ascii="Arial Narrow" w:hAnsi="Arial Narrow"/>
                <w:sz w:val="20"/>
              </w:rPr>
              <w:t xml:space="preserve"> </w:t>
            </w:r>
            <w:r w:rsidRPr="003C6C31">
              <w:rPr>
                <w:rFonts w:ascii="Arial Narrow" w:hAnsi="Arial Narrow"/>
                <w:b/>
                <w:sz w:val="20"/>
              </w:rPr>
              <w:t>n/N (%)</w:t>
            </w:r>
          </w:p>
        </w:tc>
      </w:tr>
      <w:tr w:rsidR="0099269F" w:rsidRPr="003C6C31" w:rsidTr="00785BBC">
        <w:trPr>
          <w:cantSplit/>
          <w:trHeight w:val="70"/>
        </w:trPr>
        <w:tc>
          <w:tcPr>
            <w:tcW w:w="857"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widowControl/>
              <w:spacing w:before="40" w:after="40"/>
              <w:jc w:val="center"/>
              <w:rPr>
                <w:rFonts w:ascii="Arial Narrow" w:hAnsi="Arial Narrow"/>
                <w:sz w:val="20"/>
              </w:rPr>
            </w:pPr>
            <w:r w:rsidRPr="003C6C31">
              <w:rPr>
                <w:rFonts w:ascii="Arial Narrow" w:hAnsi="Arial Narrow"/>
                <w:sz w:val="20"/>
              </w:rPr>
              <w:t>52/81 (64.2%)</w:t>
            </w:r>
          </w:p>
        </w:tc>
        <w:tc>
          <w:tcPr>
            <w:tcW w:w="856"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widowControl/>
              <w:spacing w:before="40" w:after="40"/>
              <w:jc w:val="center"/>
              <w:rPr>
                <w:rFonts w:ascii="Arial Narrow" w:hAnsi="Arial Narrow"/>
                <w:sz w:val="20"/>
              </w:rPr>
            </w:pPr>
            <w:r w:rsidRPr="003C6C31">
              <w:rPr>
                <w:rFonts w:ascii="Arial Narrow" w:hAnsi="Arial Narrow"/>
                <w:sz w:val="20"/>
              </w:rPr>
              <w:t>32/81 (39.5%)</w:t>
            </w:r>
          </w:p>
        </w:tc>
        <w:tc>
          <w:tcPr>
            <w:tcW w:w="1233" w:type="pct"/>
            <w:tcBorders>
              <w:top w:val="single" w:sz="4" w:space="0" w:color="auto"/>
              <w:left w:val="single" w:sz="4" w:space="0" w:color="auto"/>
              <w:bottom w:val="single" w:sz="4" w:space="0" w:color="auto"/>
              <w:right w:val="single" w:sz="4" w:space="0" w:color="auto"/>
            </w:tcBorders>
          </w:tcPr>
          <w:p w:rsidR="0099269F" w:rsidRPr="003C6C31" w:rsidRDefault="0099269F" w:rsidP="00785BBC">
            <w:pPr>
              <w:widowControl/>
              <w:spacing w:before="40" w:after="40"/>
              <w:jc w:val="center"/>
              <w:rPr>
                <w:rFonts w:ascii="Arial Narrow" w:hAnsi="Arial Narrow"/>
                <w:sz w:val="20"/>
              </w:rPr>
            </w:pPr>
            <w:r w:rsidRPr="003C6C31">
              <w:rPr>
                <w:rFonts w:ascii="Arial Narrow" w:hAnsi="Arial Narrow"/>
                <w:sz w:val="20"/>
              </w:rPr>
              <w:t>24.7% (9.8%, 39.6%)</w:t>
            </w:r>
          </w:p>
        </w:tc>
        <w:tc>
          <w:tcPr>
            <w:tcW w:w="1269" w:type="pct"/>
            <w:tcBorders>
              <w:top w:val="single" w:sz="4" w:space="0" w:color="auto"/>
              <w:left w:val="single" w:sz="4" w:space="0" w:color="auto"/>
              <w:bottom w:val="single" w:sz="4" w:space="0" w:color="auto"/>
              <w:right w:val="single" w:sz="4" w:space="0" w:color="auto"/>
            </w:tcBorders>
          </w:tcPr>
          <w:p w:rsidR="0099269F" w:rsidRPr="003C6C31" w:rsidRDefault="0099269F" w:rsidP="00785BBC">
            <w:pPr>
              <w:widowControl/>
              <w:spacing w:before="40" w:after="40"/>
              <w:jc w:val="center"/>
              <w:rPr>
                <w:rFonts w:ascii="Arial Narrow" w:hAnsi="Arial Narrow"/>
                <w:sz w:val="20"/>
              </w:rPr>
            </w:pPr>
            <w:r w:rsidRPr="003C6C31">
              <w:rPr>
                <w:rFonts w:ascii="Arial Narrow" w:hAnsi="Arial Narrow"/>
                <w:sz w:val="20"/>
              </w:rPr>
              <w:t>1.6 (1.2, 2.2)</w:t>
            </w:r>
          </w:p>
        </w:tc>
        <w:tc>
          <w:tcPr>
            <w:tcW w:w="785" w:type="pct"/>
            <w:tcBorders>
              <w:top w:val="single" w:sz="4" w:space="0" w:color="auto"/>
              <w:left w:val="single" w:sz="4" w:space="0" w:color="auto"/>
              <w:bottom w:val="single" w:sz="4" w:space="0" w:color="auto"/>
              <w:right w:val="single" w:sz="4" w:space="0" w:color="auto"/>
            </w:tcBorders>
            <w:vAlign w:val="center"/>
            <w:hideMark/>
          </w:tcPr>
          <w:p w:rsidR="0099269F" w:rsidRPr="003C6C31" w:rsidRDefault="0099269F" w:rsidP="00785BBC">
            <w:pPr>
              <w:widowControl/>
              <w:spacing w:before="40" w:after="40"/>
              <w:jc w:val="center"/>
              <w:rPr>
                <w:rFonts w:ascii="Arial Narrow" w:hAnsi="Arial Narrow"/>
                <w:sz w:val="20"/>
              </w:rPr>
            </w:pPr>
            <w:r w:rsidRPr="003C6C31">
              <w:rPr>
                <w:rFonts w:ascii="Arial Narrow" w:hAnsi="Arial Narrow"/>
                <w:sz w:val="20"/>
              </w:rPr>
              <w:t>0.002</w:t>
            </w:r>
          </w:p>
        </w:tc>
      </w:tr>
      <w:tr w:rsidR="0099269F" w:rsidRPr="003C6C31" w:rsidTr="00785BBC">
        <w:trPr>
          <w:cantSplit/>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99269F" w:rsidRPr="003C6C31" w:rsidRDefault="0099269F" w:rsidP="00785BBC">
            <w:pPr>
              <w:widowControl/>
              <w:spacing w:before="40" w:after="40"/>
              <w:jc w:val="left"/>
              <w:rPr>
                <w:rFonts w:ascii="Arial Narrow" w:hAnsi="Arial Narrow"/>
                <w:sz w:val="20"/>
              </w:rPr>
            </w:pPr>
            <w:r w:rsidRPr="003C6C31">
              <w:rPr>
                <w:rFonts w:ascii="Arial Narrow" w:hAnsi="Arial Narrow"/>
                <w:b/>
                <w:sz w:val="20"/>
              </w:rPr>
              <w:t>Absence n/N (%)</w:t>
            </w:r>
          </w:p>
        </w:tc>
      </w:tr>
      <w:tr w:rsidR="0099269F" w:rsidRPr="003C6C31" w:rsidTr="00785BBC">
        <w:trPr>
          <w:cantSplit/>
          <w:trHeight w:val="70"/>
        </w:trPr>
        <w:tc>
          <w:tcPr>
            <w:tcW w:w="857" w:type="pct"/>
            <w:tcBorders>
              <w:top w:val="single" w:sz="4" w:space="0" w:color="auto"/>
              <w:left w:val="single" w:sz="4" w:space="0" w:color="auto"/>
              <w:bottom w:val="single" w:sz="4" w:space="0" w:color="auto"/>
              <w:right w:val="single" w:sz="4" w:space="0" w:color="auto"/>
            </w:tcBorders>
            <w:vAlign w:val="center"/>
          </w:tcPr>
          <w:p w:rsidR="0099269F" w:rsidRPr="003C6C31" w:rsidRDefault="0099269F" w:rsidP="00785BBC">
            <w:pPr>
              <w:widowControl/>
              <w:spacing w:before="40" w:after="40"/>
              <w:jc w:val="center"/>
              <w:rPr>
                <w:rFonts w:ascii="Arial Narrow" w:hAnsi="Arial Narrow"/>
                <w:sz w:val="20"/>
              </w:rPr>
            </w:pPr>
            <w:r w:rsidRPr="003C6C31">
              <w:rPr>
                <w:rFonts w:ascii="Arial Narrow" w:hAnsi="Arial Narrow"/>
                <w:sz w:val="20"/>
              </w:rPr>
              <w:t>13/27 (48.1%)</w:t>
            </w:r>
          </w:p>
        </w:tc>
        <w:tc>
          <w:tcPr>
            <w:tcW w:w="856" w:type="pct"/>
            <w:tcBorders>
              <w:top w:val="single" w:sz="4" w:space="0" w:color="auto"/>
              <w:left w:val="single" w:sz="4" w:space="0" w:color="auto"/>
              <w:bottom w:val="single" w:sz="4" w:space="0" w:color="auto"/>
              <w:right w:val="single" w:sz="4" w:space="0" w:color="auto"/>
            </w:tcBorders>
            <w:vAlign w:val="center"/>
          </w:tcPr>
          <w:p w:rsidR="0099269F" w:rsidRPr="003C6C31" w:rsidRDefault="0099269F" w:rsidP="00785BBC">
            <w:pPr>
              <w:widowControl/>
              <w:spacing w:before="40" w:after="40"/>
              <w:jc w:val="center"/>
              <w:rPr>
                <w:rFonts w:ascii="Arial Narrow" w:hAnsi="Arial Narrow"/>
                <w:sz w:val="20"/>
              </w:rPr>
            </w:pPr>
            <w:r w:rsidRPr="003C6C31">
              <w:rPr>
                <w:rFonts w:ascii="Arial Narrow" w:hAnsi="Arial Narrow"/>
                <w:sz w:val="20"/>
              </w:rPr>
              <w:t>13/33 (39.4%)</w:t>
            </w:r>
          </w:p>
        </w:tc>
        <w:tc>
          <w:tcPr>
            <w:tcW w:w="1233" w:type="pct"/>
            <w:tcBorders>
              <w:top w:val="single" w:sz="4" w:space="0" w:color="auto"/>
              <w:left w:val="single" w:sz="4" w:space="0" w:color="auto"/>
              <w:bottom w:val="single" w:sz="4" w:space="0" w:color="auto"/>
              <w:right w:val="single" w:sz="4" w:space="0" w:color="auto"/>
            </w:tcBorders>
          </w:tcPr>
          <w:p w:rsidR="0099269F" w:rsidRPr="003C6C31" w:rsidRDefault="0099269F" w:rsidP="00785BBC">
            <w:pPr>
              <w:widowControl/>
              <w:spacing w:before="40" w:after="40"/>
              <w:jc w:val="center"/>
              <w:rPr>
                <w:rFonts w:ascii="Arial Narrow" w:hAnsi="Arial Narrow"/>
                <w:sz w:val="20"/>
              </w:rPr>
            </w:pPr>
            <w:r w:rsidRPr="003C6C31">
              <w:rPr>
                <w:rFonts w:ascii="Arial Narrow" w:hAnsi="Arial Narrow"/>
                <w:sz w:val="20"/>
              </w:rPr>
              <w:t>8.8%</w:t>
            </w:r>
          </w:p>
          <w:p w:rsidR="0099269F" w:rsidRPr="003C6C31" w:rsidRDefault="0099269F" w:rsidP="00785BBC">
            <w:pPr>
              <w:widowControl/>
              <w:spacing w:before="40" w:after="40"/>
              <w:jc w:val="center"/>
              <w:rPr>
                <w:rFonts w:ascii="Arial Narrow" w:hAnsi="Arial Narrow"/>
                <w:sz w:val="20"/>
              </w:rPr>
            </w:pPr>
            <w:r w:rsidRPr="003C6C31">
              <w:rPr>
                <w:rFonts w:ascii="Arial Narrow" w:hAnsi="Arial Narrow"/>
                <w:sz w:val="20"/>
              </w:rPr>
              <w:t>(-16.4%, 33.9%)</w:t>
            </w:r>
          </w:p>
        </w:tc>
        <w:tc>
          <w:tcPr>
            <w:tcW w:w="1269" w:type="pct"/>
            <w:tcBorders>
              <w:top w:val="single" w:sz="4" w:space="0" w:color="auto"/>
              <w:left w:val="single" w:sz="4" w:space="0" w:color="auto"/>
              <w:bottom w:val="single" w:sz="4" w:space="0" w:color="auto"/>
              <w:right w:val="single" w:sz="4" w:space="0" w:color="auto"/>
            </w:tcBorders>
          </w:tcPr>
          <w:p w:rsidR="0099269F" w:rsidRPr="003C6C31" w:rsidRDefault="0099269F" w:rsidP="00785BBC">
            <w:pPr>
              <w:widowControl/>
              <w:spacing w:before="40" w:after="40"/>
              <w:jc w:val="center"/>
              <w:rPr>
                <w:rFonts w:ascii="Arial Narrow" w:hAnsi="Arial Narrow"/>
                <w:sz w:val="20"/>
              </w:rPr>
            </w:pPr>
            <w:r w:rsidRPr="003C6C31">
              <w:rPr>
                <w:rFonts w:ascii="Arial Narrow" w:hAnsi="Arial Narrow"/>
                <w:sz w:val="20"/>
              </w:rPr>
              <w:t>1.2</w:t>
            </w:r>
          </w:p>
          <w:p w:rsidR="0099269F" w:rsidRPr="003C6C31" w:rsidRDefault="0099269F" w:rsidP="00785BBC">
            <w:pPr>
              <w:widowControl/>
              <w:spacing w:before="40" w:after="40"/>
              <w:jc w:val="center"/>
              <w:rPr>
                <w:rFonts w:ascii="Arial Narrow" w:hAnsi="Arial Narrow"/>
                <w:sz w:val="20"/>
              </w:rPr>
            </w:pPr>
            <w:r w:rsidRPr="003C6C31">
              <w:rPr>
                <w:rFonts w:ascii="Arial Narrow" w:hAnsi="Arial Narrow"/>
                <w:sz w:val="20"/>
              </w:rPr>
              <w:t>(0.7, 2.2)</w:t>
            </w:r>
          </w:p>
        </w:tc>
        <w:tc>
          <w:tcPr>
            <w:tcW w:w="785" w:type="pct"/>
            <w:tcBorders>
              <w:top w:val="single" w:sz="4" w:space="0" w:color="auto"/>
              <w:left w:val="single" w:sz="4" w:space="0" w:color="auto"/>
              <w:bottom w:val="single" w:sz="4" w:space="0" w:color="auto"/>
              <w:right w:val="single" w:sz="4" w:space="0" w:color="auto"/>
            </w:tcBorders>
            <w:vAlign w:val="center"/>
          </w:tcPr>
          <w:p w:rsidR="0099269F" w:rsidRPr="003C6C31" w:rsidRDefault="005077DD" w:rsidP="00785BBC">
            <w:pPr>
              <w:widowControl/>
              <w:spacing w:before="40" w:after="40"/>
              <w:jc w:val="center"/>
              <w:rPr>
                <w:rFonts w:ascii="Arial Narrow" w:hAnsi="Arial Narrow"/>
                <w:sz w:val="20"/>
              </w:rPr>
            </w:pPr>
            <w:r w:rsidRPr="003C6C31">
              <w:rPr>
                <w:rFonts w:ascii="Arial Narrow" w:hAnsi="Arial Narrow"/>
                <w:sz w:val="20"/>
              </w:rPr>
              <w:t>0.47</w:t>
            </w:r>
          </w:p>
        </w:tc>
      </w:tr>
      <w:tr w:rsidR="0099269F" w:rsidRPr="003C6C31" w:rsidTr="00785BBC">
        <w:trPr>
          <w:cantSplit/>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99269F" w:rsidRPr="003C6C31" w:rsidRDefault="0099269F" w:rsidP="00785BBC">
            <w:pPr>
              <w:widowControl/>
              <w:spacing w:before="40" w:after="40"/>
              <w:jc w:val="left"/>
              <w:rPr>
                <w:rFonts w:ascii="Arial Narrow" w:hAnsi="Arial Narrow"/>
                <w:sz w:val="20"/>
              </w:rPr>
            </w:pPr>
            <w:r w:rsidRPr="003C6C31">
              <w:rPr>
                <w:rFonts w:ascii="Arial Narrow" w:hAnsi="Arial Narrow"/>
                <w:b/>
                <w:sz w:val="20"/>
              </w:rPr>
              <w:t>Myoclonic n/N (%)</w:t>
            </w:r>
          </w:p>
        </w:tc>
      </w:tr>
      <w:tr w:rsidR="0099269F" w:rsidRPr="003C6C31" w:rsidTr="00785BBC">
        <w:trPr>
          <w:cantSplit/>
          <w:trHeight w:val="70"/>
        </w:trPr>
        <w:tc>
          <w:tcPr>
            <w:tcW w:w="857" w:type="pct"/>
            <w:tcBorders>
              <w:top w:val="single" w:sz="4" w:space="0" w:color="auto"/>
              <w:left w:val="single" w:sz="4" w:space="0" w:color="auto"/>
              <w:bottom w:val="single" w:sz="4" w:space="0" w:color="auto"/>
              <w:right w:val="single" w:sz="4" w:space="0" w:color="auto"/>
            </w:tcBorders>
            <w:vAlign w:val="center"/>
          </w:tcPr>
          <w:p w:rsidR="0099269F" w:rsidRPr="003C6C31" w:rsidRDefault="0099269F" w:rsidP="00785BBC">
            <w:pPr>
              <w:widowControl/>
              <w:spacing w:before="40" w:after="40"/>
              <w:jc w:val="center"/>
              <w:rPr>
                <w:rFonts w:ascii="Arial Narrow" w:hAnsi="Arial Narrow"/>
                <w:sz w:val="20"/>
              </w:rPr>
            </w:pPr>
            <w:r w:rsidRPr="003C6C31">
              <w:rPr>
                <w:rFonts w:ascii="Arial Narrow" w:hAnsi="Arial Narrow"/>
                <w:sz w:val="20"/>
              </w:rPr>
              <w:t>10/24 (41.7%)</w:t>
            </w:r>
          </w:p>
        </w:tc>
        <w:tc>
          <w:tcPr>
            <w:tcW w:w="856" w:type="pct"/>
            <w:tcBorders>
              <w:top w:val="single" w:sz="4" w:space="0" w:color="auto"/>
              <w:left w:val="single" w:sz="4" w:space="0" w:color="auto"/>
              <w:bottom w:val="single" w:sz="4" w:space="0" w:color="auto"/>
              <w:right w:val="single" w:sz="4" w:space="0" w:color="auto"/>
            </w:tcBorders>
            <w:vAlign w:val="center"/>
          </w:tcPr>
          <w:p w:rsidR="0099269F" w:rsidRPr="003C6C31" w:rsidRDefault="0099269F" w:rsidP="00785BBC">
            <w:pPr>
              <w:widowControl/>
              <w:spacing w:before="40" w:after="40"/>
              <w:jc w:val="center"/>
              <w:rPr>
                <w:rFonts w:ascii="Arial Narrow" w:hAnsi="Arial Narrow"/>
                <w:sz w:val="20"/>
              </w:rPr>
            </w:pPr>
            <w:r w:rsidRPr="003C6C31">
              <w:rPr>
                <w:rFonts w:ascii="Arial Narrow" w:hAnsi="Arial Narrow"/>
                <w:sz w:val="20"/>
              </w:rPr>
              <w:t>14/23 (60.9%)</w:t>
            </w:r>
          </w:p>
        </w:tc>
        <w:tc>
          <w:tcPr>
            <w:tcW w:w="1233" w:type="pct"/>
            <w:tcBorders>
              <w:top w:val="single" w:sz="4" w:space="0" w:color="auto"/>
              <w:left w:val="single" w:sz="4" w:space="0" w:color="auto"/>
              <w:bottom w:val="single" w:sz="4" w:space="0" w:color="auto"/>
              <w:right w:val="single" w:sz="4" w:space="0" w:color="auto"/>
            </w:tcBorders>
          </w:tcPr>
          <w:p w:rsidR="0099269F" w:rsidRPr="003C6C31" w:rsidRDefault="0099269F" w:rsidP="00785BBC">
            <w:pPr>
              <w:widowControl/>
              <w:spacing w:before="40" w:after="40"/>
              <w:jc w:val="center"/>
              <w:rPr>
                <w:rFonts w:ascii="Arial Narrow" w:hAnsi="Arial Narrow"/>
                <w:sz w:val="20"/>
              </w:rPr>
            </w:pPr>
            <w:r w:rsidRPr="003C6C31">
              <w:rPr>
                <w:rFonts w:ascii="Arial Narrow" w:hAnsi="Arial Narrow"/>
                <w:sz w:val="20"/>
              </w:rPr>
              <w:t>-19.2%</w:t>
            </w:r>
          </w:p>
          <w:p w:rsidR="0099269F" w:rsidRPr="003C6C31" w:rsidRDefault="0099269F" w:rsidP="00785BBC">
            <w:pPr>
              <w:widowControl/>
              <w:spacing w:before="40" w:after="40"/>
              <w:jc w:val="center"/>
              <w:rPr>
                <w:rFonts w:ascii="Arial Narrow" w:hAnsi="Arial Narrow"/>
                <w:sz w:val="20"/>
              </w:rPr>
            </w:pPr>
            <w:r w:rsidRPr="003C6C31">
              <w:rPr>
                <w:rFonts w:ascii="Arial Narrow" w:hAnsi="Arial Narrow"/>
                <w:sz w:val="20"/>
              </w:rPr>
              <w:t>(-47.3%, 8.8%)</w:t>
            </w:r>
          </w:p>
        </w:tc>
        <w:tc>
          <w:tcPr>
            <w:tcW w:w="1269" w:type="pct"/>
            <w:tcBorders>
              <w:top w:val="single" w:sz="4" w:space="0" w:color="auto"/>
              <w:left w:val="single" w:sz="4" w:space="0" w:color="auto"/>
              <w:bottom w:val="single" w:sz="4" w:space="0" w:color="auto"/>
              <w:right w:val="single" w:sz="4" w:space="0" w:color="auto"/>
            </w:tcBorders>
          </w:tcPr>
          <w:p w:rsidR="0099269F" w:rsidRPr="003C6C31" w:rsidRDefault="0099269F" w:rsidP="00785BBC">
            <w:pPr>
              <w:widowControl/>
              <w:spacing w:before="40" w:after="40"/>
              <w:jc w:val="center"/>
              <w:rPr>
                <w:rFonts w:ascii="Arial Narrow" w:hAnsi="Arial Narrow"/>
                <w:sz w:val="20"/>
              </w:rPr>
            </w:pPr>
            <w:r w:rsidRPr="003C6C31">
              <w:rPr>
                <w:rFonts w:ascii="Arial Narrow" w:hAnsi="Arial Narrow"/>
                <w:sz w:val="20"/>
              </w:rPr>
              <w:t>0.7</w:t>
            </w:r>
          </w:p>
          <w:p w:rsidR="0099269F" w:rsidRPr="003C6C31" w:rsidRDefault="0099269F" w:rsidP="00785BBC">
            <w:pPr>
              <w:widowControl/>
              <w:spacing w:before="40" w:after="40"/>
              <w:jc w:val="center"/>
              <w:rPr>
                <w:rFonts w:ascii="Arial Narrow" w:hAnsi="Arial Narrow"/>
                <w:sz w:val="20"/>
              </w:rPr>
            </w:pPr>
            <w:r w:rsidRPr="003C6C31">
              <w:rPr>
                <w:rFonts w:ascii="Arial Narrow" w:hAnsi="Arial Narrow"/>
                <w:sz w:val="20"/>
              </w:rPr>
              <w:t>(0.4, 1.2)</w:t>
            </w:r>
          </w:p>
        </w:tc>
        <w:tc>
          <w:tcPr>
            <w:tcW w:w="785" w:type="pct"/>
            <w:tcBorders>
              <w:top w:val="single" w:sz="4" w:space="0" w:color="auto"/>
              <w:left w:val="single" w:sz="4" w:space="0" w:color="auto"/>
              <w:bottom w:val="single" w:sz="4" w:space="0" w:color="auto"/>
              <w:right w:val="single" w:sz="4" w:space="0" w:color="auto"/>
            </w:tcBorders>
            <w:vAlign w:val="center"/>
          </w:tcPr>
          <w:p w:rsidR="0099269F" w:rsidRPr="003C6C31" w:rsidRDefault="005077DD" w:rsidP="00785BBC">
            <w:pPr>
              <w:widowControl/>
              <w:spacing w:before="40" w:after="40"/>
              <w:jc w:val="center"/>
              <w:rPr>
                <w:rFonts w:ascii="Arial Narrow" w:hAnsi="Arial Narrow"/>
                <w:sz w:val="20"/>
              </w:rPr>
            </w:pPr>
            <w:r w:rsidRPr="003C6C31">
              <w:rPr>
                <w:rFonts w:ascii="Arial Narrow" w:hAnsi="Arial Narrow"/>
                <w:sz w:val="20"/>
              </w:rPr>
              <w:t>0.37</w:t>
            </w:r>
          </w:p>
        </w:tc>
      </w:tr>
      <w:tr w:rsidR="00D67736" w:rsidRPr="003C6C31" w:rsidTr="00785BBC">
        <w:trPr>
          <w:cantSplit/>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D67736" w:rsidRPr="003C6C31" w:rsidRDefault="00D67736" w:rsidP="00785BBC">
            <w:pPr>
              <w:widowControl/>
              <w:spacing w:before="40" w:after="40"/>
              <w:jc w:val="left"/>
              <w:rPr>
                <w:rFonts w:ascii="Arial Narrow" w:hAnsi="Arial Narrow"/>
                <w:b/>
                <w:sz w:val="20"/>
              </w:rPr>
            </w:pPr>
            <w:r w:rsidRPr="003C6C31">
              <w:rPr>
                <w:rFonts w:ascii="Arial Narrow" w:hAnsi="Arial Narrow"/>
                <w:b/>
                <w:sz w:val="20"/>
              </w:rPr>
              <w:t>All types n/N(%)</w:t>
            </w:r>
          </w:p>
        </w:tc>
      </w:tr>
      <w:tr w:rsidR="00D67736" w:rsidRPr="003C6C31" w:rsidTr="00785BBC">
        <w:trPr>
          <w:cantSplit/>
          <w:trHeight w:val="70"/>
        </w:trPr>
        <w:tc>
          <w:tcPr>
            <w:tcW w:w="857" w:type="pct"/>
            <w:tcBorders>
              <w:top w:val="single" w:sz="4" w:space="0" w:color="auto"/>
              <w:left w:val="single" w:sz="4" w:space="0" w:color="auto"/>
              <w:bottom w:val="single" w:sz="4" w:space="0" w:color="auto"/>
              <w:right w:val="single" w:sz="4" w:space="0" w:color="auto"/>
            </w:tcBorders>
            <w:vAlign w:val="center"/>
          </w:tcPr>
          <w:p w:rsidR="00D67736" w:rsidRPr="003C6C31" w:rsidRDefault="00D67736" w:rsidP="00785BBC">
            <w:pPr>
              <w:widowControl/>
              <w:spacing w:before="40" w:after="40"/>
              <w:jc w:val="center"/>
              <w:rPr>
                <w:rFonts w:ascii="Arial Narrow" w:hAnsi="Arial Narrow"/>
                <w:sz w:val="20"/>
              </w:rPr>
            </w:pPr>
            <w:r w:rsidRPr="003C6C31">
              <w:rPr>
                <w:rFonts w:ascii="Arial Narrow" w:hAnsi="Arial Narrow"/>
                <w:sz w:val="20"/>
              </w:rPr>
              <w:t>37/81 (45.7)</w:t>
            </w:r>
          </w:p>
        </w:tc>
        <w:tc>
          <w:tcPr>
            <w:tcW w:w="856" w:type="pct"/>
            <w:tcBorders>
              <w:top w:val="single" w:sz="4" w:space="0" w:color="auto"/>
              <w:left w:val="single" w:sz="4" w:space="0" w:color="auto"/>
              <w:bottom w:val="single" w:sz="4" w:space="0" w:color="auto"/>
              <w:right w:val="single" w:sz="4" w:space="0" w:color="auto"/>
            </w:tcBorders>
            <w:vAlign w:val="center"/>
          </w:tcPr>
          <w:p w:rsidR="00D67736" w:rsidRPr="003C6C31" w:rsidRDefault="00D67736" w:rsidP="00785BBC">
            <w:pPr>
              <w:widowControl/>
              <w:spacing w:before="40" w:after="40"/>
              <w:jc w:val="center"/>
              <w:rPr>
                <w:rFonts w:ascii="Arial Narrow" w:hAnsi="Arial Narrow"/>
                <w:sz w:val="20"/>
              </w:rPr>
            </w:pPr>
            <w:r w:rsidRPr="003C6C31">
              <w:rPr>
                <w:rFonts w:ascii="Arial Narrow" w:hAnsi="Arial Narrow"/>
                <w:sz w:val="20"/>
              </w:rPr>
              <w:t>28/81 (34.6)</w:t>
            </w:r>
          </w:p>
        </w:tc>
        <w:tc>
          <w:tcPr>
            <w:tcW w:w="1233" w:type="pct"/>
            <w:tcBorders>
              <w:top w:val="single" w:sz="4" w:space="0" w:color="auto"/>
              <w:left w:val="single" w:sz="4" w:space="0" w:color="auto"/>
              <w:bottom w:val="single" w:sz="4" w:space="0" w:color="auto"/>
              <w:right w:val="single" w:sz="4" w:space="0" w:color="auto"/>
            </w:tcBorders>
          </w:tcPr>
          <w:p w:rsidR="00D67736" w:rsidRPr="003C6C31" w:rsidRDefault="00D67736" w:rsidP="00785BBC">
            <w:pPr>
              <w:widowControl/>
              <w:spacing w:before="40" w:after="40"/>
              <w:jc w:val="center"/>
              <w:rPr>
                <w:rFonts w:ascii="Arial Narrow" w:hAnsi="Arial Narrow"/>
                <w:sz w:val="20"/>
              </w:rPr>
            </w:pPr>
            <w:r w:rsidRPr="003C6C31">
              <w:rPr>
                <w:rFonts w:ascii="Arial Narrow" w:hAnsi="Arial Narrow"/>
                <w:sz w:val="20"/>
              </w:rPr>
              <w:t xml:space="preserve">11.1% </w:t>
            </w:r>
          </w:p>
          <w:p w:rsidR="00D67736" w:rsidRPr="003C6C31" w:rsidRDefault="00D67736" w:rsidP="00785BBC">
            <w:pPr>
              <w:widowControl/>
              <w:spacing w:before="40" w:after="40"/>
              <w:jc w:val="center"/>
              <w:rPr>
                <w:rFonts w:ascii="Arial Narrow" w:hAnsi="Arial Narrow"/>
                <w:sz w:val="20"/>
              </w:rPr>
            </w:pPr>
            <w:r w:rsidRPr="003C6C31">
              <w:rPr>
                <w:rFonts w:ascii="Arial Narrow" w:hAnsi="Arial Narrow"/>
                <w:sz w:val="20"/>
              </w:rPr>
              <w:t>(-3.9%, 26.1%)</w:t>
            </w:r>
          </w:p>
        </w:tc>
        <w:tc>
          <w:tcPr>
            <w:tcW w:w="1269" w:type="pct"/>
            <w:tcBorders>
              <w:top w:val="single" w:sz="4" w:space="0" w:color="auto"/>
              <w:left w:val="single" w:sz="4" w:space="0" w:color="auto"/>
              <w:bottom w:val="single" w:sz="4" w:space="0" w:color="auto"/>
              <w:right w:val="single" w:sz="4" w:space="0" w:color="auto"/>
            </w:tcBorders>
          </w:tcPr>
          <w:p w:rsidR="00D67736" w:rsidRPr="003C6C31" w:rsidRDefault="00D67736" w:rsidP="00785BBC">
            <w:pPr>
              <w:widowControl/>
              <w:spacing w:before="40" w:after="40"/>
              <w:jc w:val="center"/>
              <w:rPr>
                <w:rFonts w:ascii="Arial Narrow" w:hAnsi="Arial Narrow"/>
                <w:sz w:val="20"/>
              </w:rPr>
            </w:pPr>
            <w:r w:rsidRPr="003C6C31">
              <w:rPr>
                <w:rFonts w:ascii="Arial Narrow" w:hAnsi="Arial Narrow"/>
                <w:sz w:val="20"/>
              </w:rPr>
              <w:t xml:space="preserve">1.3 </w:t>
            </w:r>
          </w:p>
          <w:p w:rsidR="00D67736" w:rsidRPr="003C6C31" w:rsidRDefault="00D67736" w:rsidP="00785BBC">
            <w:pPr>
              <w:widowControl/>
              <w:spacing w:before="40" w:after="40"/>
              <w:jc w:val="center"/>
              <w:rPr>
                <w:rFonts w:ascii="Arial Narrow" w:hAnsi="Arial Narrow"/>
                <w:sz w:val="20"/>
              </w:rPr>
            </w:pPr>
            <w:r w:rsidRPr="003C6C31">
              <w:rPr>
                <w:rFonts w:ascii="Arial Narrow" w:hAnsi="Arial Narrow"/>
                <w:sz w:val="20"/>
              </w:rPr>
              <w:t>(0.9, 1.9)</w:t>
            </w:r>
          </w:p>
        </w:tc>
        <w:tc>
          <w:tcPr>
            <w:tcW w:w="785" w:type="pct"/>
            <w:tcBorders>
              <w:top w:val="single" w:sz="4" w:space="0" w:color="auto"/>
              <w:left w:val="single" w:sz="4" w:space="0" w:color="auto"/>
              <w:bottom w:val="single" w:sz="4" w:space="0" w:color="auto"/>
              <w:right w:val="single" w:sz="4" w:space="0" w:color="auto"/>
            </w:tcBorders>
            <w:vAlign w:val="center"/>
          </w:tcPr>
          <w:p w:rsidR="00D67736" w:rsidRPr="003C6C31" w:rsidRDefault="005077DD" w:rsidP="00785BBC">
            <w:pPr>
              <w:widowControl/>
              <w:spacing w:before="40" w:after="40"/>
              <w:jc w:val="center"/>
              <w:rPr>
                <w:rFonts w:ascii="Arial Narrow" w:hAnsi="Arial Narrow"/>
                <w:sz w:val="20"/>
              </w:rPr>
            </w:pPr>
            <w:r w:rsidRPr="003C6C31">
              <w:rPr>
                <w:rFonts w:ascii="Arial Narrow" w:hAnsi="Arial Narrow"/>
                <w:sz w:val="20"/>
              </w:rPr>
              <w:t>0.18</w:t>
            </w:r>
          </w:p>
        </w:tc>
      </w:tr>
    </w:tbl>
    <w:p w:rsidR="005077DD" w:rsidRPr="003C6C31" w:rsidRDefault="005077DD" w:rsidP="00785BBC">
      <w:pPr>
        <w:widowControl/>
        <w:ind w:left="709"/>
        <w:contextualSpacing/>
        <w:rPr>
          <w:rFonts w:ascii="Arial Narrow" w:hAnsi="Arial Narrow"/>
          <w:sz w:val="18"/>
          <w:szCs w:val="18"/>
          <w:lang w:eastAsia="zh-CN"/>
        </w:rPr>
      </w:pPr>
      <w:r w:rsidRPr="003C6C31">
        <w:rPr>
          <w:rFonts w:ascii="Arial Narrow" w:hAnsi="Arial Narrow"/>
          <w:sz w:val="18"/>
          <w:szCs w:val="18"/>
          <w:lang w:eastAsia="zh-CN"/>
        </w:rPr>
        <w:t>Italics: Derived during the evaluation</w:t>
      </w:r>
    </w:p>
    <w:p w:rsidR="0099269F" w:rsidRPr="003C6C31" w:rsidRDefault="0099269F" w:rsidP="00785BBC">
      <w:pPr>
        <w:widowControl/>
        <w:ind w:left="709"/>
        <w:contextualSpacing/>
        <w:rPr>
          <w:rFonts w:ascii="Arial Narrow" w:hAnsi="Arial Narrow"/>
          <w:sz w:val="18"/>
          <w:szCs w:val="18"/>
          <w:lang w:eastAsia="zh-CN"/>
        </w:rPr>
      </w:pPr>
      <w:r w:rsidRPr="003C6C31">
        <w:rPr>
          <w:rFonts w:ascii="Arial Narrow" w:hAnsi="Arial Narrow"/>
          <w:sz w:val="18"/>
          <w:szCs w:val="18"/>
          <w:vertAlign w:val="superscript"/>
          <w:lang w:eastAsia="zh-CN"/>
        </w:rPr>
        <w:t>a</w:t>
      </w:r>
      <w:r w:rsidRPr="003C6C31">
        <w:rPr>
          <w:rFonts w:ascii="Arial Narrow" w:hAnsi="Arial Narrow"/>
          <w:sz w:val="18"/>
          <w:szCs w:val="18"/>
          <w:lang w:eastAsia="zh-CN"/>
        </w:rPr>
        <w:t xml:space="preserve"> A responder is a subject who experienced a 50% or greater reduction in seizure frequency per 28 days during the Maintenance Phase from pre-randomisation </w:t>
      </w:r>
    </w:p>
    <w:p w:rsidR="0099269F" w:rsidRPr="003C6C31" w:rsidRDefault="0099269F" w:rsidP="00785BBC">
      <w:pPr>
        <w:widowControl/>
        <w:ind w:left="709"/>
        <w:contextualSpacing/>
        <w:rPr>
          <w:rFonts w:ascii="Arial Narrow" w:hAnsi="Arial Narrow"/>
          <w:sz w:val="18"/>
          <w:szCs w:val="18"/>
          <w:lang w:eastAsia="zh-CN"/>
        </w:rPr>
      </w:pPr>
      <w:r w:rsidRPr="003C6C31">
        <w:rPr>
          <w:rFonts w:ascii="Arial Narrow" w:hAnsi="Arial Narrow"/>
          <w:sz w:val="18"/>
          <w:szCs w:val="18"/>
          <w:vertAlign w:val="superscript"/>
          <w:lang w:eastAsia="zh-CN"/>
        </w:rPr>
        <w:t>b</w:t>
      </w:r>
      <w:r w:rsidRPr="003C6C31">
        <w:rPr>
          <w:rFonts w:ascii="Arial Narrow" w:hAnsi="Arial Narrow"/>
          <w:sz w:val="18"/>
          <w:szCs w:val="18"/>
          <w:lang w:eastAsia="zh-CN"/>
        </w:rPr>
        <w:t xml:space="preserve"> The P value is based on non-missing values and is from a Cochran-Mantel-Haenszel test stratified by pooled country.</w:t>
      </w:r>
    </w:p>
    <w:p w:rsidR="005077DD" w:rsidRPr="003C6C31" w:rsidRDefault="005077DD" w:rsidP="00785BBC">
      <w:pPr>
        <w:pStyle w:val="TableFooter"/>
        <w:widowControl/>
        <w:ind w:left="709"/>
      </w:pPr>
      <w:r w:rsidRPr="003C6C31">
        <w:rPr>
          <w:lang w:eastAsia="zh-CN"/>
        </w:rPr>
        <w:t>CI = confidence interval; RD = risk difference; RR = relative risk</w:t>
      </w:r>
    </w:p>
    <w:p w:rsidR="00D67736" w:rsidRPr="003C6C31" w:rsidRDefault="0099269F" w:rsidP="00785BBC">
      <w:pPr>
        <w:widowControl/>
        <w:ind w:left="709"/>
        <w:rPr>
          <w:rFonts w:ascii="Arial Narrow" w:hAnsi="Arial Narrow"/>
          <w:sz w:val="18"/>
          <w:szCs w:val="18"/>
        </w:rPr>
      </w:pPr>
      <w:r w:rsidRPr="006B24A1">
        <w:rPr>
          <w:rFonts w:ascii="Arial Narrow" w:hAnsi="Arial Narrow"/>
          <w:sz w:val="18"/>
          <w:szCs w:val="18"/>
        </w:rPr>
        <w:t>Source: Modified from Table B.6.2, p50 of the submission</w:t>
      </w:r>
      <w:r w:rsidR="00D67736" w:rsidRPr="006B24A1">
        <w:rPr>
          <w:rFonts w:ascii="Arial Narrow" w:hAnsi="Arial Narrow"/>
          <w:sz w:val="18"/>
          <w:szCs w:val="18"/>
        </w:rPr>
        <w:t>, Table B.6.6, p53 of the submission</w:t>
      </w:r>
    </w:p>
    <w:p w:rsidR="00BE6EA8" w:rsidRPr="003C6C31" w:rsidRDefault="00BE6EA8" w:rsidP="00785BBC">
      <w:pPr>
        <w:pStyle w:val="ListParagraph"/>
        <w:widowControl/>
        <w:rPr>
          <w:szCs w:val="22"/>
        </w:rPr>
      </w:pPr>
    </w:p>
    <w:p w:rsidR="00BE6EA8" w:rsidRPr="003C6C31" w:rsidRDefault="00BE6EA8" w:rsidP="00785BBC">
      <w:pPr>
        <w:pStyle w:val="ListParagraph"/>
        <w:widowControl/>
        <w:numPr>
          <w:ilvl w:val="1"/>
          <w:numId w:val="7"/>
        </w:numPr>
        <w:rPr>
          <w:szCs w:val="22"/>
        </w:rPr>
      </w:pPr>
      <w:r w:rsidRPr="003C6C31">
        <w:rPr>
          <w:szCs w:val="22"/>
        </w:rPr>
        <w:t>Tables 3 and 4 above indicated tha</w:t>
      </w:r>
      <w:r w:rsidR="006F70DE">
        <w:rPr>
          <w:szCs w:val="22"/>
        </w:rPr>
        <w:t>t perampanel wa</w:t>
      </w:r>
      <w:r w:rsidRPr="003C6C31">
        <w:rPr>
          <w:szCs w:val="22"/>
        </w:rPr>
        <w:t xml:space="preserve">s statistically significantly superior to placebo in terms of both median percentage change in PGTC seizure frequency per 28 days from baseline and 50% PGTC seizure responder rate. </w:t>
      </w:r>
    </w:p>
    <w:p w:rsidR="00033229" w:rsidRPr="003C6C31" w:rsidRDefault="00033229" w:rsidP="00785BBC">
      <w:pPr>
        <w:pStyle w:val="ListParagraph"/>
        <w:widowControl/>
        <w:rPr>
          <w:szCs w:val="22"/>
        </w:rPr>
      </w:pPr>
    </w:p>
    <w:p w:rsidR="00D67736" w:rsidRPr="003C6C31" w:rsidRDefault="00D67736" w:rsidP="00785BBC">
      <w:pPr>
        <w:pStyle w:val="ListParagraph"/>
        <w:widowControl/>
        <w:numPr>
          <w:ilvl w:val="1"/>
          <w:numId w:val="7"/>
        </w:numPr>
        <w:rPr>
          <w:szCs w:val="22"/>
        </w:rPr>
      </w:pPr>
      <w:r w:rsidRPr="003C6C31">
        <w:t>The European Medicines Association/Committee for Medicinal Products for Human Use (CHMP)</w:t>
      </w:r>
      <w:r w:rsidRPr="003C6C31">
        <w:rPr>
          <w:rStyle w:val="FootnoteReference"/>
          <w:rFonts w:eastAsia="SimSun"/>
        </w:rPr>
        <w:footnoteReference w:id="4"/>
      </w:r>
      <w:r w:rsidRPr="003C6C31">
        <w:t xml:space="preserve"> in the assessment of perampanel noted that a lack of a demonstrated effect of perampanel on absence and myoclonic seizures was considered relevant given that the target population of IGE patients with PGTC seizures might well also suffer from these other seizure types. The CHMP advised that the perampanel Summary of Product Characteristics should be updated to reflect this.</w:t>
      </w:r>
    </w:p>
    <w:p w:rsidR="00D67736" w:rsidRPr="003C6C31" w:rsidRDefault="00D67736" w:rsidP="00785BBC">
      <w:pPr>
        <w:pStyle w:val="ListParagraph"/>
        <w:widowControl/>
        <w:rPr>
          <w:szCs w:val="22"/>
        </w:rPr>
      </w:pPr>
    </w:p>
    <w:p w:rsidR="00D67736" w:rsidRPr="003C6C31" w:rsidRDefault="00D67736" w:rsidP="00785BBC">
      <w:pPr>
        <w:pStyle w:val="ListParagraph"/>
        <w:widowControl/>
        <w:numPr>
          <w:ilvl w:val="1"/>
          <w:numId w:val="7"/>
        </w:numPr>
        <w:rPr>
          <w:szCs w:val="22"/>
        </w:rPr>
      </w:pPr>
      <w:r w:rsidRPr="003C6C31">
        <w:rPr>
          <w:szCs w:val="22"/>
        </w:rPr>
        <w:t xml:space="preserve">The submission presented results of absolute and percent change in the Patient-Weighted Quality of Life in Epilepsy Inventory-31 (QOLIE-31-P) score from baseline to Week 17. </w:t>
      </w:r>
      <w:r w:rsidR="00D16366" w:rsidRPr="003C6C31">
        <w:rPr>
          <w:szCs w:val="22"/>
        </w:rPr>
        <w:t>Only about 5</w:t>
      </w:r>
      <w:r w:rsidRPr="003C6C31">
        <w:rPr>
          <w:szCs w:val="22"/>
        </w:rPr>
        <w:t xml:space="preserve">0% of randomised patients were included in this analysis and the result was underpowered to detect any statistically significant difference. </w:t>
      </w:r>
    </w:p>
    <w:p w:rsidR="00D67736" w:rsidRPr="003C6C31" w:rsidRDefault="00D67736" w:rsidP="00785BBC">
      <w:pPr>
        <w:pStyle w:val="ListParagraph"/>
        <w:widowControl/>
        <w:rPr>
          <w:szCs w:val="22"/>
        </w:rPr>
      </w:pPr>
    </w:p>
    <w:p w:rsidR="00BE6EA8" w:rsidRPr="003C6C31" w:rsidRDefault="00BE6EA8" w:rsidP="00244671">
      <w:pPr>
        <w:pStyle w:val="Heading2"/>
      </w:pPr>
      <w:bookmarkStart w:id="9" w:name="_Toc451242687"/>
      <w:r w:rsidRPr="003C6C31">
        <w:t>Comparative harms</w:t>
      </w:r>
      <w:bookmarkEnd w:id="9"/>
    </w:p>
    <w:p w:rsidR="00BE6EA8" w:rsidRPr="003C6C31" w:rsidRDefault="00BE6EA8" w:rsidP="004D7EDF">
      <w:pPr>
        <w:keepNext/>
        <w:widowControl/>
        <w:ind w:left="720" w:hanging="720"/>
        <w:rPr>
          <w:szCs w:val="22"/>
        </w:rPr>
      </w:pPr>
    </w:p>
    <w:p w:rsidR="00BE6EA8" w:rsidRPr="003C6C31" w:rsidRDefault="00BE6EA8" w:rsidP="00785BBC">
      <w:pPr>
        <w:pStyle w:val="ListParagraph"/>
        <w:widowControl/>
        <w:numPr>
          <w:ilvl w:val="1"/>
          <w:numId w:val="7"/>
        </w:numPr>
        <w:rPr>
          <w:szCs w:val="22"/>
        </w:rPr>
      </w:pPr>
      <w:r w:rsidRPr="003C6C31">
        <w:t xml:space="preserve">Table 5 below summarises the incidence of adverse events for Trial 332. Table 6 presents the </w:t>
      </w:r>
      <w:r w:rsidRPr="003C6C31">
        <w:rPr>
          <w:lang w:eastAsia="zh-CN"/>
        </w:rPr>
        <w:t>most frequently (≥10%) reported treatment-emergent adverse events (TEAEs) in the perampanel group.</w:t>
      </w:r>
    </w:p>
    <w:p w:rsidR="00BE6EA8" w:rsidRPr="003C6C31" w:rsidRDefault="00BE6EA8" w:rsidP="00785BBC">
      <w:pPr>
        <w:pStyle w:val="ListParagraph"/>
        <w:widowControl/>
        <w:rPr>
          <w:szCs w:val="22"/>
        </w:rPr>
      </w:pPr>
    </w:p>
    <w:p w:rsidR="00D67736" w:rsidRPr="003C6C31" w:rsidRDefault="00D67736" w:rsidP="00785BBC">
      <w:pPr>
        <w:pStyle w:val="TableHeader"/>
        <w:keepNext/>
        <w:widowControl/>
        <w:ind w:firstLine="720"/>
      </w:pPr>
      <w:r w:rsidRPr="003C6C31">
        <w:t xml:space="preserve">Table 5: Summary of key adverse events in </w:t>
      </w:r>
      <w:r w:rsidRPr="003C6C31">
        <w:rPr>
          <w:bCs/>
          <w:lang w:eastAsia="zh-CN"/>
        </w:rPr>
        <w:t xml:space="preserve">Trial </w:t>
      </w:r>
      <w:r w:rsidRPr="003C6C31">
        <w:t>332 – Safety Analysis Set</w:t>
      </w:r>
    </w:p>
    <w:tbl>
      <w:tblPr>
        <w:tblW w:w="4617"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1570"/>
        <w:gridCol w:w="1570"/>
        <w:gridCol w:w="1695"/>
        <w:gridCol w:w="1695"/>
      </w:tblGrid>
      <w:tr w:rsidR="00D67736" w:rsidRPr="003C6C31" w:rsidTr="004C20F5">
        <w:trPr>
          <w:trHeight w:val="510"/>
          <w:tblHeader/>
        </w:trPr>
        <w:tc>
          <w:tcPr>
            <w:tcW w:w="1174" w:type="pct"/>
            <w:tcBorders>
              <w:top w:val="single" w:sz="4" w:space="0" w:color="auto"/>
              <w:left w:val="single" w:sz="4" w:space="0" w:color="auto"/>
              <w:bottom w:val="single" w:sz="4" w:space="0" w:color="auto"/>
              <w:right w:val="single" w:sz="4" w:space="0" w:color="auto"/>
            </w:tcBorders>
            <w:noWrap/>
            <w:hideMark/>
          </w:tcPr>
          <w:p w:rsidR="00D67736" w:rsidRPr="003C6C31" w:rsidRDefault="00D67736" w:rsidP="00785BBC">
            <w:pPr>
              <w:keepNext/>
              <w:widowControl/>
              <w:jc w:val="left"/>
              <w:rPr>
                <w:rFonts w:ascii="Arial Narrow" w:hAnsi="Arial Narrow"/>
                <w:b/>
                <w:sz w:val="20"/>
              </w:rPr>
            </w:pPr>
            <w:r w:rsidRPr="003C6C31">
              <w:rPr>
                <w:rFonts w:ascii="Arial Narrow" w:hAnsi="Arial Narrow"/>
                <w:b/>
                <w:sz w:val="20"/>
              </w:rPr>
              <w:t>Category</w:t>
            </w:r>
            <w:r w:rsidRPr="003C6C31">
              <w:rPr>
                <w:rFonts w:ascii="Arial Narrow" w:hAnsi="Arial Narrow"/>
                <w:b/>
                <w:sz w:val="20"/>
                <w:vertAlign w:val="superscript"/>
              </w:rPr>
              <w:t>a</w:t>
            </w:r>
          </w:p>
        </w:tc>
        <w:tc>
          <w:tcPr>
            <w:tcW w:w="920" w:type="pct"/>
            <w:tcBorders>
              <w:top w:val="single" w:sz="4" w:space="0" w:color="auto"/>
              <w:left w:val="single" w:sz="4" w:space="0" w:color="auto"/>
              <w:bottom w:val="single" w:sz="4" w:space="0" w:color="auto"/>
              <w:right w:val="single" w:sz="4" w:space="0" w:color="auto"/>
            </w:tcBorders>
            <w:vAlign w:val="center"/>
            <w:hideMark/>
          </w:tcPr>
          <w:p w:rsidR="00D67736" w:rsidRPr="003C6C31" w:rsidRDefault="00D67736" w:rsidP="00785BBC">
            <w:pPr>
              <w:keepNext/>
              <w:widowControl/>
              <w:jc w:val="center"/>
              <w:rPr>
                <w:rFonts w:ascii="Arial Narrow" w:hAnsi="Arial Narrow"/>
                <w:b/>
                <w:sz w:val="20"/>
              </w:rPr>
            </w:pPr>
            <w:r w:rsidRPr="003C6C31">
              <w:rPr>
                <w:rFonts w:ascii="Arial Narrow" w:hAnsi="Arial Narrow"/>
                <w:b/>
                <w:sz w:val="20"/>
              </w:rPr>
              <w:t>Perampanel</w:t>
            </w:r>
          </w:p>
          <w:p w:rsidR="00D67736" w:rsidRPr="003C6C31" w:rsidRDefault="00D67736" w:rsidP="00785BBC">
            <w:pPr>
              <w:keepNext/>
              <w:widowControl/>
              <w:jc w:val="center"/>
              <w:rPr>
                <w:rFonts w:ascii="Arial Narrow" w:hAnsi="Arial Narrow"/>
                <w:b/>
                <w:sz w:val="20"/>
              </w:rPr>
            </w:pPr>
            <w:r w:rsidRPr="003C6C31">
              <w:rPr>
                <w:rFonts w:ascii="Arial Narrow" w:hAnsi="Arial Narrow"/>
                <w:b/>
                <w:sz w:val="20"/>
              </w:rPr>
              <w:t>(N=81)</w:t>
            </w:r>
          </w:p>
          <w:p w:rsidR="00D67736" w:rsidRPr="003C6C31" w:rsidRDefault="00D67736" w:rsidP="00785BBC">
            <w:pPr>
              <w:keepNext/>
              <w:widowControl/>
              <w:jc w:val="center"/>
              <w:rPr>
                <w:rFonts w:ascii="Arial Narrow" w:hAnsi="Arial Narrow"/>
                <w:b/>
                <w:sz w:val="20"/>
              </w:rPr>
            </w:pPr>
            <w:r w:rsidRPr="003C6C31">
              <w:rPr>
                <w:rFonts w:ascii="Arial Narrow" w:hAnsi="Arial Narrow"/>
                <w:b/>
                <w:sz w:val="20"/>
              </w:rPr>
              <w:t>n (%)</w:t>
            </w:r>
          </w:p>
        </w:tc>
        <w:tc>
          <w:tcPr>
            <w:tcW w:w="920" w:type="pct"/>
            <w:tcBorders>
              <w:top w:val="single" w:sz="4" w:space="0" w:color="auto"/>
              <w:left w:val="single" w:sz="4" w:space="0" w:color="auto"/>
              <w:bottom w:val="single" w:sz="4" w:space="0" w:color="auto"/>
              <w:right w:val="single" w:sz="4" w:space="0" w:color="auto"/>
            </w:tcBorders>
            <w:vAlign w:val="center"/>
            <w:hideMark/>
          </w:tcPr>
          <w:p w:rsidR="00D67736" w:rsidRPr="003C6C31" w:rsidRDefault="00D67736" w:rsidP="00785BBC">
            <w:pPr>
              <w:keepNext/>
              <w:widowControl/>
              <w:jc w:val="center"/>
              <w:rPr>
                <w:rFonts w:ascii="Arial Narrow" w:hAnsi="Arial Narrow"/>
                <w:b/>
                <w:sz w:val="20"/>
              </w:rPr>
            </w:pPr>
            <w:r w:rsidRPr="003C6C31">
              <w:rPr>
                <w:rFonts w:ascii="Arial Narrow" w:hAnsi="Arial Narrow"/>
                <w:b/>
                <w:sz w:val="20"/>
              </w:rPr>
              <w:t>Placebo</w:t>
            </w:r>
          </w:p>
          <w:p w:rsidR="00D67736" w:rsidRPr="003C6C31" w:rsidRDefault="00D67736" w:rsidP="00785BBC">
            <w:pPr>
              <w:keepNext/>
              <w:widowControl/>
              <w:jc w:val="center"/>
              <w:rPr>
                <w:rFonts w:ascii="Arial Narrow" w:hAnsi="Arial Narrow"/>
                <w:b/>
                <w:sz w:val="20"/>
              </w:rPr>
            </w:pPr>
            <w:r w:rsidRPr="003C6C31">
              <w:rPr>
                <w:rFonts w:ascii="Arial Narrow" w:hAnsi="Arial Narrow"/>
                <w:b/>
                <w:sz w:val="20"/>
              </w:rPr>
              <w:t>(n=82)</w:t>
            </w:r>
          </w:p>
          <w:p w:rsidR="00D67736" w:rsidRPr="003C6C31" w:rsidRDefault="00D67736" w:rsidP="00785BBC">
            <w:pPr>
              <w:keepNext/>
              <w:widowControl/>
              <w:jc w:val="center"/>
              <w:rPr>
                <w:rFonts w:ascii="Arial Narrow" w:hAnsi="Arial Narrow"/>
                <w:b/>
                <w:sz w:val="20"/>
              </w:rPr>
            </w:pPr>
            <w:r w:rsidRPr="003C6C31">
              <w:rPr>
                <w:rFonts w:ascii="Arial Narrow" w:hAnsi="Arial Narrow"/>
                <w:b/>
                <w:sz w:val="20"/>
              </w:rPr>
              <w:t>n (%)</w:t>
            </w:r>
          </w:p>
        </w:tc>
        <w:tc>
          <w:tcPr>
            <w:tcW w:w="993" w:type="pct"/>
            <w:tcBorders>
              <w:top w:val="single" w:sz="4" w:space="0" w:color="auto"/>
              <w:left w:val="single" w:sz="4" w:space="0" w:color="auto"/>
              <w:bottom w:val="single" w:sz="4" w:space="0" w:color="auto"/>
              <w:right w:val="single" w:sz="4" w:space="0" w:color="auto"/>
            </w:tcBorders>
            <w:vAlign w:val="center"/>
          </w:tcPr>
          <w:p w:rsidR="00D67736" w:rsidRPr="003C6C31" w:rsidRDefault="00D67736" w:rsidP="00785BBC">
            <w:pPr>
              <w:keepNext/>
              <w:widowControl/>
              <w:jc w:val="center"/>
              <w:rPr>
                <w:rFonts w:ascii="Arial Narrow" w:hAnsi="Arial Narrow"/>
                <w:b/>
                <w:sz w:val="20"/>
              </w:rPr>
            </w:pPr>
            <w:r w:rsidRPr="003C6C31">
              <w:rPr>
                <w:rFonts w:ascii="Arial Narrow" w:hAnsi="Arial Narrow"/>
                <w:b/>
                <w:sz w:val="20"/>
              </w:rPr>
              <w:t>RD</w:t>
            </w:r>
          </w:p>
          <w:p w:rsidR="00D67736" w:rsidRPr="003C6C31" w:rsidRDefault="00D67736" w:rsidP="00785BBC">
            <w:pPr>
              <w:keepNext/>
              <w:widowControl/>
              <w:jc w:val="center"/>
              <w:rPr>
                <w:rFonts w:ascii="Arial Narrow" w:hAnsi="Arial Narrow"/>
                <w:b/>
                <w:sz w:val="20"/>
                <w:vertAlign w:val="superscript"/>
              </w:rPr>
            </w:pPr>
            <w:r w:rsidRPr="003C6C31">
              <w:rPr>
                <w:rFonts w:ascii="Arial Narrow" w:hAnsi="Arial Narrow"/>
                <w:b/>
                <w:sz w:val="20"/>
              </w:rPr>
              <w:t>(95% CI)</w:t>
            </w:r>
            <w:r w:rsidR="00ED704C" w:rsidRPr="003C6C31">
              <w:rPr>
                <w:rFonts w:ascii="Arial Narrow" w:hAnsi="Arial Narrow"/>
                <w:b/>
                <w:sz w:val="20"/>
                <w:vertAlign w:val="superscript"/>
              </w:rPr>
              <w:t>b</w:t>
            </w:r>
          </w:p>
        </w:tc>
        <w:tc>
          <w:tcPr>
            <w:tcW w:w="993" w:type="pct"/>
            <w:tcBorders>
              <w:top w:val="single" w:sz="4" w:space="0" w:color="auto"/>
              <w:left w:val="single" w:sz="4" w:space="0" w:color="auto"/>
              <w:bottom w:val="single" w:sz="4" w:space="0" w:color="auto"/>
              <w:right w:val="single" w:sz="4" w:space="0" w:color="auto"/>
            </w:tcBorders>
            <w:vAlign w:val="center"/>
            <w:hideMark/>
          </w:tcPr>
          <w:p w:rsidR="00D67736" w:rsidRPr="003C6C31" w:rsidRDefault="00D67736" w:rsidP="00785BBC">
            <w:pPr>
              <w:keepNext/>
              <w:widowControl/>
              <w:jc w:val="center"/>
              <w:rPr>
                <w:rFonts w:ascii="Arial Narrow" w:hAnsi="Arial Narrow"/>
                <w:b/>
                <w:sz w:val="20"/>
              </w:rPr>
            </w:pPr>
            <w:r w:rsidRPr="003C6C31">
              <w:rPr>
                <w:rFonts w:ascii="Arial Narrow" w:hAnsi="Arial Narrow"/>
                <w:b/>
                <w:sz w:val="20"/>
              </w:rPr>
              <w:t>RR</w:t>
            </w:r>
          </w:p>
          <w:p w:rsidR="00D67736" w:rsidRPr="003C6C31" w:rsidRDefault="00D67736" w:rsidP="00785BBC">
            <w:pPr>
              <w:keepNext/>
              <w:widowControl/>
              <w:jc w:val="center"/>
              <w:rPr>
                <w:rFonts w:ascii="Arial Narrow" w:hAnsi="Arial Narrow"/>
                <w:b/>
                <w:sz w:val="20"/>
              </w:rPr>
            </w:pPr>
            <w:r w:rsidRPr="003C6C31">
              <w:rPr>
                <w:rFonts w:ascii="Arial Narrow" w:hAnsi="Arial Narrow"/>
                <w:b/>
                <w:sz w:val="20"/>
              </w:rPr>
              <w:t>(95% CI)</w:t>
            </w:r>
            <w:r w:rsidR="00ED704C" w:rsidRPr="003C6C31">
              <w:rPr>
                <w:rFonts w:ascii="Arial Narrow" w:hAnsi="Arial Narrow"/>
                <w:b/>
                <w:sz w:val="20"/>
                <w:vertAlign w:val="superscript"/>
              </w:rPr>
              <w:t>b</w:t>
            </w:r>
          </w:p>
        </w:tc>
      </w:tr>
      <w:tr w:rsidR="00D67736" w:rsidRPr="003C6C31" w:rsidTr="004C20F5">
        <w:trPr>
          <w:trHeight w:val="255"/>
          <w:tblHeader/>
        </w:trPr>
        <w:tc>
          <w:tcPr>
            <w:tcW w:w="1174" w:type="pct"/>
            <w:tcBorders>
              <w:top w:val="single" w:sz="4" w:space="0" w:color="auto"/>
              <w:left w:val="single" w:sz="4" w:space="0" w:color="auto"/>
              <w:bottom w:val="single" w:sz="4" w:space="0" w:color="auto"/>
              <w:right w:val="single" w:sz="4" w:space="0" w:color="auto"/>
            </w:tcBorders>
            <w:noWrap/>
            <w:hideMark/>
          </w:tcPr>
          <w:p w:rsidR="00D67736" w:rsidRPr="003C6C31" w:rsidRDefault="00D67736" w:rsidP="00785BBC">
            <w:pPr>
              <w:keepNext/>
              <w:widowControl/>
              <w:jc w:val="left"/>
              <w:rPr>
                <w:rFonts w:ascii="Arial Narrow" w:hAnsi="Arial Narrow"/>
                <w:iCs/>
                <w:sz w:val="20"/>
              </w:rPr>
            </w:pPr>
            <w:r w:rsidRPr="003C6C31">
              <w:rPr>
                <w:rFonts w:ascii="Arial Narrow" w:hAnsi="Arial Narrow"/>
                <w:sz w:val="20"/>
              </w:rPr>
              <w:t>At least one TEAE</w:t>
            </w:r>
            <w:r w:rsidR="00ED704C" w:rsidRPr="003C6C31">
              <w:rPr>
                <w:rFonts w:ascii="Arial Narrow" w:hAnsi="Arial Narrow"/>
                <w:sz w:val="20"/>
                <w:vertAlign w:val="superscript"/>
              </w:rPr>
              <w:t>c</w:t>
            </w:r>
          </w:p>
        </w:tc>
        <w:tc>
          <w:tcPr>
            <w:tcW w:w="920"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67 (82.7%)</w:t>
            </w:r>
          </w:p>
        </w:tc>
        <w:tc>
          <w:tcPr>
            <w:tcW w:w="920"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59 (72.0%)</w:t>
            </w:r>
          </w:p>
        </w:tc>
        <w:tc>
          <w:tcPr>
            <w:tcW w:w="993" w:type="pct"/>
            <w:tcBorders>
              <w:top w:val="single" w:sz="4" w:space="0" w:color="auto"/>
              <w:left w:val="single" w:sz="4" w:space="0" w:color="auto"/>
              <w:bottom w:val="single" w:sz="4" w:space="0" w:color="auto"/>
              <w:right w:val="single" w:sz="4" w:space="0" w:color="auto"/>
            </w:tcBorders>
            <w:vAlign w:val="center"/>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11% (-2%, 24%)</w:t>
            </w:r>
          </w:p>
        </w:tc>
        <w:tc>
          <w:tcPr>
            <w:tcW w:w="993"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1.15 (0.97, 1.36)</w:t>
            </w:r>
          </w:p>
        </w:tc>
      </w:tr>
      <w:tr w:rsidR="00D67736" w:rsidRPr="003C6C31" w:rsidTr="004C20F5">
        <w:trPr>
          <w:trHeight w:val="255"/>
          <w:tblHeader/>
        </w:trPr>
        <w:tc>
          <w:tcPr>
            <w:tcW w:w="1174" w:type="pct"/>
            <w:tcBorders>
              <w:top w:val="single" w:sz="4" w:space="0" w:color="auto"/>
              <w:left w:val="single" w:sz="4" w:space="0" w:color="auto"/>
              <w:bottom w:val="single" w:sz="4" w:space="0" w:color="auto"/>
              <w:right w:val="single" w:sz="4" w:space="0" w:color="auto"/>
            </w:tcBorders>
            <w:noWrap/>
            <w:hideMark/>
          </w:tcPr>
          <w:p w:rsidR="00D67736" w:rsidRPr="003C6C31" w:rsidRDefault="00D67736" w:rsidP="00785BBC">
            <w:pPr>
              <w:keepNext/>
              <w:widowControl/>
              <w:jc w:val="left"/>
              <w:rPr>
                <w:rFonts w:ascii="Arial Narrow" w:hAnsi="Arial Narrow"/>
                <w:iCs/>
                <w:sz w:val="20"/>
              </w:rPr>
            </w:pPr>
            <w:r w:rsidRPr="003C6C31">
              <w:rPr>
                <w:rFonts w:ascii="Arial Narrow" w:hAnsi="Arial Narrow"/>
                <w:sz w:val="20"/>
              </w:rPr>
              <w:t>Treatment-related TEAEs</w:t>
            </w:r>
          </w:p>
        </w:tc>
        <w:tc>
          <w:tcPr>
            <w:tcW w:w="920"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56 (69.1%)</w:t>
            </w:r>
          </w:p>
        </w:tc>
        <w:tc>
          <w:tcPr>
            <w:tcW w:w="920"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37 (45.1%)</w:t>
            </w:r>
          </w:p>
        </w:tc>
        <w:tc>
          <w:tcPr>
            <w:tcW w:w="993" w:type="pct"/>
            <w:tcBorders>
              <w:top w:val="single" w:sz="4" w:space="0" w:color="auto"/>
              <w:left w:val="single" w:sz="4" w:space="0" w:color="auto"/>
              <w:bottom w:val="single" w:sz="4" w:space="0" w:color="auto"/>
              <w:right w:val="single" w:sz="4" w:space="0" w:color="auto"/>
            </w:tcBorders>
            <w:vAlign w:val="center"/>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24% (9%, 39%)</w:t>
            </w:r>
          </w:p>
        </w:tc>
        <w:tc>
          <w:tcPr>
            <w:tcW w:w="993"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1.53 (1.16, 2.03)</w:t>
            </w:r>
          </w:p>
        </w:tc>
      </w:tr>
      <w:tr w:rsidR="00D67736" w:rsidRPr="003C6C31" w:rsidTr="004C20F5">
        <w:trPr>
          <w:trHeight w:val="255"/>
          <w:tblHeader/>
        </w:trPr>
        <w:tc>
          <w:tcPr>
            <w:tcW w:w="1174" w:type="pct"/>
            <w:tcBorders>
              <w:top w:val="single" w:sz="4" w:space="0" w:color="auto"/>
              <w:left w:val="single" w:sz="4" w:space="0" w:color="auto"/>
              <w:bottom w:val="single" w:sz="4" w:space="0" w:color="auto"/>
              <w:right w:val="single" w:sz="4" w:space="0" w:color="auto"/>
            </w:tcBorders>
            <w:noWrap/>
            <w:hideMark/>
          </w:tcPr>
          <w:p w:rsidR="00D67736" w:rsidRPr="003C6C31" w:rsidRDefault="00D67736" w:rsidP="00785BBC">
            <w:pPr>
              <w:keepNext/>
              <w:widowControl/>
              <w:jc w:val="left"/>
              <w:rPr>
                <w:rFonts w:ascii="Arial Narrow" w:hAnsi="Arial Narrow"/>
                <w:iCs/>
                <w:sz w:val="20"/>
              </w:rPr>
            </w:pPr>
            <w:r w:rsidRPr="003C6C31">
              <w:rPr>
                <w:rFonts w:ascii="Arial Narrow" w:hAnsi="Arial Narrow"/>
                <w:sz w:val="20"/>
              </w:rPr>
              <w:t>Serious TEAEs</w:t>
            </w:r>
          </w:p>
        </w:tc>
        <w:tc>
          <w:tcPr>
            <w:tcW w:w="920"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6 (7.4%)</w:t>
            </w:r>
          </w:p>
        </w:tc>
        <w:tc>
          <w:tcPr>
            <w:tcW w:w="920"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7 (8.5%)</w:t>
            </w:r>
          </w:p>
        </w:tc>
        <w:tc>
          <w:tcPr>
            <w:tcW w:w="993" w:type="pct"/>
            <w:tcBorders>
              <w:top w:val="single" w:sz="4" w:space="0" w:color="auto"/>
              <w:left w:val="single" w:sz="4" w:space="0" w:color="auto"/>
              <w:bottom w:val="single" w:sz="4" w:space="0" w:color="auto"/>
              <w:right w:val="single" w:sz="4" w:space="0" w:color="auto"/>
            </w:tcBorders>
            <w:vAlign w:val="center"/>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-1% (-9%, 7%)</w:t>
            </w:r>
          </w:p>
        </w:tc>
        <w:tc>
          <w:tcPr>
            <w:tcW w:w="993"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0.87 (0.30, 2.47)</w:t>
            </w:r>
          </w:p>
        </w:tc>
      </w:tr>
      <w:tr w:rsidR="00D67736" w:rsidRPr="003C6C31" w:rsidTr="004C20F5">
        <w:trPr>
          <w:trHeight w:val="255"/>
          <w:tblHeader/>
        </w:trPr>
        <w:tc>
          <w:tcPr>
            <w:tcW w:w="1174" w:type="pct"/>
            <w:tcBorders>
              <w:top w:val="single" w:sz="4" w:space="0" w:color="auto"/>
              <w:left w:val="single" w:sz="4" w:space="0" w:color="auto"/>
              <w:bottom w:val="single" w:sz="4" w:space="0" w:color="auto"/>
              <w:right w:val="single" w:sz="4" w:space="0" w:color="auto"/>
            </w:tcBorders>
            <w:noWrap/>
            <w:hideMark/>
          </w:tcPr>
          <w:p w:rsidR="00D67736" w:rsidRPr="003C6C31" w:rsidRDefault="00D67736" w:rsidP="00785BBC">
            <w:pPr>
              <w:keepNext/>
              <w:widowControl/>
              <w:jc w:val="left"/>
              <w:rPr>
                <w:rFonts w:ascii="Arial Narrow" w:hAnsi="Arial Narrow"/>
                <w:sz w:val="20"/>
              </w:rPr>
            </w:pPr>
            <w:r w:rsidRPr="003C6C31">
              <w:rPr>
                <w:rFonts w:ascii="Arial Narrow" w:hAnsi="Arial Narrow"/>
                <w:sz w:val="20"/>
              </w:rPr>
              <w:t>Deaths</w:t>
            </w:r>
          </w:p>
        </w:tc>
        <w:tc>
          <w:tcPr>
            <w:tcW w:w="920"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1 (1.2%)</w:t>
            </w:r>
          </w:p>
        </w:tc>
        <w:tc>
          <w:tcPr>
            <w:tcW w:w="920"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1 (1.2%)</w:t>
            </w:r>
          </w:p>
        </w:tc>
        <w:tc>
          <w:tcPr>
            <w:tcW w:w="993" w:type="pct"/>
            <w:tcBorders>
              <w:top w:val="single" w:sz="4" w:space="0" w:color="auto"/>
              <w:left w:val="single" w:sz="4" w:space="0" w:color="auto"/>
              <w:bottom w:val="single" w:sz="4" w:space="0" w:color="auto"/>
              <w:right w:val="single" w:sz="4" w:space="0" w:color="auto"/>
            </w:tcBorders>
            <w:vAlign w:val="center"/>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0% (-3%, 3%)</w:t>
            </w:r>
          </w:p>
        </w:tc>
        <w:tc>
          <w:tcPr>
            <w:tcW w:w="993"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1.01 (0.06, 15.91)</w:t>
            </w:r>
          </w:p>
        </w:tc>
      </w:tr>
      <w:tr w:rsidR="00D67736" w:rsidRPr="003C6C31" w:rsidTr="004C20F5">
        <w:trPr>
          <w:trHeight w:val="255"/>
          <w:tblHeader/>
        </w:trPr>
        <w:tc>
          <w:tcPr>
            <w:tcW w:w="1174" w:type="pct"/>
            <w:tcBorders>
              <w:top w:val="single" w:sz="4" w:space="0" w:color="auto"/>
              <w:left w:val="single" w:sz="4" w:space="0" w:color="auto"/>
              <w:bottom w:val="single" w:sz="4" w:space="0" w:color="auto"/>
              <w:right w:val="single" w:sz="4" w:space="0" w:color="auto"/>
            </w:tcBorders>
            <w:noWrap/>
            <w:hideMark/>
          </w:tcPr>
          <w:p w:rsidR="00D67736" w:rsidRPr="003C6C31" w:rsidRDefault="00D67736" w:rsidP="00785BBC">
            <w:pPr>
              <w:keepNext/>
              <w:widowControl/>
              <w:jc w:val="left"/>
              <w:rPr>
                <w:rFonts w:ascii="Arial Narrow" w:hAnsi="Arial Narrow"/>
                <w:sz w:val="20"/>
              </w:rPr>
            </w:pPr>
            <w:r w:rsidRPr="003C6C31">
              <w:rPr>
                <w:rFonts w:ascii="Arial Narrow" w:hAnsi="Arial Narrow"/>
                <w:sz w:val="20"/>
              </w:rPr>
              <w:t>Other SAEs</w:t>
            </w:r>
          </w:p>
        </w:tc>
        <w:tc>
          <w:tcPr>
            <w:tcW w:w="920"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5 (6.2%)</w:t>
            </w:r>
          </w:p>
        </w:tc>
        <w:tc>
          <w:tcPr>
            <w:tcW w:w="920"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6 (7.3%)</w:t>
            </w:r>
          </w:p>
        </w:tc>
        <w:tc>
          <w:tcPr>
            <w:tcW w:w="993" w:type="pct"/>
            <w:tcBorders>
              <w:top w:val="single" w:sz="4" w:space="0" w:color="auto"/>
              <w:left w:val="single" w:sz="4" w:space="0" w:color="auto"/>
              <w:bottom w:val="single" w:sz="4" w:space="0" w:color="auto"/>
              <w:right w:val="single" w:sz="4" w:space="0" w:color="auto"/>
            </w:tcBorders>
            <w:vAlign w:val="center"/>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-1% (-9%, 7%)</w:t>
            </w:r>
          </w:p>
        </w:tc>
        <w:tc>
          <w:tcPr>
            <w:tcW w:w="993"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0.84 (0.27, 2.65)</w:t>
            </w:r>
          </w:p>
        </w:tc>
      </w:tr>
      <w:tr w:rsidR="00D67736" w:rsidRPr="003C6C31" w:rsidTr="004C20F5">
        <w:trPr>
          <w:trHeight w:val="255"/>
          <w:tblHeader/>
        </w:trPr>
        <w:tc>
          <w:tcPr>
            <w:tcW w:w="1174" w:type="pct"/>
            <w:tcBorders>
              <w:top w:val="single" w:sz="4" w:space="0" w:color="auto"/>
              <w:left w:val="single" w:sz="4" w:space="0" w:color="auto"/>
              <w:bottom w:val="single" w:sz="4" w:space="0" w:color="auto"/>
              <w:right w:val="single" w:sz="4" w:space="0" w:color="auto"/>
            </w:tcBorders>
            <w:noWrap/>
            <w:hideMark/>
          </w:tcPr>
          <w:p w:rsidR="00D67736" w:rsidRPr="003C6C31" w:rsidRDefault="00D67736" w:rsidP="00785BBC">
            <w:pPr>
              <w:keepNext/>
              <w:widowControl/>
              <w:jc w:val="left"/>
              <w:rPr>
                <w:rFonts w:ascii="Arial Narrow" w:hAnsi="Arial Narrow"/>
                <w:sz w:val="20"/>
              </w:rPr>
            </w:pPr>
            <w:r w:rsidRPr="003C6C31">
              <w:rPr>
                <w:rFonts w:ascii="Arial Narrow" w:hAnsi="Arial Narrow"/>
                <w:sz w:val="20"/>
              </w:rPr>
              <w:t>TEAEs leading to study drug withdrawal</w:t>
            </w:r>
          </w:p>
        </w:tc>
        <w:tc>
          <w:tcPr>
            <w:tcW w:w="920"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9 (11.1%)</w:t>
            </w:r>
          </w:p>
        </w:tc>
        <w:tc>
          <w:tcPr>
            <w:tcW w:w="920"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5 (6.1%)</w:t>
            </w:r>
          </w:p>
        </w:tc>
        <w:tc>
          <w:tcPr>
            <w:tcW w:w="993" w:type="pct"/>
            <w:tcBorders>
              <w:top w:val="single" w:sz="4" w:space="0" w:color="auto"/>
              <w:left w:val="single" w:sz="4" w:space="0" w:color="auto"/>
              <w:bottom w:val="single" w:sz="4" w:space="0" w:color="auto"/>
              <w:right w:val="single" w:sz="4" w:space="0" w:color="auto"/>
            </w:tcBorders>
            <w:vAlign w:val="center"/>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5% (-4%, 14%)</w:t>
            </w:r>
          </w:p>
        </w:tc>
        <w:tc>
          <w:tcPr>
            <w:tcW w:w="993"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keepNext/>
              <w:widowControl/>
              <w:jc w:val="center"/>
              <w:rPr>
                <w:rFonts w:ascii="Arial Narrow" w:hAnsi="Arial Narrow"/>
                <w:sz w:val="20"/>
              </w:rPr>
            </w:pPr>
            <w:r w:rsidRPr="003C6C31">
              <w:rPr>
                <w:rFonts w:ascii="Arial Narrow" w:hAnsi="Arial Narrow"/>
                <w:sz w:val="20"/>
              </w:rPr>
              <w:t>1.82 (0.64, 5.20)</w:t>
            </w:r>
          </w:p>
        </w:tc>
      </w:tr>
    </w:tbl>
    <w:p w:rsidR="00D67736" w:rsidRPr="003C6C31" w:rsidRDefault="00D67736" w:rsidP="00785BBC">
      <w:pPr>
        <w:keepNext/>
        <w:widowControl/>
        <w:ind w:left="851" w:hanging="142"/>
        <w:contextualSpacing/>
        <w:rPr>
          <w:rFonts w:ascii="Arial Narrow" w:hAnsi="Arial Narrow"/>
          <w:sz w:val="18"/>
          <w:szCs w:val="18"/>
          <w:lang w:eastAsia="zh-CN"/>
        </w:rPr>
      </w:pPr>
      <w:r w:rsidRPr="003C6C31">
        <w:rPr>
          <w:rFonts w:ascii="Arial Narrow" w:hAnsi="Arial Narrow"/>
          <w:sz w:val="18"/>
          <w:szCs w:val="18"/>
          <w:vertAlign w:val="superscript"/>
          <w:lang w:eastAsia="zh-CN"/>
        </w:rPr>
        <w:t xml:space="preserve">a </w:t>
      </w:r>
      <w:r w:rsidRPr="003C6C31">
        <w:rPr>
          <w:rFonts w:ascii="Arial Narrow" w:hAnsi="Arial Narrow"/>
          <w:sz w:val="18"/>
          <w:szCs w:val="18"/>
          <w:lang w:eastAsia="zh-CN"/>
        </w:rPr>
        <w:t>For each row category, a subject with 2 or more adverse events in that category is counted only once.</w:t>
      </w:r>
    </w:p>
    <w:p w:rsidR="00ED704C" w:rsidRPr="003C6C31" w:rsidRDefault="00ED704C" w:rsidP="00785BBC">
      <w:pPr>
        <w:keepNext/>
        <w:widowControl/>
        <w:ind w:left="709"/>
        <w:contextualSpacing/>
        <w:rPr>
          <w:rFonts w:ascii="Arial Narrow" w:hAnsi="Arial Narrow"/>
          <w:sz w:val="18"/>
          <w:szCs w:val="18"/>
          <w:lang w:eastAsia="zh-CN"/>
        </w:rPr>
      </w:pPr>
      <w:r w:rsidRPr="003C6C31">
        <w:rPr>
          <w:rFonts w:ascii="Arial Narrow" w:hAnsi="Arial Narrow"/>
          <w:sz w:val="18"/>
          <w:szCs w:val="18"/>
          <w:vertAlign w:val="superscript"/>
          <w:lang w:eastAsia="zh-CN"/>
        </w:rPr>
        <w:t xml:space="preserve">b </w:t>
      </w:r>
      <w:r w:rsidRPr="003C6C31">
        <w:rPr>
          <w:rFonts w:ascii="Arial Narrow" w:hAnsi="Arial Narrow"/>
          <w:sz w:val="18"/>
          <w:szCs w:val="18"/>
          <w:lang w:eastAsia="zh-CN"/>
        </w:rPr>
        <w:t>RR and RD with 95% CI were not reported in the trial publications, but were derived by the submission from reported AE (adverse event) frequencies</w:t>
      </w:r>
    </w:p>
    <w:p w:rsidR="00D67736" w:rsidRPr="003C6C31" w:rsidRDefault="00ED704C" w:rsidP="00785BBC">
      <w:pPr>
        <w:keepNext/>
        <w:widowControl/>
        <w:ind w:left="851" w:hanging="142"/>
        <w:contextualSpacing/>
        <w:rPr>
          <w:rFonts w:ascii="Arial Narrow" w:hAnsi="Arial Narrow"/>
          <w:sz w:val="18"/>
          <w:szCs w:val="18"/>
          <w:lang w:eastAsia="zh-CN"/>
        </w:rPr>
      </w:pPr>
      <w:r w:rsidRPr="003C6C31">
        <w:rPr>
          <w:rFonts w:ascii="Arial Narrow" w:hAnsi="Arial Narrow"/>
          <w:sz w:val="18"/>
          <w:szCs w:val="18"/>
          <w:vertAlign w:val="superscript"/>
          <w:lang w:eastAsia="zh-CN"/>
        </w:rPr>
        <w:t>c</w:t>
      </w:r>
      <w:r w:rsidR="00D67736" w:rsidRPr="003C6C31">
        <w:rPr>
          <w:rFonts w:ascii="Arial Narrow" w:hAnsi="Arial Narrow"/>
          <w:sz w:val="18"/>
          <w:szCs w:val="18"/>
          <w:lang w:eastAsia="zh-CN"/>
        </w:rPr>
        <w:t xml:space="preserve"> A TEAE is defined as an adverse event that (1) emerges during treatment, having been absent at pretreatment or (2) re-emerges during treatment, having been present at pretreatment but stopped prior to treatment or (3) worsens in severity during treatment relative to the pretreatment state, when the adverse event is continuous.</w:t>
      </w:r>
    </w:p>
    <w:p w:rsidR="00ED704C" w:rsidRPr="003C6C31" w:rsidRDefault="00ED704C" w:rsidP="00785BBC">
      <w:pPr>
        <w:widowControl/>
        <w:ind w:left="709"/>
        <w:contextualSpacing/>
        <w:rPr>
          <w:rFonts w:ascii="Arial Narrow" w:hAnsi="Arial Narrow"/>
          <w:sz w:val="18"/>
          <w:szCs w:val="18"/>
          <w:lang w:eastAsia="zh-CN"/>
        </w:rPr>
      </w:pPr>
      <w:r w:rsidRPr="003C6C31">
        <w:rPr>
          <w:rFonts w:ascii="Arial Narrow" w:hAnsi="Arial Narrow"/>
          <w:sz w:val="18"/>
          <w:szCs w:val="18"/>
          <w:lang w:eastAsia="zh-CN"/>
        </w:rPr>
        <w:t>CI = confidence interval; RD = risk difference; RR = relative risk; SAE = serious adverse event; TEAE = treatment emergent adverse event</w:t>
      </w:r>
    </w:p>
    <w:p w:rsidR="00D67736" w:rsidRPr="003C6C31" w:rsidRDefault="00D67736" w:rsidP="00785BBC">
      <w:pPr>
        <w:widowControl/>
        <w:ind w:left="709"/>
        <w:contextualSpacing/>
        <w:rPr>
          <w:rFonts w:ascii="Arial Narrow" w:hAnsi="Arial Narrow"/>
          <w:sz w:val="18"/>
          <w:szCs w:val="18"/>
          <w:lang w:eastAsia="zh-CN"/>
        </w:rPr>
      </w:pPr>
      <w:r w:rsidRPr="003C6C31">
        <w:rPr>
          <w:rFonts w:ascii="Arial Narrow" w:hAnsi="Arial Narrow"/>
          <w:sz w:val="18"/>
          <w:szCs w:val="18"/>
          <w:lang w:eastAsia="zh-CN"/>
        </w:rPr>
        <w:t>Source</w:t>
      </w:r>
      <w:r w:rsidRPr="006B24A1">
        <w:rPr>
          <w:rFonts w:ascii="Arial Narrow" w:hAnsi="Arial Narrow"/>
          <w:sz w:val="18"/>
          <w:szCs w:val="18"/>
          <w:lang w:eastAsia="zh-CN"/>
        </w:rPr>
        <w:t>: Table B.6.14, p62 of the submission</w:t>
      </w:r>
    </w:p>
    <w:p w:rsidR="00D67736" w:rsidRPr="003C6C31" w:rsidRDefault="00D67736" w:rsidP="00785BBC">
      <w:pPr>
        <w:pStyle w:val="ListParagraph"/>
        <w:widowControl/>
        <w:rPr>
          <w:szCs w:val="22"/>
        </w:rPr>
      </w:pPr>
    </w:p>
    <w:p w:rsidR="00D67736" w:rsidRPr="003C6C31" w:rsidRDefault="00D67736" w:rsidP="00785BBC">
      <w:pPr>
        <w:pStyle w:val="TableHeader"/>
        <w:widowControl/>
        <w:ind w:left="720"/>
      </w:pPr>
      <w:r w:rsidRPr="003C6C31">
        <w:t xml:space="preserve">Table 6: Summary of treatment-emergent adverse events in </w:t>
      </w:r>
      <w:r w:rsidRPr="003C6C31">
        <w:rPr>
          <w:bCs/>
          <w:lang w:eastAsia="zh-CN"/>
        </w:rPr>
        <w:t xml:space="preserve">Trial </w:t>
      </w:r>
      <w:r w:rsidRPr="003C6C31">
        <w:t xml:space="preserve">332, incidence </w:t>
      </w:r>
      <w:r w:rsidRPr="003C6C31">
        <w:rPr>
          <w:lang w:eastAsia="zh-CN"/>
        </w:rPr>
        <w:t xml:space="preserve">≥10% in the perampanel group </w:t>
      </w:r>
      <w:r w:rsidRPr="003C6C31">
        <w:t>– Safety Analysis Set</w:t>
      </w:r>
    </w:p>
    <w:tbl>
      <w:tblPr>
        <w:tblW w:w="4623" w:type="pct"/>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571"/>
        <w:gridCol w:w="1571"/>
        <w:gridCol w:w="1687"/>
        <w:gridCol w:w="1685"/>
      </w:tblGrid>
      <w:tr w:rsidR="00D67736" w:rsidRPr="003C6C31" w:rsidTr="004C20F5">
        <w:trPr>
          <w:trHeight w:val="510"/>
          <w:tblHeader/>
        </w:trPr>
        <w:tc>
          <w:tcPr>
            <w:tcW w:w="1189" w:type="pct"/>
            <w:tcBorders>
              <w:top w:val="single" w:sz="4" w:space="0" w:color="auto"/>
              <w:left w:val="single" w:sz="4" w:space="0" w:color="auto"/>
              <w:bottom w:val="single" w:sz="4" w:space="0" w:color="auto"/>
              <w:right w:val="single" w:sz="4" w:space="0" w:color="auto"/>
            </w:tcBorders>
            <w:noWrap/>
            <w:hideMark/>
          </w:tcPr>
          <w:p w:rsidR="00D67736" w:rsidRPr="003C6C31" w:rsidRDefault="00D67736" w:rsidP="00875B5D">
            <w:pPr>
              <w:widowControl/>
              <w:jc w:val="left"/>
              <w:rPr>
                <w:rFonts w:ascii="Arial Narrow" w:hAnsi="Arial Narrow"/>
                <w:sz w:val="20"/>
              </w:rPr>
            </w:pPr>
            <w:r w:rsidRPr="003C6C31">
              <w:rPr>
                <w:rFonts w:ascii="Arial Narrow" w:hAnsi="Arial Narrow"/>
                <w:b/>
                <w:sz w:val="20"/>
              </w:rPr>
              <w:t>MedDRA System Organ Class   Preferred Term</w:t>
            </w:r>
          </w:p>
        </w:tc>
        <w:tc>
          <w:tcPr>
            <w:tcW w:w="919" w:type="pct"/>
            <w:tcBorders>
              <w:top w:val="single" w:sz="4" w:space="0" w:color="auto"/>
              <w:left w:val="single" w:sz="4" w:space="0" w:color="auto"/>
              <w:bottom w:val="single" w:sz="4" w:space="0" w:color="auto"/>
              <w:right w:val="single" w:sz="4" w:space="0" w:color="auto"/>
            </w:tcBorders>
            <w:vAlign w:val="center"/>
            <w:hideMark/>
          </w:tcPr>
          <w:p w:rsidR="00D67736" w:rsidRPr="003C6C31" w:rsidRDefault="00D67736" w:rsidP="00785BBC">
            <w:pPr>
              <w:widowControl/>
              <w:jc w:val="center"/>
              <w:rPr>
                <w:rFonts w:ascii="Arial Narrow" w:hAnsi="Arial Narrow"/>
                <w:b/>
                <w:sz w:val="20"/>
              </w:rPr>
            </w:pPr>
            <w:r w:rsidRPr="003C6C31">
              <w:rPr>
                <w:rFonts w:ascii="Arial Narrow" w:hAnsi="Arial Narrow"/>
                <w:b/>
                <w:sz w:val="20"/>
              </w:rPr>
              <w:t>Perampanel</w:t>
            </w:r>
          </w:p>
          <w:p w:rsidR="00D67736" w:rsidRPr="003C6C31" w:rsidRDefault="00D67736" w:rsidP="00785BBC">
            <w:pPr>
              <w:widowControl/>
              <w:jc w:val="center"/>
              <w:rPr>
                <w:rFonts w:ascii="Arial Narrow" w:hAnsi="Arial Narrow"/>
                <w:b/>
                <w:sz w:val="20"/>
              </w:rPr>
            </w:pPr>
            <w:r w:rsidRPr="003C6C31">
              <w:rPr>
                <w:rFonts w:ascii="Arial Narrow" w:hAnsi="Arial Narrow"/>
                <w:b/>
                <w:sz w:val="20"/>
              </w:rPr>
              <w:t>(N=81)</w:t>
            </w:r>
          </w:p>
          <w:p w:rsidR="00D67736" w:rsidRPr="003C6C31" w:rsidRDefault="00D67736" w:rsidP="00785BBC">
            <w:pPr>
              <w:widowControl/>
              <w:jc w:val="center"/>
              <w:rPr>
                <w:rFonts w:ascii="Arial Narrow" w:hAnsi="Arial Narrow"/>
                <w:b/>
                <w:sz w:val="20"/>
              </w:rPr>
            </w:pPr>
            <w:r w:rsidRPr="003C6C31">
              <w:rPr>
                <w:rFonts w:ascii="Arial Narrow" w:hAnsi="Arial Narrow"/>
                <w:b/>
                <w:sz w:val="20"/>
              </w:rPr>
              <w:t>n (%)</w:t>
            </w:r>
          </w:p>
        </w:tc>
        <w:tc>
          <w:tcPr>
            <w:tcW w:w="919" w:type="pct"/>
            <w:tcBorders>
              <w:top w:val="single" w:sz="4" w:space="0" w:color="auto"/>
              <w:left w:val="single" w:sz="4" w:space="0" w:color="auto"/>
              <w:bottom w:val="single" w:sz="4" w:space="0" w:color="auto"/>
              <w:right w:val="single" w:sz="4" w:space="0" w:color="auto"/>
            </w:tcBorders>
            <w:vAlign w:val="center"/>
            <w:hideMark/>
          </w:tcPr>
          <w:p w:rsidR="00D67736" w:rsidRPr="003C6C31" w:rsidRDefault="00D67736" w:rsidP="00785BBC">
            <w:pPr>
              <w:widowControl/>
              <w:jc w:val="center"/>
              <w:rPr>
                <w:rFonts w:ascii="Arial Narrow" w:hAnsi="Arial Narrow"/>
                <w:b/>
                <w:sz w:val="20"/>
              </w:rPr>
            </w:pPr>
            <w:r w:rsidRPr="003C6C31">
              <w:rPr>
                <w:rFonts w:ascii="Arial Narrow" w:hAnsi="Arial Narrow"/>
                <w:b/>
                <w:sz w:val="20"/>
              </w:rPr>
              <w:t>Placebo</w:t>
            </w:r>
          </w:p>
          <w:p w:rsidR="00D67736" w:rsidRPr="003C6C31" w:rsidRDefault="00D67736" w:rsidP="00785BBC">
            <w:pPr>
              <w:widowControl/>
              <w:jc w:val="center"/>
              <w:rPr>
                <w:rFonts w:ascii="Arial Narrow" w:hAnsi="Arial Narrow"/>
                <w:b/>
                <w:sz w:val="20"/>
              </w:rPr>
            </w:pPr>
            <w:r w:rsidRPr="003C6C31">
              <w:rPr>
                <w:rFonts w:ascii="Arial Narrow" w:hAnsi="Arial Narrow"/>
                <w:b/>
                <w:sz w:val="20"/>
              </w:rPr>
              <w:t>(n=82)</w:t>
            </w:r>
          </w:p>
          <w:p w:rsidR="00D67736" w:rsidRPr="003C6C31" w:rsidRDefault="00D67736" w:rsidP="00785BBC">
            <w:pPr>
              <w:widowControl/>
              <w:jc w:val="center"/>
              <w:rPr>
                <w:rFonts w:ascii="Arial Narrow" w:hAnsi="Arial Narrow"/>
                <w:b/>
                <w:sz w:val="20"/>
              </w:rPr>
            </w:pPr>
            <w:r w:rsidRPr="003C6C31">
              <w:rPr>
                <w:rFonts w:ascii="Arial Narrow" w:hAnsi="Arial Narrow"/>
                <w:b/>
                <w:sz w:val="20"/>
              </w:rPr>
              <w:t>n (%)</w:t>
            </w:r>
          </w:p>
        </w:tc>
        <w:tc>
          <w:tcPr>
            <w:tcW w:w="987" w:type="pct"/>
            <w:tcBorders>
              <w:top w:val="single" w:sz="4" w:space="0" w:color="auto"/>
              <w:left w:val="single" w:sz="4" w:space="0" w:color="auto"/>
              <w:bottom w:val="single" w:sz="4" w:space="0" w:color="auto"/>
              <w:right w:val="single" w:sz="4" w:space="0" w:color="auto"/>
            </w:tcBorders>
            <w:vAlign w:val="center"/>
          </w:tcPr>
          <w:p w:rsidR="00D67736" w:rsidRPr="003C6C31" w:rsidRDefault="00D67736" w:rsidP="00785BBC">
            <w:pPr>
              <w:widowControl/>
              <w:jc w:val="center"/>
              <w:rPr>
                <w:rFonts w:ascii="Arial Narrow" w:hAnsi="Arial Narrow"/>
                <w:b/>
                <w:sz w:val="20"/>
              </w:rPr>
            </w:pPr>
            <w:r w:rsidRPr="003C6C31">
              <w:rPr>
                <w:rFonts w:ascii="Arial Narrow" w:hAnsi="Arial Narrow"/>
                <w:b/>
                <w:sz w:val="20"/>
              </w:rPr>
              <w:t>RD</w:t>
            </w:r>
          </w:p>
          <w:p w:rsidR="00D67736" w:rsidRPr="003C6C31" w:rsidRDefault="00D67736" w:rsidP="00785BBC">
            <w:pPr>
              <w:widowControl/>
              <w:jc w:val="center"/>
              <w:rPr>
                <w:rFonts w:ascii="Arial Narrow" w:hAnsi="Arial Narrow"/>
                <w:b/>
                <w:sz w:val="20"/>
              </w:rPr>
            </w:pPr>
            <w:r w:rsidRPr="003C6C31">
              <w:rPr>
                <w:rFonts w:ascii="Arial Narrow" w:hAnsi="Arial Narrow"/>
                <w:b/>
                <w:sz w:val="20"/>
              </w:rPr>
              <w:t>(95% CI)</w:t>
            </w:r>
            <w:r w:rsidR="00ED704C" w:rsidRPr="003C6C31">
              <w:rPr>
                <w:rFonts w:ascii="Arial Narrow" w:hAnsi="Arial Narrow"/>
                <w:b/>
                <w:sz w:val="20"/>
                <w:vertAlign w:val="superscript"/>
              </w:rPr>
              <w:t>a</w:t>
            </w:r>
          </w:p>
        </w:tc>
        <w:tc>
          <w:tcPr>
            <w:tcW w:w="986" w:type="pct"/>
            <w:tcBorders>
              <w:top w:val="single" w:sz="4" w:space="0" w:color="auto"/>
              <w:left w:val="single" w:sz="4" w:space="0" w:color="auto"/>
              <w:bottom w:val="single" w:sz="4" w:space="0" w:color="auto"/>
              <w:right w:val="single" w:sz="4" w:space="0" w:color="auto"/>
            </w:tcBorders>
            <w:vAlign w:val="center"/>
            <w:hideMark/>
          </w:tcPr>
          <w:p w:rsidR="00D67736" w:rsidRPr="003C6C31" w:rsidRDefault="00D67736" w:rsidP="00785BBC">
            <w:pPr>
              <w:widowControl/>
              <w:jc w:val="center"/>
              <w:rPr>
                <w:rFonts w:ascii="Arial Narrow" w:hAnsi="Arial Narrow"/>
                <w:b/>
                <w:sz w:val="20"/>
              </w:rPr>
            </w:pPr>
            <w:r w:rsidRPr="003C6C31">
              <w:rPr>
                <w:rFonts w:ascii="Arial Narrow" w:hAnsi="Arial Narrow"/>
                <w:b/>
                <w:sz w:val="20"/>
              </w:rPr>
              <w:t xml:space="preserve">RR </w:t>
            </w:r>
            <w:r w:rsidRPr="003C6C31">
              <w:rPr>
                <w:rFonts w:ascii="Arial Narrow" w:hAnsi="Arial Narrow"/>
                <w:b/>
                <w:sz w:val="20"/>
              </w:rPr>
              <w:br/>
              <w:t>(95% CI)</w:t>
            </w:r>
            <w:r w:rsidR="00ED704C" w:rsidRPr="003C6C31">
              <w:rPr>
                <w:rFonts w:ascii="Arial Narrow" w:hAnsi="Arial Narrow"/>
                <w:b/>
                <w:sz w:val="20"/>
                <w:vertAlign w:val="superscript"/>
              </w:rPr>
              <w:t>a</w:t>
            </w:r>
          </w:p>
        </w:tc>
      </w:tr>
      <w:tr w:rsidR="00D67736" w:rsidRPr="003C6C31" w:rsidTr="004C20F5">
        <w:trPr>
          <w:trHeight w:val="255"/>
        </w:trPr>
        <w:tc>
          <w:tcPr>
            <w:tcW w:w="1189" w:type="pct"/>
            <w:tcBorders>
              <w:top w:val="single" w:sz="4" w:space="0" w:color="auto"/>
              <w:left w:val="single" w:sz="4" w:space="0" w:color="auto"/>
              <w:bottom w:val="single" w:sz="4" w:space="0" w:color="auto"/>
              <w:right w:val="single" w:sz="4" w:space="0" w:color="auto"/>
            </w:tcBorders>
            <w:noWrap/>
            <w:hideMark/>
          </w:tcPr>
          <w:p w:rsidR="00D67736" w:rsidRPr="003C6C31" w:rsidRDefault="00D67736" w:rsidP="00785BBC">
            <w:pPr>
              <w:widowControl/>
              <w:jc w:val="left"/>
              <w:rPr>
                <w:rFonts w:ascii="Arial Narrow" w:hAnsi="Arial Narrow"/>
                <w:sz w:val="20"/>
              </w:rPr>
            </w:pPr>
            <w:r w:rsidRPr="003C6C31">
              <w:rPr>
                <w:rFonts w:ascii="Arial Narrow" w:hAnsi="Arial Narrow"/>
                <w:sz w:val="20"/>
              </w:rPr>
              <w:t xml:space="preserve">   Fatigue</w:t>
            </w:r>
          </w:p>
        </w:tc>
        <w:tc>
          <w:tcPr>
            <w:tcW w:w="919"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widowControl/>
              <w:jc w:val="center"/>
              <w:rPr>
                <w:rFonts w:ascii="Arial Narrow" w:hAnsi="Arial Narrow"/>
                <w:color w:val="000000"/>
                <w:sz w:val="20"/>
              </w:rPr>
            </w:pPr>
            <w:r w:rsidRPr="003C6C31">
              <w:rPr>
                <w:rFonts w:ascii="Arial Narrow" w:hAnsi="Arial Narrow"/>
                <w:color w:val="000000"/>
                <w:sz w:val="20"/>
              </w:rPr>
              <w:t>12 (14.8%)</w:t>
            </w:r>
          </w:p>
        </w:tc>
        <w:tc>
          <w:tcPr>
            <w:tcW w:w="919"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widowControl/>
              <w:jc w:val="center"/>
              <w:rPr>
                <w:rFonts w:ascii="Arial Narrow" w:hAnsi="Arial Narrow"/>
                <w:color w:val="000000"/>
                <w:sz w:val="20"/>
              </w:rPr>
            </w:pPr>
            <w:r w:rsidRPr="003C6C31">
              <w:rPr>
                <w:rFonts w:ascii="Arial Narrow" w:hAnsi="Arial Narrow"/>
                <w:color w:val="000000"/>
                <w:sz w:val="20"/>
              </w:rPr>
              <w:t>5 (6.1%)</w:t>
            </w:r>
          </w:p>
        </w:tc>
        <w:tc>
          <w:tcPr>
            <w:tcW w:w="987" w:type="pct"/>
            <w:tcBorders>
              <w:top w:val="single" w:sz="4" w:space="0" w:color="auto"/>
              <w:left w:val="single" w:sz="4" w:space="0" w:color="auto"/>
              <w:bottom w:val="single" w:sz="4" w:space="0" w:color="auto"/>
              <w:right w:val="single" w:sz="4" w:space="0" w:color="auto"/>
            </w:tcBorders>
            <w:vAlign w:val="center"/>
          </w:tcPr>
          <w:p w:rsidR="00D67736" w:rsidRPr="003C6C31" w:rsidRDefault="00D67736" w:rsidP="00785BBC">
            <w:pPr>
              <w:widowControl/>
              <w:jc w:val="center"/>
              <w:rPr>
                <w:rFonts w:ascii="Arial Narrow" w:hAnsi="Arial Narrow"/>
                <w:sz w:val="20"/>
              </w:rPr>
            </w:pPr>
            <w:r w:rsidRPr="003C6C31">
              <w:rPr>
                <w:rFonts w:ascii="Arial Narrow" w:hAnsi="Arial Narrow"/>
                <w:sz w:val="20"/>
              </w:rPr>
              <w:t>9% (-1%, 18%)</w:t>
            </w:r>
          </w:p>
        </w:tc>
        <w:tc>
          <w:tcPr>
            <w:tcW w:w="986"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widowControl/>
              <w:jc w:val="center"/>
              <w:rPr>
                <w:rFonts w:ascii="Arial Narrow" w:hAnsi="Arial Narrow"/>
                <w:sz w:val="20"/>
              </w:rPr>
            </w:pPr>
            <w:r w:rsidRPr="003C6C31">
              <w:rPr>
                <w:rFonts w:ascii="Arial Narrow" w:hAnsi="Arial Narrow"/>
                <w:sz w:val="20"/>
              </w:rPr>
              <w:t>2.43 (0.90, 6.59)</w:t>
            </w:r>
          </w:p>
        </w:tc>
      </w:tr>
      <w:tr w:rsidR="00D67736" w:rsidRPr="003C6C31" w:rsidTr="004C20F5">
        <w:trPr>
          <w:trHeight w:val="255"/>
        </w:trPr>
        <w:tc>
          <w:tcPr>
            <w:tcW w:w="1189" w:type="pct"/>
            <w:tcBorders>
              <w:top w:val="single" w:sz="4" w:space="0" w:color="auto"/>
              <w:left w:val="single" w:sz="4" w:space="0" w:color="auto"/>
              <w:bottom w:val="single" w:sz="4" w:space="0" w:color="auto"/>
              <w:right w:val="single" w:sz="4" w:space="0" w:color="auto"/>
            </w:tcBorders>
            <w:noWrap/>
            <w:hideMark/>
          </w:tcPr>
          <w:p w:rsidR="00D67736" w:rsidRPr="003C6C31" w:rsidRDefault="00D67736" w:rsidP="00785BBC">
            <w:pPr>
              <w:widowControl/>
              <w:jc w:val="left"/>
              <w:rPr>
                <w:rFonts w:ascii="Arial Narrow" w:hAnsi="Arial Narrow"/>
                <w:sz w:val="20"/>
              </w:rPr>
            </w:pPr>
            <w:r w:rsidRPr="003C6C31">
              <w:rPr>
                <w:rFonts w:ascii="Arial Narrow" w:hAnsi="Arial Narrow"/>
                <w:sz w:val="20"/>
              </w:rPr>
              <w:t xml:space="preserve">   Irritability</w:t>
            </w:r>
          </w:p>
        </w:tc>
        <w:tc>
          <w:tcPr>
            <w:tcW w:w="919"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widowControl/>
              <w:jc w:val="center"/>
              <w:rPr>
                <w:rFonts w:ascii="Arial Narrow" w:hAnsi="Arial Narrow"/>
                <w:color w:val="000000"/>
                <w:sz w:val="20"/>
              </w:rPr>
            </w:pPr>
            <w:r w:rsidRPr="003C6C31">
              <w:rPr>
                <w:rFonts w:ascii="Arial Narrow" w:hAnsi="Arial Narrow"/>
                <w:color w:val="000000"/>
                <w:sz w:val="20"/>
              </w:rPr>
              <w:t>9 (11.1%)</w:t>
            </w:r>
          </w:p>
        </w:tc>
        <w:tc>
          <w:tcPr>
            <w:tcW w:w="919"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widowControl/>
              <w:jc w:val="center"/>
              <w:rPr>
                <w:rFonts w:ascii="Arial Narrow" w:hAnsi="Arial Narrow"/>
                <w:color w:val="000000"/>
                <w:sz w:val="20"/>
              </w:rPr>
            </w:pPr>
            <w:r w:rsidRPr="003C6C31">
              <w:rPr>
                <w:rFonts w:ascii="Arial Narrow" w:hAnsi="Arial Narrow"/>
                <w:color w:val="000000"/>
                <w:sz w:val="20"/>
              </w:rPr>
              <w:t>2 (2.4%)</w:t>
            </w:r>
          </w:p>
        </w:tc>
        <w:tc>
          <w:tcPr>
            <w:tcW w:w="987" w:type="pct"/>
            <w:tcBorders>
              <w:top w:val="single" w:sz="4" w:space="0" w:color="auto"/>
              <w:left w:val="single" w:sz="4" w:space="0" w:color="auto"/>
              <w:bottom w:val="single" w:sz="4" w:space="0" w:color="auto"/>
              <w:right w:val="single" w:sz="4" w:space="0" w:color="auto"/>
            </w:tcBorders>
            <w:vAlign w:val="center"/>
          </w:tcPr>
          <w:p w:rsidR="00D67736" w:rsidRPr="003C6C31" w:rsidRDefault="00D67736" w:rsidP="00785BBC">
            <w:pPr>
              <w:widowControl/>
              <w:jc w:val="center"/>
              <w:rPr>
                <w:rFonts w:ascii="Arial Narrow" w:hAnsi="Arial Narrow"/>
                <w:sz w:val="20"/>
              </w:rPr>
            </w:pPr>
            <w:r w:rsidRPr="003C6C31">
              <w:rPr>
                <w:rFonts w:ascii="Arial Narrow" w:hAnsi="Arial Narrow"/>
                <w:sz w:val="20"/>
              </w:rPr>
              <w:t>9% (1%, 16%)</w:t>
            </w:r>
          </w:p>
        </w:tc>
        <w:tc>
          <w:tcPr>
            <w:tcW w:w="986"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widowControl/>
              <w:jc w:val="center"/>
              <w:rPr>
                <w:rFonts w:ascii="Arial Narrow" w:hAnsi="Arial Narrow"/>
                <w:sz w:val="20"/>
              </w:rPr>
            </w:pPr>
            <w:r w:rsidRPr="003C6C31">
              <w:rPr>
                <w:rFonts w:ascii="Arial Narrow" w:hAnsi="Arial Narrow"/>
                <w:sz w:val="20"/>
              </w:rPr>
              <w:t>4.56 (1.02, 20.44)</w:t>
            </w:r>
          </w:p>
        </w:tc>
      </w:tr>
      <w:tr w:rsidR="00D67736" w:rsidRPr="003C6C31" w:rsidTr="004C20F5">
        <w:trPr>
          <w:trHeight w:val="255"/>
        </w:trPr>
        <w:tc>
          <w:tcPr>
            <w:tcW w:w="1189" w:type="pct"/>
            <w:tcBorders>
              <w:top w:val="single" w:sz="4" w:space="0" w:color="auto"/>
              <w:left w:val="single" w:sz="4" w:space="0" w:color="auto"/>
              <w:bottom w:val="single" w:sz="4" w:space="0" w:color="auto"/>
              <w:right w:val="single" w:sz="4" w:space="0" w:color="auto"/>
            </w:tcBorders>
            <w:noWrap/>
            <w:hideMark/>
          </w:tcPr>
          <w:p w:rsidR="00D67736" w:rsidRPr="003C6C31" w:rsidRDefault="00D67736" w:rsidP="00785BBC">
            <w:pPr>
              <w:widowControl/>
              <w:jc w:val="left"/>
              <w:rPr>
                <w:rFonts w:ascii="Arial Narrow" w:hAnsi="Arial Narrow"/>
                <w:sz w:val="20"/>
              </w:rPr>
            </w:pPr>
            <w:r w:rsidRPr="003C6C31">
              <w:rPr>
                <w:rFonts w:ascii="Arial Narrow" w:hAnsi="Arial Narrow"/>
                <w:sz w:val="20"/>
              </w:rPr>
              <w:t xml:space="preserve">   Dizziness</w:t>
            </w:r>
          </w:p>
        </w:tc>
        <w:tc>
          <w:tcPr>
            <w:tcW w:w="919"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widowControl/>
              <w:jc w:val="center"/>
              <w:rPr>
                <w:rFonts w:ascii="Arial Narrow" w:hAnsi="Arial Narrow"/>
                <w:color w:val="000000"/>
                <w:sz w:val="20"/>
              </w:rPr>
            </w:pPr>
            <w:r w:rsidRPr="003C6C31">
              <w:rPr>
                <w:rFonts w:ascii="Arial Narrow" w:hAnsi="Arial Narrow"/>
                <w:color w:val="000000"/>
                <w:sz w:val="20"/>
              </w:rPr>
              <w:t>26 (32.1%)</w:t>
            </w:r>
          </w:p>
        </w:tc>
        <w:tc>
          <w:tcPr>
            <w:tcW w:w="919"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widowControl/>
              <w:jc w:val="center"/>
              <w:rPr>
                <w:rFonts w:ascii="Arial Narrow" w:hAnsi="Arial Narrow"/>
                <w:color w:val="000000"/>
                <w:sz w:val="20"/>
              </w:rPr>
            </w:pPr>
            <w:r w:rsidRPr="003C6C31">
              <w:rPr>
                <w:rFonts w:ascii="Arial Narrow" w:hAnsi="Arial Narrow"/>
                <w:color w:val="000000"/>
                <w:sz w:val="20"/>
              </w:rPr>
              <w:t>5 (6.1%)</w:t>
            </w:r>
          </w:p>
        </w:tc>
        <w:tc>
          <w:tcPr>
            <w:tcW w:w="987" w:type="pct"/>
            <w:tcBorders>
              <w:top w:val="single" w:sz="4" w:space="0" w:color="auto"/>
              <w:left w:val="single" w:sz="4" w:space="0" w:color="auto"/>
              <w:bottom w:val="single" w:sz="4" w:space="0" w:color="auto"/>
              <w:right w:val="single" w:sz="4" w:space="0" w:color="auto"/>
            </w:tcBorders>
            <w:vAlign w:val="center"/>
          </w:tcPr>
          <w:p w:rsidR="00D67736" w:rsidRPr="003C6C31" w:rsidRDefault="00D67736" w:rsidP="00785BBC">
            <w:pPr>
              <w:widowControl/>
              <w:jc w:val="center"/>
              <w:rPr>
                <w:rFonts w:ascii="Arial Narrow" w:hAnsi="Arial Narrow"/>
                <w:sz w:val="20"/>
              </w:rPr>
            </w:pPr>
            <w:r w:rsidRPr="003C6C31">
              <w:rPr>
                <w:rFonts w:ascii="Arial Narrow" w:hAnsi="Arial Narrow"/>
                <w:sz w:val="20"/>
              </w:rPr>
              <w:t>26% (15%, 37%)</w:t>
            </w:r>
          </w:p>
        </w:tc>
        <w:tc>
          <w:tcPr>
            <w:tcW w:w="986"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widowControl/>
              <w:jc w:val="center"/>
              <w:rPr>
                <w:rFonts w:ascii="Arial Narrow" w:hAnsi="Arial Narrow"/>
                <w:sz w:val="20"/>
              </w:rPr>
            </w:pPr>
            <w:r w:rsidRPr="003C6C31">
              <w:rPr>
                <w:rFonts w:ascii="Arial Narrow" w:hAnsi="Arial Narrow"/>
                <w:sz w:val="20"/>
              </w:rPr>
              <w:t>5.26 (2.13, 13.03)</w:t>
            </w:r>
          </w:p>
        </w:tc>
      </w:tr>
      <w:tr w:rsidR="00D67736" w:rsidRPr="003C6C31" w:rsidTr="004C20F5">
        <w:trPr>
          <w:trHeight w:val="255"/>
        </w:trPr>
        <w:tc>
          <w:tcPr>
            <w:tcW w:w="1189" w:type="pct"/>
            <w:tcBorders>
              <w:top w:val="single" w:sz="4" w:space="0" w:color="auto"/>
              <w:left w:val="single" w:sz="4" w:space="0" w:color="auto"/>
              <w:bottom w:val="single" w:sz="4" w:space="0" w:color="auto"/>
              <w:right w:val="single" w:sz="4" w:space="0" w:color="auto"/>
            </w:tcBorders>
            <w:noWrap/>
            <w:hideMark/>
          </w:tcPr>
          <w:p w:rsidR="00D67736" w:rsidRPr="003C6C31" w:rsidRDefault="00D67736" w:rsidP="00785BBC">
            <w:pPr>
              <w:widowControl/>
              <w:jc w:val="left"/>
              <w:rPr>
                <w:rFonts w:ascii="Arial Narrow" w:hAnsi="Arial Narrow"/>
                <w:sz w:val="20"/>
              </w:rPr>
            </w:pPr>
            <w:r w:rsidRPr="003C6C31">
              <w:rPr>
                <w:rFonts w:ascii="Arial Narrow" w:hAnsi="Arial Narrow"/>
                <w:sz w:val="20"/>
              </w:rPr>
              <w:t xml:space="preserve">  Somnolence</w:t>
            </w:r>
          </w:p>
        </w:tc>
        <w:tc>
          <w:tcPr>
            <w:tcW w:w="919"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widowControl/>
              <w:jc w:val="center"/>
              <w:rPr>
                <w:rFonts w:ascii="Arial Narrow" w:hAnsi="Arial Narrow"/>
                <w:color w:val="000000"/>
                <w:sz w:val="20"/>
              </w:rPr>
            </w:pPr>
            <w:r w:rsidRPr="003C6C31">
              <w:rPr>
                <w:rFonts w:ascii="Arial Narrow" w:hAnsi="Arial Narrow"/>
                <w:color w:val="000000"/>
                <w:sz w:val="20"/>
              </w:rPr>
              <w:t>9 (11.1%)</w:t>
            </w:r>
          </w:p>
        </w:tc>
        <w:tc>
          <w:tcPr>
            <w:tcW w:w="919"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widowControl/>
              <w:jc w:val="center"/>
              <w:rPr>
                <w:rFonts w:ascii="Arial Narrow" w:hAnsi="Arial Narrow"/>
                <w:color w:val="000000"/>
                <w:sz w:val="20"/>
              </w:rPr>
            </w:pPr>
            <w:r w:rsidRPr="003C6C31">
              <w:rPr>
                <w:rFonts w:ascii="Arial Narrow" w:hAnsi="Arial Narrow"/>
                <w:color w:val="000000"/>
                <w:sz w:val="20"/>
              </w:rPr>
              <w:t>3 (3.7%)</w:t>
            </w:r>
          </w:p>
        </w:tc>
        <w:tc>
          <w:tcPr>
            <w:tcW w:w="987" w:type="pct"/>
            <w:tcBorders>
              <w:top w:val="single" w:sz="4" w:space="0" w:color="auto"/>
              <w:left w:val="single" w:sz="4" w:space="0" w:color="auto"/>
              <w:bottom w:val="single" w:sz="4" w:space="0" w:color="auto"/>
              <w:right w:val="single" w:sz="4" w:space="0" w:color="auto"/>
            </w:tcBorders>
            <w:vAlign w:val="center"/>
          </w:tcPr>
          <w:p w:rsidR="00D67736" w:rsidRPr="003C6C31" w:rsidRDefault="00D67736" w:rsidP="00785BBC">
            <w:pPr>
              <w:widowControl/>
              <w:jc w:val="center"/>
              <w:rPr>
                <w:rFonts w:ascii="Arial Narrow" w:hAnsi="Arial Narrow"/>
                <w:sz w:val="20"/>
              </w:rPr>
            </w:pPr>
            <w:r w:rsidRPr="003C6C31">
              <w:rPr>
                <w:rFonts w:ascii="Arial Narrow" w:hAnsi="Arial Narrow"/>
                <w:sz w:val="20"/>
              </w:rPr>
              <w:t>7% (-1%, 15%)</w:t>
            </w:r>
          </w:p>
        </w:tc>
        <w:tc>
          <w:tcPr>
            <w:tcW w:w="986" w:type="pct"/>
            <w:tcBorders>
              <w:top w:val="single" w:sz="4" w:space="0" w:color="auto"/>
              <w:left w:val="single" w:sz="4" w:space="0" w:color="auto"/>
              <w:bottom w:val="single" w:sz="4" w:space="0" w:color="auto"/>
              <w:right w:val="single" w:sz="4" w:space="0" w:color="auto"/>
            </w:tcBorders>
            <w:noWrap/>
            <w:vAlign w:val="center"/>
            <w:hideMark/>
          </w:tcPr>
          <w:p w:rsidR="00D67736" w:rsidRPr="003C6C31" w:rsidRDefault="00D67736" w:rsidP="00785BBC">
            <w:pPr>
              <w:widowControl/>
              <w:jc w:val="center"/>
              <w:rPr>
                <w:rFonts w:ascii="Arial Narrow" w:hAnsi="Arial Narrow"/>
                <w:sz w:val="20"/>
              </w:rPr>
            </w:pPr>
            <w:r w:rsidRPr="003C6C31">
              <w:rPr>
                <w:rFonts w:ascii="Arial Narrow" w:hAnsi="Arial Narrow"/>
                <w:sz w:val="20"/>
              </w:rPr>
              <w:t>3.04 (0.85, 10.82)</w:t>
            </w:r>
          </w:p>
        </w:tc>
      </w:tr>
      <w:tr w:rsidR="00D67736" w:rsidRPr="003C6C31" w:rsidTr="004C20F5">
        <w:trPr>
          <w:trHeight w:val="255"/>
        </w:trPr>
        <w:tc>
          <w:tcPr>
            <w:tcW w:w="1189" w:type="pct"/>
            <w:tcBorders>
              <w:top w:val="single" w:sz="4" w:space="0" w:color="auto"/>
              <w:left w:val="single" w:sz="4" w:space="0" w:color="auto"/>
              <w:bottom w:val="single" w:sz="4" w:space="0" w:color="auto"/>
              <w:right w:val="single" w:sz="4" w:space="0" w:color="auto"/>
            </w:tcBorders>
            <w:noWrap/>
          </w:tcPr>
          <w:p w:rsidR="00D67736" w:rsidRPr="003C6C31" w:rsidRDefault="00D67736" w:rsidP="00785BBC">
            <w:pPr>
              <w:widowControl/>
              <w:jc w:val="left"/>
              <w:rPr>
                <w:rFonts w:ascii="Arial Narrow" w:hAnsi="Arial Narrow"/>
                <w:sz w:val="20"/>
              </w:rPr>
            </w:pPr>
            <w:r w:rsidRPr="003C6C31">
              <w:rPr>
                <w:rFonts w:ascii="Arial Narrow" w:hAnsi="Arial Narrow"/>
                <w:sz w:val="20"/>
              </w:rPr>
              <w:t>Ear and labyrinth disorders</w:t>
            </w:r>
          </w:p>
        </w:tc>
        <w:tc>
          <w:tcPr>
            <w:tcW w:w="919" w:type="pct"/>
            <w:tcBorders>
              <w:top w:val="single" w:sz="4" w:space="0" w:color="auto"/>
              <w:left w:val="single" w:sz="4" w:space="0" w:color="auto"/>
              <w:bottom w:val="single" w:sz="4" w:space="0" w:color="auto"/>
              <w:right w:val="single" w:sz="4" w:space="0" w:color="auto"/>
            </w:tcBorders>
            <w:noWrap/>
            <w:vAlign w:val="center"/>
          </w:tcPr>
          <w:p w:rsidR="00D67736" w:rsidRPr="003C6C31" w:rsidRDefault="00D67736" w:rsidP="00785BBC">
            <w:pPr>
              <w:widowControl/>
              <w:jc w:val="center"/>
              <w:rPr>
                <w:rFonts w:ascii="Arial Narrow" w:hAnsi="Arial Narrow"/>
                <w:color w:val="000000"/>
                <w:sz w:val="20"/>
              </w:rPr>
            </w:pPr>
            <w:r w:rsidRPr="003C6C31">
              <w:rPr>
                <w:rFonts w:ascii="Arial Narrow" w:hAnsi="Arial Narrow"/>
                <w:color w:val="000000"/>
                <w:sz w:val="20"/>
              </w:rPr>
              <w:t>9 (11.1%)</w:t>
            </w:r>
          </w:p>
        </w:tc>
        <w:tc>
          <w:tcPr>
            <w:tcW w:w="919" w:type="pct"/>
            <w:tcBorders>
              <w:top w:val="single" w:sz="4" w:space="0" w:color="auto"/>
              <w:left w:val="single" w:sz="4" w:space="0" w:color="auto"/>
              <w:bottom w:val="single" w:sz="4" w:space="0" w:color="auto"/>
              <w:right w:val="single" w:sz="4" w:space="0" w:color="auto"/>
            </w:tcBorders>
            <w:noWrap/>
            <w:vAlign w:val="center"/>
          </w:tcPr>
          <w:p w:rsidR="00D67736" w:rsidRPr="003C6C31" w:rsidRDefault="00D67736" w:rsidP="00785BBC">
            <w:pPr>
              <w:widowControl/>
              <w:jc w:val="center"/>
              <w:rPr>
                <w:rFonts w:ascii="Arial Narrow" w:hAnsi="Arial Narrow"/>
                <w:color w:val="000000"/>
                <w:sz w:val="20"/>
              </w:rPr>
            </w:pPr>
            <w:r w:rsidRPr="003C6C31">
              <w:rPr>
                <w:rFonts w:ascii="Arial Narrow" w:hAnsi="Arial Narrow"/>
                <w:color w:val="000000"/>
                <w:sz w:val="20"/>
              </w:rPr>
              <w:t>3 (3.7%)</w:t>
            </w:r>
          </w:p>
        </w:tc>
        <w:tc>
          <w:tcPr>
            <w:tcW w:w="987" w:type="pct"/>
            <w:tcBorders>
              <w:top w:val="single" w:sz="4" w:space="0" w:color="auto"/>
              <w:left w:val="single" w:sz="4" w:space="0" w:color="auto"/>
              <w:bottom w:val="single" w:sz="4" w:space="0" w:color="auto"/>
              <w:right w:val="single" w:sz="4" w:space="0" w:color="auto"/>
            </w:tcBorders>
            <w:vAlign w:val="center"/>
          </w:tcPr>
          <w:p w:rsidR="00D67736" w:rsidRPr="003C6C31" w:rsidRDefault="00D67736" w:rsidP="00785BBC">
            <w:pPr>
              <w:widowControl/>
              <w:jc w:val="center"/>
              <w:rPr>
                <w:rFonts w:ascii="Arial Narrow" w:hAnsi="Arial Narrow"/>
                <w:sz w:val="20"/>
              </w:rPr>
            </w:pPr>
            <w:r w:rsidRPr="003C6C31">
              <w:rPr>
                <w:rFonts w:ascii="Arial Narrow" w:hAnsi="Arial Narrow"/>
                <w:sz w:val="20"/>
              </w:rPr>
              <w:t>7% (-1%, 15%)</w:t>
            </w:r>
          </w:p>
        </w:tc>
        <w:tc>
          <w:tcPr>
            <w:tcW w:w="986" w:type="pct"/>
            <w:tcBorders>
              <w:top w:val="single" w:sz="4" w:space="0" w:color="auto"/>
              <w:left w:val="single" w:sz="4" w:space="0" w:color="auto"/>
              <w:bottom w:val="single" w:sz="4" w:space="0" w:color="auto"/>
              <w:right w:val="single" w:sz="4" w:space="0" w:color="auto"/>
            </w:tcBorders>
            <w:noWrap/>
            <w:vAlign w:val="center"/>
          </w:tcPr>
          <w:p w:rsidR="00D67736" w:rsidRPr="003C6C31" w:rsidRDefault="00D67736" w:rsidP="00785BBC">
            <w:pPr>
              <w:widowControl/>
              <w:jc w:val="center"/>
              <w:rPr>
                <w:rFonts w:ascii="Arial Narrow" w:hAnsi="Arial Narrow"/>
                <w:sz w:val="20"/>
              </w:rPr>
            </w:pPr>
            <w:r w:rsidRPr="003C6C31">
              <w:rPr>
                <w:rFonts w:ascii="Arial Narrow" w:hAnsi="Arial Narrow"/>
                <w:sz w:val="20"/>
              </w:rPr>
              <w:t>3.04 (0.85, 10.82)</w:t>
            </w:r>
          </w:p>
        </w:tc>
      </w:tr>
      <w:tr w:rsidR="00D67736" w:rsidRPr="003C6C31" w:rsidTr="004C20F5">
        <w:trPr>
          <w:trHeight w:val="255"/>
        </w:trPr>
        <w:tc>
          <w:tcPr>
            <w:tcW w:w="1189" w:type="pct"/>
            <w:tcBorders>
              <w:top w:val="single" w:sz="4" w:space="0" w:color="auto"/>
              <w:left w:val="single" w:sz="4" w:space="0" w:color="auto"/>
              <w:bottom w:val="single" w:sz="4" w:space="0" w:color="auto"/>
              <w:right w:val="single" w:sz="4" w:space="0" w:color="auto"/>
            </w:tcBorders>
            <w:noWrap/>
          </w:tcPr>
          <w:p w:rsidR="00D67736" w:rsidRPr="003C6C31" w:rsidRDefault="00D67736" w:rsidP="00785BBC">
            <w:pPr>
              <w:widowControl/>
              <w:jc w:val="left"/>
              <w:rPr>
                <w:rFonts w:ascii="Arial Narrow" w:hAnsi="Arial Narrow"/>
                <w:sz w:val="20"/>
              </w:rPr>
            </w:pPr>
            <w:r w:rsidRPr="003C6C31">
              <w:rPr>
                <w:rFonts w:ascii="Arial Narrow" w:hAnsi="Arial Narrow"/>
                <w:sz w:val="20"/>
              </w:rPr>
              <w:t>Psychiatric disorders</w:t>
            </w:r>
            <w:r w:rsidR="00ED704C" w:rsidRPr="003C6C31">
              <w:rPr>
                <w:rFonts w:ascii="Arial Narrow" w:hAnsi="Arial Narrow"/>
                <w:sz w:val="20"/>
                <w:vertAlign w:val="superscript"/>
              </w:rPr>
              <w:t>b</w:t>
            </w:r>
          </w:p>
        </w:tc>
        <w:tc>
          <w:tcPr>
            <w:tcW w:w="919" w:type="pct"/>
            <w:tcBorders>
              <w:top w:val="single" w:sz="4" w:space="0" w:color="auto"/>
              <w:left w:val="single" w:sz="4" w:space="0" w:color="auto"/>
              <w:bottom w:val="single" w:sz="4" w:space="0" w:color="auto"/>
              <w:right w:val="single" w:sz="4" w:space="0" w:color="auto"/>
            </w:tcBorders>
            <w:noWrap/>
            <w:vAlign w:val="center"/>
          </w:tcPr>
          <w:p w:rsidR="00D67736" w:rsidRPr="003C6C31" w:rsidRDefault="00D67736" w:rsidP="00785BBC">
            <w:pPr>
              <w:widowControl/>
              <w:jc w:val="center"/>
              <w:rPr>
                <w:rFonts w:ascii="Arial Narrow" w:hAnsi="Arial Narrow"/>
                <w:color w:val="000000"/>
                <w:sz w:val="20"/>
              </w:rPr>
            </w:pPr>
            <w:r w:rsidRPr="003C6C31">
              <w:rPr>
                <w:rFonts w:ascii="Arial Narrow" w:hAnsi="Arial Narrow"/>
                <w:color w:val="000000"/>
                <w:sz w:val="20"/>
              </w:rPr>
              <w:t>20 (24.7%)</w:t>
            </w:r>
          </w:p>
        </w:tc>
        <w:tc>
          <w:tcPr>
            <w:tcW w:w="919" w:type="pct"/>
            <w:tcBorders>
              <w:top w:val="single" w:sz="4" w:space="0" w:color="auto"/>
              <w:left w:val="single" w:sz="4" w:space="0" w:color="auto"/>
              <w:bottom w:val="single" w:sz="4" w:space="0" w:color="auto"/>
              <w:right w:val="single" w:sz="4" w:space="0" w:color="auto"/>
            </w:tcBorders>
            <w:noWrap/>
            <w:vAlign w:val="center"/>
          </w:tcPr>
          <w:p w:rsidR="00D67736" w:rsidRPr="003C6C31" w:rsidRDefault="00D67736" w:rsidP="00785BBC">
            <w:pPr>
              <w:widowControl/>
              <w:jc w:val="center"/>
              <w:rPr>
                <w:rFonts w:ascii="Arial Narrow" w:hAnsi="Arial Narrow"/>
                <w:color w:val="000000"/>
                <w:sz w:val="20"/>
              </w:rPr>
            </w:pPr>
            <w:r w:rsidRPr="003C6C31">
              <w:rPr>
                <w:rFonts w:ascii="Arial Narrow" w:hAnsi="Arial Narrow"/>
                <w:color w:val="000000"/>
                <w:sz w:val="20"/>
              </w:rPr>
              <w:t>16 (19.5%)</w:t>
            </w:r>
          </w:p>
        </w:tc>
        <w:tc>
          <w:tcPr>
            <w:tcW w:w="987" w:type="pct"/>
            <w:tcBorders>
              <w:top w:val="single" w:sz="4" w:space="0" w:color="auto"/>
              <w:left w:val="single" w:sz="4" w:space="0" w:color="auto"/>
              <w:bottom w:val="single" w:sz="4" w:space="0" w:color="auto"/>
              <w:right w:val="single" w:sz="4" w:space="0" w:color="auto"/>
            </w:tcBorders>
            <w:vAlign w:val="center"/>
          </w:tcPr>
          <w:p w:rsidR="00D67736" w:rsidRPr="003C6C31" w:rsidRDefault="00D67736" w:rsidP="00785BBC">
            <w:pPr>
              <w:widowControl/>
              <w:jc w:val="center"/>
              <w:rPr>
                <w:rFonts w:ascii="Arial Narrow" w:hAnsi="Arial Narrow"/>
                <w:sz w:val="20"/>
              </w:rPr>
            </w:pPr>
            <w:r w:rsidRPr="003C6C31">
              <w:rPr>
                <w:rFonts w:ascii="Arial Narrow" w:hAnsi="Arial Narrow"/>
                <w:sz w:val="20"/>
              </w:rPr>
              <w:t>5% (-8%, 18%)</w:t>
            </w:r>
          </w:p>
        </w:tc>
        <w:tc>
          <w:tcPr>
            <w:tcW w:w="986" w:type="pct"/>
            <w:tcBorders>
              <w:top w:val="single" w:sz="4" w:space="0" w:color="auto"/>
              <w:left w:val="single" w:sz="4" w:space="0" w:color="auto"/>
              <w:bottom w:val="single" w:sz="4" w:space="0" w:color="auto"/>
              <w:right w:val="single" w:sz="4" w:space="0" w:color="auto"/>
            </w:tcBorders>
            <w:noWrap/>
            <w:vAlign w:val="center"/>
          </w:tcPr>
          <w:p w:rsidR="00D67736" w:rsidRPr="003C6C31" w:rsidRDefault="00D67736" w:rsidP="00785BBC">
            <w:pPr>
              <w:widowControl/>
              <w:jc w:val="center"/>
              <w:rPr>
                <w:rFonts w:ascii="Arial Narrow" w:hAnsi="Arial Narrow"/>
                <w:sz w:val="20"/>
              </w:rPr>
            </w:pPr>
            <w:r w:rsidRPr="003C6C31">
              <w:rPr>
                <w:rFonts w:ascii="Arial Narrow" w:hAnsi="Arial Narrow"/>
                <w:sz w:val="20"/>
              </w:rPr>
              <w:t>1.27 (0.71, 2.26)</w:t>
            </w:r>
          </w:p>
        </w:tc>
      </w:tr>
    </w:tbl>
    <w:p w:rsidR="00ED704C" w:rsidRPr="003C6C31" w:rsidRDefault="00ED704C" w:rsidP="00785BBC">
      <w:pPr>
        <w:widowControl/>
        <w:ind w:firstLine="709"/>
        <w:contextualSpacing/>
        <w:rPr>
          <w:rFonts w:ascii="Arial Narrow" w:hAnsi="Arial Narrow"/>
          <w:sz w:val="18"/>
          <w:szCs w:val="18"/>
          <w:lang w:eastAsia="zh-CN"/>
        </w:rPr>
      </w:pPr>
      <w:r w:rsidRPr="003C6C31">
        <w:rPr>
          <w:rFonts w:ascii="Arial Narrow" w:hAnsi="Arial Narrow"/>
          <w:sz w:val="18"/>
          <w:szCs w:val="18"/>
          <w:vertAlign w:val="superscript"/>
          <w:lang w:eastAsia="zh-CN"/>
        </w:rPr>
        <w:t>a</w:t>
      </w:r>
      <w:r w:rsidRPr="003C6C31">
        <w:rPr>
          <w:rFonts w:ascii="Arial Narrow" w:hAnsi="Arial Narrow"/>
          <w:sz w:val="18"/>
          <w:szCs w:val="18"/>
          <w:lang w:eastAsia="zh-CN"/>
        </w:rPr>
        <w:t xml:space="preserve"> RR and RD with 95% CI were not reported in the trial publications, but were estimated by the submission</w:t>
      </w:r>
    </w:p>
    <w:p w:rsidR="00D67736" w:rsidRPr="003C6C31" w:rsidRDefault="00ED704C" w:rsidP="00785BBC">
      <w:pPr>
        <w:widowControl/>
        <w:ind w:firstLine="709"/>
        <w:contextualSpacing/>
        <w:rPr>
          <w:rFonts w:ascii="Arial Narrow" w:hAnsi="Arial Narrow"/>
          <w:sz w:val="18"/>
          <w:szCs w:val="18"/>
          <w:lang w:eastAsia="zh-CN"/>
        </w:rPr>
      </w:pPr>
      <w:r w:rsidRPr="003C6C31">
        <w:rPr>
          <w:rFonts w:ascii="Arial Narrow" w:hAnsi="Arial Narrow"/>
          <w:sz w:val="18"/>
          <w:szCs w:val="18"/>
          <w:vertAlign w:val="superscript"/>
          <w:lang w:eastAsia="zh-CN"/>
        </w:rPr>
        <w:t>b</w:t>
      </w:r>
      <w:r w:rsidR="00D67736" w:rsidRPr="003C6C31">
        <w:rPr>
          <w:rFonts w:ascii="Arial Narrow" w:hAnsi="Arial Narrow"/>
          <w:sz w:val="18"/>
          <w:szCs w:val="18"/>
          <w:vertAlign w:val="superscript"/>
          <w:lang w:eastAsia="zh-CN"/>
        </w:rPr>
        <w:t xml:space="preserve"> </w:t>
      </w:r>
      <w:r w:rsidR="00D67736" w:rsidRPr="003C6C31">
        <w:rPr>
          <w:rFonts w:ascii="Arial Narrow" w:hAnsi="Arial Narrow"/>
          <w:sz w:val="18"/>
          <w:szCs w:val="18"/>
          <w:lang w:eastAsia="zh-CN"/>
        </w:rPr>
        <w:t>Psychiatric disorders: anxiety, depression, hallucinations, mood swings, nervousness, stress</w:t>
      </w:r>
    </w:p>
    <w:p w:rsidR="00ED704C" w:rsidRPr="006B24A1" w:rsidRDefault="00ED704C" w:rsidP="00785BBC">
      <w:pPr>
        <w:widowControl/>
        <w:ind w:firstLine="709"/>
        <w:contextualSpacing/>
        <w:rPr>
          <w:rFonts w:ascii="Arial Narrow" w:hAnsi="Arial Narrow"/>
          <w:sz w:val="18"/>
          <w:szCs w:val="18"/>
          <w:lang w:eastAsia="zh-CN"/>
        </w:rPr>
      </w:pPr>
      <w:r w:rsidRPr="003C6C31">
        <w:rPr>
          <w:rFonts w:ascii="Arial Narrow" w:hAnsi="Arial Narrow"/>
          <w:sz w:val="18"/>
          <w:szCs w:val="18"/>
          <w:lang w:eastAsia="zh-CN"/>
        </w:rPr>
        <w:t xml:space="preserve">CI = </w:t>
      </w:r>
      <w:r w:rsidRPr="006B24A1">
        <w:rPr>
          <w:rFonts w:ascii="Arial Narrow" w:hAnsi="Arial Narrow"/>
          <w:sz w:val="18"/>
          <w:szCs w:val="18"/>
          <w:lang w:eastAsia="zh-CN"/>
        </w:rPr>
        <w:t>confidence interval; MedDRA = Medical Dictionary for Regulatory Activities; RD = risk difference; RR = relative risk</w:t>
      </w:r>
    </w:p>
    <w:p w:rsidR="00D67736" w:rsidRPr="003C6C31" w:rsidRDefault="00D67736" w:rsidP="00785BBC">
      <w:pPr>
        <w:widowControl/>
        <w:ind w:firstLine="709"/>
        <w:contextualSpacing/>
        <w:rPr>
          <w:rFonts w:ascii="Arial Narrow" w:hAnsi="Arial Narrow"/>
          <w:sz w:val="18"/>
          <w:szCs w:val="18"/>
          <w:lang w:eastAsia="zh-CN"/>
        </w:rPr>
      </w:pPr>
      <w:r w:rsidRPr="006B24A1">
        <w:rPr>
          <w:rFonts w:ascii="Arial Narrow" w:hAnsi="Arial Narrow"/>
          <w:sz w:val="18"/>
          <w:szCs w:val="18"/>
          <w:lang w:eastAsia="zh-CN"/>
        </w:rPr>
        <w:t>Source: Table B.6.15, pp 63, 64 of the submission</w:t>
      </w:r>
    </w:p>
    <w:p w:rsidR="00BE6EA8" w:rsidRPr="003C6C31" w:rsidRDefault="00BE6EA8" w:rsidP="00785BBC">
      <w:pPr>
        <w:pStyle w:val="ListParagraph"/>
        <w:widowControl/>
        <w:rPr>
          <w:szCs w:val="22"/>
        </w:rPr>
      </w:pPr>
    </w:p>
    <w:p w:rsidR="00BE6EA8" w:rsidRPr="003C6C31" w:rsidRDefault="00BE6EA8" w:rsidP="00785BBC">
      <w:pPr>
        <w:pStyle w:val="ListParagraph"/>
        <w:widowControl/>
        <w:numPr>
          <w:ilvl w:val="1"/>
          <w:numId w:val="7"/>
        </w:numPr>
        <w:rPr>
          <w:szCs w:val="22"/>
        </w:rPr>
      </w:pPr>
      <w:r w:rsidRPr="003C6C31">
        <w:rPr>
          <w:szCs w:val="22"/>
        </w:rPr>
        <w:t xml:space="preserve">The number of subjects with TEAEs that resulted in discontinuation of study drug was higher in the perampanel group (n=9, 11.1%) compared with the placebo group (n=5, 6.1%). </w:t>
      </w:r>
    </w:p>
    <w:p w:rsidR="00BE6EA8" w:rsidRPr="003C6C31" w:rsidRDefault="00BE6EA8" w:rsidP="00785BBC">
      <w:pPr>
        <w:pStyle w:val="ListParagraph"/>
        <w:widowControl/>
        <w:rPr>
          <w:szCs w:val="22"/>
        </w:rPr>
      </w:pPr>
    </w:p>
    <w:p w:rsidR="00BE6EA8" w:rsidRPr="00343228" w:rsidRDefault="00BE6EA8" w:rsidP="00785BBC">
      <w:pPr>
        <w:pStyle w:val="ListParagraph"/>
        <w:widowControl/>
        <w:numPr>
          <w:ilvl w:val="1"/>
          <w:numId w:val="7"/>
        </w:numPr>
        <w:rPr>
          <w:szCs w:val="22"/>
        </w:rPr>
      </w:pPr>
      <w:r w:rsidRPr="003C6C31">
        <w:rPr>
          <w:lang w:eastAsia="zh-CN"/>
        </w:rPr>
        <w:t>The incidence of dizziness, irritability, fatigue, somnolence and psychiatric disorders was higher in the perampanel group than in the placebo group. Many of these analyses lacked adequate statistical power to detect a statistically significant difference between treatment arms</w:t>
      </w:r>
      <w:r w:rsidRPr="00343228">
        <w:rPr>
          <w:lang w:eastAsia="zh-CN"/>
        </w:rPr>
        <w:t>.</w:t>
      </w:r>
      <w:r w:rsidR="00227CDA" w:rsidRPr="00343228">
        <w:rPr>
          <w:lang w:eastAsia="zh-CN"/>
        </w:rPr>
        <w:t xml:space="preserve"> The ESC noted the </w:t>
      </w:r>
      <w:r w:rsidR="00D2097F" w:rsidRPr="00343228">
        <w:rPr>
          <w:lang w:eastAsia="zh-CN"/>
        </w:rPr>
        <w:t>higher incidence of</w:t>
      </w:r>
      <w:r w:rsidR="00227CDA" w:rsidRPr="00343228">
        <w:rPr>
          <w:lang w:eastAsia="zh-CN"/>
        </w:rPr>
        <w:t xml:space="preserve"> irritability </w:t>
      </w:r>
      <w:r w:rsidR="00D2097F" w:rsidRPr="00343228">
        <w:rPr>
          <w:lang w:eastAsia="zh-CN"/>
        </w:rPr>
        <w:t>with perampanel in Trial 332, and recalled a higher incidence of aggression with perampanel when used for the treatment of partial seizures.</w:t>
      </w:r>
    </w:p>
    <w:p w:rsidR="00D2097F" w:rsidRPr="00343228" w:rsidRDefault="00D2097F" w:rsidP="00785BBC">
      <w:pPr>
        <w:widowControl/>
        <w:rPr>
          <w:szCs w:val="22"/>
        </w:rPr>
      </w:pPr>
    </w:p>
    <w:p w:rsidR="00D67736" w:rsidRPr="003C6C31" w:rsidRDefault="00D67736" w:rsidP="00785BBC">
      <w:pPr>
        <w:pStyle w:val="ListParagraph"/>
        <w:widowControl/>
        <w:numPr>
          <w:ilvl w:val="1"/>
          <w:numId w:val="7"/>
        </w:numPr>
      </w:pPr>
      <w:r w:rsidRPr="003C6C31">
        <w:rPr>
          <w:szCs w:val="22"/>
        </w:rPr>
        <w:t xml:space="preserve">It is noted that patients at high risk of suicide were excluded from Trial 332. </w:t>
      </w:r>
      <w:r w:rsidRPr="003C6C31">
        <w:rPr>
          <w:szCs w:val="22"/>
          <w:lang w:eastAsia="zh-CN"/>
        </w:rPr>
        <w:t>The US Food and Drug Administration (FDA)</w:t>
      </w:r>
      <w:r w:rsidR="00FC6CA7" w:rsidRPr="003C6C31">
        <w:rPr>
          <w:szCs w:val="22"/>
          <w:lang w:eastAsia="zh-CN"/>
        </w:rPr>
        <w:t xml:space="preserve"> has stated</w:t>
      </w:r>
      <w:r w:rsidR="00ED704C" w:rsidRPr="003C6C31">
        <w:rPr>
          <w:rStyle w:val="FootnoteReference"/>
          <w:szCs w:val="22"/>
          <w:lang w:eastAsia="zh-CN"/>
        </w:rPr>
        <w:footnoteReference w:id="5"/>
      </w:r>
      <w:r w:rsidRPr="003C6C31">
        <w:rPr>
          <w:szCs w:val="22"/>
          <w:lang w:eastAsia="zh-CN"/>
        </w:rPr>
        <w:t xml:space="preserve"> </w:t>
      </w:r>
      <w:r w:rsidR="00FC6CA7" w:rsidRPr="003C6C31">
        <w:rPr>
          <w:szCs w:val="22"/>
          <w:lang w:eastAsia="zh-CN"/>
        </w:rPr>
        <w:t xml:space="preserve">that </w:t>
      </w:r>
      <w:r w:rsidRPr="003C6C31">
        <w:rPr>
          <w:szCs w:val="22"/>
          <w:lang w:eastAsia="zh-CN"/>
        </w:rPr>
        <w:t xml:space="preserve">perampanel causes significant psychiatric/behavioural symptoms (including anger, aggression, and hostility) in a small number of patients, and that other AEDs (such as levetiracetam) can cause similar reactions.  </w:t>
      </w:r>
      <w:r w:rsidRPr="003C6C31">
        <w:rPr>
          <w:snapToGrid/>
          <w:szCs w:val="22"/>
          <w:lang w:eastAsia="en-AU"/>
        </w:rPr>
        <w:t xml:space="preserve"> Therefore, longer-term safety data (beyond the duration of Trial 332) is warranted.</w:t>
      </w:r>
    </w:p>
    <w:p w:rsidR="00BE6EA8" w:rsidRPr="003C6C31" w:rsidRDefault="00BE6EA8" w:rsidP="00785BBC">
      <w:pPr>
        <w:pStyle w:val="PBACHeading1"/>
        <w:numPr>
          <w:ilvl w:val="0"/>
          <w:numId w:val="0"/>
        </w:numPr>
        <w:ind w:left="720"/>
      </w:pPr>
    </w:p>
    <w:p w:rsidR="00BE6EA8" w:rsidRPr="003C6C31" w:rsidRDefault="00BE6EA8" w:rsidP="00244671">
      <w:pPr>
        <w:pStyle w:val="Heading2"/>
      </w:pPr>
      <w:bookmarkStart w:id="10" w:name="_Toc451242688"/>
      <w:r w:rsidRPr="003C6C31">
        <w:t>Benefits/harms</w:t>
      </w:r>
      <w:bookmarkEnd w:id="10"/>
    </w:p>
    <w:p w:rsidR="00BE6EA8" w:rsidRPr="003C6C31" w:rsidRDefault="00BE6EA8" w:rsidP="00785BBC">
      <w:pPr>
        <w:pStyle w:val="ListParagraph"/>
        <w:widowControl/>
        <w:ind w:left="0"/>
        <w:rPr>
          <w:szCs w:val="22"/>
        </w:rPr>
      </w:pPr>
    </w:p>
    <w:p w:rsidR="00BE6EA8" w:rsidRPr="003C6C31" w:rsidRDefault="00BE6EA8" w:rsidP="00785BBC">
      <w:pPr>
        <w:pStyle w:val="ListParagraph"/>
        <w:widowControl/>
        <w:numPr>
          <w:ilvl w:val="1"/>
          <w:numId w:val="7"/>
        </w:numPr>
        <w:rPr>
          <w:szCs w:val="22"/>
        </w:rPr>
      </w:pPr>
      <w:r w:rsidRPr="003C6C31">
        <w:rPr>
          <w:szCs w:val="22"/>
        </w:rPr>
        <w:t xml:space="preserve">A summary of the comparative benefits and harms for perampanel plus background AEDs versus background AEDs is presented in the table below. </w:t>
      </w:r>
    </w:p>
    <w:p w:rsidR="00BE6EA8" w:rsidRPr="003C6C31" w:rsidRDefault="00BE6EA8" w:rsidP="00785BBC">
      <w:pPr>
        <w:widowControl/>
      </w:pPr>
    </w:p>
    <w:p w:rsidR="00D67736" w:rsidRPr="003C6C31" w:rsidRDefault="00D67736" w:rsidP="00785BBC">
      <w:pPr>
        <w:pStyle w:val="TableHeader"/>
        <w:widowControl/>
        <w:ind w:left="720"/>
      </w:pPr>
      <w:r w:rsidRPr="003C6C31">
        <w:t>Table 7: Summary of comparative benefits and harms for perampanel (plus background AEDs) and PBO (plus background AEDs)</w:t>
      </w:r>
    </w:p>
    <w:tbl>
      <w:tblPr>
        <w:tblStyle w:val="TableGrid"/>
        <w:tblW w:w="4626" w:type="pct"/>
        <w:tblInd w:w="698" w:type="dxa"/>
        <w:tblLayout w:type="fixed"/>
        <w:tblCellMar>
          <w:left w:w="28" w:type="dxa"/>
          <w:right w:w="28" w:type="dxa"/>
        </w:tblCellMar>
        <w:tblLook w:val="04A0" w:firstRow="1" w:lastRow="0" w:firstColumn="1" w:lastColumn="0" w:noHBand="0" w:noVBand="1"/>
        <w:tblCaption w:val="Table 7: Summary of comparative benefits and harms for perampanel (plus background AEDs) and PBO (plus background AEDs)"/>
      </w:tblPr>
      <w:tblGrid>
        <w:gridCol w:w="1197"/>
        <w:gridCol w:w="1118"/>
        <w:gridCol w:w="10"/>
        <w:gridCol w:w="1284"/>
        <w:gridCol w:w="1566"/>
        <w:gridCol w:w="1084"/>
        <w:gridCol w:w="55"/>
        <w:gridCol w:w="955"/>
        <w:gridCol w:w="1134"/>
      </w:tblGrid>
      <w:tr w:rsidR="00D67736" w:rsidRPr="003C6C31" w:rsidTr="00244671">
        <w:trPr>
          <w:trHeight w:val="150"/>
          <w:tblHeader/>
        </w:trPr>
        <w:tc>
          <w:tcPr>
            <w:tcW w:w="712" w:type="pct"/>
            <w:vMerge w:val="restart"/>
            <w:shd w:val="clear" w:color="auto" w:fill="auto"/>
            <w:vAlign w:val="center"/>
          </w:tcPr>
          <w:p w:rsidR="00D67736" w:rsidRPr="003C6C31" w:rsidRDefault="00D67736" w:rsidP="00785BBC">
            <w:pPr>
              <w:widowControl/>
              <w:rPr>
                <w:rFonts w:ascii="Arial Narrow" w:hAnsi="Arial Narrow"/>
                <w:b/>
                <w:color w:val="000000"/>
                <w:sz w:val="20"/>
                <w:szCs w:val="18"/>
              </w:rPr>
            </w:pPr>
          </w:p>
        </w:tc>
        <w:tc>
          <w:tcPr>
            <w:tcW w:w="665" w:type="pct"/>
            <w:vMerge w:val="restart"/>
            <w:vAlign w:val="center"/>
          </w:tcPr>
          <w:p w:rsidR="00D67736" w:rsidRPr="003C6C31" w:rsidRDefault="00D67736" w:rsidP="00785BBC">
            <w:pPr>
              <w:widowControl/>
              <w:jc w:val="center"/>
              <w:rPr>
                <w:rFonts w:ascii="Arial Narrow" w:hAnsi="Arial Narrow"/>
                <w:b/>
                <w:color w:val="000000"/>
                <w:sz w:val="20"/>
                <w:szCs w:val="18"/>
              </w:rPr>
            </w:pPr>
            <w:r w:rsidRPr="003C6C31">
              <w:rPr>
                <w:rFonts w:ascii="Arial Narrow" w:hAnsi="Arial Narrow"/>
                <w:b/>
                <w:color w:val="000000"/>
                <w:sz w:val="20"/>
                <w:szCs w:val="18"/>
              </w:rPr>
              <w:t>Perampanel</w:t>
            </w:r>
          </w:p>
        </w:tc>
        <w:tc>
          <w:tcPr>
            <w:tcW w:w="770" w:type="pct"/>
            <w:gridSpan w:val="2"/>
            <w:vMerge w:val="restart"/>
            <w:vAlign w:val="center"/>
          </w:tcPr>
          <w:p w:rsidR="00D67736" w:rsidRPr="003C6C31" w:rsidRDefault="00D67736" w:rsidP="00785BBC">
            <w:pPr>
              <w:widowControl/>
              <w:jc w:val="center"/>
              <w:rPr>
                <w:rFonts w:ascii="Arial Narrow" w:hAnsi="Arial Narrow"/>
                <w:b/>
                <w:color w:val="000000"/>
                <w:sz w:val="20"/>
                <w:szCs w:val="18"/>
              </w:rPr>
            </w:pPr>
            <w:r w:rsidRPr="003C6C31">
              <w:rPr>
                <w:rFonts w:ascii="Arial Narrow" w:hAnsi="Arial Narrow"/>
                <w:b/>
                <w:color w:val="000000"/>
                <w:sz w:val="20"/>
                <w:szCs w:val="18"/>
              </w:rPr>
              <w:t>PBO</w:t>
            </w:r>
          </w:p>
        </w:tc>
        <w:tc>
          <w:tcPr>
            <w:tcW w:w="932" w:type="pct"/>
            <w:vMerge w:val="restart"/>
            <w:vAlign w:val="center"/>
          </w:tcPr>
          <w:p w:rsidR="00D67736" w:rsidRPr="003C6C31" w:rsidRDefault="00D67736" w:rsidP="00785BBC">
            <w:pPr>
              <w:widowControl/>
              <w:jc w:val="center"/>
              <w:rPr>
                <w:rFonts w:ascii="Arial Narrow" w:hAnsi="Arial Narrow"/>
                <w:b/>
                <w:color w:val="000000"/>
                <w:sz w:val="20"/>
                <w:szCs w:val="18"/>
              </w:rPr>
            </w:pPr>
            <w:r w:rsidRPr="003C6C31">
              <w:rPr>
                <w:rFonts w:ascii="Arial Narrow" w:hAnsi="Arial Narrow"/>
                <w:b/>
                <w:color w:val="000000"/>
                <w:sz w:val="20"/>
                <w:szCs w:val="18"/>
              </w:rPr>
              <w:t>RR</w:t>
            </w:r>
          </w:p>
          <w:p w:rsidR="00D67736" w:rsidRPr="003C6C31" w:rsidRDefault="00D67736" w:rsidP="00785BBC">
            <w:pPr>
              <w:widowControl/>
              <w:jc w:val="center"/>
              <w:rPr>
                <w:rFonts w:ascii="Arial Narrow" w:hAnsi="Arial Narrow"/>
                <w:b/>
                <w:color w:val="000000"/>
                <w:sz w:val="20"/>
                <w:szCs w:val="18"/>
              </w:rPr>
            </w:pPr>
            <w:r w:rsidRPr="003C6C31">
              <w:rPr>
                <w:rFonts w:ascii="Arial Narrow" w:hAnsi="Arial Narrow"/>
                <w:b/>
                <w:color w:val="000000"/>
                <w:sz w:val="20"/>
                <w:szCs w:val="18"/>
              </w:rPr>
              <w:t>(95% CI)</w:t>
            </w:r>
          </w:p>
        </w:tc>
        <w:tc>
          <w:tcPr>
            <w:tcW w:w="1246" w:type="pct"/>
            <w:gridSpan w:val="3"/>
            <w:vAlign w:val="center"/>
          </w:tcPr>
          <w:p w:rsidR="00D67736" w:rsidRPr="003C6C31" w:rsidRDefault="00D67736" w:rsidP="00785BBC">
            <w:pPr>
              <w:widowControl/>
              <w:jc w:val="center"/>
              <w:rPr>
                <w:rFonts w:ascii="Arial Narrow" w:hAnsi="Arial Narrow"/>
                <w:b/>
                <w:color w:val="000000"/>
                <w:sz w:val="20"/>
                <w:szCs w:val="18"/>
              </w:rPr>
            </w:pPr>
            <w:r w:rsidRPr="003C6C31">
              <w:rPr>
                <w:rFonts w:ascii="Arial Narrow" w:hAnsi="Arial Narrow"/>
                <w:b/>
                <w:color w:val="000000"/>
                <w:sz w:val="20"/>
                <w:szCs w:val="18"/>
              </w:rPr>
              <w:t xml:space="preserve">Event rate/100 patients* </w:t>
            </w:r>
          </w:p>
        </w:tc>
        <w:tc>
          <w:tcPr>
            <w:tcW w:w="675" w:type="pct"/>
            <w:vMerge w:val="restart"/>
            <w:vAlign w:val="center"/>
          </w:tcPr>
          <w:p w:rsidR="00D67736" w:rsidRPr="003C6C31" w:rsidRDefault="00D67736" w:rsidP="00785BBC">
            <w:pPr>
              <w:widowControl/>
              <w:jc w:val="center"/>
              <w:rPr>
                <w:rFonts w:ascii="Arial Narrow" w:hAnsi="Arial Narrow"/>
                <w:b/>
                <w:color w:val="000000"/>
                <w:sz w:val="20"/>
                <w:szCs w:val="18"/>
              </w:rPr>
            </w:pPr>
            <w:r w:rsidRPr="003C6C31">
              <w:rPr>
                <w:rFonts w:ascii="Arial Narrow" w:hAnsi="Arial Narrow"/>
                <w:b/>
                <w:color w:val="000000"/>
                <w:sz w:val="20"/>
                <w:szCs w:val="18"/>
              </w:rPr>
              <w:t>RD</w:t>
            </w:r>
          </w:p>
          <w:p w:rsidR="00D67736" w:rsidRPr="003C6C31" w:rsidRDefault="00D67736" w:rsidP="00785BBC">
            <w:pPr>
              <w:widowControl/>
              <w:jc w:val="center"/>
              <w:rPr>
                <w:rFonts w:ascii="Arial Narrow" w:hAnsi="Arial Narrow"/>
                <w:b/>
                <w:color w:val="000000"/>
                <w:sz w:val="20"/>
                <w:szCs w:val="18"/>
              </w:rPr>
            </w:pPr>
            <w:r w:rsidRPr="003C6C31">
              <w:rPr>
                <w:rFonts w:ascii="Arial Narrow" w:hAnsi="Arial Narrow"/>
                <w:b/>
                <w:color w:val="000000"/>
                <w:sz w:val="20"/>
                <w:szCs w:val="18"/>
              </w:rPr>
              <w:t>(95% CI)</w:t>
            </w:r>
          </w:p>
        </w:tc>
      </w:tr>
      <w:tr w:rsidR="00D67736" w:rsidRPr="003C6C31" w:rsidTr="00244671">
        <w:trPr>
          <w:trHeight w:val="315"/>
          <w:tblHeader/>
        </w:trPr>
        <w:tc>
          <w:tcPr>
            <w:tcW w:w="712" w:type="pct"/>
            <w:vMerge/>
            <w:shd w:val="clear" w:color="auto" w:fill="auto"/>
            <w:vAlign w:val="center"/>
          </w:tcPr>
          <w:p w:rsidR="00D67736" w:rsidRPr="003C6C31" w:rsidRDefault="00D67736" w:rsidP="00785BBC">
            <w:pPr>
              <w:widowControl/>
              <w:rPr>
                <w:rFonts w:ascii="Arial Narrow" w:hAnsi="Arial Narrow"/>
                <w:b/>
                <w:color w:val="000000"/>
                <w:sz w:val="20"/>
                <w:szCs w:val="18"/>
              </w:rPr>
            </w:pPr>
          </w:p>
        </w:tc>
        <w:tc>
          <w:tcPr>
            <w:tcW w:w="665" w:type="pct"/>
            <w:vMerge/>
            <w:vAlign w:val="center"/>
          </w:tcPr>
          <w:p w:rsidR="00D67736" w:rsidRPr="003C6C31" w:rsidRDefault="00D67736" w:rsidP="00785BBC">
            <w:pPr>
              <w:widowControl/>
              <w:jc w:val="center"/>
              <w:rPr>
                <w:rFonts w:ascii="Arial Narrow" w:hAnsi="Arial Narrow"/>
                <w:b/>
                <w:color w:val="000000"/>
                <w:sz w:val="20"/>
                <w:szCs w:val="18"/>
              </w:rPr>
            </w:pPr>
          </w:p>
        </w:tc>
        <w:tc>
          <w:tcPr>
            <w:tcW w:w="770" w:type="pct"/>
            <w:gridSpan w:val="2"/>
            <w:vMerge/>
            <w:vAlign w:val="center"/>
          </w:tcPr>
          <w:p w:rsidR="00D67736" w:rsidRPr="003C6C31" w:rsidRDefault="00D67736" w:rsidP="00785BBC">
            <w:pPr>
              <w:widowControl/>
              <w:jc w:val="center"/>
              <w:rPr>
                <w:rFonts w:ascii="Arial Narrow" w:hAnsi="Arial Narrow"/>
                <w:b/>
                <w:color w:val="000000"/>
                <w:sz w:val="20"/>
                <w:szCs w:val="18"/>
              </w:rPr>
            </w:pPr>
          </w:p>
        </w:tc>
        <w:tc>
          <w:tcPr>
            <w:tcW w:w="932" w:type="pct"/>
            <w:vMerge/>
            <w:vAlign w:val="center"/>
          </w:tcPr>
          <w:p w:rsidR="00D67736" w:rsidRPr="003C6C31" w:rsidRDefault="00D67736" w:rsidP="00785BBC">
            <w:pPr>
              <w:widowControl/>
              <w:jc w:val="center"/>
              <w:rPr>
                <w:rFonts w:ascii="Arial Narrow" w:hAnsi="Arial Narrow"/>
                <w:b/>
                <w:color w:val="000000"/>
                <w:sz w:val="20"/>
                <w:szCs w:val="18"/>
              </w:rPr>
            </w:pPr>
          </w:p>
        </w:tc>
        <w:tc>
          <w:tcPr>
            <w:tcW w:w="645" w:type="pct"/>
            <w:vAlign w:val="center"/>
          </w:tcPr>
          <w:p w:rsidR="00D67736" w:rsidRPr="003C6C31" w:rsidRDefault="00D67736" w:rsidP="00785BBC">
            <w:pPr>
              <w:widowControl/>
              <w:rPr>
                <w:rFonts w:ascii="Arial Narrow" w:hAnsi="Arial Narrow"/>
                <w:b/>
                <w:color w:val="000000"/>
                <w:sz w:val="20"/>
                <w:szCs w:val="18"/>
              </w:rPr>
            </w:pPr>
            <w:r w:rsidRPr="003C6C31">
              <w:rPr>
                <w:rFonts w:ascii="Arial Narrow" w:hAnsi="Arial Narrow"/>
                <w:b/>
                <w:color w:val="000000"/>
                <w:sz w:val="20"/>
                <w:szCs w:val="18"/>
              </w:rPr>
              <w:t>Perampanel</w:t>
            </w:r>
          </w:p>
        </w:tc>
        <w:tc>
          <w:tcPr>
            <w:tcW w:w="601" w:type="pct"/>
            <w:gridSpan w:val="2"/>
            <w:vAlign w:val="center"/>
          </w:tcPr>
          <w:p w:rsidR="00D67736" w:rsidRPr="003C6C31" w:rsidRDefault="00D67736" w:rsidP="00785BBC">
            <w:pPr>
              <w:widowControl/>
              <w:jc w:val="center"/>
              <w:rPr>
                <w:rFonts w:ascii="Arial Narrow" w:hAnsi="Arial Narrow"/>
                <w:b/>
                <w:color w:val="000000"/>
                <w:sz w:val="20"/>
                <w:szCs w:val="18"/>
              </w:rPr>
            </w:pPr>
            <w:r w:rsidRPr="003C6C31">
              <w:rPr>
                <w:rFonts w:ascii="Arial Narrow" w:hAnsi="Arial Narrow"/>
                <w:b/>
                <w:color w:val="000000"/>
                <w:sz w:val="20"/>
                <w:szCs w:val="18"/>
              </w:rPr>
              <w:t>PBO</w:t>
            </w:r>
          </w:p>
        </w:tc>
        <w:tc>
          <w:tcPr>
            <w:tcW w:w="675" w:type="pct"/>
            <w:vMerge/>
            <w:vAlign w:val="center"/>
          </w:tcPr>
          <w:p w:rsidR="00D67736" w:rsidRPr="003C6C31" w:rsidRDefault="00D67736" w:rsidP="00785BBC">
            <w:pPr>
              <w:widowControl/>
              <w:jc w:val="center"/>
              <w:rPr>
                <w:rFonts w:ascii="Arial Narrow" w:hAnsi="Arial Narrow"/>
                <w:b/>
                <w:color w:val="000000"/>
                <w:sz w:val="20"/>
                <w:szCs w:val="18"/>
              </w:rPr>
            </w:pPr>
          </w:p>
        </w:tc>
      </w:tr>
      <w:tr w:rsidR="00D67736" w:rsidRPr="003C6C31" w:rsidTr="00244671">
        <w:tc>
          <w:tcPr>
            <w:tcW w:w="5000" w:type="pct"/>
            <w:gridSpan w:val="9"/>
            <w:shd w:val="clear" w:color="auto" w:fill="auto"/>
            <w:vAlign w:val="center"/>
          </w:tcPr>
          <w:p w:rsidR="00D67736" w:rsidRPr="003C6C31" w:rsidRDefault="00D67736" w:rsidP="00785BBC">
            <w:pPr>
              <w:widowControl/>
              <w:rPr>
                <w:rFonts w:ascii="Arial Narrow" w:hAnsi="Arial Narrow"/>
                <w:b/>
                <w:color w:val="000000"/>
                <w:sz w:val="20"/>
                <w:szCs w:val="18"/>
              </w:rPr>
            </w:pPr>
            <w:r w:rsidRPr="003C6C31">
              <w:rPr>
                <w:rFonts w:ascii="Arial Narrow" w:hAnsi="Arial Narrow"/>
                <w:b/>
                <w:color w:val="000000"/>
                <w:sz w:val="20"/>
                <w:szCs w:val="18"/>
              </w:rPr>
              <w:t>Benefits</w:t>
            </w:r>
          </w:p>
        </w:tc>
      </w:tr>
      <w:tr w:rsidR="00D67736" w:rsidRPr="003C6C31" w:rsidTr="00244671">
        <w:tc>
          <w:tcPr>
            <w:tcW w:w="5000" w:type="pct"/>
            <w:gridSpan w:val="9"/>
            <w:shd w:val="clear" w:color="auto" w:fill="auto"/>
            <w:vAlign w:val="center"/>
          </w:tcPr>
          <w:p w:rsidR="00D67736" w:rsidRPr="003C6C31" w:rsidRDefault="00D67736" w:rsidP="00785BBC">
            <w:pPr>
              <w:widowControl/>
              <w:rPr>
                <w:rFonts w:ascii="Arial Narrow" w:hAnsi="Arial Narrow"/>
                <w:b/>
                <w:color w:val="000000"/>
                <w:sz w:val="20"/>
                <w:szCs w:val="18"/>
              </w:rPr>
            </w:pPr>
            <w:r w:rsidRPr="003C6C31">
              <w:rPr>
                <w:rFonts w:ascii="Arial Narrow" w:hAnsi="Arial Narrow"/>
                <w:b/>
                <w:color w:val="000000"/>
                <w:sz w:val="20"/>
                <w:szCs w:val="18"/>
              </w:rPr>
              <w:t>50% PGTC seizure responder rate</w:t>
            </w:r>
          </w:p>
        </w:tc>
      </w:tr>
      <w:tr w:rsidR="00D67736" w:rsidRPr="003C6C31" w:rsidTr="00244671">
        <w:tc>
          <w:tcPr>
            <w:tcW w:w="712" w:type="pct"/>
            <w:shd w:val="clear" w:color="auto" w:fill="auto"/>
            <w:vAlign w:val="center"/>
          </w:tcPr>
          <w:p w:rsidR="00D67736" w:rsidRPr="003C6C31" w:rsidRDefault="00D67736" w:rsidP="00785BBC">
            <w:pPr>
              <w:widowControl/>
              <w:rPr>
                <w:rFonts w:ascii="Arial Narrow" w:hAnsi="Arial Narrow"/>
                <w:color w:val="000000"/>
                <w:sz w:val="20"/>
                <w:szCs w:val="18"/>
              </w:rPr>
            </w:pPr>
            <w:r w:rsidRPr="003C6C31">
              <w:rPr>
                <w:rFonts w:ascii="Arial Narrow" w:hAnsi="Arial Narrow"/>
                <w:color w:val="000000"/>
                <w:sz w:val="20"/>
                <w:szCs w:val="18"/>
              </w:rPr>
              <w:t>Trial 332</w:t>
            </w:r>
          </w:p>
        </w:tc>
        <w:tc>
          <w:tcPr>
            <w:tcW w:w="665" w:type="pct"/>
            <w:vAlign w:val="center"/>
          </w:tcPr>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52/81</w:t>
            </w:r>
          </w:p>
        </w:tc>
        <w:tc>
          <w:tcPr>
            <w:tcW w:w="770" w:type="pct"/>
            <w:gridSpan w:val="2"/>
            <w:vAlign w:val="center"/>
          </w:tcPr>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32/81</w:t>
            </w:r>
          </w:p>
        </w:tc>
        <w:tc>
          <w:tcPr>
            <w:tcW w:w="932" w:type="pct"/>
            <w:vAlign w:val="center"/>
          </w:tcPr>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1.6</w:t>
            </w:r>
          </w:p>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(1.2, 2.2)</w:t>
            </w:r>
          </w:p>
        </w:tc>
        <w:tc>
          <w:tcPr>
            <w:tcW w:w="645" w:type="pct"/>
            <w:vAlign w:val="center"/>
          </w:tcPr>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64.2</w:t>
            </w:r>
          </w:p>
        </w:tc>
        <w:tc>
          <w:tcPr>
            <w:tcW w:w="601" w:type="pct"/>
            <w:gridSpan w:val="2"/>
            <w:vAlign w:val="center"/>
          </w:tcPr>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39.5</w:t>
            </w:r>
          </w:p>
        </w:tc>
        <w:tc>
          <w:tcPr>
            <w:tcW w:w="675" w:type="pct"/>
            <w:vAlign w:val="center"/>
          </w:tcPr>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25%</w:t>
            </w:r>
          </w:p>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(10%, 40%)</w:t>
            </w:r>
          </w:p>
        </w:tc>
      </w:tr>
      <w:tr w:rsidR="00D67736" w:rsidRPr="003C6C31" w:rsidTr="00244671">
        <w:tc>
          <w:tcPr>
            <w:tcW w:w="5000" w:type="pct"/>
            <w:gridSpan w:val="9"/>
            <w:tcBorders>
              <w:top w:val="double" w:sz="4" w:space="0" w:color="auto"/>
            </w:tcBorders>
            <w:shd w:val="clear" w:color="auto" w:fill="auto"/>
            <w:vAlign w:val="center"/>
          </w:tcPr>
          <w:p w:rsidR="00D67736" w:rsidRPr="003C6C31" w:rsidRDefault="00D67736" w:rsidP="00785BBC">
            <w:pPr>
              <w:widowControl/>
              <w:rPr>
                <w:rFonts w:ascii="Arial Narrow" w:hAnsi="Arial Narrow"/>
                <w:b/>
                <w:color w:val="000000"/>
                <w:sz w:val="20"/>
                <w:szCs w:val="18"/>
              </w:rPr>
            </w:pPr>
            <w:r w:rsidRPr="003C6C31">
              <w:rPr>
                <w:rFonts w:ascii="Arial Narrow" w:hAnsi="Arial Narrow"/>
                <w:b/>
                <w:color w:val="000000"/>
                <w:sz w:val="20"/>
                <w:szCs w:val="18"/>
              </w:rPr>
              <w:t xml:space="preserve">Harms </w:t>
            </w:r>
          </w:p>
        </w:tc>
      </w:tr>
      <w:tr w:rsidR="00D67736" w:rsidRPr="003C6C31" w:rsidTr="00244671">
        <w:trPr>
          <w:trHeight w:val="70"/>
        </w:trPr>
        <w:tc>
          <w:tcPr>
            <w:tcW w:w="712" w:type="pct"/>
            <w:vMerge w:val="restart"/>
            <w:shd w:val="clear" w:color="auto" w:fill="auto"/>
            <w:vAlign w:val="center"/>
          </w:tcPr>
          <w:p w:rsidR="00D67736" w:rsidRPr="003C6C31" w:rsidRDefault="00D67736" w:rsidP="00785BBC">
            <w:pPr>
              <w:widowControl/>
              <w:rPr>
                <w:rFonts w:ascii="Arial Narrow" w:hAnsi="Arial Narrow"/>
                <w:b/>
                <w:color w:val="000000"/>
                <w:sz w:val="20"/>
                <w:szCs w:val="18"/>
              </w:rPr>
            </w:pPr>
            <w:r w:rsidRPr="003C6C31">
              <w:rPr>
                <w:rFonts w:ascii="Arial Narrow" w:hAnsi="Arial Narrow"/>
                <w:b/>
                <w:color w:val="000000"/>
                <w:sz w:val="20"/>
                <w:szCs w:val="18"/>
              </w:rPr>
              <w:t>AEs</w:t>
            </w:r>
          </w:p>
        </w:tc>
        <w:tc>
          <w:tcPr>
            <w:tcW w:w="665" w:type="pct"/>
            <w:vMerge w:val="restart"/>
            <w:vAlign w:val="center"/>
          </w:tcPr>
          <w:p w:rsidR="00D67736" w:rsidRPr="003C6C31" w:rsidRDefault="00D67736" w:rsidP="00785BBC">
            <w:pPr>
              <w:widowControl/>
              <w:jc w:val="center"/>
              <w:rPr>
                <w:rFonts w:ascii="Arial Narrow" w:hAnsi="Arial Narrow"/>
                <w:b/>
                <w:color w:val="000000"/>
                <w:sz w:val="20"/>
                <w:szCs w:val="18"/>
              </w:rPr>
            </w:pPr>
            <w:r w:rsidRPr="003C6C31">
              <w:rPr>
                <w:rFonts w:ascii="Arial Narrow" w:hAnsi="Arial Narrow"/>
                <w:b/>
                <w:color w:val="000000"/>
                <w:sz w:val="20"/>
                <w:szCs w:val="18"/>
              </w:rPr>
              <w:t>Perampanel</w:t>
            </w:r>
          </w:p>
        </w:tc>
        <w:tc>
          <w:tcPr>
            <w:tcW w:w="770" w:type="pct"/>
            <w:gridSpan w:val="2"/>
            <w:vMerge w:val="restart"/>
            <w:vAlign w:val="center"/>
          </w:tcPr>
          <w:p w:rsidR="00D67736" w:rsidRPr="003C6C31" w:rsidRDefault="00D67736" w:rsidP="00785BBC">
            <w:pPr>
              <w:widowControl/>
              <w:jc w:val="center"/>
              <w:rPr>
                <w:rFonts w:ascii="Arial Narrow" w:hAnsi="Arial Narrow"/>
                <w:b/>
                <w:color w:val="000000"/>
                <w:sz w:val="20"/>
                <w:szCs w:val="18"/>
              </w:rPr>
            </w:pPr>
            <w:r w:rsidRPr="003C6C31">
              <w:rPr>
                <w:rFonts w:ascii="Arial Narrow" w:hAnsi="Arial Narrow"/>
                <w:b/>
                <w:color w:val="000000"/>
                <w:sz w:val="20"/>
                <w:szCs w:val="18"/>
              </w:rPr>
              <w:t>PBO</w:t>
            </w:r>
          </w:p>
        </w:tc>
        <w:tc>
          <w:tcPr>
            <w:tcW w:w="932" w:type="pct"/>
            <w:vMerge w:val="restart"/>
            <w:vAlign w:val="center"/>
          </w:tcPr>
          <w:p w:rsidR="00D67736" w:rsidRPr="003C6C31" w:rsidRDefault="00D67736" w:rsidP="00785BBC">
            <w:pPr>
              <w:widowControl/>
              <w:jc w:val="center"/>
              <w:rPr>
                <w:rFonts w:ascii="Arial Narrow" w:hAnsi="Arial Narrow"/>
                <w:b/>
                <w:color w:val="000000"/>
                <w:sz w:val="20"/>
                <w:szCs w:val="18"/>
              </w:rPr>
            </w:pPr>
            <w:r w:rsidRPr="003C6C31">
              <w:rPr>
                <w:rFonts w:ascii="Arial Narrow" w:hAnsi="Arial Narrow"/>
                <w:b/>
                <w:color w:val="000000"/>
                <w:sz w:val="20"/>
                <w:szCs w:val="18"/>
              </w:rPr>
              <w:t>RR</w:t>
            </w:r>
          </w:p>
          <w:p w:rsidR="00D67736" w:rsidRPr="003C6C31" w:rsidRDefault="00D67736" w:rsidP="00785BBC">
            <w:pPr>
              <w:widowControl/>
              <w:jc w:val="center"/>
              <w:rPr>
                <w:rFonts w:ascii="Arial Narrow" w:hAnsi="Arial Narrow"/>
                <w:b/>
                <w:color w:val="000000"/>
                <w:sz w:val="20"/>
                <w:szCs w:val="18"/>
              </w:rPr>
            </w:pPr>
            <w:r w:rsidRPr="003C6C31">
              <w:rPr>
                <w:rFonts w:ascii="Arial Narrow" w:hAnsi="Arial Narrow"/>
                <w:b/>
                <w:color w:val="000000"/>
                <w:sz w:val="20"/>
                <w:szCs w:val="18"/>
              </w:rPr>
              <w:t>(95% CI)</w:t>
            </w:r>
          </w:p>
        </w:tc>
        <w:tc>
          <w:tcPr>
            <w:tcW w:w="1246" w:type="pct"/>
            <w:gridSpan w:val="3"/>
            <w:vAlign w:val="center"/>
          </w:tcPr>
          <w:p w:rsidR="00D67736" w:rsidRPr="003C6C31" w:rsidRDefault="00D67736" w:rsidP="00785BBC">
            <w:pPr>
              <w:widowControl/>
              <w:jc w:val="center"/>
              <w:rPr>
                <w:rFonts w:ascii="Arial Narrow" w:hAnsi="Arial Narrow"/>
                <w:b/>
                <w:color w:val="000000"/>
                <w:sz w:val="20"/>
                <w:szCs w:val="18"/>
              </w:rPr>
            </w:pPr>
            <w:r w:rsidRPr="003C6C31">
              <w:rPr>
                <w:rFonts w:ascii="Arial Narrow" w:hAnsi="Arial Narrow"/>
                <w:b/>
                <w:color w:val="000000"/>
                <w:sz w:val="20"/>
                <w:szCs w:val="18"/>
              </w:rPr>
              <w:t xml:space="preserve">Event rate/100 patients* </w:t>
            </w:r>
          </w:p>
        </w:tc>
        <w:tc>
          <w:tcPr>
            <w:tcW w:w="675" w:type="pct"/>
            <w:vMerge w:val="restart"/>
            <w:vAlign w:val="center"/>
          </w:tcPr>
          <w:p w:rsidR="00D67736" w:rsidRPr="003C6C31" w:rsidRDefault="00D67736" w:rsidP="00785BBC">
            <w:pPr>
              <w:widowControl/>
              <w:jc w:val="center"/>
              <w:rPr>
                <w:rFonts w:ascii="Arial Narrow" w:hAnsi="Arial Narrow"/>
                <w:b/>
                <w:color w:val="000000"/>
                <w:sz w:val="20"/>
                <w:szCs w:val="18"/>
              </w:rPr>
            </w:pPr>
            <w:r w:rsidRPr="003C6C31">
              <w:rPr>
                <w:rFonts w:ascii="Arial Narrow" w:hAnsi="Arial Narrow"/>
                <w:b/>
                <w:color w:val="000000"/>
                <w:sz w:val="20"/>
                <w:szCs w:val="18"/>
              </w:rPr>
              <w:t>RD</w:t>
            </w:r>
          </w:p>
          <w:p w:rsidR="00D67736" w:rsidRPr="003C6C31" w:rsidRDefault="00D67736" w:rsidP="00785BBC">
            <w:pPr>
              <w:widowControl/>
              <w:jc w:val="center"/>
              <w:rPr>
                <w:rFonts w:ascii="Arial Narrow" w:hAnsi="Arial Narrow"/>
                <w:b/>
                <w:color w:val="000000"/>
                <w:sz w:val="20"/>
                <w:szCs w:val="18"/>
              </w:rPr>
            </w:pPr>
            <w:r w:rsidRPr="003C6C31">
              <w:rPr>
                <w:rFonts w:ascii="Arial Narrow" w:hAnsi="Arial Narrow"/>
                <w:b/>
                <w:color w:val="000000"/>
                <w:sz w:val="20"/>
                <w:szCs w:val="18"/>
              </w:rPr>
              <w:t>(95% CI)</w:t>
            </w:r>
          </w:p>
        </w:tc>
      </w:tr>
      <w:tr w:rsidR="00D67736" w:rsidRPr="003C6C31" w:rsidTr="00244671">
        <w:trPr>
          <w:trHeight w:val="390"/>
        </w:trPr>
        <w:tc>
          <w:tcPr>
            <w:tcW w:w="712" w:type="pct"/>
            <w:vMerge/>
            <w:shd w:val="clear" w:color="auto" w:fill="auto"/>
            <w:vAlign w:val="center"/>
          </w:tcPr>
          <w:p w:rsidR="00D67736" w:rsidRPr="003C6C31" w:rsidRDefault="00D67736" w:rsidP="00785BBC">
            <w:pPr>
              <w:widowControl/>
              <w:rPr>
                <w:rFonts w:ascii="Arial Narrow" w:hAnsi="Arial Narrow"/>
                <w:b/>
                <w:color w:val="000000"/>
                <w:sz w:val="20"/>
                <w:szCs w:val="18"/>
              </w:rPr>
            </w:pPr>
          </w:p>
        </w:tc>
        <w:tc>
          <w:tcPr>
            <w:tcW w:w="665" w:type="pct"/>
            <w:vMerge/>
            <w:vAlign w:val="center"/>
          </w:tcPr>
          <w:p w:rsidR="00D67736" w:rsidRPr="003C6C31" w:rsidRDefault="00D67736" w:rsidP="00785BBC">
            <w:pPr>
              <w:widowControl/>
              <w:jc w:val="center"/>
              <w:rPr>
                <w:rFonts w:ascii="Arial Narrow" w:hAnsi="Arial Narrow"/>
                <w:b/>
                <w:color w:val="000000"/>
                <w:sz w:val="20"/>
                <w:szCs w:val="18"/>
              </w:rPr>
            </w:pPr>
          </w:p>
        </w:tc>
        <w:tc>
          <w:tcPr>
            <w:tcW w:w="770" w:type="pct"/>
            <w:gridSpan w:val="2"/>
            <w:vMerge/>
            <w:vAlign w:val="center"/>
          </w:tcPr>
          <w:p w:rsidR="00D67736" w:rsidRPr="003C6C31" w:rsidRDefault="00D67736" w:rsidP="00785BBC">
            <w:pPr>
              <w:widowControl/>
              <w:jc w:val="center"/>
              <w:rPr>
                <w:rFonts w:ascii="Arial Narrow" w:hAnsi="Arial Narrow"/>
                <w:b/>
                <w:color w:val="000000"/>
                <w:sz w:val="20"/>
                <w:szCs w:val="18"/>
              </w:rPr>
            </w:pPr>
          </w:p>
        </w:tc>
        <w:tc>
          <w:tcPr>
            <w:tcW w:w="932" w:type="pct"/>
            <w:vMerge/>
            <w:vAlign w:val="center"/>
          </w:tcPr>
          <w:p w:rsidR="00D67736" w:rsidRPr="003C6C31" w:rsidRDefault="00D67736" w:rsidP="00785BBC">
            <w:pPr>
              <w:widowControl/>
              <w:jc w:val="center"/>
              <w:rPr>
                <w:rFonts w:ascii="Arial Narrow" w:hAnsi="Arial Narrow"/>
                <w:b/>
                <w:color w:val="000000"/>
                <w:sz w:val="20"/>
                <w:szCs w:val="18"/>
              </w:rPr>
            </w:pPr>
          </w:p>
        </w:tc>
        <w:tc>
          <w:tcPr>
            <w:tcW w:w="678" w:type="pct"/>
            <w:gridSpan w:val="2"/>
            <w:vAlign w:val="center"/>
          </w:tcPr>
          <w:p w:rsidR="00D67736" w:rsidRPr="003C6C31" w:rsidRDefault="00D67736" w:rsidP="00785BBC">
            <w:pPr>
              <w:widowControl/>
              <w:jc w:val="center"/>
              <w:rPr>
                <w:rFonts w:ascii="Arial Narrow" w:hAnsi="Arial Narrow"/>
                <w:b/>
                <w:color w:val="000000"/>
                <w:sz w:val="20"/>
                <w:szCs w:val="18"/>
              </w:rPr>
            </w:pPr>
            <w:r w:rsidRPr="003C6C31">
              <w:rPr>
                <w:rFonts w:ascii="Arial Narrow" w:hAnsi="Arial Narrow"/>
                <w:b/>
                <w:color w:val="000000"/>
                <w:sz w:val="20"/>
                <w:szCs w:val="18"/>
              </w:rPr>
              <w:t>Perampanel</w:t>
            </w:r>
          </w:p>
        </w:tc>
        <w:tc>
          <w:tcPr>
            <w:tcW w:w="568" w:type="pct"/>
            <w:vAlign w:val="center"/>
          </w:tcPr>
          <w:p w:rsidR="00D67736" w:rsidRPr="003C6C31" w:rsidRDefault="00D67736" w:rsidP="00785BBC">
            <w:pPr>
              <w:widowControl/>
              <w:jc w:val="center"/>
              <w:rPr>
                <w:rFonts w:ascii="Arial Narrow" w:hAnsi="Arial Narrow"/>
                <w:b/>
                <w:color w:val="000000"/>
                <w:sz w:val="20"/>
                <w:szCs w:val="18"/>
              </w:rPr>
            </w:pPr>
            <w:r w:rsidRPr="003C6C31">
              <w:rPr>
                <w:rFonts w:ascii="Arial Narrow" w:hAnsi="Arial Narrow"/>
                <w:b/>
                <w:color w:val="000000"/>
                <w:sz w:val="20"/>
                <w:szCs w:val="18"/>
              </w:rPr>
              <w:t>PBO</w:t>
            </w:r>
          </w:p>
        </w:tc>
        <w:tc>
          <w:tcPr>
            <w:tcW w:w="675" w:type="pct"/>
            <w:vMerge/>
            <w:vAlign w:val="center"/>
          </w:tcPr>
          <w:p w:rsidR="00D67736" w:rsidRPr="003C6C31" w:rsidRDefault="00D67736" w:rsidP="00785BBC">
            <w:pPr>
              <w:widowControl/>
              <w:jc w:val="center"/>
              <w:rPr>
                <w:rFonts w:ascii="Arial Narrow" w:hAnsi="Arial Narrow"/>
                <w:b/>
                <w:color w:val="000000"/>
                <w:sz w:val="20"/>
                <w:szCs w:val="18"/>
              </w:rPr>
            </w:pPr>
          </w:p>
        </w:tc>
      </w:tr>
      <w:tr w:rsidR="00D67736" w:rsidRPr="003C6C31" w:rsidTr="00244671">
        <w:tc>
          <w:tcPr>
            <w:tcW w:w="712" w:type="pct"/>
            <w:shd w:val="clear" w:color="auto" w:fill="auto"/>
            <w:vAlign w:val="center"/>
          </w:tcPr>
          <w:p w:rsidR="00D67736" w:rsidRPr="003C6C31" w:rsidRDefault="00D67736" w:rsidP="00785BBC">
            <w:pPr>
              <w:widowControl/>
              <w:rPr>
                <w:rFonts w:ascii="Arial Narrow" w:hAnsi="Arial Narrow"/>
                <w:color w:val="000000"/>
                <w:sz w:val="20"/>
                <w:szCs w:val="18"/>
              </w:rPr>
            </w:pPr>
            <w:r w:rsidRPr="003C6C31">
              <w:rPr>
                <w:rFonts w:ascii="Arial Narrow" w:hAnsi="Arial Narrow"/>
                <w:color w:val="000000"/>
                <w:sz w:val="20"/>
                <w:szCs w:val="18"/>
              </w:rPr>
              <w:t>Treatment related TEAEs</w:t>
            </w:r>
          </w:p>
        </w:tc>
        <w:tc>
          <w:tcPr>
            <w:tcW w:w="671" w:type="pct"/>
            <w:gridSpan w:val="2"/>
            <w:vAlign w:val="center"/>
          </w:tcPr>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56/81</w:t>
            </w:r>
          </w:p>
        </w:tc>
        <w:tc>
          <w:tcPr>
            <w:tcW w:w="764" w:type="pct"/>
            <w:vAlign w:val="center"/>
          </w:tcPr>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37/82</w:t>
            </w:r>
          </w:p>
        </w:tc>
        <w:tc>
          <w:tcPr>
            <w:tcW w:w="932" w:type="pct"/>
            <w:vAlign w:val="center"/>
          </w:tcPr>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1.53</w:t>
            </w:r>
          </w:p>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(1.16, 2.03)</w:t>
            </w:r>
          </w:p>
        </w:tc>
        <w:tc>
          <w:tcPr>
            <w:tcW w:w="678" w:type="pct"/>
            <w:gridSpan w:val="2"/>
            <w:vAlign w:val="center"/>
          </w:tcPr>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69.1</w:t>
            </w:r>
          </w:p>
        </w:tc>
        <w:tc>
          <w:tcPr>
            <w:tcW w:w="568" w:type="pct"/>
            <w:vAlign w:val="center"/>
          </w:tcPr>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45.1</w:t>
            </w:r>
          </w:p>
        </w:tc>
        <w:tc>
          <w:tcPr>
            <w:tcW w:w="675" w:type="pct"/>
            <w:vAlign w:val="center"/>
          </w:tcPr>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24%</w:t>
            </w:r>
          </w:p>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(9%, 39%)</w:t>
            </w:r>
          </w:p>
        </w:tc>
      </w:tr>
      <w:tr w:rsidR="00D67736" w:rsidRPr="003C6C31" w:rsidTr="00244671">
        <w:tc>
          <w:tcPr>
            <w:tcW w:w="712" w:type="pct"/>
            <w:shd w:val="clear" w:color="auto" w:fill="auto"/>
            <w:vAlign w:val="center"/>
          </w:tcPr>
          <w:p w:rsidR="00D67736" w:rsidRPr="003C6C31" w:rsidRDefault="00D67736" w:rsidP="00785BBC">
            <w:pPr>
              <w:widowControl/>
              <w:rPr>
                <w:rFonts w:ascii="Arial Narrow" w:hAnsi="Arial Narrow"/>
                <w:color w:val="000000"/>
                <w:sz w:val="20"/>
                <w:szCs w:val="18"/>
              </w:rPr>
            </w:pPr>
            <w:r w:rsidRPr="003C6C31">
              <w:rPr>
                <w:rFonts w:ascii="Arial Narrow" w:hAnsi="Arial Narrow"/>
                <w:color w:val="000000"/>
                <w:sz w:val="20"/>
                <w:szCs w:val="18"/>
              </w:rPr>
              <w:t>TEAEs leading to study drug withdrawal</w:t>
            </w:r>
          </w:p>
        </w:tc>
        <w:tc>
          <w:tcPr>
            <w:tcW w:w="671" w:type="pct"/>
            <w:gridSpan w:val="2"/>
            <w:vAlign w:val="center"/>
          </w:tcPr>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9/81</w:t>
            </w:r>
          </w:p>
        </w:tc>
        <w:tc>
          <w:tcPr>
            <w:tcW w:w="764" w:type="pct"/>
            <w:vAlign w:val="center"/>
          </w:tcPr>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5/82</w:t>
            </w:r>
          </w:p>
        </w:tc>
        <w:tc>
          <w:tcPr>
            <w:tcW w:w="932" w:type="pct"/>
            <w:vAlign w:val="center"/>
          </w:tcPr>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1.82</w:t>
            </w:r>
          </w:p>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(0.64, 5.20)</w:t>
            </w:r>
          </w:p>
        </w:tc>
        <w:tc>
          <w:tcPr>
            <w:tcW w:w="678" w:type="pct"/>
            <w:gridSpan w:val="2"/>
            <w:vAlign w:val="center"/>
          </w:tcPr>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11.1</w:t>
            </w:r>
          </w:p>
        </w:tc>
        <w:tc>
          <w:tcPr>
            <w:tcW w:w="568" w:type="pct"/>
            <w:vAlign w:val="center"/>
          </w:tcPr>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6.1</w:t>
            </w:r>
          </w:p>
        </w:tc>
        <w:tc>
          <w:tcPr>
            <w:tcW w:w="675" w:type="pct"/>
            <w:vAlign w:val="center"/>
          </w:tcPr>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5%</w:t>
            </w:r>
          </w:p>
          <w:p w:rsidR="00D67736" w:rsidRPr="003C6C31" w:rsidRDefault="00D67736" w:rsidP="00785BBC">
            <w:pPr>
              <w:widowControl/>
              <w:jc w:val="center"/>
              <w:rPr>
                <w:rFonts w:ascii="Arial Narrow" w:hAnsi="Arial Narrow"/>
                <w:color w:val="000000"/>
                <w:sz w:val="20"/>
                <w:szCs w:val="18"/>
              </w:rPr>
            </w:pPr>
            <w:r w:rsidRPr="003C6C31">
              <w:rPr>
                <w:rFonts w:ascii="Arial Narrow" w:hAnsi="Arial Narrow"/>
                <w:color w:val="000000"/>
                <w:sz w:val="20"/>
                <w:szCs w:val="18"/>
              </w:rPr>
              <w:t>(-4%, 14%)</w:t>
            </w:r>
          </w:p>
        </w:tc>
      </w:tr>
    </w:tbl>
    <w:p w:rsidR="00D67736" w:rsidRPr="003C6C31" w:rsidRDefault="00D67736" w:rsidP="00785BBC">
      <w:pPr>
        <w:pStyle w:val="TableFooter"/>
        <w:widowControl/>
        <w:ind w:left="720"/>
      </w:pPr>
      <w:r w:rsidRPr="003C6C31">
        <w:t>* The duration of treatment is 17 weeks</w:t>
      </w:r>
    </w:p>
    <w:p w:rsidR="00D67736" w:rsidRPr="003C6C31" w:rsidRDefault="00D67736" w:rsidP="00785BBC">
      <w:pPr>
        <w:pStyle w:val="TableFooter"/>
        <w:widowControl/>
        <w:ind w:left="720"/>
      </w:pPr>
      <w:r w:rsidRPr="003C6C31">
        <w:t>**</w:t>
      </w:r>
      <w:r w:rsidRPr="003C6C31">
        <w:rPr>
          <w:szCs w:val="18"/>
        </w:rPr>
        <w:t xml:space="preserve"> The median difference to placebo and the 95% confidence interval are based on the Hodges-Lehmann method</w:t>
      </w:r>
    </w:p>
    <w:p w:rsidR="00FC6CA7" w:rsidRPr="003C6C31" w:rsidRDefault="00FC6CA7" w:rsidP="00785BBC">
      <w:pPr>
        <w:pStyle w:val="TableFooter"/>
        <w:widowControl/>
        <w:ind w:left="720"/>
      </w:pPr>
      <w:r w:rsidRPr="003C6C31">
        <w:t>AE = adverse event; CI = confidence interval; PBO = placebo; RD = risk difference; RR = risk ratio; TEAE = treatment emergent adverse event</w:t>
      </w:r>
    </w:p>
    <w:p w:rsidR="00BE6EA8" w:rsidRPr="003C6C31" w:rsidRDefault="00D67736" w:rsidP="00785BBC">
      <w:pPr>
        <w:pStyle w:val="TableFooter"/>
        <w:widowControl/>
        <w:ind w:left="720"/>
      </w:pPr>
      <w:r w:rsidRPr="003C6C31">
        <w:t>Source: Compiled during the evaluation</w:t>
      </w:r>
    </w:p>
    <w:p w:rsidR="00BE6EA8" w:rsidRPr="003C6C31" w:rsidRDefault="00BE6EA8" w:rsidP="00785BBC">
      <w:pPr>
        <w:widowControl/>
      </w:pPr>
    </w:p>
    <w:p w:rsidR="00BE6EA8" w:rsidRPr="003C6C31" w:rsidRDefault="00BE6EA8" w:rsidP="00785BBC">
      <w:pPr>
        <w:pStyle w:val="ListParagraph"/>
        <w:widowControl/>
        <w:numPr>
          <w:ilvl w:val="1"/>
          <w:numId w:val="7"/>
        </w:numPr>
        <w:rPr>
          <w:szCs w:val="22"/>
        </w:rPr>
      </w:pPr>
      <w:r w:rsidRPr="003C6C31">
        <w:t>On the basis of direct evidence presented by the submission, for every 100 patients treated with perampanel in comparison to placebo;</w:t>
      </w:r>
    </w:p>
    <w:p w:rsidR="00BE6EA8" w:rsidRPr="003C6C31" w:rsidRDefault="00BE6EA8" w:rsidP="00785BBC">
      <w:pPr>
        <w:pStyle w:val="ListParagraph"/>
        <w:widowControl/>
        <w:numPr>
          <w:ilvl w:val="0"/>
          <w:numId w:val="6"/>
        </w:numPr>
        <w:ind w:left="993" w:hanging="284"/>
      </w:pPr>
      <w:r w:rsidRPr="003C6C31">
        <w:t>Approximately 25 additional patients would have ≥ 50% reduction in PGTC seizure frequency from baseline over a  17-week treatment period;</w:t>
      </w:r>
    </w:p>
    <w:p w:rsidR="00BE6EA8" w:rsidRPr="003C6C31" w:rsidRDefault="00BE6EA8" w:rsidP="00785BBC">
      <w:pPr>
        <w:pStyle w:val="ListParagraph"/>
        <w:widowControl/>
        <w:numPr>
          <w:ilvl w:val="0"/>
          <w:numId w:val="6"/>
        </w:numPr>
        <w:ind w:left="993" w:hanging="284"/>
      </w:pPr>
      <w:r w:rsidRPr="003C6C31">
        <w:t>Approximately 24 additional patients would have experienced any treatment related TEAEs over a 17-week treatment period.</w:t>
      </w:r>
    </w:p>
    <w:p w:rsidR="00BE6EA8" w:rsidRPr="003C6C31" w:rsidRDefault="00BE6EA8" w:rsidP="00785BBC">
      <w:pPr>
        <w:pStyle w:val="ListParagraph"/>
        <w:widowControl/>
        <w:numPr>
          <w:ilvl w:val="0"/>
          <w:numId w:val="6"/>
        </w:numPr>
        <w:autoSpaceDE w:val="0"/>
        <w:autoSpaceDN w:val="0"/>
        <w:adjustRightInd w:val="0"/>
        <w:ind w:left="993" w:hanging="284"/>
      </w:pPr>
      <w:r w:rsidRPr="003C6C31">
        <w:t xml:space="preserve">Approximately 5 additional patients would have discontinued treatment due to TEAEs over a 17-week treatment period. </w:t>
      </w:r>
    </w:p>
    <w:p w:rsidR="00BE6EA8" w:rsidRPr="003C6C31" w:rsidRDefault="00BE6EA8" w:rsidP="00785BBC">
      <w:pPr>
        <w:widowControl/>
      </w:pPr>
    </w:p>
    <w:p w:rsidR="00BE6EA8" w:rsidRPr="003C6C31" w:rsidRDefault="00BE6EA8" w:rsidP="00244671">
      <w:pPr>
        <w:pStyle w:val="Heading2"/>
      </w:pPr>
      <w:bookmarkStart w:id="11" w:name="_Toc451242689"/>
      <w:r w:rsidRPr="003C6C31">
        <w:t>Clinical claim</w:t>
      </w:r>
      <w:bookmarkEnd w:id="11"/>
    </w:p>
    <w:p w:rsidR="00BE6EA8" w:rsidRPr="003C6C31" w:rsidRDefault="00BE6EA8" w:rsidP="00785BBC">
      <w:pPr>
        <w:keepNext/>
        <w:widowControl/>
        <w:ind w:left="720" w:hanging="720"/>
        <w:rPr>
          <w:szCs w:val="22"/>
        </w:rPr>
      </w:pPr>
    </w:p>
    <w:p w:rsidR="00BE6EA8" w:rsidRPr="003C6C31" w:rsidRDefault="00BE6EA8" w:rsidP="00785BBC">
      <w:pPr>
        <w:pStyle w:val="ListParagraph"/>
        <w:widowControl/>
        <w:numPr>
          <w:ilvl w:val="1"/>
          <w:numId w:val="7"/>
        </w:numPr>
        <w:rPr>
          <w:szCs w:val="22"/>
        </w:rPr>
      </w:pPr>
      <w:r w:rsidRPr="003C6C31">
        <w:t>The submission described perampanel as superior in terms of comparative effectiveness and inferior in terms of comparative safety to placebo.</w:t>
      </w:r>
    </w:p>
    <w:p w:rsidR="00BE6EA8" w:rsidRPr="003C6C31" w:rsidRDefault="00BE6EA8" w:rsidP="00785BBC">
      <w:pPr>
        <w:pStyle w:val="ListParagraph"/>
        <w:widowControl/>
        <w:rPr>
          <w:szCs w:val="22"/>
        </w:rPr>
      </w:pPr>
    </w:p>
    <w:p w:rsidR="0026141E" w:rsidRPr="003C6C31" w:rsidRDefault="006F70DE" w:rsidP="00785BBC">
      <w:pPr>
        <w:pStyle w:val="ListParagraph"/>
        <w:widowControl/>
        <w:numPr>
          <w:ilvl w:val="1"/>
          <w:numId w:val="7"/>
        </w:numPr>
        <w:rPr>
          <w:szCs w:val="22"/>
        </w:rPr>
      </w:pPr>
      <w:r>
        <w:rPr>
          <w:szCs w:val="22"/>
        </w:rPr>
        <w:t>This claim wa</w:t>
      </w:r>
      <w:r w:rsidR="0026141E" w:rsidRPr="003C6C31">
        <w:rPr>
          <w:szCs w:val="22"/>
        </w:rPr>
        <w:t xml:space="preserve">s supported by the evidence from Trial 332, in terms of 50% PGTC seizure responder rate and percentage change from baseline in PGTC seizure frequency per 28 days, for patients with idiopathic generalised epilepsy. </w:t>
      </w:r>
    </w:p>
    <w:p w:rsidR="0026141E" w:rsidRPr="003C6C31" w:rsidRDefault="0026141E" w:rsidP="00785BBC">
      <w:pPr>
        <w:pStyle w:val="ListParagraph"/>
        <w:widowControl/>
        <w:rPr>
          <w:szCs w:val="22"/>
        </w:rPr>
      </w:pPr>
    </w:p>
    <w:p w:rsidR="0026141E" w:rsidRPr="003C6C31" w:rsidRDefault="0026141E" w:rsidP="00785BBC">
      <w:pPr>
        <w:pStyle w:val="ListParagraph"/>
        <w:widowControl/>
        <w:numPr>
          <w:ilvl w:val="1"/>
          <w:numId w:val="7"/>
        </w:numPr>
        <w:rPr>
          <w:szCs w:val="22"/>
        </w:rPr>
      </w:pPr>
      <w:r w:rsidRPr="003C6C31">
        <w:rPr>
          <w:szCs w:val="22"/>
        </w:rPr>
        <w:t>However,</w:t>
      </w:r>
      <w:r w:rsidR="006F70DE">
        <w:rPr>
          <w:szCs w:val="22"/>
        </w:rPr>
        <w:t xml:space="preserve"> the population in the trial had</w:t>
      </w:r>
      <w:r w:rsidRPr="003C6C31">
        <w:rPr>
          <w:szCs w:val="22"/>
        </w:rPr>
        <w:t xml:space="preserve"> limited applicability to </w:t>
      </w:r>
      <w:r w:rsidR="0031488B" w:rsidRPr="003C6C31">
        <w:rPr>
          <w:szCs w:val="22"/>
        </w:rPr>
        <w:t xml:space="preserve">the population </w:t>
      </w:r>
      <w:r w:rsidRPr="003C6C31">
        <w:rPr>
          <w:szCs w:val="22"/>
        </w:rPr>
        <w:t xml:space="preserve">for whom the PBS listing is sought, in terms of the number and type of prior and concomitant therapies. </w:t>
      </w:r>
    </w:p>
    <w:p w:rsidR="0026141E" w:rsidRPr="003C6C31" w:rsidRDefault="0026141E" w:rsidP="00785BBC">
      <w:pPr>
        <w:pStyle w:val="ListParagraph"/>
        <w:widowControl/>
        <w:rPr>
          <w:szCs w:val="22"/>
        </w:rPr>
      </w:pPr>
    </w:p>
    <w:p w:rsidR="0026141E" w:rsidRPr="003C6C31" w:rsidRDefault="0026141E" w:rsidP="00785BBC">
      <w:pPr>
        <w:pStyle w:val="ListParagraph"/>
        <w:widowControl/>
        <w:numPr>
          <w:ilvl w:val="1"/>
          <w:numId w:val="7"/>
        </w:numPr>
        <w:rPr>
          <w:szCs w:val="22"/>
        </w:rPr>
      </w:pPr>
      <w:r w:rsidRPr="003C6C31">
        <w:rPr>
          <w:szCs w:val="22"/>
        </w:rPr>
        <w:t xml:space="preserve">The substantial difference in the baseline frequency of myoclonic and absence seizures made the comparison of treatment effect of perampanel on these types of seizures difficult to interpret. </w:t>
      </w:r>
      <w:r w:rsidR="00A77BDA" w:rsidRPr="003C6C31">
        <w:rPr>
          <w:szCs w:val="22"/>
        </w:rPr>
        <w:t>Therefore, the effect of perampanel on the frequency of other seizure types associated with IGE is not known.</w:t>
      </w:r>
    </w:p>
    <w:p w:rsidR="0026141E" w:rsidRPr="003C6C31" w:rsidRDefault="0026141E" w:rsidP="00785BBC">
      <w:pPr>
        <w:pStyle w:val="ListParagraph"/>
        <w:widowControl/>
        <w:rPr>
          <w:szCs w:val="22"/>
        </w:rPr>
      </w:pPr>
    </w:p>
    <w:p w:rsidR="0026141E" w:rsidRPr="003C6C31" w:rsidRDefault="0026141E" w:rsidP="00785BBC">
      <w:pPr>
        <w:pStyle w:val="ListParagraph"/>
        <w:widowControl/>
        <w:numPr>
          <w:ilvl w:val="1"/>
          <w:numId w:val="7"/>
        </w:numPr>
        <w:rPr>
          <w:szCs w:val="22"/>
        </w:rPr>
      </w:pPr>
      <w:r w:rsidRPr="003C6C31">
        <w:rPr>
          <w:szCs w:val="22"/>
        </w:rPr>
        <w:t>Superiority of peramp</w:t>
      </w:r>
      <w:r w:rsidR="0031488B" w:rsidRPr="003C6C31">
        <w:rPr>
          <w:szCs w:val="22"/>
        </w:rPr>
        <w:t xml:space="preserve">anel to placebo in terms of QoL </w:t>
      </w:r>
      <w:r w:rsidRPr="003C6C31">
        <w:rPr>
          <w:szCs w:val="22"/>
        </w:rPr>
        <w:t xml:space="preserve">was also not demonstrated by the evidence provided in the submission. </w:t>
      </w:r>
    </w:p>
    <w:p w:rsidR="0026141E" w:rsidRPr="003C6C31" w:rsidRDefault="0026141E" w:rsidP="00785BBC">
      <w:pPr>
        <w:pStyle w:val="ListParagraph"/>
        <w:widowControl/>
        <w:rPr>
          <w:szCs w:val="22"/>
        </w:rPr>
      </w:pPr>
    </w:p>
    <w:p w:rsidR="0026141E" w:rsidRDefault="0026141E" w:rsidP="00785BBC">
      <w:pPr>
        <w:pStyle w:val="ListParagraph"/>
        <w:widowControl/>
        <w:numPr>
          <w:ilvl w:val="1"/>
          <w:numId w:val="7"/>
        </w:numPr>
        <w:rPr>
          <w:szCs w:val="22"/>
        </w:rPr>
      </w:pPr>
      <w:r w:rsidRPr="003C6C31">
        <w:rPr>
          <w:szCs w:val="22"/>
        </w:rPr>
        <w:t>The long term effectiveness and safety profile of perampanel, in the treatment of PGTC seizures in patients with IGE, is unknown</w:t>
      </w:r>
      <w:r w:rsidR="006F70DE">
        <w:rPr>
          <w:szCs w:val="22"/>
        </w:rPr>
        <w:t xml:space="preserve"> given that the trial duration wa</w:t>
      </w:r>
      <w:r w:rsidRPr="003C6C31">
        <w:rPr>
          <w:szCs w:val="22"/>
        </w:rPr>
        <w:t>s only 17 weeks.</w:t>
      </w:r>
    </w:p>
    <w:p w:rsidR="00F2754E" w:rsidRPr="00F2754E" w:rsidRDefault="00F2754E" w:rsidP="00F2754E">
      <w:pPr>
        <w:pStyle w:val="ListParagraph"/>
        <w:rPr>
          <w:szCs w:val="22"/>
        </w:rPr>
      </w:pPr>
    </w:p>
    <w:p w:rsidR="00F2754E" w:rsidRPr="003A4A01" w:rsidRDefault="00B039D5" w:rsidP="00E54CE2">
      <w:pPr>
        <w:pStyle w:val="ListParagraph"/>
        <w:widowControl/>
        <w:numPr>
          <w:ilvl w:val="1"/>
          <w:numId w:val="7"/>
        </w:numPr>
        <w:rPr>
          <w:bCs/>
        </w:rPr>
      </w:pPr>
      <w:r>
        <w:rPr>
          <w:bCs/>
          <w:szCs w:val="22"/>
        </w:rPr>
        <w:t xml:space="preserve">The PBAC considered, although the claim of superior comparative effectiveness was supported in the trial population in terms of number of seizures, it was </w:t>
      </w:r>
      <w:r w:rsidR="00077D9E">
        <w:rPr>
          <w:bCs/>
          <w:szCs w:val="22"/>
        </w:rPr>
        <w:t xml:space="preserve">not </w:t>
      </w:r>
      <w:r w:rsidR="00E54CE2">
        <w:rPr>
          <w:bCs/>
          <w:szCs w:val="22"/>
        </w:rPr>
        <w:t xml:space="preserve">adequately </w:t>
      </w:r>
      <w:r w:rsidR="00077D9E">
        <w:rPr>
          <w:bCs/>
          <w:szCs w:val="22"/>
        </w:rPr>
        <w:t>support</w:t>
      </w:r>
      <w:r>
        <w:rPr>
          <w:bCs/>
          <w:szCs w:val="22"/>
        </w:rPr>
        <w:t>ed</w:t>
      </w:r>
      <w:r w:rsidR="00F2754E" w:rsidRPr="003A4A01">
        <w:rPr>
          <w:bCs/>
          <w:szCs w:val="22"/>
        </w:rPr>
        <w:t xml:space="preserve"> </w:t>
      </w:r>
      <w:r w:rsidR="00077D9E">
        <w:rPr>
          <w:bCs/>
          <w:szCs w:val="22"/>
        </w:rPr>
        <w:t>in the requested PBS population</w:t>
      </w:r>
      <w:r>
        <w:rPr>
          <w:bCs/>
          <w:szCs w:val="22"/>
        </w:rPr>
        <w:t xml:space="preserve"> and it was not supported in terms of improvement in quality of life</w:t>
      </w:r>
      <w:r w:rsidR="00F2754E" w:rsidRPr="003A4A01">
        <w:rPr>
          <w:bCs/>
          <w:szCs w:val="22"/>
        </w:rPr>
        <w:t>.</w:t>
      </w:r>
    </w:p>
    <w:p w:rsidR="00F2754E" w:rsidRPr="003A4A01" w:rsidRDefault="00F2754E" w:rsidP="00F2754E">
      <w:pPr>
        <w:pStyle w:val="ListParagraph"/>
        <w:rPr>
          <w:bCs/>
          <w:szCs w:val="22"/>
        </w:rPr>
      </w:pPr>
    </w:p>
    <w:p w:rsidR="00F2754E" w:rsidRPr="003A4A01" w:rsidRDefault="00F2754E" w:rsidP="00F2754E">
      <w:pPr>
        <w:pStyle w:val="ListParagraph"/>
        <w:widowControl/>
        <w:numPr>
          <w:ilvl w:val="1"/>
          <w:numId w:val="7"/>
        </w:numPr>
        <w:rPr>
          <w:szCs w:val="22"/>
        </w:rPr>
      </w:pPr>
      <w:r w:rsidRPr="003A4A01">
        <w:rPr>
          <w:szCs w:val="22"/>
        </w:rPr>
        <w:t>The PBAC considered that the claim of inferior co</w:t>
      </w:r>
      <w:r w:rsidR="00B039D5">
        <w:rPr>
          <w:szCs w:val="22"/>
        </w:rPr>
        <w:t>mparative safety was reasonable</w:t>
      </w:r>
      <w:r w:rsidRPr="003A4A01">
        <w:rPr>
          <w:szCs w:val="22"/>
        </w:rPr>
        <w:t>.</w:t>
      </w:r>
    </w:p>
    <w:p w:rsidR="00F2754E" w:rsidRPr="003C6C31" w:rsidRDefault="00F2754E" w:rsidP="00F2754E">
      <w:pPr>
        <w:pStyle w:val="PBACHeading1"/>
        <w:numPr>
          <w:ilvl w:val="0"/>
          <w:numId w:val="0"/>
        </w:numPr>
        <w:ind w:left="720" w:hanging="720"/>
      </w:pPr>
    </w:p>
    <w:p w:rsidR="00B32AC8" w:rsidRPr="003C6C31" w:rsidRDefault="00B32AC8" w:rsidP="00785BBC">
      <w:pPr>
        <w:widowControl/>
        <w:ind w:left="720" w:hanging="720"/>
        <w:rPr>
          <w:szCs w:val="22"/>
        </w:rPr>
      </w:pPr>
    </w:p>
    <w:p w:rsidR="00BE6EA8" w:rsidRPr="003C6C31" w:rsidRDefault="00BE6EA8" w:rsidP="00244671">
      <w:pPr>
        <w:pStyle w:val="Heading2"/>
        <w:keepNext/>
      </w:pPr>
      <w:bookmarkStart w:id="12" w:name="_Toc451242690"/>
      <w:r w:rsidRPr="003C6C31">
        <w:t>Economic analysis</w:t>
      </w:r>
      <w:bookmarkEnd w:id="12"/>
      <w:r w:rsidRPr="003C6C31">
        <w:t xml:space="preserve"> </w:t>
      </w:r>
    </w:p>
    <w:p w:rsidR="00BE6EA8" w:rsidRPr="003C6C31" w:rsidRDefault="00BE6EA8" w:rsidP="00244671">
      <w:pPr>
        <w:keepNext/>
        <w:widowControl/>
        <w:ind w:left="720" w:hanging="720"/>
        <w:rPr>
          <w:szCs w:val="22"/>
        </w:rPr>
      </w:pPr>
    </w:p>
    <w:p w:rsidR="00077D9E" w:rsidRDefault="00077D9E" w:rsidP="00785BBC">
      <w:pPr>
        <w:pStyle w:val="ListParagraph"/>
        <w:widowControl/>
        <w:numPr>
          <w:ilvl w:val="1"/>
          <w:numId w:val="7"/>
        </w:numPr>
        <w:rPr>
          <w:szCs w:val="22"/>
        </w:rPr>
      </w:pPr>
      <w:r>
        <w:rPr>
          <w:szCs w:val="22"/>
        </w:rPr>
        <w:t xml:space="preserve">Given </w:t>
      </w:r>
      <w:r w:rsidR="00B116DA">
        <w:rPr>
          <w:szCs w:val="22"/>
        </w:rPr>
        <w:t>that placebo was not considered an appropriate comparator</w:t>
      </w:r>
      <w:r>
        <w:rPr>
          <w:szCs w:val="22"/>
        </w:rPr>
        <w:t xml:space="preserve">, the PBAC considered that the cost-utility analysis presented was not </w:t>
      </w:r>
      <w:r w:rsidR="009F3F55">
        <w:rPr>
          <w:szCs w:val="22"/>
        </w:rPr>
        <w:t>informative</w:t>
      </w:r>
      <w:r>
        <w:rPr>
          <w:szCs w:val="22"/>
        </w:rPr>
        <w:t xml:space="preserve"> to the </w:t>
      </w:r>
      <w:r w:rsidR="00B116DA">
        <w:rPr>
          <w:szCs w:val="22"/>
        </w:rPr>
        <w:t>assessment</w:t>
      </w:r>
      <w:r>
        <w:rPr>
          <w:szCs w:val="22"/>
        </w:rPr>
        <w:t xml:space="preserve"> of the </w:t>
      </w:r>
      <w:r w:rsidR="009F3F55">
        <w:rPr>
          <w:szCs w:val="22"/>
        </w:rPr>
        <w:t>cost-effectiveness of perampanel.</w:t>
      </w:r>
    </w:p>
    <w:p w:rsidR="00077D9E" w:rsidRPr="00077D9E" w:rsidRDefault="00077D9E" w:rsidP="00077D9E">
      <w:pPr>
        <w:pStyle w:val="ListParagraph"/>
        <w:widowControl/>
        <w:rPr>
          <w:szCs w:val="22"/>
        </w:rPr>
      </w:pPr>
    </w:p>
    <w:p w:rsidR="001F5690" w:rsidRPr="003C6C31" w:rsidRDefault="001F5690" w:rsidP="00785BBC">
      <w:pPr>
        <w:pStyle w:val="ListParagraph"/>
        <w:widowControl/>
        <w:numPr>
          <w:ilvl w:val="1"/>
          <w:numId w:val="7"/>
        </w:numPr>
        <w:rPr>
          <w:szCs w:val="22"/>
        </w:rPr>
      </w:pPr>
      <w:r w:rsidRPr="003C6C31">
        <w:t xml:space="preserve">The submission presented a cost-utility analysis in terms of cost per additional quality-adjusted life year (QALY) gained. The model is a variation of a traditional Markov structure, including five health states – seizure free, 1-12 annual seizures, 13-52 annual seizures, 53+ annual seizures, and death (both all-cause and epilepsy-based). However, transition probabilities between these health states were not directly provided. Instead, transition probabilities were based on a mapping of categorised response categories to treatment (eg one of maintenance therapy, seizure increase, &lt;50% reduction in seizure frequency, 50-74% reduction, 75%-99% reduction or seizure free). </w:t>
      </w:r>
    </w:p>
    <w:p w:rsidR="001F5690" w:rsidRPr="003C6C31" w:rsidRDefault="001F5690" w:rsidP="00785BBC">
      <w:pPr>
        <w:pStyle w:val="ListParagraph"/>
        <w:widowControl/>
        <w:rPr>
          <w:szCs w:val="22"/>
        </w:rPr>
      </w:pPr>
    </w:p>
    <w:p w:rsidR="001F5690" w:rsidRPr="003C6C31" w:rsidRDefault="001F5690" w:rsidP="00785BBC">
      <w:pPr>
        <w:pStyle w:val="ListParagraph"/>
        <w:widowControl/>
        <w:numPr>
          <w:ilvl w:val="1"/>
          <w:numId w:val="7"/>
        </w:numPr>
        <w:rPr>
          <w:szCs w:val="22"/>
        </w:rPr>
      </w:pPr>
      <w:r w:rsidRPr="003C6C31">
        <w:t xml:space="preserve">Patients enter the model into two health states corresponding to the baseline seizure frequency defined post-hoc from Trial 332 (53+ annual seizures and 12-52 annual seizures). For the first cycle, the proportion of patients in each treatment response category was derived from Trial 332 and used to estimate the transition probabilities. While from the second cycle onward until the end of the model, transition probabilities were estimated from Neligan et al 2012 (except the transition probability from ‘&lt;50%’ to ‘increase in seizures’ which was based on Trial 332, as this category was not included in Neligan et al 2012). </w:t>
      </w:r>
    </w:p>
    <w:p w:rsidR="001F5690" w:rsidRPr="003C6C31" w:rsidRDefault="001F5690" w:rsidP="00785BBC">
      <w:pPr>
        <w:pStyle w:val="ListParagraph"/>
        <w:widowControl/>
      </w:pPr>
    </w:p>
    <w:p w:rsidR="001F5690" w:rsidRPr="003C6C31" w:rsidRDefault="001F5690" w:rsidP="00785BBC">
      <w:pPr>
        <w:pStyle w:val="ListParagraph"/>
        <w:widowControl/>
        <w:numPr>
          <w:ilvl w:val="1"/>
          <w:numId w:val="7"/>
        </w:numPr>
        <w:rPr>
          <w:szCs w:val="22"/>
        </w:rPr>
      </w:pPr>
      <w:r w:rsidRPr="003C6C31">
        <w:t xml:space="preserve">From cycle 2 onward, if patients experience an increase in seizure frequency, in the next cycle: </w:t>
      </w:r>
    </w:p>
    <w:p w:rsidR="001F5690" w:rsidRPr="003C6C31" w:rsidRDefault="001F5690" w:rsidP="00785BBC">
      <w:pPr>
        <w:pStyle w:val="ListParagraph"/>
        <w:widowControl/>
        <w:numPr>
          <w:ilvl w:val="0"/>
          <w:numId w:val="6"/>
        </w:numPr>
        <w:ind w:left="1134"/>
        <w:rPr>
          <w:szCs w:val="22"/>
        </w:rPr>
      </w:pPr>
      <w:r w:rsidRPr="003C6C31">
        <w:t>Patients in the perampanel arm will be assumed to withdraw from perampanel and enter the maintenance therapy category and stay in that category until the end of the model while assuming no further change in seizure frequency; and</w:t>
      </w:r>
    </w:p>
    <w:p w:rsidR="001F5690" w:rsidRPr="003C6C31" w:rsidRDefault="001F5690" w:rsidP="00785BBC">
      <w:pPr>
        <w:pStyle w:val="ListParagraph"/>
        <w:widowControl/>
        <w:numPr>
          <w:ilvl w:val="0"/>
          <w:numId w:val="6"/>
        </w:numPr>
        <w:ind w:left="1134"/>
        <w:rPr>
          <w:szCs w:val="22"/>
        </w:rPr>
      </w:pPr>
      <w:r w:rsidRPr="003C6C31">
        <w:t xml:space="preserve">Patients in the placebo arm, if experiencing an increase in seizure frequency, have their treatment assumed to be unchanged but they move to and remain in the maintenance category without further change in seizure frequency. </w:t>
      </w:r>
    </w:p>
    <w:p w:rsidR="001F5690" w:rsidRPr="003C6C31" w:rsidRDefault="001F5690" w:rsidP="00785BBC">
      <w:pPr>
        <w:pStyle w:val="ListParagraph"/>
        <w:widowControl/>
        <w:ind w:left="1134"/>
        <w:rPr>
          <w:szCs w:val="22"/>
        </w:rPr>
      </w:pPr>
    </w:p>
    <w:p w:rsidR="001F5690" w:rsidRPr="003C6C31" w:rsidRDefault="001F5690" w:rsidP="00785BBC">
      <w:pPr>
        <w:pStyle w:val="ListParagraph"/>
        <w:widowControl/>
        <w:numPr>
          <w:ilvl w:val="1"/>
          <w:numId w:val="7"/>
        </w:numPr>
      </w:pPr>
      <w:r w:rsidRPr="003C6C31">
        <w:t>Patients were assumed to have an increased risk of death with an increase in seizure frequency, based on Nilsson et al 1999 and to also experience all-cause mortality.</w:t>
      </w:r>
    </w:p>
    <w:p w:rsidR="001F5690" w:rsidRPr="003C6C31" w:rsidRDefault="001F5690" w:rsidP="00785BBC">
      <w:pPr>
        <w:pStyle w:val="ListParagraph"/>
        <w:widowControl/>
        <w:rPr>
          <w:szCs w:val="22"/>
        </w:rPr>
      </w:pPr>
    </w:p>
    <w:p w:rsidR="001F5690" w:rsidRPr="003C6C31" w:rsidRDefault="001F5690" w:rsidP="00785BBC">
      <w:pPr>
        <w:pStyle w:val="ListParagraph"/>
        <w:widowControl/>
        <w:numPr>
          <w:ilvl w:val="1"/>
          <w:numId w:val="7"/>
        </w:numPr>
        <w:rPr>
          <w:szCs w:val="22"/>
        </w:rPr>
      </w:pPr>
      <w:r w:rsidRPr="003C6C31">
        <w:t>Without providing any justification, the submission further assumed an average response rate for each category of response (eg. &lt;50% reduction was assumed to have an average of 25% reduction in seizures, an average of 62.5% reduction in 50-74% category, and 87.5% in 75-99% reduction category, implying a symmetrical distribution in each category, which would suggest an unusual shape to the distribution of seizure frequency reduction overall).</w:t>
      </w:r>
      <w:bookmarkStart w:id="13" w:name="_GoBack"/>
      <w:bookmarkEnd w:id="13"/>
      <w:r w:rsidRPr="003C6C31">
        <w:t xml:space="preserve"> </w:t>
      </w:r>
    </w:p>
    <w:p w:rsidR="001F5690" w:rsidRPr="003C6C31" w:rsidRDefault="001F5690" w:rsidP="00785BBC">
      <w:pPr>
        <w:widowControl/>
        <w:rPr>
          <w:szCs w:val="22"/>
        </w:rPr>
      </w:pPr>
    </w:p>
    <w:p w:rsidR="001F5690" w:rsidRPr="003C6C31" w:rsidRDefault="001F5690" w:rsidP="00785BBC">
      <w:pPr>
        <w:pStyle w:val="TableHeader"/>
        <w:widowControl/>
        <w:ind w:firstLine="720"/>
      </w:pPr>
      <w:r w:rsidRPr="003C6C31">
        <w:t>Table 8: Summary of model structure and rationale</w:t>
      </w:r>
    </w:p>
    <w:tbl>
      <w:tblPr>
        <w:tblW w:w="83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91"/>
        <w:gridCol w:w="6744"/>
      </w:tblGrid>
      <w:tr w:rsidR="001F5690" w:rsidRPr="003C6C31" w:rsidTr="00F461AB">
        <w:trPr>
          <w:trHeight w:val="240"/>
        </w:trPr>
        <w:tc>
          <w:tcPr>
            <w:tcW w:w="1591" w:type="dxa"/>
            <w:shd w:val="clear" w:color="auto" w:fill="auto"/>
          </w:tcPr>
          <w:p w:rsidR="001F5690" w:rsidRPr="003C6C31" w:rsidRDefault="001F5690" w:rsidP="00785BBC">
            <w:pPr>
              <w:widowControl/>
              <w:rPr>
                <w:rFonts w:ascii="Arial Narrow" w:hAnsi="Arial Narrow"/>
                <w:sz w:val="20"/>
              </w:rPr>
            </w:pPr>
            <w:r w:rsidRPr="003C6C31">
              <w:rPr>
                <w:rFonts w:ascii="Arial Narrow" w:hAnsi="Arial Narrow"/>
                <w:sz w:val="20"/>
              </w:rPr>
              <w:t>Time horizon</w:t>
            </w:r>
          </w:p>
        </w:tc>
        <w:tc>
          <w:tcPr>
            <w:tcW w:w="6744" w:type="dxa"/>
            <w:shd w:val="clear" w:color="auto" w:fill="auto"/>
          </w:tcPr>
          <w:p w:rsidR="001F5690" w:rsidRPr="003C6C31" w:rsidRDefault="001F5690" w:rsidP="00785BBC">
            <w:pPr>
              <w:widowControl/>
              <w:rPr>
                <w:rFonts w:ascii="Arial Narrow" w:hAnsi="Arial Narrow"/>
                <w:sz w:val="20"/>
              </w:rPr>
            </w:pPr>
            <w:r w:rsidRPr="003C6C31">
              <w:rPr>
                <w:rFonts w:ascii="Arial Narrow" w:hAnsi="Arial Narrow"/>
                <w:sz w:val="20"/>
              </w:rPr>
              <w:t>50 years in the model, compared to 17 weeks in the trial</w:t>
            </w:r>
          </w:p>
        </w:tc>
      </w:tr>
      <w:tr w:rsidR="001F5690" w:rsidRPr="003C6C31" w:rsidTr="00B116DA">
        <w:trPr>
          <w:trHeight w:val="270"/>
        </w:trPr>
        <w:tc>
          <w:tcPr>
            <w:tcW w:w="1591" w:type="dxa"/>
            <w:shd w:val="clear" w:color="auto" w:fill="auto"/>
          </w:tcPr>
          <w:p w:rsidR="001F5690" w:rsidRPr="003C6C31" w:rsidRDefault="001F5690" w:rsidP="00785BBC">
            <w:pPr>
              <w:widowControl/>
              <w:rPr>
                <w:rFonts w:ascii="Arial Narrow" w:hAnsi="Arial Narrow"/>
                <w:sz w:val="20"/>
              </w:rPr>
            </w:pPr>
            <w:r w:rsidRPr="003C6C31">
              <w:rPr>
                <w:rFonts w:ascii="Arial Narrow" w:hAnsi="Arial Narrow"/>
                <w:sz w:val="20"/>
              </w:rPr>
              <w:t>Outcomes</w:t>
            </w:r>
          </w:p>
        </w:tc>
        <w:tc>
          <w:tcPr>
            <w:tcW w:w="6744" w:type="dxa"/>
            <w:shd w:val="clear" w:color="auto" w:fill="auto"/>
          </w:tcPr>
          <w:p w:rsidR="001F5690" w:rsidRPr="003C6C31" w:rsidRDefault="001F5690" w:rsidP="00785BBC">
            <w:pPr>
              <w:widowControl/>
              <w:rPr>
                <w:rFonts w:ascii="Arial Narrow" w:hAnsi="Arial Narrow"/>
                <w:sz w:val="20"/>
              </w:rPr>
            </w:pPr>
            <w:r w:rsidRPr="003C6C31">
              <w:rPr>
                <w:rFonts w:ascii="Arial Narrow" w:hAnsi="Arial Narrow"/>
                <w:sz w:val="20"/>
              </w:rPr>
              <w:t>QALYs, LYG and seizures avoided</w:t>
            </w:r>
          </w:p>
        </w:tc>
      </w:tr>
      <w:tr w:rsidR="001F5690" w:rsidRPr="003C6C31" w:rsidTr="00B116DA">
        <w:trPr>
          <w:trHeight w:val="415"/>
        </w:trPr>
        <w:tc>
          <w:tcPr>
            <w:tcW w:w="1591" w:type="dxa"/>
            <w:shd w:val="clear" w:color="auto" w:fill="auto"/>
          </w:tcPr>
          <w:p w:rsidR="001F5690" w:rsidRPr="003C6C31" w:rsidRDefault="001F5690" w:rsidP="00785BBC">
            <w:pPr>
              <w:widowControl/>
              <w:rPr>
                <w:rFonts w:ascii="Arial Narrow" w:hAnsi="Arial Narrow"/>
                <w:sz w:val="20"/>
              </w:rPr>
            </w:pPr>
            <w:r w:rsidRPr="003C6C31">
              <w:rPr>
                <w:rFonts w:ascii="Arial Narrow" w:hAnsi="Arial Narrow"/>
                <w:sz w:val="20"/>
              </w:rPr>
              <w:t>Methods used to generate results</w:t>
            </w:r>
          </w:p>
        </w:tc>
        <w:tc>
          <w:tcPr>
            <w:tcW w:w="6744" w:type="dxa"/>
            <w:shd w:val="clear" w:color="auto" w:fill="auto"/>
          </w:tcPr>
          <w:p w:rsidR="001F5690" w:rsidRPr="003C6C31" w:rsidRDefault="001F5690" w:rsidP="00785BBC">
            <w:pPr>
              <w:widowControl/>
              <w:rPr>
                <w:rFonts w:ascii="Arial Narrow" w:hAnsi="Arial Narrow"/>
                <w:sz w:val="20"/>
              </w:rPr>
            </w:pPr>
            <w:r w:rsidRPr="003C6C31">
              <w:rPr>
                <w:rFonts w:ascii="Arial Narrow" w:hAnsi="Arial Narrow"/>
                <w:sz w:val="20"/>
              </w:rPr>
              <w:t>Cohort expected value analysis</w:t>
            </w:r>
          </w:p>
        </w:tc>
      </w:tr>
      <w:tr w:rsidR="001F5690" w:rsidRPr="003C6C31" w:rsidTr="00F461AB">
        <w:trPr>
          <w:trHeight w:val="225"/>
        </w:trPr>
        <w:tc>
          <w:tcPr>
            <w:tcW w:w="1591" w:type="dxa"/>
            <w:shd w:val="clear" w:color="auto" w:fill="auto"/>
          </w:tcPr>
          <w:p w:rsidR="001F5690" w:rsidRPr="003C6C31" w:rsidRDefault="001F5690" w:rsidP="00785BBC">
            <w:pPr>
              <w:widowControl/>
              <w:rPr>
                <w:rFonts w:ascii="Arial Narrow" w:hAnsi="Arial Narrow"/>
                <w:sz w:val="20"/>
              </w:rPr>
            </w:pPr>
            <w:r w:rsidRPr="003C6C31">
              <w:rPr>
                <w:rFonts w:ascii="Arial Narrow" w:hAnsi="Arial Narrow"/>
                <w:sz w:val="20"/>
              </w:rPr>
              <w:t>Cycle length</w:t>
            </w:r>
          </w:p>
        </w:tc>
        <w:tc>
          <w:tcPr>
            <w:tcW w:w="6744" w:type="dxa"/>
            <w:shd w:val="clear" w:color="auto" w:fill="auto"/>
          </w:tcPr>
          <w:p w:rsidR="001F5690" w:rsidRPr="003C6C31" w:rsidRDefault="001F5690" w:rsidP="00785BBC">
            <w:pPr>
              <w:widowControl/>
              <w:rPr>
                <w:rFonts w:ascii="Arial Narrow" w:hAnsi="Arial Narrow"/>
                <w:sz w:val="20"/>
              </w:rPr>
            </w:pPr>
            <w:r w:rsidRPr="003C6C31">
              <w:rPr>
                <w:rFonts w:ascii="Arial Narrow" w:hAnsi="Arial Narrow"/>
                <w:sz w:val="20"/>
              </w:rPr>
              <w:t>4 months</w:t>
            </w:r>
          </w:p>
        </w:tc>
      </w:tr>
      <w:tr w:rsidR="001F5690" w:rsidRPr="003C6C31" w:rsidTr="00F461AB">
        <w:trPr>
          <w:trHeight w:val="448"/>
        </w:trPr>
        <w:tc>
          <w:tcPr>
            <w:tcW w:w="1591" w:type="dxa"/>
            <w:shd w:val="clear" w:color="auto" w:fill="auto"/>
          </w:tcPr>
          <w:p w:rsidR="001F5690" w:rsidRPr="003C6C31" w:rsidRDefault="001F5690" w:rsidP="00785BBC">
            <w:pPr>
              <w:widowControl/>
              <w:rPr>
                <w:rFonts w:ascii="Arial Narrow" w:hAnsi="Arial Narrow"/>
                <w:sz w:val="20"/>
              </w:rPr>
            </w:pPr>
            <w:r w:rsidRPr="003C6C31">
              <w:rPr>
                <w:rFonts w:ascii="Arial Narrow" w:hAnsi="Arial Narrow"/>
                <w:sz w:val="20"/>
              </w:rPr>
              <w:t>Transition probabilities</w:t>
            </w:r>
          </w:p>
        </w:tc>
        <w:tc>
          <w:tcPr>
            <w:tcW w:w="6744" w:type="dxa"/>
            <w:shd w:val="clear" w:color="auto" w:fill="auto"/>
          </w:tcPr>
          <w:p w:rsidR="001F5690" w:rsidRPr="003C6C31" w:rsidRDefault="001F5690" w:rsidP="00785BBC">
            <w:pPr>
              <w:widowControl/>
              <w:rPr>
                <w:rFonts w:ascii="Arial Narrow" w:hAnsi="Arial Narrow"/>
                <w:sz w:val="20"/>
              </w:rPr>
            </w:pPr>
            <w:r w:rsidRPr="003C6C31">
              <w:rPr>
                <w:rFonts w:ascii="Arial Narrow" w:hAnsi="Arial Narrow"/>
                <w:sz w:val="20"/>
              </w:rPr>
              <w:t xml:space="preserve">The transition probabilities between categories of treatment response (initiation of treatment, maintenance therapy, seizure increase, &lt;50% reduction in seizure frequency, 50-74% reduction, 75%-99% reduction or seizure free) were estimated. For the first cycle, the proportion of patients in each treatment response category was estimated from Trial 332, while from second cycle onward until the end of the model, transition probabilities were estimated from Neligan et al 2012 (except the transition probability from ‘&lt;50%’ to ‘increase in seizures’ that were based on Trial 332, in the absence of such data in Neligan et al 2012).  Relative risk of mortality based on number of seizures per year was also based on the literature (Nilsson et al 1999). </w:t>
            </w:r>
          </w:p>
        </w:tc>
      </w:tr>
      <w:tr w:rsidR="001F5690" w:rsidRPr="003C6C31" w:rsidTr="00F461AB">
        <w:trPr>
          <w:trHeight w:val="240"/>
        </w:trPr>
        <w:tc>
          <w:tcPr>
            <w:tcW w:w="1591" w:type="dxa"/>
            <w:shd w:val="clear" w:color="auto" w:fill="auto"/>
          </w:tcPr>
          <w:p w:rsidR="001F5690" w:rsidRPr="003C6C31" w:rsidRDefault="001F5690" w:rsidP="00785BBC">
            <w:pPr>
              <w:widowControl/>
              <w:rPr>
                <w:rFonts w:ascii="Arial Narrow" w:hAnsi="Arial Narrow"/>
                <w:sz w:val="20"/>
              </w:rPr>
            </w:pPr>
            <w:r w:rsidRPr="003C6C31">
              <w:rPr>
                <w:rFonts w:ascii="Arial Narrow" w:hAnsi="Arial Narrow"/>
                <w:sz w:val="20"/>
              </w:rPr>
              <w:t>Discount rate</w:t>
            </w:r>
          </w:p>
        </w:tc>
        <w:tc>
          <w:tcPr>
            <w:tcW w:w="6744" w:type="dxa"/>
            <w:shd w:val="clear" w:color="auto" w:fill="auto"/>
          </w:tcPr>
          <w:p w:rsidR="001F5690" w:rsidRPr="003C6C31" w:rsidRDefault="001F5690" w:rsidP="00785BBC">
            <w:pPr>
              <w:widowControl/>
              <w:rPr>
                <w:rFonts w:ascii="Arial Narrow" w:hAnsi="Arial Narrow"/>
                <w:sz w:val="20"/>
              </w:rPr>
            </w:pPr>
            <w:r w:rsidRPr="003C6C31">
              <w:rPr>
                <w:rFonts w:ascii="Arial Narrow" w:hAnsi="Arial Narrow"/>
                <w:sz w:val="20"/>
              </w:rPr>
              <w:t>5% for costs and outcomes</w:t>
            </w:r>
          </w:p>
        </w:tc>
      </w:tr>
      <w:tr w:rsidR="001F5690" w:rsidRPr="003C6C31" w:rsidTr="00F461AB">
        <w:trPr>
          <w:trHeight w:val="225"/>
        </w:trPr>
        <w:tc>
          <w:tcPr>
            <w:tcW w:w="1591" w:type="dxa"/>
            <w:shd w:val="clear" w:color="auto" w:fill="auto"/>
          </w:tcPr>
          <w:p w:rsidR="001F5690" w:rsidRPr="003C6C31" w:rsidRDefault="001F5690" w:rsidP="00785BBC">
            <w:pPr>
              <w:widowControl/>
              <w:rPr>
                <w:rFonts w:ascii="Arial Narrow" w:hAnsi="Arial Narrow"/>
                <w:sz w:val="20"/>
              </w:rPr>
            </w:pPr>
            <w:r w:rsidRPr="003C6C31">
              <w:rPr>
                <w:rFonts w:ascii="Arial Narrow" w:hAnsi="Arial Narrow"/>
                <w:sz w:val="20"/>
              </w:rPr>
              <w:t>Software package</w:t>
            </w:r>
          </w:p>
        </w:tc>
        <w:tc>
          <w:tcPr>
            <w:tcW w:w="6744" w:type="dxa"/>
            <w:shd w:val="clear" w:color="auto" w:fill="auto"/>
          </w:tcPr>
          <w:p w:rsidR="001F5690" w:rsidRPr="003C6C31" w:rsidRDefault="001F5690" w:rsidP="00785BBC">
            <w:pPr>
              <w:widowControl/>
              <w:rPr>
                <w:rFonts w:ascii="Arial Narrow" w:hAnsi="Arial Narrow"/>
                <w:sz w:val="20"/>
              </w:rPr>
            </w:pPr>
            <w:r w:rsidRPr="003C6C31">
              <w:rPr>
                <w:rFonts w:ascii="Arial Narrow" w:hAnsi="Arial Narrow"/>
                <w:sz w:val="20"/>
              </w:rPr>
              <w:t>Excel 2010</w:t>
            </w:r>
          </w:p>
        </w:tc>
      </w:tr>
    </w:tbl>
    <w:p w:rsidR="001F5690" w:rsidRPr="003C6C31" w:rsidRDefault="001F5690" w:rsidP="00785BBC">
      <w:pPr>
        <w:pStyle w:val="TableFooter"/>
        <w:widowControl/>
      </w:pPr>
      <w:r w:rsidRPr="003C6C31">
        <w:tab/>
        <w:t>Source: Compiled during the evaluation</w:t>
      </w:r>
    </w:p>
    <w:p w:rsidR="001F5690" w:rsidRPr="003C6C31" w:rsidRDefault="001F5690" w:rsidP="00785BBC">
      <w:pPr>
        <w:widowControl/>
      </w:pPr>
    </w:p>
    <w:p w:rsidR="001F5690" w:rsidRPr="003C6C31" w:rsidRDefault="001F5690" w:rsidP="00785BBC">
      <w:pPr>
        <w:pStyle w:val="ListParagraph"/>
        <w:widowControl/>
        <w:numPr>
          <w:ilvl w:val="1"/>
          <w:numId w:val="7"/>
        </w:numPr>
      </w:pPr>
      <w:r w:rsidRPr="003C6C31">
        <w:t>A summary of the alive health state mappings based on baseline seizure frequency and response category is provided in Table 9 below.</w:t>
      </w:r>
    </w:p>
    <w:p w:rsidR="001F5690" w:rsidRPr="003C6C31" w:rsidRDefault="001F5690" w:rsidP="00785BBC">
      <w:pPr>
        <w:pStyle w:val="ListParagraph"/>
        <w:widowControl/>
      </w:pPr>
    </w:p>
    <w:p w:rsidR="001F5690" w:rsidRPr="00785BBC" w:rsidRDefault="001F5690" w:rsidP="00785BBC">
      <w:pPr>
        <w:pStyle w:val="TableFooter"/>
        <w:keepNext/>
        <w:widowControl/>
        <w:ind w:left="709" w:firstLine="11"/>
        <w:rPr>
          <w:b/>
          <w:sz w:val="20"/>
        </w:rPr>
      </w:pPr>
      <w:r w:rsidRPr="00785BBC">
        <w:rPr>
          <w:b/>
          <w:sz w:val="20"/>
        </w:rPr>
        <w:t>Table 9: Health state mappings of baseline seizure frequency and response category used in the base case</w:t>
      </w:r>
    </w:p>
    <w:tbl>
      <w:tblPr>
        <w:tblStyle w:val="TableGrid1"/>
        <w:tblW w:w="4591" w:type="pct"/>
        <w:tblInd w:w="737" w:type="dxa"/>
        <w:tblLayout w:type="fixed"/>
        <w:tblLook w:val="04A0" w:firstRow="1" w:lastRow="0" w:firstColumn="1" w:lastColumn="0" w:noHBand="0" w:noVBand="1"/>
        <w:tblCaption w:val="Table 9: Health state mappings of baseline seizure frequency and response category used in the base case"/>
      </w:tblPr>
      <w:tblGrid>
        <w:gridCol w:w="1160"/>
        <w:gridCol w:w="1857"/>
        <w:gridCol w:w="1755"/>
        <w:gridCol w:w="1733"/>
        <w:gridCol w:w="1981"/>
      </w:tblGrid>
      <w:tr w:rsidR="001F5690" w:rsidRPr="003C6C31" w:rsidTr="00244671">
        <w:trPr>
          <w:trHeight w:val="300"/>
          <w:tblHeader/>
        </w:trPr>
        <w:tc>
          <w:tcPr>
            <w:tcW w:w="684" w:type="pct"/>
            <w:vMerge w:val="restart"/>
            <w:noWrap/>
            <w:vAlign w:val="center"/>
            <w:hideMark/>
          </w:tcPr>
          <w:p w:rsidR="001F5690" w:rsidRPr="003C6C31" w:rsidRDefault="001F5690" w:rsidP="00785BBC">
            <w:pPr>
              <w:pStyle w:val="Tabletext"/>
              <w:keepNext/>
              <w:jc w:val="center"/>
              <w:rPr>
                <w:b/>
                <w:lang w:eastAsia="en-AU"/>
              </w:rPr>
            </w:pPr>
            <w:r w:rsidRPr="003C6C31">
              <w:rPr>
                <w:b/>
                <w:lang w:eastAsia="en-AU"/>
              </w:rPr>
              <w:t>From health state</w:t>
            </w:r>
          </w:p>
        </w:tc>
        <w:tc>
          <w:tcPr>
            <w:tcW w:w="3149" w:type="pct"/>
            <w:gridSpan w:val="3"/>
            <w:noWrap/>
            <w:vAlign w:val="center"/>
            <w:hideMark/>
          </w:tcPr>
          <w:p w:rsidR="001F5690" w:rsidRPr="003C6C31" w:rsidRDefault="001F5690" w:rsidP="00785BBC">
            <w:pPr>
              <w:pStyle w:val="Tabletext"/>
              <w:keepNext/>
              <w:jc w:val="center"/>
              <w:rPr>
                <w:rFonts w:ascii="Times New Roman" w:hAnsi="Times New Roman"/>
                <w:b/>
                <w:lang w:eastAsia="en-AU"/>
              </w:rPr>
            </w:pPr>
            <w:r w:rsidRPr="003C6C31">
              <w:rPr>
                <w:b/>
                <w:lang w:eastAsia="en-AU"/>
              </w:rPr>
              <w:t>To health state mapping</w:t>
            </w:r>
          </w:p>
        </w:tc>
        <w:tc>
          <w:tcPr>
            <w:tcW w:w="1167" w:type="pct"/>
            <w:vMerge w:val="restart"/>
            <w:vAlign w:val="center"/>
          </w:tcPr>
          <w:p w:rsidR="001F5690" w:rsidRPr="003C6C31" w:rsidRDefault="001F5690" w:rsidP="00785BBC">
            <w:pPr>
              <w:pStyle w:val="Tabletext"/>
              <w:keepNext/>
              <w:jc w:val="center"/>
              <w:rPr>
                <w:rFonts w:ascii="Times New Roman" w:hAnsi="Times New Roman"/>
                <w:b/>
                <w:lang w:eastAsia="en-AU"/>
              </w:rPr>
            </w:pPr>
            <w:r w:rsidRPr="003C6C31">
              <w:rPr>
                <w:b/>
                <w:lang w:eastAsia="en-AU"/>
              </w:rPr>
              <w:t>To health state</w:t>
            </w:r>
          </w:p>
        </w:tc>
      </w:tr>
      <w:tr w:rsidR="001F5690" w:rsidRPr="003C6C31" w:rsidTr="00244671">
        <w:trPr>
          <w:trHeight w:val="300"/>
          <w:tblHeader/>
        </w:trPr>
        <w:tc>
          <w:tcPr>
            <w:tcW w:w="684" w:type="pct"/>
            <w:vMerge/>
            <w:noWrap/>
            <w:vAlign w:val="center"/>
            <w:hideMark/>
          </w:tcPr>
          <w:p w:rsidR="001F5690" w:rsidRPr="003C6C31" w:rsidRDefault="001F5690" w:rsidP="00785BBC">
            <w:pPr>
              <w:pStyle w:val="Tabletext"/>
              <w:keepNext/>
              <w:jc w:val="center"/>
              <w:rPr>
                <w:b/>
                <w:lang w:eastAsia="en-AU"/>
              </w:rPr>
            </w:pPr>
          </w:p>
        </w:tc>
        <w:tc>
          <w:tcPr>
            <w:tcW w:w="1094" w:type="pct"/>
            <w:noWrap/>
            <w:vAlign w:val="center"/>
            <w:hideMark/>
          </w:tcPr>
          <w:p w:rsidR="001F5690" w:rsidRPr="003C6C31" w:rsidRDefault="001F5690" w:rsidP="00785BBC">
            <w:pPr>
              <w:pStyle w:val="Tabletext"/>
              <w:keepNext/>
              <w:jc w:val="center"/>
              <w:rPr>
                <w:b/>
                <w:lang w:eastAsia="en-AU"/>
              </w:rPr>
            </w:pPr>
            <w:r w:rsidRPr="003C6C31">
              <w:rPr>
                <w:b/>
                <w:lang w:eastAsia="en-AU"/>
              </w:rPr>
              <w:t>% change category</w:t>
            </w:r>
          </w:p>
        </w:tc>
        <w:tc>
          <w:tcPr>
            <w:tcW w:w="1034" w:type="pct"/>
            <w:noWrap/>
            <w:vAlign w:val="center"/>
            <w:hideMark/>
          </w:tcPr>
          <w:p w:rsidR="001F5690" w:rsidRPr="003C6C31" w:rsidRDefault="001F5690" w:rsidP="00785BBC">
            <w:pPr>
              <w:pStyle w:val="Tabletext"/>
              <w:keepNext/>
              <w:jc w:val="center"/>
              <w:rPr>
                <w:b/>
                <w:lang w:eastAsia="en-AU"/>
              </w:rPr>
            </w:pPr>
            <w:r w:rsidRPr="003C6C31">
              <w:rPr>
                <w:b/>
                <w:lang w:eastAsia="en-AU"/>
              </w:rPr>
              <w:t>Assumed avg. reduction*</w:t>
            </w:r>
          </w:p>
        </w:tc>
        <w:tc>
          <w:tcPr>
            <w:tcW w:w="1021" w:type="pct"/>
            <w:noWrap/>
            <w:vAlign w:val="center"/>
            <w:hideMark/>
          </w:tcPr>
          <w:p w:rsidR="001F5690" w:rsidRPr="003C6C31" w:rsidRDefault="001F5690" w:rsidP="00785BBC">
            <w:pPr>
              <w:pStyle w:val="Tabletext"/>
              <w:keepNext/>
              <w:jc w:val="center"/>
              <w:rPr>
                <w:b/>
                <w:lang w:eastAsia="en-AU"/>
              </w:rPr>
            </w:pPr>
            <w:r w:rsidRPr="003C6C31">
              <w:rPr>
                <w:b/>
                <w:lang w:eastAsia="en-AU"/>
              </w:rPr>
              <w:t># seizures after response</w:t>
            </w:r>
          </w:p>
        </w:tc>
        <w:tc>
          <w:tcPr>
            <w:tcW w:w="1167" w:type="pct"/>
            <w:vMerge/>
            <w:noWrap/>
            <w:vAlign w:val="center"/>
            <w:hideMark/>
          </w:tcPr>
          <w:p w:rsidR="001F5690" w:rsidRPr="003C6C31" w:rsidRDefault="001F5690" w:rsidP="00785BBC">
            <w:pPr>
              <w:pStyle w:val="Tabletext"/>
              <w:keepNext/>
              <w:jc w:val="center"/>
              <w:rPr>
                <w:b/>
                <w:lang w:eastAsia="en-AU"/>
              </w:rPr>
            </w:pPr>
          </w:p>
        </w:tc>
      </w:tr>
      <w:tr w:rsidR="001F5690" w:rsidRPr="003C6C31" w:rsidTr="00F461AB">
        <w:trPr>
          <w:trHeight w:val="300"/>
        </w:trPr>
        <w:tc>
          <w:tcPr>
            <w:tcW w:w="684" w:type="pct"/>
            <w:vMerge w:val="restart"/>
            <w:noWrap/>
            <w:vAlign w:val="center"/>
            <w:hideMark/>
          </w:tcPr>
          <w:p w:rsidR="001F5690" w:rsidRPr="003C6C31" w:rsidRDefault="001F5690" w:rsidP="00785BBC">
            <w:pPr>
              <w:pStyle w:val="Tabletext"/>
              <w:keepNext/>
              <w:jc w:val="center"/>
              <w:rPr>
                <w:lang w:eastAsia="en-AU"/>
              </w:rPr>
            </w:pPr>
            <w:r w:rsidRPr="003C6C31">
              <w:rPr>
                <w:lang w:eastAsia="en-AU"/>
              </w:rPr>
              <w:t>53 + seizures (220.7 seizures annually)</w:t>
            </w:r>
          </w:p>
        </w:tc>
        <w:tc>
          <w:tcPr>
            <w:tcW w:w="1094" w:type="pct"/>
            <w:noWrap/>
            <w:vAlign w:val="center"/>
            <w:hideMark/>
          </w:tcPr>
          <w:p w:rsidR="001F5690" w:rsidRPr="003C6C31" w:rsidRDefault="001F5690" w:rsidP="00785BBC">
            <w:pPr>
              <w:pStyle w:val="Tabletext"/>
              <w:keepNext/>
              <w:jc w:val="center"/>
              <w:rPr>
                <w:lang w:eastAsia="en-AU"/>
              </w:rPr>
            </w:pPr>
            <w:r w:rsidRPr="003C6C31">
              <w:rPr>
                <w:lang w:eastAsia="en-AU"/>
              </w:rPr>
              <w:t>Maintenance therapy</w:t>
            </w:r>
          </w:p>
        </w:tc>
        <w:tc>
          <w:tcPr>
            <w:tcW w:w="1034" w:type="pct"/>
            <w:noWrap/>
            <w:vAlign w:val="center"/>
            <w:hideMark/>
          </w:tcPr>
          <w:p w:rsidR="001F5690" w:rsidRPr="003C6C31" w:rsidRDefault="001F5690" w:rsidP="00785BBC">
            <w:pPr>
              <w:pStyle w:val="Tabletext"/>
              <w:keepNext/>
              <w:jc w:val="center"/>
              <w:rPr>
                <w:lang w:eastAsia="en-AU"/>
              </w:rPr>
            </w:pPr>
            <w:r w:rsidRPr="003C6C31">
              <w:rPr>
                <w:lang w:eastAsia="en-AU"/>
              </w:rPr>
              <w:t>NA</w:t>
            </w:r>
          </w:p>
        </w:tc>
        <w:tc>
          <w:tcPr>
            <w:tcW w:w="1021" w:type="pct"/>
            <w:noWrap/>
            <w:vAlign w:val="center"/>
            <w:hideMark/>
          </w:tcPr>
          <w:p w:rsidR="001F5690" w:rsidRPr="003C6C31" w:rsidRDefault="001F5690" w:rsidP="00785BBC">
            <w:pPr>
              <w:pStyle w:val="Tabletext"/>
              <w:keepNext/>
              <w:jc w:val="center"/>
              <w:rPr>
                <w:lang w:eastAsia="en-AU"/>
              </w:rPr>
            </w:pPr>
            <w:r w:rsidRPr="003C6C31">
              <w:rPr>
                <w:lang w:eastAsia="en-AU"/>
              </w:rPr>
              <w:t>NA</w:t>
            </w:r>
          </w:p>
        </w:tc>
        <w:tc>
          <w:tcPr>
            <w:tcW w:w="1167" w:type="pct"/>
            <w:vMerge w:val="restart"/>
            <w:noWrap/>
            <w:vAlign w:val="center"/>
            <w:hideMark/>
          </w:tcPr>
          <w:p w:rsidR="001F5690" w:rsidRPr="003C6C31" w:rsidRDefault="001F5690" w:rsidP="00785BBC">
            <w:pPr>
              <w:pStyle w:val="Tabletext"/>
              <w:keepNext/>
              <w:jc w:val="center"/>
              <w:rPr>
                <w:lang w:eastAsia="en-AU"/>
              </w:rPr>
            </w:pPr>
            <w:r w:rsidRPr="003C6C31">
              <w:rPr>
                <w:lang w:eastAsia="en-AU"/>
              </w:rPr>
              <w:t>53+ annual seizures</w:t>
            </w:r>
          </w:p>
        </w:tc>
      </w:tr>
      <w:tr w:rsidR="001F5690" w:rsidRPr="003C6C31" w:rsidTr="00F461AB">
        <w:trPr>
          <w:trHeight w:val="300"/>
        </w:trPr>
        <w:tc>
          <w:tcPr>
            <w:tcW w:w="684" w:type="pct"/>
            <w:vMerge/>
            <w:noWrap/>
            <w:vAlign w:val="center"/>
            <w:hideMark/>
          </w:tcPr>
          <w:p w:rsidR="001F5690" w:rsidRPr="003C6C31" w:rsidRDefault="001F5690" w:rsidP="00785BBC">
            <w:pPr>
              <w:pStyle w:val="Tabletext"/>
              <w:keepNext/>
              <w:jc w:val="center"/>
              <w:rPr>
                <w:lang w:eastAsia="en-AU"/>
              </w:rPr>
            </w:pPr>
          </w:p>
        </w:tc>
        <w:tc>
          <w:tcPr>
            <w:tcW w:w="1094" w:type="pct"/>
            <w:noWrap/>
            <w:vAlign w:val="center"/>
            <w:hideMark/>
          </w:tcPr>
          <w:p w:rsidR="001F5690" w:rsidRPr="003C6C31" w:rsidRDefault="001F5690" w:rsidP="00785BBC">
            <w:pPr>
              <w:pStyle w:val="Tabletext"/>
              <w:keepNext/>
              <w:jc w:val="center"/>
              <w:rPr>
                <w:lang w:eastAsia="en-AU"/>
              </w:rPr>
            </w:pPr>
            <w:r w:rsidRPr="003C6C31">
              <w:rPr>
                <w:lang w:eastAsia="en-AU"/>
              </w:rPr>
              <w:t>Seizures increase</w:t>
            </w:r>
          </w:p>
        </w:tc>
        <w:tc>
          <w:tcPr>
            <w:tcW w:w="1034" w:type="pct"/>
            <w:noWrap/>
            <w:vAlign w:val="center"/>
            <w:hideMark/>
          </w:tcPr>
          <w:p w:rsidR="001F5690" w:rsidRPr="003C6C31" w:rsidRDefault="001F5690" w:rsidP="00785BBC">
            <w:pPr>
              <w:pStyle w:val="Tabletext"/>
              <w:keepNext/>
              <w:jc w:val="center"/>
              <w:rPr>
                <w:lang w:eastAsia="en-AU"/>
              </w:rPr>
            </w:pPr>
            <w:r w:rsidRPr="003C6C31">
              <w:rPr>
                <w:lang w:eastAsia="en-AU"/>
              </w:rPr>
              <w:t>Perampanel: 43.8%</w:t>
            </w:r>
          </w:p>
          <w:p w:rsidR="001F5690" w:rsidRPr="003C6C31" w:rsidRDefault="001F5690" w:rsidP="00785BBC">
            <w:pPr>
              <w:pStyle w:val="Tabletext"/>
              <w:keepNext/>
              <w:jc w:val="center"/>
              <w:rPr>
                <w:lang w:eastAsia="en-AU"/>
              </w:rPr>
            </w:pPr>
            <w:r w:rsidRPr="003C6C31">
              <w:rPr>
                <w:lang w:eastAsia="en-AU"/>
              </w:rPr>
              <w:t>Background AEDS: 51.6%</w:t>
            </w:r>
          </w:p>
        </w:tc>
        <w:tc>
          <w:tcPr>
            <w:tcW w:w="1021" w:type="pct"/>
            <w:noWrap/>
            <w:vAlign w:val="center"/>
            <w:hideMark/>
          </w:tcPr>
          <w:p w:rsidR="001F5690" w:rsidRPr="003C6C31" w:rsidRDefault="001F5690" w:rsidP="00785BBC">
            <w:pPr>
              <w:pStyle w:val="Tabletext"/>
              <w:keepNext/>
              <w:jc w:val="center"/>
              <w:rPr>
                <w:lang w:eastAsia="en-AU"/>
              </w:rPr>
            </w:pPr>
            <w:r w:rsidRPr="003C6C31">
              <w:rPr>
                <w:lang w:eastAsia="en-AU"/>
              </w:rPr>
              <w:t>Perampanel: 317</w:t>
            </w:r>
          </w:p>
          <w:p w:rsidR="001F5690" w:rsidRPr="003C6C31" w:rsidRDefault="001F5690" w:rsidP="00785BBC">
            <w:pPr>
              <w:pStyle w:val="Tabletext"/>
              <w:keepNext/>
              <w:jc w:val="center"/>
              <w:rPr>
                <w:lang w:eastAsia="en-AU"/>
              </w:rPr>
            </w:pPr>
            <w:r w:rsidRPr="003C6C31">
              <w:rPr>
                <w:lang w:eastAsia="en-AU"/>
              </w:rPr>
              <w:t>Background AEDs: 335</w:t>
            </w:r>
          </w:p>
        </w:tc>
        <w:tc>
          <w:tcPr>
            <w:tcW w:w="1167" w:type="pct"/>
            <w:vMerge/>
            <w:noWrap/>
            <w:vAlign w:val="center"/>
            <w:hideMark/>
          </w:tcPr>
          <w:p w:rsidR="001F5690" w:rsidRPr="003C6C31" w:rsidRDefault="001F5690" w:rsidP="00785BBC">
            <w:pPr>
              <w:pStyle w:val="Tabletext"/>
              <w:keepNext/>
              <w:jc w:val="center"/>
              <w:rPr>
                <w:lang w:eastAsia="en-AU"/>
              </w:rPr>
            </w:pPr>
          </w:p>
        </w:tc>
      </w:tr>
      <w:tr w:rsidR="001F5690" w:rsidRPr="003C6C31" w:rsidTr="00F461AB">
        <w:trPr>
          <w:trHeight w:val="300"/>
        </w:trPr>
        <w:tc>
          <w:tcPr>
            <w:tcW w:w="684" w:type="pct"/>
            <w:vMerge/>
            <w:noWrap/>
            <w:vAlign w:val="center"/>
            <w:hideMark/>
          </w:tcPr>
          <w:p w:rsidR="001F5690" w:rsidRPr="003C6C31" w:rsidRDefault="001F5690" w:rsidP="00785BBC">
            <w:pPr>
              <w:pStyle w:val="Tabletext"/>
              <w:keepNext/>
              <w:jc w:val="center"/>
              <w:rPr>
                <w:lang w:eastAsia="en-AU"/>
              </w:rPr>
            </w:pPr>
          </w:p>
        </w:tc>
        <w:tc>
          <w:tcPr>
            <w:tcW w:w="1094" w:type="pct"/>
            <w:noWrap/>
            <w:vAlign w:val="center"/>
            <w:hideMark/>
          </w:tcPr>
          <w:p w:rsidR="001F5690" w:rsidRPr="003C6C31" w:rsidRDefault="001F5690" w:rsidP="00785BBC">
            <w:pPr>
              <w:pStyle w:val="Tabletext"/>
              <w:keepNext/>
              <w:jc w:val="center"/>
              <w:rPr>
                <w:lang w:eastAsia="en-AU"/>
              </w:rPr>
            </w:pPr>
            <w:r w:rsidRPr="003C6C31">
              <w:rPr>
                <w:lang w:eastAsia="en-AU"/>
              </w:rPr>
              <w:t>&lt;50% response</w:t>
            </w:r>
          </w:p>
        </w:tc>
        <w:tc>
          <w:tcPr>
            <w:tcW w:w="1034" w:type="pct"/>
            <w:noWrap/>
            <w:vAlign w:val="center"/>
            <w:hideMark/>
          </w:tcPr>
          <w:p w:rsidR="001F5690" w:rsidRPr="003C6C31" w:rsidRDefault="001F5690" w:rsidP="00785BBC">
            <w:pPr>
              <w:pStyle w:val="Tabletext"/>
              <w:keepNext/>
              <w:jc w:val="center"/>
              <w:rPr>
                <w:lang w:eastAsia="en-AU"/>
              </w:rPr>
            </w:pPr>
            <w:r w:rsidRPr="003C6C31">
              <w:rPr>
                <w:lang w:eastAsia="en-AU"/>
              </w:rPr>
              <w:t>25%</w:t>
            </w:r>
          </w:p>
        </w:tc>
        <w:tc>
          <w:tcPr>
            <w:tcW w:w="1021" w:type="pct"/>
            <w:noWrap/>
            <w:vAlign w:val="center"/>
            <w:hideMark/>
          </w:tcPr>
          <w:p w:rsidR="001F5690" w:rsidRPr="003C6C31" w:rsidRDefault="001F5690" w:rsidP="00785BBC">
            <w:pPr>
              <w:pStyle w:val="Tabletext"/>
              <w:keepNext/>
              <w:jc w:val="center"/>
              <w:rPr>
                <w:lang w:eastAsia="en-AU"/>
              </w:rPr>
            </w:pPr>
            <w:r w:rsidRPr="003C6C31">
              <w:rPr>
                <w:lang w:eastAsia="en-AU"/>
              </w:rPr>
              <w:t>165.5</w:t>
            </w:r>
          </w:p>
        </w:tc>
        <w:tc>
          <w:tcPr>
            <w:tcW w:w="1167" w:type="pct"/>
            <w:vMerge/>
            <w:noWrap/>
            <w:vAlign w:val="center"/>
            <w:hideMark/>
          </w:tcPr>
          <w:p w:rsidR="001F5690" w:rsidRPr="003C6C31" w:rsidRDefault="001F5690" w:rsidP="00785BBC">
            <w:pPr>
              <w:pStyle w:val="Tabletext"/>
              <w:keepNext/>
              <w:jc w:val="center"/>
              <w:rPr>
                <w:lang w:eastAsia="en-AU"/>
              </w:rPr>
            </w:pPr>
          </w:p>
        </w:tc>
      </w:tr>
      <w:tr w:rsidR="001F5690" w:rsidRPr="003C6C31" w:rsidTr="00F461AB">
        <w:trPr>
          <w:trHeight w:val="300"/>
        </w:trPr>
        <w:tc>
          <w:tcPr>
            <w:tcW w:w="684" w:type="pct"/>
            <w:vMerge/>
            <w:noWrap/>
            <w:vAlign w:val="center"/>
            <w:hideMark/>
          </w:tcPr>
          <w:p w:rsidR="001F5690" w:rsidRPr="003C6C31" w:rsidRDefault="001F5690" w:rsidP="00785BBC">
            <w:pPr>
              <w:pStyle w:val="Tabletext"/>
              <w:keepNext/>
              <w:jc w:val="center"/>
              <w:rPr>
                <w:lang w:eastAsia="en-AU"/>
              </w:rPr>
            </w:pPr>
          </w:p>
        </w:tc>
        <w:tc>
          <w:tcPr>
            <w:tcW w:w="1094" w:type="pct"/>
            <w:noWrap/>
            <w:vAlign w:val="center"/>
            <w:hideMark/>
          </w:tcPr>
          <w:p w:rsidR="001F5690" w:rsidRPr="003C6C31" w:rsidRDefault="001F5690" w:rsidP="00785BBC">
            <w:pPr>
              <w:pStyle w:val="Tabletext"/>
              <w:keepNext/>
              <w:jc w:val="center"/>
              <w:rPr>
                <w:lang w:eastAsia="en-AU"/>
              </w:rPr>
            </w:pPr>
            <w:r w:rsidRPr="003C6C31">
              <w:rPr>
                <w:lang w:eastAsia="en-AU"/>
              </w:rPr>
              <w:t>50-74% response</w:t>
            </w:r>
          </w:p>
        </w:tc>
        <w:tc>
          <w:tcPr>
            <w:tcW w:w="1034" w:type="pct"/>
            <w:noWrap/>
            <w:vAlign w:val="center"/>
            <w:hideMark/>
          </w:tcPr>
          <w:p w:rsidR="001F5690" w:rsidRPr="003C6C31" w:rsidRDefault="001F5690" w:rsidP="00785BBC">
            <w:pPr>
              <w:pStyle w:val="Tabletext"/>
              <w:keepNext/>
              <w:jc w:val="center"/>
              <w:rPr>
                <w:lang w:eastAsia="en-AU"/>
              </w:rPr>
            </w:pPr>
            <w:r w:rsidRPr="003C6C31">
              <w:rPr>
                <w:lang w:eastAsia="en-AU"/>
              </w:rPr>
              <w:t>62.5%</w:t>
            </w:r>
          </w:p>
        </w:tc>
        <w:tc>
          <w:tcPr>
            <w:tcW w:w="1021" w:type="pct"/>
            <w:noWrap/>
            <w:vAlign w:val="center"/>
            <w:hideMark/>
          </w:tcPr>
          <w:p w:rsidR="001F5690" w:rsidRPr="003C6C31" w:rsidRDefault="001F5690" w:rsidP="00785BBC">
            <w:pPr>
              <w:pStyle w:val="Tabletext"/>
              <w:keepNext/>
              <w:jc w:val="center"/>
              <w:rPr>
                <w:lang w:eastAsia="en-AU"/>
              </w:rPr>
            </w:pPr>
            <w:r w:rsidRPr="003C6C31">
              <w:rPr>
                <w:lang w:eastAsia="en-AU"/>
              </w:rPr>
              <w:t>82.8</w:t>
            </w:r>
          </w:p>
        </w:tc>
        <w:tc>
          <w:tcPr>
            <w:tcW w:w="1167" w:type="pct"/>
            <w:vMerge/>
            <w:noWrap/>
            <w:vAlign w:val="center"/>
            <w:hideMark/>
          </w:tcPr>
          <w:p w:rsidR="001F5690" w:rsidRPr="003C6C31" w:rsidRDefault="001F5690" w:rsidP="00785BBC">
            <w:pPr>
              <w:pStyle w:val="Tabletext"/>
              <w:keepNext/>
              <w:jc w:val="center"/>
              <w:rPr>
                <w:lang w:eastAsia="en-AU"/>
              </w:rPr>
            </w:pPr>
          </w:p>
        </w:tc>
      </w:tr>
      <w:tr w:rsidR="001F5690" w:rsidRPr="003C6C31" w:rsidTr="00F461AB">
        <w:trPr>
          <w:trHeight w:val="300"/>
        </w:trPr>
        <w:tc>
          <w:tcPr>
            <w:tcW w:w="684" w:type="pct"/>
            <w:vMerge/>
            <w:noWrap/>
            <w:vAlign w:val="center"/>
            <w:hideMark/>
          </w:tcPr>
          <w:p w:rsidR="001F5690" w:rsidRPr="003C6C31" w:rsidRDefault="001F5690" w:rsidP="00785BBC">
            <w:pPr>
              <w:pStyle w:val="Tabletext"/>
              <w:keepNext/>
              <w:jc w:val="center"/>
              <w:rPr>
                <w:lang w:eastAsia="en-AU"/>
              </w:rPr>
            </w:pPr>
          </w:p>
        </w:tc>
        <w:tc>
          <w:tcPr>
            <w:tcW w:w="1094" w:type="pct"/>
            <w:noWrap/>
            <w:vAlign w:val="center"/>
            <w:hideMark/>
          </w:tcPr>
          <w:p w:rsidR="001F5690" w:rsidRPr="003C6C31" w:rsidRDefault="001F5690" w:rsidP="00785BBC">
            <w:pPr>
              <w:pStyle w:val="Tabletext"/>
              <w:keepNext/>
              <w:jc w:val="center"/>
              <w:rPr>
                <w:lang w:eastAsia="en-AU"/>
              </w:rPr>
            </w:pPr>
            <w:r w:rsidRPr="003C6C31">
              <w:rPr>
                <w:lang w:eastAsia="en-AU"/>
              </w:rPr>
              <w:t>75-99% response</w:t>
            </w:r>
          </w:p>
        </w:tc>
        <w:tc>
          <w:tcPr>
            <w:tcW w:w="1034" w:type="pct"/>
            <w:noWrap/>
            <w:vAlign w:val="center"/>
            <w:hideMark/>
          </w:tcPr>
          <w:p w:rsidR="001F5690" w:rsidRPr="003C6C31" w:rsidRDefault="001F5690" w:rsidP="00785BBC">
            <w:pPr>
              <w:pStyle w:val="Tabletext"/>
              <w:keepNext/>
              <w:jc w:val="center"/>
              <w:rPr>
                <w:lang w:eastAsia="en-AU"/>
              </w:rPr>
            </w:pPr>
            <w:r w:rsidRPr="003C6C31">
              <w:rPr>
                <w:lang w:eastAsia="en-AU"/>
              </w:rPr>
              <w:t>87.5%</w:t>
            </w:r>
          </w:p>
        </w:tc>
        <w:tc>
          <w:tcPr>
            <w:tcW w:w="1021" w:type="pct"/>
            <w:noWrap/>
            <w:vAlign w:val="center"/>
            <w:hideMark/>
          </w:tcPr>
          <w:p w:rsidR="001F5690" w:rsidRPr="003C6C31" w:rsidRDefault="001F5690" w:rsidP="00785BBC">
            <w:pPr>
              <w:pStyle w:val="Tabletext"/>
              <w:keepNext/>
              <w:jc w:val="center"/>
              <w:rPr>
                <w:lang w:eastAsia="en-AU"/>
              </w:rPr>
            </w:pPr>
            <w:r w:rsidRPr="003C6C31">
              <w:rPr>
                <w:lang w:eastAsia="en-AU"/>
              </w:rPr>
              <w:t>27.6</w:t>
            </w:r>
          </w:p>
        </w:tc>
        <w:tc>
          <w:tcPr>
            <w:tcW w:w="1167" w:type="pct"/>
            <w:noWrap/>
            <w:vAlign w:val="center"/>
            <w:hideMark/>
          </w:tcPr>
          <w:p w:rsidR="001F5690" w:rsidRPr="003C6C31" w:rsidRDefault="001F5690" w:rsidP="00785BBC">
            <w:pPr>
              <w:pStyle w:val="Tabletext"/>
              <w:keepNext/>
              <w:jc w:val="center"/>
              <w:rPr>
                <w:lang w:eastAsia="en-AU"/>
              </w:rPr>
            </w:pPr>
            <w:r w:rsidRPr="003C6C31">
              <w:rPr>
                <w:lang w:eastAsia="en-AU"/>
              </w:rPr>
              <w:t>13-52 annual seizures</w:t>
            </w:r>
          </w:p>
        </w:tc>
      </w:tr>
      <w:tr w:rsidR="001F5690" w:rsidRPr="003C6C31" w:rsidTr="00F461AB">
        <w:trPr>
          <w:trHeight w:val="300"/>
        </w:trPr>
        <w:tc>
          <w:tcPr>
            <w:tcW w:w="684" w:type="pct"/>
            <w:vMerge/>
            <w:noWrap/>
            <w:vAlign w:val="center"/>
            <w:hideMark/>
          </w:tcPr>
          <w:p w:rsidR="001F5690" w:rsidRPr="003C6C31" w:rsidRDefault="001F5690" w:rsidP="00785BBC">
            <w:pPr>
              <w:pStyle w:val="Tabletext"/>
              <w:keepNext/>
              <w:jc w:val="center"/>
              <w:rPr>
                <w:lang w:eastAsia="en-AU"/>
              </w:rPr>
            </w:pPr>
          </w:p>
        </w:tc>
        <w:tc>
          <w:tcPr>
            <w:tcW w:w="1094" w:type="pct"/>
            <w:noWrap/>
            <w:vAlign w:val="center"/>
            <w:hideMark/>
          </w:tcPr>
          <w:p w:rsidR="001F5690" w:rsidRPr="003C6C31" w:rsidRDefault="001F5690" w:rsidP="00785BBC">
            <w:pPr>
              <w:pStyle w:val="Tabletext"/>
              <w:keepNext/>
              <w:jc w:val="center"/>
              <w:rPr>
                <w:lang w:eastAsia="en-AU"/>
              </w:rPr>
            </w:pPr>
            <w:r w:rsidRPr="003C6C31">
              <w:rPr>
                <w:lang w:eastAsia="en-AU"/>
              </w:rPr>
              <w:t>seizure free</w:t>
            </w:r>
          </w:p>
        </w:tc>
        <w:tc>
          <w:tcPr>
            <w:tcW w:w="1034" w:type="pct"/>
            <w:noWrap/>
            <w:vAlign w:val="center"/>
            <w:hideMark/>
          </w:tcPr>
          <w:p w:rsidR="001F5690" w:rsidRPr="003C6C31" w:rsidRDefault="001F5690" w:rsidP="00785BBC">
            <w:pPr>
              <w:pStyle w:val="Tabletext"/>
              <w:keepNext/>
              <w:jc w:val="center"/>
              <w:rPr>
                <w:lang w:eastAsia="en-AU"/>
              </w:rPr>
            </w:pPr>
            <w:r w:rsidRPr="003C6C31">
              <w:rPr>
                <w:lang w:eastAsia="en-AU"/>
              </w:rPr>
              <w:t>100%</w:t>
            </w:r>
          </w:p>
        </w:tc>
        <w:tc>
          <w:tcPr>
            <w:tcW w:w="1021" w:type="pct"/>
            <w:noWrap/>
            <w:vAlign w:val="center"/>
            <w:hideMark/>
          </w:tcPr>
          <w:p w:rsidR="001F5690" w:rsidRPr="003C6C31" w:rsidRDefault="001F5690" w:rsidP="00785BBC">
            <w:pPr>
              <w:pStyle w:val="Tabletext"/>
              <w:keepNext/>
              <w:jc w:val="center"/>
              <w:rPr>
                <w:lang w:eastAsia="en-AU"/>
              </w:rPr>
            </w:pPr>
            <w:r w:rsidRPr="003C6C31">
              <w:rPr>
                <w:lang w:eastAsia="en-AU"/>
              </w:rPr>
              <w:t>0</w:t>
            </w:r>
          </w:p>
        </w:tc>
        <w:tc>
          <w:tcPr>
            <w:tcW w:w="1167" w:type="pct"/>
            <w:noWrap/>
            <w:vAlign w:val="center"/>
            <w:hideMark/>
          </w:tcPr>
          <w:p w:rsidR="001F5690" w:rsidRPr="003C6C31" w:rsidRDefault="001F5690" w:rsidP="00785BBC">
            <w:pPr>
              <w:pStyle w:val="Tabletext"/>
              <w:keepNext/>
              <w:jc w:val="center"/>
              <w:rPr>
                <w:lang w:eastAsia="en-AU"/>
              </w:rPr>
            </w:pPr>
            <w:r w:rsidRPr="003C6C31">
              <w:rPr>
                <w:lang w:eastAsia="en-AU"/>
              </w:rPr>
              <w:t>seizure free</w:t>
            </w:r>
          </w:p>
        </w:tc>
      </w:tr>
      <w:tr w:rsidR="001F5690" w:rsidRPr="003C6C31" w:rsidTr="00F461AB">
        <w:trPr>
          <w:trHeight w:val="300"/>
        </w:trPr>
        <w:tc>
          <w:tcPr>
            <w:tcW w:w="684" w:type="pct"/>
            <w:vMerge w:val="restart"/>
            <w:noWrap/>
            <w:vAlign w:val="center"/>
            <w:hideMark/>
          </w:tcPr>
          <w:p w:rsidR="001F5690" w:rsidRPr="003C6C31" w:rsidRDefault="001F5690" w:rsidP="00785BBC">
            <w:pPr>
              <w:pStyle w:val="Tabletext"/>
              <w:keepNext/>
              <w:jc w:val="center"/>
              <w:rPr>
                <w:lang w:eastAsia="en-AU"/>
              </w:rPr>
            </w:pPr>
            <w:r w:rsidRPr="003C6C31">
              <w:rPr>
                <w:lang w:eastAsia="en-AU"/>
              </w:rPr>
              <w:t>13-52 annual seizures (31.3 annual seizures)</w:t>
            </w:r>
          </w:p>
        </w:tc>
        <w:tc>
          <w:tcPr>
            <w:tcW w:w="1094" w:type="pct"/>
            <w:noWrap/>
            <w:vAlign w:val="center"/>
            <w:hideMark/>
          </w:tcPr>
          <w:p w:rsidR="001F5690" w:rsidRPr="003C6C31" w:rsidRDefault="001F5690" w:rsidP="00785BBC">
            <w:pPr>
              <w:pStyle w:val="Tabletext"/>
              <w:keepNext/>
              <w:jc w:val="center"/>
              <w:rPr>
                <w:lang w:eastAsia="en-AU"/>
              </w:rPr>
            </w:pPr>
            <w:r w:rsidRPr="003C6C31">
              <w:rPr>
                <w:lang w:eastAsia="en-AU"/>
              </w:rPr>
              <w:t>Maintenance therapy</w:t>
            </w:r>
          </w:p>
        </w:tc>
        <w:tc>
          <w:tcPr>
            <w:tcW w:w="1034" w:type="pct"/>
            <w:noWrap/>
            <w:vAlign w:val="center"/>
            <w:hideMark/>
          </w:tcPr>
          <w:p w:rsidR="001F5690" w:rsidRPr="003C6C31" w:rsidRDefault="001F5690" w:rsidP="00785BBC">
            <w:pPr>
              <w:pStyle w:val="Tabletext"/>
              <w:keepNext/>
              <w:jc w:val="center"/>
              <w:rPr>
                <w:lang w:eastAsia="en-AU"/>
              </w:rPr>
            </w:pPr>
            <w:r w:rsidRPr="003C6C31">
              <w:rPr>
                <w:lang w:eastAsia="en-AU"/>
              </w:rPr>
              <w:t>NA</w:t>
            </w:r>
          </w:p>
        </w:tc>
        <w:tc>
          <w:tcPr>
            <w:tcW w:w="1021" w:type="pct"/>
            <w:noWrap/>
            <w:vAlign w:val="center"/>
            <w:hideMark/>
          </w:tcPr>
          <w:p w:rsidR="001F5690" w:rsidRPr="003C6C31" w:rsidRDefault="001F5690" w:rsidP="00785BBC">
            <w:pPr>
              <w:pStyle w:val="Tabletext"/>
              <w:keepNext/>
              <w:jc w:val="center"/>
              <w:rPr>
                <w:lang w:eastAsia="en-AU"/>
              </w:rPr>
            </w:pPr>
            <w:r w:rsidRPr="003C6C31">
              <w:rPr>
                <w:lang w:eastAsia="en-AU"/>
              </w:rPr>
              <w:t>NA</w:t>
            </w:r>
          </w:p>
        </w:tc>
        <w:tc>
          <w:tcPr>
            <w:tcW w:w="1167" w:type="pct"/>
            <w:vMerge w:val="restart"/>
            <w:noWrap/>
            <w:vAlign w:val="center"/>
            <w:hideMark/>
          </w:tcPr>
          <w:p w:rsidR="001F5690" w:rsidRPr="003C6C31" w:rsidRDefault="001F5690" w:rsidP="00785BBC">
            <w:pPr>
              <w:pStyle w:val="Tabletext"/>
              <w:keepNext/>
              <w:jc w:val="center"/>
              <w:rPr>
                <w:lang w:eastAsia="en-AU"/>
              </w:rPr>
            </w:pPr>
            <w:r w:rsidRPr="003C6C31">
              <w:rPr>
                <w:lang w:eastAsia="en-AU"/>
              </w:rPr>
              <w:t>13-52 annual seizures</w:t>
            </w:r>
          </w:p>
        </w:tc>
      </w:tr>
      <w:tr w:rsidR="001F5690" w:rsidRPr="003C6C31" w:rsidTr="00F461AB">
        <w:trPr>
          <w:trHeight w:val="300"/>
        </w:trPr>
        <w:tc>
          <w:tcPr>
            <w:tcW w:w="684" w:type="pct"/>
            <w:vMerge/>
            <w:noWrap/>
            <w:vAlign w:val="center"/>
            <w:hideMark/>
          </w:tcPr>
          <w:p w:rsidR="001F5690" w:rsidRPr="003C6C31" w:rsidRDefault="001F5690" w:rsidP="00785BBC">
            <w:pPr>
              <w:pStyle w:val="Tabletext"/>
              <w:keepNext/>
              <w:jc w:val="center"/>
              <w:rPr>
                <w:lang w:eastAsia="en-AU"/>
              </w:rPr>
            </w:pPr>
          </w:p>
        </w:tc>
        <w:tc>
          <w:tcPr>
            <w:tcW w:w="1094" w:type="pct"/>
            <w:noWrap/>
            <w:vAlign w:val="center"/>
            <w:hideMark/>
          </w:tcPr>
          <w:p w:rsidR="001F5690" w:rsidRPr="003C6C31" w:rsidRDefault="001F5690" w:rsidP="00785BBC">
            <w:pPr>
              <w:pStyle w:val="Tabletext"/>
              <w:keepNext/>
              <w:jc w:val="center"/>
              <w:rPr>
                <w:lang w:eastAsia="en-AU"/>
              </w:rPr>
            </w:pPr>
            <w:r w:rsidRPr="003C6C31">
              <w:rPr>
                <w:lang w:eastAsia="en-AU"/>
              </w:rPr>
              <w:t>seizures increase</w:t>
            </w:r>
          </w:p>
        </w:tc>
        <w:tc>
          <w:tcPr>
            <w:tcW w:w="1034" w:type="pct"/>
            <w:noWrap/>
            <w:vAlign w:val="center"/>
            <w:hideMark/>
          </w:tcPr>
          <w:p w:rsidR="001F5690" w:rsidRPr="003C6C31" w:rsidRDefault="001F5690" w:rsidP="00785BBC">
            <w:pPr>
              <w:pStyle w:val="Tabletext"/>
              <w:keepNext/>
              <w:jc w:val="center"/>
              <w:rPr>
                <w:lang w:eastAsia="en-AU"/>
              </w:rPr>
            </w:pPr>
            <w:r w:rsidRPr="003C6C31">
              <w:rPr>
                <w:lang w:eastAsia="en-AU"/>
              </w:rPr>
              <w:t>Perampanel: 43.8%</w:t>
            </w:r>
          </w:p>
          <w:p w:rsidR="001F5690" w:rsidRPr="003C6C31" w:rsidRDefault="001F5690" w:rsidP="00785BBC">
            <w:pPr>
              <w:pStyle w:val="Tabletext"/>
              <w:keepNext/>
              <w:jc w:val="center"/>
              <w:rPr>
                <w:lang w:eastAsia="en-AU"/>
              </w:rPr>
            </w:pPr>
            <w:r w:rsidRPr="003C6C31">
              <w:rPr>
                <w:lang w:eastAsia="en-AU"/>
              </w:rPr>
              <w:t>Background AEDS: 51.6%NA</w:t>
            </w:r>
          </w:p>
        </w:tc>
        <w:tc>
          <w:tcPr>
            <w:tcW w:w="1021" w:type="pct"/>
            <w:noWrap/>
            <w:vAlign w:val="center"/>
            <w:hideMark/>
          </w:tcPr>
          <w:p w:rsidR="001F5690" w:rsidRPr="003C6C31" w:rsidRDefault="001F5690" w:rsidP="00785BBC">
            <w:pPr>
              <w:pStyle w:val="Tabletext"/>
              <w:keepNext/>
              <w:jc w:val="center"/>
              <w:rPr>
                <w:lang w:eastAsia="en-AU"/>
              </w:rPr>
            </w:pPr>
            <w:r w:rsidRPr="003C6C31">
              <w:rPr>
                <w:lang w:eastAsia="en-AU"/>
              </w:rPr>
              <w:t>Perampanel: 45</w:t>
            </w:r>
          </w:p>
          <w:p w:rsidR="001F5690" w:rsidRPr="003C6C31" w:rsidRDefault="001F5690" w:rsidP="00785BBC">
            <w:pPr>
              <w:pStyle w:val="Tabletext"/>
              <w:keepNext/>
              <w:jc w:val="center"/>
              <w:rPr>
                <w:lang w:eastAsia="en-AU"/>
              </w:rPr>
            </w:pPr>
            <w:r w:rsidRPr="003C6C31">
              <w:rPr>
                <w:lang w:eastAsia="en-AU"/>
              </w:rPr>
              <w:t>Background AEDs: 47</w:t>
            </w:r>
          </w:p>
        </w:tc>
        <w:tc>
          <w:tcPr>
            <w:tcW w:w="1167" w:type="pct"/>
            <w:vMerge/>
            <w:noWrap/>
            <w:vAlign w:val="center"/>
            <w:hideMark/>
          </w:tcPr>
          <w:p w:rsidR="001F5690" w:rsidRPr="003C6C31" w:rsidRDefault="001F5690" w:rsidP="00785BBC">
            <w:pPr>
              <w:pStyle w:val="Tabletext"/>
              <w:keepNext/>
              <w:jc w:val="center"/>
              <w:rPr>
                <w:lang w:eastAsia="en-AU"/>
              </w:rPr>
            </w:pPr>
          </w:p>
        </w:tc>
      </w:tr>
      <w:tr w:rsidR="001F5690" w:rsidRPr="003C6C31" w:rsidTr="00F461AB">
        <w:trPr>
          <w:trHeight w:val="300"/>
        </w:trPr>
        <w:tc>
          <w:tcPr>
            <w:tcW w:w="684" w:type="pct"/>
            <w:vMerge/>
            <w:noWrap/>
            <w:vAlign w:val="center"/>
            <w:hideMark/>
          </w:tcPr>
          <w:p w:rsidR="001F5690" w:rsidRPr="003C6C31" w:rsidRDefault="001F5690" w:rsidP="00785BBC">
            <w:pPr>
              <w:pStyle w:val="Tabletext"/>
              <w:keepNext/>
              <w:jc w:val="center"/>
              <w:rPr>
                <w:lang w:eastAsia="en-AU"/>
              </w:rPr>
            </w:pPr>
          </w:p>
        </w:tc>
        <w:tc>
          <w:tcPr>
            <w:tcW w:w="1094" w:type="pct"/>
            <w:noWrap/>
            <w:vAlign w:val="center"/>
            <w:hideMark/>
          </w:tcPr>
          <w:p w:rsidR="001F5690" w:rsidRPr="003C6C31" w:rsidRDefault="001F5690" w:rsidP="00785BBC">
            <w:pPr>
              <w:pStyle w:val="Tabletext"/>
              <w:keepNext/>
              <w:jc w:val="center"/>
              <w:rPr>
                <w:lang w:eastAsia="en-AU"/>
              </w:rPr>
            </w:pPr>
            <w:r w:rsidRPr="003C6C31">
              <w:rPr>
                <w:lang w:eastAsia="en-AU"/>
              </w:rPr>
              <w:t>&lt;50% response</w:t>
            </w:r>
          </w:p>
        </w:tc>
        <w:tc>
          <w:tcPr>
            <w:tcW w:w="1034" w:type="pct"/>
            <w:noWrap/>
            <w:vAlign w:val="center"/>
            <w:hideMark/>
          </w:tcPr>
          <w:p w:rsidR="001F5690" w:rsidRPr="003C6C31" w:rsidRDefault="001F5690" w:rsidP="00785BBC">
            <w:pPr>
              <w:pStyle w:val="Tabletext"/>
              <w:keepNext/>
              <w:jc w:val="center"/>
              <w:rPr>
                <w:lang w:eastAsia="en-AU"/>
              </w:rPr>
            </w:pPr>
            <w:r w:rsidRPr="003C6C31">
              <w:rPr>
                <w:lang w:eastAsia="en-AU"/>
              </w:rPr>
              <w:t>-25%</w:t>
            </w:r>
          </w:p>
        </w:tc>
        <w:tc>
          <w:tcPr>
            <w:tcW w:w="1021" w:type="pct"/>
            <w:noWrap/>
            <w:vAlign w:val="center"/>
            <w:hideMark/>
          </w:tcPr>
          <w:p w:rsidR="001F5690" w:rsidRPr="003C6C31" w:rsidRDefault="001F5690" w:rsidP="00785BBC">
            <w:pPr>
              <w:pStyle w:val="Tabletext"/>
              <w:keepNext/>
              <w:jc w:val="center"/>
              <w:rPr>
                <w:lang w:eastAsia="en-AU"/>
              </w:rPr>
            </w:pPr>
            <w:r w:rsidRPr="003C6C31">
              <w:rPr>
                <w:lang w:eastAsia="en-AU"/>
              </w:rPr>
              <w:t>23.5</w:t>
            </w:r>
          </w:p>
        </w:tc>
        <w:tc>
          <w:tcPr>
            <w:tcW w:w="1167" w:type="pct"/>
            <w:vMerge/>
            <w:noWrap/>
            <w:vAlign w:val="center"/>
            <w:hideMark/>
          </w:tcPr>
          <w:p w:rsidR="001F5690" w:rsidRPr="003C6C31" w:rsidRDefault="001F5690" w:rsidP="00785BBC">
            <w:pPr>
              <w:pStyle w:val="Tabletext"/>
              <w:keepNext/>
              <w:jc w:val="center"/>
              <w:rPr>
                <w:lang w:eastAsia="en-AU"/>
              </w:rPr>
            </w:pPr>
          </w:p>
        </w:tc>
      </w:tr>
      <w:tr w:rsidR="001F5690" w:rsidRPr="003C6C31" w:rsidTr="00F461AB">
        <w:trPr>
          <w:trHeight w:val="300"/>
        </w:trPr>
        <w:tc>
          <w:tcPr>
            <w:tcW w:w="684" w:type="pct"/>
            <w:vMerge/>
            <w:noWrap/>
            <w:vAlign w:val="center"/>
            <w:hideMark/>
          </w:tcPr>
          <w:p w:rsidR="001F5690" w:rsidRPr="003C6C31" w:rsidRDefault="001F5690" w:rsidP="00785BBC">
            <w:pPr>
              <w:pStyle w:val="Tabletext"/>
              <w:keepNext/>
              <w:jc w:val="center"/>
              <w:rPr>
                <w:lang w:eastAsia="en-AU"/>
              </w:rPr>
            </w:pPr>
          </w:p>
        </w:tc>
        <w:tc>
          <w:tcPr>
            <w:tcW w:w="1094" w:type="pct"/>
            <w:noWrap/>
            <w:vAlign w:val="center"/>
            <w:hideMark/>
          </w:tcPr>
          <w:p w:rsidR="001F5690" w:rsidRPr="003C6C31" w:rsidRDefault="001F5690" w:rsidP="00785BBC">
            <w:pPr>
              <w:pStyle w:val="Tabletext"/>
              <w:keepNext/>
              <w:jc w:val="center"/>
              <w:rPr>
                <w:lang w:eastAsia="en-AU"/>
              </w:rPr>
            </w:pPr>
            <w:r w:rsidRPr="003C6C31">
              <w:rPr>
                <w:lang w:eastAsia="en-AU"/>
              </w:rPr>
              <w:t>50-74% response</w:t>
            </w:r>
          </w:p>
        </w:tc>
        <w:tc>
          <w:tcPr>
            <w:tcW w:w="1034" w:type="pct"/>
            <w:noWrap/>
            <w:vAlign w:val="center"/>
            <w:hideMark/>
          </w:tcPr>
          <w:p w:rsidR="001F5690" w:rsidRPr="003C6C31" w:rsidRDefault="001F5690" w:rsidP="00785BBC">
            <w:pPr>
              <w:pStyle w:val="Tabletext"/>
              <w:keepNext/>
              <w:jc w:val="center"/>
              <w:rPr>
                <w:lang w:eastAsia="en-AU"/>
              </w:rPr>
            </w:pPr>
            <w:r w:rsidRPr="003C6C31">
              <w:rPr>
                <w:lang w:eastAsia="en-AU"/>
              </w:rPr>
              <w:t>-62.5%</w:t>
            </w:r>
          </w:p>
        </w:tc>
        <w:tc>
          <w:tcPr>
            <w:tcW w:w="1021" w:type="pct"/>
            <w:noWrap/>
            <w:vAlign w:val="center"/>
            <w:hideMark/>
          </w:tcPr>
          <w:p w:rsidR="001F5690" w:rsidRPr="003C6C31" w:rsidRDefault="001F5690" w:rsidP="00785BBC">
            <w:pPr>
              <w:pStyle w:val="Tabletext"/>
              <w:keepNext/>
              <w:jc w:val="center"/>
              <w:rPr>
                <w:lang w:eastAsia="en-AU"/>
              </w:rPr>
            </w:pPr>
            <w:r w:rsidRPr="003C6C31">
              <w:rPr>
                <w:lang w:eastAsia="en-AU"/>
              </w:rPr>
              <w:t>11.7</w:t>
            </w:r>
          </w:p>
        </w:tc>
        <w:tc>
          <w:tcPr>
            <w:tcW w:w="1167" w:type="pct"/>
            <w:vMerge w:val="restart"/>
            <w:noWrap/>
            <w:vAlign w:val="center"/>
            <w:hideMark/>
          </w:tcPr>
          <w:p w:rsidR="001F5690" w:rsidRPr="003C6C31" w:rsidRDefault="001F5690" w:rsidP="00785BBC">
            <w:pPr>
              <w:pStyle w:val="Tabletext"/>
              <w:keepNext/>
              <w:jc w:val="center"/>
              <w:rPr>
                <w:lang w:eastAsia="en-AU"/>
              </w:rPr>
            </w:pPr>
            <w:r w:rsidRPr="003C6C31">
              <w:rPr>
                <w:lang w:eastAsia="en-AU"/>
              </w:rPr>
              <w:t>1-12 annual seizures</w:t>
            </w:r>
          </w:p>
        </w:tc>
      </w:tr>
      <w:tr w:rsidR="001F5690" w:rsidRPr="003C6C31" w:rsidTr="00F461AB">
        <w:trPr>
          <w:trHeight w:val="300"/>
        </w:trPr>
        <w:tc>
          <w:tcPr>
            <w:tcW w:w="684" w:type="pct"/>
            <w:vMerge/>
            <w:noWrap/>
            <w:vAlign w:val="center"/>
            <w:hideMark/>
          </w:tcPr>
          <w:p w:rsidR="001F5690" w:rsidRPr="003C6C31" w:rsidRDefault="001F5690" w:rsidP="00785BBC">
            <w:pPr>
              <w:pStyle w:val="Tabletext"/>
              <w:keepNext/>
              <w:jc w:val="center"/>
              <w:rPr>
                <w:lang w:eastAsia="en-AU"/>
              </w:rPr>
            </w:pPr>
          </w:p>
        </w:tc>
        <w:tc>
          <w:tcPr>
            <w:tcW w:w="1094" w:type="pct"/>
            <w:noWrap/>
            <w:vAlign w:val="center"/>
            <w:hideMark/>
          </w:tcPr>
          <w:p w:rsidR="001F5690" w:rsidRPr="003C6C31" w:rsidRDefault="001F5690" w:rsidP="00785BBC">
            <w:pPr>
              <w:pStyle w:val="Tabletext"/>
              <w:keepNext/>
              <w:jc w:val="center"/>
              <w:rPr>
                <w:lang w:eastAsia="en-AU"/>
              </w:rPr>
            </w:pPr>
            <w:r w:rsidRPr="003C6C31">
              <w:rPr>
                <w:lang w:eastAsia="en-AU"/>
              </w:rPr>
              <w:t>75-99% response</w:t>
            </w:r>
          </w:p>
        </w:tc>
        <w:tc>
          <w:tcPr>
            <w:tcW w:w="1034" w:type="pct"/>
            <w:noWrap/>
            <w:vAlign w:val="center"/>
            <w:hideMark/>
          </w:tcPr>
          <w:p w:rsidR="001F5690" w:rsidRPr="003C6C31" w:rsidRDefault="001F5690" w:rsidP="00785BBC">
            <w:pPr>
              <w:pStyle w:val="Tabletext"/>
              <w:keepNext/>
              <w:jc w:val="center"/>
              <w:rPr>
                <w:lang w:eastAsia="en-AU"/>
              </w:rPr>
            </w:pPr>
            <w:r w:rsidRPr="003C6C31">
              <w:rPr>
                <w:lang w:eastAsia="en-AU"/>
              </w:rPr>
              <w:t>-87.5%</w:t>
            </w:r>
          </w:p>
        </w:tc>
        <w:tc>
          <w:tcPr>
            <w:tcW w:w="1021" w:type="pct"/>
            <w:noWrap/>
            <w:vAlign w:val="center"/>
            <w:hideMark/>
          </w:tcPr>
          <w:p w:rsidR="001F5690" w:rsidRPr="003C6C31" w:rsidRDefault="001F5690" w:rsidP="00785BBC">
            <w:pPr>
              <w:pStyle w:val="Tabletext"/>
              <w:keepNext/>
              <w:jc w:val="center"/>
              <w:rPr>
                <w:lang w:eastAsia="en-AU"/>
              </w:rPr>
            </w:pPr>
            <w:r w:rsidRPr="003C6C31">
              <w:rPr>
                <w:lang w:eastAsia="en-AU"/>
              </w:rPr>
              <w:t>3.9</w:t>
            </w:r>
          </w:p>
        </w:tc>
        <w:tc>
          <w:tcPr>
            <w:tcW w:w="1167" w:type="pct"/>
            <w:vMerge/>
            <w:noWrap/>
            <w:vAlign w:val="center"/>
            <w:hideMark/>
          </w:tcPr>
          <w:p w:rsidR="001F5690" w:rsidRPr="003C6C31" w:rsidRDefault="001F5690" w:rsidP="00785BBC">
            <w:pPr>
              <w:pStyle w:val="Tabletext"/>
              <w:keepNext/>
              <w:jc w:val="center"/>
              <w:rPr>
                <w:lang w:eastAsia="en-AU"/>
              </w:rPr>
            </w:pPr>
          </w:p>
        </w:tc>
      </w:tr>
      <w:tr w:rsidR="001F5690" w:rsidRPr="003C6C31" w:rsidTr="00F461AB">
        <w:trPr>
          <w:trHeight w:val="300"/>
        </w:trPr>
        <w:tc>
          <w:tcPr>
            <w:tcW w:w="684" w:type="pct"/>
            <w:vMerge/>
            <w:noWrap/>
            <w:vAlign w:val="center"/>
            <w:hideMark/>
          </w:tcPr>
          <w:p w:rsidR="001F5690" w:rsidRPr="003C6C31" w:rsidRDefault="001F5690" w:rsidP="00785BBC">
            <w:pPr>
              <w:pStyle w:val="Tabletext"/>
              <w:keepNext/>
              <w:jc w:val="center"/>
              <w:rPr>
                <w:lang w:eastAsia="en-AU"/>
              </w:rPr>
            </w:pPr>
          </w:p>
        </w:tc>
        <w:tc>
          <w:tcPr>
            <w:tcW w:w="1094" w:type="pct"/>
            <w:noWrap/>
            <w:vAlign w:val="center"/>
            <w:hideMark/>
          </w:tcPr>
          <w:p w:rsidR="001F5690" w:rsidRPr="003C6C31" w:rsidRDefault="001F5690" w:rsidP="00785BBC">
            <w:pPr>
              <w:pStyle w:val="Tabletext"/>
              <w:keepNext/>
              <w:jc w:val="center"/>
              <w:rPr>
                <w:lang w:eastAsia="en-AU"/>
              </w:rPr>
            </w:pPr>
            <w:r w:rsidRPr="003C6C31">
              <w:rPr>
                <w:lang w:eastAsia="en-AU"/>
              </w:rPr>
              <w:t>seizure free</w:t>
            </w:r>
          </w:p>
        </w:tc>
        <w:tc>
          <w:tcPr>
            <w:tcW w:w="1034" w:type="pct"/>
            <w:noWrap/>
            <w:vAlign w:val="center"/>
            <w:hideMark/>
          </w:tcPr>
          <w:p w:rsidR="001F5690" w:rsidRPr="003C6C31" w:rsidRDefault="001F5690" w:rsidP="00785BBC">
            <w:pPr>
              <w:pStyle w:val="Tabletext"/>
              <w:keepNext/>
              <w:jc w:val="center"/>
              <w:rPr>
                <w:lang w:eastAsia="en-AU"/>
              </w:rPr>
            </w:pPr>
            <w:r w:rsidRPr="003C6C31">
              <w:rPr>
                <w:lang w:eastAsia="en-AU"/>
              </w:rPr>
              <w:t>-100%</w:t>
            </w:r>
          </w:p>
        </w:tc>
        <w:tc>
          <w:tcPr>
            <w:tcW w:w="1021" w:type="pct"/>
            <w:noWrap/>
            <w:vAlign w:val="center"/>
            <w:hideMark/>
          </w:tcPr>
          <w:p w:rsidR="001F5690" w:rsidRPr="003C6C31" w:rsidRDefault="001F5690" w:rsidP="00785BBC">
            <w:pPr>
              <w:pStyle w:val="Tabletext"/>
              <w:keepNext/>
              <w:jc w:val="center"/>
              <w:rPr>
                <w:lang w:eastAsia="en-AU"/>
              </w:rPr>
            </w:pPr>
            <w:r w:rsidRPr="003C6C31">
              <w:rPr>
                <w:lang w:eastAsia="en-AU"/>
              </w:rPr>
              <w:t>0</w:t>
            </w:r>
          </w:p>
        </w:tc>
        <w:tc>
          <w:tcPr>
            <w:tcW w:w="1167" w:type="pct"/>
            <w:noWrap/>
            <w:vAlign w:val="center"/>
            <w:hideMark/>
          </w:tcPr>
          <w:p w:rsidR="001F5690" w:rsidRPr="003C6C31" w:rsidRDefault="001F5690" w:rsidP="00785BBC">
            <w:pPr>
              <w:pStyle w:val="Tabletext"/>
              <w:keepNext/>
              <w:jc w:val="center"/>
              <w:rPr>
                <w:lang w:eastAsia="en-AU"/>
              </w:rPr>
            </w:pPr>
            <w:r w:rsidRPr="003C6C31">
              <w:rPr>
                <w:lang w:eastAsia="en-AU"/>
              </w:rPr>
              <w:t>seizure free</w:t>
            </w:r>
          </w:p>
        </w:tc>
      </w:tr>
    </w:tbl>
    <w:p w:rsidR="001F5690" w:rsidRPr="003C6C31" w:rsidRDefault="001F5690" w:rsidP="00785BBC">
      <w:pPr>
        <w:pStyle w:val="TableFooter"/>
        <w:keepNext/>
        <w:widowControl/>
        <w:ind w:left="720"/>
      </w:pPr>
      <w:r w:rsidRPr="003C6C31">
        <w:t>NA = not applicable</w:t>
      </w:r>
    </w:p>
    <w:p w:rsidR="001F5690" w:rsidRPr="003C6C31" w:rsidRDefault="001F5690" w:rsidP="00785BBC">
      <w:pPr>
        <w:pStyle w:val="TableFooter"/>
        <w:keepNext/>
        <w:widowControl/>
      </w:pPr>
      <w:r w:rsidRPr="003C6C31">
        <w:tab/>
        <w:t xml:space="preserve">*no justification was provided in the submission for using these mid-point estimates </w:t>
      </w:r>
    </w:p>
    <w:p w:rsidR="001F5690" w:rsidRPr="003C6C31" w:rsidRDefault="001F5690" w:rsidP="00785BBC">
      <w:pPr>
        <w:pStyle w:val="TableFooter"/>
        <w:widowControl/>
        <w:ind w:left="720"/>
      </w:pPr>
      <w:r w:rsidRPr="003C6C31">
        <w:t>Source: compiled during the evaluation</w:t>
      </w:r>
    </w:p>
    <w:p w:rsidR="001F5690" w:rsidRPr="003C6C31" w:rsidRDefault="001F5690" w:rsidP="00785BBC">
      <w:pPr>
        <w:widowControl/>
        <w:rPr>
          <w:szCs w:val="22"/>
        </w:rPr>
      </w:pPr>
    </w:p>
    <w:p w:rsidR="001F5690" w:rsidRPr="003C6C31" w:rsidRDefault="001F5690" w:rsidP="00785BBC">
      <w:pPr>
        <w:pStyle w:val="ListParagraph"/>
        <w:widowControl/>
        <w:numPr>
          <w:ilvl w:val="1"/>
          <w:numId w:val="7"/>
        </w:numPr>
        <w:rPr>
          <w:szCs w:val="22"/>
        </w:rPr>
      </w:pPr>
      <w:r w:rsidRPr="003C6C31">
        <w:rPr>
          <w:szCs w:val="22"/>
        </w:rPr>
        <w:t xml:space="preserve">The population in the model may not </w:t>
      </w:r>
      <w:r w:rsidR="007E10D7" w:rsidRPr="003C6C31">
        <w:rPr>
          <w:szCs w:val="22"/>
        </w:rPr>
        <w:t xml:space="preserve">have been </w:t>
      </w:r>
      <w:r w:rsidRPr="003C6C31">
        <w:rPr>
          <w:szCs w:val="22"/>
        </w:rPr>
        <w:t>represent</w:t>
      </w:r>
      <w:r w:rsidR="007E10D7" w:rsidRPr="003C6C31">
        <w:rPr>
          <w:szCs w:val="22"/>
        </w:rPr>
        <w:t xml:space="preserve">ative of </w:t>
      </w:r>
      <w:r w:rsidRPr="003C6C31">
        <w:rPr>
          <w:szCs w:val="22"/>
        </w:rPr>
        <w:t xml:space="preserve">the population </w:t>
      </w:r>
      <w:r w:rsidR="007E10D7" w:rsidRPr="003C6C31">
        <w:rPr>
          <w:szCs w:val="22"/>
        </w:rPr>
        <w:t>for whom the PBS listing wa</w:t>
      </w:r>
      <w:r w:rsidRPr="003C6C31">
        <w:rPr>
          <w:szCs w:val="22"/>
        </w:rPr>
        <w:t>s sought, in terms of the number and type of prior and concomitant AEDs.</w:t>
      </w:r>
    </w:p>
    <w:p w:rsidR="001F5690" w:rsidRPr="003C6C31" w:rsidRDefault="001F5690" w:rsidP="00785BBC">
      <w:pPr>
        <w:pStyle w:val="ListParagraph"/>
        <w:widowControl/>
        <w:rPr>
          <w:szCs w:val="22"/>
        </w:rPr>
      </w:pPr>
    </w:p>
    <w:p w:rsidR="001F5690" w:rsidRPr="003C6C31" w:rsidRDefault="001F5690" w:rsidP="00785BBC">
      <w:pPr>
        <w:pStyle w:val="ListParagraph"/>
        <w:widowControl/>
        <w:numPr>
          <w:ilvl w:val="1"/>
          <w:numId w:val="7"/>
        </w:numPr>
        <w:rPr>
          <w:szCs w:val="22"/>
        </w:rPr>
      </w:pPr>
      <w:r w:rsidRPr="003C6C31">
        <w:rPr>
          <w:szCs w:val="22"/>
        </w:rPr>
        <w:t>The submission assumed th</w:t>
      </w:r>
      <w:r w:rsidR="007E10D7" w:rsidRPr="003C6C31">
        <w:rPr>
          <w:szCs w:val="22"/>
        </w:rPr>
        <w:t>at the proposed PBS population wa</w:t>
      </w:r>
      <w:r w:rsidRPr="003C6C31">
        <w:rPr>
          <w:szCs w:val="22"/>
        </w:rPr>
        <w:t xml:space="preserve">s likely to be older than the PGTC trial populations and an average age of 45 years old was applied in the model, consistent with the US surveyed population in Gupta et al (2016). </w:t>
      </w:r>
      <w:r w:rsidR="007E10D7" w:rsidRPr="003C6C31">
        <w:t>It wa</w:t>
      </w:r>
      <w:r w:rsidRPr="003C6C31">
        <w:t xml:space="preserve">s uncertain whether </w:t>
      </w:r>
      <w:r w:rsidR="007E10D7" w:rsidRPr="003C6C31">
        <w:t>the</w:t>
      </w:r>
      <w:r w:rsidRPr="003C6C31">
        <w:t xml:space="preserve"> refractory population requested in the proposed PBS listing for perampanel would be younger or older than a general population with PGTC seizures in the context of IGE, particularly given the increased mortality in patients experiencing an increased number of seizures per annum.</w:t>
      </w:r>
      <w:r w:rsidRPr="003C6C31">
        <w:rPr>
          <w:szCs w:val="22"/>
        </w:rPr>
        <w:t xml:space="preserve"> </w:t>
      </w:r>
      <w:r w:rsidRPr="003C6C31">
        <w:t xml:space="preserve">The model </w:t>
      </w:r>
      <w:r w:rsidR="007E10D7" w:rsidRPr="003C6C31">
        <w:t>wa</w:t>
      </w:r>
      <w:r w:rsidRPr="003C6C31">
        <w:t>s moderately sensitive to this variable, given the application of an increased relative risk of dying for those who are not seizure free.</w:t>
      </w:r>
    </w:p>
    <w:p w:rsidR="001F5690" w:rsidRPr="003C6C31" w:rsidRDefault="001F5690" w:rsidP="00785BBC">
      <w:pPr>
        <w:pStyle w:val="ListParagraph"/>
        <w:widowControl/>
        <w:rPr>
          <w:szCs w:val="22"/>
        </w:rPr>
      </w:pPr>
    </w:p>
    <w:p w:rsidR="001F5690" w:rsidRPr="003C6C31" w:rsidRDefault="001F5690" w:rsidP="00785BBC">
      <w:pPr>
        <w:pStyle w:val="ListParagraph"/>
        <w:widowControl/>
        <w:numPr>
          <w:ilvl w:val="1"/>
          <w:numId w:val="7"/>
        </w:numPr>
        <w:rPr>
          <w:szCs w:val="22"/>
        </w:rPr>
      </w:pPr>
      <w:r w:rsidRPr="003C6C31">
        <w:t>The model structure, application and ext</w:t>
      </w:r>
      <w:r w:rsidR="007E10D7" w:rsidRPr="003C6C31">
        <w:t>rapolation of treatment effect wa</w:t>
      </w:r>
      <w:r w:rsidRPr="003C6C31">
        <w:t>s inappropriate and d</w:t>
      </w:r>
      <w:r w:rsidR="007E10D7" w:rsidRPr="003C6C31">
        <w:t xml:space="preserve">id </w:t>
      </w:r>
      <w:r w:rsidRPr="003C6C31">
        <w:t>not reflect the cost-effectiveness of perampanel in patients experiencing PGTC seizures who are diagnosed with IGE:</w:t>
      </w:r>
      <w:r w:rsidRPr="003C6C31">
        <w:rPr>
          <w:szCs w:val="22"/>
        </w:rPr>
        <w:t xml:space="preserve"> </w:t>
      </w:r>
    </w:p>
    <w:p w:rsidR="001F5690" w:rsidRPr="003C6C31" w:rsidRDefault="001F5690" w:rsidP="00785BBC">
      <w:pPr>
        <w:pStyle w:val="ListParagraph"/>
        <w:widowControl/>
        <w:rPr>
          <w:szCs w:val="22"/>
        </w:rPr>
      </w:pPr>
    </w:p>
    <w:p w:rsidR="001F5690" w:rsidRPr="003C6C31" w:rsidRDefault="001F5690" w:rsidP="00785BBC">
      <w:pPr>
        <w:pStyle w:val="ListParagraph"/>
        <w:widowControl/>
        <w:numPr>
          <w:ilvl w:val="1"/>
          <w:numId w:val="7"/>
        </w:numPr>
        <w:rPr>
          <w:szCs w:val="22"/>
        </w:rPr>
      </w:pPr>
      <w:r w:rsidRPr="003C6C31">
        <w:rPr>
          <w:szCs w:val="22"/>
        </w:rPr>
        <w:t xml:space="preserve">There </w:t>
      </w:r>
      <w:r w:rsidR="007E10D7" w:rsidRPr="003C6C31">
        <w:rPr>
          <w:szCs w:val="22"/>
        </w:rPr>
        <w:t>we</w:t>
      </w:r>
      <w:r w:rsidRPr="003C6C31">
        <w:rPr>
          <w:szCs w:val="22"/>
        </w:rPr>
        <w:t>re a number of concerns regarding the structure of the model:</w:t>
      </w:r>
    </w:p>
    <w:p w:rsidR="001F5690" w:rsidRPr="003C6C31" w:rsidRDefault="001F5690" w:rsidP="00785BBC">
      <w:pPr>
        <w:pStyle w:val="ListParagraph"/>
        <w:widowControl/>
        <w:numPr>
          <w:ilvl w:val="0"/>
          <w:numId w:val="24"/>
        </w:numPr>
      </w:pPr>
      <w:r w:rsidRPr="003C6C31">
        <w:t xml:space="preserve">The definition of health states in terms of the frequency of all seizure types </w:t>
      </w:r>
      <w:r w:rsidR="007E10D7" w:rsidRPr="003C6C31">
        <w:t>used</w:t>
      </w:r>
      <w:r w:rsidRPr="003C6C31">
        <w:t xml:space="preserve"> arbitrary thresholds and wide ranges; as d</w:t>
      </w:r>
      <w:r w:rsidR="007E10D7" w:rsidRPr="003C6C31">
        <w:t>id</w:t>
      </w:r>
      <w:r w:rsidRPr="003C6C31">
        <w:t xml:space="preserve"> the definition of response categories. </w:t>
      </w:r>
    </w:p>
    <w:p w:rsidR="001F5690" w:rsidRPr="003C6C31" w:rsidRDefault="001F5690" w:rsidP="00785BBC">
      <w:pPr>
        <w:pStyle w:val="ListParagraph"/>
        <w:widowControl/>
        <w:numPr>
          <w:ilvl w:val="0"/>
          <w:numId w:val="24"/>
        </w:numPr>
      </w:pPr>
      <w:r w:rsidRPr="003C6C31">
        <w:t xml:space="preserve">This definition </w:t>
      </w:r>
      <w:r w:rsidR="007E10D7" w:rsidRPr="003C6C31">
        <w:t xml:space="preserve">might </w:t>
      </w:r>
      <w:r w:rsidRPr="003C6C31">
        <w:t xml:space="preserve">not </w:t>
      </w:r>
      <w:r w:rsidR="007E10D7" w:rsidRPr="003C6C31">
        <w:t xml:space="preserve">have </w:t>
      </w:r>
      <w:r w:rsidRPr="003C6C31">
        <w:t>capture</w:t>
      </w:r>
      <w:r w:rsidR="007E10D7" w:rsidRPr="003C6C31">
        <w:t>d</w:t>
      </w:r>
      <w:r w:rsidRPr="003C6C31">
        <w:t xml:space="preserve"> important differences in quality of life, mortality and resource use between different types of seizures (eg absence vs myoclonic vs PGTC).</w:t>
      </w:r>
    </w:p>
    <w:p w:rsidR="001F5690" w:rsidRPr="003C6C31" w:rsidRDefault="001F5690" w:rsidP="00785BBC">
      <w:pPr>
        <w:pStyle w:val="ListParagraph"/>
        <w:widowControl/>
        <w:numPr>
          <w:ilvl w:val="0"/>
          <w:numId w:val="24"/>
        </w:numPr>
      </w:pPr>
      <w:r w:rsidRPr="003C6C31">
        <w:t xml:space="preserve">The assumed average reduction in seizure frequency </w:t>
      </w:r>
      <w:r w:rsidR="007E10D7" w:rsidRPr="003C6C31">
        <w:t>was not</w:t>
      </w:r>
      <w:r w:rsidRPr="003C6C31">
        <w:t xml:space="preserve"> justified by the submission and implie</w:t>
      </w:r>
      <w:r w:rsidR="007E10D7" w:rsidRPr="003C6C31">
        <w:t>d</w:t>
      </w:r>
      <w:r w:rsidRPr="003C6C31">
        <w:t xml:space="preserve"> some strong assumptions regarding the frequency distribution, which </w:t>
      </w:r>
      <w:r w:rsidR="007E10D7" w:rsidRPr="003C6C31">
        <w:t xml:space="preserve">were not </w:t>
      </w:r>
      <w:r w:rsidRPr="003C6C31">
        <w:t>supported by data from Trial 332; and</w:t>
      </w:r>
    </w:p>
    <w:p w:rsidR="001F5690" w:rsidRPr="003C6C31" w:rsidRDefault="001F5690" w:rsidP="00785BBC">
      <w:pPr>
        <w:pStyle w:val="ListParagraph"/>
        <w:widowControl/>
        <w:numPr>
          <w:ilvl w:val="0"/>
          <w:numId w:val="24"/>
        </w:numPr>
      </w:pPr>
      <w:r w:rsidRPr="003C6C31">
        <w:t>The structure of the economic model suggest</w:t>
      </w:r>
      <w:r w:rsidR="007E10D7" w:rsidRPr="003C6C31">
        <w:t>ed</w:t>
      </w:r>
      <w:r w:rsidRPr="003C6C31">
        <w:t xml:space="preserve"> that once patients experience an increase in seizures, their seizure frequency w</w:t>
      </w:r>
      <w:r w:rsidR="007E10D7" w:rsidRPr="003C6C31">
        <w:t>ould</w:t>
      </w:r>
      <w:r w:rsidRPr="003C6C31">
        <w:t xml:space="preserve"> be unchanged until the end of the model or until they die, but with reducing cost of AEDs in the perampanel arm and unchanged cost in the placebo arm. Again, this assumption </w:t>
      </w:r>
      <w:r w:rsidR="007E10D7" w:rsidRPr="003C6C31">
        <w:t>w</w:t>
      </w:r>
      <w:r w:rsidRPr="003C6C31">
        <w:t>as not justified. The assumption that patients do not experience disease improvement after they enter the ‘increase in seizures’ response category d</w:t>
      </w:r>
      <w:r w:rsidR="007E10D7" w:rsidRPr="003C6C31">
        <w:t>id</w:t>
      </w:r>
      <w:r w:rsidRPr="003C6C31">
        <w:t xml:space="preserve"> not reflect clinical practice where patients may reduce their seizure burden upon trialling further treatment options (pharmaceutical and/or surgical) after an episode of treatment failure.</w:t>
      </w:r>
    </w:p>
    <w:p w:rsidR="001F5690" w:rsidRPr="003C6C31" w:rsidRDefault="001F5690" w:rsidP="00785BBC">
      <w:pPr>
        <w:pStyle w:val="ListParagraph"/>
        <w:widowControl/>
        <w:ind w:left="1080"/>
        <w:rPr>
          <w:szCs w:val="22"/>
        </w:rPr>
      </w:pPr>
    </w:p>
    <w:p w:rsidR="001F5690" w:rsidRPr="003C6C31" w:rsidRDefault="001F5690" w:rsidP="00785BBC">
      <w:pPr>
        <w:pStyle w:val="ListParagraph"/>
        <w:widowControl/>
        <w:numPr>
          <w:ilvl w:val="1"/>
          <w:numId w:val="7"/>
        </w:numPr>
        <w:rPr>
          <w:szCs w:val="22"/>
        </w:rPr>
      </w:pPr>
      <w:r w:rsidRPr="003C6C31">
        <w:rPr>
          <w:szCs w:val="22"/>
        </w:rPr>
        <w:t xml:space="preserve">There </w:t>
      </w:r>
      <w:r w:rsidR="007E10D7" w:rsidRPr="003C6C31">
        <w:rPr>
          <w:szCs w:val="22"/>
        </w:rPr>
        <w:t>we</w:t>
      </w:r>
      <w:r w:rsidRPr="003C6C31">
        <w:rPr>
          <w:szCs w:val="22"/>
        </w:rPr>
        <w:t>re concerns over the treatment effect of perampanel applied in the model:</w:t>
      </w:r>
    </w:p>
    <w:p w:rsidR="001F5690" w:rsidRPr="003C6C31" w:rsidRDefault="001F5690" w:rsidP="00785BBC">
      <w:pPr>
        <w:pStyle w:val="ListParagraph"/>
        <w:widowControl/>
        <w:numPr>
          <w:ilvl w:val="1"/>
          <w:numId w:val="25"/>
        </w:numPr>
        <w:ind w:left="1134" w:hanging="425"/>
      </w:pPr>
      <w:r w:rsidRPr="003C6C31">
        <w:t xml:space="preserve">The submission applied the response rate for PGTC seizure types only, not for all seizure types, to the health states. The frequency of PGTC seizures relative to all seizure types was small (eg mean of 3.2 PGTC seizures vs 33.6 all types </w:t>
      </w:r>
      <w:r w:rsidRPr="006B24A1">
        <w:t>seizures in the placebo arm, or 3.5 vs 64.4 seizures in the perampanel arm).  See Section D.4; and</w:t>
      </w:r>
    </w:p>
    <w:p w:rsidR="001F5690" w:rsidRPr="003C6C31" w:rsidRDefault="001F5690" w:rsidP="00785BBC">
      <w:pPr>
        <w:pStyle w:val="ListParagraph"/>
        <w:widowControl/>
        <w:numPr>
          <w:ilvl w:val="1"/>
          <w:numId w:val="25"/>
        </w:numPr>
        <w:ind w:left="1134" w:hanging="425"/>
      </w:pPr>
      <w:r w:rsidRPr="003C6C31">
        <w:t>The submission assumed that the same response rates apply, irrespective of baseline seizure frequency.</w:t>
      </w:r>
    </w:p>
    <w:p w:rsidR="001F5690" w:rsidRPr="003C6C31" w:rsidRDefault="001F5690" w:rsidP="00785BBC">
      <w:pPr>
        <w:pStyle w:val="ListParagraph"/>
        <w:widowControl/>
        <w:ind w:left="1080"/>
        <w:rPr>
          <w:szCs w:val="22"/>
        </w:rPr>
      </w:pPr>
    </w:p>
    <w:p w:rsidR="001F5690" w:rsidRPr="003C6C31" w:rsidRDefault="001F5690" w:rsidP="00785BBC">
      <w:pPr>
        <w:pStyle w:val="ListParagraph"/>
        <w:widowControl/>
        <w:numPr>
          <w:ilvl w:val="1"/>
          <w:numId w:val="7"/>
        </w:numPr>
        <w:rPr>
          <w:szCs w:val="22"/>
        </w:rPr>
      </w:pPr>
      <w:r w:rsidRPr="003C6C31">
        <w:rPr>
          <w:szCs w:val="22"/>
        </w:rPr>
        <w:t xml:space="preserve">There </w:t>
      </w:r>
      <w:r w:rsidR="007E10D7" w:rsidRPr="003C6C31">
        <w:rPr>
          <w:szCs w:val="22"/>
        </w:rPr>
        <w:t>we</w:t>
      </w:r>
      <w:r w:rsidRPr="003C6C31">
        <w:rPr>
          <w:szCs w:val="22"/>
        </w:rPr>
        <w:t>re concerns regarding the extrapolation of short-term treatment effect:</w:t>
      </w:r>
    </w:p>
    <w:p w:rsidR="00FC0E01" w:rsidRPr="00343228" w:rsidRDefault="00FC0E01" w:rsidP="00785BBC">
      <w:pPr>
        <w:pStyle w:val="ListParagraph"/>
        <w:widowControl/>
        <w:numPr>
          <w:ilvl w:val="1"/>
          <w:numId w:val="26"/>
        </w:numPr>
        <w:ind w:left="1134" w:hanging="425"/>
      </w:pPr>
      <w:r w:rsidRPr="00343228">
        <w:t>Probabilities of remaining in the response states beyond 4 months are based on the proportions of a small number of patients</w:t>
      </w:r>
      <w:r w:rsidR="00785BBC" w:rsidRPr="00343228">
        <w:t xml:space="preserve"> in those response states at 18 </w:t>
      </w:r>
      <w:r w:rsidRPr="00343228">
        <w:t xml:space="preserve">months who remained in those states after a mean follow-up of 6.7 years [Neligan, 2012]: being in a response state at 18 months is different to being in a response state at 4 months. </w:t>
      </w:r>
    </w:p>
    <w:p w:rsidR="00FC0E01" w:rsidRPr="00343228" w:rsidRDefault="00FC0E01" w:rsidP="00785BBC">
      <w:pPr>
        <w:pStyle w:val="ListParagraph"/>
        <w:widowControl/>
        <w:numPr>
          <w:ilvl w:val="1"/>
          <w:numId w:val="26"/>
        </w:numPr>
        <w:ind w:left="1134" w:hanging="425"/>
      </w:pPr>
      <w:r w:rsidRPr="00343228">
        <w:t>The model uses the least relevant and most optimistic data to estimate long-term transition probabilities (e.g. 64% remain seizure free at five years). The Kaplan Meier analysis showed that “the probability of remaining seizure free at five years after entering seizure freedom was 0.48”, whilst it i</w:t>
      </w:r>
      <w:r w:rsidR="00785BBC" w:rsidRPr="00343228">
        <w:t>s also reported that “of the 45 </w:t>
      </w:r>
      <w:r w:rsidRPr="00343228">
        <w:t>people who achieved at least 1 year seizure freedom, … 56% subsequently relapsed</w:t>
      </w:r>
    </w:p>
    <w:p w:rsidR="00FC0E01" w:rsidRPr="00343228" w:rsidRDefault="00FC0E01" w:rsidP="00785BBC">
      <w:pPr>
        <w:pStyle w:val="ListParagraph"/>
        <w:widowControl/>
        <w:numPr>
          <w:ilvl w:val="1"/>
          <w:numId w:val="26"/>
        </w:numPr>
        <w:ind w:left="1134" w:hanging="425"/>
      </w:pPr>
      <w:r w:rsidRPr="00343228">
        <w:t>Patients did not stay in the response states after a single new drug introduction, they continued starting new drugs over the intervening period.</w:t>
      </w:r>
      <w:r w:rsidR="001F5690" w:rsidRPr="00343228">
        <w:t xml:space="preserve"> </w:t>
      </w:r>
    </w:p>
    <w:p w:rsidR="001F5690" w:rsidRPr="003C6C31" w:rsidRDefault="00FC0E01" w:rsidP="00785BBC">
      <w:pPr>
        <w:pStyle w:val="ListParagraph"/>
        <w:widowControl/>
        <w:numPr>
          <w:ilvl w:val="1"/>
          <w:numId w:val="26"/>
        </w:numPr>
        <w:ind w:left="1134" w:hanging="425"/>
      </w:pPr>
      <w:r>
        <w:t>C</w:t>
      </w:r>
      <w:r w:rsidR="007E10D7" w:rsidRPr="003C6C31">
        <w:t>onstant transition probabilit</w:t>
      </w:r>
      <w:r>
        <w:t>ies were</w:t>
      </w:r>
      <w:r w:rsidR="001F5690" w:rsidRPr="003C6C31">
        <w:t xml:space="preserve"> assumed over the entirety of the time horizon. This </w:t>
      </w:r>
      <w:r w:rsidR="007E10D7" w:rsidRPr="003C6C31">
        <w:t xml:space="preserve">was </w:t>
      </w:r>
      <w:r w:rsidR="001F5690" w:rsidRPr="003C6C31">
        <w:t xml:space="preserve">not </w:t>
      </w:r>
      <w:r w:rsidR="007E10D7" w:rsidRPr="003C6C31">
        <w:t>ju</w:t>
      </w:r>
      <w:r w:rsidR="001F5690" w:rsidRPr="003C6C31">
        <w:t>stified by the submission;</w:t>
      </w:r>
    </w:p>
    <w:p w:rsidR="001F5690" w:rsidRPr="000B187F" w:rsidRDefault="001F5690" w:rsidP="00785BBC">
      <w:pPr>
        <w:pStyle w:val="ListParagraph"/>
        <w:widowControl/>
        <w:numPr>
          <w:ilvl w:val="1"/>
          <w:numId w:val="26"/>
        </w:numPr>
        <w:ind w:left="1134" w:hanging="425"/>
      </w:pPr>
      <w:r w:rsidRPr="003C6C31">
        <w:t>The transition probability between the ‘&lt;50% reduction’ and ‘increase in seizures’ response categories was taken from the 17 week trial (Trial 332). The submission assumed that the same proportion of people who would have otherwise remained in the &lt;50% reduction response category w</w:t>
      </w:r>
      <w:r w:rsidR="007E10D7" w:rsidRPr="003C6C31">
        <w:t>ould</w:t>
      </w:r>
      <w:r w:rsidRPr="003C6C31">
        <w:t xml:space="preserve"> experience an increase in seizure frequency for each subsequent cycle (eg a constant failure rate for each subsequent cycle over the time horizon of the model). Given that this proportion differed by </w:t>
      </w:r>
      <w:r w:rsidRPr="000B187F">
        <w:t xml:space="preserve">treatment arm, this resulted in an amplified absolute difference in the number of treatment failures between the two arms over the time horizon of the model. </w:t>
      </w:r>
      <w:r w:rsidR="000B187F" w:rsidRPr="00343228">
        <w:t>The ESC noted applying</w:t>
      </w:r>
      <w:r w:rsidR="00FC0E01" w:rsidRPr="00343228">
        <w:t xml:space="preserve"> the placebo probabilities to the </w:t>
      </w:r>
      <w:r w:rsidR="000B187F" w:rsidRPr="00343228">
        <w:t>p</w:t>
      </w:r>
      <w:r w:rsidR="00FC0E01" w:rsidRPr="00343228">
        <w:t xml:space="preserve">erampanel </w:t>
      </w:r>
      <w:r w:rsidR="000B187F" w:rsidRPr="00343228">
        <w:t>arm</w:t>
      </w:r>
      <w:r w:rsidR="00FC0E01" w:rsidRPr="00343228">
        <w:t xml:space="preserve"> reduce</w:t>
      </w:r>
      <w:r w:rsidR="000B187F" w:rsidRPr="00343228">
        <w:t>d</w:t>
      </w:r>
      <w:r w:rsidR="00FC0E01" w:rsidRPr="00343228">
        <w:t xml:space="preserve"> the ICER from $49k to $46k</w:t>
      </w:r>
      <w:r w:rsidR="000B187F" w:rsidRPr="00343228">
        <w:t xml:space="preserve"> which is</w:t>
      </w:r>
      <w:r w:rsidR="00FC0E01" w:rsidRPr="00343228">
        <w:t xml:space="preserve"> a counterintuitive result</w:t>
      </w:r>
      <w:r w:rsidR="000B187F" w:rsidRPr="00343228">
        <w:t xml:space="preserve"> and suggests the model may not be internally valid</w:t>
      </w:r>
      <w:r w:rsidR="00FC0E01" w:rsidRPr="00343228">
        <w:t>.</w:t>
      </w:r>
    </w:p>
    <w:p w:rsidR="001F5690" w:rsidRPr="003C6C31" w:rsidRDefault="001F5690" w:rsidP="00785BBC">
      <w:pPr>
        <w:widowControl/>
        <w:rPr>
          <w:szCs w:val="22"/>
        </w:rPr>
      </w:pPr>
    </w:p>
    <w:p w:rsidR="001F5690" w:rsidRPr="003C6C31" w:rsidRDefault="001F5690" w:rsidP="00785BBC">
      <w:pPr>
        <w:pStyle w:val="ListParagraph"/>
        <w:widowControl/>
        <w:numPr>
          <w:ilvl w:val="1"/>
          <w:numId w:val="7"/>
        </w:numPr>
        <w:rPr>
          <w:szCs w:val="22"/>
        </w:rPr>
      </w:pPr>
      <w:r w:rsidRPr="003C6C31">
        <w:t>Relative risk of mortality applied to patients who are not seizure free was taken from a retrospective case-control study conducted approximately 25-35 years ago in a population with a diagnosis of epilepsy (not restricted to primary generalised seizures or idiopathic epilepsy) (Nilsson et al 1999). The cases and controls in this study were not matched for potential prognostic factors, which may have led to potential confounding and bias. Furthermore, the treatment algorithm and available AED treatments have greatly changed since the study period (1980-1991) which may impact on the results.</w:t>
      </w:r>
    </w:p>
    <w:p w:rsidR="001F5690" w:rsidRPr="003C6C31" w:rsidRDefault="001F5690" w:rsidP="00785BBC">
      <w:pPr>
        <w:pStyle w:val="ListParagraph"/>
        <w:widowControl/>
        <w:rPr>
          <w:szCs w:val="22"/>
        </w:rPr>
      </w:pPr>
    </w:p>
    <w:p w:rsidR="001F5690" w:rsidRPr="003C6C31" w:rsidRDefault="001F5690" w:rsidP="00785BBC">
      <w:pPr>
        <w:pStyle w:val="ListParagraph"/>
        <w:widowControl/>
        <w:numPr>
          <w:ilvl w:val="1"/>
          <w:numId w:val="7"/>
        </w:numPr>
        <w:rPr>
          <w:szCs w:val="22"/>
        </w:rPr>
      </w:pPr>
      <w:r w:rsidRPr="003C6C31">
        <w:t>Health state utilities were based on a single-page</w:t>
      </w:r>
      <w:r w:rsidR="00F0078A">
        <w:t xml:space="preserve"> publication (de Kinderen 2014), </w:t>
      </w:r>
      <w:r w:rsidR="00F0078A" w:rsidRPr="00343228">
        <w:t xml:space="preserve">which used a vignette-based time trade-off study to derive utility weights from a general population sample. The vignettes distinguished between frequency of seizures (seizure free, once a month, once a week, twice a week, once a day and twice a day) and seizure severity. The reported values appear to have face validity, but their application via percentage reductions in seizures reduces transparency. </w:t>
      </w:r>
    </w:p>
    <w:p w:rsidR="001F5690" w:rsidRPr="003C6C31" w:rsidRDefault="001F5690" w:rsidP="00785BBC">
      <w:pPr>
        <w:pStyle w:val="ListParagraph"/>
        <w:widowControl/>
        <w:rPr>
          <w:szCs w:val="22"/>
        </w:rPr>
      </w:pPr>
    </w:p>
    <w:p w:rsidR="001F5690" w:rsidRPr="003C6C31" w:rsidRDefault="001F5690" w:rsidP="00785BBC">
      <w:pPr>
        <w:pStyle w:val="ListParagraph"/>
        <w:widowControl/>
        <w:numPr>
          <w:ilvl w:val="1"/>
          <w:numId w:val="7"/>
        </w:numPr>
        <w:rPr>
          <w:szCs w:val="22"/>
        </w:rPr>
      </w:pPr>
      <w:r w:rsidRPr="003C6C31">
        <w:rPr>
          <w:szCs w:val="22"/>
        </w:rPr>
        <w:t>The key drivers of the model are summarised below in Table 10</w:t>
      </w:r>
    </w:p>
    <w:p w:rsidR="001F5690" w:rsidRPr="003C6C31" w:rsidRDefault="001F5690" w:rsidP="00785BBC">
      <w:pPr>
        <w:widowControl/>
        <w:rPr>
          <w:szCs w:val="22"/>
        </w:rPr>
      </w:pPr>
    </w:p>
    <w:p w:rsidR="001F5690" w:rsidRPr="003C6C31" w:rsidRDefault="001F5690" w:rsidP="00785BBC">
      <w:pPr>
        <w:pStyle w:val="TableHeader"/>
        <w:widowControl/>
        <w:ind w:firstLine="720"/>
      </w:pPr>
      <w:r w:rsidRPr="003C6C31">
        <w:t>Table 10: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3543"/>
        <w:gridCol w:w="2250"/>
      </w:tblGrid>
      <w:tr w:rsidR="001F5690" w:rsidRPr="003C6C31" w:rsidTr="00F461AB">
        <w:trPr>
          <w:tblHeader/>
        </w:trPr>
        <w:tc>
          <w:tcPr>
            <w:tcW w:w="1529" w:type="pct"/>
            <w:shd w:val="clear" w:color="auto" w:fill="auto"/>
            <w:vAlign w:val="center"/>
          </w:tcPr>
          <w:p w:rsidR="001F5690" w:rsidRPr="003C6C31" w:rsidRDefault="001F5690" w:rsidP="00785BBC">
            <w:pPr>
              <w:widowControl/>
              <w:jc w:val="left"/>
              <w:rPr>
                <w:rFonts w:ascii="Arial Narrow" w:hAnsi="Arial Narrow"/>
                <w:b/>
                <w:sz w:val="20"/>
                <w:lang w:val="en-US"/>
              </w:rPr>
            </w:pPr>
            <w:r w:rsidRPr="003C6C31">
              <w:rPr>
                <w:rFonts w:ascii="Arial Narrow" w:hAnsi="Arial Narrow"/>
                <w:b/>
                <w:sz w:val="20"/>
                <w:lang w:val="en-US"/>
              </w:rPr>
              <w:t>Description</w:t>
            </w:r>
          </w:p>
        </w:tc>
        <w:tc>
          <w:tcPr>
            <w:tcW w:w="2123" w:type="pct"/>
            <w:shd w:val="clear" w:color="auto" w:fill="auto"/>
            <w:vAlign w:val="center"/>
          </w:tcPr>
          <w:p w:rsidR="001F5690" w:rsidRPr="003C6C31" w:rsidRDefault="001F5690" w:rsidP="00785BBC">
            <w:pPr>
              <w:widowControl/>
              <w:jc w:val="center"/>
              <w:rPr>
                <w:rFonts w:ascii="Arial Narrow" w:hAnsi="Arial Narrow"/>
                <w:b/>
                <w:sz w:val="20"/>
                <w:lang w:val="en-US"/>
              </w:rPr>
            </w:pPr>
            <w:r w:rsidRPr="003C6C31">
              <w:rPr>
                <w:rFonts w:ascii="Arial Narrow" w:hAnsi="Arial Narrow"/>
                <w:b/>
                <w:sz w:val="20"/>
                <w:lang w:val="en-US"/>
              </w:rPr>
              <w:t>Method/Value</w:t>
            </w:r>
          </w:p>
        </w:tc>
        <w:tc>
          <w:tcPr>
            <w:tcW w:w="1348" w:type="pct"/>
            <w:shd w:val="clear" w:color="auto" w:fill="auto"/>
            <w:vAlign w:val="center"/>
          </w:tcPr>
          <w:p w:rsidR="001F5690" w:rsidRPr="003C6C31" w:rsidRDefault="001F5690" w:rsidP="00785BBC">
            <w:pPr>
              <w:widowControl/>
              <w:jc w:val="center"/>
              <w:rPr>
                <w:rFonts w:ascii="Arial Narrow" w:hAnsi="Arial Narrow"/>
                <w:b/>
                <w:sz w:val="20"/>
                <w:lang w:val="en-US"/>
              </w:rPr>
            </w:pPr>
            <w:r w:rsidRPr="003C6C31">
              <w:rPr>
                <w:rFonts w:ascii="Arial Narrow" w:hAnsi="Arial Narrow"/>
                <w:b/>
                <w:sz w:val="20"/>
                <w:lang w:val="en-US"/>
              </w:rPr>
              <w:t>Impact</w:t>
            </w:r>
          </w:p>
        </w:tc>
      </w:tr>
      <w:tr w:rsidR="00FC0E01" w:rsidRPr="003C6C31" w:rsidTr="00F461AB">
        <w:tc>
          <w:tcPr>
            <w:tcW w:w="1529" w:type="pct"/>
            <w:shd w:val="clear" w:color="auto" w:fill="auto"/>
            <w:vAlign w:val="center"/>
          </w:tcPr>
          <w:p w:rsidR="00FC0E01" w:rsidRPr="002505B5" w:rsidRDefault="00FC0E01" w:rsidP="00785BBC">
            <w:pPr>
              <w:widowControl/>
              <w:jc w:val="left"/>
              <w:rPr>
                <w:rFonts w:ascii="Arial Narrow" w:hAnsi="Arial Narrow"/>
                <w:i/>
                <w:sz w:val="20"/>
                <w:lang w:val="en-US"/>
              </w:rPr>
            </w:pPr>
            <w:r w:rsidRPr="002505B5">
              <w:rPr>
                <w:rFonts w:ascii="Arial Narrow" w:hAnsi="Arial Narrow"/>
                <w:i/>
                <w:sz w:val="20"/>
                <w:lang w:val="en-US"/>
              </w:rPr>
              <w:t>Model structure</w:t>
            </w:r>
          </w:p>
        </w:tc>
        <w:tc>
          <w:tcPr>
            <w:tcW w:w="2123" w:type="pct"/>
            <w:shd w:val="clear" w:color="auto" w:fill="auto"/>
            <w:vAlign w:val="center"/>
          </w:tcPr>
          <w:p w:rsidR="00FC0E01" w:rsidRPr="002505B5" w:rsidRDefault="00FC0E01" w:rsidP="00785BBC">
            <w:pPr>
              <w:widowControl/>
              <w:jc w:val="left"/>
              <w:rPr>
                <w:rFonts w:ascii="Arial Narrow" w:hAnsi="Arial Narrow"/>
                <w:i/>
                <w:sz w:val="20"/>
                <w:lang w:val="en-US"/>
              </w:rPr>
            </w:pPr>
            <w:r w:rsidRPr="002505B5">
              <w:rPr>
                <w:rFonts w:ascii="Arial Narrow" w:hAnsi="Arial Narrow"/>
                <w:i/>
                <w:sz w:val="20"/>
                <w:lang w:val="en-US"/>
              </w:rPr>
              <w:t xml:space="preserve">States represent mix of seizure types, wide and arbitrary ranges, and requires manipulation </w:t>
            </w:r>
            <w:r w:rsidR="00F0078A">
              <w:rPr>
                <w:rFonts w:ascii="Arial Narrow" w:hAnsi="Arial Narrow"/>
                <w:i/>
                <w:sz w:val="20"/>
                <w:lang w:val="en-US"/>
              </w:rPr>
              <w:t xml:space="preserve">of percentage reductions in seizure frequencies </w:t>
            </w:r>
            <w:r w:rsidR="00F0078A" w:rsidRPr="002505B5">
              <w:rPr>
                <w:rFonts w:ascii="Arial Narrow" w:hAnsi="Arial Narrow"/>
                <w:i/>
                <w:sz w:val="20"/>
                <w:lang w:val="en-US"/>
              </w:rPr>
              <w:t>to apply treatment effects</w:t>
            </w:r>
          </w:p>
        </w:tc>
        <w:tc>
          <w:tcPr>
            <w:tcW w:w="1348" w:type="pct"/>
            <w:shd w:val="clear" w:color="auto" w:fill="auto"/>
            <w:vAlign w:val="center"/>
          </w:tcPr>
          <w:p w:rsidR="00FC0E01" w:rsidRPr="004D7EDF" w:rsidRDefault="004D7EDF" w:rsidP="00785BBC">
            <w:pPr>
              <w:widowControl/>
              <w:jc w:val="center"/>
              <w:rPr>
                <w:rFonts w:ascii="Arial Narrow" w:hAnsi="Arial Narrow"/>
                <w:i/>
                <w:sz w:val="20"/>
                <w:lang w:val="en-US"/>
              </w:rPr>
            </w:pPr>
            <w:r w:rsidRPr="004D7EDF">
              <w:rPr>
                <w:rFonts w:ascii="Arial Narrow" w:hAnsi="Arial Narrow"/>
                <w:i/>
                <w:sz w:val="20"/>
                <w:lang w:val="en-US"/>
              </w:rPr>
              <w:t>Unknown</w:t>
            </w:r>
          </w:p>
        </w:tc>
      </w:tr>
      <w:tr w:rsidR="001F5690" w:rsidRPr="003C6C31" w:rsidTr="00F461AB">
        <w:tc>
          <w:tcPr>
            <w:tcW w:w="1529" w:type="pct"/>
            <w:shd w:val="clear" w:color="auto" w:fill="auto"/>
            <w:vAlign w:val="center"/>
          </w:tcPr>
          <w:p w:rsidR="001F5690" w:rsidRPr="003C6C31" w:rsidRDefault="001F5690" w:rsidP="00785BBC">
            <w:pPr>
              <w:widowControl/>
              <w:jc w:val="left"/>
              <w:rPr>
                <w:rFonts w:ascii="Arial Narrow" w:hAnsi="Arial Narrow"/>
                <w:sz w:val="20"/>
                <w:lang w:val="en-US"/>
              </w:rPr>
            </w:pPr>
            <w:r w:rsidRPr="003C6C31">
              <w:rPr>
                <w:rFonts w:ascii="Arial Narrow" w:hAnsi="Arial Narrow"/>
                <w:sz w:val="20"/>
                <w:lang w:val="en-US"/>
              </w:rPr>
              <w:t>Transition probabilit</w:t>
            </w:r>
            <w:r w:rsidR="00FC0E01">
              <w:rPr>
                <w:rFonts w:ascii="Arial Narrow" w:hAnsi="Arial Narrow"/>
                <w:sz w:val="20"/>
                <w:lang w:val="en-US"/>
              </w:rPr>
              <w:t>ies beyond 4 months</w:t>
            </w:r>
            <w:r w:rsidRPr="003C6C31">
              <w:rPr>
                <w:rFonts w:ascii="Arial Narrow" w:hAnsi="Arial Narrow"/>
                <w:sz w:val="20"/>
                <w:lang w:val="en-US"/>
              </w:rPr>
              <w:t xml:space="preserve"> </w:t>
            </w:r>
          </w:p>
        </w:tc>
        <w:tc>
          <w:tcPr>
            <w:tcW w:w="2123" w:type="pct"/>
            <w:shd w:val="clear" w:color="auto" w:fill="auto"/>
            <w:vAlign w:val="center"/>
          </w:tcPr>
          <w:p w:rsidR="001F5690" w:rsidRPr="00C8056B" w:rsidRDefault="00FC0E01" w:rsidP="00785BBC">
            <w:pPr>
              <w:widowControl/>
              <w:jc w:val="left"/>
              <w:rPr>
                <w:rFonts w:ascii="Arial Narrow" w:hAnsi="Arial Narrow"/>
                <w:i/>
                <w:sz w:val="20"/>
                <w:lang w:val="en-US"/>
              </w:rPr>
            </w:pPr>
            <w:r w:rsidRPr="00C8056B">
              <w:rPr>
                <w:rFonts w:ascii="Arial Narrow" w:hAnsi="Arial Narrow"/>
                <w:i/>
                <w:sz w:val="20"/>
                <w:lang w:val="en-US"/>
              </w:rPr>
              <w:t xml:space="preserve">Data source of limited relevance and analyses of those data favourable </w:t>
            </w:r>
            <w:r w:rsidR="004464D8" w:rsidRPr="00C8056B">
              <w:rPr>
                <w:rFonts w:ascii="Arial Narrow" w:hAnsi="Arial Narrow"/>
                <w:i/>
                <w:sz w:val="20"/>
                <w:lang w:val="en-US"/>
              </w:rPr>
              <w:t>to p</w:t>
            </w:r>
            <w:r w:rsidRPr="00C8056B">
              <w:rPr>
                <w:rFonts w:ascii="Arial Narrow" w:hAnsi="Arial Narrow"/>
                <w:i/>
                <w:sz w:val="20"/>
                <w:lang w:val="en-US"/>
              </w:rPr>
              <w:t>erampanel</w:t>
            </w:r>
          </w:p>
        </w:tc>
        <w:tc>
          <w:tcPr>
            <w:tcW w:w="1348" w:type="pct"/>
            <w:shd w:val="clear" w:color="auto" w:fill="auto"/>
            <w:vAlign w:val="center"/>
          </w:tcPr>
          <w:p w:rsidR="001F5690" w:rsidRPr="003C6C31" w:rsidRDefault="001F5690" w:rsidP="00785BBC">
            <w:pPr>
              <w:widowControl/>
              <w:jc w:val="center"/>
              <w:rPr>
                <w:rFonts w:ascii="Arial Narrow" w:hAnsi="Arial Narrow"/>
                <w:sz w:val="20"/>
                <w:lang w:val="en-US"/>
              </w:rPr>
            </w:pPr>
            <w:r w:rsidRPr="003C6C31">
              <w:rPr>
                <w:rFonts w:ascii="Arial Narrow" w:hAnsi="Arial Narrow"/>
                <w:sz w:val="20"/>
                <w:lang w:val="en-US"/>
              </w:rPr>
              <w:t>High, ongoing use of the rate favours perampanel</w:t>
            </w:r>
          </w:p>
        </w:tc>
      </w:tr>
      <w:tr w:rsidR="001F5690" w:rsidRPr="003C6C31" w:rsidTr="00F461AB">
        <w:tc>
          <w:tcPr>
            <w:tcW w:w="1529" w:type="pct"/>
            <w:shd w:val="clear" w:color="auto" w:fill="auto"/>
            <w:vAlign w:val="center"/>
          </w:tcPr>
          <w:p w:rsidR="001F5690" w:rsidRPr="003C6C31" w:rsidRDefault="001F5690" w:rsidP="00785BBC">
            <w:pPr>
              <w:widowControl/>
              <w:jc w:val="left"/>
              <w:rPr>
                <w:rFonts w:ascii="Arial Narrow" w:hAnsi="Arial Narrow"/>
                <w:sz w:val="20"/>
                <w:lang w:val="en-US"/>
              </w:rPr>
            </w:pPr>
            <w:r w:rsidRPr="003C6C31">
              <w:rPr>
                <w:rFonts w:ascii="Arial Narrow" w:hAnsi="Arial Narrow"/>
                <w:sz w:val="20"/>
                <w:lang w:val="en-US"/>
              </w:rPr>
              <w:t>Relative risk of mortality</w:t>
            </w:r>
          </w:p>
        </w:tc>
        <w:tc>
          <w:tcPr>
            <w:tcW w:w="2123" w:type="pct"/>
            <w:shd w:val="clear" w:color="auto" w:fill="auto"/>
            <w:vAlign w:val="center"/>
          </w:tcPr>
          <w:p w:rsidR="001F5690" w:rsidRPr="003C6C31" w:rsidRDefault="001F5690" w:rsidP="00785BBC">
            <w:pPr>
              <w:widowControl/>
              <w:rPr>
                <w:rFonts w:ascii="Arial Narrow" w:hAnsi="Arial Narrow"/>
                <w:sz w:val="20"/>
                <w:lang w:val="en-US"/>
              </w:rPr>
            </w:pPr>
            <w:r w:rsidRPr="003C6C31">
              <w:rPr>
                <w:rFonts w:ascii="Arial Narrow" w:hAnsi="Arial Narrow"/>
                <w:sz w:val="20"/>
                <w:lang w:val="en-US"/>
              </w:rPr>
              <w:t>1-12 annual seizures: 7.21</w:t>
            </w:r>
          </w:p>
          <w:p w:rsidR="001F5690" w:rsidRPr="003C6C31" w:rsidRDefault="001F5690" w:rsidP="00785BBC">
            <w:pPr>
              <w:widowControl/>
              <w:rPr>
                <w:rFonts w:ascii="Arial Narrow" w:hAnsi="Arial Narrow"/>
                <w:sz w:val="20"/>
                <w:lang w:val="en-US"/>
              </w:rPr>
            </w:pPr>
            <w:r w:rsidRPr="003C6C31">
              <w:rPr>
                <w:rFonts w:ascii="Arial Narrow" w:hAnsi="Arial Narrow"/>
                <w:sz w:val="20"/>
                <w:lang w:val="en-US"/>
              </w:rPr>
              <w:t>13-52 annual seizures: 8.64</w:t>
            </w:r>
          </w:p>
          <w:p w:rsidR="001F5690" w:rsidRPr="003C6C31" w:rsidRDefault="001F5690" w:rsidP="00785BBC">
            <w:pPr>
              <w:widowControl/>
              <w:rPr>
                <w:rFonts w:ascii="Arial Narrow" w:hAnsi="Arial Narrow"/>
                <w:sz w:val="20"/>
                <w:lang w:val="en-US"/>
              </w:rPr>
            </w:pPr>
            <w:r w:rsidRPr="003C6C31">
              <w:rPr>
                <w:rFonts w:ascii="Arial Narrow" w:hAnsi="Arial Narrow"/>
                <w:sz w:val="20"/>
                <w:lang w:val="en-US"/>
              </w:rPr>
              <w:t>53+ annual seizures: 10.16</w:t>
            </w:r>
          </w:p>
        </w:tc>
        <w:tc>
          <w:tcPr>
            <w:tcW w:w="1348" w:type="pct"/>
            <w:shd w:val="clear" w:color="auto" w:fill="auto"/>
            <w:vAlign w:val="center"/>
          </w:tcPr>
          <w:p w:rsidR="001F5690" w:rsidRPr="003C6C31" w:rsidRDefault="001F5690" w:rsidP="00785BBC">
            <w:pPr>
              <w:widowControl/>
              <w:jc w:val="center"/>
              <w:rPr>
                <w:rFonts w:ascii="Arial Narrow" w:hAnsi="Arial Narrow"/>
                <w:sz w:val="20"/>
                <w:lang w:val="en-US"/>
              </w:rPr>
            </w:pPr>
            <w:r w:rsidRPr="003C6C31">
              <w:rPr>
                <w:rFonts w:ascii="Arial Narrow" w:hAnsi="Arial Narrow"/>
                <w:sz w:val="20"/>
                <w:lang w:val="en-US"/>
              </w:rPr>
              <w:t>Moderate, increasing mortality risk associated with seizures favours perampanel</w:t>
            </w:r>
          </w:p>
        </w:tc>
      </w:tr>
    </w:tbl>
    <w:p w:rsidR="001F5690" w:rsidRPr="003C6C31" w:rsidRDefault="001F5690" w:rsidP="00785BBC">
      <w:pPr>
        <w:pStyle w:val="TableFooter"/>
        <w:widowControl/>
        <w:ind w:firstLine="720"/>
      </w:pPr>
      <w:r w:rsidRPr="003C6C31">
        <w:t>Source: compiled during the evaluation</w:t>
      </w:r>
    </w:p>
    <w:p w:rsidR="001F5690" w:rsidRPr="003C6C31" w:rsidRDefault="001F5690" w:rsidP="00785BBC">
      <w:pPr>
        <w:widowControl/>
        <w:rPr>
          <w:szCs w:val="22"/>
        </w:rPr>
      </w:pPr>
    </w:p>
    <w:p w:rsidR="001F5690" w:rsidRPr="00343228" w:rsidRDefault="001F5690" w:rsidP="00785BBC">
      <w:pPr>
        <w:pStyle w:val="ListParagraph"/>
        <w:widowControl/>
        <w:numPr>
          <w:ilvl w:val="1"/>
          <w:numId w:val="7"/>
        </w:numPr>
        <w:rPr>
          <w:szCs w:val="22"/>
        </w:rPr>
      </w:pPr>
      <w:r w:rsidRPr="00343228">
        <w:t>The results of the economic model are summarised in the table below.</w:t>
      </w:r>
      <w:r w:rsidR="00DC2E19" w:rsidRPr="00343228">
        <w:t xml:space="preserve"> The ESC noted the QALY gains are driven by the LY gains.</w:t>
      </w:r>
    </w:p>
    <w:p w:rsidR="001F5690" w:rsidRPr="003C6C31" w:rsidRDefault="001F5690" w:rsidP="00785BBC">
      <w:pPr>
        <w:widowControl/>
        <w:rPr>
          <w:szCs w:val="22"/>
        </w:rPr>
      </w:pPr>
    </w:p>
    <w:p w:rsidR="001F5690" w:rsidRPr="003C6C31" w:rsidRDefault="001F5690" w:rsidP="00785BBC">
      <w:pPr>
        <w:pStyle w:val="TableHeader"/>
        <w:widowControl/>
        <w:ind w:firstLine="720"/>
      </w:pPr>
      <w:r w:rsidRPr="003C6C31">
        <w:t>Table 11: Results of the economic evaluation</w:t>
      </w:r>
    </w:p>
    <w:tbl>
      <w:tblPr>
        <w:tblW w:w="4591"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2200"/>
        <w:gridCol w:w="1945"/>
        <w:gridCol w:w="2210"/>
      </w:tblGrid>
      <w:tr w:rsidR="001F5690" w:rsidRPr="003C6C31" w:rsidTr="00F461AB">
        <w:tc>
          <w:tcPr>
            <w:tcW w:w="1070" w:type="pct"/>
            <w:shd w:val="clear" w:color="auto" w:fill="auto"/>
            <w:noWrap/>
            <w:vAlign w:val="bottom"/>
          </w:tcPr>
          <w:p w:rsidR="001F5690" w:rsidRPr="003C6C31" w:rsidRDefault="001F5690" w:rsidP="00785BBC">
            <w:pPr>
              <w:pStyle w:val="TableText0"/>
              <w:keepNext w:val="0"/>
              <w:spacing w:before="0" w:after="0"/>
            </w:pPr>
            <w:r w:rsidRPr="003C6C31">
              <w:t> </w:t>
            </w:r>
          </w:p>
        </w:tc>
        <w:tc>
          <w:tcPr>
            <w:tcW w:w="1358" w:type="pct"/>
            <w:shd w:val="clear" w:color="auto" w:fill="auto"/>
            <w:vAlign w:val="center"/>
          </w:tcPr>
          <w:p w:rsidR="001F5690" w:rsidRPr="003C6C31" w:rsidRDefault="001F5690" w:rsidP="00785BBC">
            <w:pPr>
              <w:pStyle w:val="TableText0"/>
              <w:keepNext w:val="0"/>
              <w:spacing w:before="0" w:after="0"/>
              <w:jc w:val="center"/>
              <w:rPr>
                <w:b/>
                <w:bCs/>
              </w:rPr>
            </w:pPr>
            <w:r w:rsidRPr="003C6C31">
              <w:rPr>
                <w:b/>
                <w:bCs/>
              </w:rPr>
              <w:t>perampanel +AEDs</w:t>
            </w:r>
          </w:p>
        </w:tc>
        <w:tc>
          <w:tcPr>
            <w:tcW w:w="1208" w:type="pct"/>
            <w:shd w:val="clear" w:color="auto" w:fill="auto"/>
            <w:vAlign w:val="center"/>
          </w:tcPr>
          <w:p w:rsidR="001F5690" w:rsidRPr="003C6C31" w:rsidRDefault="001F5690" w:rsidP="00785BBC">
            <w:pPr>
              <w:pStyle w:val="TableText0"/>
              <w:keepNext w:val="0"/>
              <w:spacing w:before="0" w:after="0"/>
              <w:jc w:val="center"/>
              <w:rPr>
                <w:b/>
                <w:bCs/>
              </w:rPr>
            </w:pPr>
            <w:r w:rsidRPr="003C6C31">
              <w:rPr>
                <w:b/>
                <w:bCs/>
              </w:rPr>
              <w:t>AEDs</w:t>
            </w:r>
          </w:p>
        </w:tc>
        <w:tc>
          <w:tcPr>
            <w:tcW w:w="1364" w:type="pct"/>
            <w:shd w:val="clear" w:color="auto" w:fill="auto"/>
            <w:vAlign w:val="center"/>
          </w:tcPr>
          <w:p w:rsidR="001F5690" w:rsidRPr="003C6C31" w:rsidRDefault="001F5690" w:rsidP="00785BBC">
            <w:pPr>
              <w:pStyle w:val="TableText0"/>
              <w:keepNext w:val="0"/>
              <w:spacing w:before="0" w:after="0"/>
              <w:jc w:val="center"/>
              <w:rPr>
                <w:b/>
                <w:bCs/>
              </w:rPr>
            </w:pPr>
            <w:r w:rsidRPr="003C6C31">
              <w:rPr>
                <w:b/>
                <w:bCs/>
              </w:rPr>
              <w:t>Incremental</w:t>
            </w:r>
          </w:p>
        </w:tc>
      </w:tr>
      <w:tr w:rsidR="001F5690" w:rsidRPr="003C6C31" w:rsidTr="00F461AB">
        <w:tc>
          <w:tcPr>
            <w:tcW w:w="1070" w:type="pct"/>
            <w:shd w:val="clear" w:color="auto" w:fill="auto"/>
            <w:noWrap/>
            <w:vAlign w:val="center"/>
          </w:tcPr>
          <w:p w:rsidR="001F5690" w:rsidRPr="003C6C31" w:rsidRDefault="001F5690" w:rsidP="00785BBC">
            <w:pPr>
              <w:pStyle w:val="TableText0"/>
              <w:keepNext w:val="0"/>
              <w:spacing w:before="0" w:after="0"/>
            </w:pPr>
            <w:r w:rsidRPr="003C6C31">
              <w:t xml:space="preserve">Cost </w:t>
            </w:r>
          </w:p>
        </w:tc>
        <w:tc>
          <w:tcPr>
            <w:tcW w:w="1358" w:type="pct"/>
            <w:shd w:val="clear" w:color="auto" w:fill="auto"/>
            <w:noWrap/>
            <w:vAlign w:val="center"/>
          </w:tcPr>
          <w:p w:rsidR="001F5690" w:rsidRPr="003C6C31" w:rsidRDefault="001F5690" w:rsidP="00785BBC">
            <w:pPr>
              <w:pStyle w:val="TableText0"/>
              <w:keepNext w:val="0"/>
              <w:spacing w:before="0" w:after="0"/>
              <w:jc w:val="center"/>
            </w:pPr>
            <w:r w:rsidRPr="003C6C31">
              <w:t>$</w:t>
            </w:r>
            <w:r w:rsidR="00244671">
              <w:rPr>
                <w:noProof/>
                <w:color w:val="000000"/>
                <w:highlight w:val="black"/>
              </w:rPr>
              <w:t>'''''''''''''''''''''</w:t>
            </w:r>
          </w:p>
        </w:tc>
        <w:tc>
          <w:tcPr>
            <w:tcW w:w="1208" w:type="pct"/>
            <w:shd w:val="clear" w:color="auto" w:fill="auto"/>
            <w:noWrap/>
            <w:vAlign w:val="center"/>
          </w:tcPr>
          <w:p w:rsidR="001F5690" w:rsidRPr="003C6C31" w:rsidRDefault="001F5690" w:rsidP="00785BBC">
            <w:pPr>
              <w:pStyle w:val="TableText0"/>
              <w:keepNext w:val="0"/>
              <w:spacing w:before="0" w:after="0"/>
              <w:jc w:val="center"/>
            </w:pPr>
            <w:r w:rsidRPr="003C6C31">
              <w:t>$</w:t>
            </w:r>
            <w:r w:rsidR="00244671">
              <w:rPr>
                <w:noProof/>
                <w:color w:val="000000"/>
                <w:highlight w:val="black"/>
              </w:rPr>
              <w:t>''''''''''''''''''</w:t>
            </w:r>
          </w:p>
        </w:tc>
        <w:tc>
          <w:tcPr>
            <w:tcW w:w="1364" w:type="pct"/>
            <w:shd w:val="clear" w:color="auto" w:fill="auto"/>
            <w:noWrap/>
            <w:vAlign w:val="center"/>
          </w:tcPr>
          <w:p w:rsidR="001F5690" w:rsidRPr="003C6C31" w:rsidRDefault="001F5690" w:rsidP="00785BBC">
            <w:pPr>
              <w:pStyle w:val="TableText0"/>
              <w:keepNext w:val="0"/>
              <w:spacing w:before="0" w:after="0"/>
              <w:jc w:val="center"/>
            </w:pPr>
            <w:r w:rsidRPr="003C6C31">
              <w:t>$</w:t>
            </w:r>
            <w:r w:rsidR="00244671">
              <w:rPr>
                <w:noProof/>
                <w:color w:val="000000"/>
                <w:highlight w:val="black"/>
              </w:rPr>
              <w:t>''''''''''''''''</w:t>
            </w:r>
          </w:p>
        </w:tc>
      </w:tr>
      <w:tr w:rsidR="001F5690" w:rsidRPr="003C6C31" w:rsidTr="00F461AB">
        <w:tc>
          <w:tcPr>
            <w:tcW w:w="1070" w:type="pct"/>
            <w:shd w:val="clear" w:color="auto" w:fill="auto"/>
            <w:noWrap/>
            <w:vAlign w:val="bottom"/>
          </w:tcPr>
          <w:p w:rsidR="001F5690" w:rsidRPr="003C6C31" w:rsidRDefault="001F5690" w:rsidP="00785BBC">
            <w:pPr>
              <w:pStyle w:val="TableText0"/>
              <w:keepNext w:val="0"/>
              <w:spacing w:before="0" w:after="0"/>
              <w:rPr>
                <w:color w:val="000000"/>
              </w:rPr>
            </w:pPr>
            <w:r w:rsidRPr="003C6C31">
              <w:rPr>
                <w:color w:val="000000"/>
              </w:rPr>
              <w:t>Number of seizures</w:t>
            </w:r>
          </w:p>
        </w:tc>
        <w:tc>
          <w:tcPr>
            <w:tcW w:w="1358" w:type="pct"/>
            <w:shd w:val="clear" w:color="auto" w:fill="auto"/>
            <w:noWrap/>
            <w:vAlign w:val="center"/>
          </w:tcPr>
          <w:p w:rsidR="001F5690" w:rsidRPr="00244671" w:rsidRDefault="00244671" w:rsidP="00785BBC">
            <w:pPr>
              <w:pStyle w:val="TableText0"/>
              <w:keepNext w:val="0"/>
              <w:spacing w:before="0" w:after="0"/>
              <w:jc w:val="center"/>
              <w:rPr>
                <w:highlight w:val="black"/>
              </w:rPr>
            </w:pPr>
            <w:r>
              <w:rPr>
                <w:noProof/>
                <w:color w:val="000000"/>
                <w:highlight w:val="black"/>
              </w:rPr>
              <w:t>'''''''''''''</w:t>
            </w:r>
          </w:p>
        </w:tc>
        <w:tc>
          <w:tcPr>
            <w:tcW w:w="1208" w:type="pct"/>
            <w:shd w:val="clear" w:color="auto" w:fill="auto"/>
            <w:noWrap/>
            <w:vAlign w:val="center"/>
          </w:tcPr>
          <w:p w:rsidR="001F5690" w:rsidRPr="00244671" w:rsidRDefault="00244671" w:rsidP="00785BBC">
            <w:pPr>
              <w:pStyle w:val="TableText0"/>
              <w:keepNext w:val="0"/>
              <w:spacing w:before="0" w:after="0"/>
              <w:jc w:val="center"/>
              <w:rPr>
                <w:highlight w:val="black"/>
              </w:rPr>
            </w:pPr>
            <w:r>
              <w:rPr>
                <w:noProof/>
                <w:color w:val="000000"/>
                <w:highlight w:val="black"/>
              </w:rPr>
              <w:t>''''''''''''</w:t>
            </w:r>
          </w:p>
        </w:tc>
        <w:tc>
          <w:tcPr>
            <w:tcW w:w="1364" w:type="pct"/>
            <w:shd w:val="clear" w:color="auto" w:fill="auto"/>
            <w:noWrap/>
            <w:vAlign w:val="center"/>
          </w:tcPr>
          <w:p w:rsidR="001F5690" w:rsidRPr="00244671" w:rsidRDefault="00244671" w:rsidP="00785BBC">
            <w:pPr>
              <w:pStyle w:val="TableText0"/>
              <w:keepNext w:val="0"/>
              <w:spacing w:before="0" w:after="0"/>
              <w:jc w:val="center"/>
              <w:rPr>
                <w:highlight w:val="black"/>
              </w:rPr>
            </w:pPr>
            <w:r>
              <w:rPr>
                <w:rFonts w:cs="Arial"/>
                <w:noProof/>
                <w:color w:val="000000"/>
                <w:highlight w:val="black"/>
              </w:rPr>
              <w:t>'''''''''</w:t>
            </w:r>
          </w:p>
        </w:tc>
      </w:tr>
      <w:tr w:rsidR="001F5690" w:rsidRPr="003C6C31" w:rsidTr="00F461AB">
        <w:tc>
          <w:tcPr>
            <w:tcW w:w="1070" w:type="pct"/>
            <w:shd w:val="clear" w:color="auto" w:fill="auto"/>
            <w:noWrap/>
            <w:vAlign w:val="bottom"/>
          </w:tcPr>
          <w:p w:rsidR="001F5690" w:rsidRPr="003C6C31" w:rsidRDefault="001F5690" w:rsidP="00785BBC">
            <w:pPr>
              <w:pStyle w:val="TableText0"/>
              <w:keepNext w:val="0"/>
              <w:spacing w:before="0" w:after="0"/>
            </w:pPr>
            <w:r w:rsidRPr="003C6C31">
              <w:t>LYG</w:t>
            </w:r>
          </w:p>
        </w:tc>
        <w:tc>
          <w:tcPr>
            <w:tcW w:w="1358" w:type="pct"/>
            <w:shd w:val="clear" w:color="auto" w:fill="auto"/>
            <w:noWrap/>
            <w:vAlign w:val="center"/>
          </w:tcPr>
          <w:p w:rsidR="001F5690" w:rsidRPr="003C6C31" w:rsidRDefault="001F5690" w:rsidP="00785BBC">
            <w:pPr>
              <w:pStyle w:val="TableText0"/>
              <w:keepNext w:val="0"/>
              <w:spacing w:before="0" w:after="0"/>
              <w:jc w:val="center"/>
            </w:pPr>
            <w:r w:rsidRPr="003C6C31">
              <w:t>12.22</w:t>
            </w:r>
          </w:p>
        </w:tc>
        <w:tc>
          <w:tcPr>
            <w:tcW w:w="1208" w:type="pct"/>
            <w:shd w:val="clear" w:color="auto" w:fill="auto"/>
            <w:noWrap/>
            <w:vAlign w:val="center"/>
          </w:tcPr>
          <w:p w:rsidR="001F5690" w:rsidRPr="003C6C31" w:rsidRDefault="001F5690" w:rsidP="00785BBC">
            <w:pPr>
              <w:pStyle w:val="TableText0"/>
              <w:keepNext w:val="0"/>
              <w:spacing w:before="0" w:after="0"/>
              <w:jc w:val="center"/>
            </w:pPr>
            <w:r w:rsidRPr="003C6C31">
              <w:t>11.85</w:t>
            </w:r>
          </w:p>
        </w:tc>
        <w:tc>
          <w:tcPr>
            <w:tcW w:w="1364" w:type="pct"/>
            <w:shd w:val="clear" w:color="auto" w:fill="auto"/>
            <w:noWrap/>
            <w:vAlign w:val="center"/>
          </w:tcPr>
          <w:p w:rsidR="001F5690" w:rsidRPr="003C6C31" w:rsidRDefault="001F5690" w:rsidP="00785BBC">
            <w:pPr>
              <w:pStyle w:val="TableText0"/>
              <w:keepNext w:val="0"/>
              <w:spacing w:before="0" w:after="0"/>
              <w:jc w:val="center"/>
            </w:pPr>
            <w:r w:rsidRPr="003C6C31">
              <w:t>0.37</w:t>
            </w:r>
          </w:p>
        </w:tc>
      </w:tr>
      <w:tr w:rsidR="001F5690" w:rsidRPr="003C6C31" w:rsidTr="00F461AB">
        <w:tc>
          <w:tcPr>
            <w:tcW w:w="1070" w:type="pct"/>
            <w:shd w:val="clear" w:color="auto" w:fill="auto"/>
            <w:noWrap/>
            <w:vAlign w:val="bottom"/>
          </w:tcPr>
          <w:p w:rsidR="001F5690" w:rsidRPr="003C6C31" w:rsidRDefault="001F5690" w:rsidP="00785BBC">
            <w:pPr>
              <w:pStyle w:val="TableText0"/>
              <w:keepNext w:val="0"/>
              <w:spacing w:before="0" w:after="0"/>
            </w:pPr>
            <w:r w:rsidRPr="003C6C31">
              <w:t>QALY</w:t>
            </w:r>
          </w:p>
        </w:tc>
        <w:tc>
          <w:tcPr>
            <w:tcW w:w="1358" w:type="pct"/>
            <w:tcBorders>
              <w:bottom w:val="single" w:sz="4" w:space="0" w:color="auto"/>
            </w:tcBorders>
            <w:shd w:val="clear" w:color="auto" w:fill="auto"/>
            <w:noWrap/>
            <w:vAlign w:val="center"/>
          </w:tcPr>
          <w:p w:rsidR="001F5690" w:rsidRPr="003C6C31" w:rsidRDefault="001F5690" w:rsidP="00785BBC">
            <w:pPr>
              <w:pStyle w:val="TableText0"/>
              <w:keepNext w:val="0"/>
              <w:spacing w:before="0" w:after="0"/>
              <w:jc w:val="center"/>
            </w:pPr>
            <w:r w:rsidRPr="003C6C31">
              <w:t>8.46</w:t>
            </w:r>
          </w:p>
        </w:tc>
        <w:tc>
          <w:tcPr>
            <w:tcW w:w="1208" w:type="pct"/>
            <w:tcBorders>
              <w:bottom w:val="single" w:sz="4" w:space="0" w:color="auto"/>
            </w:tcBorders>
            <w:shd w:val="clear" w:color="auto" w:fill="auto"/>
            <w:noWrap/>
            <w:vAlign w:val="center"/>
          </w:tcPr>
          <w:p w:rsidR="001F5690" w:rsidRPr="003C6C31" w:rsidRDefault="001F5690" w:rsidP="00785BBC">
            <w:pPr>
              <w:pStyle w:val="TableText0"/>
              <w:keepNext w:val="0"/>
              <w:spacing w:before="0" w:after="0"/>
              <w:jc w:val="center"/>
            </w:pPr>
            <w:r w:rsidRPr="003C6C31">
              <w:t>8.02</w:t>
            </w:r>
          </w:p>
        </w:tc>
        <w:tc>
          <w:tcPr>
            <w:tcW w:w="1364" w:type="pct"/>
            <w:tcBorders>
              <w:bottom w:val="single" w:sz="4" w:space="0" w:color="auto"/>
            </w:tcBorders>
            <w:shd w:val="clear" w:color="auto" w:fill="auto"/>
            <w:noWrap/>
            <w:vAlign w:val="center"/>
          </w:tcPr>
          <w:p w:rsidR="001F5690" w:rsidRPr="003C6C31" w:rsidRDefault="001F5690" w:rsidP="00785BBC">
            <w:pPr>
              <w:pStyle w:val="TableText0"/>
              <w:keepNext w:val="0"/>
              <w:spacing w:before="0" w:after="0"/>
              <w:jc w:val="center"/>
            </w:pPr>
            <w:r w:rsidRPr="003C6C31">
              <w:t>0.44</w:t>
            </w:r>
          </w:p>
        </w:tc>
      </w:tr>
      <w:tr w:rsidR="001F5690" w:rsidRPr="003C6C31" w:rsidTr="00F461AB">
        <w:tc>
          <w:tcPr>
            <w:tcW w:w="1070" w:type="pct"/>
            <w:tcBorders>
              <w:right w:val="single" w:sz="4" w:space="0" w:color="auto"/>
            </w:tcBorders>
            <w:shd w:val="clear" w:color="auto" w:fill="auto"/>
            <w:noWrap/>
            <w:vAlign w:val="bottom"/>
          </w:tcPr>
          <w:p w:rsidR="001F5690" w:rsidRPr="003C6C31" w:rsidRDefault="001F5690" w:rsidP="00785BBC">
            <w:pPr>
              <w:pStyle w:val="TableText0"/>
              <w:keepNext w:val="0"/>
              <w:spacing w:before="0" w:after="0"/>
              <w:rPr>
                <w:color w:val="000000"/>
              </w:rPr>
            </w:pPr>
            <w:r w:rsidRPr="003C6C31">
              <w:rPr>
                <w:color w:val="000000"/>
              </w:rPr>
              <w:t>ICER per Seizure Avoided</w:t>
            </w:r>
          </w:p>
        </w:tc>
        <w:tc>
          <w:tcPr>
            <w:tcW w:w="393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F5690" w:rsidRPr="003C6C31" w:rsidRDefault="001F5690" w:rsidP="00785BBC">
            <w:pPr>
              <w:pStyle w:val="TableText0"/>
              <w:keepNext w:val="0"/>
              <w:spacing w:before="0" w:after="0"/>
              <w:jc w:val="center"/>
            </w:pPr>
            <w:r w:rsidRPr="003C6C31">
              <w:t>$</w:t>
            </w:r>
            <w:r w:rsidR="00244671">
              <w:rPr>
                <w:noProof/>
                <w:color w:val="000000"/>
                <w:highlight w:val="black"/>
              </w:rPr>
              <w:t>'''''''</w:t>
            </w:r>
          </w:p>
        </w:tc>
      </w:tr>
      <w:tr w:rsidR="001F5690" w:rsidRPr="003C6C31" w:rsidTr="00F461AB">
        <w:tc>
          <w:tcPr>
            <w:tcW w:w="1070" w:type="pct"/>
            <w:tcBorders>
              <w:right w:val="single" w:sz="4" w:space="0" w:color="auto"/>
            </w:tcBorders>
            <w:shd w:val="clear" w:color="auto" w:fill="auto"/>
            <w:noWrap/>
            <w:vAlign w:val="bottom"/>
          </w:tcPr>
          <w:p w:rsidR="001F5690" w:rsidRPr="003C6C31" w:rsidRDefault="001F5690" w:rsidP="00785BBC">
            <w:pPr>
              <w:pStyle w:val="TableText0"/>
              <w:keepNext w:val="0"/>
              <w:spacing w:before="0" w:after="0"/>
              <w:rPr>
                <w:color w:val="000000"/>
              </w:rPr>
            </w:pPr>
            <w:r w:rsidRPr="003C6C31">
              <w:rPr>
                <w:color w:val="000000"/>
              </w:rPr>
              <w:t>ICER per LYG</w:t>
            </w:r>
          </w:p>
        </w:tc>
        <w:tc>
          <w:tcPr>
            <w:tcW w:w="393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F5690" w:rsidRPr="003C6C31" w:rsidRDefault="001F5690" w:rsidP="00785BBC">
            <w:pPr>
              <w:pStyle w:val="TableText0"/>
              <w:keepNext w:val="0"/>
              <w:spacing w:before="0" w:after="0"/>
              <w:jc w:val="center"/>
            </w:pPr>
            <w:r w:rsidRPr="003C6C31">
              <w:t>$</w:t>
            </w:r>
            <w:r w:rsidR="00244671">
              <w:rPr>
                <w:noProof/>
                <w:color w:val="000000"/>
                <w:highlight w:val="black"/>
              </w:rPr>
              <w:t>'''''''''''''''''</w:t>
            </w:r>
          </w:p>
        </w:tc>
      </w:tr>
      <w:tr w:rsidR="001F5690" w:rsidRPr="003C6C31" w:rsidTr="00F461AB">
        <w:tc>
          <w:tcPr>
            <w:tcW w:w="1070" w:type="pct"/>
            <w:tcBorders>
              <w:right w:val="single" w:sz="4" w:space="0" w:color="auto"/>
            </w:tcBorders>
            <w:shd w:val="clear" w:color="auto" w:fill="auto"/>
            <w:noWrap/>
            <w:vAlign w:val="bottom"/>
          </w:tcPr>
          <w:p w:rsidR="001F5690" w:rsidRPr="003C6C31" w:rsidRDefault="001F5690" w:rsidP="00785BBC">
            <w:pPr>
              <w:pStyle w:val="TableText0"/>
              <w:keepNext w:val="0"/>
              <w:spacing w:before="0" w:after="0"/>
              <w:rPr>
                <w:color w:val="000000"/>
              </w:rPr>
            </w:pPr>
            <w:r w:rsidRPr="003C6C31">
              <w:rPr>
                <w:color w:val="000000"/>
              </w:rPr>
              <w:t>ICER per QALY gained</w:t>
            </w:r>
          </w:p>
        </w:tc>
        <w:tc>
          <w:tcPr>
            <w:tcW w:w="393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F5690" w:rsidRPr="003C6C31" w:rsidRDefault="001F5690" w:rsidP="00785BBC">
            <w:pPr>
              <w:pStyle w:val="TableText0"/>
              <w:keepNext w:val="0"/>
              <w:spacing w:before="0" w:after="0"/>
              <w:jc w:val="center"/>
            </w:pPr>
            <w:r w:rsidRPr="003C6C31">
              <w:t>$</w:t>
            </w:r>
            <w:r w:rsidR="00244671">
              <w:rPr>
                <w:noProof/>
                <w:color w:val="000000"/>
                <w:highlight w:val="black"/>
              </w:rPr>
              <w:t>''''''''''''''''</w:t>
            </w:r>
          </w:p>
        </w:tc>
      </w:tr>
    </w:tbl>
    <w:p w:rsidR="001F5690" w:rsidRPr="006B24A1" w:rsidRDefault="001F5690" w:rsidP="00785BBC">
      <w:pPr>
        <w:pStyle w:val="TableFooter"/>
        <w:widowControl/>
        <w:ind w:left="720"/>
      </w:pPr>
      <w:r w:rsidRPr="003C6C31">
        <w:t xml:space="preserve">AED = antiepileptic drug; LYG = life year gained; ICER = incremental cost-effectiveness ratio; QALY = quality-adjusted life </w:t>
      </w:r>
      <w:r w:rsidRPr="006B24A1">
        <w:t>year.</w:t>
      </w:r>
    </w:p>
    <w:p w:rsidR="001F5690" w:rsidRPr="003C6C31" w:rsidRDefault="001F5690" w:rsidP="00785BBC">
      <w:pPr>
        <w:pStyle w:val="TableFooter"/>
        <w:widowControl/>
        <w:ind w:left="720"/>
      </w:pPr>
      <w:r w:rsidRPr="006B24A1">
        <w:t>Source: Table D.5.4, p125 Section D of the submission</w:t>
      </w:r>
    </w:p>
    <w:p w:rsidR="001F5690" w:rsidRPr="003C6C31" w:rsidRDefault="001F5690" w:rsidP="00785BBC">
      <w:pPr>
        <w:widowControl/>
      </w:pPr>
    </w:p>
    <w:p w:rsidR="00915ED0" w:rsidRPr="00915ED0" w:rsidRDefault="00915ED0" w:rsidP="00915ED0">
      <w:pPr>
        <w:pStyle w:val="ListParagraph"/>
        <w:widowControl/>
        <w:rPr>
          <w:szCs w:val="22"/>
        </w:rPr>
      </w:pPr>
      <w:r>
        <w:rPr>
          <w:szCs w:val="22"/>
        </w:rPr>
        <w:t>The redacted table shows an ICER in the range of $45,000/QALY - $75,000/QALY.</w:t>
      </w:r>
    </w:p>
    <w:p w:rsidR="00915ED0" w:rsidRPr="00915ED0" w:rsidRDefault="00915ED0" w:rsidP="00915ED0">
      <w:pPr>
        <w:pStyle w:val="ListParagraph"/>
        <w:widowControl/>
        <w:rPr>
          <w:szCs w:val="22"/>
        </w:rPr>
      </w:pPr>
    </w:p>
    <w:p w:rsidR="001F5690" w:rsidRPr="003C6C31" w:rsidRDefault="001F5690" w:rsidP="00785BBC">
      <w:pPr>
        <w:pStyle w:val="ListParagraph"/>
        <w:widowControl/>
        <w:numPr>
          <w:ilvl w:val="1"/>
          <w:numId w:val="7"/>
        </w:numPr>
        <w:rPr>
          <w:szCs w:val="22"/>
        </w:rPr>
      </w:pPr>
      <w:r w:rsidRPr="003C6C31">
        <w:t>A trial-based evaluation was conducted during the evaluation, using only the direct pharmaceutical costs. Costs associated with background AEDs have been excluded from this analysis under the assumption that background AED use will be the same in the two arms. This assumption is uncertain, particularly given that the proposed listing allows perampanel monotherapy in the continuation phase of treatment. However, the cost of background AEDs is likely to be small in comparison with the cost of perampanel. In addition, concerns remain regarding the applicability of the trial population to the proposed PBS population, which may impact the results. Results of the trial-based analysis are summarised below.</w:t>
      </w:r>
    </w:p>
    <w:p w:rsidR="001F5690" w:rsidRPr="003C6C31" w:rsidRDefault="001F5690" w:rsidP="00785BBC">
      <w:pPr>
        <w:pStyle w:val="ListParagraph"/>
        <w:widowControl/>
        <w:rPr>
          <w:szCs w:val="22"/>
        </w:rPr>
      </w:pPr>
    </w:p>
    <w:p w:rsidR="001F5690" w:rsidRPr="003C6C31" w:rsidRDefault="001F5690" w:rsidP="00785BBC">
      <w:pPr>
        <w:pStyle w:val="Caption"/>
        <w:keepNext/>
        <w:widowControl/>
        <w:ind w:left="720"/>
      </w:pPr>
      <w:r w:rsidRPr="003C6C31">
        <w:rPr>
          <w:szCs w:val="22"/>
        </w:rPr>
        <w:t>Table 12: T</w:t>
      </w:r>
      <w:r w:rsidRPr="003C6C31">
        <w:t>rial-based cost per additional responder (PGTC seizures) and cost per additional PGTC seizure-free person over 17 weeks.</w:t>
      </w:r>
    </w:p>
    <w:tbl>
      <w:tblPr>
        <w:tblStyle w:val="TableGrid1"/>
        <w:tblW w:w="4599" w:type="pct"/>
        <w:tblInd w:w="723" w:type="dxa"/>
        <w:tblLook w:val="04A0" w:firstRow="1" w:lastRow="0" w:firstColumn="1" w:lastColumn="0" w:noHBand="0" w:noVBand="1"/>
        <w:tblCaption w:val="Table 12: Trial-based cost per additional responder (PGTC seizures) and cost per additional PGTC seizure-free person over 17 weeks."/>
      </w:tblPr>
      <w:tblGrid>
        <w:gridCol w:w="3496"/>
        <w:gridCol w:w="1848"/>
        <w:gridCol w:w="1552"/>
        <w:gridCol w:w="1605"/>
      </w:tblGrid>
      <w:tr w:rsidR="001F5690" w:rsidRPr="003C6C31" w:rsidTr="00244671">
        <w:trPr>
          <w:tblHeader/>
        </w:trPr>
        <w:tc>
          <w:tcPr>
            <w:tcW w:w="2056" w:type="pct"/>
            <w:hideMark/>
          </w:tcPr>
          <w:p w:rsidR="001F5690" w:rsidRPr="003C6C31" w:rsidRDefault="001F5690" w:rsidP="00785BBC">
            <w:pPr>
              <w:pStyle w:val="Tabletext"/>
              <w:rPr>
                <w:b/>
              </w:rPr>
            </w:pPr>
            <w:r w:rsidRPr="003C6C31">
              <w:rPr>
                <w:b/>
              </w:rPr>
              <w:t>Component</w:t>
            </w:r>
          </w:p>
        </w:tc>
        <w:tc>
          <w:tcPr>
            <w:tcW w:w="1087" w:type="pct"/>
            <w:hideMark/>
          </w:tcPr>
          <w:p w:rsidR="001F5690" w:rsidRPr="003C6C31" w:rsidRDefault="001F5690" w:rsidP="00785BBC">
            <w:pPr>
              <w:pStyle w:val="Tabletext"/>
              <w:jc w:val="center"/>
              <w:rPr>
                <w:b/>
              </w:rPr>
            </w:pPr>
            <w:r w:rsidRPr="003C6C31">
              <w:rPr>
                <w:b/>
              </w:rPr>
              <w:t>Perampanel</w:t>
            </w:r>
          </w:p>
        </w:tc>
        <w:tc>
          <w:tcPr>
            <w:tcW w:w="913" w:type="pct"/>
            <w:hideMark/>
          </w:tcPr>
          <w:p w:rsidR="001F5690" w:rsidRPr="003C6C31" w:rsidRDefault="001F5690" w:rsidP="00785BBC">
            <w:pPr>
              <w:pStyle w:val="Tabletext"/>
              <w:jc w:val="center"/>
              <w:rPr>
                <w:b/>
              </w:rPr>
            </w:pPr>
            <w:r w:rsidRPr="003C6C31">
              <w:rPr>
                <w:b/>
              </w:rPr>
              <w:t>Placebo</w:t>
            </w:r>
          </w:p>
        </w:tc>
        <w:tc>
          <w:tcPr>
            <w:tcW w:w="944" w:type="pct"/>
            <w:hideMark/>
          </w:tcPr>
          <w:p w:rsidR="001F5690" w:rsidRPr="003C6C31" w:rsidRDefault="001F5690" w:rsidP="00785BBC">
            <w:pPr>
              <w:pStyle w:val="Tabletext"/>
              <w:jc w:val="center"/>
              <w:rPr>
                <w:b/>
              </w:rPr>
            </w:pPr>
            <w:r w:rsidRPr="003C6C31">
              <w:rPr>
                <w:b/>
              </w:rPr>
              <w:t>Increment</w:t>
            </w:r>
          </w:p>
        </w:tc>
      </w:tr>
      <w:tr w:rsidR="001F5690" w:rsidRPr="003C6C31" w:rsidTr="00F461AB">
        <w:tc>
          <w:tcPr>
            <w:tcW w:w="5000" w:type="pct"/>
            <w:gridSpan w:val="4"/>
          </w:tcPr>
          <w:p w:rsidR="001F5690" w:rsidRPr="003C6C31" w:rsidRDefault="001F5690" w:rsidP="00785BBC">
            <w:pPr>
              <w:pStyle w:val="Tabletext"/>
              <w:rPr>
                <w:b/>
              </w:rPr>
            </w:pPr>
            <w:r w:rsidRPr="003C6C31">
              <w:rPr>
                <w:b/>
              </w:rPr>
              <w:t>Incremental cost/extra responder (PGTC seizures) over 17 weeks</w:t>
            </w:r>
          </w:p>
        </w:tc>
      </w:tr>
      <w:tr w:rsidR="001F5690" w:rsidRPr="003C6C31" w:rsidTr="00F461AB">
        <w:tc>
          <w:tcPr>
            <w:tcW w:w="2056" w:type="pct"/>
            <w:hideMark/>
          </w:tcPr>
          <w:p w:rsidR="001F5690" w:rsidRPr="003C6C31" w:rsidRDefault="001F5690" w:rsidP="00785BBC">
            <w:pPr>
              <w:pStyle w:val="Tabletext"/>
            </w:pPr>
            <w:r w:rsidRPr="003C6C31">
              <w:t>Costs</w:t>
            </w:r>
          </w:p>
        </w:tc>
        <w:tc>
          <w:tcPr>
            <w:tcW w:w="1087" w:type="pct"/>
            <w:hideMark/>
          </w:tcPr>
          <w:p w:rsidR="001F5690" w:rsidRPr="003C6C31" w:rsidRDefault="001F5690" w:rsidP="00785BBC">
            <w:pPr>
              <w:pStyle w:val="Tabletext"/>
              <w:jc w:val="center"/>
            </w:pPr>
            <w:r w:rsidRPr="003C6C31">
              <w:t>$</w:t>
            </w:r>
            <w:r w:rsidR="00244671">
              <w:rPr>
                <w:noProof/>
                <w:color w:val="000000"/>
                <w:highlight w:val="black"/>
              </w:rPr>
              <w:t>'''''''''''''</w:t>
            </w:r>
          </w:p>
        </w:tc>
        <w:tc>
          <w:tcPr>
            <w:tcW w:w="913" w:type="pct"/>
            <w:hideMark/>
          </w:tcPr>
          <w:p w:rsidR="001F5690" w:rsidRPr="003C6C31" w:rsidRDefault="001F5690" w:rsidP="00785BBC">
            <w:pPr>
              <w:pStyle w:val="Tabletext"/>
              <w:jc w:val="center"/>
            </w:pPr>
            <w:r w:rsidRPr="003C6C31">
              <w:t>$</w:t>
            </w:r>
            <w:r w:rsidR="00244671">
              <w:rPr>
                <w:noProof/>
                <w:color w:val="000000"/>
                <w:highlight w:val="black"/>
              </w:rPr>
              <w:t>'''</w:t>
            </w:r>
          </w:p>
        </w:tc>
        <w:tc>
          <w:tcPr>
            <w:tcW w:w="944" w:type="pct"/>
            <w:hideMark/>
          </w:tcPr>
          <w:p w:rsidR="001F5690" w:rsidRPr="003C6C31" w:rsidRDefault="001F5690" w:rsidP="00785BBC">
            <w:pPr>
              <w:pStyle w:val="Tabletext"/>
              <w:jc w:val="center"/>
            </w:pPr>
            <w:r w:rsidRPr="003C6C31">
              <w:t>$</w:t>
            </w:r>
            <w:r w:rsidR="00244671">
              <w:rPr>
                <w:noProof/>
                <w:color w:val="000000"/>
                <w:highlight w:val="black"/>
              </w:rPr>
              <w:t>'''''''''''''''</w:t>
            </w:r>
          </w:p>
        </w:tc>
      </w:tr>
      <w:tr w:rsidR="001F5690" w:rsidRPr="003C6C31" w:rsidTr="00F461AB">
        <w:tc>
          <w:tcPr>
            <w:tcW w:w="2056" w:type="pct"/>
            <w:hideMark/>
          </w:tcPr>
          <w:p w:rsidR="001F5690" w:rsidRPr="003C6C31" w:rsidRDefault="001F5690" w:rsidP="00785BBC">
            <w:pPr>
              <w:pStyle w:val="Tabletext"/>
            </w:pPr>
            <w:r w:rsidRPr="003C6C31">
              <w:t>50% response rate (PGTC seizures)</w:t>
            </w:r>
            <w:r w:rsidRPr="003C6C31">
              <w:rPr>
                <w:vertAlign w:val="superscript"/>
              </w:rPr>
              <w:t>a</w:t>
            </w:r>
          </w:p>
        </w:tc>
        <w:tc>
          <w:tcPr>
            <w:tcW w:w="1087" w:type="pct"/>
            <w:hideMark/>
          </w:tcPr>
          <w:p w:rsidR="001F5690" w:rsidRPr="003C6C31" w:rsidRDefault="001F5690" w:rsidP="00785BBC">
            <w:pPr>
              <w:pStyle w:val="Tabletext"/>
              <w:jc w:val="center"/>
            </w:pPr>
            <w:r w:rsidRPr="003C6C31">
              <w:t>52/81 (64.2)</w:t>
            </w:r>
          </w:p>
        </w:tc>
        <w:tc>
          <w:tcPr>
            <w:tcW w:w="913" w:type="pct"/>
            <w:hideMark/>
          </w:tcPr>
          <w:p w:rsidR="001F5690" w:rsidRPr="003C6C31" w:rsidRDefault="001F5690" w:rsidP="00785BBC">
            <w:pPr>
              <w:pStyle w:val="Tabletext"/>
              <w:jc w:val="center"/>
            </w:pPr>
            <w:r w:rsidRPr="003C6C31">
              <w:t>32/81 (39.5)</w:t>
            </w:r>
          </w:p>
        </w:tc>
        <w:tc>
          <w:tcPr>
            <w:tcW w:w="944" w:type="pct"/>
            <w:noWrap/>
            <w:hideMark/>
          </w:tcPr>
          <w:p w:rsidR="001F5690" w:rsidRPr="003C6C31" w:rsidRDefault="001F5690" w:rsidP="00785BBC">
            <w:pPr>
              <w:pStyle w:val="Tabletext"/>
              <w:jc w:val="center"/>
            </w:pPr>
            <w:r w:rsidRPr="003C6C31">
              <w:t>0.25</w:t>
            </w:r>
          </w:p>
        </w:tc>
      </w:tr>
      <w:tr w:rsidR="001F5690" w:rsidRPr="003C6C31" w:rsidTr="00F461AB">
        <w:tc>
          <w:tcPr>
            <w:tcW w:w="4056" w:type="pct"/>
            <w:gridSpan w:val="3"/>
            <w:hideMark/>
          </w:tcPr>
          <w:p w:rsidR="001F5690" w:rsidRPr="003C6C31" w:rsidRDefault="001F5690" w:rsidP="00785BBC">
            <w:pPr>
              <w:pStyle w:val="Tabletext"/>
              <w:rPr>
                <w:b/>
              </w:rPr>
            </w:pPr>
            <w:r w:rsidRPr="003C6C31">
              <w:rPr>
                <w:b/>
              </w:rPr>
              <w:t>Incremental cost/extra PGTC seizure-free person over 17 weeks</w:t>
            </w:r>
          </w:p>
        </w:tc>
        <w:tc>
          <w:tcPr>
            <w:tcW w:w="944" w:type="pct"/>
            <w:hideMark/>
          </w:tcPr>
          <w:p w:rsidR="001F5690" w:rsidRPr="003C6C31" w:rsidRDefault="001F5690" w:rsidP="00785BBC">
            <w:pPr>
              <w:pStyle w:val="Tabletext"/>
              <w:jc w:val="center"/>
              <w:rPr>
                <w:b/>
              </w:rPr>
            </w:pPr>
            <w:r w:rsidRPr="003C6C31">
              <w:rPr>
                <w:b/>
              </w:rPr>
              <w:t>$</w:t>
            </w:r>
            <w:r w:rsidR="00244671">
              <w:rPr>
                <w:b/>
                <w:noProof/>
                <w:color w:val="000000"/>
                <w:highlight w:val="black"/>
              </w:rPr>
              <w:t>'''''''''''</w:t>
            </w:r>
          </w:p>
        </w:tc>
      </w:tr>
      <w:tr w:rsidR="001F5690" w:rsidRPr="003C6C31" w:rsidTr="00F461AB">
        <w:tc>
          <w:tcPr>
            <w:tcW w:w="2056" w:type="pct"/>
            <w:noWrap/>
            <w:hideMark/>
          </w:tcPr>
          <w:p w:rsidR="001F5690" w:rsidRPr="003C6C31" w:rsidRDefault="001F5690" w:rsidP="00785BBC">
            <w:pPr>
              <w:pStyle w:val="Tabletext"/>
            </w:pPr>
            <w:r w:rsidRPr="003C6C31">
              <w:t>Costs</w:t>
            </w:r>
          </w:p>
        </w:tc>
        <w:tc>
          <w:tcPr>
            <w:tcW w:w="1087" w:type="pct"/>
            <w:noWrap/>
            <w:hideMark/>
          </w:tcPr>
          <w:p w:rsidR="001F5690" w:rsidRPr="003C6C31" w:rsidRDefault="001F5690" w:rsidP="00785BBC">
            <w:pPr>
              <w:pStyle w:val="Tabletext"/>
              <w:jc w:val="center"/>
            </w:pPr>
            <w:r w:rsidRPr="003C6C31">
              <w:t>$</w:t>
            </w:r>
            <w:r w:rsidR="00244671">
              <w:rPr>
                <w:noProof/>
                <w:color w:val="000000"/>
                <w:highlight w:val="black"/>
              </w:rPr>
              <w:t>''''''''''''</w:t>
            </w:r>
          </w:p>
        </w:tc>
        <w:tc>
          <w:tcPr>
            <w:tcW w:w="913" w:type="pct"/>
            <w:noWrap/>
            <w:hideMark/>
          </w:tcPr>
          <w:p w:rsidR="001F5690" w:rsidRPr="003C6C31" w:rsidRDefault="001F5690" w:rsidP="00785BBC">
            <w:pPr>
              <w:pStyle w:val="Tabletext"/>
              <w:jc w:val="center"/>
            </w:pPr>
            <w:r w:rsidRPr="003C6C31">
              <w:t>$</w:t>
            </w:r>
            <w:r w:rsidR="00244671">
              <w:rPr>
                <w:noProof/>
                <w:color w:val="000000"/>
                <w:highlight w:val="black"/>
              </w:rPr>
              <w:t>'''</w:t>
            </w:r>
          </w:p>
        </w:tc>
        <w:tc>
          <w:tcPr>
            <w:tcW w:w="944" w:type="pct"/>
            <w:noWrap/>
            <w:hideMark/>
          </w:tcPr>
          <w:p w:rsidR="001F5690" w:rsidRPr="003C6C31" w:rsidRDefault="001F5690" w:rsidP="00785BBC">
            <w:pPr>
              <w:pStyle w:val="Tabletext"/>
              <w:jc w:val="center"/>
            </w:pPr>
            <w:r w:rsidRPr="003C6C31">
              <w:t>$</w:t>
            </w:r>
            <w:r w:rsidR="00244671">
              <w:rPr>
                <w:noProof/>
                <w:color w:val="000000"/>
                <w:highlight w:val="black"/>
              </w:rPr>
              <w:t>'''''''''''''</w:t>
            </w:r>
          </w:p>
        </w:tc>
      </w:tr>
      <w:tr w:rsidR="001F5690" w:rsidRPr="003C6C31" w:rsidTr="00F461AB">
        <w:tc>
          <w:tcPr>
            <w:tcW w:w="2056" w:type="pct"/>
            <w:noWrap/>
            <w:hideMark/>
          </w:tcPr>
          <w:p w:rsidR="001F5690" w:rsidRPr="003C6C31" w:rsidRDefault="001F5690" w:rsidP="00785BBC">
            <w:pPr>
              <w:pStyle w:val="Tabletext"/>
            </w:pPr>
            <w:r w:rsidRPr="003C6C31">
              <w:t>PGTC seizure-free status</w:t>
            </w:r>
            <w:r w:rsidRPr="003C6C31">
              <w:rPr>
                <w:vertAlign w:val="superscript"/>
              </w:rPr>
              <w:t>b</w:t>
            </w:r>
          </w:p>
        </w:tc>
        <w:tc>
          <w:tcPr>
            <w:tcW w:w="1087" w:type="pct"/>
            <w:noWrap/>
            <w:hideMark/>
          </w:tcPr>
          <w:p w:rsidR="001F5690" w:rsidRPr="003C6C31" w:rsidRDefault="001F5690" w:rsidP="00785BBC">
            <w:pPr>
              <w:pStyle w:val="Tabletext"/>
              <w:jc w:val="center"/>
            </w:pPr>
            <w:r w:rsidRPr="003C6C31">
              <w:t>25/81 (30.9)</w:t>
            </w:r>
          </w:p>
        </w:tc>
        <w:tc>
          <w:tcPr>
            <w:tcW w:w="913" w:type="pct"/>
            <w:noWrap/>
            <w:hideMark/>
          </w:tcPr>
          <w:p w:rsidR="001F5690" w:rsidRPr="003C6C31" w:rsidRDefault="001F5690" w:rsidP="00785BBC">
            <w:pPr>
              <w:pStyle w:val="Tabletext"/>
              <w:jc w:val="center"/>
            </w:pPr>
            <w:r w:rsidRPr="003C6C31">
              <w:t>10/81 (12.3)</w:t>
            </w:r>
          </w:p>
        </w:tc>
        <w:tc>
          <w:tcPr>
            <w:tcW w:w="944" w:type="pct"/>
            <w:noWrap/>
            <w:hideMark/>
          </w:tcPr>
          <w:p w:rsidR="001F5690" w:rsidRPr="003C6C31" w:rsidRDefault="001F5690" w:rsidP="00785BBC">
            <w:pPr>
              <w:pStyle w:val="Tabletext"/>
              <w:jc w:val="center"/>
            </w:pPr>
            <w:r w:rsidRPr="003C6C31">
              <w:t>0.19</w:t>
            </w:r>
          </w:p>
        </w:tc>
      </w:tr>
      <w:tr w:rsidR="001F5690" w:rsidRPr="003C6C31" w:rsidTr="00F461AB">
        <w:tc>
          <w:tcPr>
            <w:tcW w:w="4056" w:type="pct"/>
            <w:gridSpan w:val="3"/>
            <w:hideMark/>
          </w:tcPr>
          <w:p w:rsidR="001F5690" w:rsidRPr="003C6C31" w:rsidRDefault="001F5690" w:rsidP="00785BBC">
            <w:pPr>
              <w:pStyle w:val="Tabletext"/>
            </w:pPr>
            <w:r w:rsidRPr="003C6C31">
              <w:t>Incremental cost/extra PGTC seizure free person over 17 weeks</w:t>
            </w:r>
          </w:p>
        </w:tc>
        <w:tc>
          <w:tcPr>
            <w:tcW w:w="944" w:type="pct"/>
            <w:hideMark/>
          </w:tcPr>
          <w:p w:rsidR="001F5690" w:rsidRPr="003C6C31" w:rsidRDefault="001F5690" w:rsidP="00785BBC">
            <w:pPr>
              <w:pStyle w:val="Tabletext"/>
              <w:jc w:val="center"/>
            </w:pPr>
            <w:r w:rsidRPr="003C6C31">
              <w:t>$</w:t>
            </w:r>
            <w:r w:rsidR="00244671">
              <w:rPr>
                <w:noProof/>
                <w:color w:val="000000"/>
                <w:highlight w:val="black"/>
              </w:rPr>
              <w:t>''''''''''''''</w:t>
            </w:r>
          </w:p>
        </w:tc>
      </w:tr>
    </w:tbl>
    <w:p w:rsidR="001F5690" w:rsidRPr="003C6C31" w:rsidRDefault="001F5690" w:rsidP="00785BBC">
      <w:pPr>
        <w:pStyle w:val="TableFooter"/>
        <w:widowControl/>
        <w:ind w:left="720"/>
      </w:pPr>
      <w:r w:rsidRPr="003C6C31">
        <w:rPr>
          <w:vertAlign w:val="superscript"/>
        </w:rPr>
        <w:t>a</w:t>
      </w:r>
      <w:r w:rsidRPr="003C6C31">
        <w:t>Table 14.2.1.7, p447, Trial 332 CSR</w:t>
      </w:r>
    </w:p>
    <w:p w:rsidR="001F5690" w:rsidRPr="003C6C31" w:rsidRDefault="001F5690" w:rsidP="00785BBC">
      <w:pPr>
        <w:pStyle w:val="TableFooter"/>
        <w:widowControl/>
        <w:ind w:left="720"/>
      </w:pPr>
      <w:r w:rsidRPr="003C6C31">
        <w:rPr>
          <w:vertAlign w:val="superscript"/>
        </w:rPr>
        <w:t>b</w:t>
      </w:r>
      <w:r w:rsidRPr="003C6C31">
        <w:t>Table 14.2.1.14, p501 of Trial 332 CSR</w:t>
      </w:r>
    </w:p>
    <w:p w:rsidR="001F5690" w:rsidRPr="003C6C31" w:rsidRDefault="001F5690" w:rsidP="00785BBC">
      <w:pPr>
        <w:pStyle w:val="TableFooter"/>
        <w:widowControl/>
        <w:ind w:left="720"/>
      </w:pPr>
      <w:r w:rsidRPr="003C6C31">
        <w:t>PGTC = primary generalised tonic clonic</w:t>
      </w:r>
    </w:p>
    <w:p w:rsidR="001F5690" w:rsidRPr="003C6C31" w:rsidRDefault="001F5690" w:rsidP="00785BBC">
      <w:pPr>
        <w:pStyle w:val="TableFooter"/>
        <w:widowControl/>
        <w:ind w:left="720"/>
      </w:pPr>
      <w:r w:rsidRPr="003C6C31">
        <w:t>Source: compiled during the evaluation</w:t>
      </w:r>
    </w:p>
    <w:p w:rsidR="001F5690" w:rsidRPr="003C6C31" w:rsidRDefault="001F5690" w:rsidP="00785BBC">
      <w:pPr>
        <w:pStyle w:val="ListParagraph"/>
        <w:widowControl/>
        <w:rPr>
          <w:szCs w:val="22"/>
        </w:rPr>
      </w:pPr>
    </w:p>
    <w:p w:rsidR="00915ED0" w:rsidRDefault="00915ED0" w:rsidP="00915ED0">
      <w:pPr>
        <w:pStyle w:val="ListParagraph"/>
        <w:widowControl/>
        <w:rPr>
          <w:szCs w:val="22"/>
        </w:rPr>
      </w:pPr>
      <w:r>
        <w:rPr>
          <w:szCs w:val="22"/>
        </w:rPr>
        <w:t>The redacted table shows an incremental cost/extra PGTC seizure free person over 17 weeks is less than $15,000.</w:t>
      </w:r>
    </w:p>
    <w:p w:rsidR="00915ED0" w:rsidRDefault="00915ED0" w:rsidP="00915ED0">
      <w:pPr>
        <w:pStyle w:val="ListParagraph"/>
        <w:widowControl/>
        <w:rPr>
          <w:szCs w:val="22"/>
        </w:rPr>
      </w:pPr>
    </w:p>
    <w:p w:rsidR="001F5690" w:rsidRPr="003C6C31" w:rsidRDefault="001F5690" w:rsidP="00785BBC">
      <w:pPr>
        <w:pStyle w:val="ListParagraph"/>
        <w:widowControl/>
        <w:numPr>
          <w:ilvl w:val="1"/>
          <w:numId w:val="7"/>
        </w:numPr>
        <w:rPr>
          <w:szCs w:val="22"/>
        </w:rPr>
      </w:pPr>
      <w:r w:rsidRPr="003C6C31">
        <w:rPr>
          <w:szCs w:val="22"/>
        </w:rPr>
        <w:t xml:space="preserve">During the evaluation, a number of sensitivity analyses were conducted and it was found that </w:t>
      </w:r>
      <w:r w:rsidRPr="003C6C31">
        <w:t>t</w:t>
      </w:r>
      <w:r w:rsidR="007E10D7" w:rsidRPr="003C6C31">
        <w:t>he model wa</w:t>
      </w:r>
      <w:r w:rsidRPr="003C6C31">
        <w:t>s very sensitive to the transition probability from ‘&lt;50% response’ to ‘increase in seizures’ response categories. The assumption that a constant proportion of patients would continue to fail treatment (i.e. experience an increase in seizures from previously achieving a &lt;50% response) in each subsequent cycle, coupled with the assumption that patients who experience an increase in seizures will be assumed to move to ‘maintenance therapy’ category where their seizure frequency will be unchanged until death, benefit</w:t>
      </w:r>
      <w:r w:rsidR="007E10D7" w:rsidRPr="003C6C31">
        <w:t>ed</w:t>
      </w:r>
      <w:r w:rsidRPr="003C6C31">
        <w:t xml:space="preserve"> the perampanel arm. As soon as patients experience</w:t>
      </w:r>
      <w:r w:rsidR="007E10D7" w:rsidRPr="003C6C31">
        <w:t>d</w:t>
      </w:r>
      <w:r w:rsidRPr="003C6C31">
        <w:t xml:space="preserve"> an increase in seizures, patients in the perampanel arm </w:t>
      </w:r>
      <w:r w:rsidR="007E10D7" w:rsidRPr="003C6C31">
        <w:t>we</w:t>
      </w:r>
      <w:r w:rsidRPr="003C6C31">
        <w:t>re assumed to continue experiencing the same baseline number of seizures (i.e. no change to utility or non-pharmaceutical health state costs) and are expected to discontinue treatment with perampanel (reducing the average cost per cycle by $</w:t>
      </w:r>
      <w:r w:rsidR="00244671">
        <w:rPr>
          <w:noProof/>
          <w:color w:val="000000"/>
          <w:highlight w:val="black"/>
        </w:rPr>
        <w:t>''''''''''''</w:t>
      </w:r>
      <w:r w:rsidRPr="003C6C31">
        <w:t>, from $</w:t>
      </w:r>
      <w:r w:rsidR="00244671">
        <w:rPr>
          <w:noProof/>
          <w:color w:val="000000"/>
          <w:highlight w:val="black"/>
        </w:rPr>
        <w:t>'''''''''''''</w:t>
      </w:r>
      <w:r w:rsidRPr="003C6C31">
        <w:t>). By year 6 (cycle 18), approximately 40% of the patients in the perampanel arm ha</w:t>
      </w:r>
      <w:r w:rsidR="007E10D7" w:rsidRPr="003C6C31">
        <w:t>d</w:t>
      </w:r>
      <w:r w:rsidRPr="003C6C31">
        <w:t xml:space="preserve"> failed treatment and ha</w:t>
      </w:r>
      <w:r w:rsidR="007E10D7" w:rsidRPr="003C6C31">
        <w:t>d</w:t>
      </w:r>
      <w:r w:rsidRPr="003C6C31">
        <w:t xml:space="preserve"> discontinued perampanel. Although not explicitly stated in Neligan et al, it </w:t>
      </w:r>
      <w:r w:rsidR="007E10D7" w:rsidRPr="003C6C31">
        <w:t>wa</w:t>
      </w:r>
      <w:r w:rsidRPr="003C6C31">
        <w:t>s likely that the ‘&lt;50% reduction’ category also included those who had experienced an increase in seizures compared to baseline. Removing the transition probability from the ‘&lt;50% reduction’ to ‘seizure increase’ response categories subsequent to the first cycle increases the ICER to $</w:t>
      </w:r>
      <w:r w:rsidR="00915ED0">
        <w:t>75,000</w:t>
      </w:r>
      <w:r w:rsidRPr="003C6C31">
        <w:t>/QALY</w:t>
      </w:r>
      <w:r w:rsidR="00915ED0">
        <w:t xml:space="preserve"> - $105,000/QALY</w:t>
      </w:r>
      <w:r w:rsidRPr="003C6C31">
        <w:t>.</w:t>
      </w:r>
    </w:p>
    <w:p w:rsidR="001F5690" w:rsidRPr="003C6C31" w:rsidRDefault="001F5690" w:rsidP="00785BBC">
      <w:pPr>
        <w:pStyle w:val="ListParagraph"/>
        <w:widowControl/>
        <w:rPr>
          <w:szCs w:val="22"/>
        </w:rPr>
      </w:pPr>
    </w:p>
    <w:p w:rsidR="001F5690" w:rsidRPr="003C6C31" w:rsidRDefault="001F5690" w:rsidP="00785BBC">
      <w:pPr>
        <w:pStyle w:val="ListParagraph"/>
        <w:widowControl/>
        <w:numPr>
          <w:ilvl w:val="1"/>
          <w:numId w:val="7"/>
        </w:numPr>
        <w:rPr>
          <w:szCs w:val="22"/>
        </w:rPr>
      </w:pPr>
      <w:r w:rsidRPr="003C6C31">
        <w:t>Given the fundamental uncertainty of the economic model in terms of model structure and of key inputs (including transition probabilities, risk of death and utility values), the results of the model and any sensitivity analysis should be interpreted with caution.</w:t>
      </w:r>
    </w:p>
    <w:p w:rsidR="001F5690" w:rsidRPr="003C6C31" w:rsidRDefault="001F5690" w:rsidP="00785BBC">
      <w:pPr>
        <w:widowControl/>
        <w:rPr>
          <w:szCs w:val="22"/>
        </w:rPr>
      </w:pPr>
    </w:p>
    <w:p w:rsidR="001F5690" w:rsidRPr="003C6C31" w:rsidRDefault="001F5690" w:rsidP="00244671">
      <w:pPr>
        <w:pStyle w:val="Heading2"/>
      </w:pPr>
      <w:bookmarkStart w:id="14" w:name="_Toc451242691"/>
      <w:r w:rsidRPr="00244671">
        <w:t>Drug cost/patient/day</w:t>
      </w:r>
      <w:bookmarkEnd w:id="14"/>
      <w:r w:rsidR="007B079A" w:rsidRPr="00244671">
        <w:t>:</w:t>
      </w:r>
      <w:r w:rsidR="007B079A">
        <w:t xml:space="preserve"> $</w:t>
      </w:r>
      <w:r w:rsidR="00244671">
        <w:rPr>
          <w:noProof/>
          <w:color w:val="000000"/>
          <w:highlight w:val="black"/>
        </w:rPr>
        <w:t>''''''''''</w:t>
      </w:r>
    </w:p>
    <w:p w:rsidR="001F5690" w:rsidRPr="003C6C31" w:rsidRDefault="001F5690" w:rsidP="00785BBC">
      <w:pPr>
        <w:widowControl/>
      </w:pPr>
    </w:p>
    <w:p w:rsidR="001F5690" w:rsidRPr="003C6C31" w:rsidRDefault="001F5690" w:rsidP="00785BBC">
      <w:pPr>
        <w:pStyle w:val="ListParagraph"/>
        <w:widowControl/>
        <w:numPr>
          <w:ilvl w:val="1"/>
          <w:numId w:val="7"/>
        </w:numPr>
        <w:rPr>
          <w:szCs w:val="22"/>
        </w:rPr>
      </w:pPr>
      <w:r w:rsidRPr="003C6C31">
        <w:rPr>
          <w:szCs w:val="22"/>
        </w:rPr>
        <w:t>$</w:t>
      </w:r>
      <w:r w:rsidR="00244671">
        <w:rPr>
          <w:noProof/>
          <w:color w:val="000000"/>
          <w:szCs w:val="22"/>
          <w:highlight w:val="black"/>
        </w:rPr>
        <w:t>'''''''''''''</w:t>
      </w:r>
      <w:r w:rsidRPr="003C6C31">
        <w:rPr>
          <w:szCs w:val="22"/>
        </w:rPr>
        <w:t xml:space="preserve"> / day, for a dose of </w:t>
      </w:r>
      <w:r w:rsidR="00244671">
        <w:rPr>
          <w:noProof/>
          <w:color w:val="000000"/>
          <w:szCs w:val="22"/>
          <w:highlight w:val="black"/>
        </w:rPr>
        <w:t>'''</w:t>
      </w:r>
      <w:r w:rsidRPr="003C6C31">
        <w:rPr>
          <w:szCs w:val="22"/>
        </w:rPr>
        <w:t>mg / day</w:t>
      </w:r>
      <w:r w:rsidR="00B937CE" w:rsidRPr="003C6C31">
        <w:rPr>
          <w:szCs w:val="22"/>
        </w:rPr>
        <w:t xml:space="preserve"> (based on a DPMQ of $</w:t>
      </w:r>
      <w:r w:rsidR="00244671">
        <w:rPr>
          <w:noProof/>
          <w:color w:val="000000"/>
          <w:szCs w:val="22"/>
          <w:highlight w:val="black"/>
        </w:rPr>
        <w:t>''''''''''''''''</w:t>
      </w:r>
      <w:r w:rsidR="00B937CE" w:rsidRPr="003C6C31">
        <w:rPr>
          <w:szCs w:val="22"/>
        </w:rPr>
        <w:t xml:space="preserve"> for a pack of 28 tablets</w:t>
      </w:r>
      <w:r w:rsidR="00B937CE" w:rsidRPr="003C6C31">
        <w:rPr>
          <w:sz w:val="20"/>
        </w:rPr>
        <w:t>)</w:t>
      </w:r>
      <w:r w:rsidRPr="003C6C31">
        <w:rPr>
          <w:szCs w:val="22"/>
        </w:rPr>
        <w:t>. Patients responding to perampanel would be expected to continue taking perampanel indefinitely due to the chronic nature of the disease.</w:t>
      </w:r>
    </w:p>
    <w:p w:rsidR="00B32AC8" w:rsidRPr="003C6C31" w:rsidRDefault="00B32AC8" w:rsidP="00785BBC">
      <w:pPr>
        <w:widowControl/>
        <w:rPr>
          <w:szCs w:val="22"/>
        </w:rPr>
      </w:pPr>
    </w:p>
    <w:p w:rsidR="001F5690" w:rsidRPr="003C6C31" w:rsidRDefault="001F5690" w:rsidP="00244671">
      <w:pPr>
        <w:pStyle w:val="Heading2"/>
      </w:pPr>
      <w:bookmarkStart w:id="15" w:name="_Toc451242692"/>
      <w:r w:rsidRPr="003C6C31">
        <w:t>Estimated PBS usage &amp; financial implications</w:t>
      </w:r>
      <w:bookmarkEnd w:id="15"/>
    </w:p>
    <w:p w:rsidR="001F5690" w:rsidRPr="003C6C31" w:rsidRDefault="001F5690" w:rsidP="00785BBC">
      <w:pPr>
        <w:keepNext/>
        <w:widowControl/>
        <w:ind w:left="720" w:hanging="720"/>
        <w:rPr>
          <w:b/>
          <w:szCs w:val="22"/>
        </w:rPr>
      </w:pPr>
    </w:p>
    <w:p w:rsidR="001F5690" w:rsidRPr="003C6C31" w:rsidRDefault="00A85A05" w:rsidP="00785BBC">
      <w:pPr>
        <w:pStyle w:val="ListParagraph"/>
        <w:widowControl/>
        <w:numPr>
          <w:ilvl w:val="1"/>
          <w:numId w:val="7"/>
        </w:numPr>
        <w:rPr>
          <w:szCs w:val="22"/>
        </w:rPr>
      </w:pPr>
      <w:r>
        <w:t>This submission wa</w:t>
      </w:r>
      <w:r w:rsidR="001F5690" w:rsidRPr="003C6C31">
        <w:t>s not considered by DUSC</w:t>
      </w:r>
      <w:r w:rsidR="001F5690" w:rsidRPr="003C6C31">
        <w:rPr>
          <w:color w:val="0070C0"/>
        </w:rPr>
        <w:t xml:space="preserve">. </w:t>
      </w:r>
    </w:p>
    <w:p w:rsidR="001F5690" w:rsidRPr="003C6C31" w:rsidRDefault="001F5690" w:rsidP="00785BBC">
      <w:pPr>
        <w:pStyle w:val="ListParagraph"/>
        <w:widowControl/>
        <w:rPr>
          <w:szCs w:val="22"/>
        </w:rPr>
      </w:pPr>
    </w:p>
    <w:p w:rsidR="001F5690" w:rsidRPr="003C6C31" w:rsidRDefault="001F5690" w:rsidP="00785BBC">
      <w:pPr>
        <w:pStyle w:val="ListParagraph"/>
        <w:widowControl/>
        <w:numPr>
          <w:ilvl w:val="1"/>
          <w:numId w:val="7"/>
        </w:numPr>
        <w:rPr>
          <w:szCs w:val="22"/>
        </w:rPr>
      </w:pPr>
      <w:r w:rsidRPr="003C6C31">
        <w:t>The submission used an epidemiological approach to estimate the financial impact of extending the current PBS listing of perampanel to include patients aged 12 years and older with epilepsy and PGTC seizures who have failed treatment with at least three AEDs (two of which must be second-line adjunctive agents).</w:t>
      </w:r>
    </w:p>
    <w:p w:rsidR="001F5690" w:rsidRPr="003C6C31" w:rsidRDefault="001F5690" w:rsidP="00785BBC">
      <w:pPr>
        <w:widowControl/>
        <w:rPr>
          <w:szCs w:val="22"/>
        </w:rPr>
      </w:pPr>
      <w:r w:rsidRPr="003C6C31">
        <w:rPr>
          <w:szCs w:val="22"/>
        </w:rPr>
        <w:t xml:space="preserve"> </w:t>
      </w:r>
    </w:p>
    <w:p w:rsidR="001F5690" w:rsidRPr="003C6C31" w:rsidRDefault="001F5690" w:rsidP="00785BBC">
      <w:pPr>
        <w:pStyle w:val="TableHeader"/>
        <w:widowControl/>
        <w:ind w:firstLine="720"/>
      </w:pPr>
      <w:r w:rsidRPr="003C6C31">
        <w:t>Table 13: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71"/>
        <w:gridCol w:w="1133"/>
        <w:gridCol w:w="1133"/>
        <w:gridCol w:w="1275"/>
        <w:gridCol w:w="1275"/>
        <w:gridCol w:w="1259"/>
      </w:tblGrid>
      <w:tr w:rsidR="001F5690" w:rsidRPr="003C6C31" w:rsidTr="00F461AB">
        <w:trPr>
          <w:tblHeader/>
        </w:trPr>
        <w:tc>
          <w:tcPr>
            <w:tcW w:w="1360" w:type="pct"/>
            <w:shd w:val="clear" w:color="auto" w:fill="auto"/>
            <w:vAlign w:val="center"/>
          </w:tcPr>
          <w:p w:rsidR="001F5690" w:rsidRPr="003C6C31" w:rsidRDefault="001F5690" w:rsidP="00785BBC">
            <w:pPr>
              <w:widowControl/>
              <w:tabs>
                <w:tab w:val="left" w:pos="142"/>
              </w:tabs>
              <w:jc w:val="left"/>
              <w:rPr>
                <w:rFonts w:ascii="Arial Narrow" w:hAnsi="Arial Narrow"/>
                <w:b/>
                <w:sz w:val="20"/>
              </w:rPr>
            </w:pPr>
          </w:p>
        </w:tc>
        <w:tc>
          <w:tcPr>
            <w:tcW w:w="679" w:type="pct"/>
            <w:shd w:val="clear" w:color="auto" w:fill="auto"/>
            <w:vAlign w:val="center"/>
          </w:tcPr>
          <w:p w:rsidR="001F5690" w:rsidRPr="003C6C31" w:rsidRDefault="001F5690" w:rsidP="00785BBC">
            <w:pPr>
              <w:widowControl/>
              <w:jc w:val="center"/>
              <w:rPr>
                <w:rFonts w:ascii="Arial Narrow" w:hAnsi="Arial Narrow"/>
                <w:b/>
                <w:sz w:val="20"/>
              </w:rPr>
            </w:pPr>
            <w:r w:rsidRPr="003C6C31">
              <w:rPr>
                <w:rFonts w:ascii="Arial Narrow" w:hAnsi="Arial Narrow"/>
                <w:b/>
                <w:sz w:val="20"/>
              </w:rPr>
              <w:t>Year 1</w:t>
            </w:r>
          </w:p>
        </w:tc>
        <w:tc>
          <w:tcPr>
            <w:tcW w:w="679" w:type="pct"/>
            <w:shd w:val="clear" w:color="auto" w:fill="auto"/>
            <w:vAlign w:val="center"/>
          </w:tcPr>
          <w:p w:rsidR="001F5690" w:rsidRPr="003C6C31" w:rsidRDefault="001F5690" w:rsidP="00785BBC">
            <w:pPr>
              <w:widowControl/>
              <w:jc w:val="center"/>
              <w:rPr>
                <w:rFonts w:ascii="Arial Narrow" w:hAnsi="Arial Narrow"/>
                <w:b/>
                <w:sz w:val="20"/>
              </w:rPr>
            </w:pPr>
            <w:r w:rsidRPr="003C6C31">
              <w:rPr>
                <w:rFonts w:ascii="Arial Narrow" w:hAnsi="Arial Narrow"/>
                <w:b/>
                <w:sz w:val="20"/>
              </w:rPr>
              <w:t>Year 2</w:t>
            </w:r>
          </w:p>
        </w:tc>
        <w:tc>
          <w:tcPr>
            <w:tcW w:w="764" w:type="pct"/>
            <w:shd w:val="clear" w:color="auto" w:fill="auto"/>
            <w:vAlign w:val="center"/>
          </w:tcPr>
          <w:p w:rsidR="001F5690" w:rsidRPr="003C6C31" w:rsidRDefault="001F5690" w:rsidP="00785BBC">
            <w:pPr>
              <w:widowControl/>
              <w:jc w:val="center"/>
              <w:rPr>
                <w:rFonts w:ascii="Arial Narrow" w:hAnsi="Arial Narrow"/>
                <w:b/>
                <w:sz w:val="20"/>
              </w:rPr>
            </w:pPr>
            <w:r w:rsidRPr="003C6C31">
              <w:rPr>
                <w:rFonts w:ascii="Arial Narrow" w:hAnsi="Arial Narrow"/>
                <w:b/>
                <w:sz w:val="20"/>
              </w:rPr>
              <w:t>Year 3</w:t>
            </w:r>
          </w:p>
        </w:tc>
        <w:tc>
          <w:tcPr>
            <w:tcW w:w="764" w:type="pct"/>
            <w:shd w:val="clear" w:color="auto" w:fill="auto"/>
            <w:vAlign w:val="center"/>
          </w:tcPr>
          <w:p w:rsidR="001F5690" w:rsidRPr="003C6C31" w:rsidRDefault="001F5690" w:rsidP="00785BBC">
            <w:pPr>
              <w:widowControl/>
              <w:jc w:val="center"/>
              <w:rPr>
                <w:rFonts w:ascii="Arial Narrow" w:hAnsi="Arial Narrow"/>
                <w:b/>
                <w:sz w:val="20"/>
              </w:rPr>
            </w:pPr>
            <w:r w:rsidRPr="003C6C31">
              <w:rPr>
                <w:rFonts w:ascii="Arial Narrow" w:hAnsi="Arial Narrow"/>
                <w:b/>
                <w:sz w:val="20"/>
              </w:rPr>
              <w:t>Year 4</w:t>
            </w:r>
          </w:p>
        </w:tc>
        <w:tc>
          <w:tcPr>
            <w:tcW w:w="754" w:type="pct"/>
            <w:shd w:val="clear" w:color="auto" w:fill="auto"/>
            <w:vAlign w:val="center"/>
          </w:tcPr>
          <w:p w:rsidR="001F5690" w:rsidRPr="003C6C31" w:rsidRDefault="001F5690" w:rsidP="00785BBC">
            <w:pPr>
              <w:widowControl/>
              <w:jc w:val="center"/>
              <w:rPr>
                <w:rFonts w:ascii="Arial Narrow" w:hAnsi="Arial Narrow"/>
                <w:b/>
                <w:sz w:val="20"/>
              </w:rPr>
            </w:pPr>
            <w:r w:rsidRPr="003C6C31">
              <w:rPr>
                <w:rFonts w:ascii="Arial Narrow" w:hAnsi="Arial Narrow"/>
                <w:b/>
                <w:sz w:val="20"/>
              </w:rPr>
              <w:t>Year 5</w:t>
            </w:r>
          </w:p>
        </w:tc>
      </w:tr>
      <w:tr w:rsidR="001F5690" w:rsidRPr="003C6C31" w:rsidTr="00F461AB">
        <w:tc>
          <w:tcPr>
            <w:tcW w:w="5000" w:type="pct"/>
            <w:gridSpan w:val="6"/>
            <w:shd w:val="clear" w:color="auto" w:fill="auto"/>
            <w:vAlign w:val="center"/>
          </w:tcPr>
          <w:p w:rsidR="001F5690" w:rsidRPr="003C6C31" w:rsidRDefault="001F5690" w:rsidP="00785BBC">
            <w:pPr>
              <w:widowControl/>
              <w:jc w:val="left"/>
              <w:rPr>
                <w:rFonts w:ascii="Arial Narrow" w:hAnsi="Arial Narrow"/>
                <w:b/>
                <w:bCs/>
                <w:color w:val="000000"/>
                <w:sz w:val="20"/>
              </w:rPr>
            </w:pPr>
            <w:r w:rsidRPr="003C6C31">
              <w:rPr>
                <w:rFonts w:ascii="Arial Narrow" w:hAnsi="Arial Narrow"/>
                <w:b/>
                <w:bCs/>
                <w:color w:val="000000"/>
                <w:sz w:val="20"/>
              </w:rPr>
              <w:t>Estimated extent of use</w:t>
            </w:r>
          </w:p>
        </w:tc>
      </w:tr>
      <w:tr w:rsidR="001F5690" w:rsidRPr="003C6C31" w:rsidTr="00F461AB">
        <w:tc>
          <w:tcPr>
            <w:tcW w:w="1360" w:type="pct"/>
            <w:shd w:val="clear" w:color="auto" w:fill="auto"/>
            <w:vAlign w:val="center"/>
          </w:tcPr>
          <w:p w:rsidR="001F5690" w:rsidRPr="003C6C31" w:rsidRDefault="001F5690" w:rsidP="00785BBC">
            <w:pPr>
              <w:widowControl/>
              <w:tabs>
                <w:tab w:val="left" w:pos="142"/>
              </w:tabs>
              <w:jc w:val="left"/>
              <w:rPr>
                <w:rFonts w:ascii="Arial Narrow" w:hAnsi="Arial Narrow"/>
                <w:sz w:val="20"/>
              </w:rPr>
            </w:pPr>
            <w:r w:rsidRPr="003C6C31">
              <w:rPr>
                <w:rFonts w:ascii="Arial Narrow" w:hAnsi="Arial Narrow"/>
                <w:sz w:val="20"/>
              </w:rPr>
              <w:t>Number treated</w:t>
            </w:r>
          </w:p>
        </w:tc>
        <w:tc>
          <w:tcPr>
            <w:tcW w:w="679" w:type="pct"/>
            <w:shd w:val="clear" w:color="auto" w:fill="auto"/>
          </w:tcPr>
          <w:p w:rsidR="001F5690" w:rsidRPr="00244671" w:rsidRDefault="00244671" w:rsidP="00785BBC">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shd w:val="clear" w:color="auto" w:fill="auto"/>
          </w:tcPr>
          <w:p w:rsidR="001F5690" w:rsidRPr="00244671" w:rsidRDefault="00244671" w:rsidP="00785BBC">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tcPr>
          <w:p w:rsidR="001F5690" w:rsidRPr="00244671" w:rsidRDefault="00244671" w:rsidP="00785BBC">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tcPr>
          <w:p w:rsidR="001F5690" w:rsidRPr="00244671" w:rsidRDefault="00244671" w:rsidP="00785BBC">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4" w:type="pct"/>
            <w:shd w:val="clear" w:color="auto" w:fill="auto"/>
          </w:tcPr>
          <w:p w:rsidR="001F5690" w:rsidRPr="00244671" w:rsidRDefault="00244671" w:rsidP="00785BBC">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1F5690" w:rsidRPr="003C6C31" w:rsidTr="00F461AB">
        <w:tc>
          <w:tcPr>
            <w:tcW w:w="1360" w:type="pct"/>
            <w:shd w:val="clear" w:color="auto" w:fill="auto"/>
            <w:vAlign w:val="center"/>
          </w:tcPr>
          <w:p w:rsidR="001F5690" w:rsidRPr="003C6C31" w:rsidRDefault="001F5690" w:rsidP="00785BBC">
            <w:pPr>
              <w:widowControl/>
              <w:tabs>
                <w:tab w:val="left" w:pos="142"/>
              </w:tabs>
              <w:jc w:val="left"/>
              <w:rPr>
                <w:rFonts w:ascii="Arial Narrow" w:hAnsi="Arial Narrow"/>
                <w:sz w:val="20"/>
              </w:rPr>
            </w:pPr>
            <w:r w:rsidRPr="003C6C31">
              <w:rPr>
                <w:rFonts w:ascii="Arial Narrow" w:hAnsi="Arial Narrow"/>
                <w:sz w:val="20"/>
              </w:rPr>
              <w:t>Market Share – prevalent cases</w:t>
            </w:r>
          </w:p>
        </w:tc>
        <w:tc>
          <w:tcPr>
            <w:tcW w:w="679" w:type="pct"/>
            <w:shd w:val="clear" w:color="auto" w:fill="auto"/>
            <w:vAlign w:val="center"/>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20%</w:t>
            </w:r>
          </w:p>
        </w:tc>
        <w:tc>
          <w:tcPr>
            <w:tcW w:w="679" w:type="pct"/>
            <w:shd w:val="clear" w:color="auto" w:fill="auto"/>
            <w:vAlign w:val="center"/>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25%</w:t>
            </w:r>
          </w:p>
        </w:tc>
        <w:tc>
          <w:tcPr>
            <w:tcW w:w="764" w:type="pct"/>
            <w:shd w:val="clear" w:color="auto" w:fill="auto"/>
            <w:vAlign w:val="center"/>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30%</w:t>
            </w:r>
          </w:p>
        </w:tc>
        <w:tc>
          <w:tcPr>
            <w:tcW w:w="764" w:type="pct"/>
            <w:shd w:val="clear" w:color="auto" w:fill="auto"/>
            <w:vAlign w:val="center"/>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35%</w:t>
            </w:r>
          </w:p>
        </w:tc>
        <w:tc>
          <w:tcPr>
            <w:tcW w:w="754" w:type="pct"/>
            <w:shd w:val="clear" w:color="auto" w:fill="auto"/>
            <w:vAlign w:val="center"/>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45%</w:t>
            </w:r>
          </w:p>
        </w:tc>
      </w:tr>
      <w:tr w:rsidR="001F5690" w:rsidRPr="003C6C31" w:rsidTr="00F461AB">
        <w:tc>
          <w:tcPr>
            <w:tcW w:w="1360" w:type="pct"/>
            <w:shd w:val="clear" w:color="auto" w:fill="auto"/>
            <w:vAlign w:val="center"/>
          </w:tcPr>
          <w:p w:rsidR="001F5690" w:rsidRPr="003C6C31" w:rsidRDefault="001F5690" w:rsidP="00785BBC">
            <w:pPr>
              <w:widowControl/>
              <w:tabs>
                <w:tab w:val="left" w:pos="142"/>
              </w:tabs>
              <w:jc w:val="left"/>
              <w:rPr>
                <w:rFonts w:ascii="Arial Narrow" w:hAnsi="Arial Narrow"/>
                <w:sz w:val="20"/>
              </w:rPr>
            </w:pPr>
            <w:r w:rsidRPr="003C6C31">
              <w:rPr>
                <w:rFonts w:ascii="Arial Narrow" w:hAnsi="Arial Narrow"/>
                <w:sz w:val="20"/>
              </w:rPr>
              <w:t>Market share – incident cases</w:t>
            </w:r>
          </w:p>
        </w:tc>
        <w:tc>
          <w:tcPr>
            <w:tcW w:w="679" w:type="pct"/>
            <w:shd w:val="clear" w:color="auto" w:fill="auto"/>
            <w:vAlign w:val="center"/>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20%</w:t>
            </w:r>
          </w:p>
        </w:tc>
        <w:tc>
          <w:tcPr>
            <w:tcW w:w="679" w:type="pct"/>
            <w:shd w:val="clear" w:color="auto" w:fill="auto"/>
            <w:vAlign w:val="center"/>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30%</w:t>
            </w:r>
          </w:p>
        </w:tc>
        <w:tc>
          <w:tcPr>
            <w:tcW w:w="764" w:type="pct"/>
            <w:shd w:val="clear" w:color="auto" w:fill="auto"/>
            <w:vAlign w:val="center"/>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40%</w:t>
            </w:r>
          </w:p>
        </w:tc>
        <w:tc>
          <w:tcPr>
            <w:tcW w:w="764" w:type="pct"/>
            <w:shd w:val="clear" w:color="auto" w:fill="auto"/>
            <w:vAlign w:val="center"/>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50%</w:t>
            </w:r>
          </w:p>
        </w:tc>
        <w:tc>
          <w:tcPr>
            <w:tcW w:w="754" w:type="pct"/>
            <w:shd w:val="clear" w:color="auto" w:fill="auto"/>
            <w:vAlign w:val="center"/>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60%</w:t>
            </w:r>
          </w:p>
        </w:tc>
      </w:tr>
      <w:tr w:rsidR="001F5690" w:rsidRPr="003C6C31" w:rsidTr="00F461AB">
        <w:tc>
          <w:tcPr>
            <w:tcW w:w="1360" w:type="pct"/>
            <w:shd w:val="clear" w:color="auto" w:fill="auto"/>
            <w:vAlign w:val="center"/>
          </w:tcPr>
          <w:p w:rsidR="001F5690" w:rsidRPr="003C6C31" w:rsidRDefault="001F5690" w:rsidP="00785BBC">
            <w:pPr>
              <w:widowControl/>
              <w:tabs>
                <w:tab w:val="left" w:pos="142"/>
              </w:tabs>
              <w:jc w:val="left"/>
              <w:rPr>
                <w:rFonts w:ascii="Arial Narrow" w:hAnsi="Arial Narrow"/>
                <w:sz w:val="20"/>
              </w:rPr>
            </w:pPr>
            <w:r w:rsidRPr="003C6C31">
              <w:rPr>
                <w:rFonts w:ascii="Arial Narrow" w:hAnsi="Arial Narrow"/>
                <w:sz w:val="20"/>
              </w:rPr>
              <w:t>Scripts</w:t>
            </w:r>
            <w:r w:rsidRPr="003C6C31">
              <w:rPr>
                <w:rFonts w:ascii="Arial Narrow" w:hAnsi="Arial Narrow"/>
                <w:sz w:val="20"/>
                <w:vertAlign w:val="superscript"/>
              </w:rPr>
              <w:t>a</w:t>
            </w:r>
          </w:p>
        </w:tc>
        <w:tc>
          <w:tcPr>
            <w:tcW w:w="679" w:type="pct"/>
            <w:shd w:val="clear" w:color="auto" w:fill="auto"/>
          </w:tcPr>
          <w:p w:rsidR="001F5690" w:rsidRPr="00244671" w:rsidRDefault="00244671" w:rsidP="00785BBC">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shd w:val="clear" w:color="auto" w:fill="auto"/>
          </w:tcPr>
          <w:p w:rsidR="001F5690" w:rsidRPr="00244671" w:rsidRDefault="00244671" w:rsidP="00785BBC">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tcPr>
          <w:p w:rsidR="001F5690" w:rsidRPr="00244671" w:rsidRDefault="00244671" w:rsidP="00785BBC">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tcPr>
          <w:p w:rsidR="001F5690" w:rsidRPr="00244671" w:rsidRDefault="00244671" w:rsidP="00785BBC">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4" w:type="pct"/>
            <w:shd w:val="clear" w:color="auto" w:fill="auto"/>
          </w:tcPr>
          <w:p w:rsidR="001F5690" w:rsidRPr="00244671" w:rsidRDefault="00244671" w:rsidP="00785BBC">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1F5690" w:rsidRPr="003C6C31" w:rsidTr="00F461AB">
        <w:tc>
          <w:tcPr>
            <w:tcW w:w="5000" w:type="pct"/>
            <w:gridSpan w:val="6"/>
            <w:shd w:val="clear" w:color="auto" w:fill="auto"/>
            <w:vAlign w:val="center"/>
          </w:tcPr>
          <w:p w:rsidR="001F5690" w:rsidRPr="003C6C31" w:rsidRDefault="001F5690" w:rsidP="00785BBC">
            <w:pPr>
              <w:widowControl/>
              <w:jc w:val="left"/>
              <w:rPr>
                <w:rFonts w:ascii="Arial Narrow" w:hAnsi="Arial Narrow"/>
                <w:b/>
                <w:bCs/>
                <w:color w:val="000000"/>
                <w:sz w:val="20"/>
              </w:rPr>
            </w:pPr>
            <w:r w:rsidRPr="003C6C31">
              <w:rPr>
                <w:rFonts w:ascii="Arial Narrow" w:hAnsi="Arial Narrow"/>
                <w:b/>
                <w:bCs/>
                <w:color w:val="000000"/>
                <w:sz w:val="20"/>
              </w:rPr>
              <w:t>Estimated net cost to PBS and other government budgets</w:t>
            </w:r>
          </w:p>
        </w:tc>
      </w:tr>
      <w:tr w:rsidR="001F5690" w:rsidRPr="003C6C31" w:rsidTr="00F461AB">
        <w:tc>
          <w:tcPr>
            <w:tcW w:w="1360" w:type="pct"/>
            <w:shd w:val="clear" w:color="auto" w:fill="auto"/>
            <w:vAlign w:val="center"/>
          </w:tcPr>
          <w:p w:rsidR="001F5690" w:rsidRPr="003C6C31" w:rsidRDefault="001F5690" w:rsidP="00785BBC">
            <w:pPr>
              <w:widowControl/>
              <w:tabs>
                <w:tab w:val="left" w:pos="142"/>
              </w:tabs>
              <w:jc w:val="left"/>
              <w:rPr>
                <w:rFonts w:ascii="Arial Narrow" w:hAnsi="Arial Narrow"/>
                <w:sz w:val="20"/>
              </w:rPr>
            </w:pPr>
            <w:r w:rsidRPr="003C6C31">
              <w:rPr>
                <w:rFonts w:ascii="Arial Narrow" w:hAnsi="Arial Narrow"/>
                <w:sz w:val="19"/>
                <w:szCs w:val="19"/>
              </w:rPr>
              <w:t>Net cost to PBS/RPBS</w:t>
            </w:r>
          </w:p>
        </w:tc>
        <w:tc>
          <w:tcPr>
            <w:tcW w:w="679" w:type="pct"/>
            <w:shd w:val="clear" w:color="auto" w:fill="auto"/>
            <w:vAlign w:val="bottom"/>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w:t>
            </w:r>
            <w:r w:rsidR="00244671">
              <w:rPr>
                <w:rFonts w:ascii="Arial Narrow" w:hAnsi="Arial Narrow"/>
                <w:bCs/>
                <w:noProof/>
                <w:color w:val="000000"/>
                <w:sz w:val="20"/>
                <w:highlight w:val="black"/>
              </w:rPr>
              <w:t>''''''''''''''''''''''''</w:t>
            </w:r>
          </w:p>
        </w:tc>
        <w:tc>
          <w:tcPr>
            <w:tcW w:w="679" w:type="pct"/>
            <w:shd w:val="clear" w:color="auto" w:fill="auto"/>
            <w:vAlign w:val="bottom"/>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w:t>
            </w:r>
            <w:r w:rsidR="00244671">
              <w:rPr>
                <w:rFonts w:ascii="Arial Narrow" w:hAnsi="Arial Narrow"/>
                <w:bCs/>
                <w:noProof/>
                <w:color w:val="000000"/>
                <w:sz w:val="20"/>
                <w:highlight w:val="black"/>
              </w:rPr>
              <w:t>'''''''''''''''''''''''</w:t>
            </w:r>
          </w:p>
        </w:tc>
        <w:tc>
          <w:tcPr>
            <w:tcW w:w="764" w:type="pct"/>
            <w:shd w:val="clear" w:color="auto" w:fill="auto"/>
            <w:vAlign w:val="bottom"/>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w:t>
            </w:r>
            <w:r w:rsidR="00244671">
              <w:rPr>
                <w:rFonts w:ascii="Arial Narrow" w:hAnsi="Arial Narrow"/>
                <w:bCs/>
                <w:noProof/>
                <w:color w:val="000000"/>
                <w:sz w:val="20"/>
                <w:highlight w:val="black"/>
              </w:rPr>
              <w:t>'''''''''''''''''''''''''</w:t>
            </w:r>
          </w:p>
        </w:tc>
        <w:tc>
          <w:tcPr>
            <w:tcW w:w="764" w:type="pct"/>
            <w:shd w:val="clear" w:color="auto" w:fill="auto"/>
            <w:vAlign w:val="bottom"/>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w:t>
            </w:r>
            <w:r w:rsidR="00244671">
              <w:rPr>
                <w:rFonts w:ascii="Arial Narrow" w:hAnsi="Arial Narrow"/>
                <w:bCs/>
                <w:noProof/>
                <w:color w:val="000000"/>
                <w:sz w:val="20"/>
                <w:highlight w:val="black"/>
              </w:rPr>
              <w:t>'''''''''''''''''''''''''''''</w:t>
            </w:r>
          </w:p>
        </w:tc>
        <w:tc>
          <w:tcPr>
            <w:tcW w:w="754" w:type="pct"/>
            <w:shd w:val="clear" w:color="auto" w:fill="auto"/>
            <w:vAlign w:val="bottom"/>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w:t>
            </w:r>
            <w:r w:rsidR="00244671">
              <w:rPr>
                <w:rFonts w:ascii="Arial Narrow" w:hAnsi="Arial Narrow"/>
                <w:bCs/>
                <w:noProof/>
                <w:color w:val="000000"/>
                <w:sz w:val="20"/>
                <w:highlight w:val="black"/>
              </w:rPr>
              <w:t>''''''''''''''''''''''''</w:t>
            </w:r>
          </w:p>
        </w:tc>
      </w:tr>
      <w:tr w:rsidR="001F5690" w:rsidRPr="003C6C31" w:rsidTr="00F461AB">
        <w:tc>
          <w:tcPr>
            <w:tcW w:w="1360" w:type="pct"/>
            <w:shd w:val="clear" w:color="auto" w:fill="auto"/>
            <w:vAlign w:val="center"/>
          </w:tcPr>
          <w:p w:rsidR="001F5690" w:rsidRPr="003C6C31" w:rsidRDefault="001F5690" w:rsidP="00785BBC">
            <w:pPr>
              <w:widowControl/>
              <w:tabs>
                <w:tab w:val="left" w:pos="142"/>
              </w:tabs>
              <w:jc w:val="left"/>
              <w:rPr>
                <w:rFonts w:ascii="Arial Narrow" w:hAnsi="Arial Narrow"/>
                <w:sz w:val="20"/>
              </w:rPr>
            </w:pPr>
            <w:r w:rsidRPr="003C6C31">
              <w:rPr>
                <w:rFonts w:ascii="Arial Narrow" w:hAnsi="Arial Narrow"/>
                <w:sz w:val="19"/>
                <w:szCs w:val="19"/>
              </w:rPr>
              <w:t>Net cost to other government budgets</w:t>
            </w:r>
          </w:p>
        </w:tc>
        <w:tc>
          <w:tcPr>
            <w:tcW w:w="679" w:type="pct"/>
            <w:shd w:val="clear" w:color="auto" w:fill="auto"/>
            <w:vAlign w:val="center"/>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w:t>
            </w:r>
            <w:r w:rsidR="00244671">
              <w:rPr>
                <w:rFonts w:ascii="Arial Narrow" w:hAnsi="Arial Narrow"/>
                <w:bCs/>
                <w:noProof/>
                <w:color w:val="000000"/>
                <w:sz w:val="20"/>
                <w:highlight w:val="black"/>
              </w:rPr>
              <w:t>'''''''''''''''''''''</w:t>
            </w:r>
          </w:p>
        </w:tc>
        <w:tc>
          <w:tcPr>
            <w:tcW w:w="679" w:type="pct"/>
            <w:shd w:val="clear" w:color="auto" w:fill="auto"/>
            <w:vAlign w:val="center"/>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w:t>
            </w:r>
            <w:r w:rsidR="00244671">
              <w:rPr>
                <w:rFonts w:ascii="Arial Narrow" w:hAnsi="Arial Narrow"/>
                <w:bCs/>
                <w:noProof/>
                <w:color w:val="000000"/>
                <w:sz w:val="20"/>
                <w:highlight w:val="black"/>
              </w:rPr>
              <w:t>'''''''''''''''''''</w:t>
            </w:r>
          </w:p>
        </w:tc>
        <w:tc>
          <w:tcPr>
            <w:tcW w:w="764" w:type="pct"/>
            <w:shd w:val="clear" w:color="auto" w:fill="auto"/>
            <w:vAlign w:val="center"/>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w:t>
            </w:r>
            <w:r w:rsidR="00244671">
              <w:rPr>
                <w:rFonts w:ascii="Arial Narrow" w:hAnsi="Arial Narrow"/>
                <w:bCs/>
                <w:noProof/>
                <w:color w:val="000000"/>
                <w:sz w:val="20"/>
                <w:highlight w:val="black"/>
              </w:rPr>
              <w:t>''''''''''''''''''''</w:t>
            </w:r>
          </w:p>
        </w:tc>
        <w:tc>
          <w:tcPr>
            <w:tcW w:w="764" w:type="pct"/>
            <w:shd w:val="clear" w:color="auto" w:fill="auto"/>
            <w:vAlign w:val="center"/>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w:t>
            </w:r>
            <w:r w:rsidR="00244671">
              <w:rPr>
                <w:rFonts w:ascii="Arial Narrow" w:hAnsi="Arial Narrow"/>
                <w:bCs/>
                <w:noProof/>
                <w:color w:val="000000"/>
                <w:sz w:val="20"/>
                <w:highlight w:val="black"/>
              </w:rPr>
              <w:t>'''''''''''''''''''''''</w:t>
            </w:r>
          </w:p>
        </w:tc>
        <w:tc>
          <w:tcPr>
            <w:tcW w:w="754" w:type="pct"/>
            <w:shd w:val="clear" w:color="auto" w:fill="auto"/>
            <w:vAlign w:val="center"/>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w:t>
            </w:r>
            <w:r w:rsidR="00244671">
              <w:rPr>
                <w:rFonts w:ascii="Arial Narrow" w:hAnsi="Arial Narrow"/>
                <w:bCs/>
                <w:noProof/>
                <w:color w:val="000000"/>
                <w:sz w:val="20"/>
                <w:highlight w:val="black"/>
              </w:rPr>
              <w:t>'''''''''''''''''''''''''</w:t>
            </w:r>
          </w:p>
        </w:tc>
      </w:tr>
      <w:tr w:rsidR="001F5690" w:rsidRPr="003C6C31" w:rsidTr="00F461AB">
        <w:tc>
          <w:tcPr>
            <w:tcW w:w="5000" w:type="pct"/>
            <w:gridSpan w:val="6"/>
            <w:shd w:val="clear" w:color="auto" w:fill="auto"/>
            <w:vAlign w:val="center"/>
          </w:tcPr>
          <w:p w:rsidR="001F5690" w:rsidRPr="003C6C31" w:rsidRDefault="001F5690" w:rsidP="00785BBC">
            <w:pPr>
              <w:widowControl/>
              <w:jc w:val="left"/>
              <w:rPr>
                <w:rFonts w:ascii="Arial Narrow" w:hAnsi="Arial Narrow"/>
                <w:b/>
                <w:color w:val="000000"/>
                <w:sz w:val="20"/>
              </w:rPr>
            </w:pPr>
            <w:r w:rsidRPr="003C6C31">
              <w:rPr>
                <w:rFonts w:ascii="Arial Narrow" w:hAnsi="Arial Narrow"/>
                <w:b/>
                <w:color w:val="000000"/>
                <w:sz w:val="20"/>
              </w:rPr>
              <w:t>Estimated total net cost</w:t>
            </w:r>
          </w:p>
        </w:tc>
      </w:tr>
      <w:tr w:rsidR="001F5690" w:rsidRPr="003C6C31" w:rsidTr="00F461AB">
        <w:tc>
          <w:tcPr>
            <w:tcW w:w="1360" w:type="pct"/>
            <w:shd w:val="clear" w:color="auto" w:fill="auto"/>
            <w:vAlign w:val="center"/>
          </w:tcPr>
          <w:p w:rsidR="001F5690" w:rsidRPr="003C6C31" w:rsidRDefault="001F5690" w:rsidP="00785BBC">
            <w:pPr>
              <w:widowControl/>
              <w:tabs>
                <w:tab w:val="left" w:pos="142"/>
              </w:tabs>
              <w:jc w:val="left"/>
              <w:rPr>
                <w:rFonts w:ascii="Arial Narrow" w:hAnsi="Arial Narrow"/>
                <w:b/>
                <w:sz w:val="20"/>
              </w:rPr>
            </w:pPr>
            <w:r w:rsidRPr="003C6C31">
              <w:rPr>
                <w:rFonts w:ascii="Arial Narrow" w:hAnsi="Arial Narrow"/>
                <w:b/>
                <w:bCs/>
                <w:color w:val="000000"/>
                <w:sz w:val="20"/>
              </w:rPr>
              <w:t>Net cost to PBS/RPBS/MBS</w:t>
            </w:r>
          </w:p>
        </w:tc>
        <w:tc>
          <w:tcPr>
            <w:tcW w:w="679" w:type="pct"/>
            <w:shd w:val="clear" w:color="auto" w:fill="auto"/>
            <w:vAlign w:val="center"/>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w:t>
            </w:r>
            <w:r w:rsidR="00244671">
              <w:rPr>
                <w:rFonts w:ascii="Arial Narrow" w:hAnsi="Arial Narrow"/>
                <w:bCs/>
                <w:noProof/>
                <w:color w:val="000000"/>
                <w:sz w:val="20"/>
                <w:highlight w:val="black"/>
              </w:rPr>
              <w:t>''''''''''''''''''''''''''''</w:t>
            </w:r>
          </w:p>
        </w:tc>
        <w:tc>
          <w:tcPr>
            <w:tcW w:w="679" w:type="pct"/>
            <w:shd w:val="clear" w:color="auto" w:fill="auto"/>
            <w:vAlign w:val="center"/>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w:t>
            </w:r>
            <w:r w:rsidR="00244671">
              <w:rPr>
                <w:rFonts w:ascii="Arial Narrow" w:hAnsi="Arial Narrow"/>
                <w:bCs/>
                <w:noProof/>
                <w:color w:val="000000"/>
                <w:sz w:val="20"/>
                <w:highlight w:val="black"/>
              </w:rPr>
              <w:t>'''''''''''''''''''''''''''</w:t>
            </w:r>
          </w:p>
        </w:tc>
        <w:tc>
          <w:tcPr>
            <w:tcW w:w="764" w:type="pct"/>
            <w:shd w:val="clear" w:color="auto" w:fill="auto"/>
            <w:vAlign w:val="center"/>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w:t>
            </w:r>
            <w:r w:rsidR="00244671">
              <w:rPr>
                <w:rFonts w:ascii="Arial Narrow" w:hAnsi="Arial Narrow"/>
                <w:bCs/>
                <w:noProof/>
                <w:color w:val="000000"/>
                <w:sz w:val="20"/>
                <w:highlight w:val="black"/>
              </w:rPr>
              <w:t>'''''''''''''''''''''''''''''</w:t>
            </w:r>
          </w:p>
        </w:tc>
        <w:tc>
          <w:tcPr>
            <w:tcW w:w="764" w:type="pct"/>
            <w:shd w:val="clear" w:color="auto" w:fill="auto"/>
            <w:vAlign w:val="center"/>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w:t>
            </w:r>
            <w:r w:rsidR="00244671">
              <w:rPr>
                <w:rFonts w:ascii="Arial Narrow" w:hAnsi="Arial Narrow"/>
                <w:bCs/>
                <w:noProof/>
                <w:color w:val="000000"/>
                <w:sz w:val="20"/>
                <w:highlight w:val="black"/>
              </w:rPr>
              <w:t>''''''''''''''''''''''''''</w:t>
            </w:r>
          </w:p>
        </w:tc>
        <w:tc>
          <w:tcPr>
            <w:tcW w:w="754" w:type="pct"/>
            <w:shd w:val="clear" w:color="auto" w:fill="auto"/>
            <w:vAlign w:val="center"/>
          </w:tcPr>
          <w:p w:rsidR="001F5690" w:rsidRPr="003C6C31" w:rsidRDefault="001F5690" w:rsidP="00785BBC">
            <w:pPr>
              <w:widowControl/>
              <w:jc w:val="center"/>
              <w:rPr>
                <w:rFonts w:ascii="Arial Narrow" w:hAnsi="Arial Narrow"/>
                <w:bCs/>
                <w:color w:val="000000"/>
                <w:sz w:val="20"/>
              </w:rPr>
            </w:pPr>
            <w:r w:rsidRPr="003C6C31">
              <w:rPr>
                <w:rFonts w:ascii="Arial Narrow" w:hAnsi="Arial Narrow"/>
                <w:bCs/>
                <w:color w:val="000000"/>
                <w:sz w:val="20"/>
              </w:rPr>
              <w:t>$</w:t>
            </w:r>
            <w:r w:rsidR="00244671">
              <w:rPr>
                <w:rFonts w:ascii="Arial Narrow" w:hAnsi="Arial Narrow"/>
                <w:bCs/>
                <w:noProof/>
                <w:color w:val="000000"/>
                <w:sz w:val="20"/>
                <w:highlight w:val="black"/>
              </w:rPr>
              <w:t>'''''''''''''''''''''''''</w:t>
            </w:r>
          </w:p>
        </w:tc>
      </w:tr>
    </w:tbl>
    <w:p w:rsidR="001F5690" w:rsidRPr="006B24A1" w:rsidRDefault="001F5690" w:rsidP="00785BBC">
      <w:pPr>
        <w:pStyle w:val="TableFooter"/>
        <w:widowControl/>
        <w:ind w:left="709"/>
        <w:rPr>
          <w:sz w:val="16"/>
          <w:szCs w:val="18"/>
        </w:rPr>
      </w:pPr>
      <w:r w:rsidRPr="003C6C31">
        <w:rPr>
          <w:vertAlign w:val="superscript"/>
        </w:rPr>
        <w:t>a</w:t>
      </w:r>
      <w:r w:rsidRPr="003C6C31">
        <w:t xml:space="preserve"> Assuming </w:t>
      </w:r>
      <w:r w:rsidRPr="006B24A1">
        <w:t>distribution of perampanel strengths as estimated in the submission.</w:t>
      </w:r>
    </w:p>
    <w:p w:rsidR="001F5690" w:rsidRPr="003C6C31" w:rsidRDefault="001F5690" w:rsidP="00785BBC">
      <w:pPr>
        <w:pStyle w:val="TableFooter"/>
        <w:widowControl/>
        <w:ind w:left="709"/>
        <w:rPr>
          <w:szCs w:val="22"/>
        </w:rPr>
      </w:pPr>
      <w:r w:rsidRPr="006B24A1">
        <w:rPr>
          <w:sz w:val="16"/>
        </w:rPr>
        <w:t xml:space="preserve">Source: </w:t>
      </w:r>
      <w:r w:rsidRPr="006B24A1">
        <w:t>Fycompa PGTC_Section E FINAL.xksx</w:t>
      </w:r>
    </w:p>
    <w:p w:rsidR="001F5690" w:rsidRPr="003C6C31" w:rsidRDefault="001F5690" w:rsidP="00785BBC">
      <w:pPr>
        <w:widowControl/>
        <w:rPr>
          <w:szCs w:val="22"/>
        </w:rPr>
      </w:pPr>
    </w:p>
    <w:p w:rsidR="00915ED0" w:rsidRDefault="00915ED0" w:rsidP="00065110">
      <w:pPr>
        <w:pStyle w:val="ListParagraph"/>
        <w:widowControl/>
      </w:pPr>
      <w:r>
        <w:rPr>
          <w:szCs w:val="24"/>
        </w:rPr>
        <w:t>The redacted table shows that a</w:t>
      </w:r>
      <w:r w:rsidRPr="00DE39BD">
        <w:rPr>
          <w:szCs w:val="24"/>
        </w:rPr>
        <w:t>t year 5, the es</w:t>
      </w:r>
      <w:r w:rsidR="00065110">
        <w:rPr>
          <w:szCs w:val="24"/>
        </w:rPr>
        <w:t>timated number of patients was less than 10,000</w:t>
      </w:r>
      <w:r w:rsidRPr="00DE39BD">
        <w:rPr>
          <w:szCs w:val="24"/>
        </w:rPr>
        <w:t xml:space="preserve"> </w:t>
      </w:r>
      <w:r w:rsidR="00065110">
        <w:rPr>
          <w:szCs w:val="24"/>
        </w:rPr>
        <w:t xml:space="preserve">per year </w:t>
      </w:r>
      <w:r w:rsidRPr="00DE39BD">
        <w:rPr>
          <w:szCs w:val="24"/>
        </w:rPr>
        <w:t xml:space="preserve">and the net cost to the PBS would be </w:t>
      </w:r>
      <w:r w:rsidR="00065110">
        <w:rPr>
          <w:szCs w:val="24"/>
        </w:rPr>
        <w:t>$10 - $20 million per year.</w:t>
      </w:r>
    </w:p>
    <w:p w:rsidR="00915ED0" w:rsidRDefault="00915ED0" w:rsidP="00065110">
      <w:pPr>
        <w:pStyle w:val="ListParagraph"/>
        <w:widowControl/>
      </w:pPr>
    </w:p>
    <w:p w:rsidR="001F5690" w:rsidRPr="003C6C31" w:rsidRDefault="001F5690" w:rsidP="00785BBC">
      <w:pPr>
        <w:pStyle w:val="ListParagraph"/>
        <w:widowControl/>
        <w:numPr>
          <w:ilvl w:val="1"/>
          <w:numId w:val="7"/>
        </w:numPr>
      </w:pPr>
      <w:r w:rsidRPr="003C6C31">
        <w:t>The number of patients eligible for treatment with perampanel may not be as predicted in the submission. The prevalence rate of epilepsy applied in the submission is likely to be underestimated. Meanwhile, the proportion of epilepsy patients failing previous AEDs is likely to be overestimated.</w:t>
      </w:r>
    </w:p>
    <w:p w:rsidR="001F5690" w:rsidRDefault="001F5690" w:rsidP="00785BBC">
      <w:pPr>
        <w:widowControl/>
        <w:rPr>
          <w:szCs w:val="22"/>
        </w:rPr>
      </w:pPr>
    </w:p>
    <w:p w:rsidR="00343228" w:rsidRPr="0005234D" w:rsidRDefault="00343228" w:rsidP="00343228">
      <w:pPr>
        <w:ind w:firstLine="720"/>
        <w:rPr>
          <w:bCs/>
          <w:szCs w:val="22"/>
        </w:rPr>
      </w:pPr>
      <w:r w:rsidRPr="00501544">
        <w:rPr>
          <w:bCs/>
          <w:i/>
          <w:szCs w:val="22"/>
        </w:rPr>
        <w:t>For more detail on PBAC’s view, see section 7 “PBAC outcome”</w:t>
      </w:r>
    </w:p>
    <w:p w:rsidR="00455A61" w:rsidRPr="00455A61" w:rsidRDefault="00455A61" w:rsidP="00455A61">
      <w:pPr>
        <w:rPr>
          <w:bCs/>
          <w:lang w:val="en-GB"/>
        </w:rPr>
      </w:pPr>
    </w:p>
    <w:p w:rsidR="00F2754E" w:rsidRDefault="00F2754E" w:rsidP="00244671">
      <w:pPr>
        <w:pStyle w:val="Heading1"/>
      </w:pPr>
      <w:r w:rsidRPr="00D81BF5">
        <w:t>PBAC Outcome</w:t>
      </w:r>
    </w:p>
    <w:p w:rsidR="002B2CAA" w:rsidRPr="00D81BF5" w:rsidRDefault="002B2CAA" w:rsidP="002B2CAA">
      <w:pPr>
        <w:ind w:left="720"/>
        <w:rPr>
          <w:b/>
          <w:bCs/>
        </w:rPr>
      </w:pPr>
    </w:p>
    <w:p w:rsidR="00E67F2F" w:rsidRPr="002B2CAA" w:rsidRDefault="00E67F2F" w:rsidP="0017727D">
      <w:pPr>
        <w:numPr>
          <w:ilvl w:val="1"/>
          <w:numId w:val="7"/>
        </w:numPr>
        <w:rPr>
          <w:bCs/>
          <w:lang w:val="en-GB"/>
        </w:rPr>
      </w:pPr>
      <w:r w:rsidRPr="00455A61">
        <w:rPr>
          <w:bCs/>
          <w:lang w:val="en-GB"/>
        </w:rPr>
        <w:t xml:space="preserve">The PBAC did not recommend the listing of perampanel for </w:t>
      </w:r>
      <w:r w:rsidRPr="00455A61">
        <w:t>treatment of primary generalised tonic-clonic (PGTC) seizures, on the basis of a lack of clinical data in the requested PBS population and unknown cost-effectiveness. In making this recommendation, the PBAC acknowledged the clinical need for additional therapeutic options for patients whose symptoms are not well controlled with the treatments currently available. The PBAC considered that the submission’s analysis of perampanel as a last-line therapy (ie against placebo) was not an appropriate reflection of its likely place in therapy (as an additional option for refractory patients) and noted that the evidence provided in the submission did not address the refractory population</w:t>
      </w:r>
    </w:p>
    <w:p w:rsidR="002B2CAA" w:rsidRDefault="002B2CAA" w:rsidP="002B2CAA">
      <w:pPr>
        <w:ind w:left="720"/>
        <w:rPr>
          <w:bCs/>
          <w:lang w:val="en-GB"/>
        </w:rPr>
      </w:pPr>
    </w:p>
    <w:p w:rsidR="00584D31" w:rsidRDefault="00584D31" w:rsidP="002B2CAA">
      <w:pPr>
        <w:ind w:left="720"/>
        <w:rPr>
          <w:bCs/>
          <w:lang w:val="en-GB"/>
        </w:rPr>
      </w:pPr>
    </w:p>
    <w:p w:rsidR="00F2754E" w:rsidRPr="008D56BF" w:rsidRDefault="00E67F2F" w:rsidP="0017727D">
      <w:pPr>
        <w:numPr>
          <w:ilvl w:val="1"/>
          <w:numId w:val="7"/>
        </w:numPr>
        <w:rPr>
          <w:bCs/>
          <w:lang w:val="en-GB"/>
        </w:rPr>
      </w:pPr>
      <w:r w:rsidRPr="00455A61">
        <w:rPr>
          <w:bCs/>
          <w:lang w:val="en-GB"/>
        </w:rPr>
        <w:t>The PBAC considered that the submission’s proposal to restrict PBS subsidy of perampanel</w:t>
      </w:r>
      <w:r>
        <w:rPr>
          <w:bCs/>
          <w:lang w:val="en-GB"/>
        </w:rPr>
        <w:t xml:space="preserve"> </w:t>
      </w:r>
      <w:r w:rsidR="0017727D">
        <w:rPr>
          <w:bCs/>
          <w:lang w:val="en-GB"/>
        </w:rPr>
        <w:t>to use as</w:t>
      </w:r>
      <w:r w:rsidR="0017727D" w:rsidRPr="0017727D">
        <w:t xml:space="preserve"> </w:t>
      </w:r>
      <w:r w:rsidR="0017727D" w:rsidRPr="0017727D">
        <w:rPr>
          <w:bCs/>
          <w:lang w:val="en-GB"/>
        </w:rPr>
        <w:t>a last option add-on to the patients’ current regimen</w:t>
      </w:r>
      <w:r w:rsidR="0017727D">
        <w:rPr>
          <w:bCs/>
          <w:lang w:val="en-GB"/>
        </w:rPr>
        <w:t xml:space="preserve">, and the requirement in the proposed listing for patients’ </w:t>
      </w:r>
      <w:r w:rsidR="0017727D" w:rsidRPr="005D403D">
        <w:t xml:space="preserve">condition </w:t>
      </w:r>
      <w:r w:rsidR="0017727D">
        <w:t>to</w:t>
      </w:r>
      <w:r w:rsidR="0017727D" w:rsidRPr="005D403D">
        <w:t xml:space="preserve"> have failed to </w:t>
      </w:r>
      <w:r w:rsidR="0017727D">
        <w:t xml:space="preserve">have </w:t>
      </w:r>
      <w:r w:rsidR="0017727D" w:rsidRPr="005D403D">
        <w:t>be</w:t>
      </w:r>
      <w:r w:rsidR="0017727D">
        <w:t>en</w:t>
      </w:r>
      <w:r w:rsidR="0017727D" w:rsidRPr="005D403D">
        <w:t xml:space="preserve"> controlled satisfactorily by </w:t>
      </w:r>
      <w:r w:rsidR="0017727D">
        <w:t>all available</w:t>
      </w:r>
      <w:r w:rsidR="0017727D" w:rsidRPr="005D403D">
        <w:t xml:space="preserve"> </w:t>
      </w:r>
      <w:r w:rsidR="0017727D">
        <w:t xml:space="preserve">and reimbursed </w:t>
      </w:r>
      <w:r w:rsidR="0017727D" w:rsidRPr="005D403D">
        <w:t>anti-epileptic drug</w:t>
      </w:r>
      <w:r w:rsidR="0017727D">
        <w:t>s</w:t>
      </w:r>
      <w:r w:rsidR="0017727D">
        <w:rPr>
          <w:bCs/>
          <w:lang w:val="en-GB"/>
        </w:rPr>
        <w:t xml:space="preserve">, was not well justified. Instead, the Committee considered that the appropriate place in therapy was as an additional </w:t>
      </w:r>
      <w:r w:rsidR="0017727D">
        <w:rPr>
          <w:szCs w:val="22"/>
        </w:rPr>
        <w:t>option to those currently available for the treatment of refractory patients</w:t>
      </w:r>
      <w:r w:rsidR="00CB29CF" w:rsidRPr="008D56BF">
        <w:rPr>
          <w:bCs/>
          <w:lang w:val="en-GB"/>
        </w:rPr>
        <w:t xml:space="preserve">. </w:t>
      </w:r>
    </w:p>
    <w:p w:rsidR="00F2754E" w:rsidRPr="004E2BB9" w:rsidRDefault="00F2754E" w:rsidP="00F2754E">
      <w:pPr>
        <w:rPr>
          <w:bCs/>
          <w:lang w:val="en-GB"/>
        </w:rPr>
      </w:pPr>
    </w:p>
    <w:p w:rsidR="00F2754E" w:rsidRPr="00455A61" w:rsidRDefault="0017727D" w:rsidP="00F2754E">
      <w:pPr>
        <w:numPr>
          <w:ilvl w:val="1"/>
          <w:numId w:val="7"/>
        </w:numPr>
        <w:rPr>
          <w:bCs/>
          <w:lang w:val="en-GB"/>
        </w:rPr>
      </w:pPr>
      <w:r>
        <w:rPr>
          <w:bCs/>
          <w:lang w:val="en-GB"/>
        </w:rPr>
        <w:t>Given their view on the appropriate clinical place for perampanel, t</w:t>
      </w:r>
      <w:r w:rsidR="008D56BF" w:rsidRPr="004E2BB9">
        <w:rPr>
          <w:bCs/>
          <w:lang w:val="en-GB"/>
        </w:rPr>
        <w:t>he PBAC considered that the submission’s nomination of placebo as the c</w:t>
      </w:r>
      <w:r w:rsidR="00F2754E" w:rsidRPr="004E2BB9">
        <w:rPr>
          <w:bCs/>
          <w:lang w:val="en-GB"/>
        </w:rPr>
        <w:t xml:space="preserve">omparator </w:t>
      </w:r>
      <w:r w:rsidR="008D56BF" w:rsidRPr="004E2BB9">
        <w:rPr>
          <w:bCs/>
          <w:lang w:val="en-GB"/>
        </w:rPr>
        <w:t xml:space="preserve">was not </w:t>
      </w:r>
      <w:r>
        <w:rPr>
          <w:bCs/>
          <w:lang w:val="en-GB"/>
        </w:rPr>
        <w:t>appropriate</w:t>
      </w:r>
      <w:r w:rsidR="008D56BF" w:rsidRPr="004E2BB9">
        <w:rPr>
          <w:bCs/>
          <w:lang w:val="en-GB"/>
        </w:rPr>
        <w:t xml:space="preserve">. The Committee considered that </w:t>
      </w:r>
      <w:r w:rsidR="004E2BB9" w:rsidRPr="004E2BB9">
        <w:rPr>
          <w:bCs/>
          <w:lang w:val="en-GB"/>
        </w:rPr>
        <w:t>a comparison with other treatments currently available for treatment</w:t>
      </w:r>
      <w:r>
        <w:rPr>
          <w:bCs/>
          <w:lang w:val="en-GB"/>
        </w:rPr>
        <w:t xml:space="preserve"> </w:t>
      </w:r>
      <w:r w:rsidR="004E2BB9" w:rsidRPr="004E2BB9">
        <w:rPr>
          <w:bCs/>
          <w:lang w:val="en-GB"/>
        </w:rPr>
        <w:t>refractory patients would be more appropriate.</w:t>
      </w:r>
      <w:r>
        <w:rPr>
          <w:bCs/>
          <w:lang w:val="en-GB"/>
        </w:rPr>
        <w:t xml:space="preserve"> These treatments would include </w:t>
      </w:r>
      <w:r>
        <w:t xml:space="preserve">valproate, </w:t>
      </w:r>
      <w:r w:rsidRPr="009B3221">
        <w:t>lamotrigine</w:t>
      </w:r>
      <w:r>
        <w:t>,</w:t>
      </w:r>
      <w:r w:rsidRPr="009B3221">
        <w:t xml:space="preserve"> </w:t>
      </w:r>
      <w:r>
        <w:t>levetiracetam</w:t>
      </w:r>
      <w:r w:rsidRPr="009B3221">
        <w:t xml:space="preserve">, </w:t>
      </w:r>
      <w:r>
        <w:t xml:space="preserve">and </w:t>
      </w:r>
      <w:r w:rsidRPr="00455A61">
        <w:t>topiramate.</w:t>
      </w:r>
      <w:r w:rsidR="004E2BB9" w:rsidRPr="00455A61">
        <w:rPr>
          <w:bCs/>
          <w:lang w:val="en-GB"/>
        </w:rPr>
        <w:t xml:space="preserve"> </w:t>
      </w:r>
    </w:p>
    <w:p w:rsidR="00F2754E" w:rsidRPr="00455A61" w:rsidRDefault="00F2754E" w:rsidP="00F2754E">
      <w:pPr>
        <w:rPr>
          <w:bCs/>
          <w:lang w:val="en-GB"/>
        </w:rPr>
      </w:pPr>
    </w:p>
    <w:p w:rsidR="00A774A1" w:rsidRPr="00455A61" w:rsidRDefault="00A774A1" w:rsidP="00A774A1">
      <w:pPr>
        <w:pStyle w:val="ListParagraph"/>
        <w:numPr>
          <w:ilvl w:val="1"/>
          <w:numId w:val="7"/>
        </w:numPr>
        <w:rPr>
          <w:bCs/>
          <w:lang w:val="en-GB"/>
        </w:rPr>
      </w:pPr>
      <w:r w:rsidRPr="00455A61">
        <w:rPr>
          <w:bCs/>
          <w:lang w:val="en-GB"/>
        </w:rPr>
        <w:t>The PBAC noted that the clinical trials provided in the submission did not match the requested PBS population. In particular, the Committee noted that trial data indicated that over 30% of patients in both trial arms were only on one AED at baseline</w:t>
      </w:r>
      <w:r>
        <w:rPr>
          <w:bCs/>
          <w:lang w:val="en-GB"/>
        </w:rPr>
        <w:t xml:space="preserve">. </w:t>
      </w:r>
      <w:r>
        <w:t xml:space="preserve">In addition, the requested listing requires patients to have failed at least three AEDs (including at least one first-line and two second adjunctive AEDs). Trial 332 only reported prior use of AEDs within 30 days before the baseline period. Therefore, whether the trial population fulfilled the PBS eligibility criterion regarding prior AED use cannot be reliably assessed. </w:t>
      </w:r>
      <w:r>
        <w:rPr>
          <w:bCs/>
          <w:lang w:val="en-GB"/>
        </w:rPr>
        <w:t xml:space="preserve"> Therefore, the PBAC considered that the applicability of the population in Trial 332 to the proposed PBS population remains uncertain.</w:t>
      </w:r>
    </w:p>
    <w:p w:rsidR="00D81BF5" w:rsidRPr="00455A61" w:rsidRDefault="00D81BF5" w:rsidP="00D81BF5">
      <w:pPr>
        <w:rPr>
          <w:bCs/>
          <w:lang w:val="en-GB"/>
        </w:rPr>
      </w:pPr>
    </w:p>
    <w:p w:rsidR="00455A61" w:rsidRPr="00455A61" w:rsidRDefault="00455A61" w:rsidP="00455A61">
      <w:pPr>
        <w:pStyle w:val="ListParagraph"/>
        <w:widowControl/>
        <w:numPr>
          <w:ilvl w:val="1"/>
          <w:numId w:val="7"/>
        </w:numPr>
        <w:rPr>
          <w:bCs/>
        </w:rPr>
      </w:pPr>
      <w:r w:rsidRPr="00455A61">
        <w:rPr>
          <w:bCs/>
          <w:szCs w:val="22"/>
        </w:rPr>
        <w:t>The PBAC considered, although the claim of superior comparative effectiveness was supported in the trial population in terms of number of seizures, it was not adequately supported in the requested PBS population and it was not supported in terms of improvement in quality of life.</w:t>
      </w:r>
    </w:p>
    <w:p w:rsidR="00455A61" w:rsidRPr="00455A61" w:rsidRDefault="00455A61" w:rsidP="00455A61">
      <w:pPr>
        <w:pStyle w:val="ListParagraph"/>
        <w:rPr>
          <w:bCs/>
          <w:szCs w:val="22"/>
        </w:rPr>
      </w:pPr>
    </w:p>
    <w:p w:rsidR="00455A61" w:rsidRPr="003A4A01" w:rsidRDefault="00455A61" w:rsidP="00455A61">
      <w:pPr>
        <w:pStyle w:val="ListParagraph"/>
        <w:widowControl/>
        <w:numPr>
          <w:ilvl w:val="1"/>
          <w:numId w:val="7"/>
        </w:numPr>
        <w:rPr>
          <w:szCs w:val="22"/>
        </w:rPr>
      </w:pPr>
      <w:r w:rsidRPr="00455A61">
        <w:rPr>
          <w:szCs w:val="22"/>
        </w:rPr>
        <w:t>The PBAC considered</w:t>
      </w:r>
      <w:r w:rsidRPr="003A4A01">
        <w:rPr>
          <w:szCs w:val="22"/>
        </w:rPr>
        <w:t xml:space="preserve"> that the claim of inferior co</w:t>
      </w:r>
      <w:r>
        <w:rPr>
          <w:szCs w:val="22"/>
        </w:rPr>
        <w:t>mparative safety was reasonable</w:t>
      </w:r>
      <w:r w:rsidRPr="003A4A01">
        <w:rPr>
          <w:szCs w:val="22"/>
        </w:rPr>
        <w:t>.</w:t>
      </w:r>
    </w:p>
    <w:p w:rsidR="00F2754E" w:rsidRPr="005A2D79" w:rsidRDefault="00F2754E" w:rsidP="00F2754E">
      <w:pPr>
        <w:rPr>
          <w:bCs/>
          <w:lang w:val="en-GB"/>
        </w:rPr>
      </w:pPr>
    </w:p>
    <w:p w:rsidR="00F2754E" w:rsidRPr="005A2D79" w:rsidRDefault="00455A61" w:rsidP="00455A61">
      <w:pPr>
        <w:pStyle w:val="ListParagraph"/>
        <w:widowControl/>
        <w:numPr>
          <w:ilvl w:val="1"/>
          <w:numId w:val="7"/>
        </w:numPr>
        <w:rPr>
          <w:bCs/>
          <w:lang w:val="en-GB"/>
        </w:rPr>
      </w:pPr>
      <w:r>
        <w:rPr>
          <w:szCs w:val="22"/>
        </w:rPr>
        <w:t>Given that placebo was not considered an appropriate comparator, the PBAC considered that the cost-utility analysis presented was not informative to the assessment of the cost-effectiveness of perampanel.</w:t>
      </w:r>
      <w:r w:rsidR="00CD1084" w:rsidRPr="005A2D79">
        <w:rPr>
          <w:szCs w:val="22"/>
        </w:rPr>
        <w:t xml:space="preserve"> The Committee considered that a comparison against other active treatments used for refractory patients would be more appropriate.</w:t>
      </w:r>
      <w:r w:rsidR="00F2754E" w:rsidRPr="005A2D79">
        <w:rPr>
          <w:bCs/>
          <w:lang w:val="en-GB"/>
        </w:rPr>
        <w:t xml:space="preserve"> </w:t>
      </w:r>
    </w:p>
    <w:p w:rsidR="00CD1084" w:rsidRPr="005A2D79" w:rsidRDefault="00CD1084" w:rsidP="00CD1084">
      <w:pPr>
        <w:pStyle w:val="ListParagraph"/>
        <w:rPr>
          <w:bCs/>
          <w:lang w:val="en-GB"/>
        </w:rPr>
      </w:pPr>
    </w:p>
    <w:p w:rsidR="00CD1084" w:rsidRPr="005A2D79" w:rsidRDefault="00CD1084" w:rsidP="00F2754E">
      <w:pPr>
        <w:numPr>
          <w:ilvl w:val="1"/>
          <w:numId w:val="7"/>
        </w:numPr>
        <w:rPr>
          <w:bCs/>
          <w:lang w:val="en-GB"/>
        </w:rPr>
      </w:pPr>
      <w:r w:rsidRPr="005A2D79">
        <w:rPr>
          <w:bCs/>
          <w:lang w:val="en-GB"/>
        </w:rPr>
        <w:t xml:space="preserve">Notwithstanding the issues with the appropriateness of the presentation of a cost-utility analysis against placebo, the PBAC noted </w:t>
      </w:r>
      <w:r w:rsidR="005A2D79" w:rsidRPr="005A2D79">
        <w:rPr>
          <w:bCs/>
          <w:lang w:val="en-GB"/>
        </w:rPr>
        <w:t xml:space="preserve">a number of </w:t>
      </w:r>
      <w:r w:rsidRPr="005A2D79">
        <w:rPr>
          <w:bCs/>
          <w:lang w:val="en-GB"/>
        </w:rPr>
        <w:t xml:space="preserve">issues </w:t>
      </w:r>
      <w:r w:rsidR="005A2D79" w:rsidRPr="005A2D79">
        <w:rPr>
          <w:bCs/>
          <w:lang w:val="en-GB"/>
        </w:rPr>
        <w:t xml:space="preserve">raised with the </w:t>
      </w:r>
      <w:r w:rsidRPr="005A2D79">
        <w:rPr>
          <w:bCs/>
          <w:lang w:val="en-GB"/>
        </w:rPr>
        <w:t>economic analysis</w:t>
      </w:r>
      <w:r w:rsidR="005A2D79" w:rsidRPr="005A2D79">
        <w:rPr>
          <w:bCs/>
          <w:lang w:val="en-GB"/>
        </w:rPr>
        <w:t xml:space="preserve"> presented, as detailed in Section 6 of th</w:t>
      </w:r>
      <w:r w:rsidR="00E715F7">
        <w:rPr>
          <w:bCs/>
          <w:lang w:val="en-GB"/>
        </w:rPr>
        <w:t>is public summary document</w:t>
      </w:r>
      <w:r w:rsidR="005A2D79" w:rsidRPr="005A2D79">
        <w:rPr>
          <w:bCs/>
          <w:lang w:val="en-GB"/>
        </w:rPr>
        <w:t>. These included issues with</w:t>
      </w:r>
      <w:r w:rsidRPr="005A2D79">
        <w:rPr>
          <w:bCs/>
          <w:lang w:val="en-GB"/>
        </w:rPr>
        <w:t>:</w:t>
      </w:r>
    </w:p>
    <w:p w:rsidR="005A2D79" w:rsidRPr="005A2D79" w:rsidRDefault="005A2D79" w:rsidP="005A2D79">
      <w:pPr>
        <w:pStyle w:val="ListParagraph"/>
        <w:numPr>
          <w:ilvl w:val="0"/>
          <w:numId w:val="42"/>
        </w:numPr>
        <w:rPr>
          <w:bCs/>
          <w:lang w:val="en-GB"/>
        </w:rPr>
      </w:pPr>
      <w:r w:rsidRPr="005A2D79">
        <w:rPr>
          <w:bCs/>
          <w:lang w:val="en-GB"/>
        </w:rPr>
        <w:t>The structure of the model</w:t>
      </w:r>
    </w:p>
    <w:p w:rsidR="005A2D79" w:rsidRPr="005A2D79" w:rsidRDefault="005A2D79" w:rsidP="005A2D79">
      <w:pPr>
        <w:pStyle w:val="ListParagraph"/>
        <w:numPr>
          <w:ilvl w:val="0"/>
          <w:numId w:val="42"/>
        </w:numPr>
        <w:rPr>
          <w:bCs/>
          <w:lang w:val="en-GB"/>
        </w:rPr>
      </w:pPr>
      <w:r w:rsidRPr="005A2D79">
        <w:rPr>
          <w:bCs/>
          <w:lang w:val="en-GB"/>
        </w:rPr>
        <w:t>The treatment effect of perampanel applied in the model</w:t>
      </w:r>
    </w:p>
    <w:p w:rsidR="005A2D79" w:rsidRPr="005A2D79" w:rsidRDefault="005A2D79" w:rsidP="005A2D79">
      <w:pPr>
        <w:pStyle w:val="ListParagraph"/>
        <w:numPr>
          <w:ilvl w:val="0"/>
          <w:numId w:val="42"/>
        </w:numPr>
        <w:rPr>
          <w:bCs/>
          <w:lang w:val="en-GB"/>
        </w:rPr>
      </w:pPr>
      <w:r w:rsidRPr="005A2D79">
        <w:rPr>
          <w:bCs/>
          <w:lang w:val="en-GB"/>
        </w:rPr>
        <w:t>The extrapolation of the treatment effect observed in the study</w:t>
      </w:r>
    </w:p>
    <w:p w:rsidR="005A2D79" w:rsidRPr="005A2D79" w:rsidRDefault="005A2D79" w:rsidP="005A2D79">
      <w:pPr>
        <w:pStyle w:val="ListParagraph"/>
        <w:numPr>
          <w:ilvl w:val="0"/>
          <w:numId w:val="42"/>
        </w:numPr>
        <w:rPr>
          <w:bCs/>
          <w:lang w:val="en-GB"/>
        </w:rPr>
      </w:pPr>
      <w:r w:rsidRPr="005A2D79">
        <w:rPr>
          <w:bCs/>
          <w:lang w:val="en-GB"/>
        </w:rPr>
        <w:t>The mortality risk applied in the model</w:t>
      </w:r>
    </w:p>
    <w:p w:rsidR="00F2754E" w:rsidRPr="005A2D79" w:rsidRDefault="005A2D79" w:rsidP="005A2D79">
      <w:pPr>
        <w:pStyle w:val="ListParagraph"/>
        <w:numPr>
          <w:ilvl w:val="0"/>
          <w:numId w:val="42"/>
        </w:numPr>
        <w:rPr>
          <w:bCs/>
          <w:lang w:val="en-GB"/>
        </w:rPr>
      </w:pPr>
      <w:r w:rsidRPr="005A2D79">
        <w:rPr>
          <w:bCs/>
          <w:lang w:val="en-GB"/>
        </w:rPr>
        <w:t>The validity of the health state utilities applied in the model</w:t>
      </w:r>
    </w:p>
    <w:p w:rsidR="00F2754E" w:rsidRPr="0069654D" w:rsidRDefault="00F2754E" w:rsidP="00F2754E">
      <w:pPr>
        <w:rPr>
          <w:bCs/>
          <w:highlight w:val="yellow"/>
          <w:lang w:val="en-GB"/>
        </w:rPr>
      </w:pPr>
    </w:p>
    <w:p w:rsidR="00F2754E" w:rsidRPr="005A2D79" w:rsidRDefault="00F2754E" w:rsidP="002C49D5">
      <w:pPr>
        <w:numPr>
          <w:ilvl w:val="1"/>
          <w:numId w:val="7"/>
        </w:numPr>
        <w:rPr>
          <w:b/>
          <w:lang w:val="en-GB"/>
        </w:rPr>
      </w:pPr>
      <w:r w:rsidRPr="005A2D79">
        <w:rPr>
          <w:bCs/>
          <w:lang w:val="en-GB"/>
        </w:rPr>
        <w:t>The PBAC noted that this submission is</w:t>
      </w:r>
      <w:r w:rsidR="002C49D5" w:rsidRPr="005A2D79">
        <w:rPr>
          <w:bCs/>
          <w:lang w:val="en-GB"/>
        </w:rPr>
        <w:t xml:space="preserve"> </w:t>
      </w:r>
      <w:r w:rsidRPr="005A2D79">
        <w:rPr>
          <w:bCs/>
          <w:lang w:val="en-GB"/>
        </w:rPr>
        <w:t xml:space="preserve">eligible for an Independent Review. </w:t>
      </w:r>
    </w:p>
    <w:p w:rsidR="00584D31" w:rsidRPr="0069654D" w:rsidRDefault="00584D31" w:rsidP="00F2754E">
      <w:pPr>
        <w:rPr>
          <w:b/>
          <w:bCs/>
          <w:highlight w:val="yellow"/>
          <w:lang w:val="en-GB"/>
        </w:rPr>
      </w:pPr>
    </w:p>
    <w:p w:rsidR="000B17A5" w:rsidRDefault="00F2754E" w:rsidP="00CD59ED">
      <w:pPr>
        <w:rPr>
          <w:bCs/>
          <w:lang w:val="en-GB"/>
        </w:rPr>
      </w:pPr>
      <w:r w:rsidRPr="002C49D5">
        <w:rPr>
          <w:b/>
          <w:bCs/>
          <w:lang w:val="en-GB"/>
        </w:rPr>
        <w:t>Outcome:</w:t>
      </w:r>
      <w:r w:rsidR="00584D31">
        <w:rPr>
          <w:b/>
          <w:bCs/>
          <w:lang w:val="en-GB"/>
        </w:rPr>
        <w:br/>
      </w:r>
      <w:r w:rsidRPr="002C49D5">
        <w:rPr>
          <w:bCs/>
          <w:lang w:val="en-GB"/>
        </w:rPr>
        <w:t>Rejected</w:t>
      </w:r>
    </w:p>
    <w:p w:rsidR="006D203F" w:rsidRDefault="006D203F" w:rsidP="00CD59ED">
      <w:pPr>
        <w:rPr>
          <w:bCs/>
          <w:lang w:val="en-GB"/>
        </w:rPr>
      </w:pPr>
    </w:p>
    <w:p w:rsidR="006D203F" w:rsidRPr="006D203F" w:rsidRDefault="006D203F" w:rsidP="00244671">
      <w:pPr>
        <w:pStyle w:val="Heading1"/>
      </w:pPr>
      <w:r w:rsidRPr="006D203F">
        <w:t>Context for Decision</w:t>
      </w:r>
    </w:p>
    <w:p w:rsidR="006D203F" w:rsidRDefault="006D203F" w:rsidP="006D203F">
      <w:pPr>
        <w:ind w:left="426"/>
      </w:pPr>
    </w:p>
    <w:p w:rsidR="006D203F" w:rsidRPr="006D203F" w:rsidRDefault="006D203F" w:rsidP="006D203F">
      <w:pPr>
        <w:ind w:left="720"/>
        <w:rPr>
          <w:bCs/>
          <w:lang w:val="en-GB"/>
        </w:rPr>
      </w:pPr>
      <w:r w:rsidRPr="006D203F">
        <w:rPr>
          <w:bCs/>
          <w:lang w:val="en-GB"/>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D203F" w:rsidRPr="006D203F" w:rsidRDefault="006D203F" w:rsidP="006D203F">
      <w:pPr>
        <w:ind w:left="720"/>
        <w:rPr>
          <w:b/>
          <w:bCs/>
        </w:rPr>
      </w:pPr>
    </w:p>
    <w:p w:rsidR="006D203F" w:rsidRPr="006D203F" w:rsidRDefault="006D203F" w:rsidP="006D203F">
      <w:pPr>
        <w:numPr>
          <w:ilvl w:val="0"/>
          <w:numId w:val="7"/>
        </w:numPr>
        <w:rPr>
          <w:b/>
          <w:bCs/>
        </w:rPr>
      </w:pPr>
      <w:r w:rsidRPr="006D203F">
        <w:rPr>
          <w:b/>
          <w:bCs/>
        </w:rPr>
        <w:t>Sponsor’s Comment</w:t>
      </w:r>
    </w:p>
    <w:p w:rsidR="006D203F" w:rsidRDefault="006D203F" w:rsidP="006D203F">
      <w:pPr>
        <w:ind w:left="426"/>
        <w:rPr>
          <w:bCs/>
          <w:highlight w:val="yellow"/>
          <w:lang w:val="en-GB"/>
        </w:rPr>
      </w:pPr>
    </w:p>
    <w:p w:rsidR="006D203F" w:rsidRPr="006D203F" w:rsidRDefault="006D203F" w:rsidP="006D203F">
      <w:pPr>
        <w:ind w:left="720"/>
        <w:rPr>
          <w:bCs/>
          <w:lang w:val="en-GB"/>
        </w:rPr>
      </w:pPr>
      <w:r w:rsidRPr="006D203F">
        <w:rPr>
          <w:bCs/>
          <w:lang w:val="en-GB"/>
        </w:rPr>
        <w:t>The sponsor had no comment.</w:t>
      </w:r>
    </w:p>
    <w:p w:rsidR="006D203F" w:rsidRPr="00CD59ED" w:rsidRDefault="006D203F" w:rsidP="00CD59ED">
      <w:pPr>
        <w:rPr>
          <w:bCs/>
          <w:lang w:val="en-GB"/>
        </w:rPr>
      </w:pPr>
    </w:p>
    <w:sectPr w:rsidR="006D203F" w:rsidRPr="00CD59ED" w:rsidSect="003C6C31">
      <w:headerReference w:type="even" r:id="rId9"/>
      <w:headerReference w:type="default" r:id="rId10"/>
      <w:footerReference w:type="even" r:id="rId11"/>
      <w:footerReference w:type="default" r:id="rId12"/>
      <w:headerReference w:type="first" r:id="rId13"/>
      <w:footerReference w:type="first" r:id="rId14"/>
      <w:footnotePr>
        <w:numFmt w:val="lowerLetter"/>
        <w:numRestart w:val="eachPage"/>
      </w:footnotePr>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671" w:rsidRDefault="00244671" w:rsidP="00124A51">
      <w:r>
        <w:separator/>
      </w:r>
    </w:p>
  </w:endnote>
  <w:endnote w:type="continuationSeparator" w:id="0">
    <w:p w:rsidR="00244671" w:rsidRDefault="00244671" w:rsidP="00124A51">
      <w:r>
        <w:continuationSeparator/>
      </w:r>
    </w:p>
  </w:endnote>
  <w:endnote w:type="continuationNotice" w:id="1">
    <w:p w:rsidR="00244671" w:rsidRDefault="00244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otham XNarrow Book">
    <w:altName w:val="Arial"/>
    <w:panose1 w:val="00000000000000000000"/>
    <w:charset w:val="00"/>
    <w:family w:val="modern"/>
    <w:notTrueType/>
    <w:pitch w:val="variable"/>
    <w:sig w:usb0="00000001" w:usb1="4000004A" w:usb2="00000000" w:usb3="00000000" w:csb0="0000009B"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671" w:rsidRDefault="002446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385400"/>
      <w:docPartObj>
        <w:docPartGallery w:val="Page Numbers (Bottom of Page)"/>
        <w:docPartUnique/>
      </w:docPartObj>
    </w:sdtPr>
    <w:sdtEndPr>
      <w:rPr>
        <w:noProof/>
      </w:rPr>
    </w:sdtEndPr>
    <w:sdtContent>
      <w:p w:rsidR="00244671" w:rsidRDefault="00244671">
        <w:pPr>
          <w:pStyle w:val="Footer"/>
          <w:jc w:val="center"/>
        </w:pPr>
        <w:r>
          <w:fldChar w:fldCharType="begin"/>
        </w:r>
        <w:r>
          <w:instrText xml:space="preserve"> PAGE   \* MERGEFORMAT </w:instrText>
        </w:r>
        <w:r>
          <w:fldChar w:fldCharType="separate"/>
        </w:r>
        <w:r w:rsidR="00875B5D">
          <w:rPr>
            <w:noProof/>
          </w:rPr>
          <w:t>11</w:t>
        </w:r>
        <w:r>
          <w:rPr>
            <w:noProof/>
          </w:rPr>
          <w:fldChar w:fldCharType="end"/>
        </w:r>
      </w:p>
    </w:sdtContent>
  </w:sdt>
  <w:p w:rsidR="00244671" w:rsidRPr="00556127" w:rsidRDefault="00244671" w:rsidP="007A54CE">
    <w:pPr>
      <w:jc w:val="cen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671" w:rsidRDefault="002446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671" w:rsidRDefault="00244671" w:rsidP="00124A51">
      <w:r>
        <w:separator/>
      </w:r>
    </w:p>
  </w:footnote>
  <w:footnote w:type="continuationSeparator" w:id="0">
    <w:p w:rsidR="00244671" w:rsidRDefault="00244671" w:rsidP="00124A51">
      <w:r>
        <w:continuationSeparator/>
      </w:r>
    </w:p>
  </w:footnote>
  <w:footnote w:type="continuationNotice" w:id="1">
    <w:p w:rsidR="00244671" w:rsidRDefault="00244671"/>
  </w:footnote>
  <w:footnote w:id="2">
    <w:p w:rsidR="00244671" w:rsidRDefault="00244671" w:rsidP="002F592C">
      <w:pPr>
        <w:pStyle w:val="FootnoteText"/>
      </w:pPr>
      <w:r w:rsidRPr="0045211E">
        <w:rPr>
          <w:rStyle w:val="FootnoteReference"/>
          <w:sz w:val="18"/>
        </w:rPr>
        <w:footnoteRef/>
      </w:r>
      <w:r w:rsidRPr="0045211E">
        <w:rPr>
          <w:sz w:val="18"/>
        </w:rPr>
        <w:t xml:space="preserve"> Brodie MJ, Mintzer S, Pack AM, Gidal BE, Vecht CJ, Schmidt D. Enzyme induction with antiepileptic drugs: cause for concern? Epilepsia. 2013;54(1):11-27.</w:t>
      </w:r>
    </w:p>
  </w:footnote>
  <w:footnote w:id="3">
    <w:p w:rsidR="00244671" w:rsidRDefault="00244671" w:rsidP="0099269F">
      <w:pPr>
        <w:pStyle w:val="FootnoteText"/>
      </w:pPr>
      <w:r w:rsidRPr="0045211E">
        <w:rPr>
          <w:rStyle w:val="FootnoteReference"/>
          <w:sz w:val="18"/>
        </w:rPr>
        <w:footnoteRef/>
      </w:r>
      <w:r w:rsidRPr="0045211E">
        <w:rPr>
          <w:sz w:val="18"/>
        </w:rPr>
        <w:t xml:space="preserve"> Vickers AJ. The use of percentage change from baseline as an outcome in a controlled trial is statistically inefficient: a simulation study. BMC Medical Research Methodology. 2001;1(1):6.</w:t>
      </w:r>
    </w:p>
  </w:footnote>
  <w:footnote w:id="4">
    <w:p w:rsidR="00244671" w:rsidRPr="007227B1" w:rsidRDefault="00244671" w:rsidP="00D67736">
      <w:pPr>
        <w:pStyle w:val="FootnoteText"/>
        <w:rPr>
          <w:rFonts w:ascii="Arial Narrow" w:hAnsi="Arial Narrow"/>
          <w:sz w:val="18"/>
          <w:szCs w:val="18"/>
        </w:rPr>
      </w:pPr>
      <w:r w:rsidRPr="007227B1">
        <w:rPr>
          <w:rStyle w:val="FootnoteReference"/>
          <w:rFonts w:ascii="Arial Narrow" w:eastAsia="SimSun" w:hAnsi="Arial Narrow"/>
          <w:sz w:val="18"/>
          <w:szCs w:val="18"/>
        </w:rPr>
        <w:footnoteRef/>
      </w:r>
      <w:r w:rsidRPr="007227B1">
        <w:rPr>
          <w:rFonts w:ascii="Arial Narrow" w:hAnsi="Arial Narrow"/>
          <w:sz w:val="18"/>
          <w:szCs w:val="18"/>
        </w:rPr>
        <w:t>EMA/518002/2015 Committee for Medicinal Products for Human Use (CHMP) Assessment report for</w:t>
      </w:r>
      <w:r>
        <w:rPr>
          <w:rFonts w:ascii="Arial Narrow" w:hAnsi="Arial Narrow"/>
          <w:sz w:val="18"/>
          <w:szCs w:val="18"/>
        </w:rPr>
        <w:t xml:space="preserve"> </w:t>
      </w:r>
      <w:r w:rsidRPr="007227B1">
        <w:rPr>
          <w:rFonts w:ascii="Arial Narrow" w:hAnsi="Arial Narrow"/>
          <w:sz w:val="18"/>
          <w:szCs w:val="18"/>
        </w:rPr>
        <w:t>Fycompa (perampanel).</w:t>
      </w:r>
    </w:p>
  </w:footnote>
  <w:footnote w:id="5">
    <w:p w:rsidR="00244671" w:rsidRPr="00FC6CA7" w:rsidRDefault="00244671">
      <w:pPr>
        <w:pStyle w:val="FootnoteText"/>
        <w:rPr>
          <w:sz w:val="18"/>
          <w:szCs w:val="18"/>
        </w:rPr>
      </w:pPr>
      <w:r w:rsidRPr="00FC6CA7">
        <w:rPr>
          <w:rStyle w:val="FootnoteReference"/>
          <w:sz w:val="18"/>
          <w:szCs w:val="18"/>
        </w:rPr>
        <w:footnoteRef/>
      </w:r>
      <w:r w:rsidRPr="00FC6CA7">
        <w:rPr>
          <w:sz w:val="18"/>
          <w:szCs w:val="18"/>
        </w:rPr>
        <w:t xml:space="preserve"> FDA Centre for Drug Evaluation and Research Summary Review: Perampanel, 21 October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671" w:rsidRDefault="002446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671" w:rsidRPr="00DF217D" w:rsidRDefault="00244671" w:rsidP="00343228">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2016 </w:t>
    </w:r>
    <w:r w:rsidRPr="00DF217D">
      <w:rPr>
        <w:i/>
        <w:color w:val="808080"/>
      </w:rPr>
      <w:t>PBAC</w:t>
    </w:r>
    <w:r>
      <w:rPr>
        <w:i/>
        <w:color w:val="808080"/>
      </w:rPr>
      <w:t xml:space="preserve"> </w:t>
    </w:r>
    <w:r w:rsidRPr="00DF217D">
      <w:rPr>
        <w:i/>
        <w:color w:val="808080"/>
      </w:rPr>
      <w:t>Meeting</w:t>
    </w:r>
  </w:p>
  <w:p w:rsidR="00244671" w:rsidRDefault="00244671" w:rsidP="009117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671" w:rsidRDefault="002446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36E180"/>
    <w:lvl w:ilvl="0">
      <w:start w:val="1"/>
      <w:numFmt w:val="decimal"/>
      <w:lvlText w:val="%1."/>
      <w:lvlJc w:val="left"/>
      <w:pPr>
        <w:tabs>
          <w:tab w:val="num" w:pos="360"/>
        </w:tabs>
        <w:ind w:left="360" w:hanging="360"/>
      </w:p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B323E5F"/>
    <w:multiLevelType w:val="hybridMultilevel"/>
    <w:tmpl w:val="25D2711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0E8D688C"/>
    <w:multiLevelType w:val="hybridMultilevel"/>
    <w:tmpl w:val="59B032F8"/>
    <w:lvl w:ilvl="0" w:tplc="0C090017">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C220889"/>
    <w:multiLevelType w:val="hybridMultilevel"/>
    <w:tmpl w:val="8FB21DE0"/>
    <w:lvl w:ilvl="0" w:tplc="113C7130">
      <w:start w:val="1"/>
      <w:numFmt w:val="bullet"/>
      <w:lvlText w:val=""/>
      <w:lvlJc w:val="left"/>
      <w:pPr>
        <w:ind w:left="360" w:hanging="360"/>
      </w:pPr>
      <w:rPr>
        <w:rFonts w:ascii="Symbol" w:hAnsi="Symbol" w:hint="default"/>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3967658"/>
    <w:multiLevelType w:val="hybridMultilevel"/>
    <w:tmpl w:val="BD702C5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E03D63"/>
    <w:multiLevelType w:val="hybridMultilevel"/>
    <w:tmpl w:val="8C0C24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3CCF494">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1D56C0"/>
    <w:multiLevelType w:val="hybridMultilevel"/>
    <w:tmpl w:val="72301D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2">
    <w:nsid w:val="38281E89"/>
    <w:multiLevelType w:val="hybridMultilevel"/>
    <w:tmpl w:val="5E1E3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A2D1B8E"/>
    <w:multiLevelType w:val="hybridMultilevel"/>
    <w:tmpl w:val="530451A6"/>
    <w:lvl w:ilvl="0" w:tplc="0C090001">
      <w:start w:val="1"/>
      <w:numFmt w:val="bullet"/>
      <w:lvlText w:val=""/>
      <w:lvlJc w:val="left"/>
      <w:pPr>
        <w:ind w:left="1070" w:hanging="360"/>
      </w:pPr>
      <w:rPr>
        <w:rFonts w:ascii="Symbol" w:hAnsi="Symbol" w:hint="default"/>
      </w:rPr>
    </w:lvl>
    <w:lvl w:ilvl="1" w:tplc="0C090003">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4">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B8B0C9F"/>
    <w:multiLevelType w:val="hybridMultilevel"/>
    <w:tmpl w:val="6220C482"/>
    <w:lvl w:ilvl="0" w:tplc="49E4361C">
      <w:start w:val="2"/>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3C0421DE"/>
    <w:multiLevelType w:val="hybridMultilevel"/>
    <w:tmpl w:val="61406A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C0B3B65"/>
    <w:multiLevelType w:val="multilevel"/>
    <w:tmpl w:val="EEEA1AD2"/>
    <w:styleLink w:val="BulletsListCV"/>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color w:val="002952"/>
      </w:rPr>
    </w:lvl>
    <w:lvl w:ilvl="2">
      <w:start w:val="1"/>
      <w:numFmt w:val="bullet"/>
      <w:lvlText w:val=""/>
      <w:lvlJc w:val="left"/>
      <w:pPr>
        <w:ind w:left="1080" w:hanging="360"/>
      </w:pPr>
      <w:rPr>
        <w:rFonts w:ascii="Wingdings" w:hAnsi="Wingdings" w:hint="default"/>
        <w:color w:val="002952"/>
      </w:rPr>
    </w:lvl>
    <w:lvl w:ilvl="3">
      <w:start w:val="1"/>
      <w:numFmt w:val="bullet"/>
      <w:lvlText w:val=""/>
      <w:lvlJc w:val="left"/>
      <w:pPr>
        <w:ind w:left="1440" w:hanging="360"/>
      </w:pPr>
      <w:rPr>
        <w:rFonts w:ascii="Wingdings" w:hAnsi="Wingdings" w:hint="default"/>
        <w:color w:val="002952"/>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nsid w:val="3C832480"/>
    <w:multiLevelType w:val="multilevel"/>
    <w:tmpl w:val="6CBE45F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DEE0B5D"/>
    <w:multiLevelType w:val="hybridMultilevel"/>
    <w:tmpl w:val="BA10A04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1">
    <w:nsid w:val="41E82077"/>
    <w:multiLevelType w:val="hybridMultilevel"/>
    <w:tmpl w:val="59E06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C04DE2"/>
    <w:multiLevelType w:val="hybridMultilevel"/>
    <w:tmpl w:val="526C7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45CB3229"/>
    <w:multiLevelType w:val="hybridMultilevel"/>
    <w:tmpl w:val="36108E24"/>
    <w:lvl w:ilvl="0" w:tplc="B636C8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5">
    <w:nsid w:val="4A526512"/>
    <w:multiLevelType w:val="hybridMultilevel"/>
    <w:tmpl w:val="62083B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C2F77CC"/>
    <w:multiLevelType w:val="hybridMultilevel"/>
    <w:tmpl w:val="54A01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2FD00E7"/>
    <w:multiLevelType w:val="hybridMultilevel"/>
    <w:tmpl w:val="9E105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8FD3D1A"/>
    <w:multiLevelType w:val="hybridMultilevel"/>
    <w:tmpl w:val="EF6CB6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5A425C75"/>
    <w:multiLevelType w:val="hybridMultilevel"/>
    <w:tmpl w:val="2D881E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C074AD1"/>
    <w:multiLevelType w:val="hybridMultilevel"/>
    <w:tmpl w:val="D8A84F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5C9C22BA"/>
    <w:multiLevelType w:val="hybridMultilevel"/>
    <w:tmpl w:val="0B38B314"/>
    <w:lvl w:ilvl="0" w:tplc="0C090001">
      <w:start w:val="1"/>
      <w:numFmt w:val="bullet"/>
      <w:lvlText w:val=""/>
      <w:lvlJc w:val="left"/>
      <w:pPr>
        <w:ind w:left="-708" w:hanging="360"/>
      </w:pPr>
      <w:rPr>
        <w:rFonts w:ascii="Symbol" w:hAnsi="Symbol" w:hint="default"/>
      </w:rPr>
    </w:lvl>
    <w:lvl w:ilvl="1" w:tplc="0C090003">
      <w:start w:val="1"/>
      <w:numFmt w:val="bullet"/>
      <w:lvlText w:val="o"/>
      <w:lvlJc w:val="left"/>
      <w:pPr>
        <w:ind w:left="12" w:hanging="360"/>
      </w:pPr>
      <w:rPr>
        <w:rFonts w:ascii="Courier New" w:hAnsi="Courier New" w:cs="Courier New" w:hint="default"/>
      </w:rPr>
    </w:lvl>
    <w:lvl w:ilvl="2" w:tplc="0C090005">
      <w:start w:val="1"/>
      <w:numFmt w:val="bullet"/>
      <w:lvlText w:val=""/>
      <w:lvlJc w:val="left"/>
      <w:pPr>
        <w:ind w:left="732" w:hanging="360"/>
      </w:pPr>
      <w:rPr>
        <w:rFonts w:ascii="Wingdings" w:hAnsi="Wingdings" w:hint="default"/>
      </w:rPr>
    </w:lvl>
    <w:lvl w:ilvl="3" w:tplc="0C090001">
      <w:start w:val="1"/>
      <w:numFmt w:val="bullet"/>
      <w:lvlText w:val=""/>
      <w:lvlJc w:val="left"/>
      <w:pPr>
        <w:ind w:left="1452" w:hanging="360"/>
      </w:pPr>
      <w:rPr>
        <w:rFonts w:ascii="Symbol" w:hAnsi="Symbol" w:hint="default"/>
      </w:rPr>
    </w:lvl>
    <w:lvl w:ilvl="4" w:tplc="0C090003">
      <w:start w:val="1"/>
      <w:numFmt w:val="bullet"/>
      <w:lvlText w:val="o"/>
      <w:lvlJc w:val="left"/>
      <w:pPr>
        <w:ind w:left="2172" w:hanging="360"/>
      </w:pPr>
      <w:rPr>
        <w:rFonts w:ascii="Courier New" w:hAnsi="Courier New" w:cs="Courier New" w:hint="default"/>
      </w:rPr>
    </w:lvl>
    <w:lvl w:ilvl="5" w:tplc="0C090005">
      <w:start w:val="1"/>
      <w:numFmt w:val="bullet"/>
      <w:lvlText w:val=""/>
      <w:lvlJc w:val="left"/>
      <w:pPr>
        <w:ind w:left="2892" w:hanging="360"/>
      </w:pPr>
      <w:rPr>
        <w:rFonts w:ascii="Wingdings" w:hAnsi="Wingdings" w:hint="default"/>
      </w:rPr>
    </w:lvl>
    <w:lvl w:ilvl="6" w:tplc="0C090001">
      <w:start w:val="1"/>
      <w:numFmt w:val="bullet"/>
      <w:lvlText w:val=""/>
      <w:lvlJc w:val="left"/>
      <w:pPr>
        <w:ind w:left="3612" w:hanging="360"/>
      </w:pPr>
      <w:rPr>
        <w:rFonts w:ascii="Symbol" w:hAnsi="Symbol" w:hint="default"/>
      </w:rPr>
    </w:lvl>
    <w:lvl w:ilvl="7" w:tplc="0C090003">
      <w:start w:val="1"/>
      <w:numFmt w:val="bullet"/>
      <w:lvlText w:val="o"/>
      <w:lvlJc w:val="left"/>
      <w:pPr>
        <w:ind w:left="4332" w:hanging="360"/>
      </w:pPr>
      <w:rPr>
        <w:rFonts w:ascii="Courier New" w:hAnsi="Courier New" w:cs="Courier New" w:hint="default"/>
      </w:rPr>
    </w:lvl>
    <w:lvl w:ilvl="8" w:tplc="0C090005">
      <w:start w:val="1"/>
      <w:numFmt w:val="bullet"/>
      <w:lvlText w:val=""/>
      <w:lvlJc w:val="left"/>
      <w:pPr>
        <w:ind w:left="5052" w:hanging="360"/>
      </w:pPr>
      <w:rPr>
        <w:rFonts w:ascii="Wingdings" w:hAnsi="Wingdings" w:hint="default"/>
      </w:rPr>
    </w:lvl>
  </w:abstractNum>
  <w:abstractNum w:abstractNumId="33">
    <w:nsid w:val="5D891FD3"/>
    <w:multiLevelType w:val="hybridMultilevel"/>
    <w:tmpl w:val="BBF2E2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FC1499D"/>
    <w:multiLevelType w:val="hybridMultilevel"/>
    <w:tmpl w:val="7D325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14E3186"/>
    <w:multiLevelType w:val="hybridMultilevel"/>
    <w:tmpl w:val="28E09CC0"/>
    <w:lvl w:ilvl="0" w:tplc="113C7130">
      <w:start w:val="1"/>
      <w:numFmt w:val="bullet"/>
      <w:lvlText w:val=""/>
      <w:lvlJc w:val="left"/>
      <w:pPr>
        <w:ind w:left="360" w:hanging="360"/>
      </w:pPr>
      <w:rPr>
        <w:rFonts w:ascii="Symbol" w:hAnsi="Symbol" w:hint="default"/>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B770AD3"/>
    <w:multiLevelType w:val="hybridMultilevel"/>
    <w:tmpl w:val="FC480F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73F96D4C"/>
    <w:multiLevelType w:val="hybridMultilevel"/>
    <w:tmpl w:val="7BD62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84D033C"/>
    <w:multiLevelType w:val="multilevel"/>
    <w:tmpl w:val="29C0F87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8DA21E5"/>
    <w:multiLevelType w:val="hybridMultilevel"/>
    <w:tmpl w:val="EEFE17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nsid w:val="7B374564"/>
    <w:multiLevelType w:val="hybridMultilevel"/>
    <w:tmpl w:val="BD4A71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nsid w:val="7C13277E"/>
    <w:multiLevelType w:val="multilevel"/>
    <w:tmpl w:val="6CBE45F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20"/>
  </w:num>
  <w:num w:numId="3">
    <w:abstractNumId w:val="11"/>
  </w:num>
  <w:num w:numId="4">
    <w:abstractNumId w:val="24"/>
  </w:num>
  <w:num w:numId="5">
    <w:abstractNumId w:val="14"/>
  </w:num>
  <w:num w:numId="6">
    <w:abstractNumId w:val="2"/>
  </w:num>
  <w:num w:numId="7">
    <w:abstractNumId w:val="39"/>
  </w:num>
  <w:num w:numId="8">
    <w:abstractNumId w:val="12"/>
  </w:num>
  <w:num w:numId="9">
    <w:abstractNumId w:val="25"/>
  </w:num>
  <w:num w:numId="10">
    <w:abstractNumId w:val="16"/>
  </w:num>
  <w:num w:numId="11">
    <w:abstractNumId w:val="5"/>
  </w:num>
  <w:num w:numId="12">
    <w:abstractNumId w:val="17"/>
  </w:num>
  <w:num w:numId="13">
    <w:abstractNumId w:val="13"/>
  </w:num>
  <w:num w:numId="14">
    <w:abstractNumId w:val="40"/>
  </w:num>
  <w:num w:numId="15">
    <w:abstractNumId w:val="7"/>
  </w:num>
  <w:num w:numId="16">
    <w:abstractNumId w:val="33"/>
  </w:num>
  <w:num w:numId="17">
    <w:abstractNumId w:val="30"/>
  </w:num>
  <w:num w:numId="18">
    <w:abstractNumId w:val="6"/>
  </w:num>
  <w:num w:numId="19">
    <w:abstractNumId w:val="36"/>
  </w:num>
  <w:num w:numId="20">
    <w:abstractNumId w:val="22"/>
  </w:num>
  <w:num w:numId="21">
    <w:abstractNumId w:val="32"/>
  </w:num>
  <w:num w:numId="22">
    <w:abstractNumId w:val="31"/>
  </w:num>
  <w:num w:numId="23">
    <w:abstractNumId w:val="27"/>
  </w:num>
  <w:num w:numId="24">
    <w:abstractNumId w:val="4"/>
  </w:num>
  <w:num w:numId="25">
    <w:abstractNumId w:val="42"/>
  </w:num>
  <w:num w:numId="26">
    <w:abstractNumId w:val="18"/>
  </w:num>
  <w:num w:numId="27">
    <w:abstractNumId w:val="29"/>
  </w:num>
  <w:num w:numId="28">
    <w:abstractNumId w:val="26"/>
  </w:num>
  <w:num w:numId="29">
    <w:abstractNumId w:val="9"/>
  </w:num>
  <w:num w:numId="30">
    <w:abstractNumId w:val="35"/>
  </w:num>
  <w:num w:numId="31">
    <w:abstractNumId w:val="37"/>
  </w:num>
  <w:num w:numId="32">
    <w:abstractNumId w:val="23"/>
  </w:num>
  <w:num w:numId="33">
    <w:abstractNumId w:val="21"/>
  </w:num>
  <w:num w:numId="34">
    <w:abstractNumId w:val="38"/>
  </w:num>
  <w:num w:numId="35">
    <w:abstractNumId w:val="28"/>
  </w:num>
  <w:num w:numId="36">
    <w:abstractNumId w:val="3"/>
  </w:num>
  <w:num w:numId="37">
    <w:abstractNumId w:val="1"/>
  </w:num>
  <w:num w:numId="38">
    <w:abstractNumId w:val="8"/>
  </w:num>
  <w:num w:numId="39">
    <w:abstractNumId w:val="19"/>
  </w:num>
  <w:num w:numId="40">
    <w:abstractNumId w:val="15"/>
  </w:num>
  <w:num w:numId="41">
    <w:abstractNumId w:val="10"/>
  </w:num>
  <w:num w:numId="42">
    <w:abstractNumId w:val="41"/>
  </w:num>
  <w:num w:numId="43">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numFmt w:val="lowerLette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Leesa&lt;/Style&gt;&lt;LeftDelim&gt;{&lt;/LeftDelim&gt;&lt;RightDelim&gt;}&lt;/RightDelim&gt;&lt;FontName&gt;Arial Bold&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e2et9fa6pwevberpz95dpryv0wsavzaavwa&quot;&gt;Briva&lt;record-ids&gt;&lt;item&gt;1&lt;/item&gt;&lt;item&gt;13&lt;/item&gt;&lt;item&gt;14&lt;/item&gt;&lt;item&gt;15&lt;/item&gt;&lt;item&gt;16&lt;/item&gt;&lt;item&gt;18&lt;/item&gt;&lt;item&gt;19&lt;/item&gt;&lt;item&gt;20&lt;/item&gt;&lt;item&gt;21&lt;/item&gt;&lt;item&gt;22&lt;/item&gt;&lt;item&gt;24&lt;/item&gt;&lt;item&gt;25&lt;/item&gt;&lt;item&gt;26&lt;/item&gt;&lt;item&gt;27&lt;/item&gt;&lt;item&gt;28&lt;/item&gt;&lt;item&gt;29&lt;/item&gt;&lt;/record-ids&gt;&lt;/item&gt;&lt;/Libraries&gt;"/>
  </w:docVars>
  <w:rsids>
    <w:rsidRoot w:val="00E65E79"/>
    <w:rsid w:val="00000790"/>
    <w:rsid w:val="0000110B"/>
    <w:rsid w:val="00003499"/>
    <w:rsid w:val="000063F0"/>
    <w:rsid w:val="00006BFA"/>
    <w:rsid w:val="00013247"/>
    <w:rsid w:val="00014096"/>
    <w:rsid w:val="00015886"/>
    <w:rsid w:val="000162EF"/>
    <w:rsid w:val="00017727"/>
    <w:rsid w:val="0002225F"/>
    <w:rsid w:val="00022D75"/>
    <w:rsid w:val="00023763"/>
    <w:rsid w:val="00023E24"/>
    <w:rsid w:val="00026AB3"/>
    <w:rsid w:val="00027A0E"/>
    <w:rsid w:val="00033229"/>
    <w:rsid w:val="00033E63"/>
    <w:rsid w:val="00036A17"/>
    <w:rsid w:val="00040895"/>
    <w:rsid w:val="00043993"/>
    <w:rsid w:val="00043C37"/>
    <w:rsid w:val="00044144"/>
    <w:rsid w:val="00046D62"/>
    <w:rsid w:val="00051647"/>
    <w:rsid w:val="00053B40"/>
    <w:rsid w:val="000546D7"/>
    <w:rsid w:val="0005477A"/>
    <w:rsid w:val="0005583D"/>
    <w:rsid w:val="000563B1"/>
    <w:rsid w:val="00063389"/>
    <w:rsid w:val="00065110"/>
    <w:rsid w:val="0006573C"/>
    <w:rsid w:val="0006649B"/>
    <w:rsid w:val="0007080C"/>
    <w:rsid w:val="00070F28"/>
    <w:rsid w:val="00071248"/>
    <w:rsid w:val="000720B9"/>
    <w:rsid w:val="00072FC2"/>
    <w:rsid w:val="00073ECB"/>
    <w:rsid w:val="00077D9E"/>
    <w:rsid w:val="000812CA"/>
    <w:rsid w:val="000846E3"/>
    <w:rsid w:val="00084900"/>
    <w:rsid w:val="00087077"/>
    <w:rsid w:val="00087EB2"/>
    <w:rsid w:val="00090C16"/>
    <w:rsid w:val="00090C7E"/>
    <w:rsid w:val="00095153"/>
    <w:rsid w:val="00097DA5"/>
    <w:rsid w:val="000A5254"/>
    <w:rsid w:val="000A5A12"/>
    <w:rsid w:val="000B1312"/>
    <w:rsid w:val="000B17A5"/>
    <w:rsid w:val="000B187F"/>
    <w:rsid w:val="000B2A01"/>
    <w:rsid w:val="000C43CD"/>
    <w:rsid w:val="000D0040"/>
    <w:rsid w:val="000D1BFC"/>
    <w:rsid w:val="000D3CD8"/>
    <w:rsid w:val="000D6604"/>
    <w:rsid w:val="000D77CA"/>
    <w:rsid w:val="000E098B"/>
    <w:rsid w:val="000E0BF0"/>
    <w:rsid w:val="000E1155"/>
    <w:rsid w:val="000E1EF5"/>
    <w:rsid w:val="000E2FCB"/>
    <w:rsid w:val="000E53FC"/>
    <w:rsid w:val="000F06C5"/>
    <w:rsid w:val="000F2479"/>
    <w:rsid w:val="000F27CC"/>
    <w:rsid w:val="000F4BB8"/>
    <w:rsid w:val="000F70AB"/>
    <w:rsid w:val="000F7127"/>
    <w:rsid w:val="000F7221"/>
    <w:rsid w:val="0010082B"/>
    <w:rsid w:val="00100F8A"/>
    <w:rsid w:val="00101A5F"/>
    <w:rsid w:val="00102284"/>
    <w:rsid w:val="00104CD7"/>
    <w:rsid w:val="00106124"/>
    <w:rsid w:val="0011032E"/>
    <w:rsid w:val="001133BB"/>
    <w:rsid w:val="0011348B"/>
    <w:rsid w:val="00120078"/>
    <w:rsid w:val="00121799"/>
    <w:rsid w:val="001222FC"/>
    <w:rsid w:val="001225CA"/>
    <w:rsid w:val="00124A51"/>
    <w:rsid w:val="00126621"/>
    <w:rsid w:val="001301E9"/>
    <w:rsid w:val="001330D1"/>
    <w:rsid w:val="00137645"/>
    <w:rsid w:val="0014015A"/>
    <w:rsid w:val="001403DE"/>
    <w:rsid w:val="00140E99"/>
    <w:rsid w:val="001412FE"/>
    <w:rsid w:val="00141A59"/>
    <w:rsid w:val="0014205F"/>
    <w:rsid w:val="0014225F"/>
    <w:rsid w:val="00145540"/>
    <w:rsid w:val="001456B0"/>
    <w:rsid w:val="00145CC6"/>
    <w:rsid w:val="00150D64"/>
    <w:rsid w:val="0015404E"/>
    <w:rsid w:val="00155EC1"/>
    <w:rsid w:val="00157130"/>
    <w:rsid w:val="00161FE5"/>
    <w:rsid w:val="00162913"/>
    <w:rsid w:val="00163EFF"/>
    <w:rsid w:val="001661FB"/>
    <w:rsid w:val="0016627F"/>
    <w:rsid w:val="00172D4F"/>
    <w:rsid w:val="0017541F"/>
    <w:rsid w:val="0017727D"/>
    <w:rsid w:val="00177B0D"/>
    <w:rsid w:val="0018161A"/>
    <w:rsid w:val="00183BE0"/>
    <w:rsid w:val="00185CFF"/>
    <w:rsid w:val="0018752F"/>
    <w:rsid w:val="00187F41"/>
    <w:rsid w:val="00195222"/>
    <w:rsid w:val="00195237"/>
    <w:rsid w:val="001975D8"/>
    <w:rsid w:val="001A0ABA"/>
    <w:rsid w:val="001A2CFB"/>
    <w:rsid w:val="001A355F"/>
    <w:rsid w:val="001A48B8"/>
    <w:rsid w:val="001A793E"/>
    <w:rsid w:val="001B3443"/>
    <w:rsid w:val="001B3DA3"/>
    <w:rsid w:val="001B553A"/>
    <w:rsid w:val="001B6D5E"/>
    <w:rsid w:val="001B79DC"/>
    <w:rsid w:val="001B7C15"/>
    <w:rsid w:val="001C0CF3"/>
    <w:rsid w:val="001C224B"/>
    <w:rsid w:val="001C3973"/>
    <w:rsid w:val="001C48F9"/>
    <w:rsid w:val="001C6E66"/>
    <w:rsid w:val="001D0417"/>
    <w:rsid w:val="001D08EE"/>
    <w:rsid w:val="001D1D07"/>
    <w:rsid w:val="001D21C3"/>
    <w:rsid w:val="001D4BB0"/>
    <w:rsid w:val="001D5782"/>
    <w:rsid w:val="001E238E"/>
    <w:rsid w:val="001E2B1E"/>
    <w:rsid w:val="001E37E6"/>
    <w:rsid w:val="001E3E82"/>
    <w:rsid w:val="001E52EB"/>
    <w:rsid w:val="001E5DFA"/>
    <w:rsid w:val="001E740C"/>
    <w:rsid w:val="001E7A27"/>
    <w:rsid w:val="001F0AEA"/>
    <w:rsid w:val="001F1235"/>
    <w:rsid w:val="001F1CB3"/>
    <w:rsid w:val="001F23B2"/>
    <w:rsid w:val="001F2FB5"/>
    <w:rsid w:val="001F491D"/>
    <w:rsid w:val="001F4997"/>
    <w:rsid w:val="001F5690"/>
    <w:rsid w:val="001F6A02"/>
    <w:rsid w:val="001F7361"/>
    <w:rsid w:val="002009D9"/>
    <w:rsid w:val="00201649"/>
    <w:rsid w:val="0020385F"/>
    <w:rsid w:val="00204186"/>
    <w:rsid w:val="00206819"/>
    <w:rsid w:val="00207021"/>
    <w:rsid w:val="00207D00"/>
    <w:rsid w:val="002105C1"/>
    <w:rsid w:val="00213373"/>
    <w:rsid w:val="002153EB"/>
    <w:rsid w:val="002229B6"/>
    <w:rsid w:val="00223B49"/>
    <w:rsid w:val="00224DD4"/>
    <w:rsid w:val="00225981"/>
    <w:rsid w:val="00227CDA"/>
    <w:rsid w:val="002309CC"/>
    <w:rsid w:val="002326F2"/>
    <w:rsid w:val="00242FD8"/>
    <w:rsid w:val="00244671"/>
    <w:rsid w:val="00245D89"/>
    <w:rsid w:val="0024626C"/>
    <w:rsid w:val="00247F51"/>
    <w:rsid w:val="002505B5"/>
    <w:rsid w:val="00251B10"/>
    <w:rsid w:val="0025204E"/>
    <w:rsid w:val="00254C09"/>
    <w:rsid w:val="00254DCF"/>
    <w:rsid w:val="0025534B"/>
    <w:rsid w:val="00255BB7"/>
    <w:rsid w:val="00255FAB"/>
    <w:rsid w:val="00256E52"/>
    <w:rsid w:val="0026141E"/>
    <w:rsid w:val="00262A87"/>
    <w:rsid w:val="002648D0"/>
    <w:rsid w:val="0026575C"/>
    <w:rsid w:val="002700D7"/>
    <w:rsid w:val="00272671"/>
    <w:rsid w:val="00273548"/>
    <w:rsid w:val="00275B58"/>
    <w:rsid w:val="00275C5A"/>
    <w:rsid w:val="00281014"/>
    <w:rsid w:val="00283059"/>
    <w:rsid w:val="002834B6"/>
    <w:rsid w:val="00284DD8"/>
    <w:rsid w:val="002862DE"/>
    <w:rsid w:val="00286A94"/>
    <w:rsid w:val="00295190"/>
    <w:rsid w:val="002A14AB"/>
    <w:rsid w:val="002A27F6"/>
    <w:rsid w:val="002A6E90"/>
    <w:rsid w:val="002B0AB4"/>
    <w:rsid w:val="002B127F"/>
    <w:rsid w:val="002B1C1F"/>
    <w:rsid w:val="002B2CAA"/>
    <w:rsid w:val="002B432F"/>
    <w:rsid w:val="002B6CCE"/>
    <w:rsid w:val="002C2775"/>
    <w:rsid w:val="002C27C1"/>
    <w:rsid w:val="002C49D5"/>
    <w:rsid w:val="002C533D"/>
    <w:rsid w:val="002C5AD4"/>
    <w:rsid w:val="002C62AD"/>
    <w:rsid w:val="002C6E8D"/>
    <w:rsid w:val="002D53DD"/>
    <w:rsid w:val="002E0A85"/>
    <w:rsid w:val="002E65C9"/>
    <w:rsid w:val="002E6601"/>
    <w:rsid w:val="002E6A32"/>
    <w:rsid w:val="002F2809"/>
    <w:rsid w:val="002F45A8"/>
    <w:rsid w:val="002F592C"/>
    <w:rsid w:val="00301017"/>
    <w:rsid w:val="00302C0C"/>
    <w:rsid w:val="0030786C"/>
    <w:rsid w:val="0031031A"/>
    <w:rsid w:val="003106D7"/>
    <w:rsid w:val="00310981"/>
    <w:rsid w:val="0031228B"/>
    <w:rsid w:val="0031488B"/>
    <w:rsid w:val="00315498"/>
    <w:rsid w:val="00322E28"/>
    <w:rsid w:val="00322F6B"/>
    <w:rsid w:val="00323F3C"/>
    <w:rsid w:val="003255EF"/>
    <w:rsid w:val="0033194F"/>
    <w:rsid w:val="00331F66"/>
    <w:rsid w:val="003366C9"/>
    <w:rsid w:val="003371B0"/>
    <w:rsid w:val="0034048B"/>
    <w:rsid w:val="003430D8"/>
    <w:rsid w:val="00343228"/>
    <w:rsid w:val="00350F2E"/>
    <w:rsid w:val="003516CD"/>
    <w:rsid w:val="0035458E"/>
    <w:rsid w:val="0035620E"/>
    <w:rsid w:val="00357C49"/>
    <w:rsid w:val="00366B97"/>
    <w:rsid w:val="00367B83"/>
    <w:rsid w:val="0037391A"/>
    <w:rsid w:val="00374ABD"/>
    <w:rsid w:val="00381E68"/>
    <w:rsid w:val="00382187"/>
    <w:rsid w:val="003827B6"/>
    <w:rsid w:val="00382E9F"/>
    <w:rsid w:val="003830E0"/>
    <w:rsid w:val="0038365C"/>
    <w:rsid w:val="0038764E"/>
    <w:rsid w:val="00395DEA"/>
    <w:rsid w:val="00396601"/>
    <w:rsid w:val="00396FD0"/>
    <w:rsid w:val="00397A58"/>
    <w:rsid w:val="003A1A7A"/>
    <w:rsid w:val="003A24EA"/>
    <w:rsid w:val="003A3537"/>
    <w:rsid w:val="003A4A01"/>
    <w:rsid w:val="003A523B"/>
    <w:rsid w:val="003B23C8"/>
    <w:rsid w:val="003B2B44"/>
    <w:rsid w:val="003B528F"/>
    <w:rsid w:val="003B6C34"/>
    <w:rsid w:val="003B7728"/>
    <w:rsid w:val="003B7FE6"/>
    <w:rsid w:val="003C25FC"/>
    <w:rsid w:val="003C6C31"/>
    <w:rsid w:val="003D064E"/>
    <w:rsid w:val="003D1828"/>
    <w:rsid w:val="003D1A59"/>
    <w:rsid w:val="003D2422"/>
    <w:rsid w:val="003D4FD4"/>
    <w:rsid w:val="003E16B0"/>
    <w:rsid w:val="003E2143"/>
    <w:rsid w:val="003E22B4"/>
    <w:rsid w:val="003E34F6"/>
    <w:rsid w:val="003F4156"/>
    <w:rsid w:val="003F4773"/>
    <w:rsid w:val="003F6A10"/>
    <w:rsid w:val="00402D5E"/>
    <w:rsid w:val="00405EE5"/>
    <w:rsid w:val="004101E7"/>
    <w:rsid w:val="00410708"/>
    <w:rsid w:val="00410EC7"/>
    <w:rsid w:val="00414476"/>
    <w:rsid w:val="0042059D"/>
    <w:rsid w:val="00420B9F"/>
    <w:rsid w:val="00420DEB"/>
    <w:rsid w:val="0042624C"/>
    <w:rsid w:val="00426E8F"/>
    <w:rsid w:val="00430657"/>
    <w:rsid w:val="004319F8"/>
    <w:rsid w:val="00432CC0"/>
    <w:rsid w:val="00433044"/>
    <w:rsid w:val="004357D7"/>
    <w:rsid w:val="004443A7"/>
    <w:rsid w:val="004446DB"/>
    <w:rsid w:val="004464D8"/>
    <w:rsid w:val="004464EB"/>
    <w:rsid w:val="0045211E"/>
    <w:rsid w:val="004530B0"/>
    <w:rsid w:val="00453F9D"/>
    <w:rsid w:val="00454DE7"/>
    <w:rsid w:val="00455A61"/>
    <w:rsid w:val="00455D45"/>
    <w:rsid w:val="004567D8"/>
    <w:rsid w:val="0046050D"/>
    <w:rsid w:val="00460813"/>
    <w:rsid w:val="00461D11"/>
    <w:rsid w:val="00464595"/>
    <w:rsid w:val="00464DF6"/>
    <w:rsid w:val="004672EA"/>
    <w:rsid w:val="00467388"/>
    <w:rsid w:val="00476D02"/>
    <w:rsid w:val="00480965"/>
    <w:rsid w:val="004867E2"/>
    <w:rsid w:val="00491B3A"/>
    <w:rsid w:val="00492CFD"/>
    <w:rsid w:val="004930C0"/>
    <w:rsid w:val="00495A5E"/>
    <w:rsid w:val="004962D2"/>
    <w:rsid w:val="00496F0C"/>
    <w:rsid w:val="004A0DA1"/>
    <w:rsid w:val="004A1383"/>
    <w:rsid w:val="004A22DD"/>
    <w:rsid w:val="004A390F"/>
    <w:rsid w:val="004A4E93"/>
    <w:rsid w:val="004A59C9"/>
    <w:rsid w:val="004A5D00"/>
    <w:rsid w:val="004A63AB"/>
    <w:rsid w:val="004A6434"/>
    <w:rsid w:val="004A6597"/>
    <w:rsid w:val="004B14B1"/>
    <w:rsid w:val="004B1897"/>
    <w:rsid w:val="004B1CB4"/>
    <w:rsid w:val="004B2F18"/>
    <w:rsid w:val="004B3D46"/>
    <w:rsid w:val="004B3DDB"/>
    <w:rsid w:val="004B44FD"/>
    <w:rsid w:val="004B49D8"/>
    <w:rsid w:val="004B5AC3"/>
    <w:rsid w:val="004B5CFC"/>
    <w:rsid w:val="004B5DA6"/>
    <w:rsid w:val="004B7435"/>
    <w:rsid w:val="004C03FA"/>
    <w:rsid w:val="004C20F5"/>
    <w:rsid w:val="004C3FFA"/>
    <w:rsid w:val="004C4AED"/>
    <w:rsid w:val="004C4BB0"/>
    <w:rsid w:val="004D003B"/>
    <w:rsid w:val="004D0921"/>
    <w:rsid w:val="004D209E"/>
    <w:rsid w:val="004D70E6"/>
    <w:rsid w:val="004D7AEE"/>
    <w:rsid w:val="004D7EDF"/>
    <w:rsid w:val="004E0EB8"/>
    <w:rsid w:val="004E23CC"/>
    <w:rsid w:val="004E25C2"/>
    <w:rsid w:val="004E2ADC"/>
    <w:rsid w:val="004E2BB9"/>
    <w:rsid w:val="004E3C5E"/>
    <w:rsid w:val="004E43B2"/>
    <w:rsid w:val="004E7579"/>
    <w:rsid w:val="004E7F16"/>
    <w:rsid w:val="004F08BC"/>
    <w:rsid w:val="004F15AD"/>
    <w:rsid w:val="004F1D02"/>
    <w:rsid w:val="004F1F3D"/>
    <w:rsid w:val="004F2679"/>
    <w:rsid w:val="004F6FB6"/>
    <w:rsid w:val="004F7501"/>
    <w:rsid w:val="004F7865"/>
    <w:rsid w:val="00500360"/>
    <w:rsid w:val="00501544"/>
    <w:rsid w:val="00503CF2"/>
    <w:rsid w:val="0050482F"/>
    <w:rsid w:val="00506928"/>
    <w:rsid w:val="005077DD"/>
    <w:rsid w:val="005140EF"/>
    <w:rsid w:val="005152B5"/>
    <w:rsid w:val="0052045C"/>
    <w:rsid w:val="00521319"/>
    <w:rsid w:val="00521A20"/>
    <w:rsid w:val="00522BA6"/>
    <w:rsid w:val="00523C28"/>
    <w:rsid w:val="00526E23"/>
    <w:rsid w:val="0052718E"/>
    <w:rsid w:val="00531465"/>
    <w:rsid w:val="0053216C"/>
    <w:rsid w:val="00541247"/>
    <w:rsid w:val="00545C31"/>
    <w:rsid w:val="0054775F"/>
    <w:rsid w:val="00552558"/>
    <w:rsid w:val="00552BD3"/>
    <w:rsid w:val="00554EE2"/>
    <w:rsid w:val="00555109"/>
    <w:rsid w:val="00556127"/>
    <w:rsid w:val="00561C92"/>
    <w:rsid w:val="00561E71"/>
    <w:rsid w:val="00565062"/>
    <w:rsid w:val="00566473"/>
    <w:rsid w:val="0056696F"/>
    <w:rsid w:val="0056784C"/>
    <w:rsid w:val="0056798A"/>
    <w:rsid w:val="00575D8D"/>
    <w:rsid w:val="00576972"/>
    <w:rsid w:val="005803BA"/>
    <w:rsid w:val="00581B4A"/>
    <w:rsid w:val="00583699"/>
    <w:rsid w:val="00584D31"/>
    <w:rsid w:val="005924E7"/>
    <w:rsid w:val="0059357F"/>
    <w:rsid w:val="005940FD"/>
    <w:rsid w:val="00597692"/>
    <w:rsid w:val="005A2D79"/>
    <w:rsid w:val="005A36BF"/>
    <w:rsid w:val="005A3DFC"/>
    <w:rsid w:val="005A4B0D"/>
    <w:rsid w:val="005A661F"/>
    <w:rsid w:val="005A674A"/>
    <w:rsid w:val="005A6CC8"/>
    <w:rsid w:val="005A6F13"/>
    <w:rsid w:val="005A7442"/>
    <w:rsid w:val="005A752E"/>
    <w:rsid w:val="005B5857"/>
    <w:rsid w:val="005B5B0D"/>
    <w:rsid w:val="005C01E5"/>
    <w:rsid w:val="005C1B83"/>
    <w:rsid w:val="005C346B"/>
    <w:rsid w:val="005C6215"/>
    <w:rsid w:val="005C6A82"/>
    <w:rsid w:val="005C6B7C"/>
    <w:rsid w:val="005C7F65"/>
    <w:rsid w:val="005D044D"/>
    <w:rsid w:val="005D18AD"/>
    <w:rsid w:val="005D20A1"/>
    <w:rsid w:val="005D4751"/>
    <w:rsid w:val="005E16F9"/>
    <w:rsid w:val="005E5B83"/>
    <w:rsid w:val="005E5EAF"/>
    <w:rsid w:val="005E73C0"/>
    <w:rsid w:val="005E7F89"/>
    <w:rsid w:val="005F06A8"/>
    <w:rsid w:val="005F18B5"/>
    <w:rsid w:val="005F2706"/>
    <w:rsid w:val="005F31EE"/>
    <w:rsid w:val="005F3AAC"/>
    <w:rsid w:val="005F5D93"/>
    <w:rsid w:val="005F6A8F"/>
    <w:rsid w:val="00604212"/>
    <w:rsid w:val="00604D5E"/>
    <w:rsid w:val="00607669"/>
    <w:rsid w:val="00607C8B"/>
    <w:rsid w:val="00611A81"/>
    <w:rsid w:val="00612F97"/>
    <w:rsid w:val="006148F5"/>
    <w:rsid w:val="00616802"/>
    <w:rsid w:val="00617E12"/>
    <w:rsid w:val="0062133B"/>
    <w:rsid w:val="00621477"/>
    <w:rsid w:val="006216C0"/>
    <w:rsid w:val="006241C9"/>
    <w:rsid w:val="00625370"/>
    <w:rsid w:val="00631D6B"/>
    <w:rsid w:val="00632832"/>
    <w:rsid w:val="0063479F"/>
    <w:rsid w:val="006364A1"/>
    <w:rsid w:val="006368F7"/>
    <w:rsid w:val="00636A58"/>
    <w:rsid w:val="00637BFD"/>
    <w:rsid w:val="00640BFB"/>
    <w:rsid w:val="00643247"/>
    <w:rsid w:val="0064695D"/>
    <w:rsid w:val="006469A9"/>
    <w:rsid w:val="006470F7"/>
    <w:rsid w:val="006471CC"/>
    <w:rsid w:val="0065079F"/>
    <w:rsid w:val="00651D97"/>
    <w:rsid w:val="00651E9B"/>
    <w:rsid w:val="006534E9"/>
    <w:rsid w:val="00654488"/>
    <w:rsid w:val="00656E28"/>
    <w:rsid w:val="00666517"/>
    <w:rsid w:val="006705C7"/>
    <w:rsid w:val="00672296"/>
    <w:rsid w:val="00674E42"/>
    <w:rsid w:val="006801EE"/>
    <w:rsid w:val="00682112"/>
    <w:rsid w:val="0068422B"/>
    <w:rsid w:val="00684956"/>
    <w:rsid w:val="0068679E"/>
    <w:rsid w:val="00686F57"/>
    <w:rsid w:val="006872BA"/>
    <w:rsid w:val="006874D2"/>
    <w:rsid w:val="006917D7"/>
    <w:rsid w:val="00694F44"/>
    <w:rsid w:val="00697A36"/>
    <w:rsid w:val="006A78DC"/>
    <w:rsid w:val="006B15AA"/>
    <w:rsid w:val="006B1693"/>
    <w:rsid w:val="006B226B"/>
    <w:rsid w:val="006B24A1"/>
    <w:rsid w:val="006B28CE"/>
    <w:rsid w:val="006B3027"/>
    <w:rsid w:val="006B52AF"/>
    <w:rsid w:val="006C2A25"/>
    <w:rsid w:val="006C2A8E"/>
    <w:rsid w:val="006C7910"/>
    <w:rsid w:val="006D10EE"/>
    <w:rsid w:val="006D203F"/>
    <w:rsid w:val="006D3C7D"/>
    <w:rsid w:val="006D5130"/>
    <w:rsid w:val="006D5C89"/>
    <w:rsid w:val="006D5D5F"/>
    <w:rsid w:val="006D7B9E"/>
    <w:rsid w:val="006E1598"/>
    <w:rsid w:val="006E4B8E"/>
    <w:rsid w:val="006E6A9B"/>
    <w:rsid w:val="006F1B4A"/>
    <w:rsid w:val="006F307F"/>
    <w:rsid w:val="006F48AD"/>
    <w:rsid w:val="006F59C0"/>
    <w:rsid w:val="006F63A5"/>
    <w:rsid w:val="006F67BA"/>
    <w:rsid w:val="006F6901"/>
    <w:rsid w:val="006F70DE"/>
    <w:rsid w:val="006F770B"/>
    <w:rsid w:val="0070276E"/>
    <w:rsid w:val="00702F8F"/>
    <w:rsid w:val="00704992"/>
    <w:rsid w:val="00704AF7"/>
    <w:rsid w:val="00707608"/>
    <w:rsid w:val="00711A36"/>
    <w:rsid w:val="007172AD"/>
    <w:rsid w:val="0072297D"/>
    <w:rsid w:val="0072318D"/>
    <w:rsid w:val="0072416F"/>
    <w:rsid w:val="00724402"/>
    <w:rsid w:val="00724E3E"/>
    <w:rsid w:val="00735113"/>
    <w:rsid w:val="00735328"/>
    <w:rsid w:val="007363DD"/>
    <w:rsid w:val="0073685B"/>
    <w:rsid w:val="00741638"/>
    <w:rsid w:val="00742488"/>
    <w:rsid w:val="00747B76"/>
    <w:rsid w:val="00754B65"/>
    <w:rsid w:val="00754D27"/>
    <w:rsid w:val="007557E6"/>
    <w:rsid w:val="00760064"/>
    <w:rsid w:val="00760654"/>
    <w:rsid w:val="007607E7"/>
    <w:rsid w:val="00761562"/>
    <w:rsid w:val="007619C6"/>
    <w:rsid w:val="00763542"/>
    <w:rsid w:val="007665CE"/>
    <w:rsid w:val="00766CFD"/>
    <w:rsid w:val="00774785"/>
    <w:rsid w:val="00774FC7"/>
    <w:rsid w:val="00775155"/>
    <w:rsid w:val="00777757"/>
    <w:rsid w:val="0078092F"/>
    <w:rsid w:val="00785BBC"/>
    <w:rsid w:val="00786DB1"/>
    <w:rsid w:val="00791350"/>
    <w:rsid w:val="00791D1D"/>
    <w:rsid w:val="007937A2"/>
    <w:rsid w:val="00795612"/>
    <w:rsid w:val="00797291"/>
    <w:rsid w:val="007A034C"/>
    <w:rsid w:val="007A0A12"/>
    <w:rsid w:val="007A2C97"/>
    <w:rsid w:val="007A33DD"/>
    <w:rsid w:val="007A54CE"/>
    <w:rsid w:val="007A6338"/>
    <w:rsid w:val="007B079A"/>
    <w:rsid w:val="007B251D"/>
    <w:rsid w:val="007B3C85"/>
    <w:rsid w:val="007B5847"/>
    <w:rsid w:val="007B5D2B"/>
    <w:rsid w:val="007B777A"/>
    <w:rsid w:val="007B77D1"/>
    <w:rsid w:val="007C171E"/>
    <w:rsid w:val="007C2A4E"/>
    <w:rsid w:val="007C2F6C"/>
    <w:rsid w:val="007C361D"/>
    <w:rsid w:val="007C48A7"/>
    <w:rsid w:val="007D0B38"/>
    <w:rsid w:val="007D705A"/>
    <w:rsid w:val="007E10D7"/>
    <w:rsid w:val="007E7650"/>
    <w:rsid w:val="007F1017"/>
    <w:rsid w:val="007F24E6"/>
    <w:rsid w:val="007F4A3F"/>
    <w:rsid w:val="007F4B1F"/>
    <w:rsid w:val="007F5F26"/>
    <w:rsid w:val="00800731"/>
    <w:rsid w:val="00803F09"/>
    <w:rsid w:val="00805142"/>
    <w:rsid w:val="00807A8B"/>
    <w:rsid w:val="00812149"/>
    <w:rsid w:val="00814E87"/>
    <w:rsid w:val="008166EF"/>
    <w:rsid w:val="0081696A"/>
    <w:rsid w:val="00816E2A"/>
    <w:rsid w:val="008264EB"/>
    <w:rsid w:val="0082750C"/>
    <w:rsid w:val="00833B05"/>
    <w:rsid w:val="0084009D"/>
    <w:rsid w:val="00840CA2"/>
    <w:rsid w:val="008415F9"/>
    <w:rsid w:val="00842A97"/>
    <w:rsid w:val="00843750"/>
    <w:rsid w:val="00856460"/>
    <w:rsid w:val="00856E9A"/>
    <w:rsid w:val="00862502"/>
    <w:rsid w:val="00864E4D"/>
    <w:rsid w:val="00865671"/>
    <w:rsid w:val="00865714"/>
    <w:rsid w:val="0086611D"/>
    <w:rsid w:val="0087082B"/>
    <w:rsid w:val="00872CB0"/>
    <w:rsid w:val="008749E1"/>
    <w:rsid w:val="00875B5D"/>
    <w:rsid w:val="00876692"/>
    <w:rsid w:val="008817BB"/>
    <w:rsid w:val="008822C4"/>
    <w:rsid w:val="00882874"/>
    <w:rsid w:val="00883787"/>
    <w:rsid w:val="0089189A"/>
    <w:rsid w:val="00892CAF"/>
    <w:rsid w:val="00892E5A"/>
    <w:rsid w:val="00894489"/>
    <w:rsid w:val="00896398"/>
    <w:rsid w:val="008963A5"/>
    <w:rsid w:val="008A0056"/>
    <w:rsid w:val="008A3C3E"/>
    <w:rsid w:val="008A476E"/>
    <w:rsid w:val="008A49D7"/>
    <w:rsid w:val="008A4FA8"/>
    <w:rsid w:val="008A582E"/>
    <w:rsid w:val="008A79DE"/>
    <w:rsid w:val="008B02D9"/>
    <w:rsid w:val="008B274C"/>
    <w:rsid w:val="008B647E"/>
    <w:rsid w:val="008B7D7E"/>
    <w:rsid w:val="008C0DE3"/>
    <w:rsid w:val="008C27EE"/>
    <w:rsid w:val="008C36F0"/>
    <w:rsid w:val="008C41DA"/>
    <w:rsid w:val="008C76FF"/>
    <w:rsid w:val="008C7ECB"/>
    <w:rsid w:val="008D1A74"/>
    <w:rsid w:val="008D2441"/>
    <w:rsid w:val="008D56BF"/>
    <w:rsid w:val="008D66ED"/>
    <w:rsid w:val="008E1B9E"/>
    <w:rsid w:val="008E494F"/>
    <w:rsid w:val="008E59AD"/>
    <w:rsid w:val="008E62C5"/>
    <w:rsid w:val="008F120A"/>
    <w:rsid w:val="008F48EB"/>
    <w:rsid w:val="008F4F0B"/>
    <w:rsid w:val="008F628D"/>
    <w:rsid w:val="008F6FC9"/>
    <w:rsid w:val="009062A5"/>
    <w:rsid w:val="00911272"/>
    <w:rsid w:val="009117A5"/>
    <w:rsid w:val="00912E30"/>
    <w:rsid w:val="00915ED0"/>
    <w:rsid w:val="009168E8"/>
    <w:rsid w:val="009205C8"/>
    <w:rsid w:val="00920654"/>
    <w:rsid w:val="00920F86"/>
    <w:rsid w:val="00923806"/>
    <w:rsid w:val="009336A6"/>
    <w:rsid w:val="00935EF2"/>
    <w:rsid w:val="009378F6"/>
    <w:rsid w:val="00942E7C"/>
    <w:rsid w:val="00943D89"/>
    <w:rsid w:val="009449F4"/>
    <w:rsid w:val="00944E4B"/>
    <w:rsid w:val="00944E91"/>
    <w:rsid w:val="00945551"/>
    <w:rsid w:val="009458E9"/>
    <w:rsid w:val="0094655D"/>
    <w:rsid w:val="0095221C"/>
    <w:rsid w:val="009544B0"/>
    <w:rsid w:val="00954B7F"/>
    <w:rsid w:val="009616AD"/>
    <w:rsid w:val="00962CB9"/>
    <w:rsid w:val="00963DB7"/>
    <w:rsid w:val="00964312"/>
    <w:rsid w:val="0098050F"/>
    <w:rsid w:val="009827FF"/>
    <w:rsid w:val="00983E57"/>
    <w:rsid w:val="0098602F"/>
    <w:rsid w:val="00990BEF"/>
    <w:rsid w:val="009912BE"/>
    <w:rsid w:val="0099269F"/>
    <w:rsid w:val="00996B1A"/>
    <w:rsid w:val="009A1520"/>
    <w:rsid w:val="009A2155"/>
    <w:rsid w:val="009A2417"/>
    <w:rsid w:val="009A4596"/>
    <w:rsid w:val="009A704C"/>
    <w:rsid w:val="009B1FC8"/>
    <w:rsid w:val="009B3E26"/>
    <w:rsid w:val="009B4DE3"/>
    <w:rsid w:val="009B76CE"/>
    <w:rsid w:val="009C0FE8"/>
    <w:rsid w:val="009C5C4E"/>
    <w:rsid w:val="009D07C1"/>
    <w:rsid w:val="009D5B91"/>
    <w:rsid w:val="009E18EE"/>
    <w:rsid w:val="009E3792"/>
    <w:rsid w:val="009E4C07"/>
    <w:rsid w:val="009E5602"/>
    <w:rsid w:val="009F1F15"/>
    <w:rsid w:val="009F3F55"/>
    <w:rsid w:val="009F4377"/>
    <w:rsid w:val="009F5AFB"/>
    <w:rsid w:val="009F6E77"/>
    <w:rsid w:val="00A02F10"/>
    <w:rsid w:val="00A03D43"/>
    <w:rsid w:val="00A04380"/>
    <w:rsid w:val="00A11917"/>
    <w:rsid w:val="00A13948"/>
    <w:rsid w:val="00A14CFD"/>
    <w:rsid w:val="00A16DD3"/>
    <w:rsid w:val="00A17A73"/>
    <w:rsid w:val="00A23797"/>
    <w:rsid w:val="00A249CF"/>
    <w:rsid w:val="00A26388"/>
    <w:rsid w:val="00A27543"/>
    <w:rsid w:val="00A27AEC"/>
    <w:rsid w:val="00A27D08"/>
    <w:rsid w:val="00A32238"/>
    <w:rsid w:val="00A34EBE"/>
    <w:rsid w:val="00A35D16"/>
    <w:rsid w:val="00A42BC3"/>
    <w:rsid w:val="00A43193"/>
    <w:rsid w:val="00A436CA"/>
    <w:rsid w:val="00A43C59"/>
    <w:rsid w:val="00A44F2F"/>
    <w:rsid w:val="00A45823"/>
    <w:rsid w:val="00A50C9F"/>
    <w:rsid w:val="00A50ECD"/>
    <w:rsid w:val="00A52729"/>
    <w:rsid w:val="00A53675"/>
    <w:rsid w:val="00A56504"/>
    <w:rsid w:val="00A56B6A"/>
    <w:rsid w:val="00A578DC"/>
    <w:rsid w:val="00A57E7A"/>
    <w:rsid w:val="00A604A5"/>
    <w:rsid w:val="00A66918"/>
    <w:rsid w:val="00A6725B"/>
    <w:rsid w:val="00A71C63"/>
    <w:rsid w:val="00A76E82"/>
    <w:rsid w:val="00A774A1"/>
    <w:rsid w:val="00A77BDA"/>
    <w:rsid w:val="00A810A5"/>
    <w:rsid w:val="00A855EF"/>
    <w:rsid w:val="00A85663"/>
    <w:rsid w:val="00A85A05"/>
    <w:rsid w:val="00A86E8B"/>
    <w:rsid w:val="00A86EDC"/>
    <w:rsid w:val="00A90309"/>
    <w:rsid w:val="00A915EC"/>
    <w:rsid w:val="00A92905"/>
    <w:rsid w:val="00A93072"/>
    <w:rsid w:val="00A939F6"/>
    <w:rsid w:val="00A959D8"/>
    <w:rsid w:val="00A9607C"/>
    <w:rsid w:val="00AB042A"/>
    <w:rsid w:val="00AB2D34"/>
    <w:rsid w:val="00AB3430"/>
    <w:rsid w:val="00AB7CFA"/>
    <w:rsid w:val="00AC01C8"/>
    <w:rsid w:val="00AC1142"/>
    <w:rsid w:val="00AC299D"/>
    <w:rsid w:val="00AC4E91"/>
    <w:rsid w:val="00AC55EE"/>
    <w:rsid w:val="00AD63B4"/>
    <w:rsid w:val="00AE5D0D"/>
    <w:rsid w:val="00AF4DEE"/>
    <w:rsid w:val="00AF7E3C"/>
    <w:rsid w:val="00B039D5"/>
    <w:rsid w:val="00B116DA"/>
    <w:rsid w:val="00B128B9"/>
    <w:rsid w:val="00B14D2E"/>
    <w:rsid w:val="00B16B08"/>
    <w:rsid w:val="00B20443"/>
    <w:rsid w:val="00B263D8"/>
    <w:rsid w:val="00B32AC8"/>
    <w:rsid w:val="00B33FBA"/>
    <w:rsid w:val="00B342A9"/>
    <w:rsid w:val="00B34D91"/>
    <w:rsid w:val="00B42851"/>
    <w:rsid w:val="00B45BAC"/>
    <w:rsid w:val="00B45D55"/>
    <w:rsid w:val="00B47338"/>
    <w:rsid w:val="00B50DB8"/>
    <w:rsid w:val="00B53905"/>
    <w:rsid w:val="00B54160"/>
    <w:rsid w:val="00B54B5B"/>
    <w:rsid w:val="00B5562E"/>
    <w:rsid w:val="00B5587D"/>
    <w:rsid w:val="00B55E3E"/>
    <w:rsid w:val="00B56154"/>
    <w:rsid w:val="00B56384"/>
    <w:rsid w:val="00B57000"/>
    <w:rsid w:val="00B60939"/>
    <w:rsid w:val="00B60AFD"/>
    <w:rsid w:val="00B62715"/>
    <w:rsid w:val="00B6630E"/>
    <w:rsid w:val="00B66B4B"/>
    <w:rsid w:val="00B72C8E"/>
    <w:rsid w:val="00B8055A"/>
    <w:rsid w:val="00B80BFE"/>
    <w:rsid w:val="00B80C9B"/>
    <w:rsid w:val="00B80EF8"/>
    <w:rsid w:val="00B818A4"/>
    <w:rsid w:val="00B84C32"/>
    <w:rsid w:val="00B8621C"/>
    <w:rsid w:val="00B86289"/>
    <w:rsid w:val="00B8649C"/>
    <w:rsid w:val="00B8787C"/>
    <w:rsid w:val="00B92D0B"/>
    <w:rsid w:val="00B937CE"/>
    <w:rsid w:val="00B93A3B"/>
    <w:rsid w:val="00B93D05"/>
    <w:rsid w:val="00B94945"/>
    <w:rsid w:val="00B95B78"/>
    <w:rsid w:val="00B965D7"/>
    <w:rsid w:val="00B96A97"/>
    <w:rsid w:val="00B9716D"/>
    <w:rsid w:val="00B97600"/>
    <w:rsid w:val="00B97F84"/>
    <w:rsid w:val="00BA1BD1"/>
    <w:rsid w:val="00BA1CD9"/>
    <w:rsid w:val="00BA4523"/>
    <w:rsid w:val="00BB2A54"/>
    <w:rsid w:val="00BB35E4"/>
    <w:rsid w:val="00BB7405"/>
    <w:rsid w:val="00BC1CB9"/>
    <w:rsid w:val="00BC630F"/>
    <w:rsid w:val="00BD18BE"/>
    <w:rsid w:val="00BD2C94"/>
    <w:rsid w:val="00BD4021"/>
    <w:rsid w:val="00BD5451"/>
    <w:rsid w:val="00BD6CF3"/>
    <w:rsid w:val="00BE2180"/>
    <w:rsid w:val="00BE4275"/>
    <w:rsid w:val="00BE5100"/>
    <w:rsid w:val="00BE529F"/>
    <w:rsid w:val="00BE6EA8"/>
    <w:rsid w:val="00BE7711"/>
    <w:rsid w:val="00BF0561"/>
    <w:rsid w:val="00BF214A"/>
    <w:rsid w:val="00BF2433"/>
    <w:rsid w:val="00BF3456"/>
    <w:rsid w:val="00BF6099"/>
    <w:rsid w:val="00BF61C9"/>
    <w:rsid w:val="00C00855"/>
    <w:rsid w:val="00C03A39"/>
    <w:rsid w:val="00C04922"/>
    <w:rsid w:val="00C05173"/>
    <w:rsid w:val="00C0582E"/>
    <w:rsid w:val="00C13489"/>
    <w:rsid w:val="00C13FD8"/>
    <w:rsid w:val="00C17686"/>
    <w:rsid w:val="00C17764"/>
    <w:rsid w:val="00C17CAB"/>
    <w:rsid w:val="00C2041C"/>
    <w:rsid w:val="00C2430C"/>
    <w:rsid w:val="00C25418"/>
    <w:rsid w:val="00C25D9C"/>
    <w:rsid w:val="00C2642F"/>
    <w:rsid w:val="00C26B11"/>
    <w:rsid w:val="00C31649"/>
    <w:rsid w:val="00C3376F"/>
    <w:rsid w:val="00C3397C"/>
    <w:rsid w:val="00C350A8"/>
    <w:rsid w:val="00C354AF"/>
    <w:rsid w:val="00C354B2"/>
    <w:rsid w:val="00C36132"/>
    <w:rsid w:val="00C371F9"/>
    <w:rsid w:val="00C3788E"/>
    <w:rsid w:val="00C40385"/>
    <w:rsid w:val="00C4747B"/>
    <w:rsid w:val="00C57183"/>
    <w:rsid w:val="00C57359"/>
    <w:rsid w:val="00C63D3E"/>
    <w:rsid w:val="00C6535E"/>
    <w:rsid w:val="00C65576"/>
    <w:rsid w:val="00C66165"/>
    <w:rsid w:val="00C66E8A"/>
    <w:rsid w:val="00C750C8"/>
    <w:rsid w:val="00C76D2A"/>
    <w:rsid w:val="00C76E45"/>
    <w:rsid w:val="00C80075"/>
    <w:rsid w:val="00C803CD"/>
    <w:rsid w:val="00C8056B"/>
    <w:rsid w:val="00C8213F"/>
    <w:rsid w:val="00C8797A"/>
    <w:rsid w:val="00C91D80"/>
    <w:rsid w:val="00C938CF"/>
    <w:rsid w:val="00C93BCC"/>
    <w:rsid w:val="00CA5245"/>
    <w:rsid w:val="00CA7B09"/>
    <w:rsid w:val="00CB0C0E"/>
    <w:rsid w:val="00CB29CF"/>
    <w:rsid w:val="00CB31BB"/>
    <w:rsid w:val="00CB5B1A"/>
    <w:rsid w:val="00CB7996"/>
    <w:rsid w:val="00CC680C"/>
    <w:rsid w:val="00CC72F0"/>
    <w:rsid w:val="00CC7C4D"/>
    <w:rsid w:val="00CC7D2F"/>
    <w:rsid w:val="00CD1084"/>
    <w:rsid w:val="00CD4CD8"/>
    <w:rsid w:val="00CD59ED"/>
    <w:rsid w:val="00CD6ADC"/>
    <w:rsid w:val="00CE0828"/>
    <w:rsid w:val="00CE0EE2"/>
    <w:rsid w:val="00CE1479"/>
    <w:rsid w:val="00CE3C22"/>
    <w:rsid w:val="00CE4CFA"/>
    <w:rsid w:val="00CE6274"/>
    <w:rsid w:val="00CF265E"/>
    <w:rsid w:val="00CF3E37"/>
    <w:rsid w:val="00CF456B"/>
    <w:rsid w:val="00CF5A22"/>
    <w:rsid w:val="00D00A71"/>
    <w:rsid w:val="00D01EE8"/>
    <w:rsid w:val="00D0262E"/>
    <w:rsid w:val="00D02BC2"/>
    <w:rsid w:val="00D110BD"/>
    <w:rsid w:val="00D1313C"/>
    <w:rsid w:val="00D16366"/>
    <w:rsid w:val="00D16BE5"/>
    <w:rsid w:val="00D17D6C"/>
    <w:rsid w:val="00D2097F"/>
    <w:rsid w:val="00D21272"/>
    <w:rsid w:val="00D212DE"/>
    <w:rsid w:val="00D2446D"/>
    <w:rsid w:val="00D24EBE"/>
    <w:rsid w:val="00D254A9"/>
    <w:rsid w:val="00D310BD"/>
    <w:rsid w:val="00D32F60"/>
    <w:rsid w:val="00D3359C"/>
    <w:rsid w:val="00D357FF"/>
    <w:rsid w:val="00D36B47"/>
    <w:rsid w:val="00D425BA"/>
    <w:rsid w:val="00D42DBB"/>
    <w:rsid w:val="00D433A0"/>
    <w:rsid w:val="00D4547E"/>
    <w:rsid w:val="00D45EA8"/>
    <w:rsid w:val="00D515A7"/>
    <w:rsid w:val="00D54BA6"/>
    <w:rsid w:val="00D5680B"/>
    <w:rsid w:val="00D57EDF"/>
    <w:rsid w:val="00D601B5"/>
    <w:rsid w:val="00D61BC5"/>
    <w:rsid w:val="00D63BAB"/>
    <w:rsid w:val="00D64C6B"/>
    <w:rsid w:val="00D67736"/>
    <w:rsid w:val="00D70B67"/>
    <w:rsid w:val="00D754CF"/>
    <w:rsid w:val="00D75C7A"/>
    <w:rsid w:val="00D76A44"/>
    <w:rsid w:val="00D80646"/>
    <w:rsid w:val="00D810AF"/>
    <w:rsid w:val="00D816B2"/>
    <w:rsid w:val="00D81BF5"/>
    <w:rsid w:val="00D8352C"/>
    <w:rsid w:val="00D8381C"/>
    <w:rsid w:val="00D85BD7"/>
    <w:rsid w:val="00D87D06"/>
    <w:rsid w:val="00D919BA"/>
    <w:rsid w:val="00D92AB6"/>
    <w:rsid w:val="00D93753"/>
    <w:rsid w:val="00D94EE3"/>
    <w:rsid w:val="00D97E30"/>
    <w:rsid w:val="00DA105B"/>
    <w:rsid w:val="00DA1B18"/>
    <w:rsid w:val="00DA344A"/>
    <w:rsid w:val="00DA398E"/>
    <w:rsid w:val="00DA77A5"/>
    <w:rsid w:val="00DB350C"/>
    <w:rsid w:val="00DB5381"/>
    <w:rsid w:val="00DC10E6"/>
    <w:rsid w:val="00DC2449"/>
    <w:rsid w:val="00DC28A5"/>
    <w:rsid w:val="00DC2C48"/>
    <w:rsid w:val="00DC2E19"/>
    <w:rsid w:val="00DC5501"/>
    <w:rsid w:val="00DD157C"/>
    <w:rsid w:val="00DD2907"/>
    <w:rsid w:val="00DD36B7"/>
    <w:rsid w:val="00DD3B9B"/>
    <w:rsid w:val="00DD3F28"/>
    <w:rsid w:val="00DD4537"/>
    <w:rsid w:val="00DD4E15"/>
    <w:rsid w:val="00DD6C5A"/>
    <w:rsid w:val="00DE4FCB"/>
    <w:rsid w:val="00DF5D2B"/>
    <w:rsid w:val="00DF655B"/>
    <w:rsid w:val="00E013AD"/>
    <w:rsid w:val="00E04E86"/>
    <w:rsid w:val="00E05C34"/>
    <w:rsid w:val="00E10149"/>
    <w:rsid w:val="00E16372"/>
    <w:rsid w:val="00E17D88"/>
    <w:rsid w:val="00E20ED6"/>
    <w:rsid w:val="00E21358"/>
    <w:rsid w:val="00E21946"/>
    <w:rsid w:val="00E2249B"/>
    <w:rsid w:val="00E22A0D"/>
    <w:rsid w:val="00E2753A"/>
    <w:rsid w:val="00E2771E"/>
    <w:rsid w:val="00E35515"/>
    <w:rsid w:val="00E37569"/>
    <w:rsid w:val="00E40A63"/>
    <w:rsid w:val="00E418F3"/>
    <w:rsid w:val="00E41AEE"/>
    <w:rsid w:val="00E41E30"/>
    <w:rsid w:val="00E4351C"/>
    <w:rsid w:val="00E43D70"/>
    <w:rsid w:val="00E469DE"/>
    <w:rsid w:val="00E47B2C"/>
    <w:rsid w:val="00E50665"/>
    <w:rsid w:val="00E51560"/>
    <w:rsid w:val="00E524DD"/>
    <w:rsid w:val="00E53104"/>
    <w:rsid w:val="00E53C8F"/>
    <w:rsid w:val="00E54807"/>
    <w:rsid w:val="00E54CE2"/>
    <w:rsid w:val="00E55424"/>
    <w:rsid w:val="00E55BB5"/>
    <w:rsid w:val="00E55E07"/>
    <w:rsid w:val="00E56BE8"/>
    <w:rsid w:val="00E5734B"/>
    <w:rsid w:val="00E579E7"/>
    <w:rsid w:val="00E606CB"/>
    <w:rsid w:val="00E64CA9"/>
    <w:rsid w:val="00E65E79"/>
    <w:rsid w:val="00E67416"/>
    <w:rsid w:val="00E67F2F"/>
    <w:rsid w:val="00E67FA8"/>
    <w:rsid w:val="00E70964"/>
    <w:rsid w:val="00E715F7"/>
    <w:rsid w:val="00E718B6"/>
    <w:rsid w:val="00E71CC1"/>
    <w:rsid w:val="00E7221C"/>
    <w:rsid w:val="00E73581"/>
    <w:rsid w:val="00E73752"/>
    <w:rsid w:val="00E752D0"/>
    <w:rsid w:val="00E75E5F"/>
    <w:rsid w:val="00E8028A"/>
    <w:rsid w:val="00E82E3A"/>
    <w:rsid w:val="00E83BDF"/>
    <w:rsid w:val="00E84813"/>
    <w:rsid w:val="00E850BC"/>
    <w:rsid w:val="00E87333"/>
    <w:rsid w:val="00E91F5A"/>
    <w:rsid w:val="00E9515B"/>
    <w:rsid w:val="00EA216E"/>
    <w:rsid w:val="00EA3864"/>
    <w:rsid w:val="00EA5A36"/>
    <w:rsid w:val="00EB15B6"/>
    <w:rsid w:val="00EB1B68"/>
    <w:rsid w:val="00EB3895"/>
    <w:rsid w:val="00EB4601"/>
    <w:rsid w:val="00EB4916"/>
    <w:rsid w:val="00EB66E9"/>
    <w:rsid w:val="00EB6892"/>
    <w:rsid w:val="00EB69E9"/>
    <w:rsid w:val="00EB786A"/>
    <w:rsid w:val="00EC00C9"/>
    <w:rsid w:val="00EC1388"/>
    <w:rsid w:val="00EC3E17"/>
    <w:rsid w:val="00EC6276"/>
    <w:rsid w:val="00ED0483"/>
    <w:rsid w:val="00ED1132"/>
    <w:rsid w:val="00ED4B87"/>
    <w:rsid w:val="00ED704C"/>
    <w:rsid w:val="00EE07D3"/>
    <w:rsid w:val="00EE1E62"/>
    <w:rsid w:val="00EE1F3D"/>
    <w:rsid w:val="00EE4493"/>
    <w:rsid w:val="00EF144B"/>
    <w:rsid w:val="00EF4598"/>
    <w:rsid w:val="00EF5977"/>
    <w:rsid w:val="00F00786"/>
    <w:rsid w:val="00F0078A"/>
    <w:rsid w:val="00F02DB3"/>
    <w:rsid w:val="00F02F5B"/>
    <w:rsid w:val="00F038D2"/>
    <w:rsid w:val="00F03FF6"/>
    <w:rsid w:val="00F067A2"/>
    <w:rsid w:val="00F24837"/>
    <w:rsid w:val="00F2575F"/>
    <w:rsid w:val="00F26F31"/>
    <w:rsid w:val="00F2754E"/>
    <w:rsid w:val="00F32E71"/>
    <w:rsid w:val="00F33DE9"/>
    <w:rsid w:val="00F3619A"/>
    <w:rsid w:val="00F3767F"/>
    <w:rsid w:val="00F40B5B"/>
    <w:rsid w:val="00F42268"/>
    <w:rsid w:val="00F42C17"/>
    <w:rsid w:val="00F431B1"/>
    <w:rsid w:val="00F461AB"/>
    <w:rsid w:val="00F46CB6"/>
    <w:rsid w:val="00F5317E"/>
    <w:rsid w:val="00F54247"/>
    <w:rsid w:val="00F55E73"/>
    <w:rsid w:val="00F56965"/>
    <w:rsid w:val="00F60092"/>
    <w:rsid w:val="00F61460"/>
    <w:rsid w:val="00F6341E"/>
    <w:rsid w:val="00F670FD"/>
    <w:rsid w:val="00F743F9"/>
    <w:rsid w:val="00F80E5D"/>
    <w:rsid w:val="00F81793"/>
    <w:rsid w:val="00F8280F"/>
    <w:rsid w:val="00F82CB0"/>
    <w:rsid w:val="00F84BD2"/>
    <w:rsid w:val="00F851CE"/>
    <w:rsid w:val="00F867E7"/>
    <w:rsid w:val="00F97A78"/>
    <w:rsid w:val="00FA24E7"/>
    <w:rsid w:val="00FA4903"/>
    <w:rsid w:val="00FA6EC8"/>
    <w:rsid w:val="00FB1E44"/>
    <w:rsid w:val="00FB2B26"/>
    <w:rsid w:val="00FB2FCB"/>
    <w:rsid w:val="00FC0E01"/>
    <w:rsid w:val="00FC0F78"/>
    <w:rsid w:val="00FC1074"/>
    <w:rsid w:val="00FC1884"/>
    <w:rsid w:val="00FC6CA7"/>
    <w:rsid w:val="00FD2100"/>
    <w:rsid w:val="00FD369C"/>
    <w:rsid w:val="00FD446D"/>
    <w:rsid w:val="00FD5CFD"/>
    <w:rsid w:val="00FE1809"/>
    <w:rsid w:val="00FE19E9"/>
    <w:rsid w:val="00FE5164"/>
    <w:rsid w:val="00FE58E7"/>
    <w:rsid w:val="00FE5934"/>
    <w:rsid w:val="00FE5F49"/>
    <w:rsid w:val="00FF26FB"/>
    <w:rsid w:val="00FF28DF"/>
    <w:rsid w:val="00FF3DCF"/>
    <w:rsid w:val="00FF5AA3"/>
    <w:rsid w:val="00FF7E5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5" w:unhideWhenUsed="0"/>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qFormat="1"/>
    <w:lsdException w:name="Default Paragraph Font" w:uiPriority="1"/>
    <w:lsdException w:name="Body Text" w:uiPriority="9"/>
    <w:lsdException w:name="Body Text Indent" w:uiPriority="9"/>
    <w:lsdException w:name="Subtitle" w:semiHidden="0" w:uiPriority="11" w:unhideWhenUsed="0" w:qFormat="1"/>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9" w:unhideWhenUsed="0"/>
    <w:lsdException w:name="Emphasis" w:semiHidden="0" w:uiPriority="9" w:unhideWhenUsed="0"/>
    <w:lsdException w:name="Plain Text" w:uiPriority="99"/>
    <w:lsdException w:name="Normal (Web)" w:uiPriority="99"/>
    <w:lsdException w:name="annotation subject" w:uiPriority="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C6535E"/>
    <w:pPr>
      <w:widowControl w:val="0"/>
      <w:jc w:val="both"/>
    </w:pPr>
    <w:rPr>
      <w:rFonts w:ascii="Arial" w:hAnsi="Arial" w:cs="Arial"/>
      <w:snapToGrid w:val="0"/>
      <w:sz w:val="22"/>
      <w:lang w:eastAsia="en-US"/>
    </w:rPr>
  </w:style>
  <w:style w:type="paragraph" w:styleId="Heading1">
    <w:name w:val="heading 1"/>
    <w:aliases w:val="H1,Header 1,Heading 12,Titre 1 Car Car,Titre 1 Car,Outline1,p1,H11,Header 11,Heading 121,Titre 1 Car Car1,Titre 1 Car1,Outline11,p11,H12,Header 12,Heading 122,Titre 1 Car Car2,Titre 1 Car2,Outline12,p12"/>
    <w:basedOn w:val="PBACHeading1"/>
    <w:next w:val="Normal"/>
    <w:qFormat/>
    <w:rsid w:val="00244671"/>
    <w:pPr>
      <w:outlineLvl w:val="0"/>
    </w:pPr>
  </w:style>
  <w:style w:type="paragraph" w:styleId="Heading2">
    <w:name w:val="heading 2"/>
    <w:aliases w:val="H2,Heading h2,h2,Heading 2x,p2 Char"/>
    <w:basedOn w:val="Normal"/>
    <w:next w:val="Normal"/>
    <w:link w:val="Heading2Char"/>
    <w:qFormat/>
    <w:rsid w:val="00244671"/>
    <w:pPr>
      <w:outlineLvl w:val="1"/>
    </w:pPr>
    <w:rPr>
      <w:b/>
      <w:bCs/>
      <w:i/>
      <w:szCs w:val="22"/>
    </w:rPr>
  </w:style>
  <w:style w:type="paragraph" w:styleId="Heading3">
    <w:name w:val="heading 3"/>
    <w:aliases w:val="H3,Heading h3,h3,Don 3,Heading 3x,p3 Char"/>
    <w:basedOn w:val="Normal"/>
    <w:next w:val="Normal"/>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aliases w:val="p5"/>
    <w:basedOn w:val="Normal"/>
    <w:next w:val="Normal"/>
    <w:qFormat/>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szCs w:val="22"/>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aliases w:val="H2 Char,Heading h2 Char,h2 Char,Heading 2x Char,p2 Char Char"/>
    <w:link w:val="Heading2"/>
    <w:rsid w:val="00244671"/>
    <w:rPr>
      <w:rFonts w:ascii="Arial" w:hAnsi="Arial" w:cs="Arial"/>
      <w:b/>
      <w:bCs/>
      <w:i/>
      <w:snapToGrid w:val="0"/>
      <w:sz w:val="22"/>
      <w:szCs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PBAC Caption Tables + Figures,Caption Char2,Caption Char1 Char,Caption Char Char Char,Caption Char1 Char Char Char,Caption Char Char Char Char Char,Caption Char1 Char Char Char Char Char,Caption Char Char Char Char Char Char Char"/>
    <w:basedOn w:val="Normal"/>
    <w:next w:val="TableHeader"/>
    <w:link w:val="CaptionChar"/>
    <w:uiPriority w:val="35"/>
    <w:unhideWhenUsed/>
    <w:qFormat/>
    <w:rsid w:val="005C7F65"/>
    <w:rPr>
      <w:rFonts w:ascii="Arial Narrow" w:hAnsi="Arial Narrow"/>
      <w:b/>
      <w:bCs/>
      <w:sz w:val="20"/>
      <w:szCs w:val="18"/>
    </w:rPr>
  </w:style>
  <w:style w:type="character" w:customStyle="1" w:styleId="CaptionChar">
    <w:name w:val="Caption Char"/>
    <w:aliases w:val="PBAC Caption Tables + Figures Char,Caption Char2 Char,Caption Char1 Char Char,Caption Char Char Char Char,Caption Char1 Char Char Char Char,Caption Char Char Char Char Char Char,Caption Char1 Char Char Char Char Char Char"/>
    <w:link w:val="Caption"/>
    <w:uiPriority w:val="35"/>
    <w:rsid w:val="005C7F65"/>
    <w:rPr>
      <w:rFonts w:ascii="Arial Narrow" w:hAnsi="Arial Narrow" w:cs="Arial"/>
      <w:b/>
      <w:bCs/>
      <w:snapToGrid w:val="0"/>
      <w:szCs w:val="18"/>
      <w:lang w:eastAsia="en-US"/>
    </w:rPr>
  </w:style>
  <w:style w:type="paragraph" w:styleId="Title">
    <w:name w:val="Title"/>
    <w:next w:val="Normal"/>
    <w:link w:val="TitleChar"/>
    <w:uiPriority w:val="7"/>
    <w:qFormat/>
    <w:rsid w:val="00244671"/>
    <w:pPr>
      <w:ind w:left="709" w:hanging="709"/>
      <w:outlineLvl w:val="0"/>
    </w:pPr>
    <w:rPr>
      <w:rFonts w:ascii="Arial Bold" w:hAnsi="Arial Bold" w:cs="Arial"/>
      <w:b/>
      <w:caps/>
      <w:snapToGrid w:val="0"/>
      <w:sz w:val="28"/>
      <w:lang w:eastAsia="en-US"/>
    </w:rPr>
  </w:style>
  <w:style w:type="character" w:customStyle="1" w:styleId="TitleChar">
    <w:name w:val="Title Char"/>
    <w:basedOn w:val="DefaultParagraphFont"/>
    <w:link w:val="Title"/>
    <w:uiPriority w:val="7"/>
    <w:rsid w:val="00244671"/>
    <w:rPr>
      <w:rFonts w:ascii="Arial Bold" w:hAnsi="Arial Bold" w:cs="Arial"/>
      <w:b/>
      <w:caps/>
      <w:snapToGrid w:val="0"/>
      <w:sz w:val="28"/>
      <w:lang w:eastAsia="en-US"/>
    </w:rPr>
  </w:style>
  <w:style w:type="paragraph" w:styleId="BodyText">
    <w:name w:val="Body Text"/>
    <w:basedOn w:val="Normal"/>
    <w:link w:val="BodyTextChar"/>
    <w:uiPriority w:val="9"/>
    <w:rsid w:val="004B3DDB"/>
    <w:pPr>
      <w:jc w:val="left"/>
    </w:pPr>
  </w:style>
  <w:style w:type="character" w:customStyle="1" w:styleId="BodyTextChar">
    <w:name w:val="Body Text Char"/>
    <w:basedOn w:val="DefaultParagraphFont"/>
    <w:link w:val="BodyText"/>
    <w:uiPriority w:val="9"/>
    <w:rsid w:val="00D97E30"/>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5C7F65"/>
    <w:rPr>
      <w:rFonts w:ascii="Arial Narrow" w:hAnsi="Arial Narrow"/>
      <w:b/>
      <w:sz w:val="20"/>
      <w:szCs w:val="16"/>
    </w:rPr>
  </w:style>
  <w:style w:type="paragraph" w:customStyle="1" w:styleId="Tabletext">
    <w:name w:val="Table text"/>
    <w:basedOn w:val="Normal"/>
    <w:link w:val="TabletextChar"/>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963DB7"/>
    <w:pPr>
      <w:tabs>
        <w:tab w:val="left" w:pos="440"/>
        <w:tab w:val="right" w:leader="dot" w:pos="9016"/>
      </w:tabs>
      <w:spacing w:before="240" w:after="120"/>
      <w:ind w:left="426" w:hanging="426"/>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uiPriority w:val="9"/>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uiPriority w:val="9"/>
    <w:rsid w:val="00D97E30"/>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uiPriority w:val="7"/>
    <w:qFormat/>
    <w:rsid w:val="00BD6CF3"/>
    <w:pPr>
      <w:numPr>
        <w:numId w:val="7"/>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paragraph" w:customStyle="1" w:styleId="TableorfigureAbbreviationsandSource">
    <w:name w:val="Table or figure Abbreviations and Source"/>
    <w:next w:val="Normal"/>
    <w:qFormat/>
    <w:rsid w:val="00795612"/>
    <w:pPr>
      <w:spacing w:after="240"/>
      <w:contextualSpacing/>
    </w:pPr>
    <w:rPr>
      <w:rFonts w:ascii="Calibri" w:eastAsia="Calibri" w:hAnsi="Calibri"/>
      <w:sz w:val="16"/>
      <w:szCs w:val="22"/>
      <w:lang w:eastAsia="zh-CN"/>
    </w:rPr>
  </w:style>
  <w:style w:type="paragraph" w:customStyle="1" w:styleId="H4">
    <w:name w:val="H4"/>
    <w:basedOn w:val="Heading4"/>
    <w:next w:val="Normal"/>
    <w:rsid w:val="001133BB"/>
    <w:pPr>
      <w:widowControl/>
      <w:spacing w:line="360" w:lineRule="auto"/>
      <w:ind w:left="360" w:hanging="360"/>
      <w:jc w:val="left"/>
    </w:pPr>
    <w:rPr>
      <w:rFonts w:ascii="Calibri" w:eastAsia="SimSun" w:hAnsi="Calibri" w:cs="Times New Roman"/>
      <w:i w:val="0"/>
      <w:snapToGrid/>
      <w:sz w:val="24"/>
      <w:lang w:eastAsia="zh-CN"/>
    </w:rPr>
  </w:style>
  <w:style w:type="paragraph" w:styleId="FootnoteText">
    <w:name w:val="footnote text"/>
    <w:basedOn w:val="Normal"/>
    <w:link w:val="FootnoteTextChar"/>
    <w:semiHidden/>
    <w:unhideWhenUsed/>
    <w:rsid w:val="00651E9B"/>
    <w:rPr>
      <w:sz w:val="20"/>
    </w:rPr>
  </w:style>
  <w:style w:type="character" w:customStyle="1" w:styleId="FootnoteTextChar">
    <w:name w:val="Footnote Text Char"/>
    <w:basedOn w:val="DefaultParagraphFont"/>
    <w:link w:val="FootnoteText"/>
    <w:semiHidden/>
    <w:rsid w:val="00651E9B"/>
    <w:rPr>
      <w:rFonts w:ascii="Arial" w:hAnsi="Arial" w:cs="Arial"/>
      <w:snapToGrid w:val="0"/>
      <w:lang w:eastAsia="en-US"/>
    </w:rPr>
  </w:style>
  <w:style w:type="character" w:styleId="FootnoteReference">
    <w:name w:val="footnote reference"/>
    <w:basedOn w:val="DefaultParagraphFont"/>
    <w:semiHidden/>
    <w:unhideWhenUsed/>
    <w:rsid w:val="00651E9B"/>
    <w:rPr>
      <w:vertAlign w:val="superscript"/>
    </w:rPr>
  </w:style>
  <w:style w:type="paragraph" w:customStyle="1" w:styleId="EndNoteBibliography">
    <w:name w:val="EndNote Bibliography"/>
    <w:basedOn w:val="Normal"/>
    <w:link w:val="EndNoteBibliographyChar"/>
    <w:rsid w:val="00A43193"/>
    <w:pPr>
      <w:widowControl/>
      <w:spacing w:before="120" w:after="240"/>
      <w:jc w:val="left"/>
    </w:pPr>
    <w:rPr>
      <w:rFonts w:ascii="Arial Bold" w:eastAsia="Calibri" w:hAnsi="Arial Bold" w:cs="Times New Roman"/>
      <w:noProof/>
      <w:snapToGrid/>
      <w:szCs w:val="22"/>
      <w:lang w:val="en-US"/>
    </w:rPr>
  </w:style>
  <w:style w:type="character" w:customStyle="1" w:styleId="EndNoteBibliographyChar">
    <w:name w:val="EndNote Bibliography Char"/>
    <w:link w:val="EndNoteBibliography"/>
    <w:rsid w:val="00A43193"/>
    <w:rPr>
      <w:rFonts w:ascii="Arial Bold" w:eastAsia="Calibri" w:hAnsi="Arial Bold"/>
      <w:noProof/>
      <w:sz w:val="22"/>
      <w:szCs w:val="22"/>
      <w:lang w:val="en-US" w:eastAsia="en-US"/>
    </w:rPr>
  </w:style>
  <w:style w:type="paragraph" w:customStyle="1" w:styleId="TableNotes">
    <w:name w:val="TableNotes"/>
    <w:basedOn w:val="Normal"/>
    <w:link w:val="TableNotesChar"/>
    <w:rsid w:val="00AC4E91"/>
    <w:pPr>
      <w:keepNext/>
      <w:widowControl/>
      <w:tabs>
        <w:tab w:val="left" w:pos="1559"/>
      </w:tabs>
      <w:spacing w:after="240"/>
      <w:contextualSpacing/>
      <w:jc w:val="left"/>
    </w:pPr>
    <w:rPr>
      <w:rFonts w:ascii="Calibri" w:eastAsia="SimSun" w:hAnsi="Calibri" w:cs="Times New Roman"/>
      <w:snapToGrid/>
      <w:sz w:val="16"/>
      <w:lang w:eastAsia="zh-CN"/>
    </w:rPr>
  </w:style>
  <w:style w:type="character" w:customStyle="1" w:styleId="TableNotesChar">
    <w:name w:val="TableNotes Char"/>
    <w:link w:val="TableNotes"/>
    <w:rsid w:val="00AC4E91"/>
    <w:rPr>
      <w:rFonts w:ascii="Calibri" w:eastAsia="SimSun" w:hAnsi="Calibri"/>
      <w:sz w:val="16"/>
      <w:lang w:eastAsia="zh-CN"/>
    </w:rPr>
  </w:style>
  <w:style w:type="paragraph" w:customStyle="1" w:styleId="TableHeadingCentred">
    <w:name w:val="TableHeadingCentred"/>
    <w:basedOn w:val="TableHeadingRow"/>
    <w:next w:val="TableText0"/>
    <w:rsid w:val="000D3CD8"/>
    <w:pPr>
      <w:jc w:val="center"/>
    </w:pPr>
  </w:style>
  <w:style w:type="paragraph" w:customStyle="1" w:styleId="TableHeadingRow">
    <w:name w:val="TableHeadingRow"/>
    <w:basedOn w:val="TableText0"/>
    <w:next w:val="TableText0"/>
    <w:rsid w:val="000D3CD8"/>
    <w:rPr>
      <w:rFonts w:ascii="Calibri" w:hAnsi="Calibri" w:cs="Times New Roman"/>
      <w:b/>
      <w:bCs/>
      <w:iCs/>
      <w:szCs w:val="18"/>
    </w:rPr>
  </w:style>
  <w:style w:type="character" w:customStyle="1" w:styleId="TableTextChar0">
    <w:name w:val="TableText Char"/>
    <w:link w:val="TableText0"/>
    <w:rsid w:val="000D3CD8"/>
    <w:rPr>
      <w:rFonts w:ascii="Arial Narrow" w:hAnsi="Arial Narrow" w:cs="Arial Narrow"/>
      <w:lang w:eastAsia="en-US"/>
    </w:rPr>
  </w:style>
  <w:style w:type="numbering" w:customStyle="1" w:styleId="BulletsListCV">
    <w:name w:val="Bullets List CV"/>
    <w:uiPriority w:val="99"/>
    <w:rsid w:val="000D3CD8"/>
    <w:pPr>
      <w:numPr>
        <w:numId w:val="12"/>
      </w:numPr>
    </w:pPr>
  </w:style>
  <w:style w:type="paragraph" w:customStyle="1" w:styleId="TableTitle">
    <w:name w:val="TableTitle"/>
    <w:basedOn w:val="BodyText"/>
    <w:next w:val="BodyText"/>
    <w:link w:val="TableTitleChar"/>
    <w:autoRedefine/>
    <w:qFormat/>
    <w:rsid w:val="00920F86"/>
    <w:pPr>
      <w:keepNext/>
      <w:widowControl/>
      <w:tabs>
        <w:tab w:val="left" w:pos="1559"/>
      </w:tabs>
      <w:spacing w:after="60"/>
      <w:ind w:left="1530" w:hanging="1530"/>
    </w:pPr>
    <w:rPr>
      <w:rFonts w:ascii="Calibri" w:eastAsia="SimSun" w:hAnsi="Calibri" w:cs="Times New Roman"/>
      <w:snapToGrid/>
      <w:sz w:val="16"/>
      <w:szCs w:val="16"/>
    </w:rPr>
  </w:style>
  <w:style w:type="character" w:customStyle="1" w:styleId="TableTitleChar">
    <w:name w:val="TableTitle Char"/>
    <w:link w:val="TableTitle"/>
    <w:rsid w:val="00920F86"/>
    <w:rPr>
      <w:rFonts w:ascii="Calibri" w:eastAsia="SimSun" w:hAnsi="Calibri"/>
      <w:sz w:val="16"/>
      <w:szCs w:val="16"/>
      <w:lang w:eastAsia="en-US"/>
    </w:rPr>
  </w:style>
  <w:style w:type="paragraph" w:customStyle="1" w:styleId="Tabletextcentred">
    <w:name w:val="Table text centred"/>
    <w:basedOn w:val="Tabletext"/>
    <w:link w:val="TabletextcentredChar"/>
    <w:qFormat/>
    <w:rsid w:val="00BE6EA8"/>
    <w:pPr>
      <w:keepNext/>
      <w:keepLines/>
      <w:tabs>
        <w:tab w:val="left" w:pos="900"/>
      </w:tabs>
      <w:spacing w:before="40" w:after="40"/>
      <w:jc w:val="center"/>
    </w:pPr>
    <w:rPr>
      <w:rFonts w:ascii="Arial" w:eastAsia="SimSun" w:hAnsi="Arial"/>
      <w:sz w:val="18"/>
      <w:szCs w:val="22"/>
    </w:rPr>
  </w:style>
  <w:style w:type="character" w:customStyle="1" w:styleId="TabletextcentredChar">
    <w:name w:val="Table text centred Char"/>
    <w:link w:val="Tabletextcentred"/>
    <w:rsid w:val="00BE6EA8"/>
    <w:rPr>
      <w:rFonts w:ascii="Arial" w:eastAsia="SimSun" w:hAnsi="Arial"/>
      <w:sz w:val="18"/>
      <w:szCs w:val="22"/>
      <w:lang w:eastAsia="en-US"/>
    </w:rPr>
  </w:style>
  <w:style w:type="paragraph" w:customStyle="1" w:styleId="Tablettitles-left">
    <w:name w:val="Tablet titles - left"/>
    <w:basedOn w:val="Tabletext"/>
    <w:link w:val="Tablettitles-leftChar"/>
    <w:qFormat/>
    <w:rsid w:val="00BE6EA8"/>
    <w:pPr>
      <w:keepNext/>
      <w:keepLines/>
      <w:spacing w:line="264" w:lineRule="auto"/>
    </w:pPr>
    <w:rPr>
      <w:rFonts w:ascii="Gotham XNarrow Book" w:eastAsia="Calibri" w:hAnsi="Gotham XNarrow Book" w:cs="Arial"/>
      <w:b/>
      <w:szCs w:val="22"/>
    </w:rPr>
  </w:style>
  <w:style w:type="character" w:customStyle="1" w:styleId="Tablettitles-leftChar">
    <w:name w:val="Tablet titles - left Char"/>
    <w:link w:val="Tablettitles-left"/>
    <w:rsid w:val="00BE6EA8"/>
    <w:rPr>
      <w:rFonts w:ascii="Gotham XNarrow Book" w:eastAsia="Calibri" w:hAnsi="Gotham XNarrow Book" w:cs="Arial"/>
      <w:b/>
      <w:szCs w:val="22"/>
      <w:lang w:eastAsia="en-US"/>
    </w:rPr>
  </w:style>
  <w:style w:type="paragraph" w:customStyle="1" w:styleId="Table">
    <w:name w:val="Table"/>
    <w:basedOn w:val="Normal"/>
    <w:link w:val="TableChar"/>
    <w:qFormat/>
    <w:rsid w:val="00BE6EA8"/>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BE6EA8"/>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BE6EA8"/>
    <w:rPr>
      <w:rFonts w:ascii="Candara" w:hAnsi="Candara"/>
      <w:b/>
      <w:sz w:val="20"/>
      <w:lang w:val="en-AU"/>
    </w:rPr>
  </w:style>
  <w:style w:type="paragraph" w:customStyle="1" w:styleId="xmsonormal">
    <w:name w:val="x_msonormal"/>
    <w:basedOn w:val="Normal"/>
    <w:rsid w:val="00BE6EA8"/>
    <w:pPr>
      <w:widowControl/>
      <w:spacing w:before="100" w:beforeAutospacing="1" w:after="100" w:afterAutospacing="1"/>
      <w:jc w:val="left"/>
    </w:pPr>
    <w:rPr>
      <w:rFonts w:ascii="Times New Roman" w:hAnsi="Times New Roman" w:cs="Times New Roman"/>
      <w:snapToGrid/>
      <w:sz w:val="24"/>
      <w:szCs w:val="24"/>
      <w:lang w:eastAsia="en-AU"/>
    </w:rPr>
  </w:style>
  <w:style w:type="paragraph" w:styleId="EndnoteText">
    <w:name w:val="endnote text"/>
    <w:basedOn w:val="Normal"/>
    <w:link w:val="EndnoteTextChar"/>
    <w:semiHidden/>
    <w:unhideWhenUsed/>
    <w:rsid w:val="00BE6EA8"/>
    <w:rPr>
      <w:sz w:val="20"/>
    </w:rPr>
  </w:style>
  <w:style w:type="character" w:customStyle="1" w:styleId="EndnoteTextChar">
    <w:name w:val="Endnote Text Char"/>
    <w:basedOn w:val="DefaultParagraphFont"/>
    <w:link w:val="EndnoteText"/>
    <w:semiHidden/>
    <w:rsid w:val="00BE6EA8"/>
    <w:rPr>
      <w:rFonts w:ascii="Arial" w:hAnsi="Arial" w:cs="Arial"/>
      <w:snapToGrid w:val="0"/>
      <w:lang w:eastAsia="en-US"/>
    </w:rPr>
  </w:style>
  <w:style w:type="character" w:styleId="EndnoteReference">
    <w:name w:val="endnote reference"/>
    <w:basedOn w:val="DefaultParagraphFont"/>
    <w:semiHidden/>
    <w:unhideWhenUsed/>
    <w:rsid w:val="00BE6EA8"/>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E6EA8"/>
    <w:pPr>
      <w:widowControl/>
      <w:spacing w:after="160" w:line="240" w:lineRule="exact"/>
      <w:jc w:val="left"/>
    </w:pPr>
    <w:rPr>
      <w:rFonts w:ascii="Verdana" w:eastAsia="MS Mincho" w:hAnsi="Verdana" w:cs="Verdana"/>
      <w:snapToGrid/>
      <w:sz w:val="20"/>
      <w:lang w:val="en-US"/>
    </w:rPr>
  </w:style>
  <w:style w:type="character" w:customStyle="1" w:styleId="Header4Char">
    <w:name w:val="Header 4 Char"/>
    <w:link w:val="Header4"/>
    <w:locked/>
    <w:rsid w:val="00BE6EA8"/>
    <w:rPr>
      <w:rFonts w:ascii="SimSun" w:eastAsia="SimSun" w:hAnsi="SimSun"/>
      <w:b/>
      <w:bCs/>
      <w:sz w:val="22"/>
      <w:szCs w:val="28"/>
      <w:lang w:eastAsia="zh-CN"/>
    </w:rPr>
  </w:style>
  <w:style w:type="paragraph" w:customStyle="1" w:styleId="Header4">
    <w:name w:val="Header 4"/>
    <w:basedOn w:val="Normal"/>
    <w:link w:val="Header4Char"/>
    <w:qFormat/>
    <w:rsid w:val="00BE6EA8"/>
    <w:pPr>
      <w:keepNext/>
      <w:widowControl/>
      <w:tabs>
        <w:tab w:val="num" w:pos="2880"/>
      </w:tabs>
      <w:spacing w:before="240" w:after="60" w:line="360" w:lineRule="auto"/>
      <w:ind w:left="2880" w:hanging="360"/>
      <w:jc w:val="left"/>
      <w:outlineLvl w:val="3"/>
    </w:pPr>
    <w:rPr>
      <w:rFonts w:ascii="SimSun" w:eastAsia="SimSun" w:hAnsi="SimSun" w:cs="Times New Roman"/>
      <w:b/>
      <w:bCs/>
      <w:snapToGrid/>
      <w:szCs w:val="28"/>
      <w:lang w:eastAsia="zh-CN"/>
    </w:rPr>
  </w:style>
  <w:style w:type="character" w:styleId="FollowedHyperlink">
    <w:name w:val="FollowedHyperlink"/>
    <w:basedOn w:val="DefaultParagraphFont"/>
    <w:semiHidden/>
    <w:unhideWhenUsed/>
    <w:rsid w:val="00BE6EA8"/>
    <w:rPr>
      <w:color w:val="800080" w:themeColor="followedHyperlink"/>
      <w:u w:val="single"/>
    </w:rPr>
  </w:style>
  <w:style w:type="paragraph" w:customStyle="1" w:styleId="EndNoteBibliographyTitle">
    <w:name w:val="EndNote Bibliography Title"/>
    <w:basedOn w:val="Normal"/>
    <w:link w:val="EndNoteBibliographyTitleChar"/>
    <w:rsid w:val="00BE6EA8"/>
    <w:pPr>
      <w:jc w:val="center"/>
    </w:pPr>
    <w:rPr>
      <w:rFonts w:ascii="Arial Bold" w:hAnsi="Arial Bold"/>
      <w:noProof/>
      <w:lang w:val="en-US"/>
    </w:rPr>
  </w:style>
  <w:style w:type="character" w:customStyle="1" w:styleId="EndNoteBibliographyTitleChar">
    <w:name w:val="EndNote Bibliography Title Char"/>
    <w:basedOn w:val="DefaultParagraphFont"/>
    <w:link w:val="EndNoteBibliographyTitle"/>
    <w:rsid w:val="00BE6EA8"/>
    <w:rPr>
      <w:rFonts w:ascii="Arial Bold" w:hAnsi="Arial Bold" w:cs="Arial"/>
      <w:noProof/>
      <w:snapToGrid w:val="0"/>
      <w:sz w:val="22"/>
      <w:lang w:val="en-US" w:eastAsia="en-US"/>
    </w:rPr>
  </w:style>
  <w:style w:type="paragraph" w:styleId="PlainText">
    <w:name w:val="Plain Text"/>
    <w:basedOn w:val="Normal"/>
    <w:link w:val="PlainTextChar"/>
    <w:uiPriority w:val="99"/>
    <w:semiHidden/>
    <w:unhideWhenUsed/>
    <w:rsid w:val="00F461AB"/>
    <w:pPr>
      <w:widowControl/>
      <w:jc w:val="left"/>
    </w:pPr>
    <w:rPr>
      <w:rFonts w:ascii="Calibri" w:eastAsiaTheme="minorHAnsi" w:hAnsi="Calibri" w:cstheme="minorBidi"/>
      <w:snapToGrid/>
      <w:szCs w:val="21"/>
    </w:rPr>
  </w:style>
  <w:style w:type="character" w:customStyle="1" w:styleId="PlainTextChar">
    <w:name w:val="Plain Text Char"/>
    <w:basedOn w:val="DefaultParagraphFont"/>
    <w:link w:val="PlainText"/>
    <w:uiPriority w:val="99"/>
    <w:semiHidden/>
    <w:rsid w:val="00F461AB"/>
    <w:rPr>
      <w:rFonts w:ascii="Calibri" w:eastAsiaTheme="minorHAnsi" w:hAnsi="Calibri" w:cstheme="minorBidi"/>
      <w:sz w:val="22"/>
      <w:szCs w:val="21"/>
      <w:lang w:eastAsia="en-US"/>
    </w:rPr>
  </w:style>
  <w:style w:type="character" w:styleId="IntenseReference">
    <w:name w:val="Intense Reference"/>
    <w:basedOn w:val="DefaultParagraphFont"/>
    <w:uiPriority w:val="32"/>
    <w:qFormat/>
    <w:rsid w:val="00632832"/>
    <w:rPr>
      <w:b/>
      <w:bCs/>
      <w:i/>
      <w:smallCaps/>
      <w:color w:val="C0504D" w:themeColor="accent2"/>
      <w:spacing w:val="5"/>
      <w:u w:val="none"/>
    </w:rPr>
  </w:style>
  <w:style w:type="character" w:customStyle="1" w:styleId="ListParagraphChar">
    <w:name w:val="List Paragraph Char"/>
    <w:aliases w:val="BulletPoints Char"/>
    <w:link w:val="ListParagraph"/>
    <w:uiPriority w:val="72"/>
    <w:rsid w:val="00F2754E"/>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5" w:unhideWhenUsed="0"/>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qFormat="1"/>
    <w:lsdException w:name="Default Paragraph Font" w:uiPriority="1"/>
    <w:lsdException w:name="Body Text" w:uiPriority="9"/>
    <w:lsdException w:name="Body Text Indent" w:uiPriority="9"/>
    <w:lsdException w:name="Subtitle" w:semiHidden="0" w:uiPriority="11" w:unhideWhenUsed="0" w:qFormat="1"/>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9" w:unhideWhenUsed="0"/>
    <w:lsdException w:name="Emphasis" w:semiHidden="0" w:uiPriority="9" w:unhideWhenUsed="0"/>
    <w:lsdException w:name="Plain Text" w:uiPriority="99"/>
    <w:lsdException w:name="Normal (Web)" w:uiPriority="99"/>
    <w:lsdException w:name="annotation subject" w:uiPriority="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C6535E"/>
    <w:pPr>
      <w:widowControl w:val="0"/>
      <w:jc w:val="both"/>
    </w:pPr>
    <w:rPr>
      <w:rFonts w:ascii="Arial" w:hAnsi="Arial" w:cs="Arial"/>
      <w:snapToGrid w:val="0"/>
      <w:sz w:val="22"/>
      <w:lang w:eastAsia="en-US"/>
    </w:rPr>
  </w:style>
  <w:style w:type="paragraph" w:styleId="Heading1">
    <w:name w:val="heading 1"/>
    <w:aliases w:val="H1,Header 1,Heading 12,Titre 1 Car Car,Titre 1 Car,Outline1,p1,H11,Header 11,Heading 121,Titre 1 Car Car1,Titre 1 Car1,Outline11,p11,H12,Header 12,Heading 122,Titre 1 Car Car2,Titre 1 Car2,Outline12,p12"/>
    <w:basedOn w:val="PBACHeading1"/>
    <w:next w:val="Normal"/>
    <w:qFormat/>
    <w:rsid w:val="00244671"/>
    <w:pPr>
      <w:outlineLvl w:val="0"/>
    </w:pPr>
  </w:style>
  <w:style w:type="paragraph" w:styleId="Heading2">
    <w:name w:val="heading 2"/>
    <w:aliases w:val="H2,Heading h2,h2,Heading 2x,p2 Char"/>
    <w:basedOn w:val="Normal"/>
    <w:next w:val="Normal"/>
    <w:link w:val="Heading2Char"/>
    <w:qFormat/>
    <w:rsid w:val="00244671"/>
    <w:pPr>
      <w:outlineLvl w:val="1"/>
    </w:pPr>
    <w:rPr>
      <w:b/>
      <w:bCs/>
      <w:i/>
      <w:szCs w:val="22"/>
    </w:rPr>
  </w:style>
  <w:style w:type="paragraph" w:styleId="Heading3">
    <w:name w:val="heading 3"/>
    <w:aliases w:val="H3,Heading h3,h3,Don 3,Heading 3x,p3 Char"/>
    <w:basedOn w:val="Normal"/>
    <w:next w:val="Normal"/>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aliases w:val="p5"/>
    <w:basedOn w:val="Normal"/>
    <w:next w:val="Normal"/>
    <w:qFormat/>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szCs w:val="22"/>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aliases w:val="H2 Char,Heading h2 Char,h2 Char,Heading 2x Char,p2 Char Char"/>
    <w:link w:val="Heading2"/>
    <w:rsid w:val="00244671"/>
    <w:rPr>
      <w:rFonts w:ascii="Arial" w:hAnsi="Arial" w:cs="Arial"/>
      <w:b/>
      <w:bCs/>
      <w:i/>
      <w:snapToGrid w:val="0"/>
      <w:sz w:val="22"/>
      <w:szCs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PBAC Caption Tables + Figures,Caption Char2,Caption Char1 Char,Caption Char Char Char,Caption Char1 Char Char Char,Caption Char Char Char Char Char,Caption Char1 Char Char Char Char Char,Caption Char Char Char Char Char Char Char"/>
    <w:basedOn w:val="Normal"/>
    <w:next w:val="TableHeader"/>
    <w:link w:val="CaptionChar"/>
    <w:uiPriority w:val="35"/>
    <w:unhideWhenUsed/>
    <w:qFormat/>
    <w:rsid w:val="005C7F65"/>
    <w:rPr>
      <w:rFonts w:ascii="Arial Narrow" w:hAnsi="Arial Narrow"/>
      <w:b/>
      <w:bCs/>
      <w:sz w:val="20"/>
      <w:szCs w:val="18"/>
    </w:rPr>
  </w:style>
  <w:style w:type="character" w:customStyle="1" w:styleId="CaptionChar">
    <w:name w:val="Caption Char"/>
    <w:aliases w:val="PBAC Caption Tables + Figures Char,Caption Char2 Char,Caption Char1 Char Char,Caption Char Char Char Char,Caption Char1 Char Char Char Char,Caption Char Char Char Char Char Char,Caption Char1 Char Char Char Char Char Char"/>
    <w:link w:val="Caption"/>
    <w:uiPriority w:val="35"/>
    <w:rsid w:val="005C7F65"/>
    <w:rPr>
      <w:rFonts w:ascii="Arial Narrow" w:hAnsi="Arial Narrow" w:cs="Arial"/>
      <w:b/>
      <w:bCs/>
      <w:snapToGrid w:val="0"/>
      <w:szCs w:val="18"/>
      <w:lang w:eastAsia="en-US"/>
    </w:rPr>
  </w:style>
  <w:style w:type="paragraph" w:styleId="Title">
    <w:name w:val="Title"/>
    <w:next w:val="Normal"/>
    <w:link w:val="TitleChar"/>
    <w:uiPriority w:val="7"/>
    <w:qFormat/>
    <w:rsid w:val="00244671"/>
    <w:pPr>
      <w:ind w:left="709" w:hanging="709"/>
      <w:outlineLvl w:val="0"/>
    </w:pPr>
    <w:rPr>
      <w:rFonts w:ascii="Arial Bold" w:hAnsi="Arial Bold" w:cs="Arial"/>
      <w:b/>
      <w:caps/>
      <w:snapToGrid w:val="0"/>
      <w:sz w:val="28"/>
      <w:lang w:eastAsia="en-US"/>
    </w:rPr>
  </w:style>
  <w:style w:type="character" w:customStyle="1" w:styleId="TitleChar">
    <w:name w:val="Title Char"/>
    <w:basedOn w:val="DefaultParagraphFont"/>
    <w:link w:val="Title"/>
    <w:uiPriority w:val="7"/>
    <w:rsid w:val="00244671"/>
    <w:rPr>
      <w:rFonts w:ascii="Arial Bold" w:hAnsi="Arial Bold" w:cs="Arial"/>
      <w:b/>
      <w:caps/>
      <w:snapToGrid w:val="0"/>
      <w:sz w:val="28"/>
      <w:lang w:eastAsia="en-US"/>
    </w:rPr>
  </w:style>
  <w:style w:type="paragraph" w:styleId="BodyText">
    <w:name w:val="Body Text"/>
    <w:basedOn w:val="Normal"/>
    <w:link w:val="BodyTextChar"/>
    <w:uiPriority w:val="9"/>
    <w:rsid w:val="004B3DDB"/>
    <w:pPr>
      <w:jc w:val="left"/>
    </w:pPr>
  </w:style>
  <w:style w:type="character" w:customStyle="1" w:styleId="BodyTextChar">
    <w:name w:val="Body Text Char"/>
    <w:basedOn w:val="DefaultParagraphFont"/>
    <w:link w:val="BodyText"/>
    <w:uiPriority w:val="9"/>
    <w:rsid w:val="00D97E30"/>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5C7F65"/>
    <w:rPr>
      <w:rFonts w:ascii="Arial Narrow" w:hAnsi="Arial Narrow"/>
      <w:b/>
      <w:sz w:val="20"/>
      <w:szCs w:val="16"/>
    </w:rPr>
  </w:style>
  <w:style w:type="paragraph" w:customStyle="1" w:styleId="Tabletext">
    <w:name w:val="Table text"/>
    <w:basedOn w:val="Normal"/>
    <w:link w:val="TabletextChar"/>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963DB7"/>
    <w:pPr>
      <w:tabs>
        <w:tab w:val="left" w:pos="440"/>
        <w:tab w:val="right" w:leader="dot" w:pos="9016"/>
      </w:tabs>
      <w:spacing w:before="240" w:after="120"/>
      <w:ind w:left="426" w:hanging="426"/>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uiPriority w:val="9"/>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uiPriority w:val="9"/>
    <w:rsid w:val="00D97E30"/>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uiPriority w:val="7"/>
    <w:qFormat/>
    <w:rsid w:val="00BD6CF3"/>
    <w:pPr>
      <w:numPr>
        <w:numId w:val="7"/>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paragraph" w:customStyle="1" w:styleId="TableorfigureAbbreviationsandSource">
    <w:name w:val="Table or figure Abbreviations and Source"/>
    <w:next w:val="Normal"/>
    <w:qFormat/>
    <w:rsid w:val="00795612"/>
    <w:pPr>
      <w:spacing w:after="240"/>
      <w:contextualSpacing/>
    </w:pPr>
    <w:rPr>
      <w:rFonts w:ascii="Calibri" w:eastAsia="Calibri" w:hAnsi="Calibri"/>
      <w:sz w:val="16"/>
      <w:szCs w:val="22"/>
      <w:lang w:eastAsia="zh-CN"/>
    </w:rPr>
  </w:style>
  <w:style w:type="paragraph" w:customStyle="1" w:styleId="H4">
    <w:name w:val="H4"/>
    <w:basedOn w:val="Heading4"/>
    <w:next w:val="Normal"/>
    <w:rsid w:val="001133BB"/>
    <w:pPr>
      <w:widowControl/>
      <w:spacing w:line="360" w:lineRule="auto"/>
      <w:ind w:left="360" w:hanging="360"/>
      <w:jc w:val="left"/>
    </w:pPr>
    <w:rPr>
      <w:rFonts w:ascii="Calibri" w:eastAsia="SimSun" w:hAnsi="Calibri" w:cs="Times New Roman"/>
      <w:i w:val="0"/>
      <w:snapToGrid/>
      <w:sz w:val="24"/>
      <w:lang w:eastAsia="zh-CN"/>
    </w:rPr>
  </w:style>
  <w:style w:type="paragraph" w:styleId="FootnoteText">
    <w:name w:val="footnote text"/>
    <w:basedOn w:val="Normal"/>
    <w:link w:val="FootnoteTextChar"/>
    <w:semiHidden/>
    <w:unhideWhenUsed/>
    <w:rsid w:val="00651E9B"/>
    <w:rPr>
      <w:sz w:val="20"/>
    </w:rPr>
  </w:style>
  <w:style w:type="character" w:customStyle="1" w:styleId="FootnoteTextChar">
    <w:name w:val="Footnote Text Char"/>
    <w:basedOn w:val="DefaultParagraphFont"/>
    <w:link w:val="FootnoteText"/>
    <w:semiHidden/>
    <w:rsid w:val="00651E9B"/>
    <w:rPr>
      <w:rFonts w:ascii="Arial" w:hAnsi="Arial" w:cs="Arial"/>
      <w:snapToGrid w:val="0"/>
      <w:lang w:eastAsia="en-US"/>
    </w:rPr>
  </w:style>
  <w:style w:type="character" w:styleId="FootnoteReference">
    <w:name w:val="footnote reference"/>
    <w:basedOn w:val="DefaultParagraphFont"/>
    <w:semiHidden/>
    <w:unhideWhenUsed/>
    <w:rsid w:val="00651E9B"/>
    <w:rPr>
      <w:vertAlign w:val="superscript"/>
    </w:rPr>
  </w:style>
  <w:style w:type="paragraph" w:customStyle="1" w:styleId="EndNoteBibliography">
    <w:name w:val="EndNote Bibliography"/>
    <w:basedOn w:val="Normal"/>
    <w:link w:val="EndNoteBibliographyChar"/>
    <w:rsid w:val="00A43193"/>
    <w:pPr>
      <w:widowControl/>
      <w:spacing w:before="120" w:after="240"/>
      <w:jc w:val="left"/>
    </w:pPr>
    <w:rPr>
      <w:rFonts w:ascii="Arial Bold" w:eastAsia="Calibri" w:hAnsi="Arial Bold" w:cs="Times New Roman"/>
      <w:noProof/>
      <w:snapToGrid/>
      <w:szCs w:val="22"/>
      <w:lang w:val="en-US"/>
    </w:rPr>
  </w:style>
  <w:style w:type="character" w:customStyle="1" w:styleId="EndNoteBibliographyChar">
    <w:name w:val="EndNote Bibliography Char"/>
    <w:link w:val="EndNoteBibliography"/>
    <w:rsid w:val="00A43193"/>
    <w:rPr>
      <w:rFonts w:ascii="Arial Bold" w:eastAsia="Calibri" w:hAnsi="Arial Bold"/>
      <w:noProof/>
      <w:sz w:val="22"/>
      <w:szCs w:val="22"/>
      <w:lang w:val="en-US" w:eastAsia="en-US"/>
    </w:rPr>
  </w:style>
  <w:style w:type="paragraph" w:customStyle="1" w:styleId="TableNotes">
    <w:name w:val="TableNotes"/>
    <w:basedOn w:val="Normal"/>
    <w:link w:val="TableNotesChar"/>
    <w:rsid w:val="00AC4E91"/>
    <w:pPr>
      <w:keepNext/>
      <w:widowControl/>
      <w:tabs>
        <w:tab w:val="left" w:pos="1559"/>
      </w:tabs>
      <w:spacing w:after="240"/>
      <w:contextualSpacing/>
      <w:jc w:val="left"/>
    </w:pPr>
    <w:rPr>
      <w:rFonts w:ascii="Calibri" w:eastAsia="SimSun" w:hAnsi="Calibri" w:cs="Times New Roman"/>
      <w:snapToGrid/>
      <w:sz w:val="16"/>
      <w:lang w:eastAsia="zh-CN"/>
    </w:rPr>
  </w:style>
  <w:style w:type="character" w:customStyle="1" w:styleId="TableNotesChar">
    <w:name w:val="TableNotes Char"/>
    <w:link w:val="TableNotes"/>
    <w:rsid w:val="00AC4E91"/>
    <w:rPr>
      <w:rFonts w:ascii="Calibri" w:eastAsia="SimSun" w:hAnsi="Calibri"/>
      <w:sz w:val="16"/>
      <w:lang w:eastAsia="zh-CN"/>
    </w:rPr>
  </w:style>
  <w:style w:type="paragraph" w:customStyle="1" w:styleId="TableHeadingCentred">
    <w:name w:val="TableHeadingCentred"/>
    <w:basedOn w:val="TableHeadingRow"/>
    <w:next w:val="TableText0"/>
    <w:rsid w:val="000D3CD8"/>
    <w:pPr>
      <w:jc w:val="center"/>
    </w:pPr>
  </w:style>
  <w:style w:type="paragraph" w:customStyle="1" w:styleId="TableHeadingRow">
    <w:name w:val="TableHeadingRow"/>
    <w:basedOn w:val="TableText0"/>
    <w:next w:val="TableText0"/>
    <w:rsid w:val="000D3CD8"/>
    <w:rPr>
      <w:rFonts w:ascii="Calibri" w:hAnsi="Calibri" w:cs="Times New Roman"/>
      <w:b/>
      <w:bCs/>
      <w:iCs/>
      <w:szCs w:val="18"/>
    </w:rPr>
  </w:style>
  <w:style w:type="character" w:customStyle="1" w:styleId="TableTextChar0">
    <w:name w:val="TableText Char"/>
    <w:link w:val="TableText0"/>
    <w:rsid w:val="000D3CD8"/>
    <w:rPr>
      <w:rFonts w:ascii="Arial Narrow" w:hAnsi="Arial Narrow" w:cs="Arial Narrow"/>
      <w:lang w:eastAsia="en-US"/>
    </w:rPr>
  </w:style>
  <w:style w:type="numbering" w:customStyle="1" w:styleId="BulletsListCV">
    <w:name w:val="Bullets List CV"/>
    <w:uiPriority w:val="99"/>
    <w:rsid w:val="000D3CD8"/>
    <w:pPr>
      <w:numPr>
        <w:numId w:val="12"/>
      </w:numPr>
    </w:pPr>
  </w:style>
  <w:style w:type="paragraph" w:customStyle="1" w:styleId="TableTitle">
    <w:name w:val="TableTitle"/>
    <w:basedOn w:val="BodyText"/>
    <w:next w:val="BodyText"/>
    <w:link w:val="TableTitleChar"/>
    <w:autoRedefine/>
    <w:qFormat/>
    <w:rsid w:val="00920F86"/>
    <w:pPr>
      <w:keepNext/>
      <w:widowControl/>
      <w:tabs>
        <w:tab w:val="left" w:pos="1559"/>
      </w:tabs>
      <w:spacing w:after="60"/>
      <w:ind w:left="1530" w:hanging="1530"/>
    </w:pPr>
    <w:rPr>
      <w:rFonts w:ascii="Calibri" w:eastAsia="SimSun" w:hAnsi="Calibri" w:cs="Times New Roman"/>
      <w:snapToGrid/>
      <w:sz w:val="16"/>
      <w:szCs w:val="16"/>
    </w:rPr>
  </w:style>
  <w:style w:type="character" w:customStyle="1" w:styleId="TableTitleChar">
    <w:name w:val="TableTitle Char"/>
    <w:link w:val="TableTitle"/>
    <w:rsid w:val="00920F86"/>
    <w:rPr>
      <w:rFonts w:ascii="Calibri" w:eastAsia="SimSun" w:hAnsi="Calibri"/>
      <w:sz w:val="16"/>
      <w:szCs w:val="16"/>
      <w:lang w:eastAsia="en-US"/>
    </w:rPr>
  </w:style>
  <w:style w:type="paragraph" w:customStyle="1" w:styleId="Tabletextcentred">
    <w:name w:val="Table text centred"/>
    <w:basedOn w:val="Tabletext"/>
    <w:link w:val="TabletextcentredChar"/>
    <w:qFormat/>
    <w:rsid w:val="00BE6EA8"/>
    <w:pPr>
      <w:keepNext/>
      <w:keepLines/>
      <w:tabs>
        <w:tab w:val="left" w:pos="900"/>
      </w:tabs>
      <w:spacing w:before="40" w:after="40"/>
      <w:jc w:val="center"/>
    </w:pPr>
    <w:rPr>
      <w:rFonts w:ascii="Arial" w:eastAsia="SimSun" w:hAnsi="Arial"/>
      <w:sz w:val="18"/>
      <w:szCs w:val="22"/>
    </w:rPr>
  </w:style>
  <w:style w:type="character" w:customStyle="1" w:styleId="TabletextcentredChar">
    <w:name w:val="Table text centred Char"/>
    <w:link w:val="Tabletextcentred"/>
    <w:rsid w:val="00BE6EA8"/>
    <w:rPr>
      <w:rFonts w:ascii="Arial" w:eastAsia="SimSun" w:hAnsi="Arial"/>
      <w:sz w:val="18"/>
      <w:szCs w:val="22"/>
      <w:lang w:eastAsia="en-US"/>
    </w:rPr>
  </w:style>
  <w:style w:type="paragraph" w:customStyle="1" w:styleId="Tablettitles-left">
    <w:name w:val="Tablet titles - left"/>
    <w:basedOn w:val="Tabletext"/>
    <w:link w:val="Tablettitles-leftChar"/>
    <w:qFormat/>
    <w:rsid w:val="00BE6EA8"/>
    <w:pPr>
      <w:keepNext/>
      <w:keepLines/>
      <w:spacing w:line="264" w:lineRule="auto"/>
    </w:pPr>
    <w:rPr>
      <w:rFonts w:ascii="Gotham XNarrow Book" w:eastAsia="Calibri" w:hAnsi="Gotham XNarrow Book" w:cs="Arial"/>
      <w:b/>
      <w:szCs w:val="22"/>
    </w:rPr>
  </w:style>
  <w:style w:type="character" w:customStyle="1" w:styleId="Tablettitles-leftChar">
    <w:name w:val="Tablet titles - left Char"/>
    <w:link w:val="Tablettitles-left"/>
    <w:rsid w:val="00BE6EA8"/>
    <w:rPr>
      <w:rFonts w:ascii="Gotham XNarrow Book" w:eastAsia="Calibri" w:hAnsi="Gotham XNarrow Book" w:cs="Arial"/>
      <w:b/>
      <w:szCs w:val="22"/>
      <w:lang w:eastAsia="en-US"/>
    </w:rPr>
  </w:style>
  <w:style w:type="paragraph" w:customStyle="1" w:styleId="Table">
    <w:name w:val="Table"/>
    <w:basedOn w:val="Normal"/>
    <w:link w:val="TableChar"/>
    <w:qFormat/>
    <w:rsid w:val="00BE6EA8"/>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BE6EA8"/>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BE6EA8"/>
    <w:rPr>
      <w:rFonts w:ascii="Candara" w:hAnsi="Candara"/>
      <w:b/>
      <w:sz w:val="20"/>
      <w:lang w:val="en-AU"/>
    </w:rPr>
  </w:style>
  <w:style w:type="paragraph" w:customStyle="1" w:styleId="xmsonormal">
    <w:name w:val="x_msonormal"/>
    <w:basedOn w:val="Normal"/>
    <w:rsid w:val="00BE6EA8"/>
    <w:pPr>
      <w:widowControl/>
      <w:spacing w:before="100" w:beforeAutospacing="1" w:after="100" w:afterAutospacing="1"/>
      <w:jc w:val="left"/>
    </w:pPr>
    <w:rPr>
      <w:rFonts w:ascii="Times New Roman" w:hAnsi="Times New Roman" w:cs="Times New Roman"/>
      <w:snapToGrid/>
      <w:sz w:val="24"/>
      <w:szCs w:val="24"/>
      <w:lang w:eastAsia="en-AU"/>
    </w:rPr>
  </w:style>
  <w:style w:type="paragraph" w:styleId="EndnoteText">
    <w:name w:val="endnote text"/>
    <w:basedOn w:val="Normal"/>
    <w:link w:val="EndnoteTextChar"/>
    <w:semiHidden/>
    <w:unhideWhenUsed/>
    <w:rsid w:val="00BE6EA8"/>
    <w:rPr>
      <w:sz w:val="20"/>
    </w:rPr>
  </w:style>
  <w:style w:type="character" w:customStyle="1" w:styleId="EndnoteTextChar">
    <w:name w:val="Endnote Text Char"/>
    <w:basedOn w:val="DefaultParagraphFont"/>
    <w:link w:val="EndnoteText"/>
    <w:semiHidden/>
    <w:rsid w:val="00BE6EA8"/>
    <w:rPr>
      <w:rFonts w:ascii="Arial" w:hAnsi="Arial" w:cs="Arial"/>
      <w:snapToGrid w:val="0"/>
      <w:lang w:eastAsia="en-US"/>
    </w:rPr>
  </w:style>
  <w:style w:type="character" w:styleId="EndnoteReference">
    <w:name w:val="endnote reference"/>
    <w:basedOn w:val="DefaultParagraphFont"/>
    <w:semiHidden/>
    <w:unhideWhenUsed/>
    <w:rsid w:val="00BE6EA8"/>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E6EA8"/>
    <w:pPr>
      <w:widowControl/>
      <w:spacing w:after="160" w:line="240" w:lineRule="exact"/>
      <w:jc w:val="left"/>
    </w:pPr>
    <w:rPr>
      <w:rFonts w:ascii="Verdana" w:eastAsia="MS Mincho" w:hAnsi="Verdana" w:cs="Verdana"/>
      <w:snapToGrid/>
      <w:sz w:val="20"/>
      <w:lang w:val="en-US"/>
    </w:rPr>
  </w:style>
  <w:style w:type="character" w:customStyle="1" w:styleId="Header4Char">
    <w:name w:val="Header 4 Char"/>
    <w:link w:val="Header4"/>
    <w:locked/>
    <w:rsid w:val="00BE6EA8"/>
    <w:rPr>
      <w:rFonts w:ascii="SimSun" w:eastAsia="SimSun" w:hAnsi="SimSun"/>
      <w:b/>
      <w:bCs/>
      <w:sz w:val="22"/>
      <w:szCs w:val="28"/>
      <w:lang w:eastAsia="zh-CN"/>
    </w:rPr>
  </w:style>
  <w:style w:type="paragraph" w:customStyle="1" w:styleId="Header4">
    <w:name w:val="Header 4"/>
    <w:basedOn w:val="Normal"/>
    <w:link w:val="Header4Char"/>
    <w:qFormat/>
    <w:rsid w:val="00BE6EA8"/>
    <w:pPr>
      <w:keepNext/>
      <w:widowControl/>
      <w:tabs>
        <w:tab w:val="num" w:pos="2880"/>
      </w:tabs>
      <w:spacing w:before="240" w:after="60" w:line="360" w:lineRule="auto"/>
      <w:ind w:left="2880" w:hanging="360"/>
      <w:jc w:val="left"/>
      <w:outlineLvl w:val="3"/>
    </w:pPr>
    <w:rPr>
      <w:rFonts w:ascii="SimSun" w:eastAsia="SimSun" w:hAnsi="SimSun" w:cs="Times New Roman"/>
      <w:b/>
      <w:bCs/>
      <w:snapToGrid/>
      <w:szCs w:val="28"/>
      <w:lang w:eastAsia="zh-CN"/>
    </w:rPr>
  </w:style>
  <w:style w:type="character" w:styleId="FollowedHyperlink">
    <w:name w:val="FollowedHyperlink"/>
    <w:basedOn w:val="DefaultParagraphFont"/>
    <w:semiHidden/>
    <w:unhideWhenUsed/>
    <w:rsid w:val="00BE6EA8"/>
    <w:rPr>
      <w:color w:val="800080" w:themeColor="followedHyperlink"/>
      <w:u w:val="single"/>
    </w:rPr>
  </w:style>
  <w:style w:type="paragraph" w:customStyle="1" w:styleId="EndNoteBibliographyTitle">
    <w:name w:val="EndNote Bibliography Title"/>
    <w:basedOn w:val="Normal"/>
    <w:link w:val="EndNoteBibliographyTitleChar"/>
    <w:rsid w:val="00BE6EA8"/>
    <w:pPr>
      <w:jc w:val="center"/>
    </w:pPr>
    <w:rPr>
      <w:rFonts w:ascii="Arial Bold" w:hAnsi="Arial Bold"/>
      <w:noProof/>
      <w:lang w:val="en-US"/>
    </w:rPr>
  </w:style>
  <w:style w:type="character" w:customStyle="1" w:styleId="EndNoteBibliographyTitleChar">
    <w:name w:val="EndNote Bibliography Title Char"/>
    <w:basedOn w:val="DefaultParagraphFont"/>
    <w:link w:val="EndNoteBibliographyTitle"/>
    <w:rsid w:val="00BE6EA8"/>
    <w:rPr>
      <w:rFonts w:ascii="Arial Bold" w:hAnsi="Arial Bold" w:cs="Arial"/>
      <w:noProof/>
      <w:snapToGrid w:val="0"/>
      <w:sz w:val="22"/>
      <w:lang w:val="en-US" w:eastAsia="en-US"/>
    </w:rPr>
  </w:style>
  <w:style w:type="paragraph" w:styleId="PlainText">
    <w:name w:val="Plain Text"/>
    <w:basedOn w:val="Normal"/>
    <w:link w:val="PlainTextChar"/>
    <w:uiPriority w:val="99"/>
    <w:semiHidden/>
    <w:unhideWhenUsed/>
    <w:rsid w:val="00F461AB"/>
    <w:pPr>
      <w:widowControl/>
      <w:jc w:val="left"/>
    </w:pPr>
    <w:rPr>
      <w:rFonts w:ascii="Calibri" w:eastAsiaTheme="minorHAnsi" w:hAnsi="Calibri" w:cstheme="minorBidi"/>
      <w:snapToGrid/>
      <w:szCs w:val="21"/>
    </w:rPr>
  </w:style>
  <w:style w:type="character" w:customStyle="1" w:styleId="PlainTextChar">
    <w:name w:val="Plain Text Char"/>
    <w:basedOn w:val="DefaultParagraphFont"/>
    <w:link w:val="PlainText"/>
    <w:uiPriority w:val="99"/>
    <w:semiHidden/>
    <w:rsid w:val="00F461AB"/>
    <w:rPr>
      <w:rFonts w:ascii="Calibri" w:eastAsiaTheme="minorHAnsi" w:hAnsi="Calibri" w:cstheme="minorBidi"/>
      <w:sz w:val="22"/>
      <w:szCs w:val="21"/>
      <w:lang w:eastAsia="en-US"/>
    </w:rPr>
  </w:style>
  <w:style w:type="character" w:styleId="IntenseReference">
    <w:name w:val="Intense Reference"/>
    <w:basedOn w:val="DefaultParagraphFont"/>
    <w:uiPriority w:val="32"/>
    <w:qFormat/>
    <w:rsid w:val="00632832"/>
    <w:rPr>
      <w:b/>
      <w:bCs/>
      <w:i/>
      <w:smallCaps/>
      <w:color w:val="C0504D" w:themeColor="accent2"/>
      <w:spacing w:val="5"/>
      <w:u w:val="none"/>
    </w:rPr>
  </w:style>
  <w:style w:type="character" w:customStyle="1" w:styleId="ListParagraphChar">
    <w:name w:val="List Paragraph Char"/>
    <w:aliases w:val="BulletPoints Char"/>
    <w:link w:val="ListParagraph"/>
    <w:uiPriority w:val="72"/>
    <w:rsid w:val="00F2754E"/>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2873">
      <w:bodyDiv w:val="1"/>
      <w:marLeft w:val="0"/>
      <w:marRight w:val="0"/>
      <w:marTop w:val="0"/>
      <w:marBottom w:val="0"/>
      <w:divBdr>
        <w:top w:val="none" w:sz="0" w:space="0" w:color="auto"/>
        <w:left w:val="none" w:sz="0" w:space="0" w:color="auto"/>
        <w:bottom w:val="none" w:sz="0" w:space="0" w:color="auto"/>
        <w:right w:val="none" w:sz="0" w:space="0" w:color="auto"/>
      </w:divBdr>
    </w:div>
    <w:div w:id="121773670">
      <w:bodyDiv w:val="1"/>
      <w:marLeft w:val="0"/>
      <w:marRight w:val="0"/>
      <w:marTop w:val="0"/>
      <w:marBottom w:val="0"/>
      <w:divBdr>
        <w:top w:val="none" w:sz="0" w:space="0" w:color="auto"/>
        <w:left w:val="none" w:sz="0" w:space="0" w:color="auto"/>
        <w:bottom w:val="none" w:sz="0" w:space="0" w:color="auto"/>
        <w:right w:val="none" w:sz="0" w:space="0" w:color="auto"/>
      </w:divBdr>
    </w:div>
    <w:div w:id="129253927">
      <w:bodyDiv w:val="1"/>
      <w:marLeft w:val="0"/>
      <w:marRight w:val="0"/>
      <w:marTop w:val="0"/>
      <w:marBottom w:val="0"/>
      <w:divBdr>
        <w:top w:val="none" w:sz="0" w:space="0" w:color="auto"/>
        <w:left w:val="none" w:sz="0" w:space="0" w:color="auto"/>
        <w:bottom w:val="none" w:sz="0" w:space="0" w:color="auto"/>
        <w:right w:val="none" w:sz="0" w:space="0" w:color="auto"/>
      </w:divBdr>
    </w:div>
    <w:div w:id="557741591">
      <w:bodyDiv w:val="1"/>
      <w:marLeft w:val="0"/>
      <w:marRight w:val="0"/>
      <w:marTop w:val="0"/>
      <w:marBottom w:val="0"/>
      <w:divBdr>
        <w:top w:val="none" w:sz="0" w:space="0" w:color="auto"/>
        <w:left w:val="none" w:sz="0" w:space="0" w:color="auto"/>
        <w:bottom w:val="none" w:sz="0" w:space="0" w:color="auto"/>
        <w:right w:val="none" w:sz="0" w:space="0" w:color="auto"/>
      </w:divBdr>
    </w:div>
    <w:div w:id="809519150">
      <w:bodyDiv w:val="1"/>
      <w:marLeft w:val="0"/>
      <w:marRight w:val="0"/>
      <w:marTop w:val="0"/>
      <w:marBottom w:val="0"/>
      <w:divBdr>
        <w:top w:val="none" w:sz="0" w:space="0" w:color="auto"/>
        <w:left w:val="none" w:sz="0" w:space="0" w:color="auto"/>
        <w:bottom w:val="none" w:sz="0" w:space="0" w:color="auto"/>
        <w:right w:val="none" w:sz="0" w:space="0" w:color="auto"/>
      </w:divBdr>
    </w:div>
    <w:div w:id="987443570">
      <w:bodyDiv w:val="1"/>
      <w:marLeft w:val="0"/>
      <w:marRight w:val="0"/>
      <w:marTop w:val="0"/>
      <w:marBottom w:val="0"/>
      <w:divBdr>
        <w:top w:val="none" w:sz="0" w:space="0" w:color="auto"/>
        <w:left w:val="none" w:sz="0" w:space="0" w:color="auto"/>
        <w:bottom w:val="none" w:sz="0" w:space="0" w:color="auto"/>
        <w:right w:val="none" w:sz="0" w:space="0" w:color="auto"/>
      </w:divBdr>
    </w:div>
    <w:div w:id="1024134871">
      <w:bodyDiv w:val="1"/>
      <w:marLeft w:val="0"/>
      <w:marRight w:val="0"/>
      <w:marTop w:val="0"/>
      <w:marBottom w:val="0"/>
      <w:divBdr>
        <w:top w:val="none" w:sz="0" w:space="0" w:color="auto"/>
        <w:left w:val="none" w:sz="0" w:space="0" w:color="auto"/>
        <w:bottom w:val="none" w:sz="0" w:space="0" w:color="auto"/>
        <w:right w:val="none" w:sz="0" w:space="0" w:color="auto"/>
      </w:divBdr>
    </w:div>
    <w:div w:id="1067846936">
      <w:bodyDiv w:val="1"/>
      <w:marLeft w:val="0"/>
      <w:marRight w:val="0"/>
      <w:marTop w:val="0"/>
      <w:marBottom w:val="0"/>
      <w:divBdr>
        <w:top w:val="none" w:sz="0" w:space="0" w:color="auto"/>
        <w:left w:val="none" w:sz="0" w:space="0" w:color="auto"/>
        <w:bottom w:val="none" w:sz="0" w:space="0" w:color="auto"/>
        <w:right w:val="none" w:sz="0" w:space="0" w:color="auto"/>
      </w:divBdr>
    </w:div>
    <w:div w:id="1342048617">
      <w:bodyDiv w:val="1"/>
      <w:marLeft w:val="0"/>
      <w:marRight w:val="0"/>
      <w:marTop w:val="0"/>
      <w:marBottom w:val="0"/>
      <w:divBdr>
        <w:top w:val="none" w:sz="0" w:space="0" w:color="auto"/>
        <w:left w:val="none" w:sz="0" w:space="0" w:color="auto"/>
        <w:bottom w:val="none" w:sz="0" w:space="0" w:color="auto"/>
        <w:right w:val="none" w:sz="0" w:space="0" w:color="auto"/>
      </w:divBdr>
    </w:div>
    <w:div w:id="1393428761">
      <w:bodyDiv w:val="1"/>
      <w:marLeft w:val="0"/>
      <w:marRight w:val="0"/>
      <w:marTop w:val="0"/>
      <w:marBottom w:val="0"/>
      <w:divBdr>
        <w:top w:val="none" w:sz="0" w:space="0" w:color="auto"/>
        <w:left w:val="none" w:sz="0" w:space="0" w:color="auto"/>
        <w:bottom w:val="none" w:sz="0" w:space="0" w:color="auto"/>
        <w:right w:val="none" w:sz="0" w:space="0" w:color="auto"/>
      </w:divBdr>
    </w:div>
    <w:div w:id="1393850098">
      <w:bodyDiv w:val="1"/>
      <w:marLeft w:val="0"/>
      <w:marRight w:val="0"/>
      <w:marTop w:val="0"/>
      <w:marBottom w:val="0"/>
      <w:divBdr>
        <w:top w:val="none" w:sz="0" w:space="0" w:color="auto"/>
        <w:left w:val="none" w:sz="0" w:space="0" w:color="auto"/>
        <w:bottom w:val="none" w:sz="0" w:space="0" w:color="auto"/>
        <w:right w:val="none" w:sz="0" w:space="0" w:color="auto"/>
      </w:divBdr>
    </w:div>
    <w:div w:id="1736853139">
      <w:bodyDiv w:val="1"/>
      <w:marLeft w:val="0"/>
      <w:marRight w:val="0"/>
      <w:marTop w:val="0"/>
      <w:marBottom w:val="0"/>
      <w:divBdr>
        <w:top w:val="none" w:sz="0" w:space="0" w:color="auto"/>
        <w:left w:val="none" w:sz="0" w:space="0" w:color="auto"/>
        <w:bottom w:val="none" w:sz="0" w:space="0" w:color="auto"/>
        <w:right w:val="none" w:sz="0" w:space="0" w:color="auto"/>
      </w:divBdr>
    </w:div>
    <w:div w:id="1812822594">
      <w:bodyDiv w:val="1"/>
      <w:marLeft w:val="0"/>
      <w:marRight w:val="0"/>
      <w:marTop w:val="0"/>
      <w:marBottom w:val="0"/>
      <w:divBdr>
        <w:top w:val="none" w:sz="0" w:space="0" w:color="auto"/>
        <w:left w:val="none" w:sz="0" w:space="0" w:color="auto"/>
        <w:bottom w:val="none" w:sz="0" w:space="0" w:color="auto"/>
        <w:right w:val="none" w:sz="0" w:space="0" w:color="auto"/>
      </w:divBdr>
    </w:div>
    <w:div w:id="1949508891">
      <w:bodyDiv w:val="1"/>
      <w:marLeft w:val="0"/>
      <w:marRight w:val="0"/>
      <w:marTop w:val="0"/>
      <w:marBottom w:val="0"/>
      <w:divBdr>
        <w:top w:val="none" w:sz="0" w:space="0" w:color="auto"/>
        <w:left w:val="none" w:sz="0" w:space="0" w:color="auto"/>
        <w:bottom w:val="none" w:sz="0" w:space="0" w:color="auto"/>
        <w:right w:val="none" w:sz="0" w:space="0" w:color="auto"/>
      </w:divBdr>
    </w:div>
    <w:div w:id="1995139579">
      <w:bodyDiv w:val="1"/>
      <w:marLeft w:val="0"/>
      <w:marRight w:val="0"/>
      <w:marTop w:val="0"/>
      <w:marBottom w:val="0"/>
      <w:divBdr>
        <w:top w:val="none" w:sz="0" w:space="0" w:color="auto"/>
        <w:left w:val="none" w:sz="0" w:space="0" w:color="auto"/>
        <w:bottom w:val="none" w:sz="0" w:space="0" w:color="auto"/>
        <w:right w:val="none" w:sz="0" w:space="0" w:color="auto"/>
      </w:divBdr>
    </w:div>
    <w:div w:id="211979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5F94F-CF6D-4B8C-9423-10EE5810F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6914</Words>
  <Characters>38561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2016-10-11T05:18:00Z</dcterms:created>
  <dcterms:modified xsi:type="dcterms:W3CDTF">2016-10-11T05:35:00Z</dcterms:modified>
</cp:coreProperties>
</file>