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3E" w:rsidRPr="006C1D3E" w:rsidRDefault="006C1D3E" w:rsidP="006C1D3E">
      <w:pPr>
        <w:pStyle w:val="Title"/>
        <w:ind w:left="720" w:hanging="720"/>
        <w:rPr>
          <w:szCs w:val="28"/>
        </w:rPr>
      </w:pPr>
      <w:r>
        <w:rPr>
          <w:szCs w:val="28"/>
        </w:rPr>
        <w:t>4.05</w:t>
      </w:r>
      <w:r w:rsidR="007C0F57" w:rsidRPr="006D6EC7">
        <w:rPr>
          <w:szCs w:val="28"/>
        </w:rPr>
        <w:tab/>
      </w:r>
      <w:r>
        <w:rPr>
          <w:szCs w:val="28"/>
        </w:rPr>
        <w:t>LENVATINIB</w:t>
      </w:r>
      <w:r w:rsidR="008A50F1">
        <w:rPr>
          <w:szCs w:val="28"/>
        </w:rPr>
        <w:br/>
      </w:r>
      <w:r w:rsidR="006C544C">
        <w:rPr>
          <w:szCs w:val="28"/>
        </w:rPr>
        <w:t>capsule, 4 mg and 10 mg,</w:t>
      </w:r>
    </w:p>
    <w:p w:rsidR="00D3280C" w:rsidRPr="006D6EC7" w:rsidRDefault="006C1D3E" w:rsidP="006C1D3E">
      <w:pPr>
        <w:pStyle w:val="Title"/>
        <w:ind w:left="720"/>
        <w:rPr>
          <w:szCs w:val="28"/>
        </w:rPr>
      </w:pPr>
      <w:proofErr w:type="spellStart"/>
      <w:r w:rsidRPr="006C1D3E">
        <w:rPr>
          <w:szCs w:val="28"/>
        </w:rPr>
        <w:t>Lenvima</w:t>
      </w:r>
      <w:proofErr w:type="spellEnd"/>
      <w:r w:rsidRPr="006C1D3E">
        <w:rPr>
          <w:szCs w:val="28"/>
        </w:rPr>
        <w:t>®, Eisai Australia</w:t>
      </w:r>
    </w:p>
    <w:p w:rsidR="00C27B58" w:rsidRDefault="00C27B58" w:rsidP="00C27B58">
      <w:pPr>
        <w:pStyle w:val="NoSpacing"/>
      </w:pPr>
    </w:p>
    <w:p w:rsidR="00E15627" w:rsidRPr="00575A4A" w:rsidRDefault="00CE10C4" w:rsidP="00575A4A">
      <w:pPr>
        <w:pStyle w:val="PBACHeading1"/>
      </w:pPr>
      <w:r w:rsidRPr="00575A4A">
        <w:t xml:space="preserve">Purpose of </w:t>
      </w:r>
      <w:r w:rsidR="004C31FF" w:rsidRPr="00575A4A">
        <w:t>Item</w:t>
      </w:r>
    </w:p>
    <w:p w:rsidR="008A50F1" w:rsidRPr="00E15627" w:rsidRDefault="008A50F1" w:rsidP="00E15627"/>
    <w:p w:rsidR="00F9629A" w:rsidRPr="00F9629A" w:rsidRDefault="004A5D5D" w:rsidP="004A5D5D">
      <w:pPr>
        <w:pStyle w:val="ListParagraph"/>
        <w:numPr>
          <w:ilvl w:val="1"/>
          <w:numId w:val="5"/>
        </w:numPr>
      </w:pPr>
      <w:r>
        <w:rPr>
          <w:szCs w:val="22"/>
        </w:rPr>
        <w:t xml:space="preserve">To inform the PBAC of a new price offered by the sponsor for </w:t>
      </w:r>
      <w:proofErr w:type="spellStart"/>
      <w:r>
        <w:rPr>
          <w:szCs w:val="22"/>
        </w:rPr>
        <w:t>lenvatinib</w:t>
      </w:r>
      <w:proofErr w:type="spellEnd"/>
      <w:r>
        <w:rPr>
          <w:szCs w:val="22"/>
        </w:rPr>
        <w:t xml:space="preserve"> for </w:t>
      </w:r>
      <w:r w:rsidRPr="004A5D5D">
        <w:rPr>
          <w:szCs w:val="22"/>
        </w:rPr>
        <w:t>the treatment of radioactive iodine refractory differentiated thyroid cancer (R</w:t>
      </w:r>
      <w:r w:rsidR="008048A6">
        <w:rPr>
          <w:szCs w:val="22"/>
        </w:rPr>
        <w:t>AI-</w:t>
      </w:r>
      <w:r w:rsidRPr="004A5D5D">
        <w:rPr>
          <w:szCs w:val="22"/>
        </w:rPr>
        <w:t>R</w:t>
      </w:r>
      <w:r w:rsidR="008048A6">
        <w:rPr>
          <w:szCs w:val="22"/>
        </w:rPr>
        <w:t xml:space="preserve"> </w:t>
      </w:r>
      <w:r w:rsidRPr="004A5D5D">
        <w:rPr>
          <w:szCs w:val="22"/>
        </w:rPr>
        <w:t>DTC).</w:t>
      </w:r>
    </w:p>
    <w:p w:rsidR="00EF44A0" w:rsidRDefault="00EF44A0" w:rsidP="00295C08">
      <w:pPr>
        <w:pStyle w:val="NoSpacing"/>
        <w:spacing w:line="480" w:lineRule="auto"/>
      </w:pPr>
    </w:p>
    <w:p w:rsidR="004E5B38" w:rsidRPr="005A7740" w:rsidRDefault="004E5B38" w:rsidP="00575A4A">
      <w:pPr>
        <w:pStyle w:val="Heading1"/>
      </w:pPr>
      <w:r w:rsidRPr="00C603D4">
        <w:t>Background</w:t>
      </w:r>
    </w:p>
    <w:p w:rsidR="004E5B38" w:rsidRPr="002D0989" w:rsidRDefault="004E5B38" w:rsidP="007F2517"/>
    <w:p w:rsidR="002D0989" w:rsidRPr="002D0989" w:rsidRDefault="002D0989" w:rsidP="002D0989">
      <w:pPr>
        <w:pStyle w:val="ListParagraph"/>
        <w:numPr>
          <w:ilvl w:val="1"/>
          <w:numId w:val="5"/>
        </w:numPr>
        <w:rPr>
          <w:szCs w:val="22"/>
        </w:rPr>
      </w:pPr>
      <w:proofErr w:type="spellStart"/>
      <w:r w:rsidRPr="002D0989">
        <w:rPr>
          <w:szCs w:val="22"/>
        </w:rPr>
        <w:t>Lenvatinib</w:t>
      </w:r>
      <w:proofErr w:type="spellEnd"/>
      <w:r w:rsidRPr="002D0989">
        <w:rPr>
          <w:szCs w:val="22"/>
        </w:rPr>
        <w:t xml:space="preserve"> is TGA registered for the treatment of patients with progressive, locally advanced or metastatic, radioactive iodine refractory differentiated thyroid cancer.</w:t>
      </w:r>
    </w:p>
    <w:p w:rsidR="002D0989" w:rsidRPr="002D0989" w:rsidRDefault="002D0989" w:rsidP="002D0989">
      <w:pPr>
        <w:pStyle w:val="ListParagraph"/>
        <w:widowControl/>
        <w:rPr>
          <w:b/>
          <w:szCs w:val="22"/>
        </w:rPr>
      </w:pPr>
    </w:p>
    <w:p w:rsidR="004E5B38" w:rsidRPr="006C1D3E" w:rsidRDefault="004E5B38" w:rsidP="004E5B38">
      <w:pPr>
        <w:pStyle w:val="ListParagraph"/>
        <w:widowControl/>
        <w:numPr>
          <w:ilvl w:val="1"/>
          <w:numId w:val="5"/>
        </w:numPr>
        <w:rPr>
          <w:b/>
          <w:szCs w:val="22"/>
        </w:rPr>
      </w:pPr>
      <w:proofErr w:type="spellStart"/>
      <w:r w:rsidRPr="009F0F47">
        <w:rPr>
          <w:szCs w:val="22"/>
        </w:rPr>
        <w:t>Lenvatinib</w:t>
      </w:r>
      <w:proofErr w:type="spellEnd"/>
      <w:r w:rsidRPr="009F0F47">
        <w:rPr>
          <w:szCs w:val="22"/>
        </w:rPr>
        <w:t xml:space="preserve"> </w:t>
      </w:r>
      <w:r>
        <w:rPr>
          <w:szCs w:val="22"/>
        </w:rPr>
        <w:t>h</w:t>
      </w:r>
      <w:r w:rsidRPr="009F0F47">
        <w:rPr>
          <w:szCs w:val="22"/>
        </w:rPr>
        <w:t xml:space="preserve">as previously </w:t>
      </w:r>
      <w:r>
        <w:rPr>
          <w:szCs w:val="22"/>
        </w:rPr>
        <w:t xml:space="preserve">been </w:t>
      </w:r>
      <w:r w:rsidRPr="009F0F47">
        <w:rPr>
          <w:szCs w:val="22"/>
        </w:rPr>
        <w:t xml:space="preserve">considered </w:t>
      </w:r>
      <w:r w:rsidRPr="00351D2E">
        <w:rPr>
          <w:szCs w:val="22"/>
        </w:rPr>
        <w:t xml:space="preserve">for </w:t>
      </w:r>
      <w:r>
        <w:rPr>
          <w:szCs w:val="22"/>
        </w:rPr>
        <w:t xml:space="preserve">the treatment of </w:t>
      </w:r>
      <w:r w:rsidRPr="00351D2E">
        <w:rPr>
          <w:szCs w:val="22"/>
        </w:rPr>
        <w:t>R</w:t>
      </w:r>
      <w:r w:rsidR="008048A6">
        <w:rPr>
          <w:szCs w:val="22"/>
        </w:rPr>
        <w:t>AI-</w:t>
      </w:r>
      <w:r w:rsidRPr="00351D2E">
        <w:rPr>
          <w:szCs w:val="22"/>
        </w:rPr>
        <w:t>R</w:t>
      </w:r>
      <w:r w:rsidR="008048A6">
        <w:rPr>
          <w:szCs w:val="22"/>
        </w:rPr>
        <w:t xml:space="preserve"> </w:t>
      </w:r>
      <w:r w:rsidRPr="00351D2E">
        <w:rPr>
          <w:szCs w:val="22"/>
        </w:rPr>
        <w:t>DTC</w:t>
      </w:r>
      <w:r>
        <w:rPr>
          <w:szCs w:val="22"/>
        </w:rPr>
        <w:t xml:space="preserve"> </w:t>
      </w:r>
      <w:r w:rsidRPr="009F0F47">
        <w:rPr>
          <w:szCs w:val="22"/>
        </w:rPr>
        <w:t>by the PBAC in November 2015</w:t>
      </w:r>
      <w:r>
        <w:rPr>
          <w:szCs w:val="22"/>
        </w:rPr>
        <w:t xml:space="preserve"> and March 2016</w:t>
      </w:r>
      <w:r w:rsidRPr="009F0F47">
        <w:rPr>
          <w:szCs w:val="22"/>
        </w:rPr>
        <w:t>.</w:t>
      </w:r>
    </w:p>
    <w:p w:rsidR="004E5B38" w:rsidRPr="006C1D3E" w:rsidRDefault="004E5B38" w:rsidP="004E5B38">
      <w:pPr>
        <w:pStyle w:val="ListParagraph"/>
        <w:rPr>
          <w:szCs w:val="22"/>
        </w:rPr>
      </w:pPr>
    </w:p>
    <w:p w:rsidR="004E5B38" w:rsidRPr="006C1D3E" w:rsidRDefault="004E5B38" w:rsidP="004E5B38">
      <w:pPr>
        <w:pStyle w:val="ListParagraph"/>
        <w:widowControl/>
        <w:numPr>
          <w:ilvl w:val="1"/>
          <w:numId w:val="5"/>
        </w:numPr>
        <w:rPr>
          <w:b/>
          <w:szCs w:val="22"/>
        </w:rPr>
      </w:pPr>
      <w:r>
        <w:rPr>
          <w:szCs w:val="22"/>
        </w:rPr>
        <w:t>At t</w:t>
      </w:r>
      <w:r w:rsidRPr="009F0F47">
        <w:rPr>
          <w:bCs/>
          <w:szCs w:val="22"/>
        </w:rPr>
        <w:t>he November</w:t>
      </w:r>
      <w:r>
        <w:rPr>
          <w:bCs/>
          <w:szCs w:val="22"/>
        </w:rPr>
        <w:t xml:space="preserve"> 2015 meeting, the</w:t>
      </w:r>
      <w:r w:rsidRPr="009F0F47">
        <w:rPr>
          <w:bCs/>
          <w:szCs w:val="22"/>
        </w:rPr>
        <w:t xml:space="preserve"> PBAC deferred the submission for </w:t>
      </w:r>
      <w:proofErr w:type="spellStart"/>
      <w:r w:rsidRPr="009F0F47">
        <w:rPr>
          <w:bCs/>
          <w:szCs w:val="22"/>
        </w:rPr>
        <w:t>lenvatinib</w:t>
      </w:r>
      <w:proofErr w:type="spellEnd"/>
      <w:r w:rsidRPr="009F0F47">
        <w:rPr>
          <w:bCs/>
          <w:szCs w:val="22"/>
        </w:rPr>
        <w:t xml:space="preserve"> for the treatment of R</w:t>
      </w:r>
      <w:r w:rsidR="008048A6">
        <w:rPr>
          <w:bCs/>
          <w:szCs w:val="22"/>
        </w:rPr>
        <w:t xml:space="preserve">AI-R </w:t>
      </w:r>
      <w:r w:rsidR="00A36E61">
        <w:rPr>
          <w:bCs/>
          <w:szCs w:val="22"/>
        </w:rPr>
        <w:t>DTC</w:t>
      </w:r>
      <w:r w:rsidRPr="009F0F47">
        <w:rPr>
          <w:bCs/>
          <w:szCs w:val="22"/>
        </w:rPr>
        <w:t xml:space="preserve"> pending further discussion with the sponsor regarding the eligible patient population, price, and finalisation of the TGA registration process. The PBAC considered that </w:t>
      </w:r>
      <w:proofErr w:type="spellStart"/>
      <w:r w:rsidRPr="009F0F47">
        <w:rPr>
          <w:bCs/>
          <w:szCs w:val="22"/>
        </w:rPr>
        <w:t>lenvatinib</w:t>
      </w:r>
      <w:proofErr w:type="spellEnd"/>
      <w:r w:rsidRPr="009F0F47">
        <w:rPr>
          <w:bCs/>
          <w:szCs w:val="22"/>
        </w:rPr>
        <w:t xml:space="preserve"> was not cost-effective at the price presented in the submission.</w:t>
      </w:r>
    </w:p>
    <w:p w:rsidR="004E5B38" w:rsidRPr="006C1D3E" w:rsidRDefault="004E5B38" w:rsidP="004E5B38">
      <w:pPr>
        <w:pStyle w:val="ListParagraph"/>
        <w:rPr>
          <w:b/>
          <w:szCs w:val="22"/>
        </w:rPr>
      </w:pPr>
    </w:p>
    <w:p w:rsidR="00707102" w:rsidRDefault="000A5BE9" w:rsidP="00707102">
      <w:pPr>
        <w:pStyle w:val="ListParagraph"/>
        <w:numPr>
          <w:ilvl w:val="1"/>
          <w:numId w:val="5"/>
        </w:numPr>
        <w:rPr>
          <w:szCs w:val="22"/>
        </w:rPr>
      </w:pPr>
      <w:r w:rsidRPr="000A5BE9">
        <w:rPr>
          <w:szCs w:val="22"/>
        </w:rPr>
        <w:t>At its March 2016 meeting, the PBAC considered that the resubmission’s base case ICER ($</w:t>
      </w:r>
      <w:r w:rsidR="006E5A36">
        <w:rPr>
          <w:szCs w:val="22"/>
        </w:rPr>
        <w:t>45,000 – $75,000</w:t>
      </w:r>
      <w:r w:rsidRPr="000A5BE9">
        <w:rPr>
          <w:szCs w:val="22"/>
        </w:rPr>
        <w:t xml:space="preserve">/QALY) remained high and reiterated that </w:t>
      </w:r>
      <w:proofErr w:type="spellStart"/>
      <w:r w:rsidRPr="000A5BE9">
        <w:rPr>
          <w:szCs w:val="22"/>
        </w:rPr>
        <w:t>lenvatinib</w:t>
      </w:r>
      <w:proofErr w:type="spellEnd"/>
      <w:r w:rsidRPr="000A5BE9">
        <w:rPr>
          <w:szCs w:val="22"/>
        </w:rPr>
        <w:t xml:space="preserve"> would likely be cost-effective at a reduced price generating an ICER in the range of $</w:t>
      </w:r>
      <w:r w:rsidR="006E5A36">
        <w:rPr>
          <w:szCs w:val="22"/>
        </w:rPr>
        <w:t>45,000</w:t>
      </w:r>
      <w:r w:rsidR="00646120">
        <w:rPr>
          <w:szCs w:val="22"/>
        </w:rPr>
        <w:t>-</w:t>
      </w:r>
      <w:r w:rsidRPr="000A5BE9">
        <w:rPr>
          <w:szCs w:val="22"/>
        </w:rPr>
        <w:t xml:space="preserve"> $</w:t>
      </w:r>
      <w:r w:rsidR="006E5A36">
        <w:rPr>
          <w:szCs w:val="22"/>
        </w:rPr>
        <w:t>75,000</w:t>
      </w:r>
      <w:r w:rsidRPr="000A5BE9">
        <w:rPr>
          <w:szCs w:val="22"/>
        </w:rPr>
        <w:t>/QAL</w:t>
      </w:r>
      <w:r w:rsidR="00707102">
        <w:rPr>
          <w:szCs w:val="22"/>
        </w:rPr>
        <w:t>Y.</w:t>
      </w:r>
    </w:p>
    <w:p w:rsidR="00F92B82" w:rsidRDefault="00F92B82" w:rsidP="00295C08">
      <w:pPr>
        <w:pStyle w:val="NoSpacing"/>
        <w:spacing w:line="480" w:lineRule="auto"/>
      </w:pPr>
    </w:p>
    <w:p w:rsidR="007F2517" w:rsidRDefault="002D0989" w:rsidP="00575A4A">
      <w:pPr>
        <w:pStyle w:val="Heading1"/>
      </w:pPr>
      <w:r>
        <w:t>PBAC Discussion</w:t>
      </w:r>
    </w:p>
    <w:p w:rsidR="007F2517" w:rsidRDefault="007F2517" w:rsidP="007F2517"/>
    <w:p w:rsidR="004268B5" w:rsidRDefault="00CD46DC" w:rsidP="00B7267D">
      <w:pPr>
        <w:pStyle w:val="ListParagraph"/>
        <w:numPr>
          <w:ilvl w:val="1"/>
          <w:numId w:val="5"/>
        </w:numPr>
        <w:rPr>
          <w:szCs w:val="22"/>
        </w:rPr>
      </w:pPr>
      <w:r w:rsidRPr="004268B5">
        <w:rPr>
          <w:szCs w:val="22"/>
        </w:rPr>
        <w:t>T</w:t>
      </w:r>
      <w:r w:rsidR="00FA7D0E" w:rsidRPr="004268B5">
        <w:rPr>
          <w:szCs w:val="22"/>
        </w:rPr>
        <w:t xml:space="preserve">he </w:t>
      </w:r>
      <w:r w:rsidR="00707102" w:rsidRPr="004268B5">
        <w:rPr>
          <w:szCs w:val="22"/>
        </w:rPr>
        <w:t xml:space="preserve">PBAC noted the </w:t>
      </w:r>
      <w:r w:rsidR="00DE3C5B" w:rsidRPr="004268B5">
        <w:rPr>
          <w:szCs w:val="22"/>
        </w:rPr>
        <w:t>offer</w:t>
      </w:r>
      <w:r w:rsidR="00ED7A6A" w:rsidRPr="004268B5">
        <w:rPr>
          <w:szCs w:val="22"/>
        </w:rPr>
        <w:t xml:space="preserve"> </w:t>
      </w:r>
      <w:r w:rsidR="00B7267D">
        <w:rPr>
          <w:szCs w:val="22"/>
        </w:rPr>
        <w:t>o</w:t>
      </w:r>
      <w:r w:rsidR="004268B5" w:rsidRPr="004268B5">
        <w:rPr>
          <w:szCs w:val="22"/>
        </w:rPr>
        <w:t xml:space="preserve">f </w:t>
      </w:r>
      <w:r w:rsidR="00B7267D">
        <w:rPr>
          <w:szCs w:val="22"/>
        </w:rPr>
        <w:t xml:space="preserve">a </w:t>
      </w:r>
      <w:r w:rsidR="00073814">
        <w:rPr>
          <w:noProof/>
          <w:color w:val="000000"/>
          <w:szCs w:val="22"/>
          <w:highlight w:val="black"/>
        </w:rPr>
        <w:t>''''''''''</w:t>
      </w:r>
      <w:r w:rsidR="004268B5" w:rsidRPr="004268B5">
        <w:rPr>
          <w:szCs w:val="22"/>
        </w:rPr>
        <w:t xml:space="preserve">% price reduction to the original (November 2015) submission price </w:t>
      </w:r>
      <w:r w:rsidR="00567C45">
        <w:rPr>
          <w:szCs w:val="22"/>
        </w:rPr>
        <w:t>which</w:t>
      </w:r>
      <w:r w:rsidR="004268B5" w:rsidRPr="004268B5">
        <w:rPr>
          <w:szCs w:val="22"/>
        </w:rPr>
        <w:t xml:space="preserve"> results in a</w:t>
      </w:r>
      <w:r w:rsidR="00B7267D">
        <w:rPr>
          <w:szCs w:val="22"/>
        </w:rPr>
        <w:t>n ICER of around $</w:t>
      </w:r>
      <w:r w:rsidR="006E5A36">
        <w:rPr>
          <w:szCs w:val="22"/>
        </w:rPr>
        <w:t>45,000 – $75,000</w:t>
      </w:r>
      <w:r w:rsidR="00B7267D">
        <w:rPr>
          <w:szCs w:val="22"/>
        </w:rPr>
        <w:t>/QALY</w:t>
      </w:r>
      <w:r w:rsidR="00BB573D">
        <w:rPr>
          <w:szCs w:val="22"/>
        </w:rPr>
        <w:t>.</w:t>
      </w:r>
      <w:r w:rsidR="00B7267D">
        <w:rPr>
          <w:szCs w:val="22"/>
        </w:rPr>
        <w:t xml:space="preserve"> </w:t>
      </w:r>
    </w:p>
    <w:p w:rsidR="00B7267D" w:rsidRPr="004268B5" w:rsidRDefault="00B7267D" w:rsidP="00295C08"/>
    <w:p w:rsidR="00AA655C" w:rsidRDefault="00CE5EF2" w:rsidP="001D2FA3">
      <w:pPr>
        <w:pStyle w:val="ListParagraph"/>
        <w:widowControl/>
        <w:numPr>
          <w:ilvl w:val="1"/>
          <w:numId w:val="5"/>
        </w:numPr>
        <w:rPr>
          <w:szCs w:val="22"/>
        </w:rPr>
      </w:pPr>
      <w:r>
        <w:rPr>
          <w:szCs w:val="22"/>
        </w:rPr>
        <w:t xml:space="preserve">The sponsor did not change the estimated patient numbers in their proposal from the March 2016 minor resubmission and </w:t>
      </w:r>
      <w:r w:rsidR="00BB573D">
        <w:rPr>
          <w:szCs w:val="22"/>
        </w:rPr>
        <w:t>claimed</w:t>
      </w:r>
      <w:r>
        <w:rPr>
          <w:szCs w:val="22"/>
        </w:rPr>
        <w:t xml:space="preserve"> that the patient numbers proposed are reflective of the current Australian situation</w:t>
      </w:r>
      <w:r w:rsidR="00AA655C">
        <w:rPr>
          <w:szCs w:val="22"/>
        </w:rPr>
        <w:t>,</w:t>
      </w:r>
      <w:r>
        <w:rPr>
          <w:szCs w:val="22"/>
        </w:rPr>
        <w:t xml:space="preserve"> based on</w:t>
      </w:r>
      <w:r w:rsidR="00AA655C">
        <w:rPr>
          <w:szCs w:val="22"/>
        </w:rPr>
        <w:t>:</w:t>
      </w:r>
    </w:p>
    <w:p w:rsidR="00AA655C" w:rsidRDefault="00AA655C" w:rsidP="00AA655C">
      <w:pPr>
        <w:pStyle w:val="ListParagraph"/>
        <w:numPr>
          <w:ilvl w:val="0"/>
          <w:numId w:val="17"/>
        </w:numPr>
        <w:ind w:left="1134" w:hanging="425"/>
        <w:rPr>
          <w:szCs w:val="22"/>
        </w:rPr>
      </w:pPr>
      <w:r w:rsidRPr="00AA655C">
        <w:rPr>
          <w:szCs w:val="22"/>
        </w:rPr>
        <w:t>estimates of</w:t>
      </w:r>
      <w:r w:rsidR="00CE5EF2" w:rsidRPr="00AA655C">
        <w:rPr>
          <w:szCs w:val="22"/>
        </w:rPr>
        <w:t xml:space="preserve"> the number of eligible patients in the </w:t>
      </w:r>
      <w:r w:rsidR="00DA6999">
        <w:rPr>
          <w:szCs w:val="22"/>
        </w:rPr>
        <w:t xml:space="preserve">Australian </w:t>
      </w:r>
      <w:r w:rsidR="00CE5EF2" w:rsidRPr="00AA655C">
        <w:rPr>
          <w:szCs w:val="22"/>
        </w:rPr>
        <w:t>participati</w:t>
      </w:r>
      <w:r>
        <w:rPr>
          <w:szCs w:val="22"/>
        </w:rPr>
        <w:t>ng centres for the SELECT trial</w:t>
      </w:r>
      <w:r w:rsidR="00DA6999">
        <w:rPr>
          <w:szCs w:val="22"/>
        </w:rPr>
        <w:t xml:space="preserve"> (19 patients recruited)</w:t>
      </w:r>
      <w:r>
        <w:rPr>
          <w:szCs w:val="22"/>
        </w:rPr>
        <w:t>;</w:t>
      </w:r>
    </w:p>
    <w:p w:rsidR="00CE5EF2" w:rsidRDefault="00AA655C" w:rsidP="00AA655C">
      <w:pPr>
        <w:pStyle w:val="ListParagraph"/>
        <w:numPr>
          <w:ilvl w:val="0"/>
          <w:numId w:val="17"/>
        </w:numPr>
        <w:ind w:left="1134" w:hanging="425"/>
        <w:rPr>
          <w:szCs w:val="22"/>
        </w:rPr>
      </w:pPr>
      <w:r>
        <w:rPr>
          <w:szCs w:val="22"/>
        </w:rPr>
        <w:t>number of patients enrolled in the</w:t>
      </w:r>
      <w:r w:rsidR="00CE5EF2" w:rsidRPr="00AA655C">
        <w:rPr>
          <w:szCs w:val="22"/>
        </w:rPr>
        <w:t xml:space="preserve"> sponsor’s </w:t>
      </w:r>
      <w:r>
        <w:rPr>
          <w:szCs w:val="22"/>
        </w:rPr>
        <w:t xml:space="preserve">named patient </w:t>
      </w:r>
      <w:r w:rsidR="00CE5EF2" w:rsidRPr="00AA655C">
        <w:rPr>
          <w:szCs w:val="22"/>
        </w:rPr>
        <w:t>program</w:t>
      </w:r>
      <w:r>
        <w:rPr>
          <w:szCs w:val="22"/>
        </w:rPr>
        <w:t xml:space="preserve"> and product familiarisation program</w:t>
      </w:r>
      <w:r w:rsidR="00DA6999">
        <w:rPr>
          <w:szCs w:val="22"/>
        </w:rPr>
        <w:t xml:space="preserve"> (49 patients on treatment as of 24 April 2016)</w:t>
      </w:r>
      <w:r>
        <w:rPr>
          <w:szCs w:val="22"/>
        </w:rPr>
        <w:t>;</w:t>
      </w:r>
      <w:r w:rsidR="001908CB">
        <w:rPr>
          <w:szCs w:val="22"/>
        </w:rPr>
        <w:t xml:space="preserve"> and</w:t>
      </w:r>
    </w:p>
    <w:p w:rsidR="00AA655C" w:rsidRPr="00AA655C" w:rsidRDefault="00AA655C" w:rsidP="00AA655C">
      <w:pPr>
        <w:pStyle w:val="ListParagraph"/>
        <w:numPr>
          <w:ilvl w:val="0"/>
          <w:numId w:val="17"/>
        </w:numPr>
        <w:ind w:left="1134" w:hanging="425"/>
        <w:rPr>
          <w:szCs w:val="22"/>
        </w:rPr>
      </w:pPr>
      <w:proofErr w:type="gramStart"/>
      <w:r>
        <w:rPr>
          <w:szCs w:val="22"/>
        </w:rPr>
        <w:t>the</w:t>
      </w:r>
      <w:proofErr w:type="gramEnd"/>
      <w:r>
        <w:rPr>
          <w:szCs w:val="22"/>
        </w:rPr>
        <w:t xml:space="preserve"> sponsor’s knowledge of a number of Australian centres which have radioactive iodine refractory patients but have not yet participated in the clinical trials or access programs</w:t>
      </w:r>
      <w:r w:rsidR="001908CB">
        <w:rPr>
          <w:szCs w:val="22"/>
        </w:rPr>
        <w:t>.</w:t>
      </w:r>
    </w:p>
    <w:p w:rsidR="00976D04" w:rsidRDefault="00976D04" w:rsidP="00976D04">
      <w:pPr>
        <w:pStyle w:val="ListParagraph"/>
        <w:rPr>
          <w:szCs w:val="22"/>
        </w:rPr>
      </w:pPr>
    </w:p>
    <w:p w:rsidR="004C402D" w:rsidRDefault="004C402D">
      <w:pPr>
        <w:rPr>
          <w:rStyle w:val="CommentReference"/>
          <w:rFonts w:ascii="Arial Narrow" w:hAnsi="Arial Narrow"/>
          <w:b/>
          <w:sz w:val="20"/>
        </w:rPr>
      </w:pPr>
      <w:r>
        <w:rPr>
          <w:rStyle w:val="CommentReference"/>
          <w:rFonts w:ascii="Arial Narrow" w:hAnsi="Arial Narrow"/>
          <w:b/>
          <w:sz w:val="20"/>
        </w:rPr>
        <w:br w:type="page"/>
      </w:r>
    </w:p>
    <w:p w:rsidR="00AA49C7" w:rsidRPr="00AA49C7" w:rsidRDefault="00AA49C7" w:rsidP="006E5A36">
      <w:pPr>
        <w:keepNext/>
        <w:ind w:firstLine="709"/>
        <w:rPr>
          <w:rFonts w:ascii="Arial Narrow" w:hAnsi="Arial Narrow"/>
          <w:b/>
          <w:sz w:val="20"/>
          <w:szCs w:val="16"/>
        </w:rPr>
      </w:pPr>
      <w:r w:rsidRPr="00AA49C7">
        <w:rPr>
          <w:rStyle w:val="CommentReference"/>
          <w:rFonts w:ascii="Arial Narrow" w:hAnsi="Arial Narrow"/>
          <w:b/>
          <w:sz w:val="20"/>
        </w:rPr>
        <w:t>Table 1: Estimated use and financial implications</w:t>
      </w:r>
    </w:p>
    <w:tbl>
      <w:tblPr>
        <w:tblStyle w:val="TableGrid"/>
        <w:tblW w:w="8425" w:type="dxa"/>
        <w:tblInd w:w="817" w:type="dxa"/>
        <w:tblLook w:val="04A0" w:firstRow="1" w:lastRow="0" w:firstColumn="1" w:lastColumn="0" w:noHBand="0" w:noVBand="1"/>
        <w:tblCaption w:val="Table 1: Estimated use and financial implications"/>
      </w:tblPr>
      <w:tblGrid>
        <w:gridCol w:w="2585"/>
        <w:gridCol w:w="1168"/>
        <w:gridCol w:w="1168"/>
        <w:gridCol w:w="1168"/>
        <w:gridCol w:w="1168"/>
        <w:gridCol w:w="1168"/>
      </w:tblGrid>
      <w:tr w:rsidR="00976D04" w:rsidTr="00072007">
        <w:trPr>
          <w:tblHeader/>
        </w:trPr>
        <w:tc>
          <w:tcPr>
            <w:tcW w:w="2585" w:type="dxa"/>
          </w:tcPr>
          <w:p w:rsidR="00976D04" w:rsidRPr="003112F1" w:rsidRDefault="00976D04" w:rsidP="00072007">
            <w:pPr>
              <w:jc w:val="both"/>
              <w:rPr>
                <w:rFonts w:ascii="Arial Narrow" w:hAnsi="Arial Narrow"/>
                <w:sz w:val="22"/>
                <w:szCs w:val="22"/>
              </w:rPr>
            </w:pPr>
          </w:p>
        </w:tc>
        <w:tc>
          <w:tcPr>
            <w:tcW w:w="1168" w:type="dxa"/>
            <w:vAlign w:val="bottom"/>
          </w:tcPr>
          <w:p w:rsidR="00976D04" w:rsidRPr="003112F1" w:rsidRDefault="00976D04" w:rsidP="00072007">
            <w:pPr>
              <w:jc w:val="center"/>
              <w:rPr>
                <w:rFonts w:ascii="Arial Narrow" w:hAnsi="Arial Narrow" w:cs="Arial"/>
                <w:b/>
                <w:bCs/>
                <w:sz w:val="20"/>
                <w:szCs w:val="20"/>
              </w:rPr>
            </w:pPr>
            <w:r w:rsidRPr="003112F1">
              <w:rPr>
                <w:rFonts w:ascii="Arial Narrow" w:hAnsi="Arial Narrow" w:cs="Arial"/>
                <w:b/>
                <w:bCs/>
                <w:sz w:val="20"/>
                <w:szCs w:val="20"/>
              </w:rPr>
              <w:t xml:space="preserve">Year 1 </w:t>
            </w:r>
            <w:r w:rsidRPr="003112F1">
              <w:rPr>
                <w:rFonts w:ascii="Arial Narrow" w:hAnsi="Arial Narrow" w:cs="Arial"/>
                <w:b/>
                <w:bCs/>
                <w:sz w:val="20"/>
                <w:szCs w:val="20"/>
              </w:rPr>
              <w:br/>
              <w:t>(2016)</w:t>
            </w:r>
          </w:p>
        </w:tc>
        <w:tc>
          <w:tcPr>
            <w:tcW w:w="1168" w:type="dxa"/>
            <w:vAlign w:val="bottom"/>
          </w:tcPr>
          <w:p w:rsidR="00976D04" w:rsidRPr="003112F1" w:rsidRDefault="00976D04" w:rsidP="00072007">
            <w:pPr>
              <w:jc w:val="center"/>
              <w:rPr>
                <w:rFonts w:ascii="Arial Narrow" w:hAnsi="Arial Narrow" w:cs="Arial"/>
                <w:b/>
                <w:bCs/>
                <w:sz w:val="20"/>
                <w:szCs w:val="20"/>
              </w:rPr>
            </w:pPr>
            <w:r w:rsidRPr="003112F1">
              <w:rPr>
                <w:rFonts w:ascii="Arial Narrow" w:hAnsi="Arial Narrow" w:cs="Arial"/>
                <w:b/>
                <w:bCs/>
                <w:sz w:val="20"/>
                <w:szCs w:val="20"/>
              </w:rPr>
              <w:t xml:space="preserve">Year 2 </w:t>
            </w:r>
            <w:r w:rsidRPr="003112F1">
              <w:rPr>
                <w:rFonts w:ascii="Arial Narrow" w:hAnsi="Arial Narrow" w:cs="Arial"/>
                <w:b/>
                <w:bCs/>
                <w:sz w:val="20"/>
                <w:szCs w:val="20"/>
              </w:rPr>
              <w:br/>
              <w:t>(2017)</w:t>
            </w:r>
          </w:p>
        </w:tc>
        <w:tc>
          <w:tcPr>
            <w:tcW w:w="1168" w:type="dxa"/>
            <w:vAlign w:val="bottom"/>
          </w:tcPr>
          <w:p w:rsidR="00976D04" w:rsidRPr="003112F1" w:rsidRDefault="00976D04" w:rsidP="00072007">
            <w:pPr>
              <w:jc w:val="center"/>
              <w:rPr>
                <w:rFonts w:ascii="Arial Narrow" w:hAnsi="Arial Narrow" w:cs="Arial"/>
                <w:b/>
                <w:bCs/>
                <w:sz w:val="20"/>
                <w:szCs w:val="20"/>
              </w:rPr>
            </w:pPr>
            <w:r w:rsidRPr="003112F1">
              <w:rPr>
                <w:rFonts w:ascii="Arial Narrow" w:hAnsi="Arial Narrow" w:cs="Arial"/>
                <w:b/>
                <w:bCs/>
                <w:sz w:val="20"/>
                <w:szCs w:val="20"/>
              </w:rPr>
              <w:t xml:space="preserve">Year 3 </w:t>
            </w:r>
            <w:r w:rsidRPr="003112F1">
              <w:rPr>
                <w:rFonts w:ascii="Arial Narrow" w:hAnsi="Arial Narrow" w:cs="Arial"/>
                <w:b/>
                <w:bCs/>
                <w:sz w:val="20"/>
                <w:szCs w:val="20"/>
              </w:rPr>
              <w:br/>
              <w:t>(2018)</w:t>
            </w:r>
          </w:p>
        </w:tc>
        <w:tc>
          <w:tcPr>
            <w:tcW w:w="1168" w:type="dxa"/>
            <w:vAlign w:val="bottom"/>
          </w:tcPr>
          <w:p w:rsidR="00976D04" w:rsidRPr="003112F1" w:rsidRDefault="00976D04" w:rsidP="00072007">
            <w:pPr>
              <w:jc w:val="center"/>
              <w:rPr>
                <w:rFonts w:ascii="Arial Narrow" w:hAnsi="Arial Narrow" w:cs="Arial"/>
                <w:b/>
                <w:bCs/>
                <w:sz w:val="20"/>
                <w:szCs w:val="20"/>
              </w:rPr>
            </w:pPr>
            <w:r w:rsidRPr="003112F1">
              <w:rPr>
                <w:rFonts w:ascii="Arial Narrow" w:hAnsi="Arial Narrow" w:cs="Arial"/>
                <w:b/>
                <w:bCs/>
                <w:sz w:val="20"/>
                <w:szCs w:val="20"/>
              </w:rPr>
              <w:t xml:space="preserve">Year 4 </w:t>
            </w:r>
            <w:r w:rsidRPr="003112F1">
              <w:rPr>
                <w:rFonts w:ascii="Arial Narrow" w:hAnsi="Arial Narrow" w:cs="Arial"/>
                <w:b/>
                <w:bCs/>
                <w:sz w:val="20"/>
                <w:szCs w:val="20"/>
              </w:rPr>
              <w:br/>
              <w:t>(2019)</w:t>
            </w:r>
          </w:p>
        </w:tc>
        <w:tc>
          <w:tcPr>
            <w:tcW w:w="1168" w:type="dxa"/>
            <w:vAlign w:val="bottom"/>
          </w:tcPr>
          <w:p w:rsidR="00976D04" w:rsidRPr="003112F1" w:rsidRDefault="00976D04" w:rsidP="00072007">
            <w:pPr>
              <w:jc w:val="center"/>
              <w:rPr>
                <w:rFonts w:ascii="Arial Narrow" w:hAnsi="Arial Narrow" w:cs="Arial"/>
                <w:b/>
                <w:bCs/>
                <w:sz w:val="20"/>
                <w:szCs w:val="20"/>
              </w:rPr>
            </w:pPr>
            <w:r w:rsidRPr="003112F1">
              <w:rPr>
                <w:rFonts w:ascii="Arial Narrow" w:hAnsi="Arial Narrow" w:cs="Arial"/>
                <w:b/>
                <w:bCs/>
                <w:sz w:val="20"/>
                <w:szCs w:val="20"/>
              </w:rPr>
              <w:t xml:space="preserve">Year 5 </w:t>
            </w:r>
            <w:r w:rsidRPr="003112F1">
              <w:rPr>
                <w:rFonts w:ascii="Arial Narrow" w:hAnsi="Arial Narrow" w:cs="Arial"/>
                <w:b/>
                <w:bCs/>
                <w:sz w:val="20"/>
                <w:szCs w:val="20"/>
              </w:rPr>
              <w:br/>
              <w:t>(2020)</w:t>
            </w:r>
          </w:p>
        </w:tc>
      </w:tr>
      <w:tr w:rsidR="00976D04" w:rsidTr="00295C08">
        <w:tc>
          <w:tcPr>
            <w:tcW w:w="2585" w:type="dxa"/>
            <w:vAlign w:val="bottom"/>
          </w:tcPr>
          <w:p w:rsidR="00976D04" w:rsidRPr="003112F1" w:rsidRDefault="00976D04" w:rsidP="00072007">
            <w:pPr>
              <w:rPr>
                <w:rFonts w:ascii="Arial Narrow" w:hAnsi="Arial Narrow" w:cs="Arial"/>
                <w:sz w:val="20"/>
                <w:szCs w:val="20"/>
              </w:rPr>
            </w:pPr>
            <w:r w:rsidRPr="003112F1">
              <w:rPr>
                <w:rFonts w:ascii="Arial Narrow" w:hAnsi="Arial Narrow" w:cs="Arial"/>
                <w:sz w:val="20"/>
                <w:szCs w:val="20"/>
              </w:rPr>
              <w:t>Estimated number treated with a TKI</w:t>
            </w:r>
          </w:p>
        </w:tc>
        <w:tc>
          <w:tcPr>
            <w:tcW w:w="1168" w:type="dxa"/>
            <w:vAlign w:val="center"/>
          </w:tcPr>
          <w:p w:rsidR="00976D04" w:rsidRPr="00073814" w:rsidRDefault="00073814" w:rsidP="00295C08">
            <w:pPr>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68" w:type="dxa"/>
            <w:vAlign w:val="center"/>
          </w:tcPr>
          <w:p w:rsidR="00976D04" w:rsidRPr="00073814" w:rsidRDefault="00073814" w:rsidP="00295C08">
            <w:pPr>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68" w:type="dxa"/>
            <w:vAlign w:val="center"/>
          </w:tcPr>
          <w:p w:rsidR="00976D04" w:rsidRPr="00073814" w:rsidRDefault="00073814" w:rsidP="00295C08">
            <w:pPr>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68" w:type="dxa"/>
            <w:vAlign w:val="center"/>
          </w:tcPr>
          <w:p w:rsidR="00976D04" w:rsidRPr="00073814" w:rsidRDefault="00073814" w:rsidP="00295C08">
            <w:pPr>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68" w:type="dxa"/>
            <w:vAlign w:val="center"/>
          </w:tcPr>
          <w:p w:rsidR="00976D04" w:rsidRPr="00073814" w:rsidRDefault="00073814" w:rsidP="00295C08">
            <w:pPr>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976D04" w:rsidTr="00295C08">
        <w:tc>
          <w:tcPr>
            <w:tcW w:w="2585" w:type="dxa"/>
            <w:vAlign w:val="bottom"/>
          </w:tcPr>
          <w:p w:rsidR="00976D04" w:rsidRPr="003112F1" w:rsidRDefault="00976D04" w:rsidP="00072007">
            <w:pPr>
              <w:rPr>
                <w:rFonts w:ascii="Arial Narrow" w:hAnsi="Arial Narrow" w:cs="Arial"/>
                <w:sz w:val="20"/>
                <w:szCs w:val="20"/>
              </w:rPr>
            </w:pPr>
            <w:r w:rsidRPr="003112F1">
              <w:rPr>
                <w:rFonts w:ascii="Arial Narrow" w:hAnsi="Arial Narrow" w:cs="Arial"/>
                <w:sz w:val="20"/>
                <w:szCs w:val="20"/>
              </w:rPr>
              <w:t xml:space="preserve">Estimated number treated with </w:t>
            </w:r>
            <w:proofErr w:type="spellStart"/>
            <w:r w:rsidRPr="003112F1">
              <w:rPr>
                <w:rFonts w:ascii="Arial Narrow" w:hAnsi="Arial Narrow" w:cs="Arial"/>
                <w:sz w:val="20"/>
                <w:szCs w:val="20"/>
              </w:rPr>
              <w:t>lenvatinib</w:t>
            </w:r>
            <w:proofErr w:type="spellEnd"/>
          </w:p>
        </w:tc>
        <w:tc>
          <w:tcPr>
            <w:tcW w:w="1168" w:type="dxa"/>
            <w:vAlign w:val="center"/>
          </w:tcPr>
          <w:p w:rsidR="00976D04" w:rsidRPr="00073814" w:rsidRDefault="00073814" w:rsidP="00295C08">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center"/>
          </w:tcPr>
          <w:p w:rsidR="00976D04" w:rsidRPr="00073814" w:rsidRDefault="00073814" w:rsidP="00295C08">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center"/>
          </w:tcPr>
          <w:p w:rsidR="00976D04" w:rsidRPr="00073814" w:rsidRDefault="00073814" w:rsidP="00295C08">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center"/>
          </w:tcPr>
          <w:p w:rsidR="00976D04" w:rsidRPr="00073814" w:rsidRDefault="00073814" w:rsidP="00295C08">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center"/>
          </w:tcPr>
          <w:p w:rsidR="00976D04" w:rsidRPr="00073814" w:rsidRDefault="00073814" w:rsidP="00295C08">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76D04" w:rsidTr="00295C08">
        <w:tc>
          <w:tcPr>
            <w:tcW w:w="2585" w:type="dxa"/>
            <w:vAlign w:val="bottom"/>
          </w:tcPr>
          <w:p w:rsidR="00976D04" w:rsidRPr="003112F1" w:rsidRDefault="00976D04" w:rsidP="00072007">
            <w:pPr>
              <w:rPr>
                <w:rFonts w:ascii="Arial Narrow" w:hAnsi="Arial Narrow" w:cs="Arial"/>
                <w:sz w:val="20"/>
                <w:szCs w:val="20"/>
              </w:rPr>
            </w:pPr>
            <w:r w:rsidRPr="003112F1">
              <w:rPr>
                <w:rFonts w:ascii="Arial Narrow" w:hAnsi="Arial Narrow" w:cs="Arial"/>
                <w:sz w:val="20"/>
                <w:szCs w:val="20"/>
              </w:rPr>
              <w:t xml:space="preserve">Estimated number treated with </w:t>
            </w:r>
            <w:proofErr w:type="spellStart"/>
            <w:r w:rsidRPr="003112F1">
              <w:rPr>
                <w:rFonts w:ascii="Arial Narrow" w:hAnsi="Arial Narrow" w:cs="Arial"/>
                <w:sz w:val="20"/>
                <w:szCs w:val="20"/>
              </w:rPr>
              <w:t>sorafenib</w:t>
            </w:r>
            <w:proofErr w:type="spellEnd"/>
          </w:p>
        </w:tc>
        <w:tc>
          <w:tcPr>
            <w:tcW w:w="1168" w:type="dxa"/>
            <w:vAlign w:val="center"/>
          </w:tcPr>
          <w:p w:rsidR="00976D04" w:rsidRPr="00073814" w:rsidRDefault="00073814" w:rsidP="00295C08">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center"/>
          </w:tcPr>
          <w:p w:rsidR="00976D04" w:rsidRPr="00073814" w:rsidRDefault="00073814" w:rsidP="00295C08">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center"/>
          </w:tcPr>
          <w:p w:rsidR="00976D04" w:rsidRPr="00073814" w:rsidRDefault="00073814" w:rsidP="00295C08">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center"/>
          </w:tcPr>
          <w:p w:rsidR="00976D04" w:rsidRPr="00073814" w:rsidRDefault="00073814" w:rsidP="00295C08">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center"/>
          </w:tcPr>
          <w:p w:rsidR="00976D04" w:rsidRPr="00073814" w:rsidRDefault="00073814" w:rsidP="00295C08">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76D04" w:rsidTr="00072007">
        <w:tc>
          <w:tcPr>
            <w:tcW w:w="8425" w:type="dxa"/>
            <w:gridSpan w:val="6"/>
          </w:tcPr>
          <w:p w:rsidR="00976D04" w:rsidRPr="003112F1" w:rsidRDefault="00976D04" w:rsidP="00072007">
            <w:pPr>
              <w:jc w:val="both"/>
              <w:rPr>
                <w:rFonts w:ascii="Arial Narrow" w:hAnsi="Arial Narrow"/>
                <w:sz w:val="20"/>
                <w:szCs w:val="22"/>
              </w:rPr>
            </w:pPr>
            <w:proofErr w:type="spellStart"/>
            <w:r w:rsidRPr="003112F1">
              <w:rPr>
                <w:rFonts w:ascii="Arial Narrow" w:hAnsi="Arial Narrow"/>
                <w:b/>
                <w:sz w:val="20"/>
                <w:szCs w:val="22"/>
              </w:rPr>
              <w:t>Basecase</w:t>
            </w:r>
            <w:proofErr w:type="spellEnd"/>
            <w:r w:rsidRPr="003112F1">
              <w:rPr>
                <w:rFonts w:ascii="Arial Narrow" w:hAnsi="Arial Narrow"/>
                <w:b/>
                <w:sz w:val="20"/>
                <w:szCs w:val="22"/>
              </w:rPr>
              <w:t xml:space="preserve">: assuming all patients are treated with </w:t>
            </w:r>
            <w:proofErr w:type="spellStart"/>
            <w:r w:rsidRPr="003112F1">
              <w:rPr>
                <w:rFonts w:ascii="Arial Narrow" w:hAnsi="Arial Narrow"/>
                <w:b/>
                <w:sz w:val="20"/>
                <w:szCs w:val="22"/>
              </w:rPr>
              <w:t>lenvatinib</w:t>
            </w:r>
            <w:proofErr w:type="spellEnd"/>
          </w:p>
        </w:tc>
      </w:tr>
      <w:tr w:rsidR="00976D04" w:rsidTr="00E45480">
        <w:tc>
          <w:tcPr>
            <w:tcW w:w="2585" w:type="dxa"/>
            <w:vAlign w:val="bottom"/>
          </w:tcPr>
          <w:p w:rsidR="00976D04" w:rsidRPr="003112F1" w:rsidRDefault="00976D04" w:rsidP="00072007">
            <w:pPr>
              <w:rPr>
                <w:rFonts w:ascii="Arial Narrow" w:hAnsi="Arial Narrow" w:cs="Arial"/>
                <w:sz w:val="20"/>
                <w:szCs w:val="20"/>
              </w:rPr>
            </w:pPr>
            <w:r w:rsidRPr="003112F1">
              <w:rPr>
                <w:rFonts w:ascii="Arial Narrow" w:hAnsi="Arial Narrow" w:cs="Arial"/>
                <w:sz w:val="20"/>
                <w:szCs w:val="20"/>
              </w:rPr>
              <w:t xml:space="preserve">Estimated number treated with </w:t>
            </w:r>
            <w:proofErr w:type="spellStart"/>
            <w:r>
              <w:rPr>
                <w:rFonts w:ascii="Arial Narrow" w:hAnsi="Arial Narrow" w:cs="Arial"/>
                <w:sz w:val="20"/>
                <w:szCs w:val="20"/>
              </w:rPr>
              <w:t>l</w:t>
            </w:r>
            <w:r w:rsidRPr="003112F1">
              <w:rPr>
                <w:rFonts w:ascii="Arial Narrow" w:hAnsi="Arial Narrow" w:cs="Arial"/>
                <w:sz w:val="20"/>
                <w:szCs w:val="20"/>
              </w:rPr>
              <w:t>envatinib</w:t>
            </w:r>
            <w:proofErr w:type="spellEnd"/>
          </w:p>
        </w:tc>
        <w:tc>
          <w:tcPr>
            <w:tcW w:w="1168" w:type="dxa"/>
            <w:vAlign w:val="center"/>
          </w:tcPr>
          <w:p w:rsidR="00976D04" w:rsidRPr="00073814" w:rsidRDefault="00073814" w:rsidP="00E45480">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center"/>
          </w:tcPr>
          <w:p w:rsidR="00976D04" w:rsidRPr="00073814" w:rsidRDefault="00073814" w:rsidP="00E45480">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center"/>
          </w:tcPr>
          <w:p w:rsidR="00976D04" w:rsidRPr="00073814" w:rsidRDefault="00073814" w:rsidP="00E45480">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center"/>
          </w:tcPr>
          <w:p w:rsidR="00976D04" w:rsidRPr="00073814" w:rsidRDefault="00073814" w:rsidP="00E45480">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68" w:type="dxa"/>
            <w:vAlign w:val="center"/>
          </w:tcPr>
          <w:p w:rsidR="00976D04" w:rsidRPr="00073814" w:rsidRDefault="00073814" w:rsidP="00E45480">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76D04" w:rsidTr="00E45480">
        <w:tc>
          <w:tcPr>
            <w:tcW w:w="2585" w:type="dxa"/>
            <w:vAlign w:val="bottom"/>
          </w:tcPr>
          <w:p w:rsidR="00976D04" w:rsidRPr="003112F1" w:rsidRDefault="00976D04" w:rsidP="00072007">
            <w:pPr>
              <w:rPr>
                <w:rFonts w:ascii="Arial Narrow" w:hAnsi="Arial Narrow" w:cs="Arial"/>
                <w:sz w:val="20"/>
                <w:szCs w:val="20"/>
              </w:rPr>
            </w:pPr>
            <w:r w:rsidRPr="003112F1">
              <w:rPr>
                <w:rFonts w:ascii="Arial Narrow" w:hAnsi="Arial Narrow" w:cs="Arial"/>
                <w:sz w:val="20"/>
                <w:szCs w:val="20"/>
              </w:rPr>
              <w:t>Total cost to the PBS</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r>
      <w:tr w:rsidR="00976D04" w:rsidTr="00E45480">
        <w:tc>
          <w:tcPr>
            <w:tcW w:w="2585" w:type="dxa"/>
            <w:vAlign w:val="bottom"/>
          </w:tcPr>
          <w:p w:rsidR="00976D04" w:rsidRPr="003112F1" w:rsidRDefault="00976D04" w:rsidP="00072007">
            <w:pPr>
              <w:rPr>
                <w:rFonts w:ascii="Arial Narrow" w:hAnsi="Arial Narrow" w:cs="Arial"/>
                <w:sz w:val="20"/>
                <w:szCs w:val="20"/>
              </w:rPr>
            </w:pPr>
            <w:r w:rsidRPr="003112F1">
              <w:rPr>
                <w:rFonts w:ascii="Arial Narrow" w:hAnsi="Arial Narrow" w:cs="Arial"/>
                <w:sz w:val="20"/>
                <w:szCs w:val="20"/>
              </w:rPr>
              <w:t xml:space="preserve">Total </w:t>
            </w:r>
            <w:r w:rsidR="008D1400" w:rsidRPr="003112F1">
              <w:rPr>
                <w:rFonts w:ascii="Arial Narrow" w:hAnsi="Arial Narrow" w:cs="Arial"/>
                <w:sz w:val="20"/>
                <w:szCs w:val="20"/>
              </w:rPr>
              <w:t>Co-payment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r>
      <w:tr w:rsidR="00976D04" w:rsidTr="00E45480">
        <w:tc>
          <w:tcPr>
            <w:tcW w:w="2585" w:type="dxa"/>
            <w:vAlign w:val="bottom"/>
          </w:tcPr>
          <w:p w:rsidR="00976D04" w:rsidRPr="00976D04" w:rsidRDefault="00976D04" w:rsidP="00072007">
            <w:pPr>
              <w:rPr>
                <w:rFonts w:ascii="Arial Narrow" w:hAnsi="Arial Narrow" w:cs="Arial"/>
                <w:b/>
                <w:sz w:val="20"/>
                <w:szCs w:val="20"/>
              </w:rPr>
            </w:pPr>
            <w:r w:rsidRPr="00976D04">
              <w:rPr>
                <w:rFonts w:ascii="Arial Narrow" w:hAnsi="Arial Narrow" w:cs="Arial"/>
                <w:b/>
                <w:sz w:val="20"/>
                <w:szCs w:val="20"/>
              </w:rPr>
              <w:t>Total net cost to the PBS</w:t>
            </w:r>
          </w:p>
        </w:tc>
        <w:tc>
          <w:tcPr>
            <w:tcW w:w="1168" w:type="dxa"/>
            <w:vAlign w:val="center"/>
          </w:tcPr>
          <w:p w:rsidR="00976D04" w:rsidRPr="00976D04" w:rsidRDefault="00976D04" w:rsidP="00E45480">
            <w:pPr>
              <w:jc w:val="right"/>
              <w:rPr>
                <w:rFonts w:ascii="Arial Narrow" w:hAnsi="Arial Narrow" w:cs="Arial"/>
                <w:b/>
                <w:sz w:val="20"/>
                <w:szCs w:val="20"/>
              </w:rPr>
            </w:pPr>
            <w:r>
              <w:rPr>
                <w:rFonts w:ascii="Arial Narrow" w:hAnsi="Arial Narrow" w:cs="Arial"/>
                <w:b/>
                <w:sz w:val="20"/>
                <w:szCs w:val="20"/>
              </w:rPr>
              <w:t>$</w:t>
            </w:r>
            <w:r w:rsidR="00073814">
              <w:rPr>
                <w:rFonts w:ascii="Arial Narrow" w:hAnsi="Arial Narrow" w:cs="Arial"/>
                <w:b/>
                <w:noProof/>
                <w:color w:val="000000"/>
                <w:sz w:val="20"/>
                <w:szCs w:val="20"/>
                <w:highlight w:val="black"/>
              </w:rPr>
              <w:t>'''''''''''''''''''</w:t>
            </w:r>
          </w:p>
        </w:tc>
        <w:tc>
          <w:tcPr>
            <w:tcW w:w="1168" w:type="dxa"/>
            <w:vAlign w:val="center"/>
          </w:tcPr>
          <w:p w:rsidR="00976D04" w:rsidRPr="00976D04" w:rsidRDefault="00976D04" w:rsidP="00E45480">
            <w:pPr>
              <w:jc w:val="right"/>
              <w:rPr>
                <w:rFonts w:ascii="Arial Narrow" w:hAnsi="Arial Narrow" w:cs="Arial"/>
                <w:b/>
                <w:sz w:val="20"/>
                <w:szCs w:val="20"/>
              </w:rPr>
            </w:pPr>
            <w:r>
              <w:rPr>
                <w:rFonts w:ascii="Arial Narrow" w:hAnsi="Arial Narrow" w:cs="Arial"/>
                <w:b/>
                <w:sz w:val="20"/>
                <w:szCs w:val="20"/>
              </w:rPr>
              <w:t>$</w:t>
            </w:r>
            <w:r w:rsidR="00073814">
              <w:rPr>
                <w:rFonts w:ascii="Arial Narrow" w:hAnsi="Arial Narrow" w:cs="Arial"/>
                <w:b/>
                <w:noProof/>
                <w:color w:val="000000"/>
                <w:sz w:val="20"/>
                <w:szCs w:val="20"/>
                <w:highlight w:val="black"/>
              </w:rPr>
              <w:t>'''''''''''''''''''</w:t>
            </w:r>
          </w:p>
        </w:tc>
        <w:tc>
          <w:tcPr>
            <w:tcW w:w="1168" w:type="dxa"/>
            <w:vAlign w:val="center"/>
          </w:tcPr>
          <w:p w:rsidR="00976D04" w:rsidRPr="00976D04" w:rsidRDefault="00976D04" w:rsidP="00E45480">
            <w:pPr>
              <w:jc w:val="right"/>
              <w:rPr>
                <w:rFonts w:ascii="Arial Narrow" w:hAnsi="Arial Narrow" w:cs="Arial"/>
                <w:b/>
                <w:sz w:val="20"/>
                <w:szCs w:val="20"/>
              </w:rPr>
            </w:pPr>
            <w:r>
              <w:rPr>
                <w:rFonts w:ascii="Arial Narrow" w:hAnsi="Arial Narrow" w:cs="Arial"/>
                <w:b/>
                <w:sz w:val="20"/>
                <w:szCs w:val="20"/>
              </w:rPr>
              <w:t>$</w:t>
            </w:r>
            <w:r w:rsidR="00073814">
              <w:rPr>
                <w:rFonts w:ascii="Arial Narrow" w:hAnsi="Arial Narrow" w:cs="Arial"/>
                <w:b/>
                <w:noProof/>
                <w:color w:val="000000"/>
                <w:sz w:val="20"/>
                <w:szCs w:val="20"/>
                <w:highlight w:val="black"/>
              </w:rPr>
              <w:t>''''''''''''''''''</w:t>
            </w:r>
          </w:p>
        </w:tc>
        <w:tc>
          <w:tcPr>
            <w:tcW w:w="1168" w:type="dxa"/>
            <w:vAlign w:val="center"/>
          </w:tcPr>
          <w:p w:rsidR="00976D04" w:rsidRPr="00976D04" w:rsidRDefault="00976D04" w:rsidP="00E45480">
            <w:pPr>
              <w:jc w:val="right"/>
              <w:rPr>
                <w:rFonts w:ascii="Arial Narrow" w:hAnsi="Arial Narrow" w:cs="Arial"/>
                <w:b/>
                <w:sz w:val="20"/>
                <w:szCs w:val="20"/>
              </w:rPr>
            </w:pPr>
            <w:r>
              <w:rPr>
                <w:rFonts w:ascii="Arial Narrow" w:hAnsi="Arial Narrow" w:cs="Arial"/>
                <w:b/>
                <w:sz w:val="20"/>
                <w:szCs w:val="20"/>
              </w:rPr>
              <w:t>$</w:t>
            </w:r>
            <w:r w:rsidR="00073814">
              <w:rPr>
                <w:rFonts w:ascii="Arial Narrow" w:hAnsi="Arial Narrow" w:cs="Arial"/>
                <w:b/>
                <w:noProof/>
                <w:color w:val="000000"/>
                <w:sz w:val="20"/>
                <w:szCs w:val="20"/>
                <w:highlight w:val="black"/>
              </w:rPr>
              <w:t>''''''''''''''''''''</w:t>
            </w:r>
          </w:p>
        </w:tc>
        <w:tc>
          <w:tcPr>
            <w:tcW w:w="1168" w:type="dxa"/>
            <w:vAlign w:val="center"/>
          </w:tcPr>
          <w:p w:rsidR="00976D04" w:rsidRPr="00976D04" w:rsidRDefault="00976D04" w:rsidP="00E45480">
            <w:pPr>
              <w:jc w:val="right"/>
              <w:rPr>
                <w:rFonts w:ascii="Arial Narrow" w:hAnsi="Arial Narrow" w:cs="Arial"/>
                <w:b/>
                <w:sz w:val="20"/>
                <w:szCs w:val="20"/>
              </w:rPr>
            </w:pPr>
            <w:r>
              <w:rPr>
                <w:rFonts w:ascii="Arial Narrow" w:hAnsi="Arial Narrow" w:cs="Arial"/>
                <w:b/>
                <w:sz w:val="20"/>
                <w:szCs w:val="20"/>
              </w:rPr>
              <w:t>$</w:t>
            </w:r>
            <w:r w:rsidR="00073814">
              <w:rPr>
                <w:rFonts w:ascii="Arial Narrow" w:hAnsi="Arial Narrow" w:cs="Arial"/>
                <w:b/>
                <w:noProof/>
                <w:color w:val="000000"/>
                <w:sz w:val="20"/>
                <w:szCs w:val="20"/>
                <w:highlight w:val="black"/>
              </w:rPr>
              <w:t>'''''''''''''''''''''</w:t>
            </w:r>
          </w:p>
        </w:tc>
      </w:tr>
      <w:tr w:rsidR="00976D04" w:rsidTr="00E45480">
        <w:tc>
          <w:tcPr>
            <w:tcW w:w="2585" w:type="dxa"/>
            <w:vAlign w:val="bottom"/>
          </w:tcPr>
          <w:p w:rsidR="00976D04" w:rsidRPr="003112F1" w:rsidRDefault="00976D04" w:rsidP="00072007">
            <w:pPr>
              <w:rPr>
                <w:rFonts w:ascii="Arial Narrow" w:hAnsi="Arial Narrow" w:cs="Arial"/>
                <w:sz w:val="20"/>
                <w:szCs w:val="20"/>
              </w:rPr>
            </w:pPr>
            <w:r w:rsidRPr="003112F1">
              <w:rPr>
                <w:rFonts w:ascii="Arial Narrow" w:hAnsi="Arial Narrow" w:cs="Arial"/>
                <w:sz w:val="20"/>
                <w:szCs w:val="20"/>
              </w:rPr>
              <w:t>Total net cost to the PBS</w:t>
            </w:r>
            <w:r>
              <w:rPr>
                <w:rFonts w:ascii="Arial Narrow" w:hAnsi="Arial Narrow" w:cs="Arial"/>
                <w:sz w:val="20"/>
                <w:szCs w:val="20"/>
              </w:rPr>
              <w:t xml:space="preserve"> (March 2016)</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c>
          <w:tcPr>
            <w:tcW w:w="1168" w:type="dxa"/>
            <w:vAlign w:val="center"/>
          </w:tcPr>
          <w:p w:rsidR="00976D04" w:rsidRPr="003112F1" w:rsidRDefault="00976D04" w:rsidP="00E45480">
            <w:pPr>
              <w:jc w:val="right"/>
              <w:rPr>
                <w:rFonts w:ascii="Arial Narrow" w:hAnsi="Arial Narrow" w:cs="Arial"/>
                <w:sz w:val="20"/>
                <w:szCs w:val="20"/>
              </w:rPr>
            </w:pPr>
            <w:r w:rsidRPr="003112F1">
              <w:rPr>
                <w:rFonts w:ascii="Arial Narrow" w:hAnsi="Arial Narrow" w:cs="Arial"/>
                <w:sz w:val="20"/>
                <w:szCs w:val="20"/>
              </w:rPr>
              <w:t>$</w:t>
            </w:r>
            <w:r w:rsidR="00073814">
              <w:rPr>
                <w:rFonts w:ascii="Arial Narrow" w:hAnsi="Arial Narrow" w:cs="Arial"/>
                <w:noProof/>
                <w:color w:val="000000"/>
                <w:sz w:val="20"/>
                <w:szCs w:val="20"/>
                <w:highlight w:val="black"/>
              </w:rPr>
              <w:t>''''''''''''''''''''''</w:t>
            </w:r>
          </w:p>
        </w:tc>
      </w:tr>
    </w:tbl>
    <w:p w:rsidR="00976D04" w:rsidRPr="004F5935" w:rsidRDefault="00B43615" w:rsidP="004F5935">
      <w:pPr>
        <w:jc w:val="both"/>
        <w:rPr>
          <w:rFonts w:ascii="Arial Narrow" w:hAnsi="Arial Narrow" w:cs="Arial"/>
          <w:bCs/>
          <w:sz w:val="18"/>
          <w:szCs w:val="22"/>
        </w:rPr>
      </w:pPr>
      <w:r>
        <w:rPr>
          <w:rFonts w:ascii="Arial" w:hAnsi="Arial" w:cs="Arial"/>
          <w:bCs/>
          <w:sz w:val="22"/>
          <w:szCs w:val="22"/>
        </w:rPr>
        <w:tab/>
      </w:r>
      <w:r w:rsidRPr="00F54F90">
        <w:rPr>
          <w:rFonts w:ascii="Arial Narrow" w:hAnsi="Arial Narrow" w:cs="Arial"/>
          <w:bCs/>
          <w:sz w:val="18"/>
          <w:szCs w:val="22"/>
        </w:rPr>
        <w:t>Source: Sec</w:t>
      </w:r>
      <w:r>
        <w:rPr>
          <w:rFonts w:ascii="Arial Narrow" w:hAnsi="Arial Narrow" w:cs="Arial"/>
          <w:bCs/>
          <w:sz w:val="18"/>
          <w:szCs w:val="22"/>
        </w:rPr>
        <w:t>tion E excel spreadsheet of the sponsor’s proposal</w:t>
      </w:r>
    </w:p>
    <w:p w:rsidR="00CB1A1D" w:rsidRDefault="00CB1A1D" w:rsidP="00C27B58">
      <w:pPr>
        <w:pStyle w:val="NoSpacing"/>
      </w:pPr>
    </w:p>
    <w:p w:rsidR="006E5A36" w:rsidRPr="004C402D" w:rsidRDefault="006E5A36" w:rsidP="00575A4A">
      <w:pPr>
        <w:ind w:left="709"/>
        <w:rPr>
          <w:rFonts w:ascii="Arial" w:hAnsi="Arial" w:cs="Arial"/>
          <w:b/>
          <w:i/>
          <w:sz w:val="22"/>
          <w:szCs w:val="22"/>
        </w:rPr>
      </w:pPr>
      <w:r w:rsidRPr="004C402D">
        <w:rPr>
          <w:rFonts w:ascii="Arial" w:hAnsi="Arial" w:cs="Arial"/>
          <w:sz w:val="22"/>
          <w:szCs w:val="22"/>
        </w:rPr>
        <w:t xml:space="preserve">The redacted table shows that at year 5, the estimated number of patients treated with </w:t>
      </w:r>
      <w:proofErr w:type="spellStart"/>
      <w:r w:rsidRPr="004C402D">
        <w:rPr>
          <w:rFonts w:ascii="Arial" w:hAnsi="Arial" w:cs="Arial"/>
          <w:sz w:val="22"/>
          <w:szCs w:val="22"/>
        </w:rPr>
        <w:t>lenvatinib</w:t>
      </w:r>
      <w:proofErr w:type="spellEnd"/>
      <w:r w:rsidRPr="004C402D">
        <w:rPr>
          <w:rFonts w:ascii="Arial" w:hAnsi="Arial" w:cs="Arial"/>
          <w:sz w:val="22"/>
          <w:szCs w:val="22"/>
        </w:rPr>
        <w:t xml:space="preserve"> would be less than 10,000 per year, and the net cost to the PBS would be less than $10 million per year.</w:t>
      </w:r>
    </w:p>
    <w:p w:rsidR="006E5A36" w:rsidRPr="006E5A36" w:rsidRDefault="006E5A36" w:rsidP="006E5A36"/>
    <w:p w:rsidR="006636DA" w:rsidRPr="00575A4A" w:rsidRDefault="006636DA" w:rsidP="00575A4A">
      <w:pPr>
        <w:pStyle w:val="Heading2"/>
      </w:pPr>
      <w:r w:rsidRPr="00575A4A">
        <w:t>Risk Sharing Arrangements</w:t>
      </w:r>
    </w:p>
    <w:p w:rsidR="006636DA" w:rsidRDefault="006636DA" w:rsidP="00C27B58">
      <w:pPr>
        <w:pStyle w:val="NoSpacing"/>
      </w:pPr>
    </w:p>
    <w:p w:rsidR="006636DA" w:rsidRDefault="006636DA" w:rsidP="00FF515D">
      <w:pPr>
        <w:pStyle w:val="ListParagraph"/>
        <w:widowControl/>
        <w:numPr>
          <w:ilvl w:val="1"/>
          <w:numId w:val="5"/>
        </w:numPr>
      </w:pPr>
      <w:r>
        <w:t xml:space="preserve">The sponsor has proposed a Risk Sharing Arrangement (RSA) </w:t>
      </w:r>
      <w:r w:rsidR="00836BC6">
        <w:t>in the form of</w:t>
      </w:r>
      <w:r>
        <w:t xml:space="preserve"> a</w:t>
      </w:r>
      <w:r w:rsidR="00A227F3">
        <w:t xml:space="preserve"> financial</w:t>
      </w:r>
      <w:r>
        <w:t xml:space="preserve"> cap consistent with the estimated use</w:t>
      </w:r>
      <w:r w:rsidR="00836BC6">
        <w:t xml:space="preserve"> presented in Table 1</w:t>
      </w:r>
      <w:r>
        <w:t xml:space="preserve">, </w:t>
      </w:r>
      <w:r w:rsidR="00FF515D">
        <w:t xml:space="preserve">with a </w:t>
      </w:r>
      <w:r w:rsidR="00073814">
        <w:rPr>
          <w:noProof/>
          <w:color w:val="000000"/>
          <w:highlight w:val="black"/>
        </w:rPr>
        <w:t>''''''</w:t>
      </w:r>
      <w:r w:rsidR="00FF515D">
        <w:t xml:space="preserve">% rebate </w:t>
      </w:r>
      <w:r w:rsidR="0003267D">
        <w:t>paid to the Commonwealth for utilisation above the cap.</w:t>
      </w:r>
    </w:p>
    <w:p w:rsidR="00FA7D0E" w:rsidRPr="00C27B58" w:rsidRDefault="00FA7D0E" w:rsidP="00295C08">
      <w:pPr>
        <w:pStyle w:val="NoSpacing"/>
        <w:spacing w:line="480" w:lineRule="auto"/>
      </w:pPr>
    </w:p>
    <w:p w:rsidR="00962223" w:rsidRPr="00962223" w:rsidRDefault="006A12A5" w:rsidP="00575A4A">
      <w:pPr>
        <w:pStyle w:val="Heading1"/>
      </w:pPr>
      <w:r w:rsidRPr="004A2484">
        <w:t>Requested listing</w:t>
      </w:r>
    </w:p>
    <w:p w:rsidR="006A12A5" w:rsidRPr="00882085" w:rsidRDefault="006A12A5" w:rsidP="00882085">
      <w:pPr>
        <w:jc w:val="both"/>
        <w:rPr>
          <w:rFonts w:ascii="Arial" w:hAnsi="Arial"/>
          <w:b/>
          <w:sz w:val="22"/>
          <w:szCs w:val="22"/>
        </w:rPr>
      </w:pPr>
    </w:p>
    <w:p w:rsidR="002F731D" w:rsidRDefault="00A10F6A" w:rsidP="00786775">
      <w:pPr>
        <w:pStyle w:val="ListParagraph"/>
        <w:numPr>
          <w:ilvl w:val="1"/>
          <w:numId w:val="5"/>
        </w:numPr>
        <w:rPr>
          <w:szCs w:val="22"/>
        </w:rPr>
      </w:pPr>
      <w:r>
        <w:rPr>
          <w:szCs w:val="22"/>
        </w:rPr>
        <w:t xml:space="preserve">The sponsor has requested the PBAC to reconsider the criterion in the continuing restriction that states that patients must have stable or responding disease according to RECIST, as the sponsor states that this is not normal clinical practice, and would require additional expertise and resources. </w:t>
      </w:r>
      <w:r w:rsidR="00A227F3">
        <w:rPr>
          <w:szCs w:val="22"/>
        </w:rPr>
        <w:t>However, the sponsor is willing to accept inclusion of this criterion if the PBAC consider it necessary.</w:t>
      </w:r>
    </w:p>
    <w:p w:rsidR="00A6483C" w:rsidRDefault="00A6483C" w:rsidP="00826F6D">
      <w:pPr>
        <w:pStyle w:val="ListParagraph"/>
        <w:rPr>
          <w:szCs w:val="22"/>
        </w:rPr>
      </w:pPr>
    </w:p>
    <w:p w:rsidR="002F731D" w:rsidRPr="001A40FF" w:rsidRDefault="00005F9F" w:rsidP="00786775">
      <w:pPr>
        <w:pStyle w:val="ListParagraph"/>
        <w:numPr>
          <w:ilvl w:val="1"/>
          <w:numId w:val="5"/>
        </w:numPr>
        <w:rPr>
          <w:szCs w:val="22"/>
        </w:rPr>
      </w:pPr>
      <w:r>
        <w:rPr>
          <w:szCs w:val="22"/>
        </w:rPr>
        <w:t>The PBAC note</w:t>
      </w:r>
      <w:r w:rsidR="00096CC8">
        <w:rPr>
          <w:szCs w:val="22"/>
        </w:rPr>
        <w:t>d</w:t>
      </w:r>
      <w:r>
        <w:rPr>
          <w:szCs w:val="22"/>
        </w:rPr>
        <w:t xml:space="preserve"> the sponsor</w:t>
      </w:r>
      <w:r w:rsidR="00096CC8">
        <w:rPr>
          <w:szCs w:val="22"/>
        </w:rPr>
        <w:t>’s</w:t>
      </w:r>
      <w:r>
        <w:rPr>
          <w:szCs w:val="22"/>
        </w:rPr>
        <w:t xml:space="preserve"> </w:t>
      </w:r>
      <w:r w:rsidR="00096CC8">
        <w:rPr>
          <w:szCs w:val="22"/>
        </w:rPr>
        <w:t>request</w:t>
      </w:r>
      <w:r>
        <w:rPr>
          <w:szCs w:val="22"/>
        </w:rPr>
        <w:t xml:space="preserve"> that patients on their compassionate access program</w:t>
      </w:r>
      <w:r w:rsidR="008C2738">
        <w:rPr>
          <w:szCs w:val="22"/>
        </w:rPr>
        <w:t>s</w:t>
      </w:r>
      <w:r>
        <w:rPr>
          <w:szCs w:val="22"/>
        </w:rPr>
        <w:t xml:space="preserve"> be grandfathered on to the PBS.</w:t>
      </w:r>
      <w:r w:rsidR="008C2738">
        <w:rPr>
          <w:szCs w:val="22"/>
        </w:rPr>
        <w:t xml:space="preserve"> As per the sponsor’s proposal, there are 49 patients on treatment through the programs as of 24 April 2016.</w:t>
      </w:r>
    </w:p>
    <w:p w:rsidR="00E45480" w:rsidRDefault="00E45480">
      <w:pPr>
        <w:rPr>
          <w:rFonts w:ascii="Arial" w:hAnsi="Arial" w:cs="Arial"/>
          <w:b/>
          <w:bCs/>
          <w:snapToGrid w:val="0"/>
          <w:sz w:val="22"/>
          <w:szCs w:val="20"/>
          <w:lang w:eastAsia="en-US"/>
        </w:rPr>
      </w:pPr>
      <w:r>
        <w:rPr>
          <w:bCs/>
          <w:szCs w:val="20"/>
        </w:rPr>
        <w:br w:type="page"/>
      </w:r>
    </w:p>
    <w:p w:rsidR="0000796C" w:rsidRPr="00555736" w:rsidRDefault="0000796C" w:rsidP="00575A4A">
      <w:pPr>
        <w:pStyle w:val="Heading1"/>
      </w:pPr>
      <w:r w:rsidRPr="00555736">
        <w:t>PBAC Outcome</w:t>
      </w:r>
    </w:p>
    <w:p w:rsidR="0000796C" w:rsidRPr="00555736" w:rsidRDefault="0000796C" w:rsidP="0000796C">
      <w:pPr>
        <w:widowControl w:val="0"/>
        <w:jc w:val="both"/>
        <w:rPr>
          <w:rFonts w:ascii="Arial" w:hAnsi="Arial" w:cs="Arial"/>
          <w:b/>
          <w:bCs/>
          <w:snapToGrid w:val="0"/>
          <w:sz w:val="22"/>
          <w:szCs w:val="20"/>
          <w:lang w:val="en-GB"/>
        </w:rPr>
      </w:pPr>
    </w:p>
    <w:p w:rsidR="0000796C" w:rsidRDefault="00555736" w:rsidP="0000796C">
      <w:pPr>
        <w:widowControl w:val="0"/>
        <w:numPr>
          <w:ilvl w:val="1"/>
          <w:numId w:val="5"/>
        </w:numPr>
        <w:jc w:val="both"/>
        <w:rPr>
          <w:rFonts w:ascii="Arial" w:hAnsi="Arial" w:cs="Arial"/>
          <w:bCs/>
          <w:snapToGrid w:val="0"/>
          <w:sz w:val="22"/>
          <w:szCs w:val="20"/>
          <w:lang w:val="en-GB"/>
        </w:rPr>
      </w:pPr>
      <w:r>
        <w:rPr>
          <w:rFonts w:ascii="Arial" w:hAnsi="Arial" w:cs="Arial"/>
          <w:bCs/>
          <w:snapToGrid w:val="0"/>
          <w:sz w:val="22"/>
          <w:szCs w:val="20"/>
          <w:lang w:val="en-GB"/>
        </w:rPr>
        <w:t xml:space="preserve">The PBAC recommended the listing of </w:t>
      </w:r>
      <w:proofErr w:type="spellStart"/>
      <w:r>
        <w:rPr>
          <w:rFonts w:ascii="Arial" w:hAnsi="Arial" w:cs="Arial"/>
          <w:bCs/>
          <w:snapToGrid w:val="0"/>
          <w:sz w:val="22"/>
          <w:szCs w:val="20"/>
          <w:lang w:val="en-GB"/>
        </w:rPr>
        <w:t>lenvatinib</w:t>
      </w:r>
      <w:proofErr w:type="spellEnd"/>
      <w:r>
        <w:rPr>
          <w:rFonts w:ascii="Arial" w:hAnsi="Arial" w:cs="Arial"/>
          <w:bCs/>
          <w:snapToGrid w:val="0"/>
          <w:sz w:val="22"/>
          <w:szCs w:val="20"/>
          <w:lang w:val="en-GB"/>
        </w:rPr>
        <w:t xml:space="preserve"> for the treatment of radioactive iodine refractory differentiated thyroid carcinoma (RAI-R DTC) on the basis of acceptable cost effectiveness over </w:t>
      </w:r>
      <w:r w:rsidR="00567C45">
        <w:rPr>
          <w:rFonts w:ascii="Arial" w:hAnsi="Arial" w:cs="Arial"/>
          <w:bCs/>
          <w:snapToGrid w:val="0"/>
          <w:sz w:val="22"/>
          <w:szCs w:val="20"/>
          <w:lang w:val="en-GB"/>
        </w:rPr>
        <w:t>best supportive care (BSC)</w:t>
      </w:r>
      <w:r>
        <w:rPr>
          <w:rFonts w:ascii="Arial" w:hAnsi="Arial" w:cs="Arial"/>
          <w:bCs/>
          <w:snapToGrid w:val="0"/>
          <w:sz w:val="22"/>
          <w:szCs w:val="20"/>
          <w:lang w:val="en-GB"/>
        </w:rPr>
        <w:t xml:space="preserve">. </w:t>
      </w:r>
    </w:p>
    <w:p w:rsidR="00000B61" w:rsidRDefault="00000B61" w:rsidP="00000B61">
      <w:pPr>
        <w:widowControl w:val="0"/>
        <w:ind w:left="720"/>
        <w:jc w:val="both"/>
        <w:rPr>
          <w:rFonts w:ascii="Arial" w:hAnsi="Arial" w:cs="Arial"/>
          <w:bCs/>
          <w:snapToGrid w:val="0"/>
          <w:sz w:val="22"/>
          <w:szCs w:val="20"/>
          <w:lang w:val="en-GB"/>
        </w:rPr>
      </w:pPr>
    </w:p>
    <w:p w:rsidR="005A5CF4" w:rsidRDefault="005A5CF4" w:rsidP="0000796C">
      <w:pPr>
        <w:widowControl w:val="0"/>
        <w:numPr>
          <w:ilvl w:val="1"/>
          <w:numId w:val="5"/>
        </w:numPr>
        <w:jc w:val="both"/>
        <w:rPr>
          <w:rFonts w:ascii="Arial" w:hAnsi="Arial" w:cs="Arial"/>
          <w:bCs/>
          <w:snapToGrid w:val="0"/>
          <w:sz w:val="22"/>
          <w:szCs w:val="20"/>
          <w:lang w:val="en-GB"/>
        </w:rPr>
      </w:pPr>
      <w:r>
        <w:rPr>
          <w:rFonts w:ascii="Arial" w:hAnsi="Arial" w:cs="Arial"/>
          <w:bCs/>
          <w:snapToGrid w:val="0"/>
          <w:sz w:val="22"/>
          <w:szCs w:val="20"/>
          <w:lang w:val="en-GB"/>
        </w:rPr>
        <w:t xml:space="preserve">The PBAC </w:t>
      </w:r>
      <w:r w:rsidR="000638CB">
        <w:rPr>
          <w:rFonts w:ascii="Arial" w:hAnsi="Arial" w:cs="Arial"/>
          <w:bCs/>
          <w:snapToGrid w:val="0"/>
          <w:sz w:val="22"/>
          <w:szCs w:val="20"/>
          <w:lang w:val="en-GB"/>
        </w:rPr>
        <w:t>considered the</w:t>
      </w:r>
      <w:r w:rsidR="00860AF5">
        <w:rPr>
          <w:rFonts w:ascii="Arial" w:hAnsi="Arial" w:cs="Arial"/>
          <w:bCs/>
          <w:snapToGrid w:val="0"/>
          <w:sz w:val="22"/>
          <w:szCs w:val="20"/>
          <w:lang w:val="en-GB"/>
        </w:rPr>
        <w:t xml:space="preserve"> new price offer resulted in</w:t>
      </w:r>
      <w:r w:rsidR="00F579A4">
        <w:rPr>
          <w:rFonts w:ascii="Arial" w:hAnsi="Arial" w:cs="Arial"/>
          <w:bCs/>
          <w:snapToGrid w:val="0"/>
          <w:sz w:val="22"/>
          <w:szCs w:val="20"/>
          <w:lang w:val="en-GB"/>
        </w:rPr>
        <w:t xml:space="preserve"> an ICER that is acceptably cost-effective for the eligible patient population.</w:t>
      </w:r>
    </w:p>
    <w:p w:rsidR="00567C45" w:rsidRPr="00567C45" w:rsidRDefault="00567C45" w:rsidP="00295C08">
      <w:pPr>
        <w:widowControl w:val="0"/>
        <w:ind w:left="720"/>
        <w:jc w:val="both"/>
        <w:rPr>
          <w:lang w:val="en-GB"/>
        </w:rPr>
      </w:pPr>
    </w:p>
    <w:p w:rsidR="0000796C" w:rsidRDefault="006A05D3" w:rsidP="006A05D3">
      <w:pPr>
        <w:widowControl w:val="0"/>
        <w:numPr>
          <w:ilvl w:val="1"/>
          <w:numId w:val="5"/>
        </w:numPr>
        <w:jc w:val="both"/>
        <w:rPr>
          <w:rFonts w:ascii="Arial" w:hAnsi="Arial" w:cs="Arial"/>
          <w:bCs/>
          <w:snapToGrid w:val="0"/>
          <w:sz w:val="22"/>
          <w:szCs w:val="20"/>
          <w:lang w:val="en-GB"/>
        </w:rPr>
      </w:pPr>
      <w:r w:rsidRPr="006A05D3">
        <w:rPr>
          <w:rFonts w:ascii="Arial" w:hAnsi="Arial" w:cs="Arial"/>
          <w:bCs/>
          <w:snapToGrid w:val="0"/>
          <w:sz w:val="22"/>
          <w:szCs w:val="20"/>
          <w:lang w:val="en-GB"/>
        </w:rPr>
        <w:t xml:space="preserve">The PBAC considered that the restriction, as previously recommended, should be consistent with what the PBAC had previously advised in its consideration of </w:t>
      </w:r>
      <w:proofErr w:type="spellStart"/>
      <w:r w:rsidRPr="006A05D3">
        <w:rPr>
          <w:rFonts w:ascii="Arial" w:hAnsi="Arial" w:cs="Arial"/>
          <w:bCs/>
          <w:snapToGrid w:val="0"/>
          <w:sz w:val="22"/>
          <w:szCs w:val="20"/>
          <w:lang w:val="en-GB"/>
        </w:rPr>
        <w:t>sorafenib</w:t>
      </w:r>
      <w:proofErr w:type="spellEnd"/>
      <w:r w:rsidRPr="006A05D3">
        <w:rPr>
          <w:rFonts w:ascii="Arial" w:hAnsi="Arial" w:cs="Arial"/>
          <w:bCs/>
          <w:snapToGrid w:val="0"/>
          <w:sz w:val="22"/>
          <w:szCs w:val="20"/>
          <w:lang w:val="en-GB"/>
        </w:rPr>
        <w:t xml:space="preserve"> for RAI-R DTC (refer to </w:t>
      </w:r>
      <w:proofErr w:type="spellStart"/>
      <w:r w:rsidRPr="006A05D3">
        <w:rPr>
          <w:rFonts w:ascii="Arial" w:hAnsi="Arial" w:cs="Arial"/>
          <w:bCs/>
          <w:snapToGrid w:val="0"/>
          <w:sz w:val="22"/>
          <w:szCs w:val="20"/>
          <w:lang w:val="en-GB"/>
        </w:rPr>
        <w:t>Sorafenib</w:t>
      </w:r>
      <w:proofErr w:type="spellEnd"/>
      <w:r w:rsidRPr="006A05D3">
        <w:rPr>
          <w:rFonts w:ascii="Arial" w:hAnsi="Arial" w:cs="Arial"/>
          <w:bCs/>
          <w:snapToGrid w:val="0"/>
          <w:sz w:val="22"/>
          <w:szCs w:val="20"/>
          <w:lang w:val="en-GB"/>
        </w:rPr>
        <w:t>, Public Summary Document, March 2015), including restricting to patients who have symptomatic progressive disease prior to treatment, or progressive disease at critical sites with a high risk of morbidity or mortality if progression continues and where local control cannot be achieved by other measures, and using the RECIST criteria to assess response for continuing therapy.</w:t>
      </w:r>
    </w:p>
    <w:p w:rsidR="006A05D3" w:rsidRPr="006A05D3" w:rsidRDefault="006A05D3" w:rsidP="006A05D3">
      <w:pPr>
        <w:widowControl w:val="0"/>
        <w:ind w:left="720"/>
        <w:jc w:val="both"/>
        <w:rPr>
          <w:rFonts w:ascii="Arial" w:hAnsi="Arial" w:cs="Arial"/>
          <w:bCs/>
          <w:snapToGrid w:val="0"/>
          <w:sz w:val="22"/>
          <w:szCs w:val="20"/>
          <w:lang w:val="en-GB"/>
        </w:rPr>
      </w:pPr>
    </w:p>
    <w:p w:rsidR="0000796C" w:rsidRDefault="00F579A4" w:rsidP="0000796C">
      <w:pPr>
        <w:widowControl w:val="0"/>
        <w:numPr>
          <w:ilvl w:val="1"/>
          <w:numId w:val="5"/>
        </w:numPr>
        <w:jc w:val="both"/>
        <w:rPr>
          <w:rFonts w:ascii="Arial" w:hAnsi="Arial" w:cs="Arial"/>
          <w:bCs/>
          <w:snapToGrid w:val="0"/>
          <w:sz w:val="22"/>
          <w:szCs w:val="20"/>
          <w:lang w:val="en-GB"/>
        </w:rPr>
      </w:pPr>
      <w:r>
        <w:rPr>
          <w:rFonts w:ascii="Arial" w:hAnsi="Arial" w:cs="Arial"/>
          <w:bCs/>
          <w:snapToGrid w:val="0"/>
          <w:sz w:val="22"/>
          <w:szCs w:val="20"/>
          <w:lang w:val="en-GB"/>
        </w:rPr>
        <w:t>The PBAC considered that the patient estimates were reflective of current Australian situation and</w:t>
      </w:r>
      <w:r w:rsidR="003444A7">
        <w:rPr>
          <w:rFonts w:ascii="Arial" w:hAnsi="Arial" w:cs="Arial"/>
          <w:bCs/>
          <w:snapToGrid w:val="0"/>
          <w:sz w:val="22"/>
          <w:szCs w:val="20"/>
          <w:lang w:val="en-GB"/>
        </w:rPr>
        <w:t xml:space="preserve"> a reasonable basis for Risk Sharing Arrangement.</w:t>
      </w:r>
      <w:r>
        <w:rPr>
          <w:rFonts w:ascii="Arial" w:hAnsi="Arial" w:cs="Arial"/>
          <w:bCs/>
          <w:snapToGrid w:val="0"/>
          <w:sz w:val="22"/>
          <w:szCs w:val="20"/>
          <w:lang w:val="en-GB"/>
        </w:rPr>
        <w:t xml:space="preserve"> </w:t>
      </w:r>
    </w:p>
    <w:p w:rsidR="003444A7" w:rsidRDefault="003444A7" w:rsidP="003444A7">
      <w:pPr>
        <w:widowControl w:val="0"/>
        <w:ind w:left="720"/>
        <w:jc w:val="both"/>
        <w:rPr>
          <w:rFonts w:ascii="Arial" w:hAnsi="Arial" w:cs="Arial"/>
          <w:bCs/>
          <w:snapToGrid w:val="0"/>
          <w:sz w:val="22"/>
          <w:szCs w:val="20"/>
          <w:lang w:val="en-GB"/>
        </w:rPr>
      </w:pPr>
    </w:p>
    <w:p w:rsidR="003444A7" w:rsidRPr="003444A7" w:rsidRDefault="003444A7" w:rsidP="003444A7">
      <w:pPr>
        <w:pStyle w:val="ListParagraph"/>
        <w:numPr>
          <w:ilvl w:val="1"/>
          <w:numId w:val="5"/>
        </w:numPr>
        <w:rPr>
          <w:bCs/>
          <w:lang w:val="en-GB" w:eastAsia="en-AU"/>
        </w:rPr>
      </w:pPr>
      <w:r w:rsidRPr="003444A7">
        <w:rPr>
          <w:bCs/>
          <w:lang w:val="en-GB"/>
        </w:rPr>
        <w:t xml:space="preserve">The PBAC accepted the proposed Risk Sharing Arrangement </w:t>
      </w:r>
      <w:r w:rsidRPr="003444A7">
        <w:rPr>
          <w:bCs/>
          <w:lang w:val="en-GB" w:eastAsia="en-AU"/>
        </w:rPr>
        <w:t xml:space="preserve">in the form of a financial cap with a </w:t>
      </w:r>
      <w:r w:rsidR="00073814">
        <w:rPr>
          <w:bCs/>
          <w:noProof/>
          <w:color w:val="000000"/>
          <w:highlight w:val="black"/>
          <w:lang w:val="en-GB" w:eastAsia="en-AU"/>
        </w:rPr>
        <w:t>'''''''</w:t>
      </w:r>
      <w:r w:rsidRPr="003444A7">
        <w:rPr>
          <w:bCs/>
          <w:lang w:val="en-GB" w:eastAsia="en-AU"/>
        </w:rPr>
        <w:t>% rebate paid to the Commonwealth for utilisation above the cap.</w:t>
      </w:r>
    </w:p>
    <w:p w:rsidR="006A05D3" w:rsidRDefault="006A05D3" w:rsidP="006A05D3">
      <w:pPr>
        <w:widowControl w:val="0"/>
        <w:ind w:left="720"/>
        <w:jc w:val="both"/>
        <w:rPr>
          <w:rFonts w:ascii="Arial" w:hAnsi="Arial" w:cs="Arial"/>
          <w:bCs/>
          <w:snapToGrid w:val="0"/>
          <w:sz w:val="22"/>
          <w:szCs w:val="20"/>
          <w:lang w:val="en-GB"/>
        </w:rPr>
      </w:pPr>
    </w:p>
    <w:p w:rsidR="006A05D3" w:rsidRPr="006A05D3" w:rsidRDefault="006A05D3" w:rsidP="006A05D3">
      <w:pPr>
        <w:pStyle w:val="ListParagraph"/>
        <w:numPr>
          <w:ilvl w:val="1"/>
          <w:numId w:val="5"/>
        </w:numPr>
        <w:rPr>
          <w:bCs/>
          <w:lang w:val="en-GB" w:eastAsia="en-AU"/>
        </w:rPr>
      </w:pPr>
      <w:r w:rsidRPr="006A05D3">
        <w:rPr>
          <w:bCs/>
          <w:lang w:val="en-GB" w:eastAsia="en-AU"/>
        </w:rPr>
        <w:t xml:space="preserve">The PBAC recommended </w:t>
      </w:r>
      <w:r w:rsidR="000638CB">
        <w:rPr>
          <w:bCs/>
          <w:lang w:val="en-GB" w:eastAsia="en-AU"/>
        </w:rPr>
        <w:t xml:space="preserve">that </w:t>
      </w:r>
      <w:r w:rsidRPr="006A05D3">
        <w:rPr>
          <w:bCs/>
          <w:lang w:val="en-GB" w:eastAsia="en-AU"/>
        </w:rPr>
        <w:t xml:space="preserve">patients </w:t>
      </w:r>
      <w:r w:rsidR="00F579A4">
        <w:rPr>
          <w:bCs/>
          <w:lang w:val="en-GB" w:eastAsia="en-AU"/>
        </w:rPr>
        <w:t xml:space="preserve">from the sponsor’s </w:t>
      </w:r>
      <w:r w:rsidRPr="006A05D3">
        <w:rPr>
          <w:bCs/>
          <w:lang w:val="en-GB" w:eastAsia="en-AU"/>
        </w:rPr>
        <w:t>compassionate access programs</w:t>
      </w:r>
      <w:r w:rsidR="009D5D5A">
        <w:rPr>
          <w:bCs/>
          <w:lang w:val="en-GB" w:eastAsia="en-AU"/>
        </w:rPr>
        <w:t xml:space="preserve"> be allowed to be grandfathered</w:t>
      </w:r>
      <w:r w:rsidRPr="006A05D3">
        <w:rPr>
          <w:bCs/>
          <w:lang w:val="en-GB" w:eastAsia="en-AU"/>
        </w:rPr>
        <w:t xml:space="preserve"> to the</w:t>
      </w:r>
      <w:r w:rsidR="009D5D5A">
        <w:rPr>
          <w:bCs/>
          <w:lang w:val="en-GB" w:eastAsia="en-AU"/>
        </w:rPr>
        <w:t xml:space="preserve"> PBS</w:t>
      </w:r>
      <w:r w:rsidRPr="006A05D3">
        <w:rPr>
          <w:bCs/>
          <w:lang w:val="en-GB" w:eastAsia="en-AU"/>
        </w:rPr>
        <w:t xml:space="preserve">. </w:t>
      </w:r>
    </w:p>
    <w:p w:rsidR="0000796C" w:rsidRPr="00555736" w:rsidRDefault="0000796C" w:rsidP="0000796C">
      <w:pPr>
        <w:widowControl w:val="0"/>
        <w:jc w:val="both"/>
        <w:rPr>
          <w:rFonts w:ascii="Arial" w:hAnsi="Arial" w:cs="Arial"/>
          <w:bCs/>
          <w:snapToGrid w:val="0"/>
          <w:sz w:val="22"/>
          <w:szCs w:val="20"/>
          <w:lang w:val="en-GB"/>
        </w:rPr>
      </w:pPr>
    </w:p>
    <w:p w:rsidR="0000796C" w:rsidRPr="00555736" w:rsidRDefault="0000796C" w:rsidP="0000796C">
      <w:pPr>
        <w:widowControl w:val="0"/>
        <w:numPr>
          <w:ilvl w:val="1"/>
          <w:numId w:val="5"/>
        </w:numPr>
        <w:jc w:val="both"/>
        <w:rPr>
          <w:rFonts w:ascii="Arial" w:hAnsi="Arial" w:cs="Arial"/>
          <w:bCs/>
          <w:snapToGrid w:val="0"/>
          <w:sz w:val="22"/>
          <w:szCs w:val="20"/>
          <w:lang w:val="en-GB"/>
        </w:rPr>
      </w:pPr>
      <w:r w:rsidRPr="00555736">
        <w:rPr>
          <w:rFonts w:ascii="Arial" w:hAnsi="Arial" w:cs="Arial"/>
          <w:bCs/>
          <w:snapToGrid w:val="0"/>
          <w:sz w:val="22"/>
          <w:szCs w:val="20"/>
          <w:lang w:val="en-GB"/>
        </w:rPr>
        <w:t xml:space="preserve">The PBAC advised that </w:t>
      </w:r>
      <w:proofErr w:type="spellStart"/>
      <w:r w:rsidR="006A05D3">
        <w:rPr>
          <w:rFonts w:ascii="Arial" w:hAnsi="Arial" w:cs="Arial"/>
          <w:bCs/>
          <w:snapToGrid w:val="0"/>
          <w:sz w:val="22"/>
          <w:szCs w:val="20"/>
          <w:lang w:val="en-GB"/>
        </w:rPr>
        <w:t>lenvatinib</w:t>
      </w:r>
      <w:proofErr w:type="spellEnd"/>
      <w:r w:rsidRPr="00555736">
        <w:rPr>
          <w:rFonts w:ascii="Arial" w:hAnsi="Arial" w:cs="Arial"/>
          <w:bCs/>
          <w:snapToGrid w:val="0"/>
          <w:sz w:val="22"/>
          <w:szCs w:val="20"/>
          <w:lang w:val="en-GB"/>
        </w:rPr>
        <w:t xml:space="preserve"> </w:t>
      </w:r>
      <w:r w:rsidR="000638CB">
        <w:rPr>
          <w:rFonts w:ascii="Arial" w:hAnsi="Arial" w:cs="Arial"/>
          <w:bCs/>
          <w:snapToGrid w:val="0"/>
          <w:sz w:val="22"/>
          <w:szCs w:val="20"/>
          <w:lang w:val="en-GB"/>
        </w:rPr>
        <w:t xml:space="preserve">is </w:t>
      </w:r>
      <w:r w:rsidRPr="00555736">
        <w:rPr>
          <w:rFonts w:ascii="Arial" w:hAnsi="Arial" w:cs="Arial"/>
          <w:bCs/>
          <w:snapToGrid w:val="0"/>
          <w:sz w:val="22"/>
          <w:szCs w:val="20"/>
          <w:lang w:val="en-GB"/>
        </w:rPr>
        <w:t xml:space="preserve">not suitable for prescribing by nurse practitioners. </w:t>
      </w:r>
    </w:p>
    <w:p w:rsidR="0000796C" w:rsidRPr="00555736" w:rsidRDefault="0000796C" w:rsidP="0000796C">
      <w:pPr>
        <w:widowControl w:val="0"/>
        <w:jc w:val="both"/>
        <w:rPr>
          <w:rFonts w:ascii="Arial" w:hAnsi="Arial" w:cs="Arial"/>
          <w:bCs/>
          <w:snapToGrid w:val="0"/>
          <w:sz w:val="22"/>
          <w:szCs w:val="20"/>
          <w:lang w:val="en-GB"/>
        </w:rPr>
      </w:pPr>
    </w:p>
    <w:p w:rsidR="000638CB" w:rsidRDefault="0000796C" w:rsidP="000638CB">
      <w:pPr>
        <w:widowControl w:val="0"/>
        <w:numPr>
          <w:ilvl w:val="1"/>
          <w:numId w:val="5"/>
        </w:numPr>
        <w:jc w:val="both"/>
        <w:rPr>
          <w:rFonts w:ascii="Arial" w:hAnsi="Arial" w:cs="Arial"/>
          <w:bCs/>
          <w:snapToGrid w:val="0"/>
          <w:sz w:val="22"/>
          <w:szCs w:val="20"/>
          <w:lang w:val="en-GB"/>
        </w:rPr>
      </w:pPr>
      <w:r w:rsidRPr="00555736">
        <w:rPr>
          <w:rFonts w:ascii="Arial" w:hAnsi="Arial" w:cs="Arial"/>
          <w:bCs/>
          <w:snapToGrid w:val="0"/>
          <w:sz w:val="22"/>
          <w:szCs w:val="20"/>
          <w:lang w:val="en-GB"/>
        </w:rPr>
        <w:t>The PBAC recommended th</w:t>
      </w:r>
      <w:r w:rsidR="006A05D3">
        <w:rPr>
          <w:rFonts w:ascii="Arial" w:hAnsi="Arial" w:cs="Arial"/>
          <w:bCs/>
          <w:snapToGrid w:val="0"/>
          <w:sz w:val="22"/>
          <w:szCs w:val="20"/>
          <w:lang w:val="en-GB"/>
        </w:rPr>
        <w:t>at the Early Supply Rule should</w:t>
      </w:r>
      <w:r w:rsidR="00826713">
        <w:rPr>
          <w:rFonts w:ascii="Arial" w:hAnsi="Arial" w:cs="Arial"/>
          <w:bCs/>
          <w:snapToGrid w:val="0"/>
          <w:sz w:val="22"/>
          <w:szCs w:val="20"/>
          <w:lang w:val="en-GB"/>
        </w:rPr>
        <w:t xml:space="preserve"> not</w:t>
      </w:r>
      <w:r w:rsidRPr="00555736">
        <w:rPr>
          <w:rFonts w:ascii="Arial" w:hAnsi="Arial" w:cs="Arial"/>
          <w:bCs/>
          <w:snapToGrid w:val="0"/>
          <w:sz w:val="22"/>
          <w:szCs w:val="20"/>
          <w:lang w:val="en-GB"/>
        </w:rPr>
        <w:t xml:space="preserve"> apply. </w:t>
      </w:r>
    </w:p>
    <w:p w:rsidR="000638CB" w:rsidRDefault="000638CB" w:rsidP="000638CB">
      <w:pPr>
        <w:widowControl w:val="0"/>
        <w:ind w:left="720"/>
        <w:jc w:val="both"/>
        <w:rPr>
          <w:rFonts w:ascii="Arial" w:hAnsi="Arial" w:cs="Arial"/>
          <w:bCs/>
          <w:snapToGrid w:val="0"/>
          <w:sz w:val="22"/>
          <w:szCs w:val="20"/>
          <w:lang w:val="en-GB"/>
        </w:rPr>
      </w:pPr>
    </w:p>
    <w:p w:rsidR="0000796C" w:rsidRPr="004C402D" w:rsidRDefault="000638CB" w:rsidP="004C402D">
      <w:pPr>
        <w:widowControl w:val="0"/>
        <w:numPr>
          <w:ilvl w:val="1"/>
          <w:numId w:val="5"/>
        </w:numPr>
        <w:jc w:val="both"/>
        <w:rPr>
          <w:rFonts w:ascii="Arial" w:hAnsi="Arial" w:cs="Arial"/>
          <w:bCs/>
          <w:snapToGrid w:val="0"/>
          <w:sz w:val="22"/>
          <w:szCs w:val="20"/>
          <w:lang w:val="en-GB"/>
        </w:rPr>
      </w:pPr>
      <w:r w:rsidRPr="004C402D">
        <w:rPr>
          <w:rFonts w:ascii="Arial" w:hAnsi="Arial" w:cs="Arial"/>
          <w:bCs/>
          <w:snapToGrid w:val="0"/>
          <w:sz w:val="22"/>
          <w:szCs w:val="20"/>
          <w:lang w:val="en-GB"/>
        </w:rPr>
        <w:t xml:space="preserve">The PBAC noted that this submission is not eligible for an Independent Review as </w:t>
      </w:r>
      <w:r w:rsidR="00295C08" w:rsidRPr="004C402D">
        <w:rPr>
          <w:rFonts w:ascii="Arial" w:hAnsi="Arial" w:cs="Arial"/>
          <w:bCs/>
          <w:snapToGrid w:val="0"/>
          <w:sz w:val="22"/>
          <w:szCs w:val="20"/>
          <w:lang w:val="en-GB"/>
        </w:rPr>
        <w:t xml:space="preserve">it received a positive recommendation. </w:t>
      </w:r>
    </w:p>
    <w:p w:rsidR="004C402D" w:rsidRDefault="004C402D" w:rsidP="00575A4A">
      <w:pPr>
        <w:rPr>
          <w:rFonts w:ascii="Arial" w:hAnsi="Arial" w:cs="Arial"/>
          <w:b/>
          <w:lang w:val="en-GB"/>
        </w:rPr>
      </w:pPr>
    </w:p>
    <w:p w:rsidR="0000796C" w:rsidRPr="00575A4A" w:rsidRDefault="0000796C" w:rsidP="00575A4A">
      <w:pPr>
        <w:rPr>
          <w:rFonts w:ascii="Arial" w:hAnsi="Arial" w:cs="Arial"/>
          <w:b/>
          <w:lang w:val="en-GB"/>
        </w:rPr>
      </w:pPr>
      <w:r w:rsidRPr="00575A4A">
        <w:rPr>
          <w:rFonts w:ascii="Arial" w:hAnsi="Arial" w:cs="Arial"/>
          <w:b/>
          <w:lang w:val="en-GB"/>
        </w:rPr>
        <w:t>Outcome:</w:t>
      </w:r>
    </w:p>
    <w:p w:rsidR="0000796C" w:rsidRPr="005334A9" w:rsidRDefault="005334A9" w:rsidP="0000796C">
      <w:pPr>
        <w:widowControl w:val="0"/>
        <w:jc w:val="both"/>
        <w:rPr>
          <w:rFonts w:ascii="Arial" w:hAnsi="Arial" w:cs="Arial"/>
          <w:bCs/>
          <w:snapToGrid w:val="0"/>
          <w:sz w:val="22"/>
          <w:szCs w:val="20"/>
          <w:lang w:val="en-GB"/>
        </w:rPr>
      </w:pPr>
      <w:r w:rsidRPr="005334A9">
        <w:rPr>
          <w:rFonts w:ascii="Arial" w:hAnsi="Arial" w:cs="Arial"/>
          <w:bCs/>
          <w:snapToGrid w:val="0"/>
          <w:sz w:val="22"/>
          <w:szCs w:val="20"/>
          <w:lang w:val="en-GB"/>
        </w:rPr>
        <w:t xml:space="preserve">Recommended </w:t>
      </w:r>
    </w:p>
    <w:p w:rsidR="004C402D" w:rsidRDefault="004C402D">
      <w:pPr>
        <w:rPr>
          <w:rFonts w:ascii="Arial" w:hAnsi="Arial" w:cs="Arial"/>
          <w:b/>
          <w:bCs/>
          <w:snapToGrid w:val="0"/>
          <w:sz w:val="22"/>
          <w:szCs w:val="20"/>
          <w:highlight w:val="yellow"/>
        </w:rPr>
      </w:pPr>
      <w:r>
        <w:rPr>
          <w:rFonts w:ascii="Arial" w:hAnsi="Arial" w:cs="Arial"/>
          <w:b/>
          <w:bCs/>
          <w:snapToGrid w:val="0"/>
          <w:sz w:val="22"/>
          <w:szCs w:val="20"/>
          <w:highlight w:val="yellow"/>
        </w:rPr>
        <w:br w:type="page"/>
      </w:r>
    </w:p>
    <w:p w:rsidR="0000796C" w:rsidRPr="009D5D5A" w:rsidRDefault="0000796C" w:rsidP="00575A4A">
      <w:pPr>
        <w:pStyle w:val="Heading1"/>
        <w:rPr>
          <w:i/>
          <w:lang w:val="en-GB"/>
        </w:rPr>
      </w:pPr>
      <w:bookmarkStart w:id="0" w:name="_GoBack"/>
      <w:bookmarkEnd w:id="0"/>
      <w:r w:rsidRPr="009D5D5A">
        <w:rPr>
          <w:lang w:val="en-GB"/>
        </w:rPr>
        <w:t>Recommended listing</w:t>
      </w:r>
    </w:p>
    <w:p w:rsidR="0000796C" w:rsidRPr="009D5D5A" w:rsidRDefault="0000796C" w:rsidP="0000796C">
      <w:pPr>
        <w:widowControl w:val="0"/>
        <w:jc w:val="both"/>
        <w:rPr>
          <w:rFonts w:ascii="Arial" w:hAnsi="Arial" w:cs="Arial"/>
          <w:b/>
          <w:bCs/>
          <w:i/>
          <w:snapToGrid w:val="0"/>
          <w:sz w:val="22"/>
          <w:szCs w:val="20"/>
          <w:lang w:val="en-GB"/>
        </w:rPr>
      </w:pPr>
    </w:p>
    <w:p w:rsidR="0000796C" w:rsidRPr="009D5D5A" w:rsidRDefault="0000796C" w:rsidP="0000796C">
      <w:pPr>
        <w:widowControl w:val="0"/>
        <w:numPr>
          <w:ilvl w:val="1"/>
          <w:numId w:val="5"/>
        </w:numPr>
        <w:jc w:val="both"/>
        <w:rPr>
          <w:rFonts w:ascii="Arial" w:hAnsi="Arial" w:cs="Arial"/>
          <w:b/>
          <w:bCs/>
          <w:snapToGrid w:val="0"/>
          <w:sz w:val="22"/>
          <w:szCs w:val="20"/>
        </w:rPr>
      </w:pPr>
      <w:r w:rsidRPr="009D5D5A">
        <w:rPr>
          <w:rFonts w:ascii="Arial" w:hAnsi="Arial" w:cs="Arial"/>
          <w:bCs/>
          <w:snapToGrid w:val="0"/>
          <w:sz w:val="22"/>
          <w:szCs w:val="20"/>
        </w:rPr>
        <w:t>Add new item:</w:t>
      </w:r>
    </w:p>
    <w:p w:rsidR="0000796C" w:rsidRDefault="0000796C" w:rsidP="009D5D5A">
      <w:pPr>
        <w:widowControl w:val="0"/>
        <w:contextualSpacing/>
        <w:jc w:val="both"/>
        <w:rPr>
          <w:rFonts w:ascii="Calibri" w:hAnsi="Calibri" w:cs="Calibri"/>
          <w:snapToGrid w:val="0"/>
          <w:sz w:val="22"/>
          <w:szCs w:val="20"/>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1134"/>
        <w:gridCol w:w="1276"/>
      </w:tblGrid>
      <w:tr w:rsidR="00295C08" w:rsidRPr="0039782C" w:rsidTr="009E6255">
        <w:trPr>
          <w:gridAfter w:val="1"/>
          <w:wAfter w:w="1276" w:type="dxa"/>
          <w:cantSplit/>
          <w:trHeight w:val="471"/>
        </w:trPr>
        <w:tc>
          <w:tcPr>
            <w:tcW w:w="3119" w:type="dxa"/>
            <w:gridSpan w:val="2"/>
            <w:tcBorders>
              <w:bottom w:val="single" w:sz="4" w:space="0" w:color="auto"/>
            </w:tcBorders>
          </w:tcPr>
          <w:p w:rsidR="00295C08" w:rsidRPr="0039782C" w:rsidRDefault="00295C08" w:rsidP="009E6255">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295C08" w:rsidRPr="0039782C" w:rsidRDefault="00295C08" w:rsidP="009E6255">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295C08" w:rsidRPr="0039782C" w:rsidRDefault="00295C08" w:rsidP="009E6255">
            <w:pPr>
              <w:keepNext/>
              <w:ind w:left="-108"/>
              <w:jc w:val="both"/>
              <w:rPr>
                <w:rFonts w:ascii="Arial Narrow" w:hAnsi="Arial Narrow" w:cs="Arial"/>
                <w:b/>
                <w:sz w:val="20"/>
                <w:szCs w:val="20"/>
              </w:rPr>
            </w:pPr>
            <w:r w:rsidRPr="0039782C">
              <w:rPr>
                <w:rFonts w:ascii="Arial Narrow" w:hAnsi="Arial Narrow" w:cs="Arial"/>
                <w:b/>
                <w:sz w:val="20"/>
                <w:szCs w:val="20"/>
              </w:rPr>
              <w:t>Max.</w:t>
            </w:r>
          </w:p>
          <w:p w:rsidR="00295C08" w:rsidRPr="0039782C" w:rsidRDefault="00295C08" w:rsidP="009E6255">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295C08" w:rsidRPr="0039782C" w:rsidRDefault="00295C08" w:rsidP="009E6255">
            <w:pPr>
              <w:keepNext/>
              <w:ind w:left="-108"/>
              <w:jc w:val="both"/>
              <w:rPr>
                <w:rFonts w:ascii="Arial Narrow" w:hAnsi="Arial Narrow" w:cs="Arial"/>
                <w:b/>
                <w:sz w:val="20"/>
                <w:szCs w:val="20"/>
              </w:rPr>
            </w:pPr>
            <w:r w:rsidRPr="0039782C">
              <w:rPr>
                <w:rFonts w:ascii="Arial Narrow" w:hAnsi="Arial Narrow" w:cs="Arial"/>
                <w:b/>
                <w:sz w:val="20"/>
                <w:szCs w:val="20"/>
              </w:rPr>
              <w:t>№.of</w:t>
            </w:r>
          </w:p>
          <w:p w:rsidR="00295C08" w:rsidRPr="0039782C" w:rsidRDefault="00295C08" w:rsidP="009E6255">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2409" w:type="dxa"/>
            <w:gridSpan w:val="2"/>
            <w:tcBorders>
              <w:bottom w:val="single" w:sz="4" w:space="0" w:color="auto"/>
            </w:tcBorders>
          </w:tcPr>
          <w:p w:rsidR="00295C08" w:rsidRPr="0039782C" w:rsidRDefault="00295C08" w:rsidP="009E6255">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295C08" w:rsidRPr="00260CE3" w:rsidTr="009E6255">
        <w:trPr>
          <w:gridAfter w:val="1"/>
          <w:wAfter w:w="1276" w:type="dxa"/>
          <w:cantSplit/>
          <w:trHeight w:val="577"/>
        </w:trPr>
        <w:tc>
          <w:tcPr>
            <w:tcW w:w="3119" w:type="dxa"/>
            <w:gridSpan w:val="2"/>
          </w:tcPr>
          <w:p w:rsidR="00295C08" w:rsidRPr="009E5518" w:rsidRDefault="00295C08" w:rsidP="009E6255">
            <w:pPr>
              <w:keepNext/>
              <w:ind w:left="-108"/>
              <w:rPr>
                <w:rFonts w:ascii="Arial Narrow" w:hAnsi="Arial Narrow"/>
                <w:sz w:val="20"/>
              </w:rPr>
            </w:pPr>
            <w:r w:rsidRPr="009E5518">
              <w:rPr>
                <w:rFonts w:ascii="Arial Narrow" w:hAnsi="Arial Narrow"/>
                <w:smallCaps/>
                <w:sz w:val="20"/>
              </w:rPr>
              <w:t>LENVATINIB</w:t>
            </w:r>
          </w:p>
          <w:p w:rsidR="00295C08" w:rsidRPr="009E5518" w:rsidRDefault="00295C08" w:rsidP="009E6255">
            <w:pPr>
              <w:keepNext/>
              <w:ind w:left="-108"/>
              <w:rPr>
                <w:rFonts w:ascii="Arial Narrow" w:hAnsi="Arial Narrow"/>
                <w:sz w:val="20"/>
              </w:rPr>
            </w:pPr>
            <w:proofErr w:type="spellStart"/>
            <w:r w:rsidRPr="009E5518">
              <w:rPr>
                <w:rFonts w:ascii="Arial Narrow" w:hAnsi="Arial Narrow"/>
                <w:sz w:val="20"/>
              </w:rPr>
              <w:t>lenvatinib</w:t>
            </w:r>
            <w:proofErr w:type="spellEnd"/>
            <w:r w:rsidRPr="009E5518">
              <w:rPr>
                <w:rFonts w:ascii="Arial Narrow" w:hAnsi="Arial Narrow"/>
                <w:sz w:val="20"/>
              </w:rPr>
              <w:t xml:space="preserve"> 4 mg capsule, 30</w:t>
            </w:r>
          </w:p>
          <w:p w:rsidR="00295C08" w:rsidRPr="009E5518" w:rsidRDefault="00295C08" w:rsidP="009E6255">
            <w:pPr>
              <w:keepNext/>
              <w:ind w:left="-108"/>
              <w:rPr>
                <w:rFonts w:ascii="Arial Narrow" w:hAnsi="Arial Narrow"/>
                <w:sz w:val="20"/>
              </w:rPr>
            </w:pPr>
          </w:p>
          <w:p w:rsidR="00295C08" w:rsidRPr="009E5518" w:rsidRDefault="00295C08" w:rsidP="009E6255">
            <w:pPr>
              <w:keepNext/>
              <w:ind w:left="-108"/>
              <w:rPr>
                <w:rFonts w:ascii="Arial Narrow" w:hAnsi="Arial Narrow"/>
                <w:sz w:val="20"/>
              </w:rPr>
            </w:pPr>
            <w:proofErr w:type="spellStart"/>
            <w:r w:rsidRPr="009E5518">
              <w:rPr>
                <w:rFonts w:ascii="Arial Narrow" w:hAnsi="Arial Narrow"/>
                <w:sz w:val="20"/>
              </w:rPr>
              <w:t>lenvatinib</w:t>
            </w:r>
            <w:proofErr w:type="spellEnd"/>
            <w:r w:rsidRPr="009E5518">
              <w:rPr>
                <w:rFonts w:ascii="Arial Narrow" w:hAnsi="Arial Narrow"/>
                <w:sz w:val="20"/>
              </w:rPr>
              <w:t xml:space="preserve"> 10 mg capsule, 30</w:t>
            </w:r>
          </w:p>
        </w:tc>
        <w:tc>
          <w:tcPr>
            <w:tcW w:w="850" w:type="dxa"/>
          </w:tcPr>
          <w:p w:rsidR="00295C08" w:rsidRPr="009E5518" w:rsidRDefault="00295C08" w:rsidP="009E6255">
            <w:pPr>
              <w:keepNext/>
              <w:ind w:left="-108"/>
              <w:rPr>
                <w:rFonts w:ascii="Arial Narrow" w:hAnsi="Arial Narrow"/>
                <w:sz w:val="20"/>
              </w:rPr>
            </w:pPr>
          </w:p>
          <w:p w:rsidR="00295C08" w:rsidRPr="009E5518" w:rsidRDefault="00295C08" w:rsidP="009E6255">
            <w:pPr>
              <w:keepNext/>
              <w:ind w:left="-108"/>
              <w:rPr>
                <w:rFonts w:ascii="Arial Narrow" w:hAnsi="Arial Narrow"/>
                <w:sz w:val="20"/>
              </w:rPr>
            </w:pPr>
            <w:r w:rsidRPr="009E5518">
              <w:rPr>
                <w:rFonts w:ascii="Arial Narrow" w:hAnsi="Arial Narrow"/>
                <w:sz w:val="20"/>
              </w:rPr>
              <w:t>1</w:t>
            </w:r>
          </w:p>
          <w:p w:rsidR="00295C08" w:rsidRPr="009E5518" w:rsidRDefault="00295C08" w:rsidP="009E6255">
            <w:pPr>
              <w:keepNext/>
              <w:ind w:left="-108"/>
              <w:rPr>
                <w:rFonts w:ascii="Arial Narrow" w:hAnsi="Arial Narrow"/>
                <w:sz w:val="20"/>
              </w:rPr>
            </w:pPr>
          </w:p>
          <w:p w:rsidR="00295C08" w:rsidRPr="009E5518" w:rsidRDefault="00295C08" w:rsidP="009E6255">
            <w:pPr>
              <w:keepNext/>
              <w:ind w:left="-108"/>
              <w:rPr>
                <w:rFonts w:ascii="Arial Narrow" w:hAnsi="Arial Narrow"/>
                <w:sz w:val="20"/>
              </w:rPr>
            </w:pPr>
            <w:r w:rsidRPr="009E5518">
              <w:rPr>
                <w:rFonts w:ascii="Arial Narrow" w:hAnsi="Arial Narrow"/>
                <w:sz w:val="20"/>
              </w:rPr>
              <w:t>2</w:t>
            </w:r>
          </w:p>
        </w:tc>
        <w:tc>
          <w:tcPr>
            <w:tcW w:w="709" w:type="dxa"/>
          </w:tcPr>
          <w:p w:rsidR="00295C08" w:rsidRPr="009E5518" w:rsidRDefault="00295C08" w:rsidP="009E6255">
            <w:pPr>
              <w:keepNext/>
              <w:ind w:left="-108"/>
              <w:rPr>
                <w:rFonts w:ascii="Arial Narrow" w:hAnsi="Arial Narrow"/>
                <w:sz w:val="20"/>
              </w:rPr>
            </w:pPr>
          </w:p>
          <w:p w:rsidR="00295C08" w:rsidRPr="009E5518" w:rsidRDefault="00295C08" w:rsidP="009E6255">
            <w:pPr>
              <w:keepNext/>
              <w:ind w:left="-108"/>
              <w:rPr>
                <w:rFonts w:ascii="Arial Narrow" w:hAnsi="Arial Narrow"/>
                <w:sz w:val="20"/>
              </w:rPr>
            </w:pPr>
            <w:r w:rsidRPr="009E5518">
              <w:rPr>
                <w:rFonts w:ascii="Arial Narrow" w:hAnsi="Arial Narrow"/>
                <w:sz w:val="20"/>
              </w:rPr>
              <w:t>2</w:t>
            </w:r>
          </w:p>
          <w:p w:rsidR="00295C08" w:rsidRPr="009E5518" w:rsidRDefault="00295C08" w:rsidP="009E6255">
            <w:pPr>
              <w:keepNext/>
              <w:ind w:left="-108"/>
              <w:rPr>
                <w:rFonts w:ascii="Arial Narrow" w:hAnsi="Arial Narrow"/>
                <w:sz w:val="20"/>
              </w:rPr>
            </w:pPr>
          </w:p>
          <w:p w:rsidR="00295C08" w:rsidRPr="009E5518" w:rsidRDefault="00295C08" w:rsidP="009E6255">
            <w:pPr>
              <w:keepNext/>
              <w:ind w:left="-108"/>
              <w:rPr>
                <w:rFonts w:ascii="Arial Narrow" w:hAnsi="Arial Narrow"/>
                <w:sz w:val="20"/>
              </w:rPr>
            </w:pPr>
            <w:r w:rsidRPr="009E5518">
              <w:rPr>
                <w:rFonts w:ascii="Arial Narrow" w:hAnsi="Arial Narrow"/>
                <w:sz w:val="20"/>
              </w:rPr>
              <w:t>2</w:t>
            </w:r>
          </w:p>
        </w:tc>
        <w:tc>
          <w:tcPr>
            <w:tcW w:w="1275" w:type="dxa"/>
          </w:tcPr>
          <w:p w:rsidR="00295C08" w:rsidRPr="009E5518" w:rsidRDefault="00295C08" w:rsidP="009E6255">
            <w:pPr>
              <w:keepNext/>
              <w:rPr>
                <w:rFonts w:ascii="Arial Narrow" w:hAnsi="Arial Narrow"/>
                <w:sz w:val="20"/>
              </w:rPr>
            </w:pPr>
            <w:proofErr w:type="spellStart"/>
            <w:r w:rsidRPr="009E5518">
              <w:rPr>
                <w:rFonts w:ascii="Arial Narrow" w:hAnsi="Arial Narrow"/>
                <w:sz w:val="20"/>
              </w:rPr>
              <w:t>Lenvima</w:t>
            </w:r>
            <w:proofErr w:type="spellEnd"/>
            <w:r>
              <w:rPr>
                <w:rFonts w:ascii="Arial Narrow" w:hAnsi="Arial Narrow"/>
                <w:sz w:val="20"/>
              </w:rPr>
              <w:t>®</w:t>
            </w:r>
          </w:p>
        </w:tc>
        <w:tc>
          <w:tcPr>
            <w:tcW w:w="1134" w:type="dxa"/>
          </w:tcPr>
          <w:p w:rsidR="00295C08" w:rsidRPr="009E5518" w:rsidRDefault="00295C08" w:rsidP="009E6255">
            <w:pPr>
              <w:keepNext/>
              <w:rPr>
                <w:rFonts w:ascii="Arial Narrow" w:hAnsi="Arial Narrow"/>
                <w:sz w:val="20"/>
              </w:rPr>
            </w:pPr>
            <w:r w:rsidRPr="009E5518">
              <w:rPr>
                <w:rFonts w:ascii="Arial Narrow" w:hAnsi="Arial Narrow"/>
                <w:sz w:val="20"/>
              </w:rPr>
              <w:t>Eisai Australia</w:t>
            </w:r>
          </w:p>
        </w:tc>
      </w:tr>
      <w:tr w:rsidR="009D5D5A" w:rsidRPr="00260CE3" w:rsidTr="009E6255">
        <w:trPr>
          <w:cantSplit/>
          <w:trHeight w:val="360"/>
        </w:trPr>
        <w:tc>
          <w:tcPr>
            <w:tcW w:w="8363" w:type="dxa"/>
            <w:gridSpan w:val="7"/>
            <w:tcBorders>
              <w:bottom w:val="single" w:sz="4" w:space="0" w:color="auto"/>
            </w:tcBorders>
          </w:tcPr>
          <w:p w:rsidR="009D5D5A" w:rsidRPr="00260CE3" w:rsidRDefault="009D5D5A" w:rsidP="009E6255">
            <w:pPr>
              <w:jc w:val="both"/>
              <w:rPr>
                <w:rFonts w:ascii="Arial Narrow" w:hAnsi="Arial Narrow" w:cs="Arial"/>
                <w:sz w:val="20"/>
                <w:szCs w:val="20"/>
              </w:rPr>
            </w:pP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sidRPr="00260CE3">
              <w:rPr>
                <w:rFonts w:ascii="Arial Narrow" w:hAnsi="Arial Narrow" w:cs="Arial"/>
                <w:sz w:val="20"/>
                <w:szCs w:val="20"/>
              </w:rPr>
              <w:t>GENERAL – General Schedule (Code GE)</w:t>
            </w:r>
          </w:p>
          <w:p w:rsidR="009D5D5A" w:rsidRPr="00260CE3" w:rsidRDefault="009D5D5A" w:rsidP="009E6255">
            <w:pPr>
              <w:rPr>
                <w:rFonts w:ascii="Arial Narrow" w:hAnsi="Arial Narrow" w:cs="Arial"/>
                <w:sz w:val="20"/>
                <w:szCs w:val="20"/>
              </w:rPr>
            </w:pP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9D5D5A" w:rsidRPr="00260CE3" w:rsidRDefault="009D5D5A" w:rsidP="009E6255">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Pr>
                <w:rFonts w:ascii="Arial Narrow" w:hAnsi="Arial Narrow" w:cs="Arial"/>
                <w:sz w:val="20"/>
                <w:szCs w:val="20"/>
              </w:rPr>
              <w:t>-</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9D5D5A" w:rsidRPr="00402B46" w:rsidRDefault="009D5D5A" w:rsidP="009E6255">
            <w:pPr>
              <w:rPr>
                <w:rFonts w:ascii="Arial Narrow" w:hAnsi="Arial Narrow" w:cs="Arial"/>
                <w:i/>
                <w:sz w:val="20"/>
                <w:szCs w:val="20"/>
              </w:rPr>
            </w:pPr>
            <w:r>
              <w:rPr>
                <w:rFonts w:ascii="Arial Narrow" w:hAnsi="Arial Narrow" w:cs="Arial"/>
                <w:i/>
                <w:sz w:val="20"/>
                <w:szCs w:val="20"/>
              </w:rPr>
              <w:t xml:space="preserve">Locally advanced or metastatic </w:t>
            </w:r>
            <w:r w:rsidRPr="00201965">
              <w:rPr>
                <w:rFonts w:ascii="Arial Narrow" w:hAnsi="Arial Narrow" w:cs="Arial"/>
                <w:strike/>
                <w:sz w:val="20"/>
                <w:szCs w:val="20"/>
              </w:rPr>
              <w:t>Stage III or IV (including high-risk patients aged less than 45 years)</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Pr>
                <w:rFonts w:ascii="Arial Narrow" w:hAnsi="Arial Narrow" w:cs="Arial"/>
                <w:sz w:val="20"/>
                <w:szCs w:val="20"/>
              </w:rPr>
              <w:t>Differentiated thyroid cancer</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sidRPr="001C61D9">
              <w:rPr>
                <w:rFonts w:ascii="Arial Narrow" w:hAnsi="Arial Narrow" w:cs="Arial"/>
                <w:sz w:val="20"/>
                <w:szCs w:val="20"/>
              </w:rPr>
              <w:t>Locally advanced or metastatic differentiated thyroid cancer</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D04A75" w:rsidRDefault="009D5D5A" w:rsidP="009E6255">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sidRPr="001C61D9">
              <w:rPr>
                <w:rFonts w:ascii="Arial Narrow" w:hAnsi="Arial Narrow" w:cs="Arial"/>
                <w:sz w:val="20"/>
                <w:szCs w:val="20"/>
              </w:rPr>
              <w:t>Initial treatment</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9D5D5A" w:rsidRPr="00260CE3" w:rsidRDefault="009D5D5A" w:rsidP="009E6255">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9D5D5A" w:rsidRPr="00106BCF" w:rsidRDefault="009D5D5A" w:rsidP="009E6255">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9D5D5A" w:rsidRPr="00106BCF" w:rsidRDefault="009D5D5A" w:rsidP="009E6255">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9D5D5A" w:rsidRPr="00106BCF" w:rsidRDefault="009D5D5A" w:rsidP="009E6255">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9D5D5A" w:rsidRPr="00106BCF" w:rsidRDefault="009D5D5A" w:rsidP="009E6255">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9D5D5A" w:rsidRPr="00106BCF" w:rsidRDefault="009D5D5A" w:rsidP="009E6255">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9D5D5A" w:rsidRPr="00260CE3" w:rsidRDefault="009D5D5A" w:rsidP="009E6255">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1C61D9" w:rsidRDefault="009D5D5A" w:rsidP="009E6255">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9D5D5A" w:rsidRDefault="009D5D5A" w:rsidP="009E6255">
            <w:pPr>
              <w:rPr>
                <w:rFonts w:ascii="Arial Narrow" w:hAnsi="Arial Narrow" w:cs="Arial"/>
                <w:i/>
                <w:sz w:val="20"/>
                <w:szCs w:val="20"/>
              </w:rPr>
            </w:pPr>
            <w:r w:rsidRPr="00F0010C">
              <w:rPr>
                <w:rFonts w:ascii="Arial Narrow" w:hAnsi="Arial Narrow" w:cs="Arial"/>
                <w:sz w:val="20"/>
                <w:szCs w:val="20"/>
              </w:rPr>
              <w:t xml:space="preserve">Patient must have </w:t>
            </w:r>
            <w:proofErr w:type="spellStart"/>
            <w:r w:rsidRPr="00201965">
              <w:rPr>
                <w:rFonts w:ascii="Arial Narrow" w:hAnsi="Arial Narrow" w:cs="Arial"/>
                <w:strike/>
                <w:sz w:val="20"/>
                <w:szCs w:val="20"/>
              </w:rPr>
              <w:t>radiologically</w:t>
            </w:r>
            <w:proofErr w:type="spellEnd"/>
            <w:r w:rsidRPr="00201965">
              <w:rPr>
                <w:rFonts w:ascii="Arial Narrow" w:hAnsi="Arial Narrow" w:cs="Arial"/>
                <w:strike/>
                <w:sz w:val="20"/>
                <w:szCs w:val="20"/>
              </w:rPr>
              <w:t xml:space="preserve"> determined</w:t>
            </w:r>
            <w:r w:rsidRPr="00F0010C">
              <w:rPr>
                <w:rFonts w:ascii="Arial Narrow" w:hAnsi="Arial Narrow" w:cs="Arial"/>
                <w:sz w:val="20"/>
                <w:szCs w:val="20"/>
              </w:rPr>
              <w:t xml:space="preserve"> symptomatic progressive disease prior to treatment</w:t>
            </w:r>
            <w:r>
              <w:rPr>
                <w:rFonts w:ascii="Arial Narrow" w:hAnsi="Arial Narrow" w:cs="Arial"/>
                <w:i/>
                <w:sz w:val="20"/>
                <w:szCs w:val="20"/>
              </w:rPr>
              <w:t>; OR</w:t>
            </w:r>
          </w:p>
          <w:p w:rsidR="009D5D5A" w:rsidRPr="00491134" w:rsidRDefault="009D5D5A" w:rsidP="009E6255">
            <w:pPr>
              <w:rPr>
                <w:rFonts w:ascii="Arial Narrow" w:hAnsi="Arial Narrow" w:cs="Arial"/>
                <w:i/>
                <w:sz w:val="20"/>
                <w:szCs w:val="20"/>
              </w:rPr>
            </w:pPr>
            <w:r>
              <w:rPr>
                <w:rFonts w:ascii="Arial Narrow" w:hAnsi="Arial Narrow" w:cs="Arial"/>
                <w:i/>
                <w:sz w:val="20"/>
                <w:szCs w:val="20"/>
              </w:rPr>
              <w:t>Patient must have progressive disease at critical sites with a high risk or morbidity or mortality where local control cannot be achieved by other measures</w:t>
            </w:r>
          </w:p>
          <w:p w:rsidR="009D5D5A" w:rsidRPr="00260CE3" w:rsidRDefault="009D5D5A" w:rsidP="009E6255">
            <w:pPr>
              <w:rPr>
                <w:rFonts w:ascii="Arial Narrow" w:hAnsi="Arial Narrow" w:cs="Arial"/>
                <w:sz w:val="20"/>
                <w:szCs w:val="20"/>
              </w:rPr>
            </w:pPr>
          </w:p>
          <w:p w:rsidR="009D5D5A" w:rsidRDefault="009D5D5A" w:rsidP="009E6255">
            <w:pPr>
              <w:rPr>
                <w:rFonts w:ascii="Arial Narrow" w:hAnsi="Arial Narrow" w:cs="Arial"/>
                <w:sz w:val="20"/>
                <w:szCs w:val="20"/>
              </w:rPr>
            </w:pPr>
            <w:r w:rsidRPr="00F0010C">
              <w:rPr>
                <w:rFonts w:ascii="Arial Narrow" w:hAnsi="Arial Narrow" w:cs="Arial"/>
                <w:sz w:val="20"/>
                <w:szCs w:val="20"/>
              </w:rPr>
              <w:t>AND</w:t>
            </w:r>
          </w:p>
          <w:p w:rsidR="009D5D5A" w:rsidRPr="00F0010C" w:rsidRDefault="009D5D5A" w:rsidP="009E6255">
            <w:pPr>
              <w:rPr>
                <w:rFonts w:ascii="Arial Narrow" w:hAnsi="Arial Narrow" w:cs="Arial"/>
                <w:sz w:val="20"/>
                <w:szCs w:val="20"/>
              </w:rPr>
            </w:pPr>
          </w:p>
          <w:p w:rsidR="009D5D5A" w:rsidRDefault="009D5D5A" w:rsidP="009E6255">
            <w:pPr>
              <w:rPr>
                <w:rFonts w:ascii="Arial Narrow" w:hAnsi="Arial Narrow" w:cs="Arial"/>
                <w:sz w:val="20"/>
                <w:szCs w:val="20"/>
              </w:rPr>
            </w:pPr>
            <w:r w:rsidRPr="00F0010C">
              <w:rPr>
                <w:rFonts w:ascii="Arial Narrow" w:hAnsi="Arial Narrow" w:cs="Arial"/>
                <w:sz w:val="20"/>
                <w:szCs w:val="20"/>
              </w:rPr>
              <w:t xml:space="preserve">Patient must have TSH adequately repressed [TSH ≤0.50 </w:t>
            </w:r>
            <w:proofErr w:type="spellStart"/>
            <w:r w:rsidRPr="00F0010C">
              <w:rPr>
                <w:rFonts w:ascii="Arial Narrow" w:hAnsi="Arial Narrow" w:cs="Arial"/>
                <w:sz w:val="20"/>
                <w:szCs w:val="20"/>
              </w:rPr>
              <w:t>μIU</w:t>
            </w:r>
            <w:proofErr w:type="spellEnd"/>
            <w:r w:rsidRPr="00F0010C">
              <w:rPr>
                <w:rFonts w:ascii="Arial Narrow" w:hAnsi="Arial Narrow" w:cs="Arial"/>
                <w:sz w:val="20"/>
                <w:szCs w:val="20"/>
              </w:rPr>
              <w:t>/mL]</w:t>
            </w:r>
          </w:p>
          <w:p w:rsidR="009D5D5A" w:rsidRPr="00F0010C"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AND</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Patient must have a WHO performance status of  2 or less</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AND</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Patient must be one in whom surgery is inappropriate</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AND</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Patient must not be a candidate for radiotherapy with curative intent</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AND</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The condition must be refractory to radioactive iodine.</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 xml:space="preserve">AND </w:t>
            </w:r>
          </w:p>
          <w:p w:rsidR="009D5D5A" w:rsidRDefault="009D5D5A" w:rsidP="009E6255">
            <w:pPr>
              <w:rPr>
                <w:rFonts w:ascii="Arial Narrow" w:hAnsi="Arial Narrow" w:cs="Arial"/>
                <w:sz w:val="20"/>
                <w:szCs w:val="20"/>
              </w:rPr>
            </w:pPr>
          </w:p>
          <w:p w:rsidR="009D5D5A" w:rsidRPr="00260CE3" w:rsidRDefault="009D5D5A" w:rsidP="009E6255">
            <w:pPr>
              <w:rPr>
                <w:rFonts w:ascii="Arial Narrow" w:hAnsi="Arial Narrow" w:cs="Arial"/>
                <w:sz w:val="20"/>
                <w:szCs w:val="20"/>
              </w:rPr>
            </w:pPr>
            <w:r w:rsidRPr="00F0010C">
              <w:rPr>
                <w:rFonts w:ascii="Arial Narrow" w:hAnsi="Arial Narrow" w:cs="Arial"/>
                <w:sz w:val="20"/>
                <w:szCs w:val="20"/>
              </w:rPr>
              <w:t>The treatment must be the sole PBS-subsidised therapy for this condition.</w:t>
            </w:r>
          </w:p>
          <w:p w:rsidR="009D5D5A" w:rsidRPr="00260CE3" w:rsidRDefault="009D5D5A" w:rsidP="009E6255">
            <w:pPr>
              <w:jc w:val="both"/>
              <w:rPr>
                <w:rFonts w:ascii="Arial Narrow" w:hAnsi="Arial Narrow" w:cs="Arial"/>
                <w:sz w:val="20"/>
                <w:szCs w:val="20"/>
              </w:rPr>
            </w:pP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1C61D9" w:rsidRDefault="009D5D5A" w:rsidP="009E6255">
            <w:pPr>
              <w:jc w:val="both"/>
              <w:rPr>
                <w:rFonts w:ascii="Arial Narrow" w:hAnsi="Arial Narrow" w:cs="Arial"/>
                <w:b/>
                <w:sz w:val="20"/>
                <w:szCs w:val="20"/>
              </w:rPr>
            </w:pPr>
            <w:r w:rsidRPr="00260CE3">
              <w:rPr>
                <w:rFonts w:ascii="Arial Narrow" w:hAnsi="Arial Narrow" w:cs="Arial"/>
                <w:b/>
                <w:sz w:val="20"/>
                <w:szCs w:val="20"/>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9D5D5A" w:rsidRPr="001C61D9" w:rsidRDefault="009D5D5A" w:rsidP="009E6255">
            <w:pPr>
              <w:rPr>
                <w:rFonts w:ascii="Arial Narrow" w:hAnsi="Arial Narrow" w:cs="Arial"/>
                <w:sz w:val="20"/>
                <w:szCs w:val="20"/>
              </w:rPr>
            </w:pPr>
            <w:r w:rsidRPr="001C61D9">
              <w:rPr>
                <w:rFonts w:ascii="Arial Narrow" w:hAnsi="Arial Narrow" w:cs="Arial"/>
                <w:sz w:val="20"/>
                <w:szCs w:val="20"/>
              </w:rPr>
              <w:t>Radioactive iodine refractory is defined as:</w:t>
            </w:r>
          </w:p>
          <w:p w:rsidR="009D5D5A" w:rsidRPr="001C61D9" w:rsidRDefault="009D5D5A" w:rsidP="009E6255">
            <w:pPr>
              <w:rPr>
                <w:rFonts w:ascii="Arial Narrow" w:hAnsi="Arial Narrow" w:cs="Arial"/>
                <w:sz w:val="20"/>
                <w:szCs w:val="20"/>
              </w:rPr>
            </w:pPr>
            <w:r w:rsidRPr="001C61D9">
              <w:rPr>
                <w:rFonts w:ascii="Arial Narrow" w:hAnsi="Arial Narrow" w:cs="Arial"/>
                <w:sz w:val="20"/>
                <w:szCs w:val="20"/>
              </w:rPr>
              <w:t xml:space="preserve">- A lesion without iodine uptake on a radioactive iodine (RAI) scan, or </w:t>
            </w:r>
          </w:p>
          <w:p w:rsidR="009D5D5A" w:rsidRPr="001C61D9" w:rsidRDefault="009D5D5A" w:rsidP="009E6255">
            <w:pPr>
              <w:rPr>
                <w:rFonts w:ascii="Arial Narrow" w:hAnsi="Arial Narrow" w:cs="Arial"/>
                <w:sz w:val="20"/>
                <w:szCs w:val="20"/>
              </w:rPr>
            </w:pPr>
            <w:r w:rsidRPr="001C61D9">
              <w:rPr>
                <w:rFonts w:ascii="Arial Narrow" w:hAnsi="Arial Narrow" w:cs="Arial"/>
                <w:sz w:val="20"/>
                <w:szCs w:val="20"/>
              </w:rPr>
              <w:t xml:space="preserve">- Receiving cumulative RAI ≥ 600 </w:t>
            </w:r>
            <w:proofErr w:type="spellStart"/>
            <w:r w:rsidRPr="001C61D9">
              <w:rPr>
                <w:rFonts w:ascii="Arial Narrow" w:hAnsi="Arial Narrow" w:cs="Arial"/>
                <w:sz w:val="20"/>
                <w:szCs w:val="20"/>
              </w:rPr>
              <w:t>mCi</w:t>
            </w:r>
            <w:proofErr w:type="spellEnd"/>
            <w:r w:rsidRPr="001C61D9">
              <w:rPr>
                <w:rFonts w:ascii="Arial Narrow" w:hAnsi="Arial Narrow" w:cs="Arial"/>
                <w:sz w:val="20"/>
                <w:szCs w:val="20"/>
              </w:rPr>
              <w:t xml:space="preserve">, or </w:t>
            </w:r>
          </w:p>
          <w:p w:rsidR="009D5D5A" w:rsidRPr="001C61D9" w:rsidRDefault="009D5D5A" w:rsidP="009E6255">
            <w:pPr>
              <w:rPr>
                <w:rFonts w:ascii="Arial Narrow" w:hAnsi="Arial Narrow" w:cs="Arial"/>
                <w:sz w:val="20"/>
                <w:szCs w:val="20"/>
              </w:rPr>
            </w:pPr>
            <w:r w:rsidRPr="001C61D9">
              <w:rPr>
                <w:rFonts w:ascii="Arial Narrow" w:hAnsi="Arial Narrow" w:cs="Arial"/>
                <w:sz w:val="20"/>
                <w:szCs w:val="20"/>
              </w:rPr>
              <w:t xml:space="preserve">- Experiencing a progression after a RAI treatment within 12 months of enrolment, or </w:t>
            </w:r>
          </w:p>
          <w:p w:rsidR="009D5D5A" w:rsidRPr="00260CE3" w:rsidRDefault="009D5D5A" w:rsidP="009E6255">
            <w:pPr>
              <w:rPr>
                <w:rFonts w:ascii="Arial Narrow" w:hAnsi="Arial Narrow" w:cs="Arial"/>
                <w:sz w:val="20"/>
                <w:szCs w:val="20"/>
              </w:rPr>
            </w:pPr>
            <w:r w:rsidRPr="001C61D9">
              <w:rPr>
                <w:rFonts w:ascii="Arial Narrow" w:hAnsi="Arial Narrow" w:cs="Arial"/>
                <w:sz w:val="20"/>
                <w:szCs w:val="20"/>
              </w:rPr>
              <w:t>- After two RAI treatments within 12 months of each other</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1C61D9" w:rsidRDefault="009D5D5A" w:rsidP="009E6255">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9D5D5A" w:rsidRPr="001C61D9" w:rsidRDefault="009D5D5A" w:rsidP="009E6255">
            <w:pPr>
              <w:rPr>
                <w:rFonts w:ascii="Arial Narrow" w:hAnsi="Arial Narrow" w:cs="Arial"/>
                <w:sz w:val="20"/>
                <w:szCs w:val="20"/>
              </w:rPr>
            </w:pPr>
            <w:r w:rsidRPr="001C61D9">
              <w:rPr>
                <w:rFonts w:ascii="Arial Narrow" w:hAnsi="Arial Narrow" w:cs="Arial"/>
                <w:sz w:val="20"/>
                <w:szCs w:val="20"/>
              </w:rPr>
              <w:t xml:space="preserve">No increase in the maximum quantity or number of units may be authorised. </w:t>
            </w:r>
          </w:p>
          <w:p w:rsidR="009D5D5A" w:rsidRPr="001C61D9" w:rsidRDefault="009D5D5A" w:rsidP="009E6255">
            <w:pPr>
              <w:rPr>
                <w:rFonts w:ascii="Arial Narrow" w:hAnsi="Arial Narrow" w:cs="Arial"/>
                <w:sz w:val="20"/>
                <w:szCs w:val="20"/>
              </w:rPr>
            </w:pPr>
          </w:p>
          <w:p w:rsidR="009D5D5A" w:rsidRPr="001C61D9" w:rsidRDefault="009D5D5A" w:rsidP="009E6255">
            <w:pPr>
              <w:rPr>
                <w:rFonts w:ascii="Arial Narrow" w:hAnsi="Arial Narrow" w:cs="Arial"/>
                <w:sz w:val="20"/>
                <w:szCs w:val="20"/>
              </w:rPr>
            </w:pPr>
            <w:r w:rsidRPr="001C61D9">
              <w:rPr>
                <w:rFonts w:ascii="Arial Narrow" w:hAnsi="Arial Narrow" w:cs="Arial"/>
                <w:sz w:val="20"/>
                <w:szCs w:val="20"/>
              </w:rPr>
              <w:t xml:space="preserve">No increase in the maximum number of repeats may be authorised. </w:t>
            </w:r>
          </w:p>
          <w:p w:rsidR="009D5D5A" w:rsidRPr="001C61D9" w:rsidRDefault="009D5D5A" w:rsidP="009E6255">
            <w:pPr>
              <w:rPr>
                <w:rFonts w:ascii="Arial Narrow" w:hAnsi="Arial Narrow" w:cs="Arial"/>
                <w:sz w:val="20"/>
                <w:szCs w:val="20"/>
              </w:rPr>
            </w:pPr>
          </w:p>
          <w:p w:rsidR="009D5D5A" w:rsidRPr="00260CE3" w:rsidRDefault="009D5D5A" w:rsidP="009E6255">
            <w:pPr>
              <w:rPr>
                <w:rFonts w:ascii="Arial Narrow" w:hAnsi="Arial Narrow" w:cs="Arial"/>
                <w:sz w:val="20"/>
                <w:szCs w:val="20"/>
              </w:rPr>
            </w:pPr>
            <w:r w:rsidRPr="001C61D9">
              <w:rPr>
                <w:rFonts w:ascii="Arial Narrow" w:hAnsi="Arial Narrow" w:cs="Arial"/>
                <w:sz w:val="20"/>
                <w:szCs w:val="20"/>
              </w:rPr>
              <w:t>A patient who has progressive disease when treated with this drug is no longer eligible for PBS-subsidised treatment with this drug</w:t>
            </w:r>
            <w:proofErr w:type="gramStart"/>
            <w:r w:rsidRPr="001C61D9">
              <w:rPr>
                <w:rFonts w:ascii="Arial Narrow" w:hAnsi="Arial Narrow" w:cs="Arial"/>
                <w:sz w:val="20"/>
                <w:szCs w:val="20"/>
              </w:rPr>
              <w:t xml:space="preserve">.  </w:t>
            </w:r>
            <w:proofErr w:type="gramEnd"/>
          </w:p>
        </w:tc>
      </w:tr>
    </w:tbl>
    <w:p w:rsidR="009D5D5A" w:rsidRDefault="009D5D5A" w:rsidP="009D5D5A">
      <w:pPr>
        <w:pStyle w:val="ListParagraph"/>
        <w:rPr>
          <w:szCs w:val="22"/>
        </w:rPr>
      </w:pPr>
    </w:p>
    <w:tbl>
      <w:tblPr>
        <w:tblW w:w="8363" w:type="dxa"/>
        <w:tblInd w:w="817" w:type="dxa"/>
        <w:tblLayout w:type="fixed"/>
        <w:tblLook w:val="0000" w:firstRow="0" w:lastRow="0" w:firstColumn="0" w:lastColumn="0" w:noHBand="0" w:noVBand="0"/>
      </w:tblPr>
      <w:tblGrid>
        <w:gridCol w:w="1985"/>
        <w:gridCol w:w="6378"/>
      </w:tblGrid>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sidRPr="00260CE3">
              <w:rPr>
                <w:rFonts w:ascii="Arial Narrow" w:hAnsi="Arial Narrow" w:cs="Arial"/>
                <w:sz w:val="20"/>
                <w:szCs w:val="20"/>
              </w:rPr>
              <w:t>GENERAL – General Schedule (Code GE)</w:t>
            </w:r>
          </w:p>
          <w:p w:rsidR="009D5D5A" w:rsidRPr="00260CE3" w:rsidRDefault="009D5D5A" w:rsidP="009E6255">
            <w:pPr>
              <w:rPr>
                <w:rFonts w:ascii="Arial Narrow" w:hAnsi="Arial Narrow" w:cs="Arial"/>
                <w:sz w:val="20"/>
                <w:szCs w:val="20"/>
              </w:rPr>
            </w:pP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9D5D5A" w:rsidRPr="00260CE3" w:rsidRDefault="009D5D5A" w:rsidP="009E6255">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6378"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Pr>
                <w:rFonts w:ascii="Arial Narrow" w:hAnsi="Arial Narrow" w:cs="Arial"/>
                <w:sz w:val="20"/>
                <w:szCs w:val="20"/>
              </w:rPr>
              <w:t>-</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Pr>
                <w:rFonts w:ascii="Arial Narrow" w:hAnsi="Arial Narrow" w:cs="Arial"/>
                <w:i/>
                <w:sz w:val="20"/>
                <w:szCs w:val="20"/>
              </w:rPr>
              <w:t xml:space="preserve">Locally advanced or metastatic </w:t>
            </w:r>
            <w:r w:rsidRPr="00201965">
              <w:rPr>
                <w:rFonts w:ascii="Arial Narrow" w:hAnsi="Arial Narrow" w:cs="Arial"/>
                <w:strike/>
                <w:sz w:val="20"/>
                <w:szCs w:val="20"/>
              </w:rPr>
              <w:t>Stage III or IV (including high-risk patients aged less than 45 years)</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sidRPr="00160816">
              <w:rPr>
                <w:rFonts w:ascii="Arial Narrow" w:hAnsi="Arial Narrow" w:cs="Arial"/>
                <w:sz w:val="20"/>
                <w:szCs w:val="20"/>
              </w:rPr>
              <w:t>Differentiated thyroid cancer</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sidRPr="00F0010C">
              <w:rPr>
                <w:rFonts w:ascii="Arial Narrow" w:hAnsi="Arial Narrow" w:cs="Arial"/>
                <w:sz w:val="20"/>
                <w:szCs w:val="20"/>
              </w:rPr>
              <w:t>Locally advanced or metastatic differentiated thyroid cancer</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D04A75" w:rsidRDefault="009D5D5A" w:rsidP="009E6255">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rPr>
                <w:rFonts w:ascii="Arial Narrow" w:hAnsi="Arial Narrow" w:cs="Arial"/>
                <w:sz w:val="20"/>
                <w:szCs w:val="20"/>
              </w:rPr>
            </w:pPr>
            <w:r w:rsidRPr="00F0010C">
              <w:rPr>
                <w:rFonts w:ascii="Arial Narrow" w:hAnsi="Arial Narrow" w:cs="Arial"/>
                <w:sz w:val="20"/>
                <w:szCs w:val="20"/>
              </w:rPr>
              <w:t>Continuing treatment</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9D5D5A" w:rsidRPr="00260CE3" w:rsidRDefault="009D5D5A" w:rsidP="009E6255">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9D5D5A" w:rsidRPr="00106BCF" w:rsidRDefault="009D5D5A" w:rsidP="009E6255">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9D5D5A" w:rsidRPr="00106BCF" w:rsidRDefault="009D5D5A" w:rsidP="009E6255">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9D5D5A" w:rsidRPr="00106BCF" w:rsidRDefault="009D5D5A" w:rsidP="009E6255">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9D5D5A" w:rsidRPr="00106BCF" w:rsidRDefault="009D5D5A" w:rsidP="009E6255">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9D5D5A" w:rsidRPr="00106BCF" w:rsidRDefault="009D5D5A" w:rsidP="009E6255">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9D5D5A" w:rsidRPr="00260CE3" w:rsidRDefault="009D5D5A" w:rsidP="009E6255">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575A4A">
              <w:rPr>
                <w:rFonts w:ascii="Arial Narrow" w:hAnsi="Arial Narrow" w:cs="Arial"/>
                <w:sz w:val="20"/>
                <w:szCs w:val="20"/>
              </w:rPr>
            </w:r>
            <w:r w:rsidR="00575A4A">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Streamlined</w:t>
            </w: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7149D1" w:rsidRDefault="009D5D5A" w:rsidP="009E6255">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Patient must have previously been issued with an authority prescription for this drug for this condition</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AND</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Patient must have stable or responding disease according to the Response Evaluation Criteria in Solid Tumours (RECIST)</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AND</w:t>
            </w:r>
          </w:p>
          <w:p w:rsidR="009D5D5A" w:rsidRDefault="009D5D5A" w:rsidP="009E6255">
            <w:pPr>
              <w:rPr>
                <w:rFonts w:ascii="Arial Narrow" w:hAnsi="Arial Narrow" w:cs="Arial"/>
                <w:sz w:val="20"/>
                <w:szCs w:val="20"/>
              </w:rPr>
            </w:pPr>
          </w:p>
          <w:p w:rsidR="009D5D5A" w:rsidRPr="00260CE3" w:rsidRDefault="009D5D5A" w:rsidP="009E6255">
            <w:pPr>
              <w:rPr>
                <w:rFonts w:ascii="Arial Narrow" w:hAnsi="Arial Narrow" w:cs="Arial"/>
                <w:sz w:val="20"/>
                <w:szCs w:val="20"/>
              </w:rPr>
            </w:pPr>
            <w:r w:rsidRPr="00F0010C">
              <w:rPr>
                <w:rFonts w:ascii="Arial Narrow" w:hAnsi="Arial Narrow" w:cs="Arial"/>
                <w:sz w:val="20"/>
                <w:szCs w:val="20"/>
              </w:rPr>
              <w:t>The treatment must be the sole PBS-subsidised therapy for this condition.</w:t>
            </w:r>
          </w:p>
          <w:p w:rsidR="009D5D5A" w:rsidRPr="00260CE3" w:rsidRDefault="009D5D5A" w:rsidP="009E6255">
            <w:pPr>
              <w:jc w:val="both"/>
              <w:rPr>
                <w:rFonts w:ascii="Arial Narrow" w:hAnsi="Arial Narrow" w:cs="Arial"/>
                <w:sz w:val="20"/>
                <w:szCs w:val="20"/>
              </w:rPr>
            </w:pPr>
          </w:p>
        </w:tc>
      </w:tr>
      <w:tr w:rsidR="009D5D5A" w:rsidRPr="00260CE3" w:rsidTr="009E6255">
        <w:trPr>
          <w:cantSplit/>
          <w:trHeight w:val="360"/>
        </w:trPr>
        <w:tc>
          <w:tcPr>
            <w:tcW w:w="1985" w:type="dxa"/>
            <w:tcBorders>
              <w:top w:val="single" w:sz="4" w:space="0" w:color="auto"/>
              <w:left w:val="single" w:sz="4" w:space="0" w:color="auto"/>
              <w:bottom w:val="single" w:sz="4" w:space="0" w:color="auto"/>
              <w:right w:val="single" w:sz="4" w:space="0" w:color="auto"/>
            </w:tcBorders>
          </w:tcPr>
          <w:p w:rsidR="009D5D5A" w:rsidRPr="00260CE3" w:rsidRDefault="009D5D5A" w:rsidP="009E6255">
            <w:pPr>
              <w:jc w:val="both"/>
              <w:rPr>
                <w:rFonts w:ascii="Arial Narrow" w:hAnsi="Arial Narrow" w:cs="Arial"/>
                <w:b/>
                <w:sz w:val="20"/>
                <w:szCs w:val="20"/>
              </w:rPr>
            </w:pPr>
            <w:r w:rsidRPr="00260CE3">
              <w:rPr>
                <w:rFonts w:ascii="Arial Narrow" w:hAnsi="Arial Narrow" w:cs="Arial"/>
                <w:b/>
                <w:sz w:val="20"/>
                <w:szCs w:val="20"/>
              </w:rPr>
              <w:t>Administrative Advice</w:t>
            </w:r>
          </w:p>
          <w:p w:rsidR="009D5D5A" w:rsidRPr="00260CE3" w:rsidRDefault="009D5D5A" w:rsidP="009E6255">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9D5D5A" w:rsidRPr="00201965" w:rsidRDefault="009D5D5A" w:rsidP="009E6255">
            <w:pPr>
              <w:rPr>
                <w:rFonts w:ascii="Arial Narrow" w:hAnsi="Arial Narrow" w:cs="Arial"/>
                <w:i/>
                <w:sz w:val="20"/>
                <w:szCs w:val="20"/>
              </w:rPr>
            </w:pPr>
            <w:r w:rsidRPr="00201965">
              <w:rPr>
                <w:rFonts w:ascii="Arial Narrow" w:hAnsi="Arial Narrow" w:cs="Arial"/>
                <w:i/>
                <w:sz w:val="20"/>
                <w:szCs w:val="20"/>
              </w:rPr>
              <w:t>Response Evaluation Criteria In Solid Tumours (RECIST) is defined as follows:</w:t>
            </w:r>
          </w:p>
          <w:p w:rsidR="009D5D5A" w:rsidRPr="00201965" w:rsidRDefault="009D5D5A" w:rsidP="009E6255">
            <w:pPr>
              <w:rPr>
                <w:rFonts w:ascii="Arial Narrow" w:hAnsi="Arial Narrow" w:cs="Arial"/>
                <w:i/>
                <w:sz w:val="20"/>
                <w:szCs w:val="20"/>
              </w:rPr>
            </w:pPr>
            <w:r w:rsidRPr="00201965">
              <w:rPr>
                <w:rFonts w:ascii="Arial Narrow" w:hAnsi="Arial Narrow" w:cs="Arial"/>
                <w:i/>
                <w:sz w:val="20"/>
                <w:szCs w:val="20"/>
              </w:rPr>
              <w:t>Complete response (CR) is disappearance of all target lesions.</w:t>
            </w:r>
          </w:p>
          <w:p w:rsidR="009D5D5A" w:rsidRPr="00201965" w:rsidRDefault="009D5D5A" w:rsidP="009E6255">
            <w:pPr>
              <w:rPr>
                <w:rFonts w:ascii="Arial Narrow" w:hAnsi="Arial Narrow" w:cs="Arial"/>
                <w:i/>
                <w:sz w:val="20"/>
                <w:szCs w:val="20"/>
              </w:rPr>
            </w:pPr>
            <w:r w:rsidRPr="00201965">
              <w:rPr>
                <w:rFonts w:ascii="Arial Narrow" w:hAnsi="Arial Narrow" w:cs="Arial"/>
                <w:i/>
                <w:sz w:val="20"/>
                <w:szCs w:val="20"/>
              </w:rPr>
              <w:t>Partial response (PR) is a 30% decrease in the sum of the longest diameter of target lesions.</w:t>
            </w:r>
          </w:p>
          <w:p w:rsidR="009D5D5A" w:rsidRPr="00201965" w:rsidRDefault="009D5D5A" w:rsidP="009E6255">
            <w:pPr>
              <w:rPr>
                <w:rFonts w:ascii="Arial Narrow" w:hAnsi="Arial Narrow" w:cs="Arial"/>
                <w:i/>
                <w:sz w:val="20"/>
                <w:szCs w:val="20"/>
              </w:rPr>
            </w:pPr>
            <w:r w:rsidRPr="00201965">
              <w:rPr>
                <w:rFonts w:ascii="Arial Narrow" w:hAnsi="Arial Narrow" w:cs="Arial"/>
                <w:i/>
                <w:sz w:val="20"/>
                <w:szCs w:val="20"/>
              </w:rPr>
              <w:t>Progressive disease (PD) is a 20% increase in the sum of the longest diameter of target lesions.</w:t>
            </w:r>
          </w:p>
          <w:p w:rsidR="009D5D5A" w:rsidRPr="00201965" w:rsidRDefault="009D5D5A" w:rsidP="009E6255">
            <w:pPr>
              <w:rPr>
                <w:rFonts w:ascii="Arial Narrow" w:hAnsi="Arial Narrow" w:cs="Arial"/>
                <w:i/>
                <w:sz w:val="20"/>
                <w:szCs w:val="20"/>
              </w:rPr>
            </w:pPr>
            <w:r w:rsidRPr="00201965">
              <w:rPr>
                <w:rFonts w:ascii="Arial Narrow" w:hAnsi="Arial Narrow" w:cs="Arial"/>
                <w:i/>
                <w:sz w:val="20"/>
                <w:szCs w:val="20"/>
              </w:rPr>
              <w:t>Stable disease (SD) is small changes that do not meet above criteria.</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 xml:space="preserve">No increase in the maximum quantity or number of units may be authorised. </w:t>
            </w:r>
          </w:p>
          <w:p w:rsidR="009D5D5A" w:rsidRDefault="009D5D5A" w:rsidP="009E6255">
            <w:pPr>
              <w:rPr>
                <w:rFonts w:ascii="Arial Narrow" w:hAnsi="Arial Narrow" w:cs="Arial"/>
                <w:sz w:val="20"/>
                <w:szCs w:val="20"/>
              </w:rPr>
            </w:pPr>
          </w:p>
          <w:p w:rsidR="009D5D5A" w:rsidRPr="00F0010C" w:rsidRDefault="009D5D5A" w:rsidP="009E6255">
            <w:pPr>
              <w:rPr>
                <w:rFonts w:ascii="Arial Narrow" w:hAnsi="Arial Narrow" w:cs="Arial"/>
                <w:sz w:val="20"/>
                <w:szCs w:val="20"/>
              </w:rPr>
            </w:pPr>
            <w:r w:rsidRPr="00F0010C">
              <w:rPr>
                <w:rFonts w:ascii="Arial Narrow" w:hAnsi="Arial Narrow" w:cs="Arial"/>
                <w:sz w:val="20"/>
                <w:szCs w:val="20"/>
              </w:rPr>
              <w:t xml:space="preserve">No increase in the maximum number of repeats may be authorised. </w:t>
            </w:r>
          </w:p>
          <w:p w:rsidR="009D5D5A" w:rsidRDefault="009D5D5A" w:rsidP="009E6255">
            <w:pPr>
              <w:rPr>
                <w:rFonts w:ascii="Arial Narrow" w:hAnsi="Arial Narrow" w:cs="Arial"/>
                <w:sz w:val="20"/>
                <w:szCs w:val="20"/>
              </w:rPr>
            </w:pPr>
          </w:p>
          <w:p w:rsidR="009D5D5A" w:rsidRPr="00260CE3" w:rsidRDefault="009D5D5A" w:rsidP="009E6255">
            <w:pPr>
              <w:rPr>
                <w:rFonts w:ascii="Arial Narrow" w:hAnsi="Arial Narrow" w:cs="Arial"/>
                <w:sz w:val="20"/>
                <w:szCs w:val="20"/>
              </w:rPr>
            </w:pPr>
            <w:r w:rsidRPr="00F0010C">
              <w:rPr>
                <w:rFonts w:ascii="Arial Narrow" w:hAnsi="Arial Narrow" w:cs="Arial"/>
                <w:sz w:val="20"/>
                <w:szCs w:val="20"/>
              </w:rPr>
              <w:t>A patient who has progressive disease when treated with this drug is no longer eligible for PBS-subsidised treatment with this drug.</w:t>
            </w:r>
          </w:p>
        </w:tc>
      </w:tr>
    </w:tbl>
    <w:p w:rsidR="00D84934" w:rsidRDefault="00D84934" w:rsidP="00F92B82">
      <w:pPr>
        <w:rPr>
          <w:rFonts w:ascii="Calibri" w:hAnsi="Calibri" w:cs="Calibri"/>
          <w:snapToGrid w:val="0"/>
          <w:sz w:val="22"/>
          <w:szCs w:val="20"/>
        </w:rPr>
      </w:pPr>
    </w:p>
    <w:p w:rsidR="00180A89" w:rsidRPr="00180A89" w:rsidRDefault="00180A89" w:rsidP="00575A4A">
      <w:pPr>
        <w:pStyle w:val="Heading1"/>
      </w:pPr>
      <w:r w:rsidRPr="00180A89">
        <w:t>Context for Decision</w:t>
      </w:r>
    </w:p>
    <w:p w:rsidR="00180A89" w:rsidRPr="00180A89" w:rsidRDefault="00180A89" w:rsidP="00180A89">
      <w:pPr>
        <w:ind w:left="720"/>
        <w:rPr>
          <w:rFonts w:ascii="Arial" w:hAnsi="Arial" w:cs="Arial"/>
          <w:bCs/>
        </w:rPr>
      </w:pPr>
    </w:p>
    <w:p w:rsidR="00180A89" w:rsidRPr="00180A89" w:rsidRDefault="00180A89" w:rsidP="00180A89">
      <w:pPr>
        <w:ind w:left="720"/>
        <w:rPr>
          <w:rFonts w:ascii="Arial" w:hAnsi="Arial" w:cs="Arial"/>
          <w:bCs/>
        </w:rPr>
      </w:pPr>
      <w:r w:rsidRPr="00180A89">
        <w:rPr>
          <w:rFonts w:ascii="Arial" w:hAnsi="Arial" w:cs="Arial"/>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80A89" w:rsidRPr="00180A89" w:rsidRDefault="00180A89" w:rsidP="00180A89">
      <w:pPr>
        <w:ind w:left="720"/>
        <w:rPr>
          <w:rFonts w:ascii="Arial" w:hAnsi="Arial" w:cs="Arial"/>
          <w:bCs/>
        </w:rPr>
      </w:pPr>
    </w:p>
    <w:p w:rsidR="00180A89" w:rsidRPr="00180A89" w:rsidRDefault="00180A89" w:rsidP="00575A4A">
      <w:pPr>
        <w:pStyle w:val="Heading1"/>
      </w:pPr>
      <w:r w:rsidRPr="00180A89">
        <w:t>Sponsor’s Comment</w:t>
      </w:r>
      <w:r w:rsidRPr="00180A89">
        <w:tab/>
      </w:r>
    </w:p>
    <w:p w:rsidR="00180A89" w:rsidRPr="00180A89" w:rsidRDefault="00180A89" w:rsidP="00180A89">
      <w:pPr>
        <w:ind w:left="720"/>
        <w:rPr>
          <w:rFonts w:ascii="Arial" w:hAnsi="Arial" w:cs="Arial"/>
          <w:bCs/>
          <w:highlight w:val="yellow"/>
        </w:rPr>
      </w:pPr>
    </w:p>
    <w:p w:rsidR="00180A89" w:rsidRPr="00575A4A" w:rsidRDefault="00180A89" w:rsidP="00575A4A">
      <w:pPr>
        <w:ind w:left="720"/>
        <w:rPr>
          <w:bCs/>
        </w:rPr>
      </w:pPr>
      <w:r w:rsidRPr="00180A89">
        <w:rPr>
          <w:rFonts w:ascii="Arial" w:hAnsi="Arial" w:cs="Arial"/>
          <w:bCs/>
        </w:rPr>
        <w:t>The sponsor had no comment</w:t>
      </w:r>
      <w:r w:rsidRPr="00867481">
        <w:rPr>
          <w:bCs/>
        </w:rPr>
        <w:t>.</w:t>
      </w:r>
    </w:p>
    <w:sectPr w:rsidR="00180A89" w:rsidRPr="00575A4A"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A4A" w:rsidRDefault="00575A4A">
      <w:r>
        <w:separator/>
      </w:r>
    </w:p>
    <w:p w:rsidR="00575A4A" w:rsidRDefault="00575A4A"/>
    <w:p w:rsidR="00575A4A" w:rsidRDefault="00575A4A"/>
    <w:p w:rsidR="00575A4A" w:rsidRDefault="00575A4A" w:rsidP="00575A4A"/>
  </w:endnote>
  <w:endnote w:type="continuationSeparator" w:id="0">
    <w:p w:rsidR="00575A4A" w:rsidRDefault="00575A4A">
      <w:r>
        <w:continuationSeparator/>
      </w:r>
    </w:p>
    <w:p w:rsidR="00575A4A" w:rsidRDefault="00575A4A"/>
    <w:p w:rsidR="00575A4A" w:rsidRDefault="00575A4A"/>
    <w:p w:rsidR="00575A4A" w:rsidRDefault="00575A4A" w:rsidP="00575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75A4A" w:rsidTr="005A3173">
      <w:trPr>
        <w:trHeight w:val="151"/>
      </w:trPr>
      <w:tc>
        <w:tcPr>
          <w:tcW w:w="2250" w:type="pct"/>
          <w:tcBorders>
            <w:top w:val="nil"/>
            <w:left w:val="nil"/>
            <w:bottom w:val="single" w:sz="4" w:space="0" w:color="4F81BD"/>
            <w:right w:val="nil"/>
          </w:tcBorders>
        </w:tcPr>
        <w:p w:rsidR="00575A4A" w:rsidRPr="005A3173" w:rsidRDefault="00575A4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75A4A" w:rsidRPr="005A3173" w:rsidRDefault="00575A4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75A4A" w:rsidRPr="005A3173" w:rsidRDefault="00575A4A" w:rsidP="005A3173">
          <w:pPr>
            <w:pStyle w:val="Header"/>
            <w:spacing w:line="276" w:lineRule="auto"/>
            <w:rPr>
              <w:rFonts w:ascii="Calibri" w:eastAsia="MS Gothic" w:hAnsi="Calibri"/>
              <w:b/>
              <w:bCs/>
              <w:color w:val="4F81BD"/>
            </w:rPr>
          </w:pPr>
        </w:p>
      </w:tc>
    </w:tr>
    <w:tr w:rsidR="00575A4A" w:rsidTr="005A3173">
      <w:trPr>
        <w:trHeight w:val="150"/>
      </w:trPr>
      <w:tc>
        <w:tcPr>
          <w:tcW w:w="2250" w:type="pct"/>
          <w:tcBorders>
            <w:top w:val="single" w:sz="4" w:space="0" w:color="4F81BD"/>
            <w:left w:val="nil"/>
            <w:bottom w:val="nil"/>
            <w:right w:val="nil"/>
          </w:tcBorders>
        </w:tcPr>
        <w:p w:rsidR="00575A4A" w:rsidRPr="005A3173" w:rsidRDefault="00575A4A" w:rsidP="005A3173">
          <w:pPr>
            <w:pStyle w:val="Header"/>
            <w:spacing w:line="276" w:lineRule="auto"/>
            <w:rPr>
              <w:rFonts w:ascii="Calibri" w:eastAsia="MS Gothic" w:hAnsi="Calibri"/>
              <w:b/>
              <w:bCs/>
              <w:color w:val="4F81BD"/>
            </w:rPr>
          </w:pPr>
        </w:p>
      </w:tc>
      <w:tc>
        <w:tcPr>
          <w:tcW w:w="0" w:type="auto"/>
          <w:vMerge/>
          <w:vAlign w:val="center"/>
          <w:hideMark/>
        </w:tcPr>
        <w:p w:rsidR="00575A4A" w:rsidRPr="005A3173" w:rsidRDefault="00575A4A" w:rsidP="005A3173">
          <w:pPr>
            <w:rPr>
              <w:rFonts w:ascii="Calibri" w:hAnsi="Calibri"/>
              <w:color w:val="365F91"/>
              <w:sz w:val="22"/>
              <w:szCs w:val="22"/>
            </w:rPr>
          </w:pPr>
        </w:p>
      </w:tc>
      <w:tc>
        <w:tcPr>
          <w:tcW w:w="2250" w:type="pct"/>
          <w:tcBorders>
            <w:top w:val="single" w:sz="4" w:space="0" w:color="4F81BD"/>
            <w:left w:val="nil"/>
            <w:bottom w:val="nil"/>
            <w:right w:val="nil"/>
          </w:tcBorders>
        </w:tcPr>
        <w:p w:rsidR="00575A4A" w:rsidRPr="005A3173" w:rsidRDefault="00575A4A" w:rsidP="005A3173">
          <w:pPr>
            <w:pStyle w:val="Header"/>
            <w:spacing w:line="276" w:lineRule="auto"/>
            <w:rPr>
              <w:rFonts w:ascii="Calibri" w:eastAsia="MS Gothic" w:hAnsi="Calibri"/>
              <w:b/>
              <w:bCs/>
              <w:color w:val="4F81BD"/>
            </w:rPr>
          </w:pPr>
        </w:p>
      </w:tc>
    </w:tr>
  </w:tbl>
  <w:p w:rsidR="00575A4A" w:rsidRDefault="00575A4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5A4A" w:rsidRDefault="00575A4A">
    <w:pPr>
      <w:pStyle w:val="Footer"/>
    </w:pPr>
  </w:p>
  <w:p w:rsidR="00575A4A" w:rsidRDefault="00575A4A"/>
  <w:p w:rsidR="00575A4A" w:rsidRDefault="00575A4A"/>
  <w:p w:rsidR="00575A4A" w:rsidRDefault="00575A4A" w:rsidP="00575A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500684"/>
      <w:docPartObj>
        <w:docPartGallery w:val="Page Numbers (Bottom of Page)"/>
        <w:docPartUnique/>
      </w:docPartObj>
    </w:sdtPr>
    <w:sdtEndPr>
      <w:rPr>
        <w:rFonts w:ascii="Arial" w:hAnsi="Arial" w:cs="Arial"/>
        <w:noProof/>
        <w:sz w:val="22"/>
        <w:szCs w:val="22"/>
      </w:rPr>
    </w:sdtEndPr>
    <w:sdtContent>
      <w:p w:rsidR="00575A4A" w:rsidRPr="00F92B82" w:rsidRDefault="00575A4A">
        <w:pPr>
          <w:pStyle w:val="Footer"/>
          <w:jc w:val="center"/>
          <w:rPr>
            <w:rFonts w:ascii="Arial" w:hAnsi="Arial" w:cs="Arial"/>
            <w:sz w:val="22"/>
            <w:szCs w:val="22"/>
          </w:rPr>
        </w:pPr>
        <w:r w:rsidRPr="00F92B82">
          <w:rPr>
            <w:rFonts w:ascii="Arial" w:hAnsi="Arial" w:cs="Arial"/>
            <w:sz w:val="22"/>
            <w:szCs w:val="22"/>
          </w:rPr>
          <w:fldChar w:fldCharType="begin"/>
        </w:r>
        <w:r w:rsidRPr="00F92B82">
          <w:rPr>
            <w:rFonts w:ascii="Arial" w:hAnsi="Arial" w:cs="Arial"/>
            <w:sz w:val="22"/>
            <w:szCs w:val="22"/>
          </w:rPr>
          <w:instrText xml:space="preserve"> PAGE   \* MERGEFORMAT </w:instrText>
        </w:r>
        <w:r w:rsidRPr="00F92B82">
          <w:rPr>
            <w:rFonts w:ascii="Arial" w:hAnsi="Arial" w:cs="Arial"/>
            <w:sz w:val="22"/>
            <w:szCs w:val="22"/>
          </w:rPr>
          <w:fldChar w:fldCharType="separate"/>
        </w:r>
        <w:r w:rsidR="004C402D">
          <w:rPr>
            <w:rFonts w:ascii="Arial" w:hAnsi="Arial" w:cs="Arial"/>
            <w:noProof/>
            <w:sz w:val="22"/>
            <w:szCs w:val="22"/>
          </w:rPr>
          <w:t>1</w:t>
        </w:r>
        <w:r w:rsidRPr="00F92B82">
          <w:rPr>
            <w:rFonts w:ascii="Arial" w:hAnsi="Arial" w:cs="Arial"/>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75A4A" w:rsidTr="005A3173">
      <w:trPr>
        <w:trHeight w:val="151"/>
      </w:trPr>
      <w:tc>
        <w:tcPr>
          <w:tcW w:w="2250" w:type="pct"/>
          <w:tcBorders>
            <w:top w:val="nil"/>
            <w:left w:val="nil"/>
            <w:bottom w:val="single" w:sz="4" w:space="0" w:color="4F81BD"/>
            <w:right w:val="nil"/>
          </w:tcBorders>
        </w:tcPr>
        <w:p w:rsidR="00575A4A" w:rsidRPr="005A3173" w:rsidRDefault="00575A4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75A4A" w:rsidRPr="005A3173" w:rsidRDefault="00575A4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75A4A" w:rsidRPr="005A3173" w:rsidRDefault="00575A4A" w:rsidP="005A3173">
          <w:pPr>
            <w:pStyle w:val="Header"/>
            <w:spacing w:line="276" w:lineRule="auto"/>
            <w:rPr>
              <w:rFonts w:ascii="Calibri" w:eastAsia="MS Gothic" w:hAnsi="Calibri"/>
              <w:b/>
              <w:bCs/>
              <w:color w:val="4F81BD"/>
            </w:rPr>
          </w:pPr>
        </w:p>
      </w:tc>
    </w:tr>
    <w:tr w:rsidR="00575A4A" w:rsidTr="005A3173">
      <w:trPr>
        <w:trHeight w:val="150"/>
      </w:trPr>
      <w:tc>
        <w:tcPr>
          <w:tcW w:w="2250" w:type="pct"/>
          <w:tcBorders>
            <w:top w:val="single" w:sz="4" w:space="0" w:color="4F81BD"/>
            <w:left w:val="nil"/>
            <w:bottom w:val="nil"/>
            <w:right w:val="nil"/>
          </w:tcBorders>
        </w:tcPr>
        <w:p w:rsidR="00575A4A" w:rsidRPr="005A3173" w:rsidRDefault="00575A4A" w:rsidP="005A3173">
          <w:pPr>
            <w:pStyle w:val="Header"/>
            <w:spacing w:line="276" w:lineRule="auto"/>
            <w:rPr>
              <w:rFonts w:ascii="Calibri" w:eastAsia="MS Gothic" w:hAnsi="Calibri"/>
              <w:b/>
              <w:bCs/>
              <w:color w:val="4F81BD"/>
            </w:rPr>
          </w:pPr>
        </w:p>
      </w:tc>
      <w:tc>
        <w:tcPr>
          <w:tcW w:w="0" w:type="auto"/>
          <w:vMerge/>
          <w:vAlign w:val="center"/>
          <w:hideMark/>
        </w:tcPr>
        <w:p w:rsidR="00575A4A" w:rsidRPr="005A3173" w:rsidRDefault="00575A4A" w:rsidP="005A3173">
          <w:pPr>
            <w:rPr>
              <w:rFonts w:ascii="Calibri" w:hAnsi="Calibri"/>
              <w:color w:val="365F91"/>
              <w:sz w:val="22"/>
              <w:szCs w:val="22"/>
            </w:rPr>
          </w:pPr>
        </w:p>
      </w:tc>
      <w:tc>
        <w:tcPr>
          <w:tcW w:w="2250" w:type="pct"/>
          <w:tcBorders>
            <w:top w:val="single" w:sz="4" w:space="0" w:color="4F81BD"/>
            <w:left w:val="nil"/>
            <w:bottom w:val="nil"/>
            <w:right w:val="nil"/>
          </w:tcBorders>
        </w:tcPr>
        <w:p w:rsidR="00575A4A" w:rsidRPr="005A3173" w:rsidRDefault="00575A4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75A4A" w:rsidTr="005A3173">
      <w:trPr>
        <w:trHeight w:val="151"/>
      </w:trPr>
      <w:tc>
        <w:tcPr>
          <w:tcW w:w="2250" w:type="pct"/>
          <w:tcBorders>
            <w:top w:val="nil"/>
            <w:left w:val="nil"/>
            <w:bottom w:val="single" w:sz="4" w:space="0" w:color="4F81BD"/>
            <w:right w:val="nil"/>
          </w:tcBorders>
        </w:tcPr>
        <w:p w:rsidR="00575A4A" w:rsidRPr="005A3173" w:rsidRDefault="00575A4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75A4A" w:rsidRPr="005A3173" w:rsidRDefault="00575A4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75A4A" w:rsidRPr="005A3173" w:rsidRDefault="00575A4A" w:rsidP="005A3173">
          <w:pPr>
            <w:pStyle w:val="Header"/>
            <w:spacing w:line="276" w:lineRule="auto"/>
            <w:rPr>
              <w:rFonts w:ascii="Calibri" w:eastAsia="MS Gothic" w:hAnsi="Calibri"/>
              <w:b/>
              <w:bCs/>
              <w:color w:val="4F81BD"/>
            </w:rPr>
          </w:pPr>
        </w:p>
      </w:tc>
    </w:tr>
    <w:tr w:rsidR="00575A4A" w:rsidTr="005A3173">
      <w:trPr>
        <w:trHeight w:val="150"/>
      </w:trPr>
      <w:tc>
        <w:tcPr>
          <w:tcW w:w="2250" w:type="pct"/>
          <w:tcBorders>
            <w:top w:val="single" w:sz="4" w:space="0" w:color="4F81BD"/>
            <w:left w:val="nil"/>
            <w:bottom w:val="nil"/>
            <w:right w:val="nil"/>
          </w:tcBorders>
        </w:tcPr>
        <w:p w:rsidR="00575A4A" w:rsidRPr="005A3173" w:rsidRDefault="00575A4A" w:rsidP="005A3173">
          <w:pPr>
            <w:pStyle w:val="Header"/>
            <w:spacing w:line="276" w:lineRule="auto"/>
            <w:rPr>
              <w:rFonts w:ascii="Calibri" w:eastAsia="MS Gothic" w:hAnsi="Calibri"/>
              <w:b/>
              <w:bCs/>
              <w:color w:val="4F81BD"/>
            </w:rPr>
          </w:pPr>
        </w:p>
      </w:tc>
      <w:tc>
        <w:tcPr>
          <w:tcW w:w="0" w:type="auto"/>
          <w:vMerge/>
          <w:vAlign w:val="center"/>
          <w:hideMark/>
        </w:tcPr>
        <w:p w:rsidR="00575A4A" w:rsidRPr="005A3173" w:rsidRDefault="00575A4A" w:rsidP="005A3173">
          <w:pPr>
            <w:rPr>
              <w:rFonts w:ascii="Calibri" w:hAnsi="Calibri"/>
              <w:color w:val="365F91"/>
              <w:sz w:val="22"/>
              <w:szCs w:val="22"/>
            </w:rPr>
          </w:pPr>
        </w:p>
      </w:tc>
      <w:tc>
        <w:tcPr>
          <w:tcW w:w="2250" w:type="pct"/>
          <w:tcBorders>
            <w:top w:val="single" w:sz="4" w:space="0" w:color="4F81BD"/>
            <w:left w:val="nil"/>
            <w:bottom w:val="nil"/>
            <w:right w:val="nil"/>
          </w:tcBorders>
        </w:tcPr>
        <w:p w:rsidR="00575A4A" w:rsidRPr="005A3173" w:rsidRDefault="00575A4A" w:rsidP="005A3173">
          <w:pPr>
            <w:pStyle w:val="Header"/>
            <w:spacing w:line="276" w:lineRule="auto"/>
            <w:rPr>
              <w:rFonts w:ascii="Calibri" w:eastAsia="MS Gothic" w:hAnsi="Calibri"/>
              <w:b/>
              <w:bCs/>
              <w:color w:val="4F81BD"/>
            </w:rPr>
          </w:pPr>
        </w:p>
      </w:tc>
    </w:tr>
  </w:tbl>
  <w:p w:rsidR="00575A4A" w:rsidRPr="007C0F57" w:rsidRDefault="00575A4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75A4A" w:rsidRPr="007C0F57" w:rsidRDefault="00575A4A" w:rsidP="007C0F57">
    <w:pPr>
      <w:pStyle w:val="Footer"/>
      <w:jc w:val="center"/>
      <w:rPr>
        <w:b/>
        <w:i/>
        <w:sz w:val="20"/>
        <w:szCs w:val="20"/>
      </w:rPr>
    </w:pPr>
    <w:r w:rsidRPr="007C0F57">
      <w:rPr>
        <w:b/>
        <w:i/>
        <w:sz w:val="20"/>
        <w:szCs w:val="20"/>
      </w:rPr>
      <w:t>Commercial-in-Confidence</w:t>
    </w:r>
  </w:p>
  <w:p w:rsidR="00575A4A" w:rsidRDefault="00575A4A"/>
  <w:p w:rsidR="00575A4A" w:rsidRDefault="00575A4A"/>
  <w:p w:rsidR="00575A4A" w:rsidRDefault="00575A4A" w:rsidP="00575A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A4A" w:rsidRDefault="00575A4A">
      <w:r>
        <w:separator/>
      </w:r>
    </w:p>
    <w:p w:rsidR="00575A4A" w:rsidRDefault="00575A4A"/>
    <w:p w:rsidR="00575A4A" w:rsidRDefault="00575A4A"/>
    <w:p w:rsidR="00575A4A" w:rsidRDefault="00575A4A" w:rsidP="00575A4A"/>
  </w:footnote>
  <w:footnote w:type="continuationSeparator" w:id="0">
    <w:p w:rsidR="00575A4A" w:rsidRDefault="00575A4A">
      <w:r>
        <w:continuationSeparator/>
      </w:r>
    </w:p>
    <w:p w:rsidR="00575A4A" w:rsidRDefault="00575A4A"/>
    <w:p w:rsidR="00575A4A" w:rsidRDefault="00575A4A"/>
    <w:p w:rsidR="00575A4A" w:rsidRDefault="00575A4A" w:rsidP="00575A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75A4A" w:rsidRPr="008E0D90" w:rsidTr="00A06225">
      <w:trPr>
        <w:trHeight w:val="151"/>
      </w:trPr>
      <w:tc>
        <w:tcPr>
          <w:tcW w:w="2389" w:type="pct"/>
          <w:tcBorders>
            <w:top w:val="nil"/>
            <w:left w:val="nil"/>
            <w:bottom w:val="single" w:sz="4" w:space="0" w:color="4F81BD"/>
            <w:right w:val="nil"/>
          </w:tcBorders>
        </w:tcPr>
        <w:p w:rsidR="00575A4A" w:rsidRPr="00A06225" w:rsidRDefault="00575A4A">
          <w:pPr>
            <w:pStyle w:val="Header"/>
            <w:spacing w:line="276" w:lineRule="auto"/>
            <w:rPr>
              <w:rFonts w:ascii="Cambria" w:eastAsia="MS Gothic" w:hAnsi="Cambria"/>
              <w:b/>
              <w:bCs/>
              <w:color w:val="4F81BD"/>
            </w:rPr>
          </w:pPr>
        </w:p>
      </w:tc>
      <w:tc>
        <w:tcPr>
          <w:tcW w:w="333" w:type="pct"/>
          <w:vMerge w:val="restart"/>
          <w:noWrap/>
          <w:vAlign w:val="center"/>
          <w:hideMark/>
        </w:tcPr>
        <w:p w:rsidR="00575A4A" w:rsidRPr="00A06225" w:rsidRDefault="00575A4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75A4A" w:rsidRPr="00A06225" w:rsidRDefault="00575A4A">
          <w:pPr>
            <w:pStyle w:val="Header"/>
            <w:spacing w:line="276" w:lineRule="auto"/>
            <w:rPr>
              <w:rFonts w:ascii="Cambria" w:eastAsia="MS Gothic" w:hAnsi="Cambria"/>
              <w:b/>
              <w:bCs/>
              <w:color w:val="4F81BD"/>
            </w:rPr>
          </w:pPr>
        </w:p>
      </w:tc>
    </w:tr>
    <w:tr w:rsidR="00575A4A" w:rsidRPr="008E0D90" w:rsidTr="00A06225">
      <w:trPr>
        <w:trHeight w:val="150"/>
      </w:trPr>
      <w:tc>
        <w:tcPr>
          <w:tcW w:w="2389" w:type="pct"/>
          <w:tcBorders>
            <w:top w:val="single" w:sz="4" w:space="0" w:color="4F81BD"/>
            <w:left w:val="nil"/>
            <w:bottom w:val="nil"/>
            <w:right w:val="nil"/>
          </w:tcBorders>
        </w:tcPr>
        <w:p w:rsidR="00575A4A" w:rsidRPr="00A06225" w:rsidRDefault="00575A4A">
          <w:pPr>
            <w:pStyle w:val="Header"/>
            <w:spacing w:line="276" w:lineRule="auto"/>
            <w:rPr>
              <w:rFonts w:ascii="Cambria" w:eastAsia="MS Gothic" w:hAnsi="Cambria"/>
              <w:b/>
              <w:bCs/>
              <w:color w:val="4F81BD"/>
            </w:rPr>
          </w:pPr>
        </w:p>
      </w:tc>
      <w:tc>
        <w:tcPr>
          <w:tcW w:w="0" w:type="auto"/>
          <w:vMerge/>
          <w:vAlign w:val="center"/>
          <w:hideMark/>
        </w:tcPr>
        <w:p w:rsidR="00575A4A" w:rsidRPr="00A06225" w:rsidRDefault="00575A4A">
          <w:pPr>
            <w:rPr>
              <w:rFonts w:ascii="Cambria" w:hAnsi="Cambria"/>
              <w:color w:val="4F81BD"/>
              <w:sz w:val="22"/>
              <w:szCs w:val="22"/>
            </w:rPr>
          </w:pPr>
        </w:p>
      </w:tc>
      <w:tc>
        <w:tcPr>
          <w:tcW w:w="2278" w:type="pct"/>
          <w:tcBorders>
            <w:top w:val="single" w:sz="4" w:space="0" w:color="4F81BD"/>
            <w:left w:val="nil"/>
            <w:bottom w:val="nil"/>
            <w:right w:val="nil"/>
          </w:tcBorders>
        </w:tcPr>
        <w:p w:rsidR="00575A4A" w:rsidRPr="00A06225" w:rsidRDefault="00575A4A">
          <w:pPr>
            <w:pStyle w:val="Header"/>
            <w:spacing w:line="276" w:lineRule="auto"/>
            <w:rPr>
              <w:rFonts w:ascii="Cambria" w:eastAsia="MS Gothic" w:hAnsi="Cambria"/>
              <w:b/>
              <w:bCs/>
              <w:color w:val="4F81BD"/>
            </w:rPr>
          </w:pPr>
        </w:p>
      </w:tc>
    </w:tr>
  </w:tbl>
  <w:p w:rsidR="00575A4A" w:rsidRDefault="00575A4A">
    <w:pPr>
      <w:pStyle w:val="Header"/>
    </w:pPr>
  </w:p>
  <w:p w:rsidR="00575A4A" w:rsidRDefault="00575A4A"/>
  <w:p w:rsidR="00575A4A" w:rsidRDefault="00575A4A"/>
  <w:p w:rsidR="00575A4A" w:rsidRDefault="00575A4A" w:rsidP="00575A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4A" w:rsidRPr="00DF217D" w:rsidRDefault="00575A4A" w:rsidP="00F92B82">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575A4A" w:rsidRDefault="00575A4A" w:rsidP="00575A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4D033C"/>
    <w:multiLevelType w:val="multilevel"/>
    <w:tmpl w:val="9022F47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DA16416"/>
    <w:multiLevelType w:val="hybridMultilevel"/>
    <w:tmpl w:val="E22A13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8"/>
  </w:num>
  <w:num w:numId="2">
    <w:abstractNumId w:val="3"/>
  </w:num>
  <w:num w:numId="3">
    <w:abstractNumId w:val="6"/>
  </w:num>
  <w:num w:numId="4">
    <w:abstractNumId w:val="14"/>
  </w:num>
  <w:num w:numId="5">
    <w:abstractNumId w:val="16"/>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6"/>
  </w:num>
  <w:num w:numId="15">
    <w:abstractNumId w:val="16"/>
  </w:num>
  <w:num w:numId="16">
    <w:abstractNumId w:val="16"/>
  </w:num>
  <w:num w:numId="17">
    <w:abstractNumId w:val="17"/>
  </w:num>
  <w:num w:numId="18">
    <w:abstractNumId w:val="15"/>
  </w:num>
  <w:num w:numId="19">
    <w:abstractNumId w:val="5"/>
  </w:num>
  <w:num w:numId="20">
    <w:abstractNumId w:val="2"/>
  </w:num>
  <w:num w:numId="21">
    <w:abstractNumId w:val="9"/>
  </w:num>
  <w:num w:numId="22">
    <w:abstractNumId w:val="16"/>
  </w:num>
  <w:num w:numId="23">
    <w:abstractNumId w:val="16"/>
  </w:num>
  <w:num w:numId="2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B61"/>
    <w:rsid w:val="000025AD"/>
    <w:rsid w:val="00005F9F"/>
    <w:rsid w:val="0000796C"/>
    <w:rsid w:val="0002464A"/>
    <w:rsid w:val="00030658"/>
    <w:rsid w:val="0003106B"/>
    <w:rsid w:val="0003267D"/>
    <w:rsid w:val="000421A1"/>
    <w:rsid w:val="0004240E"/>
    <w:rsid w:val="00045E26"/>
    <w:rsid w:val="000514B5"/>
    <w:rsid w:val="00060E64"/>
    <w:rsid w:val="000638CB"/>
    <w:rsid w:val="00066755"/>
    <w:rsid w:val="00066ADD"/>
    <w:rsid w:val="00072007"/>
    <w:rsid w:val="00073814"/>
    <w:rsid w:val="00077143"/>
    <w:rsid w:val="00086AD9"/>
    <w:rsid w:val="000969AD"/>
    <w:rsid w:val="00096CC8"/>
    <w:rsid w:val="000A5BE9"/>
    <w:rsid w:val="000B558D"/>
    <w:rsid w:val="000C6996"/>
    <w:rsid w:val="000D23BA"/>
    <w:rsid w:val="000D6304"/>
    <w:rsid w:val="000E681E"/>
    <w:rsid w:val="000F4E6A"/>
    <w:rsid w:val="0010587F"/>
    <w:rsid w:val="001107BF"/>
    <w:rsid w:val="0012417C"/>
    <w:rsid w:val="00142395"/>
    <w:rsid w:val="00142714"/>
    <w:rsid w:val="001452ED"/>
    <w:rsid w:val="00160816"/>
    <w:rsid w:val="00180A89"/>
    <w:rsid w:val="001830CE"/>
    <w:rsid w:val="0018643B"/>
    <w:rsid w:val="00190162"/>
    <w:rsid w:val="001908CB"/>
    <w:rsid w:val="00196307"/>
    <w:rsid w:val="001A40FF"/>
    <w:rsid w:val="001A7714"/>
    <w:rsid w:val="001B017F"/>
    <w:rsid w:val="001B5129"/>
    <w:rsid w:val="001C1195"/>
    <w:rsid w:val="001C61D9"/>
    <w:rsid w:val="001D2FA3"/>
    <w:rsid w:val="00201965"/>
    <w:rsid w:val="00213CFB"/>
    <w:rsid w:val="002574BF"/>
    <w:rsid w:val="002654A2"/>
    <w:rsid w:val="00271BA1"/>
    <w:rsid w:val="00277505"/>
    <w:rsid w:val="0029458F"/>
    <w:rsid w:val="00295C08"/>
    <w:rsid w:val="002A104C"/>
    <w:rsid w:val="002A42CE"/>
    <w:rsid w:val="002A4960"/>
    <w:rsid w:val="002B1AE6"/>
    <w:rsid w:val="002B30F8"/>
    <w:rsid w:val="002C212F"/>
    <w:rsid w:val="002D0989"/>
    <w:rsid w:val="002E3153"/>
    <w:rsid w:val="002E53C9"/>
    <w:rsid w:val="002E72CA"/>
    <w:rsid w:val="002E7E6E"/>
    <w:rsid w:val="002F731D"/>
    <w:rsid w:val="00300AD6"/>
    <w:rsid w:val="00326E79"/>
    <w:rsid w:val="003367EF"/>
    <w:rsid w:val="00341AE4"/>
    <w:rsid w:val="003444A7"/>
    <w:rsid w:val="00344A8F"/>
    <w:rsid w:val="00351D2E"/>
    <w:rsid w:val="003872CF"/>
    <w:rsid w:val="0039782C"/>
    <w:rsid w:val="003A5B4A"/>
    <w:rsid w:val="003B23C5"/>
    <w:rsid w:val="003B2A75"/>
    <w:rsid w:val="003C0D05"/>
    <w:rsid w:val="003C21D1"/>
    <w:rsid w:val="003D4AC4"/>
    <w:rsid w:val="003D63B7"/>
    <w:rsid w:val="003E468B"/>
    <w:rsid w:val="003F3F11"/>
    <w:rsid w:val="003F5C8C"/>
    <w:rsid w:val="00402B46"/>
    <w:rsid w:val="004268B5"/>
    <w:rsid w:val="004465BD"/>
    <w:rsid w:val="00466ADA"/>
    <w:rsid w:val="00476245"/>
    <w:rsid w:val="00485940"/>
    <w:rsid w:val="00491134"/>
    <w:rsid w:val="004A2484"/>
    <w:rsid w:val="004A5A85"/>
    <w:rsid w:val="004A5D5D"/>
    <w:rsid w:val="004B5640"/>
    <w:rsid w:val="004C1BD7"/>
    <w:rsid w:val="004C31FF"/>
    <w:rsid w:val="004C402D"/>
    <w:rsid w:val="004C691D"/>
    <w:rsid w:val="004D24A8"/>
    <w:rsid w:val="004E1C3B"/>
    <w:rsid w:val="004E5B38"/>
    <w:rsid w:val="004E692D"/>
    <w:rsid w:val="004F5935"/>
    <w:rsid w:val="00501554"/>
    <w:rsid w:val="00514CD7"/>
    <w:rsid w:val="005319B2"/>
    <w:rsid w:val="00532C74"/>
    <w:rsid w:val="005334A9"/>
    <w:rsid w:val="00534E2E"/>
    <w:rsid w:val="00544552"/>
    <w:rsid w:val="0054586B"/>
    <w:rsid w:val="00555736"/>
    <w:rsid w:val="005573DB"/>
    <w:rsid w:val="00567C45"/>
    <w:rsid w:val="00575A4A"/>
    <w:rsid w:val="005808F5"/>
    <w:rsid w:val="00581932"/>
    <w:rsid w:val="005963BB"/>
    <w:rsid w:val="005A1463"/>
    <w:rsid w:val="005A3173"/>
    <w:rsid w:val="005A3223"/>
    <w:rsid w:val="005A3DA3"/>
    <w:rsid w:val="005A52C4"/>
    <w:rsid w:val="005A5CF4"/>
    <w:rsid w:val="005A7740"/>
    <w:rsid w:val="005D03AB"/>
    <w:rsid w:val="005D5017"/>
    <w:rsid w:val="00601A91"/>
    <w:rsid w:val="00602BA3"/>
    <w:rsid w:val="00614159"/>
    <w:rsid w:val="00617C00"/>
    <w:rsid w:val="006263BF"/>
    <w:rsid w:val="0062748A"/>
    <w:rsid w:val="00630A2C"/>
    <w:rsid w:val="00646120"/>
    <w:rsid w:val="0064785D"/>
    <w:rsid w:val="00651169"/>
    <w:rsid w:val="00653D69"/>
    <w:rsid w:val="006636DA"/>
    <w:rsid w:val="00670A76"/>
    <w:rsid w:val="006711AA"/>
    <w:rsid w:val="00672B57"/>
    <w:rsid w:val="00675622"/>
    <w:rsid w:val="006906DB"/>
    <w:rsid w:val="006A05D3"/>
    <w:rsid w:val="006A12A5"/>
    <w:rsid w:val="006B0D94"/>
    <w:rsid w:val="006B485D"/>
    <w:rsid w:val="006C1D3E"/>
    <w:rsid w:val="006C544C"/>
    <w:rsid w:val="006C708E"/>
    <w:rsid w:val="006D6EC7"/>
    <w:rsid w:val="006E5A36"/>
    <w:rsid w:val="006F5125"/>
    <w:rsid w:val="007022F0"/>
    <w:rsid w:val="00707102"/>
    <w:rsid w:val="007149D1"/>
    <w:rsid w:val="007174BB"/>
    <w:rsid w:val="00734698"/>
    <w:rsid w:val="00753D6A"/>
    <w:rsid w:val="0075723D"/>
    <w:rsid w:val="0076420C"/>
    <w:rsid w:val="007753C2"/>
    <w:rsid w:val="007838B8"/>
    <w:rsid w:val="00786775"/>
    <w:rsid w:val="007915C7"/>
    <w:rsid w:val="007B5237"/>
    <w:rsid w:val="007C0F57"/>
    <w:rsid w:val="007C40B6"/>
    <w:rsid w:val="007C729F"/>
    <w:rsid w:val="007D6CE5"/>
    <w:rsid w:val="007E1D28"/>
    <w:rsid w:val="007F2517"/>
    <w:rsid w:val="007F2641"/>
    <w:rsid w:val="007F7C36"/>
    <w:rsid w:val="008048A6"/>
    <w:rsid w:val="00806796"/>
    <w:rsid w:val="008151D6"/>
    <w:rsid w:val="00826713"/>
    <w:rsid w:val="00826F6D"/>
    <w:rsid w:val="00836BC6"/>
    <w:rsid w:val="008414FD"/>
    <w:rsid w:val="00856DDD"/>
    <w:rsid w:val="00860AF5"/>
    <w:rsid w:val="00863154"/>
    <w:rsid w:val="00863E68"/>
    <w:rsid w:val="00882085"/>
    <w:rsid w:val="00883188"/>
    <w:rsid w:val="00897D58"/>
    <w:rsid w:val="008A1956"/>
    <w:rsid w:val="008A4937"/>
    <w:rsid w:val="008A50F1"/>
    <w:rsid w:val="008B703B"/>
    <w:rsid w:val="008C2738"/>
    <w:rsid w:val="008D1400"/>
    <w:rsid w:val="008D1B5C"/>
    <w:rsid w:val="008D3C82"/>
    <w:rsid w:val="008D447E"/>
    <w:rsid w:val="008D7A41"/>
    <w:rsid w:val="008E3680"/>
    <w:rsid w:val="008E5870"/>
    <w:rsid w:val="008F1434"/>
    <w:rsid w:val="008F7355"/>
    <w:rsid w:val="009067B7"/>
    <w:rsid w:val="00930937"/>
    <w:rsid w:val="00933E6C"/>
    <w:rsid w:val="0093532F"/>
    <w:rsid w:val="00942160"/>
    <w:rsid w:val="009506CE"/>
    <w:rsid w:val="009602C5"/>
    <w:rsid w:val="00962223"/>
    <w:rsid w:val="00973280"/>
    <w:rsid w:val="00974C21"/>
    <w:rsid w:val="00976D04"/>
    <w:rsid w:val="00982DE7"/>
    <w:rsid w:val="00992D21"/>
    <w:rsid w:val="009B0F67"/>
    <w:rsid w:val="009C703C"/>
    <w:rsid w:val="009D3CAA"/>
    <w:rsid w:val="009D5D5A"/>
    <w:rsid w:val="009E6255"/>
    <w:rsid w:val="009F4E46"/>
    <w:rsid w:val="009F5B65"/>
    <w:rsid w:val="009F5F2E"/>
    <w:rsid w:val="00A06225"/>
    <w:rsid w:val="00A10F6A"/>
    <w:rsid w:val="00A128E6"/>
    <w:rsid w:val="00A2145F"/>
    <w:rsid w:val="00A227F3"/>
    <w:rsid w:val="00A36E61"/>
    <w:rsid w:val="00A37C8D"/>
    <w:rsid w:val="00A5273B"/>
    <w:rsid w:val="00A53A9D"/>
    <w:rsid w:val="00A55FEE"/>
    <w:rsid w:val="00A62C1A"/>
    <w:rsid w:val="00A6426D"/>
    <w:rsid w:val="00A6483C"/>
    <w:rsid w:val="00A70622"/>
    <w:rsid w:val="00A70977"/>
    <w:rsid w:val="00A8390C"/>
    <w:rsid w:val="00A928BD"/>
    <w:rsid w:val="00AA49C7"/>
    <w:rsid w:val="00AA4D1C"/>
    <w:rsid w:val="00AA655C"/>
    <w:rsid w:val="00AC193C"/>
    <w:rsid w:val="00AC5206"/>
    <w:rsid w:val="00AD0BC3"/>
    <w:rsid w:val="00AE11A5"/>
    <w:rsid w:val="00AE13E2"/>
    <w:rsid w:val="00AF68CC"/>
    <w:rsid w:val="00B1059E"/>
    <w:rsid w:val="00B13FA5"/>
    <w:rsid w:val="00B205AA"/>
    <w:rsid w:val="00B22E84"/>
    <w:rsid w:val="00B25F75"/>
    <w:rsid w:val="00B43369"/>
    <w:rsid w:val="00B43615"/>
    <w:rsid w:val="00B43E90"/>
    <w:rsid w:val="00B467DC"/>
    <w:rsid w:val="00B50AAD"/>
    <w:rsid w:val="00B56118"/>
    <w:rsid w:val="00B6773F"/>
    <w:rsid w:val="00B7267D"/>
    <w:rsid w:val="00B801BA"/>
    <w:rsid w:val="00B86CA0"/>
    <w:rsid w:val="00BA1452"/>
    <w:rsid w:val="00BB2ACD"/>
    <w:rsid w:val="00BB573D"/>
    <w:rsid w:val="00BB69F5"/>
    <w:rsid w:val="00BB7EC3"/>
    <w:rsid w:val="00BC4B9A"/>
    <w:rsid w:val="00BD784C"/>
    <w:rsid w:val="00BF4CB6"/>
    <w:rsid w:val="00BF701D"/>
    <w:rsid w:val="00C00DA7"/>
    <w:rsid w:val="00C12768"/>
    <w:rsid w:val="00C27B58"/>
    <w:rsid w:val="00C33A8B"/>
    <w:rsid w:val="00C35996"/>
    <w:rsid w:val="00C5342C"/>
    <w:rsid w:val="00C603D4"/>
    <w:rsid w:val="00C6256A"/>
    <w:rsid w:val="00C87CD1"/>
    <w:rsid w:val="00C91449"/>
    <w:rsid w:val="00C92D10"/>
    <w:rsid w:val="00CB1A1D"/>
    <w:rsid w:val="00CC506A"/>
    <w:rsid w:val="00CD46DC"/>
    <w:rsid w:val="00CD7550"/>
    <w:rsid w:val="00CE10C4"/>
    <w:rsid w:val="00CE27B5"/>
    <w:rsid w:val="00CE5EF2"/>
    <w:rsid w:val="00CF1E8C"/>
    <w:rsid w:val="00D014B8"/>
    <w:rsid w:val="00D0321E"/>
    <w:rsid w:val="00D04A75"/>
    <w:rsid w:val="00D1455A"/>
    <w:rsid w:val="00D3138B"/>
    <w:rsid w:val="00D3280C"/>
    <w:rsid w:val="00D3406A"/>
    <w:rsid w:val="00D419F8"/>
    <w:rsid w:val="00D469B2"/>
    <w:rsid w:val="00D73BD1"/>
    <w:rsid w:val="00D741EB"/>
    <w:rsid w:val="00D84934"/>
    <w:rsid w:val="00D90664"/>
    <w:rsid w:val="00D91271"/>
    <w:rsid w:val="00DA2CB5"/>
    <w:rsid w:val="00DA4BAC"/>
    <w:rsid w:val="00DA6999"/>
    <w:rsid w:val="00DB2B89"/>
    <w:rsid w:val="00DE1F92"/>
    <w:rsid w:val="00DE3C5B"/>
    <w:rsid w:val="00DE6D27"/>
    <w:rsid w:val="00DF217D"/>
    <w:rsid w:val="00DF26A7"/>
    <w:rsid w:val="00E15627"/>
    <w:rsid w:val="00E164B3"/>
    <w:rsid w:val="00E16910"/>
    <w:rsid w:val="00E45480"/>
    <w:rsid w:val="00E51A3F"/>
    <w:rsid w:val="00E65E54"/>
    <w:rsid w:val="00E80155"/>
    <w:rsid w:val="00E822EB"/>
    <w:rsid w:val="00E848C0"/>
    <w:rsid w:val="00E91B96"/>
    <w:rsid w:val="00E941A1"/>
    <w:rsid w:val="00E942C4"/>
    <w:rsid w:val="00E95CE3"/>
    <w:rsid w:val="00EA2825"/>
    <w:rsid w:val="00EB5088"/>
    <w:rsid w:val="00ED1644"/>
    <w:rsid w:val="00ED2593"/>
    <w:rsid w:val="00ED7A6A"/>
    <w:rsid w:val="00EF44A0"/>
    <w:rsid w:val="00EF4FED"/>
    <w:rsid w:val="00EF6CA8"/>
    <w:rsid w:val="00F0010C"/>
    <w:rsid w:val="00F00287"/>
    <w:rsid w:val="00F050BD"/>
    <w:rsid w:val="00F05657"/>
    <w:rsid w:val="00F25578"/>
    <w:rsid w:val="00F258E5"/>
    <w:rsid w:val="00F300BC"/>
    <w:rsid w:val="00F3334E"/>
    <w:rsid w:val="00F33411"/>
    <w:rsid w:val="00F50EC4"/>
    <w:rsid w:val="00F579A4"/>
    <w:rsid w:val="00F57A6D"/>
    <w:rsid w:val="00F638CC"/>
    <w:rsid w:val="00F64CC1"/>
    <w:rsid w:val="00F82397"/>
    <w:rsid w:val="00F8247A"/>
    <w:rsid w:val="00F92B82"/>
    <w:rsid w:val="00F9629A"/>
    <w:rsid w:val="00FA5883"/>
    <w:rsid w:val="00FA6055"/>
    <w:rsid w:val="00FA7D0E"/>
    <w:rsid w:val="00FB322F"/>
    <w:rsid w:val="00FB442F"/>
    <w:rsid w:val="00FC1929"/>
    <w:rsid w:val="00FC5B46"/>
    <w:rsid w:val="00FE0E94"/>
    <w:rsid w:val="00FF00BD"/>
    <w:rsid w:val="00FF1ED4"/>
    <w:rsid w:val="00FF2801"/>
    <w:rsid w:val="00FF5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PBACHeading1"/>
    <w:next w:val="Normal"/>
    <w:qFormat/>
    <w:rsid w:val="00575A4A"/>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styleId="IntenseReference">
    <w:name w:val="Intense Reference"/>
    <w:basedOn w:val="DefaultParagraphFont"/>
    <w:uiPriority w:val="32"/>
    <w:rsid w:val="0000796C"/>
    <w:rPr>
      <w:b/>
      <w:bCs/>
      <w:smallCaps/>
      <w:color w:val="C0504D" w:themeColor="accent2"/>
      <w:spacing w:val="5"/>
      <w:u w:val="single"/>
    </w:rPr>
  </w:style>
  <w:style w:type="paragraph" w:styleId="Revision">
    <w:name w:val="Revision"/>
    <w:hidden/>
    <w:uiPriority w:val="71"/>
    <w:rsid w:val="00295C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PBACHeading1"/>
    <w:next w:val="Normal"/>
    <w:qFormat/>
    <w:rsid w:val="00575A4A"/>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styleId="IntenseReference">
    <w:name w:val="Intense Reference"/>
    <w:basedOn w:val="DefaultParagraphFont"/>
    <w:uiPriority w:val="32"/>
    <w:rsid w:val="0000796C"/>
    <w:rPr>
      <w:b/>
      <w:bCs/>
      <w:smallCaps/>
      <w:color w:val="C0504D" w:themeColor="accent2"/>
      <w:spacing w:val="5"/>
      <w:u w:val="single"/>
    </w:rPr>
  </w:style>
  <w:style w:type="paragraph" w:styleId="Revision">
    <w:name w:val="Revision"/>
    <w:hidden/>
    <w:uiPriority w:val="71"/>
    <w:rsid w:val="00295C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BF261-36BF-4123-BE7F-B59F35A1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1515</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2016-10-04T05:00:00Z</dcterms:created>
  <dcterms:modified xsi:type="dcterms:W3CDTF">2016-10-04T05:24:00Z</dcterms:modified>
</cp:coreProperties>
</file>