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76A" w:rsidRPr="007F0F85" w:rsidRDefault="003C6A80" w:rsidP="007F0F85">
      <w:pPr>
        <w:pStyle w:val="Title"/>
      </w:pPr>
      <w:bookmarkStart w:id="0" w:name="_Toc451246913"/>
      <w:r w:rsidRPr="00682EE4">
        <w:t>5.0</w:t>
      </w:r>
      <w:r w:rsidR="009D10F1" w:rsidRPr="00682EE4">
        <w:t>8</w:t>
      </w:r>
      <w:r w:rsidR="00B60939" w:rsidRPr="00682EE4">
        <w:tab/>
      </w:r>
      <w:r w:rsidR="00934C6D" w:rsidRPr="007F0F85">
        <w:t>Etanercept</w:t>
      </w:r>
      <w:r w:rsidR="0055408F" w:rsidRPr="007F0F85">
        <w:t xml:space="preserve">, </w:t>
      </w:r>
    </w:p>
    <w:p w:rsidR="007C276A" w:rsidRPr="007F0F85" w:rsidRDefault="004B6EE0" w:rsidP="007F0F85">
      <w:pPr>
        <w:pStyle w:val="Title"/>
        <w:ind w:hanging="11"/>
      </w:pPr>
      <w:r w:rsidRPr="007F0F85">
        <w:t>subcutane</w:t>
      </w:r>
      <w:bookmarkStart w:id="1" w:name="_GoBack"/>
      <w:bookmarkEnd w:id="1"/>
      <w:r w:rsidRPr="007F0F85">
        <w:t>ous injection</w:t>
      </w:r>
      <w:r w:rsidR="00B60939" w:rsidRPr="007F0F85">
        <w:t xml:space="preserve">, </w:t>
      </w:r>
      <w:r w:rsidRPr="007F0F85">
        <w:t>50mg</w:t>
      </w:r>
      <w:r w:rsidR="0055408F" w:rsidRPr="007F0F85">
        <w:t xml:space="preserve">, </w:t>
      </w:r>
    </w:p>
    <w:p w:rsidR="00B60939" w:rsidRPr="007F0F85" w:rsidRDefault="004B6EE0" w:rsidP="007F0F85">
      <w:pPr>
        <w:pStyle w:val="Title"/>
        <w:ind w:hanging="11"/>
      </w:pPr>
      <w:r w:rsidRPr="007F0F85">
        <w:t>Brenzys</w:t>
      </w:r>
      <w:r w:rsidR="00B60939" w:rsidRPr="007F0F85">
        <w:t>®</w:t>
      </w:r>
      <w:r w:rsidR="007C276A" w:rsidRPr="007F0F85">
        <w:t xml:space="preserve">, </w:t>
      </w:r>
      <w:bookmarkEnd w:id="0"/>
      <w:r w:rsidR="00897A0F" w:rsidRPr="007F0F85">
        <w:t>Merck Sharp &amp; Dohme Pty Ltd</w:t>
      </w:r>
    </w:p>
    <w:p w:rsidR="00433044" w:rsidRDefault="00433044" w:rsidP="00433044"/>
    <w:p w:rsidR="00897A0F" w:rsidRPr="00682EE4" w:rsidRDefault="00897A0F" w:rsidP="00433044"/>
    <w:p w:rsidR="00B50DB8" w:rsidRPr="007F0F85" w:rsidRDefault="00B50DB8" w:rsidP="007F0F85">
      <w:pPr>
        <w:pStyle w:val="PBACHeading1"/>
      </w:pPr>
      <w:bookmarkStart w:id="2" w:name="_Toc451246915"/>
      <w:r w:rsidRPr="007F0F85">
        <w:t>Purpose of Application</w:t>
      </w:r>
      <w:bookmarkEnd w:id="2"/>
    </w:p>
    <w:p w:rsidR="00B60939" w:rsidRPr="00682EE4" w:rsidRDefault="00B60939" w:rsidP="00B60939">
      <w:pPr>
        <w:rPr>
          <w:szCs w:val="22"/>
        </w:rPr>
      </w:pPr>
    </w:p>
    <w:p w:rsidR="004E43B2" w:rsidRPr="00682EE4" w:rsidRDefault="0075756B" w:rsidP="004B1CB4">
      <w:pPr>
        <w:pStyle w:val="ListParagraph"/>
        <w:widowControl/>
        <w:numPr>
          <w:ilvl w:val="1"/>
          <w:numId w:val="1"/>
        </w:numPr>
        <w:rPr>
          <w:szCs w:val="22"/>
        </w:rPr>
      </w:pPr>
      <w:r w:rsidRPr="00682EE4">
        <w:t xml:space="preserve">The submission was seeking listing of </w:t>
      </w:r>
      <w:r w:rsidR="0054790C" w:rsidRPr="00682EE4">
        <w:t xml:space="preserve">the biosimilar </w:t>
      </w:r>
      <w:r w:rsidR="00934C6D" w:rsidRPr="00682EE4">
        <w:t>Brenzys</w:t>
      </w:r>
      <w:r w:rsidR="00237449" w:rsidRPr="00682EE4">
        <w:rPr>
          <w:vertAlign w:val="superscript"/>
        </w:rPr>
        <w:t>®</w:t>
      </w:r>
      <w:r w:rsidRPr="00682EE4">
        <w:t xml:space="preserve"> for all indications for which etanercept </w:t>
      </w:r>
      <w:r w:rsidR="002D0502" w:rsidRPr="00682EE4">
        <w:t>(Enbrel</w:t>
      </w:r>
      <w:r w:rsidR="002D0502" w:rsidRPr="00682EE4">
        <w:rPr>
          <w:vertAlign w:val="superscript"/>
        </w:rPr>
        <w:t>®</w:t>
      </w:r>
      <w:r w:rsidR="002D0502" w:rsidRPr="00682EE4">
        <w:t xml:space="preserve">) </w:t>
      </w:r>
      <w:r w:rsidRPr="00682EE4">
        <w:t>is currently PBS</w:t>
      </w:r>
      <w:r w:rsidR="002D0502" w:rsidRPr="00682EE4">
        <w:t>-</w:t>
      </w:r>
      <w:r w:rsidRPr="00682EE4">
        <w:t>listed.  These include: rheumatoid arthritis</w:t>
      </w:r>
      <w:r w:rsidR="00E44F74" w:rsidRPr="00682EE4">
        <w:t xml:space="preserve"> (RA)</w:t>
      </w:r>
      <w:r w:rsidRPr="00682EE4">
        <w:t>, ankylosing spondylitis</w:t>
      </w:r>
      <w:r w:rsidR="00E44F74" w:rsidRPr="00682EE4">
        <w:t xml:space="preserve"> (AS)</w:t>
      </w:r>
      <w:r w:rsidRPr="00682EE4">
        <w:t>, psoriatic arthritis</w:t>
      </w:r>
      <w:r w:rsidR="00E44F74" w:rsidRPr="00682EE4">
        <w:t xml:space="preserve"> (PsA)</w:t>
      </w:r>
      <w:r w:rsidRPr="00682EE4">
        <w:t xml:space="preserve">, plaque psoriasis, juvenile idiopathic arthritis </w:t>
      </w:r>
      <w:r w:rsidR="00F70F24" w:rsidRPr="00682EE4">
        <w:t>and</w:t>
      </w:r>
      <w:r w:rsidRPr="00682EE4">
        <w:t xml:space="preserve"> paediatric plaque psoriasis</w:t>
      </w:r>
      <w:r w:rsidR="00F70F24" w:rsidRPr="00682EE4">
        <w:t xml:space="preserve">.  All are currently listed as authority required on the PBS general schedule.  </w:t>
      </w:r>
      <w:r w:rsidRPr="00682EE4">
        <w:t xml:space="preserve"> </w:t>
      </w:r>
    </w:p>
    <w:p w:rsidR="007D5D61" w:rsidRPr="00682EE4" w:rsidRDefault="007D5D61" w:rsidP="007D5D61">
      <w:pPr>
        <w:pStyle w:val="ListParagraph"/>
        <w:widowControl/>
        <w:rPr>
          <w:szCs w:val="22"/>
        </w:rPr>
      </w:pPr>
    </w:p>
    <w:p w:rsidR="005F21C8" w:rsidRPr="00682EE4" w:rsidRDefault="007D5D61" w:rsidP="005F21C8">
      <w:pPr>
        <w:pStyle w:val="ListParagraph"/>
        <w:widowControl/>
        <w:numPr>
          <w:ilvl w:val="1"/>
          <w:numId w:val="1"/>
        </w:numPr>
      </w:pPr>
      <w:r w:rsidRPr="00E26DF8">
        <w:rPr>
          <w:szCs w:val="22"/>
        </w:rPr>
        <w:t xml:space="preserve">The submission requested </w:t>
      </w:r>
      <w:r w:rsidR="00E26DF8" w:rsidRPr="00E26DF8">
        <w:rPr>
          <w:szCs w:val="22"/>
        </w:rPr>
        <w:t>“a limited “a”-flagging system for B</w:t>
      </w:r>
      <w:r w:rsidR="00A0104A">
        <w:rPr>
          <w:szCs w:val="22"/>
        </w:rPr>
        <w:t>renzys</w:t>
      </w:r>
      <w:r w:rsidR="00E26DF8" w:rsidRPr="00E26DF8">
        <w:rPr>
          <w:szCs w:val="22"/>
        </w:rPr>
        <w:t xml:space="preserve"> where substitution is permitted at a pharmacy level for naïve to molecule patients only” (</w:t>
      </w:r>
      <w:r w:rsidR="00A0104A">
        <w:rPr>
          <w:szCs w:val="22"/>
        </w:rPr>
        <w:t>Source: the</w:t>
      </w:r>
      <w:r w:rsidR="00E26DF8" w:rsidRPr="00E26DF8">
        <w:rPr>
          <w:szCs w:val="22"/>
        </w:rPr>
        <w:t xml:space="preserve"> submission). </w:t>
      </w:r>
    </w:p>
    <w:p w:rsidR="005F21C8" w:rsidRDefault="005F21C8" w:rsidP="005F21C8"/>
    <w:p w:rsidR="00897A0F" w:rsidRPr="00682EE4" w:rsidRDefault="00897A0F" w:rsidP="005F21C8"/>
    <w:p w:rsidR="00B50DB8" w:rsidRPr="00682EE4" w:rsidRDefault="00B50DB8" w:rsidP="007F0F85">
      <w:pPr>
        <w:pStyle w:val="PBACHeading1"/>
      </w:pPr>
      <w:bookmarkStart w:id="3" w:name="_Toc451246916"/>
      <w:r w:rsidRPr="00682EE4">
        <w:t>Requested listing</w:t>
      </w:r>
      <w:bookmarkEnd w:id="3"/>
    </w:p>
    <w:p w:rsidR="00B60939" w:rsidRPr="00682EE4" w:rsidRDefault="00B60939" w:rsidP="004B1CB4"/>
    <w:p w:rsidR="00297149" w:rsidRPr="00682EE4" w:rsidRDefault="00297149" w:rsidP="00610F8E">
      <w:pPr>
        <w:pStyle w:val="ListParagraph"/>
        <w:widowControl/>
        <w:numPr>
          <w:ilvl w:val="1"/>
          <w:numId w:val="1"/>
        </w:numPr>
        <w:rPr>
          <w:szCs w:val="22"/>
        </w:rPr>
      </w:pPr>
      <w:r w:rsidRPr="00682EE4">
        <w:t xml:space="preserve">The submission was seeking listing of </w:t>
      </w:r>
      <w:r w:rsidR="00934C6D" w:rsidRPr="00682EE4">
        <w:t>Brenzys</w:t>
      </w:r>
      <w:r w:rsidRPr="00682EE4">
        <w:t xml:space="preserve"> for all indications for which etanercept is currently PBS</w:t>
      </w:r>
      <w:r w:rsidR="002D0502" w:rsidRPr="00682EE4">
        <w:t>-</w:t>
      </w:r>
      <w:r w:rsidRPr="00682EE4">
        <w:t xml:space="preserve">listed.  No changes to the wording </w:t>
      </w:r>
      <w:r w:rsidR="002D0502" w:rsidRPr="00682EE4">
        <w:t>for any of the indications</w:t>
      </w:r>
      <w:r w:rsidRPr="00682EE4">
        <w:t xml:space="preserve"> was requested.</w:t>
      </w:r>
      <w:r w:rsidR="0054790C" w:rsidRPr="00682EE4">
        <w:t xml:space="preserve"> </w:t>
      </w:r>
    </w:p>
    <w:p w:rsidR="00617E12" w:rsidRPr="00682EE4" w:rsidRDefault="00617E12" w:rsidP="00617E12"/>
    <w:tbl>
      <w:tblPr>
        <w:tblW w:w="4604" w:type="pct"/>
        <w:tblInd w:w="737" w:type="dxa"/>
        <w:tblCellMar>
          <w:left w:w="28" w:type="dxa"/>
          <w:right w:w="28" w:type="dxa"/>
        </w:tblCellMar>
        <w:tblLook w:val="0000" w:firstRow="0" w:lastRow="0" w:firstColumn="0" w:lastColumn="0" w:noHBand="0" w:noVBand="0"/>
      </w:tblPr>
      <w:tblGrid>
        <w:gridCol w:w="3120"/>
        <w:gridCol w:w="708"/>
        <w:gridCol w:w="851"/>
        <w:gridCol w:w="1529"/>
        <w:gridCol w:w="657"/>
        <w:gridCol w:w="1499"/>
      </w:tblGrid>
      <w:tr w:rsidR="00B50DB8" w:rsidRPr="00682EE4" w:rsidTr="00B50DB8">
        <w:trPr>
          <w:cantSplit/>
          <w:trHeight w:val="463"/>
        </w:trPr>
        <w:tc>
          <w:tcPr>
            <w:tcW w:w="1865" w:type="pct"/>
            <w:tcBorders>
              <w:bottom w:val="single" w:sz="4" w:space="0" w:color="auto"/>
            </w:tcBorders>
            <w:vAlign w:val="center"/>
          </w:tcPr>
          <w:p w:rsidR="00617E12" w:rsidRPr="00682EE4" w:rsidRDefault="00617E12" w:rsidP="00617E12">
            <w:pPr>
              <w:keepNext/>
              <w:jc w:val="left"/>
              <w:rPr>
                <w:rFonts w:ascii="Arial Narrow" w:hAnsi="Arial Narrow"/>
                <w:sz w:val="20"/>
              </w:rPr>
            </w:pPr>
            <w:r w:rsidRPr="00682EE4">
              <w:rPr>
                <w:rFonts w:ascii="Arial Narrow" w:hAnsi="Arial Narrow"/>
                <w:sz w:val="20"/>
              </w:rPr>
              <w:t>Name, Restriction,</w:t>
            </w:r>
          </w:p>
          <w:p w:rsidR="00617E12" w:rsidRPr="00682EE4" w:rsidRDefault="00617E12" w:rsidP="00617E12">
            <w:pPr>
              <w:keepNext/>
              <w:jc w:val="left"/>
              <w:rPr>
                <w:rFonts w:ascii="Arial Narrow" w:hAnsi="Arial Narrow"/>
                <w:sz w:val="20"/>
              </w:rPr>
            </w:pPr>
            <w:r w:rsidRPr="00682EE4">
              <w:rPr>
                <w:rFonts w:ascii="Arial Narrow" w:hAnsi="Arial Narrow"/>
                <w:sz w:val="20"/>
              </w:rPr>
              <w:t>Manner of administration and form</w:t>
            </w:r>
          </w:p>
        </w:tc>
        <w:tc>
          <w:tcPr>
            <w:tcW w:w="423" w:type="pct"/>
            <w:tcBorders>
              <w:bottom w:val="single" w:sz="4" w:space="0" w:color="auto"/>
            </w:tcBorders>
            <w:vAlign w:val="center"/>
          </w:tcPr>
          <w:p w:rsidR="00617E12" w:rsidRPr="00682EE4" w:rsidRDefault="00617E12" w:rsidP="00617E12">
            <w:pPr>
              <w:keepNext/>
              <w:jc w:val="center"/>
              <w:rPr>
                <w:rFonts w:ascii="Arial Narrow" w:hAnsi="Arial Narrow"/>
                <w:sz w:val="20"/>
              </w:rPr>
            </w:pPr>
            <w:r w:rsidRPr="00682EE4">
              <w:rPr>
                <w:rFonts w:ascii="Arial Narrow" w:hAnsi="Arial Narrow"/>
                <w:sz w:val="20"/>
              </w:rPr>
              <w:t>Max.</w:t>
            </w:r>
          </w:p>
          <w:p w:rsidR="00617E12" w:rsidRPr="00682EE4" w:rsidRDefault="00617E12" w:rsidP="00617E12">
            <w:pPr>
              <w:keepNext/>
              <w:jc w:val="center"/>
              <w:rPr>
                <w:rFonts w:ascii="Arial Narrow" w:hAnsi="Arial Narrow"/>
                <w:sz w:val="20"/>
              </w:rPr>
            </w:pPr>
            <w:r w:rsidRPr="00682EE4">
              <w:rPr>
                <w:rFonts w:ascii="Arial Narrow" w:hAnsi="Arial Narrow"/>
                <w:sz w:val="20"/>
              </w:rPr>
              <w:t>Qty</w:t>
            </w:r>
          </w:p>
        </w:tc>
        <w:tc>
          <w:tcPr>
            <w:tcW w:w="509" w:type="pct"/>
            <w:tcBorders>
              <w:bottom w:val="single" w:sz="4" w:space="0" w:color="auto"/>
            </w:tcBorders>
            <w:vAlign w:val="center"/>
          </w:tcPr>
          <w:p w:rsidR="00617E12" w:rsidRPr="00682EE4" w:rsidRDefault="00617E12" w:rsidP="00617E12">
            <w:pPr>
              <w:keepNext/>
              <w:jc w:val="center"/>
              <w:rPr>
                <w:rFonts w:ascii="Arial Narrow" w:hAnsi="Arial Narrow"/>
                <w:sz w:val="20"/>
              </w:rPr>
            </w:pPr>
            <w:r w:rsidRPr="00682EE4">
              <w:rPr>
                <w:rFonts w:ascii="Arial Narrow" w:hAnsi="Arial Narrow"/>
                <w:sz w:val="20"/>
              </w:rPr>
              <w:t>№.of</w:t>
            </w:r>
          </w:p>
          <w:p w:rsidR="00617E12" w:rsidRPr="00682EE4" w:rsidRDefault="00617E12" w:rsidP="00617E12">
            <w:pPr>
              <w:keepNext/>
              <w:jc w:val="center"/>
              <w:rPr>
                <w:rFonts w:ascii="Arial Narrow" w:hAnsi="Arial Narrow"/>
                <w:sz w:val="20"/>
              </w:rPr>
            </w:pPr>
            <w:r w:rsidRPr="00682EE4">
              <w:rPr>
                <w:rFonts w:ascii="Arial Narrow" w:hAnsi="Arial Narrow"/>
                <w:sz w:val="20"/>
              </w:rPr>
              <w:t>Rpts</w:t>
            </w:r>
          </w:p>
        </w:tc>
        <w:tc>
          <w:tcPr>
            <w:tcW w:w="914" w:type="pct"/>
            <w:tcBorders>
              <w:bottom w:val="single" w:sz="4" w:space="0" w:color="auto"/>
            </w:tcBorders>
            <w:vAlign w:val="center"/>
          </w:tcPr>
          <w:p w:rsidR="00617E12" w:rsidRPr="00682EE4" w:rsidRDefault="00617E12" w:rsidP="00617E12">
            <w:pPr>
              <w:keepNext/>
              <w:jc w:val="center"/>
              <w:rPr>
                <w:rFonts w:ascii="Arial Narrow" w:hAnsi="Arial Narrow"/>
                <w:sz w:val="20"/>
              </w:rPr>
            </w:pPr>
            <w:r w:rsidRPr="00682EE4">
              <w:rPr>
                <w:rFonts w:ascii="Arial Narrow" w:hAnsi="Arial Narrow"/>
                <w:sz w:val="20"/>
              </w:rPr>
              <w:t>Dispensed Price for Max. Qty</w:t>
            </w:r>
          </w:p>
        </w:tc>
        <w:tc>
          <w:tcPr>
            <w:tcW w:w="1289" w:type="pct"/>
            <w:gridSpan w:val="2"/>
            <w:tcBorders>
              <w:bottom w:val="single" w:sz="4" w:space="0" w:color="auto"/>
            </w:tcBorders>
            <w:vAlign w:val="center"/>
          </w:tcPr>
          <w:p w:rsidR="00617E12" w:rsidRPr="00682EE4" w:rsidRDefault="00617E12" w:rsidP="00617E12">
            <w:pPr>
              <w:keepNext/>
              <w:jc w:val="center"/>
              <w:rPr>
                <w:rFonts w:ascii="Arial Narrow" w:hAnsi="Arial Narrow"/>
                <w:sz w:val="20"/>
              </w:rPr>
            </w:pPr>
            <w:r w:rsidRPr="00682EE4">
              <w:rPr>
                <w:rFonts w:ascii="Arial Narrow" w:hAnsi="Arial Narrow"/>
                <w:sz w:val="20"/>
              </w:rPr>
              <w:t>Proprietary Name and Manufacturer</w:t>
            </w:r>
          </w:p>
        </w:tc>
      </w:tr>
      <w:tr w:rsidR="00B50DB8" w:rsidRPr="00682EE4" w:rsidTr="00B50DB8">
        <w:trPr>
          <w:cantSplit/>
          <w:trHeight w:val="567"/>
        </w:trPr>
        <w:tc>
          <w:tcPr>
            <w:tcW w:w="1865" w:type="pct"/>
            <w:vAlign w:val="center"/>
          </w:tcPr>
          <w:p w:rsidR="00617E12" w:rsidRPr="00682EE4" w:rsidRDefault="00B14BE1" w:rsidP="00617E12">
            <w:pPr>
              <w:keepNext/>
              <w:jc w:val="left"/>
              <w:rPr>
                <w:rFonts w:ascii="Arial Narrow" w:hAnsi="Arial Narrow"/>
                <w:sz w:val="20"/>
              </w:rPr>
            </w:pPr>
            <w:r w:rsidRPr="00682EE4">
              <w:rPr>
                <w:rFonts w:ascii="Arial Narrow" w:hAnsi="Arial Narrow"/>
                <w:smallCaps/>
                <w:sz w:val="20"/>
              </w:rPr>
              <w:t>Etanercept</w:t>
            </w:r>
          </w:p>
          <w:p w:rsidR="00617E12" w:rsidRPr="00682EE4" w:rsidRDefault="00B14BE1" w:rsidP="00B14BE1">
            <w:pPr>
              <w:keepNext/>
              <w:jc w:val="left"/>
              <w:rPr>
                <w:rFonts w:ascii="Arial Narrow" w:hAnsi="Arial Narrow"/>
                <w:sz w:val="20"/>
              </w:rPr>
            </w:pPr>
            <w:r w:rsidRPr="00682EE4">
              <w:rPr>
                <w:rFonts w:ascii="Arial Narrow" w:hAnsi="Arial Narrow"/>
                <w:sz w:val="20"/>
              </w:rPr>
              <w:t>Auto-injector,</w:t>
            </w:r>
            <w:r w:rsidR="00617E12" w:rsidRPr="00682EE4">
              <w:rPr>
                <w:rFonts w:ascii="Arial Narrow" w:hAnsi="Arial Narrow"/>
                <w:sz w:val="20"/>
              </w:rPr>
              <w:t xml:space="preserve"> </w:t>
            </w:r>
            <w:r w:rsidRPr="00682EE4">
              <w:rPr>
                <w:rFonts w:ascii="Arial Narrow" w:hAnsi="Arial Narrow"/>
                <w:sz w:val="20"/>
              </w:rPr>
              <w:t>50mg (4)</w:t>
            </w:r>
          </w:p>
          <w:p w:rsidR="00B14BE1" w:rsidRPr="00682EE4" w:rsidRDefault="00B14BE1" w:rsidP="00B14BE1">
            <w:pPr>
              <w:keepNext/>
              <w:jc w:val="left"/>
              <w:rPr>
                <w:rFonts w:ascii="Arial Narrow" w:hAnsi="Arial Narrow"/>
                <w:sz w:val="20"/>
              </w:rPr>
            </w:pPr>
            <w:r w:rsidRPr="00682EE4">
              <w:rPr>
                <w:rFonts w:ascii="Arial Narrow" w:hAnsi="Arial Narrow"/>
                <w:sz w:val="20"/>
              </w:rPr>
              <w:t>Prefilled-Syringe, 50mg (4)</w:t>
            </w:r>
          </w:p>
        </w:tc>
        <w:tc>
          <w:tcPr>
            <w:tcW w:w="423" w:type="pct"/>
            <w:vAlign w:val="center"/>
          </w:tcPr>
          <w:p w:rsidR="00617E12" w:rsidRPr="00682EE4" w:rsidRDefault="00617E12" w:rsidP="00617E12">
            <w:pPr>
              <w:keepNext/>
              <w:jc w:val="center"/>
              <w:rPr>
                <w:rFonts w:ascii="Arial Narrow" w:hAnsi="Arial Narrow"/>
                <w:sz w:val="20"/>
              </w:rPr>
            </w:pPr>
          </w:p>
          <w:p w:rsidR="00617E12" w:rsidRPr="00682EE4" w:rsidRDefault="00B14BE1" w:rsidP="00B14BE1">
            <w:pPr>
              <w:keepNext/>
              <w:jc w:val="center"/>
              <w:rPr>
                <w:rFonts w:ascii="Arial Narrow" w:hAnsi="Arial Narrow"/>
                <w:sz w:val="20"/>
              </w:rPr>
            </w:pPr>
            <w:r w:rsidRPr="00682EE4">
              <w:rPr>
                <w:rFonts w:ascii="Arial Narrow" w:hAnsi="Arial Narrow"/>
                <w:sz w:val="20"/>
              </w:rPr>
              <w:t>1</w:t>
            </w:r>
          </w:p>
          <w:p w:rsidR="00B14BE1" w:rsidRPr="00682EE4" w:rsidRDefault="00B14BE1" w:rsidP="00B14BE1">
            <w:pPr>
              <w:keepNext/>
              <w:jc w:val="center"/>
              <w:rPr>
                <w:rFonts w:ascii="Arial Narrow" w:hAnsi="Arial Narrow"/>
                <w:sz w:val="20"/>
              </w:rPr>
            </w:pPr>
            <w:r w:rsidRPr="00682EE4">
              <w:rPr>
                <w:rFonts w:ascii="Arial Narrow" w:hAnsi="Arial Narrow"/>
                <w:sz w:val="20"/>
              </w:rPr>
              <w:t>1</w:t>
            </w:r>
          </w:p>
        </w:tc>
        <w:tc>
          <w:tcPr>
            <w:tcW w:w="509" w:type="pct"/>
            <w:vAlign w:val="center"/>
          </w:tcPr>
          <w:p w:rsidR="00617E12" w:rsidRPr="00682EE4" w:rsidRDefault="00617E12" w:rsidP="00617E12">
            <w:pPr>
              <w:keepNext/>
              <w:jc w:val="center"/>
              <w:rPr>
                <w:rFonts w:ascii="Arial Narrow" w:hAnsi="Arial Narrow"/>
                <w:sz w:val="20"/>
              </w:rPr>
            </w:pPr>
          </w:p>
          <w:p w:rsidR="00617E12" w:rsidRPr="00682EE4" w:rsidRDefault="00B14BE1" w:rsidP="00617E12">
            <w:pPr>
              <w:keepNext/>
              <w:jc w:val="center"/>
              <w:rPr>
                <w:rFonts w:ascii="Arial Narrow" w:hAnsi="Arial Narrow"/>
                <w:sz w:val="20"/>
              </w:rPr>
            </w:pPr>
            <w:r w:rsidRPr="00682EE4">
              <w:rPr>
                <w:rFonts w:ascii="Arial Narrow" w:hAnsi="Arial Narrow"/>
                <w:sz w:val="20"/>
              </w:rPr>
              <w:t>3</w:t>
            </w:r>
          </w:p>
          <w:p w:rsidR="00B14BE1" w:rsidRPr="00682EE4" w:rsidRDefault="00B14BE1" w:rsidP="00617E12">
            <w:pPr>
              <w:keepNext/>
              <w:jc w:val="center"/>
              <w:rPr>
                <w:rFonts w:ascii="Arial Narrow" w:hAnsi="Arial Narrow"/>
                <w:sz w:val="20"/>
              </w:rPr>
            </w:pPr>
            <w:r w:rsidRPr="00682EE4">
              <w:rPr>
                <w:rFonts w:ascii="Arial Narrow" w:hAnsi="Arial Narrow"/>
                <w:sz w:val="20"/>
              </w:rPr>
              <w:t>3</w:t>
            </w:r>
          </w:p>
        </w:tc>
        <w:tc>
          <w:tcPr>
            <w:tcW w:w="914" w:type="pct"/>
            <w:vAlign w:val="center"/>
          </w:tcPr>
          <w:p w:rsidR="00617E12" w:rsidRPr="00682EE4" w:rsidRDefault="00617E12" w:rsidP="00617E12">
            <w:pPr>
              <w:keepNext/>
              <w:jc w:val="center"/>
              <w:rPr>
                <w:rFonts w:ascii="Arial Narrow" w:hAnsi="Arial Narrow"/>
                <w:sz w:val="20"/>
              </w:rPr>
            </w:pPr>
          </w:p>
          <w:p w:rsidR="00617E12" w:rsidRPr="00682EE4" w:rsidRDefault="00B14BE1" w:rsidP="00617E12">
            <w:pPr>
              <w:keepNext/>
              <w:jc w:val="center"/>
              <w:rPr>
                <w:rFonts w:ascii="Arial Narrow" w:hAnsi="Arial Narrow"/>
                <w:sz w:val="20"/>
              </w:rPr>
            </w:pPr>
            <w:r w:rsidRPr="00682EE4">
              <w:rPr>
                <w:rFonts w:ascii="Arial Narrow" w:hAnsi="Arial Narrow"/>
                <w:sz w:val="20"/>
              </w:rPr>
              <w:t>$1493.64</w:t>
            </w:r>
          </w:p>
          <w:p w:rsidR="00B14BE1" w:rsidRPr="00682EE4" w:rsidRDefault="00B14BE1" w:rsidP="00617E12">
            <w:pPr>
              <w:keepNext/>
              <w:jc w:val="center"/>
              <w:rPr>
                <w:rFonts w:ascii="Arial Narrow" w:hAnsi="Arial Narrow"/>
                <w:sz w:val="20"/>
              </w:rPr>
            </w:pPr>
            <w:r w:rsidRPr="00682EE4">
              <w:rPr>
                <w:rFonts w:ascii="Arial Narrow" w:hAnsi="Arial Narrow"/>
                <w:sz w:val="20"/>
              </w:rPr>
              <w:t>$1493.64</w:t>
            </w:r>
          </w:p>
        </w:tc>
        <w:tc>
          <w:tcPr>
            <w:tcW w:w="393" w:type="pct"/>
            <w:vAlign w:val="center"/>
          </w:tcPr>
          <w:p w:rsidR="00617E12" w:rsidRPr="00682EE4" w:rsidRDefault="00B14BE1" w:rsidP="00617E12">
            <w:pPr>
              <w:keepNext/>
              <w:jc w:val="center"/>
              <w:rPr>
                <w:rFonts w:ascii="Arial Narrow" w:hAnsi="Arial Narrow"/>
                <w:sz w:val="20"/>
              </w:rPr>
            </w:pPr>
            <w:r w:rsidRPr="00682EE4">
              <w:rPr>
                <w:rFonts w:ascii="Arial Narrow" w:hAnsi="Arial Narrow"/>
                <w:sz w:val="20"/>
              </w:rPr>
              <w:t>Brenzys</w:t>
            </w:r>
          </w:p>
        </w:tc>
        <w:tc>
          <w:tcPr>
            <w:tcW w:w="896" w:type="pct"/>
            <w:vAlign w:val="center"/>
          </w:tcPr>
          <w:p w:rsidR="00617E12" w:rsidRPr="00682EE4" w:rsidRDefault="00B14BE1" w:rsidP="00617E12">
            <w:pPr>
              <w:keepNext/>
              <w:jc w:val="center"/>
              <w:rPr>
                <w:rFonts w:ascii="Arial Narrow" w:hAnsi="Arial Narrow"/>
                <w:sz w:val="20"/>
              </w:rPr>
            </w:pPr>
            <w:r w:rsidRPr="00682EE4">
              <w:rPr>
                <w:rFonts w:ascii="Arial Narrow" w:hAnsi="Arial Narrow"/>
                <w:sz w:val="20"/>
              </w:rPr>
              <w:t>MSD</w:t>
            </w:r>
          </w:p>
        </w:tc>
      </w:tr>
      <w:tr w:rsidR="00617E12" w:rsidRPr="00682EE4" w:rsidTr="00B50DB8">
        <w:trPr>
          <w:cantSplit/>
          <w:trHeight w:val="354"/>
        </w:trPr>
        <w:tc>
          <w:tcPr>
            <w:tcW w:w="5000" w:type="pct"/>
            <w:gridSpan w:val="6"/>
            <w:vAlign w:val="center"/>
          </w:tcPr>
          <w:p w:rsidR="00617E12" w:rsidRPr="00682EE4" w:rsidRDefault="00617E12" w:rsidP="00B14BE1">
            <w:pPr>
              <w:jc w:val="left"/>
              <w:rPr>
                <w:rFonts w:ascii="Arial Narrow" w:hAnsi="Arial Narrow"/>
                <w:sz w:val="20"/>
              </w:rPr>
            </w:pPr>
            <w:r w:rsidRPr="00682EE4">
              <w:rPr>
                <w:rFonts w:ascii="Arial Narrow" w:hAnsi="Arial Narrow"/>
                <w:b/>
                <w:sz w:val="20"/>
                <w:u w:val="single"/>
              </w:rPr>
              <w:t>Authority required</w:t>
            </w:r>
            <w:r w:rsidR="00B14BE1" w:rsidRPr="00682EE4">
              <w:rPr>
                <w:rFonts w:ascii="Arial Narrow" w:hAnsi="Arial Narrow"/>
                <w:b/>
                <w:sz w:val="20"/>
              </w:rPr>
              <w:t xml:space="preserve"> </w:t>
            </w:r>
          </w:p>
        </w:tc>
      </w:tr>
    </w:tbl>
    <w:p w:rsidR="00B60939" w:rsidRPr="00682EE4" w:rsidRDefault="00B60939" w:rsidP="004B1CB4"/>
    <w:p w:rsidR="002C2775" w:rsidRPr="00682EE4" w:rsidRDefault="00B14BE1" w:rsidP="00610F8E">
      <w:pPr>
        <w:pStyle w:val="ListParagraph"/>
        <w:widowControl/>
        <w:numPr>
          <w:ilvl w:val="1"/>
          <w:numId w:val="1"/>
        </w:numPr>
        <w:rPr>
          <w:szCs w:val="22"/>
        </w:rPr>
      </w:pPr>
      <w:r w:rsidRPr="00682EE4">
        <w:rPr>
          <w:szCs w:val="22"/>
        </w:rPr>
        <w:t xml:space="preserve">The submission was seeking listing on a cost-minimisation basis against the </w:t>
      </w:r>
      <w:r w:rsidR="007D5D61" w:rsidRPr="00682EE4">
        <w:rPr>
          <w:szCs w:val="22"/>
        </w:rPr>
        <w:t xml:space="preserve">reference </w:t>
      </w:r>
      <w:r w:rsidRPr="00682EE4">
        <w:rPr>
          <w:szCs w:val="22"/>
        </w:rPr>
        <w:t xml:space="preserve">brand of etanercept (Enbrel).  </w:t>
      </w:r>
    </w:p>
    <w:p w:rsidR="00F9035D" w:rsidRPr="00682EE4" w:rsidRDefault="00F9035D" w:rsidP="007217AB"/>
    <w:p w:rsidR="00F9035D" w:rsidRPr="00682EE4" w:rsidRDefault="00F9035D" w:rsidP="00F9035D">
      <w:pPr>
        <w:ind w:firstLine="720"/>
        <w:rPr>
          <w:bCs/>
          <w:szCs w:val="22"/>
        </w:rPr>
      </w:pPr>
      <w:r w:rsidRPr="00682EE4">
        <w:rPr>
          <w:bCs/>
          <w:i/>
          <w:szCs w:val="22"/>
        </w:rPr>
        <w:t>For more detail on PBAC’s view, see section 7 “PBAC outcome”</w:t>
      </w:r>
    </w:p>
    <w:p w:rsidR="00F9035D" w:rsidRPr="00682EE4" w:rsidRDefault="00F9035D" w:rsidP="007217AB"/>
    <w:p w:rsidR="004E43B2" w:rsidRPr="00682EE4" w:rsidRDefault="004E43B2" w:rsidP="004B1CB4"/>
    <w:p w:rsidR="00897A0F" w:rsidRDefault="00897A0F">
      <w:pPr>
        <w:widowControl/>
        <w:jc w:val="left"/>
        <w:rPr>
          <w:b/>
          <w:szCs w:val="22"/>
        </w:rPr>
      </w:pPr>
      <w:bookmarkStart w:id="4" w:name="_Toc451246917"/>
      <w:r>
        <w:br w:type="page"/>
      </w:r>
    </w:p>
    <w:p w:rsidR="00B50DB8" w:rsidRPr="00682EE4" w:rsidRDefault="00B50DB8" w:rsidP="007F0F85">
      <w:pPr>
        <w:pStyle w:val="PBACHeading1"/>
      </w:pPr>
      <w:r w:rsidRPr="00682EE4">
        <w:lastRenderedPageBreak/>
        <w:t>Background</w:t>
      </w:r>
      <w:bookmarkEnd w:id="4"/>
    </w:p>
    <w:p w:rsidR="00B60939" w:rsidRPr="00682EE4" w:rsidRDefault="00B60939" w:rsidP="00B60939">
      <w:pPr>
        <w:rPr>
          <w:szCs w:val="22"/>
        </w:rPr>
      </w:pPr>
    </w:p>
    <w:p w:rsidR="005F21C8" w:rsidRPr="00682EE4" w:rsidRDefault="00B60939" w:rsidP="005F21C8">
      <w:pPr>
        <w:pStyle w:val="ListParagraph"/>
        <w:widowControl/>
        <w:numPr>
          <w:ilvl w:val="1"/>
          <w:numId w:val="1"/>
        </w:numPr>
        <w:rPr>
          <w:szCs w:val="22"/>
        </w:rPr>
      </w:pPr>
      <w:r w:rsidRPr="00682EE4">
        <w:rPr>
          <w:szCs w:val="22"/>
        </w:rPr>
        <w:t>TGA status</w:t>
      </w:r>
      <w:r w:rsidR="00957E28" w:rsidRPr="00682EE4">
        <w:rPr>
          <w:szCs w:val="22"/>
        </w:rPr>
        <w:t xml:space="preserve"> at time of </w:t>
      </w:r>
      <w:r w:rsidR="005F21C8" w:rsidRPr="00682EE4">
        <w:rPr>
          <w:szCs w:val="22"/>
        </w:rPr>
        <w:t>PBAC consideration</w:t>
      </w:r>
      <w:r w:rsidR="00F9035D" w:rsidRPr="00682EE4">
        <w:rPr>
          <w:szCs w:val="22"/>
        </w:rPr>
        <w:t>:</w:t>
      </w:r>
      <w:r w:rsidR="00F70F24" w:rsidRPr="00682EE4">
        <w:rPr>
          <w:szCs w:val="22"/>
        </w:rPr>
        <w:t xml:space="preserve"> </w:t>
      </w:r>
      <w:r w:rsidRPr="00682EE4">
        <w:t xml:space="preserve">The submission was made under TGA/PBAC Parallel Process.  At the time of </w:t>
      </w:r>
      <w:r w:rsidR="005F21C8" w:rsidRPr="00682EE4">
        <w:t>PBAC consideration</w:t>
      </w:r>
      <w:r w:rsidRPr="00682EE4">
        <w:t xml:space="preserve">, </w:t>
      </w:r>
      <w:r w:rsidR="005F21C8" w:rsidRPr="00682EE4">
        <w:t>the Delegate’s Overview and</w:t>
      </w:r>
      <w:r w:rsidR="00C67948" w:rsidRPr="00682EE4">
        <w:t xml:space="preserve"> Advisory Committee for Prescription Medicines</w:t>
      </w:r>
      <w:r w:rsidR="005F21C8" w:rsidRPr="00682EE4">
        <w:t xml:space="preserve"> </w:t>
      </w:r>
      <w:r w:rsidR="00C67948" w:rsidRPr="00682EE4">
        <w:t>(</w:t>
      </w:r>
      <w:r w:rsidR="005F21C8" w:rsidRPr="00682EE4">
        <w:t>ACPM</w:t>
      </w:r>
      <w:r w:rsidR="00C67948" w:rsidRPr="00682EE4">
        <w:t>)</w:t>
      </w:r>
      <w:r w:rsidR="005F21C8" w:rsidRPr="00682EE4">
        <w:t xml:space="preserve"> advice were available.</w:t>
      </w:r>
    </w:p>
    <w:p w:rsidR="00B60939" w:rsidRPr="00682EE4" w:rsidRDefault="005F21C8" w:rsidP="005F21C8">
      <w:r w:rsidRPr="00682EE4">
        <w:t xml:space="preserve"> </w:t>
      </w:r>
    </w:p>
    <w:p w:rsidR="002C2775" w:rsidRPr="00682EE4" w:rsidRDefault="00934C6D" w:rsidP="00610F8E">
      <w:pPr>
        <w:pStyle w:val="ListParagraph"/>
        <w:widowControl/>
        <w:numPr>
          <w:ilvl w:val="1"/>
          <w:numId w:val="1"/>
        </w:numPr>
        <w:rPr>
          <w:szCs w:val="22"/>
        </w:rPr>
      </w:pPr>
      <w:r w:rsidRPr="00682EE4">
        <w:rPr>
          <w:szCs w:val="22"/>
        </w:rPr>
        <w:t>Brenzys</w:t>
      </w:r>
      <w:r w:rsidR="00F70F24" w:rsidRPr="00682EE4">
        <w:rPr>
          <w:szCs w:val="22"/>
        </w:rPr>
        <w:t xml:space="preserve"> has not been previously considered by the PBAC</w:t>
      </w:r>
      <w:r w:rsidR="002D0502" w:rsidRPr="00682EE4">
        <w:rPr>
          <w:szCs w:val="22"/>
        </w:rPr>
        <w:t>.</w:t>
      </w:r>
      <w:r w:rsidR="00F70F24" w:rsidRPr="00682EE4">
        <w:rPr>
          <w:szCs w:val="22"/>
        </w:rPr>
        <w:t xml:space="preserve"> </w:t>
      </w:r>
    </w:p>
    <w:p w:rsidR="00F9035D" w:rsidRPr="00682EE4" w:rsidRDefault="00F9035D" w:rsidP="00291A60">
      <w:pPr>
        <w:rPr>
          <w:bCs/>
          <w:i/>
          <w:szCs w:val="22"/>
        </w:rPr>
      </w:pPr>
    </w:p>
    <w:p w:rsidR="00CE43CD" w:rsidRPr="00474003" w:rsidRDefault="00CE43CD" w:rsidP="00474003">
      <w:pPr>
        <w:rPr>
          <w:b/>
          <w:szCs w:val="22"/>
        </w:rPr>
      </w:pPr>
      <w:r w:rsidRPr="00474003">
        <w:rPr>
          <w:b/>
          <w:szCs w:val="22"/>
        </w:rPr>
        <w:t xml:space="preserve">Substitution of </w:t>
      </w:r>
      <w:proofErr w:type="spellStart"/>
      <w:r w:rsidRPr="00474003">
        <w:rPr>
          <w:b/>
          <w:szCs w:val="22"/>
        </w:rPr>
        <w:t>biosimilars</w:t>
      </w:r>
      <w:proofErr w:type="spellEnd"/>
      <w:r w:rsidRPr="00474003">
        <w:rPr>
          <w:b/>
          <w:szCs w:val="22"/>
        </w:rPr>
        <w:t xml:space="preserve"> at the pharmacist level (“a” flagging)</w:t>
      </w:r>
    </w:p>
    <w:p w:rsidR="00CE43CD" w:rsidRPr="00682EE4" w:rsidRDefault="00CE43CD" w:rsidP="00CE43CD">
      <w:pPr>
        <w:rPr>
          <w:szCs w:val="22"/>
          <w:u w:val="single"/>
        </w:rPr>
      </w:pPr>
    </w:p>
    <w:p w:rsidR="00CE43CD" w:rsidRPr="00682EE4" w:rsidRDefault="00CE43CD" w:rsidP="00CE43CD">
      <w:pPr>
        <w:pStyle w:val="ListParagraph"/>
        <w:widowControl/>
        <w:numPr>
          <w:ilvl w:val="1"/>
          <w:numId w:val="1"/>
        </w:numPr>
        <w:jc w:val="left"/>
        <w:rPr>
          <w:szCs w:val="22"/>
        </w:rPr>
      </w:pPr>
      <w:r w:rsidRPr="00682EE4">
        <w:rPr>
          <w:szCs w:val="22"/>
        </w:rPr>
        <w:t>Many medicines are available on the PBS in different brands. The Schedule of Pharmaceutical Benefits indicates where different brands are considered equivalent for the purposes of substitution at the point of dispensing by using “a” flags.  For any individual prescription, a prescriber may choose to not permit brand substitution by indicating ‘substitution not permitted’ on the prescription.  Likewise, when substitution is permitted, a patient may nominate which “a” flagged brand they wish to receive from the pharmacist, except when State or Territory Law prohibits substitution (e.g. for Schedule 8 drugs of dependence). The substitution process allows for patient and prescriber choice and is not automatic.</w:t>
      </w:r>
    </w:p>
    <w:p w:rsidR="00CE43CD" w:rsidRPr="00682EE4" w:rsidRDefault="00CE43CD" w:rsidP="00CE43CD">
      <w:pPr>
        <w:pStyle w:val="ListParagraph"/>
        <w:rPr>
          <w:szCs w:val="22"/>
        </w:rPr>
      </w:pPr>
    </w:p>
    <w:p w:rsidR="00CE43CD" w:rsidRPr="00682EE4" w:rsidRDefault="00CE43CD" w:rsidP="00CE43CD">
      <w:pPr>
        <w:pStyle w:val="ListParagraph"/>
        <w:widowControl/>
        <w:numPr>
          <w:ilvl w:val="1"/>
          <w:numId w:val="1"/>
        </w:numPr>
        <w:rPr>
          <w:szCs w:val="22"/>
        </w:rPr>
      </w:pPr>
      <w:r w:rsidRPr="00682EE4">
        <w:rPr>
          <w:szCs w:val="22"/>
        </w:rPr>
        <w:t>The</w:t>
      </w:r>
      <w:r w:rsidR="00C67948" w:rsidRPr="00682EE4">
        <w:rPr>
          <w:szCs w:val="22"/>
        </w:rPr>
        <w:t xml:space="preserve"> </w:t>
      </w:r>
      <w:r w:rsidR="00C67948" w:rsidRPr="00682EE4">
        <w:rPr>
          <w:i/>
          <w:szCs w:val="22"/>
        </w:rPr>
        <w:t>National Health Act 1953</w:t>
      </w:r>
      <w:r w:rsidRPr="00682EE4">
        <w:rPr>
          <w:szCs w:val="22"/>
        </w:rPr>
        <w:t xml:space="preserve"> </w:t>
      </w:r>
      <w:r w:rsidR="00C67948" w:rsidRPr="00682EE4">
        <w:rPr>
          <w:szCs w:val="22"/>
        </w:rPr>
        <w:t xml:space="preserve">(“The </w:t>
      </w:r>
      <w:r w:rsidRPr="00682EE4">
        <w:rPr>
          <w:szCs w:val="22"/>
        </w:rPr>
        <w:t>Act</w:t>
      </w:r>
      <w:r w:rsidR="00C67948" w:rsidRPr="00682EE4">
        <w:rPr>
          <w:szCs w:val="22"/>
        </w:rPr>
        <w:t>”)</w:t>
      </w:r>
      <w:r w:rsidRPr="00682EE4">
        <w:rPr>
          <w:szCs w:val="22"/>
        </w:rPr>
        <w:t xml:space="preserve"> makes it an offence for a pharmacist to supply a pharmaceutical benefit other than the benefit directed to be supplied in a prescription except when, amongst other criteria, the Schedule issued by the Department of Health states that the specified benefit and the substitute benefit are equivalent. </w:t>
      </w:r>
    </w:p>
    <w:p w:rsidR="00667DA6" w:rsidRPr="00682EE4" w:rsidRDefault="00667DA6" w:rsidP="00CE43CD">
      <w:pPr>
        <w:rPr>
          <w:szCs w:val="22"/>
        </w:rPr>
      </w:pPr>
    </w:p>
    <w:p w:rsidR="00CE43CD" w:rsidRPr="00682EE4" w:rsidRDefault="00CE43CD" w:rsidP="00CE43CD">
      <w:pPr>
        <w:pStyle w:val="ListParagraph"/>
        <w:widowControl/>
        <w:numPr>
          <w:ilvl w:val="1"/>
          <w:numId w:val="1"/>
        </w:numPr>
        <w:rPr>
          <w:szCs w:val="22"/>
        </w:rPr>
      </w:pPr>
      <w:r w:rsidRPr="00682EE4">
        <w:rPr>
          <w:szCs w:val="22"/>
        </w:rPr>
        <w:t xml:space="preserve">The Schedule of Pharmaceutical Benefits provide the following definition of brand equivalence: </w:t>
      </w:r>
    </w:p>
    <w:p w:rsidR="00CE43CD" w:rsidRPr="00682EE4" w:rsidRDefault="00CE43CD" w:rsidP="00CE43CD">
      <w:pPr>
        <w:pStyle w:val="NormalWeb"/>
        <w:pBdr>
          <w:top w:val="single" w:sz="4" w:space="1" w:color="auto"/>
          <w:left w:val="single" w:sz="4" w:space="4" w:color="auto"/>
          <w:bottom w:val="single" w:sz="4" w:space="1" w:color="auto"/>
          <w:right w:val="single" w:sz="4" w:space="4" w:color="auto"/>
        </w:pBdr>
        <w:ind w:left="720"/>
        <w:rPr>
          <w:rFonts w:ascii="Arial" w:hAnsi="Arial" w:cs="Arial"/>
          <w:b/>
          <w:sz w:val="22"/>
          <w:szCs w:val="22"/>
          <w:lang w:val="en-AU"/>
        </w:rPr>
      </w:pPr>
      <w:r w:rsidRPr="00682EE4">
        <w:rPr>
          <w:rFonts w:ascii="Arial" w:hAnsi="Arial" w:cs="Arial"/>
          <w:b/>
          <w:sz w:val="22"/>
          <w:szCs w:val="22"/>
          <w:lang w:val="en-AU"/>
        </w:rPr>
        <w:t>Extract from the Explanatory Notes to the PBS Schedule</w:t>
      </w:r>
      <w:r w:rsidRPr="00682EE4">
        <w:rPr>
          <w:b/>
          <w:vertAlign w:val="superscript"/>
          <w:lang w:val="en-AU"/>
        </w:rPr>
        <w:footnoteReference w:id="1"/>
      </w:r>
    </w:p>
    <w:p w:rsidR="00CE43CD" w:rsidRPr="00682EE4" w:rsidRDefault="00CE43CD" w:rsidP="00CE43CD">
      <w:pPr>
        <w:pStyle w:val="NormalWeb"/>
        <w:pBdr>
          <w:top w:val="single" w:sz="4" w:space="1" w:color="auto"/>
          <w:left w:val="single" w:sz="4" w:space="4" w:color="auto"/>
          <w:bottom w:val="single" w:sz="4" w:space="1" w:color="auto"/>
          <w:right w:val="single" w:sz="4" w:space="4" w:color="auto"/>
        </w:pBdr>
        <w:ind w:left="720"/>
        <w:rPr>
          <w:rFonts w:ascii="Arial" w:hAnsi="Arial" w:cs="Arial"/>
          <w:b/>
          <w:sz w:val="22"/>
          <w:szCs w:val="22"/>
          <w:lang w:val="en-AU"/>
        </w:rPr>
      </w:pPr>
      <w:r w:rsidRPr="00682EE4">
        <w:rPr>
          <w:rFonts w:ascii="Arial" w:hAnsi="Arial" w:cs="Arial"/>
          <w:b/>
          <w:sz w:val="22"/>
          <w:szCs w:val="22"/>
          <w:lang w:val="en-AU"/>
        </w:rPr>
        <w:t>BRAND EQUIVALENCE</w:t>
      </w:r>
    </w:p>
    <w:p w:rsidR="00CE43CD" w:rsidRPr="00682EE4" w:rsidRDefault="00CE43CD" w:rsidP="00CE43CD">
      <w:pPr>
        <w:pStyle w:val="NormalWeb"/>
        <w:pBdr>
          <w:top w:val="single" w:sz="4" w:space="1" w:color="auto"/>
          <w:left w:val="single" w:sz="4" w:space="4" w:color="auto"/>
          <w:bottom w:val="single" w:sz="4" w:space="1" w:color="auto"/>
          <w:right w:val="single" w:sz="4" w:space="4" w:color="auto"/>
        </w:pBdr>
        <w:ind w:left="720"/>
        <w:rPr>
          <w:rFonts w:ascii="Arial" w:hAnsi="Arial" w:cs="Arial"/>
          <w:sz w:val="22"/>
          <w:szCs w:val="22"/>
          <w:lang w:val="en-AU"/>
        </w:rPr>
      </w:pPr>
      <w:r w:rsidRPr="00682EE4">
        <w:rPr>
          <w:rFonts w:ascii="Arial" w:hAnsi="Arial" w:cs="Arial"/>
          <w:sz w:val="22"/>
          <w:szCs w:val="22"/>
          <w:lang w:val="en-AU"/>
        </w:rPr>
        <w:t>'a' located immediately before brand names of a particular strength of an item indicates that the sponsors of these brands have submitted evidence that they have been demonstrated to be bioequivalent or therapeutically equivalent, or that justification for not needing bioequivalence or therapeutic equivalence data has been provided to and accepted by the Therapeutic Goods Administration. It would thus be expected that these brands may be interchanged without differences in clinical effect.</w:t>
      </w:r>
    </w:p>
    <w:p w:rsidR="00CE43CD" w:rsidRPr="00682EE4" w:rsidRDefault="00CE43CD" w:rsidP="00CE43CD">
      <w:pPr>
        <w:pStyle w:val="ListParagraph"/>
        <w:widowControl/>
        <w:numPr>
          <w:ilvl w:val="1"/>
          <w:numId w:val="1"/>
        </w:numPr>
        <w:rPr>
          <w:szCs w:val="22"/>
        </w:rPr>
      </w:pPr>
      <w:r w:rsidRPr="00682EE4">
        <w:rPr>
          <w:szCs w:val="22"/>
        </w:rPr>
        <w:t>At the March 2015 meeting, the PBAC:</w:t>
      </w:r>
    </w:p>
    <w:p w:rsidR="00CE43CD" w:rsidRPr="00682EE4" w:rsidRDefault="00CE43CD" w:rsidP="00CE43CD">
      <w:pPr>
        <w:rPr>
          <w:szCs w:val="22"/>
        </w:rPr>
      </w:pPr>
    </w:p>
    <w:p w:rsidR="00CE43CD" w:rsidRPr="00682EE4" w:rsidRDefault="00CE43CD" w:rsidP="00CE43CD">
      <w:pPr>
        <w:ind w:left="720"/>
        <w:rPr>
          <w:szCs w:val="22"/>
        </w:rPr>
      </w:pPr>
      <w:r w:rsidRPr="00682EE4">
        <w:rPr>
          <w:szCs w:val="22"/>
        </w:rPr>
        <w:t>“indicated it would consider the marking of equivalent (i.e. “a” flagging) in the Schedule of Pharmaceutical Benefits (the Schedule) of biosimilar medicines with their reference medicine on a case by case basis, taking into account the evidence presented in each submission to list a biosimilar medicine.”</w:t>
      </w:r>
      <w:r w:rsidRPr="00682EE4" w:rsidDel="007C3DBE">
        <w:t xml:space="preserve"> </w:t>
      </w:r>
    </w:p>
    <w:p w:rsidR="00CE43CD" w:rsidRPr="00682EE4" w:rsidRDefault="00CE43CD" w:rsidP="00CE43CD">
      <w:pPr>
        <w:ind w:left="720"/>
        <w:rPr>
          <w:szCs w:val="22"/>
        </w:rPr>
      </w:pPr>
    </w:p>
    <w:p w:rsidR="00CE43CD" w:rsidRPr="00682EE4" w:rsidRDefault="00CE43CD" w:rsidP="00CE43CD">
      <w:pPr>
        <w:pStyle w:val="ListParagraph"/>
        <w:widowControl/>
        <w:numPr>
          <w:ilvl w:val="1"/>
          <w:numId w:val="1"/>
        </w:numPr>
        <w:rPr>
          <w:szCs w:val="22"/>
        </w:rPr>
      </w:pPr>
      <w:r w:rsidRPr="00682EE4">
        <w:rPr>
          <w:szCs w:val="22"/>
        </w:rPr>
        <w:lastRenderedPageBreak/>
        <w:t>When ”a” flagging of biosimilar brands and their reference brands was discussed by the PBAC at its special meeting on 17 April 2015, the PBAC advised that biosimilar products would be recommended for ”a” flagging, “where the data are supportive of this conclusion.”</w:t>
      </w:r>
    </w:p>
    <w:p w:rsidR="00CE43CD" w:rsidRPr="00682EE4" w:rsidRDefault="00CE43CD" w:rsidP="00CE43CD">
      <w:pPr>
        <w:ind w:left="720"/>
        <w:rPr>
          <w:szCs w:val="22"/>
        </w:rPr>
      </w:pPr>
    </w:p>
    <w:p w:rsidR="00CE43CD" w:rsidRPr="00682EE4" w:rsidRDefault="00CE43CD" w:rsidP="00CE43CD">
      <w:pPr>
        <w:ind w:left="720"/>
        <w:rPr>
          <w:szCs w:val="22"/>
        </w:rPr>
      </w:pPr>
      <w:r w:rsidRPr="00682EE4">
        <w:rPr>
          <w:szCs w:val="22"/>
        </w:rPr>
        <w:t>“The PBAC advised that the following would be relevant considerations in establishing that a biosimilar product could be “a” flagged with the originator product:</w:t>
      </w:r>
    </w:p>
    <w:p w:rsidR="00CE43CD" w:rsidRPr="00682EE4" w:rsidRDefault="00CE43CD" w:rsidP="00CE43CD">
      <w:pPr>
        <w:pStyle w:val="ListParagraph"/>
        <w:widowControl/>
        <w:numPr>
          <w:ilvl w:val="2"/>
          <w:numId w:val="8"/>
        </w:numPr>
        <w:ind w:left="1418"/>
        <w:rPr>
          <w:szCs w:val="22"/>
        </w:rPr>
      </w:pPr>
      <w:r w:rsidRPr="00682EE4">
        <w:rPr>
          <w:szCs w:val="22"/>
        </w:rPr>
        <w:t>Absence of data to suggest significant differences in clinical effectiveness or safety compared with the originator product;</w:t>
      </w:r>
    </w:p>
    <w:p w:rsidR="00CE43CD" w:rsidRPr="00682EE4" w:rsidRDefault="00CE43CD" w:rsidP="00CE43CD">
      <w:pPr>
        <w:pStyle w:val="ListParagraph"/>
        <w:widowControl/>
        <w:numPr>
          <w:ilvl w:val="2"/>
          <w:numId w:val="8"/>
        </w:numPr>
        <w:ind w:left="1418"/>
        <w:rPr>
          <w:szCs w:val="22"/>
        </w:rPr>
      </w:pPr>
      <w:r w:rsidRPr="00682EE4">
        <w:rPr>
          <w:szCs w:val="22"/>
        </w:rPr>
        <w:t>Absence of identified populations where the risks of using the biosimilar product are disproportionately high;</w:t>
      </w:r>
    </w:p>
    <w:p w:rsidR="00CE43CD" w:rsidRPr="00682EE4" w:rsidRDefault="00CE43CD" w:rsidP="00CE43CD">
      <w:pPr>
        <w:pStyle w:val="ListParagraph"/>
        <w:widowControl/>
        <w:numPr>
          <w:ilvl w:val="2"/>
          <w:numId w:val="8"/>
        </w:numPr>
        <w:ind w:left="1418"/>
        <w:rPr>
          <w:szCs w:val="22"/>
        </w:rPr>
      </w:pPr>
      <w:r w:rsidRPr="00682EE4">
        <w:rPr>
          <w:szCs w:val="22"/>
        </w:rPr>
        <w:t>Availability of data to support switching between the originator product and the biosimilar product;</w:t>
      </w:r>
    </w:p>
    <w:p w:rsidR="00CE43CD" w:rsidRPr="00682EE4" w:rsidRDefault="00CE43CD" w:rsidP="00CE43CD">
      <w:pPr>
        <w:pStyle w:val="ListParagraph"/>
        <w:widowControl/>
        <w:numPr>
          <w:ilvl w:val="2"/>
          <w:numId w:val="8"/>
        </w:numPr>
        <w:ind w:left="1418"/>
        <w:rPr>
          <w:szCs w:val="22"/>
        </w:rPr>
      </w:pPr>
      <w:r w:rsidRPr="00682EE4">
        <w:rPr>
          <w:szCs w:val="22"/>
        </w:rPr>
        <w:t>Availability of data for treatment-naïve patients initiating on the biosimilar product;</w:t>
      </w:r>
    </w:p>
    <w:p w:rsidR="00CE43CD" w:rsidRPr="00682EE4" w:rsidRDefault="00CE43CD" w:rsidP="00CE43CD">
      <w:pPr>
        <w:pStyle w:val="ListParagraph"/>
        <w:widowControl/>
        <w:numPr>
          <w:ilvl w:val="2"/>
          <w:numId w:val="8"/>
        </w:numPr>
        <w:ind w:left="1418"/>
        <w:rPr>
          <w:szCs w:val="22"/>
        </w:rPr>
      </w:pPr>
      <w:r w:rsidRPr="00682EE4">
        <w:rPr>
          <w:szCs w:val="22"/>
        </w:rPr>
        <w:t>Whether the Therapeutic Goods Administration has deemed a product to be biosimilar with the originator product.</w:t>
      </w:r>
    </w:p>
    <w:p w:rsidR="00CE43CD" w:rsidRPr="00682EE4" w:rsidRDefault="00CE43CD" w:rsidP="00CE43CD">
      <w:pPr>
        <w:ind w:left="720"/>
        <w:rPr>
          <w:szCs w:val="22"/>
        </w:rPr>
      </w:pPr>
    </w:p>
    <w:p w:rsidR="00CE43CD" w:rsidRPr="00682EE4" w:rsidRDefault="00CE43CD" w:rsidP="00125FCF">
      <w:pPr>
        <w:ind w:left="709"/>
        <w:rPr>
          <w:bCs/>
          <w:szCs w:val="22"/>
        </w:rPr>
      </w:pPr>
      <w:r w:rsidRPr="00682EE4">
        <w:rPr>
          <w:szCs w:val="22"/>
        </w:rPr>
        <w:t>The PBAC considered that where a biosimilar product could not be “a” flagged at the time of PBS listing, data should be collected to support “a” flagging at a later point.</w:t>
      </w:r>
    </w:p>
    <w:p w:rsidR="00B60939" w:rsidRPr="00682EE4" w:rsidRDefault="00B60939" w:rsidP="004B1CB4"/>
    <w:p w:rsidR="00E55BB5" w:rsidRPr="00682EE4" w:rsidRDefault="00E55BB5" w:rsidP="004B1CB4"/>
    <w:p w:rsidR="00B50DB8" w:rsidRPr="00682EE4" w:rsidRDefault="00B50DB8" w:rsidP="007F0F85">
      <w:pPr>
        <w:pStyle w:val="PBACHeading1"/>
      </w:pPr>
      <w:bookmarkStart w:id="5" w:name="_Toc451246918"/>
      <w:r w:rsidRPr="00682EE4">
        <w:t>Clinical place for the proposed therapy</w:t>
      </w:r>
      <w:bookmarkEnd w:id="5"/>
    </w:p>
    <w:p w:rsidR="00B60939" w:rsidRPr="00682EE4" w:rsidRDefault="00B60939" w:rsidP="00B60939">
      <w:pPr>
        <w:rPr>
          <w:szCs w:val="22"/>
        </w:rPr>
      </w:pPr>
    </w:p>
    <w:p w:rsidR="00B60939" w:rsidRPr="00682EE4" w:rsidRDefault="00934C6D" w:rsidP="00610F8E">
      <w:pPr>
        <w:pStyle w:val="ListParagraph"/>
        <w:widowControl/>
        <w:numPr>
          <w:ilvl w:val="1"/>
          <w:numId w:val="1"/>
        </w:numPr>
        <w:rPr>
          <w:szCs w:val="22"/>
        </w:rPr>
      </w:pPr>
      <w:r w:rsidRPr="00682EE4">
        <w:t>Brenzys</w:t>
      </w:r>
      <w:r w:rsidR="00BC783A" w:rsidRPr="00682EE4">
        <w:t xml:space="preserve"> is a biosimilar to etanercept, a tumour necrosis factor alpha (TNF-α) inhibitor.  By competitive in</w:t>
      </w:r>
      <w:r w:rsidRPr="00682EE4">
        <w:t>hibition of TNF-α receptors, Brenzys</w:t>
      </w:r>
      <w:r w:rsidR="00BC783A" w:rsidRPr="00682EE4">
        <w:t xml:space="preserve"> prevents TNF-mediated cellular responses which mediates much of the joint pathology in </w:t>
      </w:r>
      <w:r w:rsidR="00E44F74" w:rsidRPr="00682EE4">
        <w:t>RA</w:t>
      </w:r>
      <w:r w:rsidR="00BC783A" w:rsidRPr="00682EE4">
        <w:t xml:space="preserve">, </w:t>
      </w:r>
      <w:r w:rsidR="00E44F74" w:rsidRPr="00682EE4">
        <w:t>AS</w:t>
      </w:r>
      <w:r w:rsidR="00BC783A" w:rsidRPr="00682EE4">
        <w:t xml:space="preserve"> and skin pathology in plaque psoriasis.</w:t>
      </w:r>
    </w:p>
    <w:p w:rsidR="00894489" w:rsidRPr="00682EE4" w:rsidRDefault="00894489" w:rsidP="00894489">
      <w:pPr>
        <w:widowControl/>
        <w:rPr>
          <w:szCs w:val="22"/>
        </w:rPr>
      </w:pPr>
    </w:p>
    <w:p w:rsidR="00B60939" w:rsidRPr="00682EE4" w:rsidRDefault="00934C6D" w:rsidP="00610F8E">
      <w:pPr>
        <w:pStyle w:val="ListParagraph"/>
        <w:widowControl/>
        <w:numPr>
          <w:ilvl w:val="1"/>
          <w:numId w:val="1"/>
        </w:numPr>
        <w:rPr>
          <w:szCs w:val="22"/>
        </w:rPr>
      </w:pPr>
      <w:r w:rsidRPr="00682EE4">
        <w:rPr>
          <w:szCs w:val="22"/>
        </w:rPr>
        <w:t>Brenzys</w:t>
      </w:r>
      <w:r w:rsidR="00BC783A" w:rsidRPr="00682EE4">
        <w:rPr>
          <w:szCs w:val="22"/>
        </w:rPr>
        <w:t xml:space="preserve"> is an alternative brand to the existing etanercept product (Enbrel) currently listed on the PBS. </w:t>
      </w:r>
    </w:p>
    <w:p w:rsidR="00F9035D" w:rsidRPr="00682EE4" w:rsidRDefault="00F9035D" w:rsidP="007217AB"/>
    <w:p w:rsidR="00E55BB5" w:rsidRPr="00682EE4" w:rsidRDefault="00E55BB5" w:rsidP="00B60939">
      <w:pPr>
        <w:pStyle w:val="Header"/>
        <w:rPr>
          <w:szCs w:val="22"/>
        </w:rPr>
      </w:pPr>
    </w:p>
    <w:p w:rsidR="00B50DB8" w:rsidRPr="00682EE4" w:rsidRDefault="00B50DB8" w:rsidP="007F0F85">
      <w:pPr>
        <w:pStyle w:val="PBACHeading1"/>
      </w:pPr>
      <w:r w:rsidRPr="00682EE4">
        <w:t>Comparator</w:t>
      </w:r>
    </w:p>
    <w:p w:rsidR="00B60939" w:rsidRPr="00682EE4" w:rsidRDefault="00B60939" w:rsidP="004B1CB4"/>
    <w:p w:rsidR="00371A52" w:rsidRPr="00682EE4" w:rsidRDefault="0054790C" w:rsidP="0054790C">
      <w:pPr>
        <w:pStyle w:val="ListParagraph"/>
        <w:widowControl/>
        <w:numPr>
          <w:ilvl w:val="1"/>
          <w:numId w:val="1"/>
        </w:numPr>
        <w:jc w:val="left"/>
        <w:rPr>
          <w:szCs w:val="22"/>
        </w:rPr>
      </w:pPr>
      <w:r w:rsidRPr="00682EE4">
        <w:t>The submission ap</w:t>
      </w:r>
      <w:r w:rsidR="00934C6D" w:rsidRPr="00682EE4">
        <w:t>propriately nominated Enbrel as the</w:t>
      </w:r>
      <w:r w:rsidR="00BC783A" w:rsidRPr="00682EE4">
        <w:t xml:space="preserve"> comparator.</w:t>
      </w:r>
      <w:r w:rsidR="00F067A2" w:rsidRPr="00682EE4">
        <w:rPr>
          <w:color w:val="3366FF"/>
        </w:rPr>
        <w:t xml:space="preserve">  </w:t>
      </w:r>
    </w:p>
    <w:p w:rsidR="00934C6D" w:rsidRPr="00682EE4" w:rsidRDefault="00934C6D" w:rsidP="00934C6D"/>
    <w:p w:rsidR="00BC783A" w:rsidRPr="00682EE4" w:rsidRDefault="00BC783A" w:rsidP="00934C6D">
      <w:pPr>
        <w:widowControl/>
        <w:rPr>
          <w:szCs w:val="22"/>
        </w:rPr>
      </w:pPr>
    </w:p>
    <w:p w:rsidR="00B50DB8" w:rsidRPr="00682EE4" w:rsidRDefault="00BD6CF3" w:rsidP="007F0F85">
      <w:pPr>
        <w:pStyle w:val="PBACHeading1"/>
      </w:pPr>
      <w:bookmarkStart w:id="6" w:name="_Toc451246919"/>
      <w:r w:rsidRPr="00682EE4">
        <w:t>C</w:t>
      </w:r>
      <w:r w:rsidR="00B50DB8" w:rsidRPr="00682EE4">
        <w:t>onsideration of the evidence</w:t>
      </w:r>
      <w:bookmarkEnd w:id="6"/>
    </w:p>
    <w:p w:rsidR="00B60939" w:rsidRPr="00682EE4" w:rsidRDefault="00B60939" w:rsidP="004B1CB4"/>
    <w:p w:rsidR="00F9035D" w:rsidRPr="007F0F85" w:rsidRDefault="00F9035D" w:rsidP="007F0F85">
      <w:pPr>
        <w:pStyle w:val="Heading2"/>
      </w:pPr>
      <w:r w:rsidRPr="007F0F85">
        <w:t>Sponsor hearing</w:t>
      </w:r>
    </w:p>
    <w:p w:rsidR="00F9035D" w:rsidRPr="00682EE4" w:rsidRDefault="00F9035D" w:rsidP="00F9035D">
      <w:pPr>
        <w:widowControl/>
        <w:numPr>
          <w:ilvl w:val="1"/>
          <w:numId w:val="1"/>
        </w:numPr>
        <w:spacing w:after="120"/>
        <w:jc w:val="left"/>
        <w:rPr>
          <w:bCs/>
          <w:szCs w:val="22"/>
        </w:rPr>
      </w:pPr>
      <w:r w:rsidRPr="00682EE4">
        <w:rPr>
          <w:bCs/>
          <w:szCs w:val="22"/>
        </w:rPr>
        <w:t>The</w:t>
      </w:r>
      <w:r w:rsidR="00C84231" w:rsidRPr="00682EE4">
        <w:rPr>
          <w:bCs/>
          <w:szCs w:val="22"/>
        </w:rPr>
        <w:t>re was no hearing for this item</w:t>
      </w:r>
      <w:r w:rsidRPr="00682EE4">
        <w:rPr>
          <w:bCs/>
          <w:szCs w:val="22"/>
        </w:rPr>
        <w:t>.</w:t>
      </w:r>
    </w:p>
    <w:p w:rsidR="004425E1" w:rsidRPr="00682EE4" w:rsidRDefault="004425E1" w:rsidP="007217AB"/>
    <w:p w:rsidR="00F9035D" w:rsidRPr="00682EE4" w:rsidRDefault="00F9035D" w:rsidP="007F0F85">
      <w:pPr>
        <w:pStyle w:val="Heading2"/>
      </w:pPr>
      <w:r w:rsidRPr="00682EE4">
        <w:t>Consumer comments</w:t>
      </w:r>
    </w:p>
    <w:p w:rsidR="005F21C8" w:rsidRPr="00682EE4" w:rsidRDefault="00F9035D" w:rsidP="004B1CB4">
      <w:pPr>
        <w:widowControl/>
        <w:numPr>
          <w:ilvl w:val="1"/>
          <w:numId w:val="1"/>
        </w:numPr>
        <w:spacing w:after="120"/>
        <w:contextualSpacing/>
        <w:jc w:val="left"/>
        <w:rPr>
          <w:bCs/>
          <w:szCs w:val="22"/>
        </w:rPr>
      </w:pPr>
      <w:r w:rsidRPr="00682EE4">
        <w:rPr>
          <w:bCs/>
          <w:szCs w:val="22"/>
        </w:rPr>
        <w:t xml:space="preserve">The PBAC noted and welcomed the input from </w:t>
      </w:r>
      <w:r w:rsidR="00C84231" w:rsidRPr="00682EE4">
        <w:rPr>
          <w:bCs/>
          <w:szCs w:val="22"/>
        </w:rPr>
        <w:t>health care professionals (4</w:t>
      </w:r>
      <w:r w:rsidRPr="00682EE4">
        <w:rPr>
          <w:bCs/>
          <w:szCs w:val="22"/>
        </w:rPr>
        <w:t xml:space="preserve">) and organisations (1) via the Consumer Comments facility on the PBS website.  The comments </w:t>
      </w:r>
      <w:r w:rsidR="00C84231" w:rsidRPr="00682EE4">
        <w:rPr>
          <w:bCs/>
          <w:szCs w:val="22"/>
        </w:rPr>
        <w:t>largely raised concerns about potential ‘a’ flagging and pharmacy level substitution</w:t>
      </w:r>
      <w:r w:rsidR="00934C6D" w:rsidRPr="00682EE4">
        <w:rPr>
          <w:bCs/>
          <w:szCs w:val="22"/>
        </w:rPr>
        <w:t xml:space="preserve"> </w:t>
      </w:r>
      <w:r w:rsidR="00C84231" w:rsidRPr="00682EE4">
        <w:rPr>
          <w:bCs/>
          <w:szCs w:val="22"/>
        </w:rPr>
        <w:t xml:space="preserve">due to a </w:t>
      </w:r>
      <w:r w:rsidR="0054790C" w:rsidRPr="00682EE4">
        <w:rPr>
          <w:bCs/>
          <w:szCs w:val="22"/>
        </w:rPr>
        <w:t xml:space="preserve">perceived </w:t>
      </w:r>
      <w:r w:rsidR="00C84231" w:rsidRPr="00682EE4">
        <w:rPr>
          <w:bCs/>
          <w:szCs w:val="22"/>
        </w:rPr>
        <w:t>lack of evidence regarding switching between originator br</w:t>
      </w:r>
      <w:r w:rsidR="00930ECA" w:rsidRPr="00682EE4">
        <w:rPr>
          <w:bCs/>
          <w:szCs w:val="22"/>
        </w:rPr>
        <w:t xml:space="preserve">and </w:t>
      </w:r>
      <w:proofErr w:type="spellStart"/>
      <w:r w:rsidR="00930ECA" w:rsidRPr="00682EE4">
        <w:rPr>
          <w:bCs/>
          <w:szCs w:val="22"/>
        </w:rPr>
        <w:t>etanercept</w:t>
      </w:r>
      <w:proofErr w:type="spellEnd"/>
      <w:r w:rsidR="00930ECA" w:rsidRPr="00682EE4">
        <w:rPr>
          <w:bCs/>
          <w:szCs w:val="22"/>
        </w:rPr>
        <w:t xml:space="preserve"> and </w:t>
      </w:r>
      <w:proofErr w:type="spellStart"/>
      <w:r w:rsidR="00930ECA" w:rsidRPr="00682EE4">
        <w:rPr>
          <w:bCs/>
          <w:szCs w:val="22"/>
        </w:rPr>
        <w:t>biosimilars</w:t>
      </w:r>
      <w:proofErr w:type="spellEnd"/>
      <w:r w:rsidR="00930ECA" w:rsidRPr="00682EE4">
        <w:rPr>
          <w:bCs/>
          <w:szCs w:val="22"/>
        </w:rPr>
        <w:t>.</w:t>
      </w:r>
    </w:p>
    <w:p w:rsidR="00115C77" w:rsidRPr="00682EE4" w:rsidRDefault="00115C77" w:rsidP="00C67948">
      <w:bookmarkStart w:id="7" w:name="_Toc451246920"/>
    </w:p>
    <w:p w:rsidR="00B60939" w:rsidRPr="00682EE4" w:rsidRDefault="00B60939" w:rsidP="007F0F85">
      <w:pPr>
        <w:pStyle w:val="Heading2"/>
      </w:pPr>
      <w:r w:rsidRPr="00682EE4">
        <w:t>Clinical trials</w:t>
      </w:r>
      <w:bookmarkEnd w:id="7"/>
    </w:p>
    <w:p w:rsidR="00B60939" w:rsidRPr="00682EE4" w:rsidRDefault="00B60939" w:rsidP="00FE1F07">
      <w:pPr>
        <w:keepNext/>
        <w:keepLines/>
        <w:rPr>
          <w:szCs w:val="22"/>
        </w:rPr>
      </w:pPr>
    </w:p>
    <w:p w:rsidR="007F1017" w:rsidRPr="00682EE4" w:rsidRDefault="00491D0A" w:rsidP="00FE1F07">
      <w:pPr>
        <w:pStyle w:val="ListParagraph"/>
        <w:keepNext/>
        <w:keepLines/>
        <w:widowControl/>
        <w:numPr>
          <w:ilvl w:val="1"/>
          <w:numId w:val="1"/>
        </w:numPr>
        <w:rPr>
          <w:szCs w:val="22"/>
        </w:rPr>
      </w:pPr>
      <w:r w:rsidRPr="00682EE4">
        <w:t>T</w:t>
      </w:r>
      <w:r w:rsidR="00862502" w:rsidRPr="00682EE4">
        <w:t xml:space="preserve">he submission is based on one head-to-head trial </w:t>
      </w:r>
      <w:r w:rsidR="003117B1" w:rsidRPr="00682EE4">
        <w:t xml:space="preserve">(SB4-G31-RA) </w:t>
      </w:r>
      <w:r w:rsidR="00862502" w:rsidRPr="00682EE4">
        <w:t xml:space="preserve">comparing </w:t>
      </w:r>
      <w:r w:rsidR="00934C6D" w:rsidRPr="00682EE4">
        <w:t>Brenzys</w:t>
      </w:r>
      <w:r w:rsidR="00862502" w:rsidRPr="00682EE4">
        <w:t xml:space="preserve"> to </w:t>
      </w:r>
      <w:r w:rsidRPr="00682EE4">
        <w:t>etanercept (n=596</w:t>
      </w:r>
      <w:r w:rsidR="00862502" w:rsidRPr="00682EE4">
        <w:t>)</w:t>
      </w:r>
      <w:r w:rsidR="003117B1" w:rsidRPr="00682EE4">
        <w:t xml:space="preserve"> in patients </w:t>
      </w:r>
      <w:r w:rsidR="00FC2A6F" w:rsidRPr="00682EE4">
        <w:t xml:space="preserve">over 18 years of age </w:t>
      </w:r>
      <w:r w:rsidR="003117B1" w:rsidRPr="00682EE4">
        <w:t xml:space="preserve">with </w:t>
      </w:r>
      <w:r w:rsidR="00E44F74" w:rsidRPr="00682EE4">
        <w:t>RA</w:t>
      </w:r>
      <w:r w:rsidR="003117B1" w:rsidRPr="00682EE4">
        <w:t xml:space="preserve"> not responding to methotrexate treatment who have not received treatment with bDMARDs previously</w:t>
      </w:r>
      <w:r w:rsidR="00862502" w:rsidRPr="00682EE4">
        <w:t>.</w:t>
      </w:r>
      <w:r w:rsidR="00702F8F" w:rsidRPr="00682EE4">
        <w:rPr>
          <w:color w:val="3366FF"/>
        </w:rPr>
        <w:t xml:space="preserve">  </w:t>
      </w:r>
    </w:p>
    <w:p w:rsidR="00862502" w:rsidRPr="00682EE4" w:rsidRDefault="00862502" w:rsidP="00862502">
      <w:pPr>
        <w:widowControl/>
        <w:rPr>
          <w:szCs w:val="22"/>
        </w:rPr>
      </w:pPr>
    </w:p>
    <w:p w:rsidR="00862502" w:rsidRPr="00682EE4" w:rsidRDefault="00862502" w:rsidP="00610F8E">
      <w:pPr>
        <w:pStyle w:val="ListParagraph"/>
        <w:widowControl/>
        <w:numPr>
          <w:ilvl w:val="1"/>
          <w:numId w:val="1"/>
        </w:numPr>
        <w:rPr>
          <w:szCs w:val="22"/>
        </w:rPr>
      </w:pPr>
      <w:r w:rsidRPr="00682EE4">
        <w:rPr>
          <w:szCs w:val="22"/>
        </w:rPr>
        <w:t xml:space="preserve">Details of the trial presented in the submission are provided in </w:t>
      </w:r>
      <w:r w:rsidR="002D0502" w:rsidRPr="00682EE4">
        <w:rPr>
          <w:szCs w:val="22"/>
        </w:rPr>
        <w:t>Table 1.</w:t>
      </w:r>
      <w:r w:rsidRPr="00682EE4">
        <w:rPr>
          <w:szCs w:val="22"/>
        </w:rPr>
        <w:t xml:space="preserve"> </w:t>
      </w:r>
    </w:p>
    <w:p w:rsidR="00894A1D" w:rsidRPr="00682EE4" w:rsidRDefault="00894A1D">
      <w:pPr>
        <w:widowControl/>
        <w:jc w:val="left"/>
        <w:rPr>
          <w:rStyle w:val="CommentReference"/>
        </w:rPr>
      </w:pPr>
    </w:p>
    <w:p w:rsidR="008F120A" w:rsidRPr="00682EE4" w:rsidRDefault="008F120A" w:rsidP="00E22A0D">
      <w:pPr>
        <w:ind w:firstLine="720"/>
        <w:rPr>
          <w:rStyle w:val="CommentReference"/>
        </w:rPr>
      </w:pPr>
      <w:r w:rsidRPr="00682EE4">
        <w:rPr>
          <w:rStyle w:val="CommentReference"/>
        </w:rPr>
        <w:t xml:space="preserve">Table </w:t>
      </w:r>
      <w:r w:rsidR="001614F5" w:rsidRPr="00682EE4">
        <w:rPr>
          <w:rStyle w:val="CommentReference"/>
        </w:rPr>
        <w:t>1</w:t>
      </w:r>
      <w:r w:rsidRPr="00682EE4">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08"/>
        <w:gridCol w:w="5259"/>
        <w:gridCol w:w="1978"/>
      </w:tblGrid>
      <w:tr w:rsidR="008F120A" w:rsidRPr="00682EE4" w:rsidTr="002D0502">
        <w:tc>
          <w:tcPr>
            <w:tcW w:w="664" w:type="pct"/>
          </w:tcPr>
          <w:p w:rsidR="008F120A" w:rsidRPr="00682EE4" w:rsidRDefault="008F120A" w:rsidP="002D0502">
            <w:pPr>
              <w:jc w:val="left"/>
              <w:rPr>
                <w:rFonts w:ascii="Arial Narrow" w:hAnsi="Arial Narrow"/>
                <w:b/>
                <w:sz w:val="20"/>
              </w:rPr>
            </w:pPr>
            <w:r w:rsidRPr="00682EE4">
              <w:rPr>
                <w:rFonts w:ascii="Arial Narrow" w:hAnsi="Arial Narrow"/>
                <w:b/>
                <w:sz w:val="20"/>
              </w:rPr>
              <w:t xml:space="preserve">Trial </w:t>
            </w:r>
          </w:p>
        </w:tc>
        <w:tc>
          <w:tcPr>
            <w:tcW w:w="3151" w:type="pct"/>
          </w:tcPr>
          <w:p w:rsidR="008F120A" w:rsidRPr="00682EE4" w:rsidRDefault="008F120A" w:rsidP="0018752F">
            <w:pPr>
              <w:jc w:val="center"/>
              <w:rPr>
                <w:rFonts w:ascii="Arial Narrow" w:hAnsi="Arial Narrow"/>
                <w:b/>
                <w:sz w:val="20"/>
              </w:rPr>
            </w:pPr>
            <w:r w:rsidRPr="00682EE4">
              <w:rPr>
                <w:rFonts w:ascii="Arial Narrow" w:hAnsi="Arial Narrow"/>
                <w:b/>
                <w:sz w:val="20"/>
              </w:rPr>
              <w:t>Protocol title/ Publication title</w:t>
            </w:r>
          </w:p>
        </w:tc>
        <w:tc>
          <w:tcPr>
            <w:tcW w:w="1184" w:type="pct"/>
          </w:tcPr>
          <w:p w:rsidR="008F120A" w:rsidRPr="00682EE4" w:rsidRDefault="008F120A" w:rsidP="0018752F">
            <w:pPr>
              <w:jc w:val="center"/>
              <w:rPr>
                <w:rFonts w:ascii="Arial Narrow" w:hAnsi="Arial Narrow"/>
                <w:b/>
                <w:sz w:val="20"/>
              </w:rPr>
            </w:pPr>
            <w:r w:rsidRPr="00682EE4">
              <w:rPr>
                <w:rFonts w:ascii="Arial Narrow" w:hAnsi="Arial Narrow"/>
                <w:b/>
                <w:sz w:val="20"/>
              </w:rPr>
              <w:t>Publication citation</w:t>
            </w:r>
          </w:p>
        </w:tc>
      </w:tr>
      <w:tr w:rsidR="008F120A" w:rsidRPr="00682EE4" w:rsidTr="00E22A0D">
        <w:tc>
          <w:tcPr>
            <w:tcW w:w="5000" w:type="pct"/>
            <w:gridSpan w:val="3"/>
          </w:tcPr>
          <w:p w:rsidR="008F120A" w:rsidRPr="00682EE4" w:rsidRDefault="008F120A" w:rsidP="0018752F">
            <w:pPr>
              <w:jc w:val="left"/>
              <w:rPr>
                <w:rFonts w:ascii="Arial Narrow" w:hAnsi="Arial Narrow"/>
                <w:b/>
                <w:sz w:val="20"/>
              </w:rPr>
            </w:pPr>
            <w:r w:rsidRPr="00682EE4">
              <w:rPr>
                <w:rFonts w:ascii="Arial Narrow" w:hAnsi="Arial Narrow"/>
                <w:b/>
                <w:sz w:val="20"/>
              </w:rPr>
              <w:t>Direct randomised trial(s)</w:t>
            </w:r>
          </w:p>
        </w:tc>
      </w:tr>
      <w:tr w:rsidR="001614F5" w:rsidRPr="00682EE4" w:rsidTr="002D0502">
        <w:tc>
          <w:tcPr>
            <w:tcW w:w="664" w:type="pct"/>
          </w:tcPr>
          <w:p w:rsidR="001614F5" w:rsidRPr="00682EE4" w:rsidRDefault="001614F5" w:rsidP="001614F5">
            <w:pPr>
              <w:jc w:val="left"/>
              <w:rPr>
                <w:rFonts w:ascii="Arial Narrow" w:hAnsi="Arial Narrow"/>
                <w:sz w:val="20"/>
              </w:rPr>
            </w:pPr>
            <w:r w:rsidRPr="00682EE4">
              <w:rPr>
                <w:rFonts w:ascii="Arial Narrow" w:hAnsi="Arial Narrow"/>
                <w:sz w:val="20"/>
              </w:rPr>
              <w:t>SB4-G31-RA</w:t>
            </w:r>
          </w:p>
        </w:tc>
        <w:tc>
          <w:tcPr>
            <w:tcW w:w="3151" w:type="pct"/>
          </w:tcPr>
          <w:p w:rsidR="001614F5" w:rsidRPr="00682EE4" w:rsidRDefault="001614F5" w:rsidP="001614F5">
            <w:pPr>
              <w:jc w:val="left"/>
              <w:rPr>
                <w:rFonts w:ascii="Arial Narrow" w:hAnsi="Arial Narrow"/>
                <w:sz w:val="20"/>
              </w:rPr>
            </w:pPr>
            <w:r w:rsidRPr="00682EE4">
              <w:rPr>
                <w:rFonts w:ascii="Arial Narrow" w:hAnsi="Arial Narrow"/>
                <w:sz w:val="20"/>
              </w:rPr>
              <w:t>A Randomised, Double-blind, Parallel Group, Multicentre Clinical Study to Evaluate the Efficacy, Safety, Pharmacokinetics and Immunogenicity of SB4 Compared to Enbrel® in Subjects with Moderate to Severe Rheumatoid Arthritis despite Methotrexate Therapy.</w:t>
            </w:r>
          </w:p>
          <w:p w:rsidR="001614F5" w:rsidRPr="00682EE4" w:rsidRDefault="001614F5" w:rsidP="001614F5">
            <w:pPr>
              <w:jc w:val="left"/>
              <w:rPr>
                <w:rFonts w:ascii="Arial Narrow" w:hAnsi="Arial Narrow"/>
                <w:sz w:val="20"/>
              </w:rPr>
            </w:pPr>
          </w:p>
          <w:p w:rsidR="001614F5" w:rsidRPr="00682EE4" w:rsidRDefault="001614F5" w:rsidP="001614F5">
            <w:pPr>
              <w:jc w:val="left"/>
              <w:rPr>
                <w:rFonts w:ascii="Arial Narrow" w:hAnsi="Arial Narrow"/>
                <w:sz w:val="20"/>
              </w:rPr>
            </w:pPr>
            <w:r w:rsidRPr="00682EE4">
              <w:rPr>
                <w:rFonts w:ascii="Arial Narrow" w:hAnsi="Arial Narrow"/>
                <w:sz w:val="20"/>
              </w:rPr>
              <w:t>P Emery, J Vencovskỳ, A Sylwestrzak, P Leszczynski, W Porawska, A Baranauskaite, V Tseluyko</w:t>
            </w:r>
            <w:r w:rsidR="00FE1F07" w:rsidRPr="00682EE4">
              <w:rPr>
                <w:rFonts w:ascii="Arial Narrow" w:hAnsi="Arial Narrow"/>
                <w:sz w:val="20"/>
              </w:rPr>
              <w:t>, V</w:t>
            </w:r>
            <w:r w:rsidRPr="00682EE4">
              <w:rPr>
                <w:rFonts w:ascii="Arial Narrow" w:hAnsi="Arial Narrow"/>
                <w:sz w:val="20"/>
              </w:rPr>
              <w:t xml:space="preserve"> M Zhdan, B Stasiuk, R Milasiene, A A B Rodriguez, S Y Cheong, J Ghil. A phase III randomised, double-blind, parallel-group study comparing SB4 with etanercept reference product in patients with active rheumatoid arthritis despite methotrexate therapy. </w:t>
            </w:r>
          </w:p>
          <w:p w:rsidR="001614F5" w:rsidRPr="00682EE4" w:rsidRDefault="001614F5" w:rsidP="001614F5">
            <w:pPr>
              <w:jc w:val="left"/>
              <w:rPr>
                <w:rFonts w:ascii="Arial Narrow" w:hAnsi="Arial Narrow"/>
                <w:sz w:val="20"/>
              </w:rPr>
            </w:pPr>
          </w:p>
          <w:p w:rsidR="001614F5" w:rsidRPr="00682EE4" w:rsidRDefault="001614F5" w:rsidP="001614F5">
            <w:pPr>
              <w:jc w:val="left"/>
              <w:rPr>
                <w:rFonts w:ascii="Arial Narrow" w:hAnsi="Arial Narrow"/>
                <w:b/>
                <w:sz w:val="20"/>
              </w:rPr>
            </w:pPr>
            <w:r w:rsidRPr="00682EE4">
              <w:rPr>
                <w:rFonts w:ascii="Arial Narrow" w:hAnsi="Arial Narrow"/>
                <w:sz w:val="20"/>
              </w:rPr>
              <w:t>NCT01895309 A Randomised, Double-blind, Parallel Group, Multicentre Clinical Study to Evaluate the Efficacy, Safety, Pharmacokinetics and Immunogenicity of SB4 Compared to Enbrel® in Subjects With Moderate to Severe Rheumatoid Arthritis Despite Methotrexate Therapy</w:t>
            </w:r>
          </w:p>
        </w:tc>
        <w:tc>
          <w:tcPr>
            <w:tcW w:w="1184" w:type="pct"/>
          </w:tcPr>
          <w:p w:rsidR="001614F5" w:rsidRPr="00682EE4" w:rsidRDefault="001614F5" w:rsidP="001614F5">
            <w:pPr>
              <w:jc w:val="left"/>
              <w:rPr>
                <w:rFonts w:ascii="Arial Narrow" w:hAnsi="Arial Narrow"/>
                <w:sz w:val="20"/>
              </w:rPr>
            </w:pPr>
            <w:r w:rsidRPr="00682EE4">
              <w:rPr>
                <w:rFonts w:ascii="Arial Narrow" w:hAnsi="Arial Narrow"/>
                <w:sz w:val="20"/>
              </w:rPr>
              <w:t>Clinical Study Report</w:t>
            </w:r>
          </w:p>
          <w:p w:rsidR="001614F5" w:rsidRPr="00682EE4" w:rsidRDefault="001614F5" w:rsidP="001614F5">
            <w:pPr>
              <w:jc w:val="left"/>
              <w:rPr>
                <w:rFonts w:ascii="Arial Narrow" w:hAnsi="Arial Narrow"/>
                <w:sz w:val="20"/>
              </w:rPr>
            </w:pPr>
          </w:p>
          <w:p w:rsidR="001614F5" w:rsidRPr="00682EE4" w:rsidRDefault="001614F5" w:rsidP="001614F5">
            <w:pPr>
              <w:jc w:val="left"/>
              <w:rPr>
                <w:rFonts w:ascii="Arial Narrow" w:hAnsi="Arial Narrow"/>
                <w:sz w:val="20"/>
              </w:rPr>
            </w:pPr>
          </w:p>
          <w:p w:rsidR="001614F5" w:rsidRPr="00682EE4" w:rsidRDefault="001614F5" w:rsidP="001614F5">
            <w:pPr>
              <w:jc w:val="left"/>
              <w:rPr>
                <w:rFonts w:ascii="Arial Narrow" w:hAnsi="Arial Narrow"/>
                <w:sz w:val="20"/>
              </w:rPr>
            </w:pPr>
          </w:p>
          <w:p w:rsidR="001614F5" w:rsidRPr="00682EE4" w:rsidRDefault="001614F5" w:rsidP="001614F5">
            <w:pPr>
              <w:jc w:val="left"/>
              <w:rPr>
                <w:rFonts w:ascii="Arial Narrow" w:hAnsi="Arial Narrow"/>
                <w:sz w:val="20"/>
              </w:rPr>
            </w:pPr>
          </w:p>
          <w:p w:rsidR="001614F5" w:rsidRPr="00682EE4" w:rsidRDefault="001614F5" w:rsidP="001614F5">
            <w:pPr>
              <w:jc w:val="left"/>
              <w:rPr>
                <w:rFonts w:ascii="Arial Narrow" w:hAnsi="Arial Narrow"/>
                <w:iCs/>
                <w:sz w:val="20"/>
              </w:rPr>
            </w:pPr>
          </w:p>
          <w:p w:rsidR="001614F5" w:rsidRPr="00682EE4" w:rsidRDefault="001614F5" w:rsidP="001614F5">
            <w:pPr>
              <w:jc w:val="left"/>
              <w:rPr>
                <w:rFonts w:ascii="Arial Narrow" w:hAnsi="Arial Narrow"/>
                <w:iCs/>
                <w:sz w:val="20"/>
              </w:rPr>
            </w:pPr>
            <w:r w:rsidRPr="00682EE4">
              <w:rPr>
                <w:rFonts w:ascii="Arial Narrow" w:hAnsi="Arial Narrow"/>
                <w:iCs/>
                <w:sz w:val="20"/>
              </w:rPr>
              <w:t>Annals of the Rheumatic Diseases 2015. 6 July. Published online: Ann Rheum Dis doi:10.1136/annrheumdis-2015-207588</w:t>
            </w:r>
          </w:p>
          <w:p w:rsidR="001614F5" w:rsidRPr="00682EE4" w:rsidRDefault="001614F5" w:rsidP="001614F5">
            <w:pPr>
              <w:jc w:val="left"/>
              <w:rPr>
                <w:rFonts w:ascii="Arial Narrow" w:hAnsi="Arial Narrow"/>
                <w:iCs/>
                <w:sz w:val="20"/>
              </w:rPr>
            </w:pPr>
          </w:p>
          <w:p w:rsidR="001614F5" w:rsidRPr="00682EE4" w:rsidRDefault="001614F5" w:rsidP="001614F5">
            <w:pPr>
              <w:jc w:val="left"/>
              <w:rPr>
                <w:rFonts w:ascii="Arial Narrow" w:hAnsi="Arial Narrow"/>
                <w:b/>
                <w:sz w:val="20"/>
              </w:rPr>
            </w:pPr>
            <w:r w:rsidRPr="00682EE4">
              <w:rPr>
                <w:rFonts w:ascii="Arial Narrow" w:hAnsi="Arial Narrow"/>
                <w:iCs/>
                <w:sz w:val="20"/>
              </w:rPr>
              <w:t>NA</w:t>
            </w:r>
          </w:p>
        </w:tc>
      </w:tr>
    </w:tbl>
    <w:p w:rsidR="00100121" w:rsidRPr="00682EE4" w:rsidRDefault="008F120A" w:rsidP="00B40243">
      <w:pPr>
        <w:pStyle w:val="TableFooter"/>
        <w:ind w:firstLine="720"/>
      </w:pPr>
      <w:r w:rsidRPr="00682EE4">
        <w:t xml:space="preserve">Source: </w:t>
      </w:r>
      <w:r w:rsidR="001614F5" w:rsidRPr="00682EE4">
        <w:t>p35 and T</w:t>
      </w:r>
      <w:r w:rsidR="00B40243" w:rsidRPr="00682EE4">
        <w:t>able B.2-3, p36of the submission</w:t>
      </w:r>
    </w:p>
    <w:p w:rsidR="00076057" w:rsidRPr="00682EE4" w:rsidRDefault="00076057" w:rsidP="00B40243">
      <w:pPr>
        <w:pStyle w:val="TableFooter"/>
        <w:ind w:firstLine="720"/>
        <w:rPr>
          <w:szCs w:val="22"/>
        </w:rPr>
      </w:pPr>
    </w:p>
    <w:p w:rsidR="00862502" w:rsidRPr="00682EE4" w:rsidRDefault="00FC2A6F" w:rsidP="00610F8E">
      <w:pPr>
        <w:pStyle w:val="ListParagraph"/>
        <w:widowControl/>
        <w:numPr>
          <w:ilvl w:val="1"/>
          <w:numId w:val="1"/>
        </w:numPr>
        <w:rPr>
          <w:szCs w:val="22"/>
        </w:rPr>
      </w:pPr>
      <w:r w:rsidRPr="00682EE4">
        <w:rPr>
          <w:szCs w:val="22"/>
        </w:rPr>
        <w:t xml:space="preserve">The key features of </w:t>
      </w:r>
      <w:r w:rsidR="002D0502" w:rsidRPr="00682EE4">
        <w:rPr>
          <w:szCs w:val="22"/>
        </w:rPr>
        <w:t>T</w:t>
      </w:r>
      <w:r w:rsidRPr="00682EE4">
        <w:rPr>
          <w:szCs w:val="22"/>
        </w:rPr>
        <w:t xml:space="preserve">rial SB4-G31-RA </w:t>
      </w:r>
      <w:r w:rsidR="008F120A" w:rsidRPr="00682EE4">
        <w:rPr>
          <w:szCs w:val="22"/>
        </w:rPr>
        <w:t xml:space="preserve">are summarised in </w:t>
      </w:r>
      <w:r w:rsidR="002D0502" w:rsidRPr="00682EE4">
        <w:rPr>
          <w:szCs w:val="22"/>
        </w:rPr>
        <w:t>Table 2</w:t>
      </w:r>
      <w:r w:rsidR="008F120A" w:rsidRPr="00682EE4">
        <w:rPr>
          <w:szCs w:val="22"/>
        </w:rPr>
        <w:t xml:space="preserve">.  </w:t>
      </w:r>
    </w:p>
    <w:p w:rsidR="007F1017" w:rsidRPr="00682EE4" w:rsidRDefault="007F1017" w:rsidP="007F1017">
      <w:pPr>
        <w:widowControl/>
        <w:rPr>
          <w:szCs w:val="22"/>
        </w:rPr>
      </w:pPr>
    </w:p>
    <w:p w:rsidR="007F1017" w:rsidRPr="00682EE4" w:rsidRDefault="00FC2A6F" w:rsidP="00E22A0D">
      <w:pPr>
        <w:ind w:firstLine="720"/>
        <w:rPr>
          <w:rStyle w:val="CommentReference"/>
        </w:rPr>
      </w:pPr>
      <w:r w:rsidRPr="00682EE4">
        <w:rPr>
          <w:rStyle w:val="CommentReference"/>
        </w:rPr>
        <w:t>Table 2</w:t>
      </w:r>
      <w:r w:rsidR="007F1017" w:rsidRPr="00682EE4">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711"/>
        <w:gridCol w:w="1843"/>
        <w:gridCol w:w="991"/>
        <w:gridCol w:w="1417"/>
        <w:gridCol w:w="1133"/>
        <w:gridCol w:w="1117"/>
      </w:tblGrid>
      <w:tr w:rsidR="00E22A0D" w:rsidRPr="00682EE4" w:rsidTr="00E22A0D">
        <w:tc>
          <w:tcPr>
            <w:tcW w:w="679" w:type="pct"/>
            <w:shd w:val="clear" w:color="auto" w:fill="auto"/>
            <w:vAlign w:val="center"/>
          </w:tcPr>
          <w:p w:rsidR="007F1017" w:rsidRPr="00682EE4" w:rsidRDefault="007F1017" w:rsidP="007F1017">
            <w:pPr>
              <w:jc w:val="left"/>
              <w:rPr>
                <w:rFonts w:ascii="Arial Narrow" w:hAnsi="Arial Narrow"/>
                <w:b/>
                <w:sz w:val="20"/>
              </w:rPr>
            </w:pPr>
            <w:r w:rsidRPr="00682EE4">
              <w:rPr>
                <w:rFonts w:ascii="Arial Narrow" w:hAnsi="Arial Narrow"/>
                <w:b/>
                <w:sz w:val="20"/>
              </w:rPr>
              <w:t>Trial</w:t>
            </w:r>
          </w:p>
        </w:tc>
        <w:tc>
          <w:tcPr>
            <w:tcW w:w="426" w:type="pct"/>
            <w:shd w:val="clear" w:color="auto" w:fill="auto"/>
            <w:vAlign w:val="center"/>
          </w:tcPr>
          <w:p w:rsidR="007F1017" w:rsidRPr="00682EE4" w:rsidRDefault="007F1017" w:rsidP="007F1017">
            <w:pPr>
              <w:jc w:val="center"/>
              <w:rPr>
                <w:rFonts w:ascii="Arial Narrow" w:hAnsi="Arial Narrow"/>
                <w:b/>
                <w:sz w:val="20"/>
              </w:rPr>
            </w:pPr>
            <w:r w:rsidRPr="00682EE4">
              <w:rPr>
                <w:rFonts w:ascii="Arial Narrow" w:hAnsi="Arial Narrow"/>
                <w:b/>
                <w:sz w:val="20"/>
              </w:rPr>
              <w:t>N</w:t>
            </w:r>
          </w:p>
        </w:tc>
        <w:tc>
          <w:tcPr>
            <w:tcW w:w="1104" w:type="pct"/>
            <w:shd w:val="clear" w:color="auto" w:fill="auto"/>
            <w:vAlign w:val="center"/>
          </w:tcPr>
          <w:p w:rsidR="007F1017" w:rsidRPr="00682EE4" w:rsidRDefault="007F1017" w:rsidP="007F1017">
            <w:pPr>
              <w:jc w:val="center"/>
              <w:rPr>
                <w:rFonts w:ascii="Arial Narrow" w:hAnsi="Arial Narrow"/>
                <w:b/>
                <w:sz w:val="20"/>
              </w:rPr>
            </w:pPr>
            <w:r w:rsidRPr="00682EE4">
              <w:rPr>
                <w:rFonts w:ascii="Arial Narrow" w:hAnsi="Arial Narrow"/>
                <w:b/>
                <w:sz w:val="20"/>
              </w:rPr>
              <w:t>Design/ duration</w:t>
            </w:r>
          </w:p>
        </w:tc>
        <w:tc>
          <w:tcPr>
            <w:tcW w:w="594" w:type="pct"/>
            <w:shd w:val="clear" w:color="auto" w:fill="auto"/>
            <w:vAlign w:val="center"/>
          </w:tcPr>
          <w:p w:rsidR="007F1017" w:rsidRPr="00682EE4" w:rsidRDefault="007F1017" w:rsidP="007F1017">
            <w:pPr>
              <w:jc w:val="center"/>
              <w:rPr>
                <w:rFonts w:ascii="Arial Narrow" w:hAnsi="Arial Narrow"/>
                <w:b/>
                <w:sz w:val="20"/>
              </w:rPr>
            </w:pPr>
            <w:r w:rsidRPr="00682EE4">
              <w:rPr>
                <w:rFonts w:ascii="Arial Narrow" w:hAnsi="Arial Narrow"/>
                <w:b/>
                <w:sz w:val="20"/>
              </w:rPr>
              <w:t>Risk of bias</w:t>
            </w:r>
          </w:p>
        </w:tc>
        <w:tc>
          <w:tcPr>
            <w:tcW w:w="849" w:type="pct"/>
            <w:shd w:val="clear" w:color="auto" w:fill="auto"/>
            <w:vAlign w:val="center"/>
          </w:tcPr>
          <w:p w:rsidR="007F1017" w:rsidRPr="00682EE4" w:rsidRDefault="007F1017" w:rsidP="007F1017">
            <w:pPr>
              <w:jc w:val="center"/>
              <w:rPr>
                <w:rFonts w:ascii="Arial Narrow" w:hAnsi="Arial Narrow"/>
                <w:b/>
                <w:sz w:val="20"/>
              </w:rPr>
            </w:pPr>
            <w:r w:rsidRPr="00682EE4">
              <w:rPr>
                <w:rFonts w:ascii="Arial Narrow" w:hAnsi="Arial Narrow"/>
                <w:b/>
                <w:sz w:val="20"/>
              </w:rPr>
              <w:t>Patient population</w:t>
            </w:r>
          </w:p>
        </w:tc>
        <w:tc>
          <w:tcPr>
            <w:tcW w:w="679" w:type="pct"/>
            <w:shd w:val="clear" w:color="auto" w:fill="auto"/>
            <w:vAlign w:val="center"/>
          </w:tcPr>
          <w:p w:rsidR="007F1017" w:rsidRPr="00682EE4" w:rsidRDefault="007F1017" w:rsidP="007F1017">
            <w:pPr>
              <w:jc w:val="center"/>
              <w:rPr>
                <w:rFonts w:ascii="Arial Narrow" w:hAnsi="Arial Narrow"/>
                <w:b/>
                <w:sz w:val="20"/>
              </w:rPr>
            </w:pPr>
            <w:r w:rsidRPr="00682EE4">
              <w:rPr>
                <w:rFonts w:ascii="Arial Narrow" w:hAnsi="Arial Narrow"/>
                <w:b/>
                <w:sz w:val="20"/>
              </w:rPr>
              <w:t>Outcome(s)</w:t>
            </w:r>
          </w:p>
        </w:tc>
        <w:tc>
          <w:tcPr>
            <w:tcW w:w="669" w:type="pct"/>
            <w:shd w:val="clear" w:color="auto" w:fill="auto"/>
            <w:vAlign w:val="center"/>
          </w:tcPr>
          <w:p w:rsidR="007F1017" w:rsidRPr="00682EE4" w:rsidRDefault="007F1017" w:rsidP="007F1017">
            <w:pPr>
              <w:jc w:val="center"/>
              <w:rPr>
                <w:rFonts w:ascii="Arial Narrow" w:hAnsi="Arial Narrow"/>
                <w:b/>
                <w:sz w:val="20"/>
              </w:rPr>
            </w:pPr>
            <w:r w:rsidRPr="00682EE4">
              <w:rPr>
                <w:rFonts w:ascii="Arial Narrow" w:hAnsi="Arial Narrow"/>
                <w:b/>
                <w:sz w:val="20"/>
              </w:rPr>
              <w:t>Use in modelled evaluation</w:t>
            </w:r>
          </w:p>
        </w:tc>
      </w:tr>
      <w:tr w:rsidR="007F1017" w:rsidRPr="00682EE4" w:rsidTr="00E22A0D">
        <w:tc>
          <w:tcPr>
            <w:tcW w:w="5000" w:type="pct"/>
            <w:gridSpan w:val="7"/>
            <w:shd w:val="clear" w:color="auto" w:fill="auto"/>
            <w:vAlign w:val="center"/>
          </w:tcPr>
          <w:p w:rsidR="007F1017" w:rsidRPr="00682EE4" w:rsidRDefault="00FC2A6F" w:rsidP="007F1017">
            <w:pPr>
              <w:jc w:val="left"/>
              <w:rPr>
                <w:rFonts w:ascii="Arial Narrow" w:hAnsi="Arial Narrow"/>
                <w:b/>
                <w:sz w:val="20"/>
              </w:rPr>
            </w:pPr>
            <w:r w:rsidRPr="00682EE4">
              <w:rPr>
                <w:rFonts w:ascii="Arial Narrow" w:hAnsi="Arial Narrow"/>
                <w:b/>
                <w:sz w:val="20"/>
              </w:rPr>
              <w:t>SB4 vs etanercept</w:t>
            </w:r>
          </w:p>
        </w:tc>
      </w:tr>
      <w:tr w:rsidR="00E22A0D" w:rsidRPr="00682EE4" w:rsidTr="00E22A0D">
        <w:tc>
          <w:tcPr>
            <w:tcW w:w="679" w:type="pct"/>
            <w:shd w:val="clear" w:color="auto" w:fill="auto"/>
            <w:vAlign w:val="center"/>
          </w:tcPr>
          <w:p w:rsidR="007F1017" w:rsidRPr="00682EE4" w:rsidRDefault="00FC2A6F" w:rsidP="007F1017">
            <w:pPr>
              <w:jc w:val="left"/>
              <w:rPr>
                <w:rFonts w:ascii="Arial Narrow" w:hAnsi="Arial Narrow"/>
                <w:sz w:val="20"/>
              </w:rPr>
            </w:pPr>
            <w:r w:rsidRPr="00682EE4">
              <w:rPr>
                <w:rFonts w:ascii="Arial Narrow" w:hAnsi="Arial Narrow"/>
                <w:sz w:val="20"/>
              </w:rPr>
              <w:t>SB4-G31-RA</w:t>
            </w:r>
          </w:p>
        </w:tc>
        <w:tc>
          <w:tcPr>
            <w:tcW w:w="426" w:type="pct"/>
            <w:shd w:val="clear" w:color="auto" w:fill="auto"/>
            <w:vAlign w:val="center"/>
          </w:tcPr>
          <w:p w:rsidR="007F1017" w:rsidRPr="00682EE4" w:rsidRDefault="00FC2A6F" w:rsidP="007F1017">
            <w:pPr>
              <w:jc w:val="center"/>
              <w:rPr>
                <w:rFonts w:ascii="Arial Narrow" w:hAnsi="Arial Narrow"/>
                <w:sz w:val="20"/>
              </w:rPr>
            </w:pPr>
            <w:r w:rsidRPr="00682EE4">
              <w:rPr>
                <w:rFonts w:ascii="Arial Narrow" w:hAnsi="Arial Narrow"/>
                <w:sz w:val="20"/>
              </w:rPr>
              <w:t>596</w:t>
            </w:r>
          </w:p>
        </w:tc>
        <w:tc>
          <w:tcPr>
            <w:tcW w:w="1104" w:type="pct"/>
            <w:shd w:val="clear" w:color="auto" w:fill="auto"/>
            <w:vAlign w:val="center"/>
          </w:tcPr>
          <w:p w:rsidR="007F1017" w:rsidRPr="00682EE4" w:rsidRDefault="007F1017" w:rsidP="007F1017">
            <w:pPr>
              <w:jc w:val="center"/>
              <w:rPr>
                <w:rFonts w:ascii="Arial Narrow" w:hAnsi="Arial Narrow"/>
                <w:sz w:val="20"/>
              </w:rPr>
            </w:pPr>
            <w:r w:rsidRPr="00682EE4">
              <w:rPr>
                <w:rFonts w:ascii="Arial Narrow" w:hAnsi="Arial Narrow"/>
                <w:sz w:val="20"/>
              </w:rPr>
              <w:t>R, DB</w:t>
            </w:r>
          </w:p>
          <w:p w:rsidR="007F1017" w:rsidRPr="00682EE4" w:rsidRDefault="00FC2A6F" w:rsidP="00FC2A6F">
            <w:pPr>
              <w:jc w:val="center"/>
              <w:rPr>
                <w:rFonts w:ascii="Arial Narrow" w:hAnsi="Arial Narrow"/>
                <w:sz w:val="20"/>
              </w:rPr>
            </w:pPr>
            <w:r w:rsidRPr="00682EE4">
              <w:rPr>
                <w:rFonts w:ascii="Arial Narrow" w:hAnsi="Arial Narrow"/>
                <w:sz w:val="20"/>
              </w:rPr>
              <w:t>52 weeks</w:t>
            </w:r>
          </w:p>
        </w:tc>
        <w:tc>
          <w:tcPr>
            <w:tcW w:w="594" w:type="pct"/>
            <w:shd w:val="clear" w:color="auto" w:fill="auto"/>
            <w:vAlign w:val="center"/>
          </w:tcPr>
          <w:p w:rsidR="007F1017" w:rsidRPr="00682EE4" w:rsidRDefault="007F1017" w:rsidP="007F1017">
            <w:pPr>
              <w:jc w:val="center"/>
              <w:rPr>
                <w:rFonts w:ascii="Arial Narrow" w:hAnsi="Arial Narrow"/>
                <w:sz w:val="20"/>
              </w:rPr>
            </w:pPr>
            <w:r w:rsidRPr="00682EE4">
              <w:rPr>
                <w:rFonts w:ascii="Arial Narrow" w:hAnsi="Arial Narrow"/>
                <w:sz w:val="20"/>
              </w:rPr>
              <w:t>Low</w:t>
            </w:r>
          </w:p>
        </w:tc>
        <w:tc>
          <w:tcPr>
            <w:tcW w:w="849" w:type="pct"/>
            <w:shd w:val="clear" w:color="auto" w:fill="auto"/>
            <w:vAlign w:val="center"/>
          </w:tcPr>
          <w:p w:rsidR="007F1017" w:rsidRPr="00682EE4" w:rsidRDefault="00FC2A6F" w:rsidP="007F1017">
            <w:pPr>
              <w:jc w:val="center"/>
              <w:rPr>
                <w:rFonts w:ascii="Arial Narrow" w:hAnsi="Arial Narrow"/>
                <w:sz w:val="20"/>
              </w:rPr>
            </w:pPr>
            <w:r w:rsidRPr="00682EE4">
              <w:rPr>
                <w:rFonts w:ascii="Arial Narrow" w:hAnsi="Arial Narrow"/>
                <w:sz w:val="20"/>
              </w:rPr>
              <w:t>RA, bDMARD treatment naive</w:t>
            </w:r>
          </w:p>
        </w:tc>
        <w:tc>
          <w:tcPr>
            <w:tcW w:w="679" w:type="pct"/>
            <w:shd w:val="clear" w:color="auto" w:fill="auto"/>
            <w:vAlign w:val="center"/>
          </w:tcPr>
          <w:p w:rsidR="007F1017" w:rsidRPr="00682EE4" w:rsidRDefault="00871E7C" w:rsidP="007F1017">
            <w:pPr>
              <w:jc w:val="center"/>
              <w:rPr>
                <w:rFonts w:ascii="Arial Narrow" w:hAnsi="Arial Narrow"/>
                <w:sz w:val="20"/>
              </w:rPr>
            </w:pPr>
            <w:r w:rsidRPr="00682EE4">
              <w:rPr>
                <w:rFonts w:ascii="Arial Narrow" w:hAnsi="Arial Narrow"/>
                <w:sz w:val="20"/>
              </w:rPr>
              <w:t xml:space="preserve">ACR20, ACR50, </w:t>
            </w:r>
            <w:r w:rsidR="00894A1D" w:rsidRPr="00682EE4">
              <w:rPr>
                <w:rFonts w:ascii="Arial Narrow" w:hAnsi="Arial Narrow"/>
                <w:sz w:val="20"/>
              </w:rPr>
              <w:t>ACR</w:t>
            </w:r>
            <w:r w:rsidR="00573D17" w:rsidRPr="00682EE4">
              <w:rPr>
                <w:rFonts w:ascii="Arial Narrow" w:hAnsi="Arial Narrow"/>
                <w:sz w:val="20"/>
              </w:rPr>
              <w:t xml:space="preserve">70, </w:t>
            </w:r>
            <w:r w:rsidRPr="00682EE4">
              <w:rPr>
                <w:rFonts w:ascii="Arial Narrow" w:hAnsi="Arial Narrow"/>
                <w:sz w:val="20"/>
              </w:rPr>
              <w:t>DAS28</w:t>
            </w:r>
          </w:p>
        </w:tc>
        <w:tc>
          <w:tcPr>
            <w:tcW w:w="669" w:type="pct"/>
            <w:shd w:val="clear" w:color="auto" w:fill="auto"/>
            <w:vAlign w:val="center"/>
          </w:tcPr>
          <w:p w:rsidR="007F1017" w:rsidRPr="00682EE4" w:rsidRDefault="00FC2A6F" w:rsidP="007F1017">
            <w:pPr>
              <w:jc w:val="center"/>
              <w:rPr>
                <w:rFonts w:ascii="Arial Narrow" w:hAnsi="Arial Narrow"/>
                <w:sz w:val="20"/>
              </w:rPr>
            </w:pPr>
            <w:r w:rsidRPr="00682EE4">
              <w:rPr>
                <w:rFonts w:ascii="Arial Narrow" w:hAnsi="Arial Narrow"/>
                <w:sz w:val="20"/>
              </w:rPr>
              <w:t>NA</w:t>
            </w:r>
          </w:p>
        </w:tc>
      </w:tr>
    </w:tbl>
    <w:p w:rsidR="007F1017" w:rsidRPr="00682EE4" w:rsidRDefault="00FC2A6F" w:rsidP="00573D17">
      <w:pPr>
        <w:pStyle w:val="TableFooter"/>
        <w:ind w:left="709"/>
      </w:pPr>
      <w:r w:rsidRPr="00682EE4">
        <w:t>DB=double blind</w:t>
      </w:r>
      <w:r w:rsidR="007F1017" w:rsidRPr="00682EE4">
        <w:t>; R=randomised</w:t>
      </w:r>
      <w:r w:rsidRPr="00682EE4">
        <w:t>;</w:t>
      </w:r>
      <w:r w:rsidR="00871E7C" w:rsidRPr="00682EE4">
        <w:t xml:space="preserve"> </w:t>
      </w:r>
      <w:r w:rsidRPr="00682EE4">
        <w:t xml:space="preserve">RA = Rheumatoid arthritis, bDMARD = </w:t>
      </w:r>
      <w:r w:rsidRPr="00682EE4">
        <w:rPr>
          <w:iCs/>
        </w:rPr>
        <w:t>biological disease modifying anti-rheumatoid drugs</w:t>
      </w:r>
      <w:r w:rsidR="00871E7C" w:rsidRPr="00682EE4">
        <w:rPr>
          <w:iCs/>
        </w:rPr>
        <w:t xml:space="preserve">, ACR20 = </w:t>
      </w:r>
      <w:r w:rsidR="00573D17" w:rsidRPr="00682EE4">
        <w:rPr>
          <w:iCs/>
        </w:rPr>
        <w:t>American College of Rheumatology 20% improvement criteria</w:t>
      </w:r>
      <w:r w:rsidR="00871E7C" w:rsidRPr="00682EE4">
        <w:rPr>
          <w:iCs/>
        </w:rPr>
        <w:t xml:space="preserve">; </w:t>
      </w:r>
      <w:r w:rsidR="00573D17" w:rsidRPr="00682EE4">
        <w:rPr>
          <w:iCs/>
        </w:rPr>
        <w:t>ACR50 = American College of Rheumatology 50% improvement criteria</w:t>
      </w:r>
      <w:r w:rsidR="00871E7C" w:rsidRPr="00682EE4">
        <w:rPr>
          <w:iCs/>
        </w:rPr>
        <w:t>;</w:t>
      </w:r>
      <w:r w:rsidR="00573D17" w:rsidRPr="00682EE4">
        <w:rPr>
          <w:iCs/>
        </w:rPr>
        <w:t xml:space="preserve"> ACR70 = American College of Rheumatology 70% improvement criteria,</w:t>
      </w:r>
      <w:r w:rsidR="00871E7C" w:rsidRPr="00682EE4">
        <w:rPr>
          <w:iCs/>
        </w:rPr>
        <w:t xml:space="preserve"> DAS28 = </w:t>
      </w:r>
      <w:r w:rsidR="00573D17" w:rsidRPr="00682EE4">
        <w:rPr>
          <w:iCs/>
        </w:rPr>
        <w:t>Disease Activity Score for 28 joints</w:t>
      </w:r>
      <w:r w:rsidR="007F1017" w:rsidRPr="00682EE4">
        <w:t>.</w:t>
      </w:r>
    </w:p>
    <w:p w:rsidR="007F1017" w:rsidRPr="00682EE4" w:rsidRDefault="007F1017" w:rsidP="00E22A0D">
      <w:pPr>
        <w:pStyle w:val="TableFooter"/>
        <w:ind w:firstLine="720"/>
      </w:pPr>
      <w:r w:rsidRPr="00682EE4">
        <w:t>Source: compiled during the evaluation</w:t>
      </w:r>
    </w:p>
    <w:p w:rsidR="007F1017" w:rsidRPr="00682EE4" w:rsidRDefault="007F1017" w:rsidP="007F1017"/>
    <w:p w:rsidR="00076057" w:rsidRPr="00682EE4" w:rsidRDefault="00076057" w:rsidP="007D7E59">
      <w:pPr>
        <w:ind w:left="720"/>
        <w:rPr>
          <w:iCs/>
        </w:rPr>
      </w:pPr>
    </w:p>
    <w:p w:rsidR="007F1017" w:rsidRPr="00682EE4" w:rsidRDefault="00FC2A6F" w:rsidP="00291A60">
      <w:pPr>
        <w:pStyle w:val="ListParagraph"/>
        <w:widowControl/>
        <w:numPr>
          <w:ilvl w:val="1"/>
          <w:numId w:val="1"/>
        </w:numPr>
        <w:rPr>
          <w:szCs w:val="22"/>
        </w:rPr>
      </w:pPr>
      <w:r w:rsidRPr="00682EE4">
        <w:rPr>
          <w:szCs w:val="22"/>
        </w:rPr>
        <w:t>The submission presente</w:t>
      </w:r>
      <w:r w:rsidR="00934C6D" w:rsidRPr="00682EE4">
        <w:rPr>
          <w:szCs w:val="22"/>
        </w:rPr>
        <w:t>d only clinical evidence for Brenzys</w:t>
      </w:r>
      <w:r w:rsidRPr="00682EE4">
        <w:rPr>
          <w:szCs w:val="22"/>
        </w:rPr>
        <w:t xml:space="preserve"> in patients with RA and implicitly assumed that the evidence can be extrapolated to patients with other conditions. </w:t>
      </w:r>
      <w:r w:rsidR="0014050E" w:rsidRPr="00682EE4">
        <w:rPr>
          <w:szCs w:val="22"/>
        </w:rPr>
        <w:t xml:space="preserve"> </w:t>
      </w:r>
    </w:p>
    <w:p w:rsidR="00B60939" w:rsidRPr="00682EE4" w:rsidRDefault="00B60939" w:rsidP="00B60939">
      <w:pPr>
        <w:rPr>
          <w:szCs w:val="22"/>
        </w:rPr>
      </w:pPr>
    </w:p>
    <w:p w:rsidR="00934C6D" w:rsidRPr="00682EE4" w:rsidRDefault="0093354A" w:rsidP="00610F8E">
      <w:pPr>
        <w:pStyle w:val="ListParagraph"/>
        <w:widowControl/>
        <w:numPr>
          <w:ilvl w:val="1"/>
          <w:numId w:val="1"/>
        </w:numPr>
        <w:rPr>
          <w:szCs w:val="22"/>
        </w:rPr>
      </w:pPr>
      <w:r w:rsidRPr="00682EE4">
        <w:rPr>
          <w:szCs w:val="22"/>
        </w:rPr>
        <w:t>The</w:t>
      </w:r>
      <w:r w:rsidR="00934C6D" w:rsidRPr="00682EE4">
        <w:rPr>
          <w:szCs w:val="22"/>
        </w:rPr>
        <w:t xml:space="preserve"> SB4-G31-RA</w:t>
      </w:r>
      <w:r w:rsidR="00076057" w:rsidRPr="00682EE4">
        <w:rPr>
          <w:szCs w:val="22"/>
        </w:rPr>
        <w:t xml:space="preserve"> open label e</w:t>
      </w:r>
      <w:r w:rsidR="00934C6D" w:rsidRPr="00682EE4">
        <w:rPr>
          <w:szCs w:val="22"/>
        </w:rPr>
        <w:t>xtension stud</w:t>
      </w:r>
      <w:r w:rsidR="00076057" w:rsidRPr="00682EE4">
        <w:rPr>
          <w:szCs w:val="22"/>
        </w:rPr>
        <w:t xml:space="preserve">y </w:t>
      </w:r>
      <w:r w:rsidR="00725080" w:rsidRPr="00682EE4">
        <w:rPr>
          <w:szCs w:val="22"/>
        </w:rPr>
        <w:t>presented an additional 52 weeks of data, including a group that switched from Enbrel to Brenzys.  The key feature</w:t>
      </w:r>
      <w:r w:rsidR="00E67627" w:rsidRPr="00682EE4">
        <w:rPr>
          <w:szCs w:val="22"/>
        </w:rPr>
        <w:t>s from the SB4-G31-RA extension</w:t>
      </w:r>
      <w:r w:rsidR="00725080" w:rsidRPr="00682EE4">
        <w:rPr>
          <w:szCs w:val="22"/>
        </w:rPr>
        <w:t xml:space="preserve"> are </w:t>
      </w:r>
      <w:r w:rsidR="00C67948" w:rsidRPr="00682EE4">
        <w:rPr>
          <w:szCs w:val="22"/>
        </w:rPr>
        <w:t>summarised in Table 3</w:t>
      </w:r>
      <w:r w:rsidR="00725080" w:rsidRPr="00682EE4">
        <w:rPr>
          <w:szCs w:val="22"/>
        </w:rPr>
        <w:t>.</w:t>
      </w:r>
    </w:p>
    <w:p w:rsidR="00E67627" w:rsidRPr="00682EE4" w:rsidRDefault="00E67627" w:rsidP="007E545C"/>
    <w:p w:rsidR="00E67627" w:rsidRPr="00682EE4" w:rsidRDefault="00C67948" w:rsidP="00E67627">
      <w:pPr>
        <w:ind w:firstLine="720"/>
        <w:rPr>
          <w:rStyle w:val="CommentReference"/>
          <w:szCs w:val="20"/>
        </w:rPr>
      </w:pPr>
      <w:r w:rsidRPr="00682EE4">
        <w:rPr>
          <w:rStyle w:val="CommentReference"/>
        </w:rPr>
        <w:t>Table 3</w:t>
      </w:r>
      <w:r w:rsidR="00E67627" w:rsidRPr="00682EE4">
        <w:rPr>
          <w:rStyle w:val="CommentReference"/>
        </w:rPr>
        <w:t>: Key features of the included evidence</w:t>
      </w:r>
    </w:p>
    <w:tbl>
      <w:tblPr>
        <w:tblW w:w="473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427"/>
        <w:gridCol w:w="1135"/>
        <w:gridCol w:w="1135"/>
        <w:gridCol w:w="937"/>
        <w:gridCol w:w="1894"/>
        <w:gridCol w:w="1176"/>
        <w:gridCol w:w="903"/>
      </w:tblGrid>
      <w:tr w:rsidR="001161E2" w:rsidRPr="00682EE4" w:rsidTr="001161E2">
        <w:tc>
          <w:tcPr>
            <w:tcW w:w="577" w:type="pct"/>
            <w:tcMar>
              <w:top w:w="0" w:type="dxa"/>
              <w:left w:w="28" w:type="dxa"/>
              <w:bottom w:w="0" w:type="dxa"/>
              <w:right w:w="28" w:type="dxa"/>
            </w:tcMar>
            <w:vAlign w:val="center"/>
            <w:hideMark/>
          </w:tcPr>
          <w:p w:rsidR="001161E2" w:rsidRPr="00682EE4" w:rsidRDefault="001161E2" w:rsidP="00E67627">
            <w:pPr>
              <w:jc w:val="center"/>
              <w:rPr>
                <w:rFonts w:ascii="Arial Narrow" w:hAnsi="Arial Narrow"/>
                <w:b/>
                <w:sz w:val="20"/>
              </w:rPr>
            </w:pPr>
            <w:r w:rsidRPr="00682EE4">
              <w:rPr>
                <w:rFonts w:ascii="Arial Narrow" w:hAnsi="Arial Narrow"/>
                <w:b/>
                <w:sz w:val="20"/>
              </w:rPr>
              <w:t>Trial</w:t>
            </w:r>
          </w:p>
        </w:tc>
        <w:tc>
          <w:tcPr>
            <w:tcW w:w="248" w:type="pct"/>
            <w:tcMar>
              <w:top w:w="0" w:type="dxa"/>
              <w:left w:w="28" w:type="dxa"/>
              <w:bottom w:w="0" w:type="dxa"/>
              <w:right w:w="28" w:type="dxa"/>
            </w:tcMar>
            <w:vAlign w:val="center"/>
            <w:hideMark/>
          </w:tcPr>
          <w:p w:rsidR="001161E2" w:rsidRPr="00682EE4" w:rsidRDefault="001161E2" w:rsidP="00E67627">
            <w:pPr>
              <w:jc w:val="center"/>
              <w:rPr>
                <w:rFonts w:ascii="Arial Narrow" w:hAnsi="Arial Narrow"/>
                <w:b/>
                <w:sz w:val="20"/>
              </w:rPr>
            </w:pPr>
            <w:r w:rsidRPr="00682EE4">
              <w:rPr>
                <w:rFonts w:ascii="Arial Narrow" w:hAnsi="Arial Narrow"/>
                <w:b/>
                <w:sz w:val="20"/>
              </w:rPr>
              <w:t>N</w:t>
            </w:r>
          </w:p>
        </w:tc>
        <w:tc>
          <w:tcPr>
            <w:tcW w:w="660" w:type="pct"/>
            <w:tcMar>
              <w:top w:w="0" w:type="dxa"/>
              <w:left w:w="28" w:type="dxa"/>
              <w:bottom w:w="0" w:type="dxa"/>
              <w:right w:w="28" w:type="dxa"/>
            </w:tcMar>
            <w:vAlign w:val="center"/>
          </w:tcPr>
          <w:p w:rsidR="001161E2" w:rsidRPr="00682EE4" w:rsidRDefault="001161E2" w:rsidP="00E67627">
            <w:pPr>
              <w:jc w:val="center"/>
              <w:rPr>
                <w:rFonts w:ascii="Arial Narrow" w:hAnsi="Arial Narrow"/>
                <w:b/>
                <w:sz w:val="20"/>
              </w:rPr>
            </w:pPr>
          </w:p>
          <w:p w:rsidR="001161E2" w:rsidRPr="00682EE4" w:rsidRDefault="001161E2" w:rsidP="00E67627">
            <w:pPr>
              <w:jc w:val="center"/>
              <w:rPr>
                <w:rFonts w:ascii="Arial Narrow" w:hAnsi="Arial Narrow"/>
                <w:b/>
                <w:sz w:val="20"/>
              </w:rPr>
            </w:pPr>
            <w:r w:rsidRPr="00682EE4">
              <w:rPr>
                <w:rFonts w:ascii="Arial Narrow" w:hAnsi="Arial Narrow"/>
                <w:b/>
                <w:sz w:val="20"/>
              </w:rPr>
              <w:t>N</w:t>
            </w:r>
          </w:p>
          <w:p w:rsidR="001161E2" w:rsidRPr="00682EE4" w:rsidRDefault="001161E2" w:rsidP="00E67627">
            <w:pPr>
              <w:jc w:val="center"/>
              <w:rPr>
                <w:rFonts w:ascii="Arial Narrow" w:hAnsi="Arial Narrow"/>
                <w:b/>
                <w:sz w:val="20"/>
              </w:rPr>
            </w:pPr>
            <w:r w:rsidRPr="00682EE4">
              <w:rPr>
                <w:rFonts w:ascii="Arial Narrow" w:hAnsi="Arial Narrow"/>
                <w:b/>
                <w:sz w:val="20"/>
              </w:rPr>
              <w:t>(Brenzys-&gt; Brenzys)</w:t>
            </w:r>
          </w:p>
          <w:p w:rsidR="001161E2" w:rsidRPr="00682EE4" w:rsidRDefault="001161E2" w:rsidP="00E67627">
            <w:pPr>
              <w:jc w:val="center"/>
              <w:rPr>
                <w:rFonts w:ascii="Arial Narrow" w:hAnsi="Arial Narrow"/>
                <w:b/>
                <w:sz w:val="20"/>
              </w:rPr>
            </w:pPr>
          </w:p>
        </w:tc>
        <w:tc>
          <w:tcPr>
            <w:tcW w:w="660" w:type="pct"/>
            <w:tcMar>
              <w:top w:w="0" w:type="dxa"/>
              <w:left w:w="28" w:type="dxa"/>
              <w:bottom w:w="0" w:type="dxa"/>
              <w:right w:w="28" w:type="dxa"/>
            </w:tcMar>
            <w:vAlign w:val="center"/>
            <w:hideMark/>
          </w:tcPr>
          <w:p w:rsidR="001161E2" w:rsidRPr="00682EE4" w:rsidRDefault="001161E2" w:rsidP="00E67627">
            <w:pPr>
              <w:jc w:val="center"/>
              <w:rPr>
                <w:rFonts w:ascii="Arial Narrow" w:hAnsi="Arial Narrow"/>
                <w:b/>
                <w:sz w:val="20"/>
              </w:rPr>
            </w:pPr>
            <w:r w:rsidRPr="00682EE4">
              <w:rPr>
                <w:rFonts w:ascii="Arial Narrow" w:hAnsi="Arial Narrow"/>
                <w:b/>
                <w:sz w:val="20"/>
              </w:rPr>
              <w:t>N</w:t>
            </w:r>
          </w:p>
          <w:p w:rsidR="001161E2" w:rsidRPr="00682EE4" w:rsidRDefault="001161E2" w:rsidP="00E67627">
            <w:pPr>
              <w:jc w:val="center"/>
              <w:rPr>
                <w:rFonts w:ascii="Arial Narrow" w:hAnsi="Arial Narrow"/>
                <w:b/>
                <w:sz w:val="20"/>
              </w:rPr>
            </w:pPr>
            <w:r w:rsidRPr="00682EE4">
              <w:rPr>
                <w:rFonts w:ascii="Arial Narrow" w:hAnsi="Arial Narrow"/>
                <w:b/>
                <w:sz w:val="20"/>
              </w:rPr>
              <w:t>(Enbrel-&gt; Brenzys)</w:t>
            </w:r>
          </w:p>
        </w:tc>
        <w:tc>
          <w:tcPr>
            <w:tcW w:w="545" w:type="pct"/>
            <w:tcMar>
              <w:top w:w="0" w:type="dxa"/>
              <w:left w:w="28" w:type="dxa"/>
              <w:bottom w:w="0" w:type="dxa"/>
              <w:right w:w="28" w:type="dxa"/>
            </w:tcMar>
            <w:vAlign w:val="center"/>
            <w:hideMark/>
          </w:tcPr>
          <w:p w:rsidR="001161E2" w:rsidRPr="00682EE4" w:rsidRDefault="001161E2" w:rsidP="00E67627">
            <w:pPr>
              <w:jc w:val="center"/>
              <w:rPr>
                <w:rFonts w:ascii="Arial Narrow" w:hAnsi="Arial Narrow"/>
                <w:b/>
                <w:sz w:val="20"/>
              </w:rPr>
            </w:pPr>
            <w:r w:rsidRPr="00682EE4">
              <w:rPr>
                <w:rFonts w:ascii="Arial Narrow" w:hAnsi="Arial Narrow"/>
                <w:b/>
                <w:sz w:val="20"/>
              </w:rPr>
              <w:t>Design/ duration</w:t>
            </w:r>
          </w:p>
        </w:tc>
        <w:tc>
          <w:tcPr>
            <w:tcW w:w="1101" w:type="pct"/>
            <w:tcMar>
              <w:top w:w="0" w:type="dxa"/>
              <w:left w:w="28" w:type="dxa"/>
              <w:bottom w:w="0" w:type="dxa"/>
              <w:right w:w="28" w:type="dxa"/>
            </w:tcMar>
            <w:vAlign w:val="center"/>
            <w:hideMark/>
          </w:tcPr>
          <w:p w:rsidR="001161E2" w:rsidRPr="00682EE4" w:rsidRDefault="001161E2" w:rsidP="00E67627">
            <w:pPr>
              <w:jc w:val="center"/>
              <w:rPr>
                <w:rFonts w:ascii="Arial Narrow" w:hAnsi="Arial Narrow"/>
                <w:b/>
                <w:sz w:val="20"/>
              </w:rPr>
            </w:pPr>
            <w:r w:rsidRPr="00682EE4">
              <w:rPr>
                <w:rFonts w:ascii="Arial Narrow" w:hAnsi="Arial Narrow"/>
                <w:b/>
                <w:sz w:val="20"/>
              </w:rPr>
              <w:t>Patient population</w:t>
            </w:r>
          </w:p>
        </w:tc>
        <w:tc>
          <w:tcPr>
            <w:tcW w:w="684" w:type="pct"/>
            <w:tcMar>
              <w:top w:w="0" w:type="dxa"/>
              <w:left w:w="28" w:type="dxa"/>
              <w:bottom w:w="0" w:type="dxa"/>
              <w:right w:w="28" w:type="dxa"/>
            </w:tcMar>
            <w:vAlign w:val="center"/>
            <w:hideMark/>
          </w:tcPr>
          <w:p w:rsidR="001161E2" w:rsidRPr="00682EE4" w:rsidRDefault="001161E2" w:rsidP="00E67627">
            <w:pPr>
              <w:jc w:val="center"/>
              <w:rPr>
                <w:rFonts w:ascii="Arial Narrow" w:hAnsi="Arial Narrow"/>
                <w:b/>
                <w:sz w:val="20"/>
              </w:rPr>
            </w:pPr>
            <w:r w:rsidRPr="00682EE4">
              <w:rPr>
                <w:rFonts w:ascii="Arial Narrow" w:hAnsi="Arial Narrow"/>
                <w:b/>
                <w:sz w:val="20"/>
              </w:rPr>
              <w:t>Outcome(s)</w:t>
            </w:r>
          </w:p>
        </w:tc>
        <w:tc>
          <w:tcPr>
            <w:tcW w:w="525" w:type="pct"/>
            <w:tcMar>
              <w:top w:w="0" w:type="dxa"/>
              <w:left w:w="28" w:type="dxa"/>
              <w:bottom w:w="0" w:type="dxa"/>
              <w:right w:w="28" w:type="dxa"/>
            </w:tcMar>
            <w:vAlign w:val="center"/>
            <w:hideMark/>
          </w:tcPr>
          <w:p w:rsidR="001161E2" w:rsidRPr="00682EE4" w:rsidRDefault="001161E2" w:rsidP="00E67627">
            <w:pPr>
              <w:jc w:val="center"/>
              <w:rPr>
                <w:rFonts w:ascii="Arial Narrow" w:hAnsi="Arial Narrow"/>
                <w:b/>
                <w:sz w:val="20"/>
              </w:rPr>
            </w:pPr>
            <w:r w:rsidRPr="00682EE4">
              <w:rPr>
                <w:rFonts w:ascii="Arial Narrow" w:hAnsi="Arial Narrow"/>
                <w:b/>
                <w:sz w:val="20"/>
              </w:rPr>
              <w:t>Use in modelled evaluation</w:t>
            </w:r>
          </w:p>
        </w:tc>
      </w:tr>
      <w:tr w:rsidR="00E67627" w:rsidRPr="00682EE4" w:rsidTr="00E67627">
        <w:tc>
          <w:tcPr>
            <w:tcW w:w="5000" w:type="pct"/>
            <w:gridSpan w:val="8"/>
            <w:tcMar>
              <w:top w:w="0" w:type="dxa"/>
              <w:left w:w="28" w:type="dxa"/>
              <w:bottom w:w="0" w:type="dxa"/>
              <w:right w:w="28" w:type="dxa"/>
            </w:tcMar>
            <w:vAlign w:val="center"/>
            <w:hideMark/>
          </w:tcPr>
          <w:p w:rsidR="00E67627" w:rsidRPr="00682EE4" w:rsidRDefault="00E67627" w:rsidP="00E67627">
            <w:pPr>
              <w:jc w:val="left"/>
              <w:rPr>
                <w:rFonts w:ascii="Arial Narrow" w:hAnsi="Arial Narrow"/>
                <w:b/>
                <w:sz w:val="20"/>
              </w:rPr>
            </w:pPr>
            <w:r w:rsidRPr="00682EE4">
              <w:rPr>
                <w:rFonts w:ascii="Arial Narrow" w:hAnsi="Arial Narrow"/>
                <w:b/>
                <w:sz w:val="20"/>
              </w:rPr>
              <w:t>Brenzys -&gt; Brenzys vs. Enbrel -&gt; Brenzys at transition to extension study</w:t>
            </w:r>
          </w:p>
        </w:tc>
      </w:tr>
      <w:tr w:rsidR="001161E2" w:rsidRPr="00682EE4" w:rsidTr="001161E2">
        <w:tc>
          <w:tcPr>
            <w:tcW w:w="577" w:type="pct"/>
            <w:tcMar>
              <w:top w:w="0" w:type="dxa"/>
              <w:left w:w="28" w:type="dxa"/>
              <w:bottom w:w="0" w:type="dxa"/>
              <w:right w:w="28" w:type="dxa"/>
            </w:tcMar>
            <w:vAlign w:val="center"/>
            <w:hideMark/>
          </w:tcPr>
          <w:p w:rsidR="001161E2" w:rsidRPr="00682EE4" w:rsidRDefault="001161E2" w:rsidP="00E67627">
            <w:pPr>
              <w:jc w:val="center"/>
              <w:rPr>
                <w:rFonts w:ascii="Arial Narrow" w:hAnsi="Arial Narrow"/>
                <w:sz w:val="18"/>
                <w:szCs w:val="18"/>
              </w:rPr>
            </w:pPr>
            <w:r w:rsidRPr="00682EE4">
              <w:rPr>
                <w:rFonts w:ascii="Arial Narrow" w:hAnsi="Arial Narrow"/>
                <w:sz w:val="18"/>
                <w:szCs w:val="18"/>
              </w:rPr>
              <w:t>SB4-G31-RA Extension</w:t>
            </w:r>
          </w:p>
        </w:tc>
        <w:tc>
          <w:tcPr>
            <w:tcW w:w="248" w:type="pct"/>
            <w:tcMar>
              <w:top w:w="0" w:type="dxa"/>
              <w:left w:w="28" w:type="dxa"/>
              <w:bottom w:w="0" w:type="dxa"/>
              <w:right w:w="28" w:type="dxa"/>
            </w:tcMar>
            <w:vAlign w:val="center"/>
            <w:hideMark/>
          </w:tcPr>
          <w:p w:rsidR="001161E2" w:rsidRPr="00682EE4" w:rsidRDefault="001161E2" w:rsidP="00E67627">
            <w:pPr>
              <w:jc w:val="center"/>
              <w:rPr>
                <w:rFonts w:ascii="Arial Narrow" w:hAnsi="Arial Narrow"/>
                <w:sz w:val="20"/>
              </w:rPr>
            </w:pPr>
            <w:r w:rsidRPr="00682EE4">
              <w:rPr>
                <w:rFonts w:ascii="Arial Narrow" w:hAnsi="Arial Narrow"/>
                <w:sz w:val="20"/>
              </w:rPr>
              <w:t>245</w:t>
            </w:r>
          </w:p>
        </w:tc>
        <w:tc>
          <w:tcPr>
            <w:tcW w:w="660" w:type="pct"/>
            <w:tcMar>
              <w:top w:w="0" w:type="dxa"/>
              <w:left w:w="28" w:type="dxa"/>
              <w:bottom w:w="0" w:type="dxa"/>
              <w:right w:w="28" w:type="dxa"/>
            </w:tcMar>
            <w:vAlign w:val="center"/>
            <w:hideMark/>
          </w:tcPr>
          <w:p w:rsidR="001161E2" w:rsidRPr="00682EE4" w:rsidRDefault="001161E2" w:rsidP="00E67627">
            <w:pPr>
              <w:jc w:val="center"/>
              <w:rPr>
                <w:rFonts w:ascii="Arial Narrow" w:hAnsi="Arial Narrow"/>
                <w:sz w:val="20"/>
              </w:rPr>
            </w:pPr>
            <w:r w:rsidRPr="00682EE4">
              <w:rPr>
                <w:rFonts w:ascii="Arial Narrow" w:hAnsi="Arial Narrow"/>
                <w:sz w:val="20"/>
              </w:rPr>
              <w:t>126</w:t>
            </w:r>
          </w:p>
        </w:tc>
        <w:tc>
          <w:tcPr>
            <w:tcW w:w="660" w:type="pct"/>
            <w:tcMar>
              <w:top w:w="0" w:type="dxa"/>
              <w:left w:w="28" w:type="dxa"/>
              <w:bottom w:w="0" w:type="dxa"/>
              <w:right w:w="28" w:type="dxa"/>
            </w:tcMar>
            <w:vAlign w:val="center"/>
            <w:hideMark/>
          </w:tcPr>
          <w:p w:rsidR="001161E2" w:rsidRPr="00682EE4" w:rsidRDefault="001161E2" w:rsidP="00E67627">
            <w:pPr>
              <w:jc w:val="center"/>
              <w:rPr>
                <w:rFonts w:ascii="Arial Narrow" w:hAnsi="Arial Narrow"/>
                <w:sz w:val="20"/>
              </w:rPr>
            </w:pPr>
            <w:r w:rsidRPr="00682EE4">
              <w:rPr>
                <w:rFonts w:ascii="Arial Narrow" w:hAnsi="Arial Narrow"/>
                <w:sz w:val="20"/>
              </w:rPr>
              <w:t>119</w:t>
            </w:r>
          </w:p>
        </w:tc>
        <w:tc>
          <w:tcPr>
            <w:tcW w:w="545" w:type="pct"/>
            <w:tcMar>
              <w:top w:w="0" w:type="dxa"/>
              <w:left w:w="28" w:type="dxa"/>
              <w:bottom w:w="0" w:type="dxa"/>
              <w:right w:w="28" w:type="dxa"/>
            </w:tcMar>
            <w:vAlign w:val="center"/>
            <w:hideMark/>
          </w:tcPr>
          <w:p w:rsidR="001161E2" w:rsidRPr="00682EE4" w:rsidRDefault="001161E2" w:rsidP="00E67627">
            <w:pPr>
              <w:jc w:val="center"/>
              <w:rPr>
                <w:rFonts w:ascii="Arial Narrow" w:hAnsi="Arial Narrow"/>
                <w:sz w:val="20"/>
              </w:rPr>
            </w:pPr>
            <w:r w:rsidRPr="00682EE4">
              <w:rPr>
                <w:rFonts w:ascii="Arial Narrow" w:hAnsi="Arial Narrow"/>
                <w:sz w:val="20"/>
              </w:rPr>
              <w:t>OL</w:t>
            </w:r>
          </w:p>
          <w:p w:rsidR="001161E2" w:rsidRPr="00682EE4" w:rsidRDefault="001161E2" w:rsidP="00E67627">
            <w:pPr>
              <w:jc w:val="center"/>
              <w:rPr>
                <w:rFonts w:ascii="Arial Narrow" w:hAnsi="Arial Narrow"/>
                <w:sz w:val="20"/>
              </w:rPr>
            </w:pPr>
            <w:r w:rsidRPr="00682EE4">
              <w:rPr>
                <w:rFonts w:ascii="Arial Narrow" w:hAnsi="Arial Narrow"/>
                <w:sz w:val="20"/>
              </w:rPr>
              <w:t>52 weeks</w:t>
            </w:r>
          </w:p>
        </w:tc>
        <w:tc>
          <w:tcPr>
            <w:tcW w:w="1101" w:type="pct"/>
            <w:tcMar>
              <w:top w:w="0" w:type="dxa"/>
              <w:left w:w="28" w:type="dxa"/>
              <w:bottom w:w="0" w:type="dxa"/>
              <w:right w:w="28" w:type="dxa"/>
            </w:tcMar>
            <w:vAlign w:val="center"/>
            <w:hideMark/>
          </w:tcPr>
          <w:p w:rsidR="001161E2" w:rsidRPr="00682EE4" w:rsidRDefault="00A01B4C" w:rsidP="007E545C">
            <w:pPr>
              <w:jc w:val="center"/>
              <w:rPr>
                <w:rFonts w:ascii="Arial Narrow" w:hAnsi="Arial Narrow"/>
                <w:sz w:val="20"/>
              </w:rPr>
            </w:pPr>
            <w:r w:rsidRPr="00682EE4">
              <w:rPr>
                <w:rFonts w:ascii="Arial Narrow" w:hAnsi="Arial Narrow"/>
                <w:sz w:val="20"/>
              </w:rPr>
              <w:t>RA, enrolled in SB4</w:t>
            </w:r>
            <w:r w:rsidRPr="00682EE4">
              <w:rPr>
                <w:rFonts w:ascii="Arial Narrow" w:hAnsi="Arial Narrow"/>
                <w:sz w:val="20"/>
              </w:rPr>
              <w:noBreakHyphen/>
            </w:r>
            <w:r w:rsidR="001161E2" w:rsidRPr="00682EE4">
              <w:rPr>
                <w:rFonts w:ascii="Arial Narrow" w:hAnsi="Arial Narrow"/>
                <w:sz w:val="20"/>
              </w:rPr>
              <w:t>G31-RA</w:t>
            </w:r>
          </w:p>
        </w:tc>
        <w:tc>
          <w:tcPr>
            <w:tcW w:w="684" w:type="pct"/>
            <w:tcMar>
              <w:top w:w="0" w:type="dxa"/>
              <w:left w:w="28" w:type="dxa"/>
              <w:bottom w:w="0" w:type="dxa"/>
              <w:right w:w="28" w:type="dxa"/>
            </w:tcMar>
            <w:vAlign w:val="center"/>
            <w:hideMark/>
          </w:tcPr>
          <w:p w:rsidR="001161E2" w:rsidRPr="00682EE4" w:rsidRDefault="001161E2" w:rsidP="00E67627">
            <w:pPr>
              <w:jc w:val="center"/>
              <w:rPr>
                <w:rFonts w:ascii="Arial Narrow" w:hAnsi="Arial Narrow"/>
                <w:sz w:val="20"/>
              </w:rPr>
            </w:pPr>
            <w:r w:rsidRPr="00682EE4">
              <w:rPr>
                <w:rFonts w:ascii="Arial Narrow" w:hAnsi="Arial Narrow"/>
                <w:sz w:val="20"/>
              </w:rPr>
              <w:t>ACR20, ACR50, ACR70</w:t>
            </w:r>
          </w:p>
          <w:p w:rsidR="00125FCF" w:rsidRPr="00682EE4" w:rsidRDefault="00125FCF" w:rsidP="00E67627">
            <w:pPr>
              <w:jc w:val="center"/>
              <w:rPr>
                <w:rFonts w:ascii="Arial Narrow" w:hAnsi="Arial Narrow"/>
                <w:sz w:val="20"/>
              </w:rPr>
            </w:pPr>
            <w:r w:rsidRPr="00682EE4">
              <w:rPr>
                <w:rFonts w:ascii="Arial Narrow" w:hAnsi="Arial Narrow"/>
                <w:sz w:val="20"/>
              </w:rPr>
              <w:t>DAS28</w:t>
            </w:r>
          </w:p>
        </w:tc>
        <w:tc>
          <w:tcPr>
            <w:tcW w:w="525" w:type="pct"/>
            <w:tcMar>
              <w:top w:w="0" w:type="dxa"/>
              <w:left w:w="28" w:type="dxa"/>
              <w:bottom w:w="0" w:type="dxa"/>
              <w:right w:w="28" w:type="dxa"/>
            </w:tcMar>
            <w:vAlign w:val="center"/>
            <w:hideMark/>
          </w:tcPr>
          <w:p w:rsidR="001161E2" w:rsidRPr="00682EE4" w:rsidRDefault="001161E2" w:rsidP="00E67627">
            <w:pPr>
              <w:jc w:val="center"/>
              <w:rPr>
                <w:rFonts w:ascii="Arial Narrow" w:hAnsi="Arial Narrow"/>
                <w:sz w:val="20"/>
              </w:rPr>
            </w:pPr>
            <w:r w:rsidRPr="00682EE4">
              <w:rPr>
                <w:rFonts w:ascii="Arial Narrow" w:hAnsi="Arial Narrow"/>
                <w:sz w:val="20"/>
              </w:rPr>
              <w:t>NA</w:t>
            </w:r>
          </w:p>
        </w:tc>
      </w:tr>
    </w:tbl>
    <w:p w:rsidR="00E67627" w:rsidRPr="00682EE4" w:rsidRDefault="00E67627" w:rsidP="00125FCF">
      <w:pPr>
        <w:pStyle w:val="TableFooter"/>
        <w:ind w:left="709"/>
      </w:pPr>
      <w:r w:rsidRPr="00682EE4">
        <w:t>OL=open la</w:t>
      </w:r>
      <w:r w:rsidR="00B532A0" w:rsidRPr="00682EE4">
        <w:t>bel; RA = Rheumatoid arthritis</w:t>
      </w:r>
      <w:r w:rsidRPr="00682EE4">
        <w:t>, ACR20 = American College of Rheumatology 20% improvement criteria; ACR50 = American College of Rheumatology 50% improvement criteria; ACR70 = American College of Rheumatology 70% improvement criteria</w:t>
      </w:r>
      <w:r w:rsidR="00125FCF" w:rsidRPr="00682EE4">
        <w:t xml:space="preserve">, </w:t>
      </w:r>
      <w:r w:rsidR="00125FCF" w:rsidRPr="00682EE4">
        <w:rPr>
          <w:iCs/>
        </w:rPr>
        <w:t>DAS28 = Disease Activity Score for 28 joints</w:t>
      </w:r>
      <w:r w:rsidR="00125FCF" w:rsidRPr="00682EE4">
        <w:t>.</w:t>
      </w:r>
    </w:p>
    <w:p w:rsidR="00E67627" w:rsidRPr="00682EE4" w:rsidRDefault="00E67627" w:rsidP="00E67627">
      <w:pPr>
        <w:pStyle w:val="TableFooter"/>
        <w:ind w:firstLine="720"/>
      </w:pPr>
      <w:r w:rsidRPr="00682EE4">
        <w:t>Source: Compiled by PBAC Secretariat</w:t>
      </w:r>
    </w:p>
    <w:p w:rsidR="00E67627" w:rsidRPr="00682EE4" w:rsidRDefault="00E67627" w:rsidP="007E545C">
      <w:pPr>
        <w:rPr>
          <w:highlight w:val="yellow"/>
        </w:rPr>
      </w:pPr>
    </w:p>
    <w:p w:rsidR="00934C6D" w:rsidRPr="00682EE4" w:rsidRDefault="00934C6D" w:rsidP="007F0F85">
      <w:pPr>
        <w:pStyle w:val="Heading2"/>
      </w:pPr>
      <w:bookmarkStart w:id="8" w:name="_Toc451246921"/>
      <w:r w:rsidRPr="00682EE4">
        <w:t>Comparative effectiveness</w:t>
      </w:r>
      <w:bookmarkEnd w:id="8"/>
    </w:p>
    <w:p w:rsidR="00934C6D" w:rsidRPr="00682EE4" w:rsidRDefault="00934C6D" w:rsidP="00934C6D">
      <w:pPr>
        <w:widowControl/>
        <w:rPr>
          <w:szCs w:val="22"/>
        </w:rPr>
      </w:pPr>
    </w:p>
    <w:p w:rsidR="002C2775" w:rsidRPr="00682EE4" w:rsidRDefault="00934C6D" w:rsidP="00610F8E">
      <w:pPr>
        <w:pStyle w:val="ListParagraph"/>
        <w:widowControl/>
        <w:numPr>
          <w:ilvl w:val="1"/>
          <w:numId w:val="1"/>
        </w:numPr>
        <w:rPr>
          <w:szCs w:val="22"/>
        </w:rPr>
      </w:pPr>
      <w:r w:rsidRPr="00682EE4">
        <w:rPr>
          <w:szCs w:val="22"/>
        </w:rPr>
        <w:t>The</w:t>
      </w:r>
      <w:r w:rsidR="0093354A" w:rsidRPr="00682EE4">
        <w:rPr>
          <w:szCs w:val="22"/>
        </w:rPr>
        <w:t xml:space="preserve"> key re</w:t>
      </w:r>
      <w:r w:rsidR="007B18A9" w:rsidRPr="00682EE4">
        <w:rPr>
          <w:szCs w:val="22"/>
        </w:rPr>
        <w:t xml:space="preserve">sults </w:t>
      </w:r>
      <w:r w:rsidR="003C72AB" w:rsidRPr="00682EE4">
        <w:rPr>
          <w:szCs w:val="22"/>
        </w:rPr>
        <w:t xml:space="preserve">from SB4-G31-RA are summarised in </w:t>
      </w:r>
      <w:r w:rsidR="00C67948" w:rsidRPr="00682EE4">
        <w:rPr>
          <w:szCs w:val="22"/>
        </w:rPr>
        <w:t>Table 4</w:t>
      </w:r>
      <w:r w:rsidR="003C72AB" w:rsidRPr="00682EE4">
        <w:rPr>
          <w:szCs w:val="22"/>
        </w:rPr>
        <w:t xml:space="preserve">. </w:t>
      </w:r>
    </w:p>
    <w:p w:rsidR="003C72AB" w:rsidRPr="00682EE4" w:rsidRDefault="003C72AB" w:rsidP="003C72AB">
      <w:pPr>
        <w:pStyle w:val="ListParagraph"/>
        <w:widowControl/>
        <w:rPr>
          <w:szCs w:val="22"/>
        </w:rPr>
      </w:pPr>
    </w:p>
    <w:p w:rsidR="003C72AB" w:rsidRPr="00682EE4" w:rsidRDefault="003C72AB" w:rsidP="00871E7C">
      <w:pPr>
        <w:pStyle w:val="BodyText"/>
        <w:ind w:firstLine="709"/>
        <w:rPr>
          <w:rStyle w:val="CommentReference"/>
        </w:rPr>
      </w:pPr>
      <w:r w:rsidRPr="00682EE4">
        <w:rPr>
          <w:rStyle w:val="CommentReference"/>
        </w:rPr>
        <w:t xml:space="preserve">Table </w:t>
      </w:r>
      <w:r w:rsidR="00C67948" w:rsidRPr="00682EE4">
        <w:rPr>
          <w:rStyle w:val="CommentReference"/>
        </w:rPr>
        <w:t>4</w:t>
      </w:r>
      <w:r w:rsidRPr="00682EE4">
        <w:rPr>
          <w:rStyle w:val="CommentReference"/>
        </w:rPr>
        <w:t xml:space="preserve">: Results of ACR20, ACR50 and ACR70 in the per protocol population in SB4-G31-RA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1277"/>
        <w:gridCol w:w="1133"/>
        <w:gridCol w:w="1702"/>
        <w:gridCol w:w="1559"/>
        <w:gridCol w:w="1682"/>
      </w:tblGrid>
      <w:tr w:rsidR="00792461" w:rsidRPr="00682EE4" w:rsidTr="007D7E59">
        <w:tc>
          <w:tcPr>
            <w:tcW w:w="594" w:type="pct"/>
            <w:shd w:val="clear" w:color="auto" w:fill="auto"/>
          </w:tcPr>
          <w:p w:rsidR="00792461" w:rsidRPr="00682EE4" w:rsidRDefault="00792461" w:rsidP="007D7E59">
            <w:pPr>
              <w:keepNext/>
              <w:jc w:val="center"/>
              <w:rPr>
                <w:rFonts w:ascii="Arial Narrow" w:hAnsi="Arial Narrow"/>
                <w:b/>
                <w:sz w:val="20"/>
              </w:rPr>
            </w:pPr>
            <w:r w:rsidRPr="00682EE4">
              <w:rPr>
                <w:rFonts w:ascii="Arial Narrow" w:hAnsi="Arial Narrow"/>
                <w:b/>
                <w:bCs/>
                <w:sz w:val="20"/>
              </w:rPr>
              <w:t>Outcome</w:t>
            </w:r>
          </w:p>
        </w:tc>
        <w:tc>
          <w:tcPr>
            <w:tcW w:w="765" w:type="pct"/>
            <w:shd w:val="clear" w:color="auto" w:fill="auto"/>
          </w:tcPr>
          <w:p w:rsidR="00792461" w:rsidRPr="00682EE4" w:rsidRDefault="00934C6D" w:rsidP="007D7E59">
            <w:pPr>
              <w:jc w:val="center"/>
              <w:rPr>
                <w:rFonts w:ascii="Arial Narrow" w:hAnsi="Arial Narrow"/>
                <w:b/>
                <w:bCs/>
                <w:sz w:val="20"/>
              </w:rPr>
            </w:pPr>
            <w:r w:rsidRPr="00682EE4">
              <w:rPr>
                <w:rFonts w:ascii="Arial Narrow" w:hAnsi="Arial Narrow"/>
                <w:b/>
                <w:bCs/>
                <w:sz w:val="20"/>
              </w:rPr>
              <w:t>Brenzys</w:t>
            </w:r>
          </w:p>
          <w:p w:rsidR="00792461" w:rsidRPr="00682EE4" w:rsidRDefault="00792461" w:rsidP="007D7E59">
            <w:pPr>
              <w:keepNext/>
              <w:jc w:val="center"/>
              <w:rPr>
                <w:rFonts w:ascii="Arial Narrow" w:hAnsi="Arial Narrow"/>
                <w:b/>
                <w:sz w:val="20"/>
              </w:rPr>
            </w:pPr>
            <w:r w:rsidRPr="00682EE4">
              <w:rPr>
                <w:rFonts w:ascii="Arial Narrow" w:hAnsi="Arial Narrow"/>
                <w:b/>
                <w:bCs/>
                <w:sz w:val="20"/>
              </w:rPr>
              <w:t>n/N</w:t>
            </w:r>
            <w:r w:rsidR="00DF57EE" w:rsidRPr="00682EE4">
              <w:rPr>
                <w:rFonts w:ascii="Arial Narrow" w:hAnsi="Arial Narrow"/>
                <w:b/>
                <w:bCs/>
                <w:sz w:val="20"/>
              </w:rPr>
              <w:t xml:space="preserve"> </w:t>
            </w:r>
            <w:r w:rsidRPr="00682EE4">
              <w:rPr>
                <w:rFonts w:ascii="Arial Narrow" w:hAnsi="Arial Narrow"/>
                <w:b/>
                <w:bCs/>
                <w:sz w:val="20"/>
              </w:rPr>
              <w:t>(%)</w:t>
            </w:r>
          </w:p>
        </w:tc>
        <w:tc>
          <w:tcPr>
            <w:tcW w:w="679" w:type="pct"/>
            <w:shd w:val="clear" w:color="auto" w:fill="auto"/>
          </w:tcPr>
          <w:p w:rsidR="00792461" w:rsidRPr="00682EE4" w:rsidRDefault="00792461" w:rsidP="007D7E59">
            <w:pPr>
              <w:jc w:val="center"/>
              <w:rPr>
                <w:rFonts w:ascii="Arial Narrow" w:hAnsi="Arial Narrow"/>
                <w:b/>
                <w:bCs/>
                <w:sz w:val="20"/>
              </w:rPr>
            </w:pPr>
            <w:r w:rsidRPr="00682EE4">
              <w:rPr>
                <w:rFonts w:ascii="Arial Narrow" w:hAnsi="Arial Narrow"/>
                <w:b/>
                <w:bCs/>
                <w:sz w:val="20"/>
              </w:rPr>
              <w:t>E</w:t>
            </w:r>
            <w:r w:rsidR="00934C6D" w:rsidRPr="00682EE4">
              <w:rPr>
                <w:rFonts w:ascii="Arial Narrow" w:hAnsi="Arial Narrow"/>
                <w:b/>
                <w:bCs/>
                <w:sz w:val="20"/>
              </w:rPr>
              <w:t>nbrel</w:t>
            </w:r>
          </w:p>
          <w:p w:rsidR="00792461" w:rsidRPr="00682EE4" w:rsidRDefault="00792461" w:rsidP="007D7E59">
            <w:pPr>
              <w:keepNext/>
              <w:jc w:val="center"/>
              <w:rPr>
                <w:rFonts w:ascii="Arial Narrow" w:hAnsi="Arial Narrow"/>
                <w:b/>
                <w:sz w:val="20"/>
              </w:rPr>
            </w:pPr>
            <w:r w:rsidRPr="00682EE4">
              <w:rPr>
                <w:rFonts w:ascii="Arial Narrow" w:hAnsi="Arial Narrow"/>
                <w:b/>
                <w:bCs/>
                <w:sz w:val="20"/>
              </w:rPr>
              <w:t>n/N</w:t>
            </w:r>
            <w:r w:rsidR="00DF57EE" w:rsidRPr="00682EE4">
              <w:rPr>
                <w:rFonts w:ascii="Arial Narrow" w:hAnsi="Arial Narrow"/>
                <w:b/>
                <w:bCs/>
                <w:sz w:val="20"/>
              </w:rPr>
              <w:t xml:space="preserve"> </w:t>
            </w:r>
            <w:r w:rsidRPr="00682EE4">
              <w:rPr>
                <w:rFonts w:ascii="Arial Narrow" w:hAnsi="Arial Narrow"/>
                <w:b/>
                <w:bCs/>
                <w:sz w:val="20"/>
              </w:rPr>
              <w:t>(%)</w:t>
            </w:r>
          </w:p>
        </w:tc>
        <w:tc>
          <w:tcPr>
            <w:tcW w:w="1020" w:type="pct"/>
            <w:shd w:val="clear" w:color="auto" w:fill="auto"/>
          </w:tcPr>
          <w:p w:rsidR="00792461" w:rsidRPr="00682EE4" w:rsidRDefault="00792461" w:rsidP="007D7E59">
            <w:pPr>
              <w:keepNext/>
              <w:jc w:val="center"/>
              <w:rPr>
                <w:rFonts w:ascii="Arial Narrow" w:hAnsi="Arial Narrow"/>
                <w:b/>
                <w:sz w:val="20"/>
              </w:rPr>
            </w:pPr>
            <w:r w:rsidRPr="00682EE4">
              <w:rPr>
                <w:rFonts w:ascii="Arial Narrow" w:hAnsi="Arial Narrow"/>
                <w:b/>
                <w:bCs/>
                <w:sz w:val="20"/>
              </w:rPr>
              <w:t>Adjusted Difference (95%CI)</w:t>
            </w:r>
            <w:r w:rsidRPr="00682EE4">
              <w:rPr>
                <w:rFonts w:ascii="Arial Narrow" w:hAnsi="Arial Narrow"/>
                <w:b/>
                <w:bCs/>
                <w:sz w:val="20"/>
                <w:vertAlign w:val="superscript"/>
              </w:rPr>
              <w:t>1</w:t>
            </w:r>
          </w:p>
        </w:tc>
        <w:tc>
          <w:tcPr>
            <w:tcW w:w="934" w:type="pct"/>
            <w:shd w:val="clear" w:color="auto" w:fill="auto"/>
          </w:tcPr>
          <w:p w:rsidR="00792461" w:rsidRPr="00682EE4" w:rsidRDefault="00792461" w:rsidP="007D7E59">
            <w:pPr>
              <w:jc w:val="center"/>
              <w:rPr>
                <w:rFonts w:ascii="Arial Narrow" w:hAnsi="Arial Narrow"/>
                <w:b/>
                <w:bCs/>
                <w:sz w:val="20"/>
              </w:rPr>
            </w:pPr>
            <w:r w:rsidRPr="00682EE4">
              <w:rPr>
                <w:rFonts w:ascii="Arial Narrow" w:hAnsi="Arial Narrow"/>
                <w:b/>
                <w:bCs/>
                <w:sz w:val="20"/>
              </w:rPr>
              <w:t>Difference</w:t>
            </w:r>
          </w:p>
          <w:p w:rsidR="00792461" w:rsidRPr="00682EE4" w:rsidRDefault="00792461" w:rsidP="007D7E59">
            <w:pPr>
              <w:keepNext/>
              <w:jc w:val="center"/>
              <w:rPr>
                <w:rFonts w:ascii="Arial Narrow" w:hAnsi="Arial Narrow"/>
                <w:b/>
                <w:sz w:val="20"/>
              </w:rPr>
            </w:pPr>
            <w:r w:rsidRPr="00682EE4">
              <w:rPr>
                <w:rFonts w:ascii="Arial Narrow" w:hAnsi="Arial Narrow"/>
                <w:b/>
                <w:bCs/>
                <w:sz w:val="20"/>
              </w:rPr>
              <w:t>(95% CI)</w:t>
            </w:r>
            <w:r w:rsidRPr="00682EE4">
              <w:rPr>
                <w:rFonts w:ascii="Arial Narrow" w:hAnsi="Arial Narrow"/>
                <w:b/>
                <w:bCs/>
                <w:sz w:val="20"/>
                <w:vertAlign w:val="superscript"/>
              </w:rPr>
              <w:t>2</w:t>
            </w:r>
          </w:p>
        </w:tc>
        <w:tc>
          <w:tcPr>
            <w:tcW w:w="1008" w:type="pct"/>
            <w:shd w:val="clear" w:color="auto" w:fill="auto"/>
          </w:tcPr>
          <w:p w:rsidR="00792461" w:rsidRPr="00682EE4" w:rsidRDefault="00792461" w:rsidP="007D7E59">
            <w:pPr>
              <w:jc w:val="center"/>
              <w:rPr>
                <w:rFonts w:ascii="Arial Narrow" w:hAnsi="Arial Narrow"/>
                <w:b/>
                <w:bCs/>
                <w:sz w:val="20"/>
              </w:rPr>
            </w:pPr>
            <w:r w:rsidRPr="00682EE4">
              <w:rPr>
                <w:rFonts w:ascii="Arial Narrow" w:hAnsi="Arial Narrow"/>
                <w:b/>
                <w:bCs/>
                <w:sz w:val="20"/>
              </w:rPr>
              <w:t>OR</w:t>
            </w:r>
          </w:p>
          <w:p w:rsidR="00792461" w:rsidRPr="00682EE4" w:rsidRDefault="00792461" w:rsidP="007D7E59">
            <w:pPr>
              <w:keepNext/>
              <w:jc w:val="center"/>
              <w:rPr>
                <w:rFonts w:ascii="Arial Narrow" w:hAnsi="Arial Narrow"/>
                <w:b/>
                <w:sz w:val="20"/>
              </w:rPr>
            </w:pPr>
            <w:r w:rsidRPr="00682EE4">
              <w:rPr>
                <w:rFonts w:ascii="Arial Narrow" w:hAnsi="Arial Narrow"/>
                <w:b/>
                <w:bCs/>
                <w:sz w:val="20"/>
              </w:rPr>
              <w:t>(95%CI)</w:t>
            </w:r>
            <w:r w:rsidRPr="00682EE4">
              <w:rPr>
                <w:rFonts w:ascii="Arial Narrow" w:hAnsi="Arial Narrow"/>
                <w:b/>
                <w:bCs/>
                <w:sz w:val="20"/>
                <w:vertAlign w:val="superscript"/>
              </w:rPr>
              <w:t>2</w:t>
            </w:r>
          </w:p>
        </w:tc>
      </w:tr>
      <w:tr w:rsidR="00792461" w:rsidRPr="00682EE4" w:rsidTr="00792461">
        <w:tc>
          <w:tcPr>
            <w:tcW w:w="5000" w:type="pct"/>
            <w:gridSpan w:val="6"/>
            <w:shd w:val="clear" w:color="auto" w:fill="auto"/>
            <w:vAlign w:val="center"/>
          </w:tcPr>
          <w:p w:rsidR="00792461" w:rsidRPr="00682EE4" w:rsidRDefault="007D7E59" w:rsidP="007D7E59">
            <w:pPr>
              <w:keepNext/>
              <w:rPr>
                <w:rFonts w:ascii="Arial Narrow" w:hAnsi="Arial Narrow"/>
                <w:b/>
                <w:bCs/>
                <w:sz w:val="20"/>
              </w:rPr>
            </w:pPr>
            <w:r w:rsidRPr="00682EE4">
              <w:rPr>
                <w:rFonts w:ascii="Arial Narrow" w:hAnsi="Arial Narrow"/>
                <w:b/>
                <w:bCs/>
                <w:sz w:val="20"/>
              </w:rPr>
              <w:t>24 weeks</w:t>
            </w:r>
          </w:p>
        </w:tc>
      </w:tr>
      <w:tr w:rsidR="00792461" w:rsidRPr="00682EE4" w:rsidTr="007D7E59">
        <w:tc>
          <w:tcPr>
            <w:tcW w:w="594" w:type="pct"/>
            <w:shd w:val="clear" w:color="auto" w:fill="auto"/>
          </w:tcPr>
          <w:p w:rsidR="00792461" w:rsidRPr="00682EE4" w:rsidRDefault="00792461" w:rsidP="00792461">
            <w:pPr>
              <w:keepNext/>
              <w:jc w:val="left"/>
              <w:rPr>
                <w:rFonts w:ascii="Arial Narrow" w:hAnsi="Arial Narrow"/>
                <w:sz w:val="20"/>
              </w:rPr>
            </w:pPr>
            <w:r w:rsidRPr="00682EE4">
              <w:rPr>
                <w:rFonts w:ascii="Arial Narrow" w:hAnsi="Arial Narrow"/>
                <w:sz w:val="20"/>
              </w:rPr>
              <w:t>ACR20</w:t>
            </w:r>
          </w:p>
        </w:tc>
        <w:tc>
          <w:tcPr>
            <w:tcW w:w="765"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sz w:val="20"/>
              </w:rPr>
              <w:t>193/247 (78.1)</w:t>
            </w:r>
          </w:p>
        </w:tc>
        <w:tc>
          <w:tcPr>
            <w:tcW w:w="679"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sz w:val="20"/>
              </w:rPr>
              <w:t>190/236 (80.5)</w:t>
            </w:r>
          </w:p>
        </w:tc>
        <w:tc>
          <w:tcPr>
            <w:tcW w:w="1020"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sz w:val="20"/>
              </w:rPr>
              <w:t>-2.37% (-9.54, 4.80)</w:t>
            </w:r>
          </w:p>
        </w:tc>
        <w:tc>
          <w:tcPr>
            <w:tcW w:w="934"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-2.4% (-9.6,4.9)</w:t>
            </w:r>
          </w:p>
        </w:tc>
        <w:tc>
          <w:tcPr>
            <w:tcW w:w="1008"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0.87 (0.54, 1.38)</w:t>
            </w:r>
          </w:p>
        </w:tc>
      </w:tr>
      <w:tr w:rsidR="00792461" w:rsidRPr="00682EE4" w:rsidTr="007D7E59">
        <w:tc>
          <w:tcPr>
            <w:tcW w:w="594" w:type="pct"/>
            <w:shd w:val="clear" w:color="auto" w:fill="auto"/>
          </w:tcPr>
          <w:p w:rsidR="00792461" w:rsidRPr="00682EE4" w:rsidRDefault="00792461" w:rsidP="00792461">
            <w:pPr>
              <w:keepNext/>
              <w:jc w:val="left"/>
              <w:rPr>
                <w:rFonts w:ascii="Arial Narrow" w:hAnsi="Arial Narrow"/>
                <w:sz w:val="20"/>
              </w:rPr>
            </w:pPr>
            <w:r w:rsidRPr="00682EE4">
              <w:rPr>
                <w:rFonts w:ascii="Arial Narrow" w:hAnsi="Arial Narrow"/>
                <w:sz w:val="20"/>
              </w:rPr>
              <w:t>ACR50</w:t>
            </w:r>
          </w:p>
        </w:tc>
        <w:tc>
          <w:tcPr>
            <w:tcW w:w="765"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sz w:val="20"/>
              </w:rPr>
              <w:t>114/247 (46.2)</w:t>
            </w:r>
          </w:p>
        </w:tc>
        <w:tc>
          <w:tcPr>
            <w:tcW w:w="679"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sz w:val="20"/>
              </w:rPr>
              <w:t>100/236 (42.4)</w:t>
            </w:r>
          </w:p>
        </w:tc>
        <w:tc>
          <w:tcPr>
            <w:tcW w:w="1020"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sz w:val="20"/>
              </w:rPr>
              <w:t>4.36% (-4.33, 13.05)</w:t>
            </w:r>
          </w:p>
        </w:tc>
        <w:tc>
          <w:tcPr>
            <w:tcW w:w="934"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3.8% (-5.1, 12.6)</w:t>
            </w:r>
          </w:p>
        </w:tc>
        <w:tc>
          <w:tcPr>
            <w:tcW w:w="1008"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1.17 (0.80, 1.70)</w:t>
            </w:r>
          </w:p>
        </w:tc>
      </w:tr>
      <w:tr w:rsidR="00792461" w:rsidRPr="00682EE4" w:rsidTr="007D7E59">
        <w:tc>
          <w:tcPr>
            <w:tcW w:w="594" w:type="pct"/>
            <w:shd w:val="clear" w:color="auto" w:fill="auto"/>
          </w:tcPr>
          <w:p w:rsidR="00792461" w:rsidRPr="00682EE4" w:rsidRDefault="00792461" w:rsidP="00792461">
            <w:pPr>
              <w:keepNext/>
              <w:jc w:val="left"/>
              <w:rPr>
                <w:rFonts w:ascii="Arial Narrow" w:hAnsi="Arial Narrow"/>
                <w:sz w:val="20"/>
              </w:rPr>
            </w:pPr>
            <w:r w:rsidRPr="00682EE4">
              <w:rPr>
                <w:rFonts w:ascii="Arial Narrow" w:hAnsi="Arial Narrow"/>
                <w:sz w:val="20"/>
              </w:rPr>
              <w:t>ACR70</w:t>
            </w:r>
          </w:p>
        </w:tc>
        <w:tc>
          <w:tcPr>
            <w:tcW w:w="765"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sz w:val="20"/>
              </w:rPr>
              <w:t>63/247 (25.5)</w:t>
            </w:r>
          </w:p>
        </w:tc>
        <w:tc>
          <w:tcPr>
            <w:tcW w:w="679"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sz w:val="20"/>
              </w:rPr>
              <w:t>53/236 (22.5)</w:t>
            </w:r>
          </w:p>
        </w:tc>
        <w:tc>
          <w:tcPr>
            <w:tcW w:w="1020"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sz w:val="20"/>
              </w:rPr>
              <w:t>3.29% (-4.18, 10.76)</w:t>
            </w:r>
          </w:p>
        </w:tc>
        <w:tc>
          <w:tcPr>
            <w:tcW w:w="934"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3.0% (-4.6, 10.7)</w:t>
            </w:r>
          </w:p>
        </w:tc>
        <w:tc>
          <w:tcPr>
            <w:tcW w:w="1008"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1.18 (0.76, 1.84)</w:t>
            </w:r>
          </w:p>
        </w:tc>
      </w:tr>
      <w:tr w:rsidR="00792461" w:rsidRPr="00682EE4" w:rsidTr="00792461">
        <w:tc>
          <w:tcPr>
            <w:tcW w:w="5000" w:type="pct"/>
            <w:gridSpan w:val="6"/>
            <w:shd w:val="clear" w:color="auto" w:fill="auto"/>
            <w:vAlign w:val="center"/>
          </w:tcPr>
          <w:p w:rsidR="00792461" w:rsidRPr="00682EE4" w:rsidRDefault="007D7E59" w:rsidP="007D7E59">
            <w:pPr>
              <w:keepNext/>
              <w:rPr>
                <w:rFonts w:ascii="Arial Narrow" w:hAnsi="Arial Narrow"/>
                <w:b/>
                <w:bCs/>
                <w:sz w:val="20"/>
              </w:rPr>
            </w:pPr>
            <w:r w:rsidRPr="00682EE4">
              <w:rPr>
                <w:rFonts w:ascii="Arial Narrow" w:hAnsi="Arial Narrow"/>
                <w:b/>
                <w:bCs/>
                <w:sz w:val="20"/>
              </w:rPr>
              <w:t>52 weeks</w:t>
            </w:r>
          </w:p>
        </w:tc>
      </w:tr>
      <w:tr w:rsidR="00792461" w:rsidRPr="00682EE4" w:rsidTr="007D7E59">
        <w:tc>
          <w:tcPr>
            <w:tcW w:w="594" w:type="pct"/>
            <w:shd w:val="clear" w:color="auto" w:fill="auto"/>
          </w:tcPr>
          <w:p w:rsidR="00792461" w:rsidRPr="00682EE4" w:rsidRDefault="00792461" w:rsidP="00792461">
            <w:pPr>
              <w:keepNext/>
              <w:jc w:val="left"/>
              <w:rPr>
                <w:rFonts w:ascii="Arial Narrow" w:hAnsi="Arial Narrow"/>
                <w:sz w:val="20"/>
              </w:rPr>
            </w:pPr>
            <w:r w:rsidRPr="00682EE4">
              <w:rPr>
                <w:rFonts w:ascii="Arial Narrow" w:hAnsi="Arial Narrow"/>
                <w:sz w:val="20"/>
              </w:rPr>
              <w:t>ACR20</w:t>
            </w:r>
          </w:p>
        </w:tc>
        <w:tc>
          <w:tcPr>
            <w:tcW w:w="765"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sz w:val="20"/>
              </w:rPr>
              <w:t>181/224 (80.8)</w:t>
            </w:r>
          </w:p>
        </w:tc>
        <w:tc>
          <w:tcPr>
            <w:tcW w:w="679"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sz w:val="20"/>
              </w:rPr>
              <w:t>176/216 (81.5)</w:t>
            </w:r>
          </w:p>
        </w:tc>
        <w:tc>
          <w:tcPr>
            <w:tcW w:w="1020"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sz w:val="20"/>
              </w:rPr>
              <w:t>-0.74% (-8.03,6.56)</w:t>
            </w:r>
          </w:p>
        </w:tc>
        <w:tc>
          <w:tcPr>
            <w:tcW w:w="934"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-0.7% (-8.0,6.7)</w:t>
            </w:r>
          </w:p>
        </w:tc>
        <w:tc>
          <w:tcPr>
            <w:tcW w:w="1008"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0.96 (0.58, 1.59)</w:t>
            </w:r>
          </w:p>
        </w:tc>
      </w:tr>
      <w:tr w:rsidR="00792461" w:rsidRPr="00682EE4" w:rsidTr="007D7E59">
        <w:tc>
          <w:tcPr>
            <w:tcW w:w="594" w:type="pct"/>
            <w:shd w:val="clear" w:color="auto" w:fill="auto"/>
          </w:tcPr>
          <w:p w:rsidR="00792461" w:rsidRPr="00682EE4" w:rsidRDefault="00792461" w:rsidP="00792461">
            <w:pPr>
              <w:keepNext/>
              <w:jc w:val="left"/>
              <w:rPr>
                <w:rFonts w:ascii="Arial Narrow" w:hAnsi="Arial Narrow"/>
                <w:sz w:val="20"/>
              </w:rPr>
            </w:pPr>
            <w:r w:rsidRPr="00682EE4">
              <w:rPr>
                <w:rFonts w:ascii="Arial Narrow" w:hAnsi="Arial Narrow"/>
                <w:sz w:val="20"/>
              </w:rPr>
              <w:t>ACR50</w:t>
            </w:r>
          </w:p>
        </w:tc>
        <w:tc>
          <w:tcPr>
            <w:tcW w:w="765"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131/224 (58.5)</w:t>
            </w:r>
          </w:p>
        </w:tc>
        <w:tc>
          <w:tcPr>
            <w:tcW w:w="679"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115/216 (53.2)</w:t>
            </w:r>
          </w:p>
        </w:tc>
        <w:tc>
          <w:tcPr>
            <w:tcW w:w="1020"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4.50% (-4.67, 13.67)</w:t>
            </w:r>
          </w:p>
        </w:tc>
        <w:tc>
          <w:tcPr>
            <w:tcW w:w="934"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5.2% (-4.0,14.4)</w:t>
            </w:r>
          </w:p>
        </w:tc>
        <w:tc>
          <w:tcPr>
            <w:tcW w:w="1008"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1.24 (0.83, 1.84)</w:t>
            </w:r>
          </w:p>
        </w:tc>
      </w:tr>
      <w:tr w:rsidR="00792461" w:rsidRPr="00682EE4" w:rsidTr="007D7E59">
        <w:tc>
          <w:tcPr>
            <w:tcW w:w="594" w:type="pct"/>
            <w:shd w:val="clear" w:color="auto" w:fill="auto"/>
          </w:tcPr>
          <w:p w:rsidR="00792461" w:rsidRPr="00682EE4" w:rsidRDefault="00792461" w:rsidP="00792461">
            <w:pPr>
              <w:keepNext/>
              <w:jc w:val="left"/>
              <w:rPr>
                <w:rFonts w:ascii="Arial Narrow" w:hAnsi="Arial Narrow"/>
                <w:sz w:val="20"/>
              </w:rPr>
            </w:pPr>
            <w:r w:rsidRPr="00682EE4">
              <w:rPr>
                <w:rFonts w:ascii="Arial Narrow" w:hAnsi="Arial Narrow"/>
                <w:sz w:val="20"/>
              </w:rPr>
              <w:t>ACR70</w:t>
            </w:r>
          </w:p>
        </w:tc>
        <w:tc>
          <w:tcPr>
            <w:tcW w:w="765"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84/224 (37.5)</w:t>
            </w:r>
          </w:p>
        </w:tc>
        <w:tc>
          <w:tcPr>
            <w:tcW w:w="679"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67/216 (31.0)</w:t>
            </w:r>
          </w:p>
        </w:tc>
        <w:tc>
          <w:tcPr>
            <w:tcW w:w="1020"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7.02%(-1.69,15.74)</w:t>
            </w:r>
          </w:p>
        </w:tc>
        <w:tc>
          <w:tcPr>
            <w:tcW w:w="934"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6.5% (-2.4,15.3)</w:t>
            </w:r>
          </w:p>
        </w:tc>
        <w:tc>
          <w:tcPr>
            <w:tcW w:w="1008" w:type="pct"/>
            <w:shd w:val="clear" w:color="auto" w:fill="auto"/>
          </w:tcPr>
          <w:p w:rsidR="00792461" w:rsidRPr="00682EE4" w:rsidRDefault="00792461" w:rsidP="00792461">
            <w:pPr>
              <w:keepNext/>
              <w:jc w:val="center"/>
              <w:rPr>
                <w:rFonts w:ascii="Arial Narrow" w:hAnsi="Arial Narrow"/>
                <w:sz w:val="20"/>
              </w:rPr>
            </w:pPr>
            <w:r w:rsidRPr="00682EE4">
              <w:rPr>
                <w:rFonts w:ascii="Arial Narrow" w:hAnsi="Arial Narrow"/>
                <w:iCs/>
                <w:sz w:val="20"/>
              </w:rPr>
              <w:t>1.33 (0.88, 2.02)</w:t>
            </w:r>
          </w:p>
        </w:tc>
      </w:tr>
    </w:tbl>
    <w:p w:rsidR="003C72AB" w:rsidRPr="00682EE4" w:rsidRDefault="003C72AB" w:rsidP="003C72AB">
      <w:pPr>
        <w:pStyle w:val="ListParagraph"/>
        <w:widowControl/>
        <w:rPr>
          <w:szCs w:val="22"/>
        </w:rPr>
      </w:pPr>
    </w:p>
    <w:p w:rsidR="003C72AB" w:rsidRPr="00682EE4" w:rsidRDefault="003C72AB" w:rsidP="00610F8E">
      <w:pPr>
        <w:pStyle w:val="ListParagraph"/>
        <w:widowControl/>
        <w:numPr>
          <w:ilvl w:val="1"/>
          <w:numId w:val="1"/>
        </w:numPr>
        <w:rPr>
          <w:szCs w:val="22"/>
        </w:rPr>
      </w:pPr>
      <w:r w:rsidRPr="00682EE4">
        <w:rPr>
          <w:szCs w:val="22"/>
        </w:rPr>
        <w:t>The results presented were based on a per-protocol set (PPS) rather than the full ITT set (referred to as the Full Analysis Set in the submission).  The submission defined the primary population (</w:t>
      </w:r>
      <w:r w:rsidR="00792461" w:rsidRPr="00682EE4">
        <w:rPr>
          <w:szCs w:val="22"/>
        </w:rPr>
        <w:t xml:space="preserve">PPS1, </w:t>
      </w:r>
      <w:r w:rsidRPr="00682EE4">
        <w:rPr>
          <w:szCs w:val="22"/>
        </w:rPr>
        <w:t>the population in which the primary outcome is measured) as all patients who completed their randomised treatment up to week 24 (i.e. not withdrawn or discontinued) with adherence between 80-120% without any major protocol deviations.</w:t>
      </w:r>
    </w:p>
    <w:p w:rsidR="003C72AB" w:rsidRPr="00682EE4" w:rsidRDefault="003C72AB" w:rsidP="003C72AB">
      <w:pPr>
        <w:pStyle w:val="ListParagraph"/>
        <w:widowControl/>
        <w:rPr>
          <w:szCs w:val="22"/>
        </w:rPr>
      </w:pPr>
    </w:p>
    <w:p w:rsidR="003C72AB" w:rsidRPr="00682EE4" w:rsidRDefault="003C72AB" w:rsidP="00610F8E">
      <w:pPr>
        <w:pStyle w:val="ListParagraph"/>
        <w:widowControl/>
        <w:numPr>
          <w:ilvl w:val="1"/>
          <w:numId w:val="1"/>
        </w:numPr>
        <w:rPr>
          <w:szCs w:val="22"/>
        </w:rPr>
      </w:pPr>
      <w:r w:rsidRPr="00682EE4">
        <w:rPr>
          <w:szCs w:val="22"/>
        </w:rPr>
        <w:t xml:space="preserve">An equivalence margin of 15% was proposed for the primary outcome of ACR20 at 24 weeks.  </w:t>
      </w:r>
      <w:r w:rsidRPr="00682EE4">
        <w:t xml:space="preserve">That is, if the 95% confidence interval of the difference in proportion of patients who satisfied the ACR20 response at 24 weeks between patients treated </w:t>
      </w:r>
      <w:r w:rsidR="007D7E59" w:rsidRPr="00682EE4">
        <w:t xml:space="preserve">with </w:t>
      </w:r>
      <w:r w:rsidR="00934C6D" w:rsidRPr="00682EE4">
        <w:t>Brenzys and Enbrel</w:t>
      </w:r>
      <w:r w:rsidR="007D7E59" w:rsidRPr="00682EE4">
        <w:t xml:space="preserve"> wa</w:t>
      </w:r>
      <w:r w:rsidRPr="00682EE4">
        <w:t xml:space="preserve">s between -15% and 15%, then a conclusion that treatment with </w:t>
      </w:r>
      <w:r w:rsidR="00934C6D" w:rsidRPr="00682EE4">
        <w:t>Brenzys</w:t>
      </w:r>
      <w:r w:rsidRPr="00682EE4">
        <w:t xml:space="preserve"> a</w:t>
      </w:r>
      <w:r w:rsidR="00934C6D" w:rsidRPr="00682EE4">
        <w:t>nd Enbrel</w:t>
      </w:r>
      <w:r w:rsidR="007D7E59" w:rsidRPr="00682EE4">
        <w:t xml:space="preserve"> </w:t>
      </w:r>
      <w:r w:rsidR="00DF57EE" w:rsidRPr="00682EE4">
        <w:t>are</w:t>
      </w:r>
      <w:r w:rsidR="007D7E59" w:rsidRPr="00682EE4">
        <w:t xml:space="preserve"> equivalen</w:t>
      </w:r>
      <w:r w:rsidR="00DF57EE" w:rsidRPr="00682EE4">
        <w:t>t</w:t>
      </w:r>
      <w:r w:rsidR="007D7E59" w:rsidRPr="00682EE4">
        <w:t xml:space="preserve"> could</w:t>
      </w:r>
      <w:r w:rsidRPr="00682EE4">
        <w:t xml:space="preserve"> be made.</w:t>
      </w:r>
      <w:r w:rsidR="00E44F74" w:rsidRPr="00682EE4">
        <w:t xml:space="preserve">  </w:t>
      </w:r>
      <w:r w:rsidR="00E44F74" w:rsidRPr="00682EE4">
        <w:rPr>
          <w:iCs/>
        </w:rPr>
        <w:t xml:space="preserve">No justification for the selection of the value of 15% was presented.  However the margin of 15% for equivalence is identical to the margin used in the infliximab biosimilar submission for patients with RA in </w:t>
      </w:r>
      <w:r w:rsidR="00603747" w:rsidRPr="00682EE4">
        <w:rPr>
          <w:iCs/>
        </w:rPr>
        <w:t>S</w:t>
      </w:r>
      <w:r w:rsidR="00E44F74" w:rsidRPr="00682EE4">
        <w:rPr>
          <w:iCs/>
        </w:rPr>
        <w:t>tudy 3.1 (p12, Infliximab PSD July 2015).</w:t>
      </w:r>
    </w:p>
    <w:p w:rsidR="00E44F74" w:rsidRPr="00682EE4" w:rsidRDefault="00E44F74" w:rsidP="00E44F74">
      <w:pPr>
        <w:pStyle w:val="ListParagraph"/>
        <w:rPr>
          <w:szCs w:val="22"/>
        </w:rPr>
      </w:pPr>
    </w:p>
    <w:p w:rsidR="00E44F74" w:rsidRPr="00682EE4" w:rsidRDefault="00E44F74" w:rsidP="00610F8E">
      <w:pPr>
        <w:pStyle w:val="ListParagraph"/>
        <w:widowControl/>
        <w:numPr>
          <w:ilvl w:val="1"/>
          <w:numId w:val="1"/>
        </w:numPr>
        <w:rPr>
          <w:szCs w:val="22"/>
        </w:rPr>
      </w:pPr>
      <w:r w:rsidRPr="00682EE4">
        <w:t>The submission also present</w:t>
      </w:r>
      <w:r w:rsidR="00871E7C" w:rsidRPr="00682EE4">
        <w:t>ed</w:t>
      </w:r>
      <w:r w:rsidRPr="00682EE4">
        <w:t xml:space="preserve"> the change in DAS28 score from baseline at week 24 and week 52.  There was no statistically significant difference between the score for patients treated with </w:t>
      </w:r>
      <w:r w:rsidR="00934C6D" w:rsidRPr="00682EE4">
        <w:t>Brenzys</w:t>
      </w:r>
      <w:r w:rsidRPr="00682EE4">
        <w:t xml:space="preserve"> compa</w:t>
      </w:r>
      <w:r w:rsidR="00934C6D" w:rsidRPr="00682EE4">
        <w:t>red to patients treated with Enbrel</w:t>
      </w:r>
      <w:r w:rsidRPr="00682EE4">
        <w:t xml:space="preserve">, and the results appear to support equivalence of </w:t>
      </w:r>
      <w:r w:rsidR="00934C6D" w:rsidRPr="00682EE4">
        <w:t>Brenzys with Enbrel</w:t>
      </w:r>
      <w:r w:rsidRPr="00682EE4">
        <w:t xml:space="preserve"> as the 95% CI for the difference in change from base</w:t>
      </w:r>
      <w:r w:rsidR="00934C6D" w:rsidRPr="00682EE4">
        <w:t>line of DAS28 between Enbrel and Brenzys</w:t>
      </w:r>
      <w:r w:rsidRPr="00682EE4">
        <w:t xml:space="preserve"> is within the nominated margin of 0.6.</w:t>
      </w:r>
    </w:p>
    <w:p w:rsidR="00E67627" w:rsidRPr="00682EE4" w:rsidRDefault="00E67627" w:rsidP="00E67627">
      <w:pPr>
        <w:pStyle w:val="ListParagraph"/>
        <w:rPr>
          <w:szCs w:val="22"/>
        </w:rPr>
      </w:pPr>
    </w:p>
    <w:p w:rsidR="00A01B4C" w:rsidRPr="00682EE4" w:rsidRDefault="00E67627" w:rsidP="00610F8E">
      <w:pPr>
        <w:pStyle w:val="ListParagraph"/>
        <w:widowControl/>
        <w:numPr>
          <w:ilvl w:val="1"/>
          <w:numId w:val="1"/>
        </w:numPr>
        <w:rPr>
          <w:szCs w:val="22"/>
        </w:rPr>
      </w:pPr>
      <w:r w:rsidRPr="00682EE4">
        <w:rPr>
          <w:szCs w:val="22"/>
        </w:rPr>
        <w:t xml:space="preserve">The </w:t>
      </w:r>
      <w:r w:rsidR="007E545C" w:rsidRPr="00682EE4">
        <w:rPr>
          <w:szCs w:val="22"/>
        </w:rPr>
        <w:t>results of the SB4-G31-RA</w:t>
      </w:r>
      <w:r w:rsidR="004101C6" w:rsidRPr="00682EE4">
        <w:rPr>
          <w:szCs w:val="22"/>
        </w:rPr>
        <w:t xml:space="preserve"> extension study for ACR 20, ACR50 and ACR70 at </w:t>
      </w:r>
      <w:r w:rsidR="00C67948" w:rsidRPr="00682EE4">
        <w:rPr>
          <w:szCs w:val="22"/>
        </w:rPr>
        <w:t>initiation (week 52), week</w:t>
      </w:r>
      <w:r w:rsidR="004101C6" w:rsidRPr="00682EE4">
        <w:rPr>
          <w:szCs w:val="22"/>
        </w:rPr>
        <w:t xml:space="preserve"> 76 and</w:t>
      </w:r>
      <w:r w:rsidR="00C67948" w:rsidRPr="00682EE4">
        <w:rPr>
          <w:szCs w:val="22"/>
        </w:rPr>
        <w:t xml:space="preserve"> week</w:t>
      </w:r>
      <w:r w:rsidR="004101C6" w:rsidRPr="00682EE4">
        <w:rPr>
          <w:szCs w:val="22"/>
        </w:rPr>
        <w:t xml:space="preserve"> 100 showed that response rates for all ACR outcomes were comparable between the Brenzys -&gt; Brenzys (BR/BR) and Enbrel -&gt; Brenzys (EN/BR) groups.</w:t>
      </w:r>
      <w:r w:rsidR="00A01B4C" w:rsidRPr="00682EE4">
        <w:rPr>
          <w:szCs w:val="22"/>
        </w:rPr>
        <w:t xml:space="preserve"> The key results from the SB4-G31-RA extension t</w:t>
      </w:r>
      <w:r w:rsidR="00C67948" w:rsidRPr="00682EE4">
        <w:rPr>
          <w:szCs w:val="22"/>
        </w:rPr>
        <w:t>rial are summarised in table 5</w:t>
      </w:r>
      <w:r w:rsidR="00A01B4C" w:rsidRPr="00682EE4">
        <w:rPr>
          <w:szCs w:val="22"/>
        </w:rPr>
        <w:t>.</w:t>
      </w:r>
    </w:p>
    <w:p w:rsidR="00A01B4C" w:rsidRPr="00682EE4" w:rsidRDefault="00A01B4C" w:rsidP="00A01B4C">
      <w:pPr>
        <w:pStyle w:val="ListParagraph"/>
        <w:rPr>
          <w:szCs w:val="22"/>
        </w:rPr>
      </w:pPr>
    </w:p>
    <w:p w:rsidR="00A01B4C" w:rsidRPr="00682EE4" w:rsidRDefault="00C67948" w:rsidP="003D629B">
      <w:pPr>
        <w:pStyle w:val="ListParagraph"/>
        <w:widowControl/>
        <w:rPr>
          <w:rFonts w:ascii="Arial Narrow" w:hAnsi="Arial Narrow"/>
          <w:b/>
          <w:sz w:val="20"/>
        </w:rPr>
      </w:pPr>
      <w:r w:rsidRPr="00682EE4">
        <w:rPr>
          <w:rFonts w:ascii="Arial Narrow" w:hAnsi="Arial Narrow"/>
          <w:b/>
          <w:sz w:val="20"/>
        </w:rPr>
        <w:t>Table 5</w:t>
      </w:r>
      <w:r w:rsidR="003D629B" w:rsidRPr="00682EE4">
        <w:rPr>
          <w:rFonts w:ascii="Arial Narrow" w:hAnsi="Arial Narrow"/>
          <w:b/>
          <w:sz w:val="20"/>
        </w:rPr>
        <w:t>: Results of ACR20, ACR50 and ACR70 from the SB4-G31-RA extension</w:t>
      </w:r>
    </w:p>
    <w:tbl>
      <w:tblPr>
        <w:tblStyle w:val="TableGrid"/>
        <w:tblW w:w="0" w:type="auto"/>
        <w:tblInd w:w="817" w:type="dxa"/>
        <w:tblLook w:val="04A0" w:firstRow="1" w:lastRow="0" w:firstColumn="1" w:lastColumn="0" w:noHBand="0" w:noVBand="1"/>
      </w:tblPr>
      <w:tblGrid>
        <w:gridCol w:w="2081"/>
        <w:gridCol w:w="2141"/>
        <w:gridCol w:w="2102"/>
        <w:gridCol w:w="2102"/>
      </w:tblGrid>
      <w:tr w:rsidR="003D629B" w:rsidRPr="00682EE4" w:rsidTr="00571390">
        <w:tc>
          <w:tcPr>
            <w:tcW w:w="2081" w:type="dxa"/>
            <w:vMerge w:val="restart"/>
            <w:vAlign w:val="center"/>
          </w:tcPr>
          <w:p w:rsidR="003D629B" w:rsidRPr="00682EE4" w:rsidRDefault="003D629B" w:rsidP="003D629B">
            <w:pPr>
              <w:pStyle w:val="ListParagraph"/>
              <w:widowControl/>
              <w:ind w:left="0"/>
              <w:jc w:val="center"/>
              <w:rPr>
                <w:rFonts w:ascii="Arial Narrow" w:hAnsi="Arial Narrow"/>
                <w:b/>
                <w:sz w:val="20"/>
              </w:rPr>
            </w:pPr>
            <w:r w:rsidRPr="00682EE4">
              <w:rPr>
                <w:rFonts w:ascii="Arial Narrow" w:hAnsi="Arial Narrow"/>
                <w:b/>
                <w:sz w:val="20"/>
              </w:rPr>
              <w:t>ACR Response</w:t>
            </w:r>
          </w:p>
        </w:tc>
        <w:tc>
          <w:tcPr>
            <w:tcW w:w="2141" w:type="dxa"/>
            <w:vMerge w:val="restart"/>
            <w:vAlign w:val="center"/>
          </w:tcPr>
          <w:p w:rsidR="003D629B" w:rsidRPr="00682EE4" w:rsidRDefault="003D629B" w:rsidP="003D629B">
            <w:pPr>
              <w:pStyle w:val="ListParagraph"/>
              <w:widowControl/>
              <w:ind w:left="0"/>
              <w:jc w:val="center"/>
              <w:rPr>
                <w:rFonts w:ascii="Arial Narrow" w:hAnsi="Arial Narrow"/>
                <w:b/>
                <w:sz w:val="20"/>
              </w:rPr>
            </w:pPr>
            <w:r w:rsidRPr="00682EE4">
              <w:rPr>
                <w:rFonts w:ascii="Arial Narrow" w:hAnsi="Arial Narrow"/>
                <w:b/>
                <w:sz w:val="20"/>
              </w:rPr>
              <w:t>Time point</w:t>
            </w:r>
          </w:p>
        </w:tc>
        <w:tc>
          <w:tcPr>
            <w:tcW w:w="4204" w:type="dxa"/>
            <w:gridSpan w:val="2"/>
          </w:tcPr>
          <w:p w:rsidR="003D629B" w:rsidRPr="00682EE4" w:rsidRDefault="003D629B" w:rsidP="003D629B">
            <w:pPr>
              <w:pStyle w:val="ListParagraph"/>
              <w:widowControl/>
              <w:ind w:left="0"/>
              <w:jc w:val="center"/>
              <w:rPr>
                <w:rFonts w:ascii="Arial Narrow" w:hAnsi="Arial Narrow"/>
                <w:b/>
                <w:sz w:val="20"/>
              </w:rPr>
            </w:pPr>
            <w:r w:rsidRPr="00682EE4">
              <w:rPr>
                <w:rFonts w:ascii="Arial Narrow" w:hAnsi="Arial Narrow"/>
                <w:b/>
                <w:sz w:val="20"/>
              </w:rPr>
              <w:t>Treatment group</w:t>
            </w:r>
          </w:p>
        </w:tc>
      </w:tr>
      <w:tr w:rsidR="003D629B" w:rsidRPr="00682EE4" w:rsidTr="00571390">
        <w:tc>
          <w:tcPr>
            <w:tcW w:w="2081" w:type="dxa"/>
            <w:vMerge/>
          </w:tcPr>
          <w:p w:rsidR="003D629B" w:rsidRPr="00682EE4" w:rsidRDefault="003D629B" w:rsidP="003D629B">
            <w:pPr>
              <w:pStyle w:val="ListParagraph"/>
              <w:widowControl/>
              <w:ind w:left="0"/>
              <w:rPr>
                <w:rFonts w:ascii="Arial Narrow" w:hAnsi="Arial Narrow"/>
                <w:b/>
                <w:sz w:val="20"/>
              </w:rPr>
            </w:pPr>
          </w:p>
        </w:tc>
        <w:tc>
          <w:tcPr>
            <w:tcW w:w="2141" w:type="dxa"/>
            <w:vMerge/>
            <w:tcBorders>
              <w:bottom w:val="single" w:sz="4" w:space="0" w:color="auto"/>
            </w:tcBorders>
            <w:vAlign w:val="center"/>
          </w:tcPr>
          <w:p w:rsidR="003D629B" w:rsidRPr="00682EE4" w:rsidRDefault="003D629B" w:rsidP="003D629B">
            <w:pPr>
              <w:pStyle w:val="ListParagraph"/>
              <w:widowControl/>
              <w:ind w:left="0"/>
              <w:jc w:val="center"/>
              <w:rPr>
                <w:rFonts w:ascii="Arial Narrow" w:hAnsi="Arial Narrow"/>
                <w:b/>
                <w:sz w:val="20"/>
              </w:rPr>
            </w:pPr>
          </w:p>
        </w:tc>
        <w:tc>
          <w:tcPr>
            <w:tcW w:w="2102" w:type="dxa"/>
            <w:tcBorders>
              <w:bottom w:val="single" w:sz="4" w:space="0" w:color="auto"/>
            </w:tcBorders>
          </w:tcPr>
          <w:p w:rsidR="003D629B" w:rsidRPr="00682EE4" w:rsidRDefault="003D629B" w:rsidP="003D629B">
            <w:pPr>
              <w:pStyle w:val="ListParagraph"/>
              <w:widowControl/>
              <w:ind w:left="0"/>
              <w:jc w:val="center"/>
              <w:rPr>
                <w:rFonts w:ascii="Arial Narrow" w:hAnsi="Arial Narrow"/>
                <w:b/>
                <w:sz w:val="20"/>
              </w:rPr>
            </w:pPr>
            <w:r w:rsidRPr="00682EE4">
              <w:rPr>
                <w:rFonts w:ascii="Arial Narrow" w:hAnsi="Arial Narrow"/>
                <w:b/>
                <w:sz w:val="20"/>
              </w:rPr>
              <w:t>Brenzys -&gt; Brenzys</w:t>
            </w:r>
          </w:p>
          <w:p w:rsidR="00FB1A7C" w:rsidRPr="00682EE4" w:rsidRDefault="00FB1A7C" w:rsidP="003D629B">
            <w:pPr>
              <w:pStyle w:val="ListParagraph"/>
              <w:widowControl/>
              <w:ind w:left="0"/>
              <w:jc w:val="center"/>
              <w:rPr>
                <w:rFonts w:ascii="Arial Narrow" w:hAnsi="Arial Narrow"/>
                <w:b/>
                <w:sz w:val="20"/>
              </w:rPr>
            </w:pPr>
            <w:r w:rsidRPr="00682EE4">
              <w:rPr>
                <w:rFonts w:ascii="Arial Narrow" w:hAnsi="Arial Narrow"/>
                <w:b/>
                <w:sz w:val="20"/>
              </w:rPr>
              <w:t>(BR/BR)</w:t>
            </w:r>
          </w:p>
          <w:p w:rsidR="00FB1A7C" w:rsidRPr="00682EE4" w:rsidRDefault="00FB1A7C" w:rsidP="003D629B">
            <w:pPr>
              <w:pStyle w:val="ListParagraph"/>
              <w:widowControl/>
              <w:ind w:left="0"/>
              <w:jc w:val="center"/>
              <w:rPr>
                <w:rFonts w:ascii="Arial Narrow" w:hAnsi="Arial Narrow"/>
                <w:b/>
                <w:sz w:val="20"/>
              </w:rPr>
            </w:pPr>
            <w:r w:rsidRPr="00682EE4">
              <w:rPr>
                <w:rFonts w:ascii="Arial Narrow" w:hAnsi="Arial Narrow"/>
                <w:b/>
                <w:sz w:val="20"/>
              </w:rPr>
              <w:t>N=126</w:t>
            </w:r>
          </w:p>
          <w:p w:rsidR="00FB1A7C" w:rsidRPr="00682EE4" w:rsidRDefault="00FB1A7C" w:rsidP="003D629B">
            <w:pPr>
              <w:pStyle w:val="ListParagraph"/>
              <w:widowControl/>
              <w:ind w:left="0"/>
              <w:jc w:val="center"/>
              <w:rPr>
                <w:rFonts w:ascii="Arial Narrow" w:hAnsi="Arial Narrow"/>
                <w:b/>
                <w:sz w:val="20"/>
              </w:rPr>
            </w:pPr>
            <w:r w:rsidRPr="00682EE4">
              <w:rPr>
                <w:rFonts w:ascii="Arial Narrow" w:hAnsi="Arial Narrow"/>
                <w:b/>
                <w:sz w:val="20"/>
              </w:rPr>
              <w:t>n/n’ (%)</w:t>
            </w:r>
          </w:p>
        </w:tc>
        <w:tc>
          <w:tcPr>
            <w:tcW w:w="2102" w:type="dxa"/>
            <w:tcBorders>
              <w:bottom w:val="single" w:sz="4" w:space="0" w:color="auto"/>
            </w:tcBorders>
          </w:tcPr>
          <w:p w:rsidR="003D629B" w:rsidRPr="00682EE4" w:rsidRDefault="003D629B" w:rsidP="003D629B">
            <w:pPr>
              <w:pStyle w:val="ListParagraph"/>
              <w:widowControl/>
              <w:ind w:left="0"/>
              <w:jc w:val="center"/>
              <w:rPr>
                <w:rFonts w:ascii="Arial Narrow" w:hAnsi="Arial Narrow"/>
                <w:b/>
                <w:sz w:val="20"/>
              </w:rPr>
            </w:pPr>
            <w:r w:rsidRPr="00682EE4">
              <w:rPr>
                <w:rFonts w:ascii="Arial Narrow" w:hAnsi="Arial Narrow"/>
                <w:b/>
                <w:sz w:val="20"/>
              </w:rPr>
              <w:t>Enbrel -&gt; Brenzys</w:t>
            </w:r>
          </w:p>
          <w:p w:rsidR="00FB1A7C" w:rsidRPr="00682EE4" w:rsidRDefault="00FB1A7C" w:rsidP="003D629B">
            <w:pPr>
              <w:pStyle w:val="ListParagraph"/>
              <w:widowControl/>
              <w:ind w:left="0"/>
              <w:jc w:val="center"/>
              <w:rPr>
                <w:rFonts w:ascii="Arial Narrow" w:hAnsi="Arial Narrow"/>
                <w:b/>
                <w:sz w:val="20"/>
              </w:rPr>
            </w:pPr>
            <w:r w:rsidRPr="00682EE4">
              <w:rPr>
                <w:rFonts w:ascii="Arial Narrow" w:hAnsi="Arial Narrow"/>
                <w:b/>
                <w:sz w:val="20"/>
              </w:rPr>
              <w:t>(EN/BR)</w:t>
            </w:r>
          </w:p>
          <w:p w:rsidR="00FB1A7C" w:rsidRPr="00682EE4" w:rsidRDefault="00FB1A7C" w:rsidP="003D629B">
            <w:pPr>
              <w:pStyle w:val="ListParagraph"/>
              <w:widowControl/>
              <w:ind w:left="0"/>
              <w:jc w:val="center"/>
              <w:rPr>
                <w:rFonts w:ascii="Arial Narrow" w:hAnsi="Arial Narrow"/>
                <w:b/>
                <w:sz w:val="20"/>
              </w:rPr>
            </w:pPr>
            <w:r w:rsidRPr="00682EE4">
              <w:rPr>
                <w:rFonts w:ascii="Arial Narrow" w:hAnsi="Arial Narrow"/>
                <w:b/>
                <w:sz w:val="20"/>
              </w:rPr>
              <w:t>N = 119</w:t>
            </w:r>
          </w:p>
          <w:p w:rsidR="00FB1A7C" w:rsidRPr="00682EE4" w:rsidRDefault="00FB1A7C" w:rsidP="003D629B">
            <w:pPr>
              <w:pStyle w:val="ListParagraph"/>
              <w:widowControl/>
              <w:ind w:left="0"/>
              <w:jc w:val="center"/>
              <w:rPr>
                <w:rFonts w:ascii="Arial Narrow" w:hAnsi="Arial Narrow"/>
                <w:b/>
                <w:sz w:val="20"/>
              </w:rPr>
            </w:pPr>
            <w:r w:rsidRPr="00682EE4">
              <w:rPr>
                <w:rFonts w:ascii="Arial Narrow" w:hAnsi="Arial Narrow"/>
                <w:b/>
                <w:sz w:val="20"/>
              </w:rPr>
              <w:t>n/n’ (%)</w:t>
            </w:r>
          </w:p>
        </w:tc>
      </w:tr>
      <w:tr w:rsidR="003D629B" w:rsidRPr="00682EE4" w:rsidTr="00571390">
        <w:tc>
          <w:tcPr>
            <w:tcW w:w="2081" w:type="dxa"/>
            <w:vMerge w:val="restart"/>
            <w:vAlign w:val="center"/>
          </w:tcPr>
          <w:p w:rsidR="003D629B" w:rsidRPr="00682EE4" w:rsidRDefault="003D629B" w:rsidP="003D629B">
            <w:pPr>
              <w:pStyle w:val="ListParagraph"/>
              <w:widowControl/>
              <w:ind w:left="0"/>
              <w:jc w:val="center"/>
              <w:rPr>
                <w:rFonts w:ascii="Arial Narrow" w:hAnsi="Arial Narrow"/>
                <w:b/>
                <w:sz w:val="20"/>
              </w:rPr>
            </w:pPr>
            <w:r w:rsidRPr="00682EE4">
              <w:rPr>
                <w:rFonts w:ascii="Arial Narrow" w:hAnsi="Arial Narrow"/>
                <w:b/>
                <w:sz w:val="20"/>
              </w:rPr>
              <w:t>ACR20</w:t>
            </w:r>
          </w:p>
        </w:tc>
        <w:tc>
          <w:tcPr>
            <w:tcW w:w="2141" w:type="dxa"/>
            <w:tcBorders>
              <w:bottom w:val="nil"/>
              <w:right w:val="nil"/>
            </w:tcBorders>
            <w:vAlign w:val="center"/>
          </w:tcPr>
          <w:p w:rsidR="003D629B" w:rsidRPr="00682EE4" w:rsidRDefault="003D629B" w:rsidP="003D629B">
            <w:pPr>
              <w:pStyle w:val="ListParagraph"/>
              <w:widowControl/>
              <w:ind w:left="0"/>
              <w:jc w:val="center"/>
              <w:rPr>
                <w:rFonts w:ascii="Arial Narrow" w:hAnsi="Arial Narrow"/>
                <w:sz w:val="20"/>
              </w:rPr>
            </w:pPr>
            <w:r w:rsidRPr="00682EE4">
              <w:rPr>
                <w:rFonts w:ascii="Arial Narrow" w:hAnsi="Arial Narrow"/>
                <w:sz w:val="20"/>
              </w:rPr>
              <w:t>Week 52 (start)</w:t>
            </w:r>
          </w:p>
        </w:tc>
        <w:tc>
          <w:tcPr>
            <w:tcW w:w="2102" w:type="dxa"/>
            <w:tcBorders>
              <w:left w:val="nil"/>
              <w:bottom w:val="nil"/>
              <w:right w:val="nil"/>
            </w:tcBorders>
            <w:vAlign w:val="center"/>
          </w:tcPr>
          <w:p w:rsidR="003D629B" w:rsidRPr="00682EE4" w:rsidRDefault="00FB1A7C" w:rsidP="003D629B">
            <w:pPr>
              <w:pStyle w:val="ListParagraph"/>
              <w:widowControl/>
              <w:ind w:left="0"/>
              <w:jc w:val="center"/>
              <w:rPr>
                <w:rFonts w:ascii="Arial Narrow" w:hAnsi="Arial Narrow"/>
                <w:sz w:val="20"/>
              </w:rPr>
            </w:pPr>
            <w:r w:rsidRPr="00682EE4">
              <w:rPr>
                <w:rFonts w:ascii="Arial Narrow" w:hAnsi="Arial Narrow"/>
                <w:sz w:val="20"/>
              </w:rPr>
              <w:t>99/125 (79.2)</w:t>
            </w:r>
          </w:p>
        </w:tc>
        <w:tc>
          <w:tcPr>
            <w:tcW w:w="2102" w:type="dxa"/>
            <w:tcBorders>
              <w:left w:val="nil"/>
              <w:bottom w:val="nil"/>
            </w:tcBorders>
            <w:vAlign w:val="center"/>
          </w:tcPr>
          <w:p w:rsidR="003D629B" w:rsidRPr="00682EE4" w:rsidRDefault="00FB1A7C" w:rsidP="003D629B">
            <w:pPr>
              <w:pStyle w:val="ListParagraph"/>
              <w:widowControl/>
              <w:ind w:left="0"/>
              <w:jc w:val="center"/>
              <w:rPr>
                <w:rFonts w:ascii="Arial Narrow" w:hAnsi="Arial Narrow"/>
                <w:sz w:val="20"/>
              </w:rPr>
            </w:pPr>
            <w:r w:rsidRPr="00682EE4">
              <w:rPr>
                <w:rFonts w:ascii="Arial Narrow" w:hAnsi="Arial Narrow"/>
                <w:sz w:val="20"/>
              </w:rPr>
              <w:t>98/119 (82.4)</w:t>
            </w:r>
          </w:p>
        </w:tc>
      </w:tr>
      <w:tr w:rsidR="003D629B" w:rsidRPr="00682EE4" w:rsidTr="00571390">
        <w:tc>
          <w:tcPr>
            <w:tcW w:w="2081" w:type="dxa"/>
            <w:vMerge/>
          </w:tcPr>
          <w:p w:rsidR="003D629B" w:rsidRPr="00682EE4" w:rsidRDefault="003D629B" w:rsidP="003D629B">
            <w:pPr>
              <w:pStyle w:val="ListParagraph"/>
              <w:widowControl/>
              <w:ind w:left="0"/>
              <w:rPr>
                <w:rFonts w:ascii="Arial Narrow" w:hAnsi="Arial Narrow"/>
                <w:b/>
                <w:sz w:val="20"/>
              </w:rPr>
            </w:pPr>
          </w:p>
        </w:tc>
        <w:tc>
          <w:tcPr>
            <w:tcW w:w="2141" w:type="dxa"/>
            <w:tcBorders>
              <w:top w:val="nil"/>
              <w:bottom w:val="nil"/>
              <w:right w:val="nil"/>
            </w:tcBorders>
            <w:vAlign w:val="center"/>
          </w:tcPr>
          <w:p w:rsidR="003D629B" w:rsidRPr="00682EE4" w:rsidRDefault="003D629B" w:rsidP="003D629B">
            <w:pPr>
              <w:pStyle w:val="ListParagraph"/>
              <w:widowControl/>
              <w:ind w:left="0"/>
              <w:jc w:val="center"/>
              <w:rPr>
                <w:rFonts w:ascii="Arial Narrow" w:hAnsi="Arial Narrow"/>
                <w:sz w:val="20"/>
              </w:rPr>
            </w:pPr>
            <w:r w:rsidRPr="00682EE4">
              <w:rPr>
                <w:rFonts w:ascii="Arial Narrow" w:hAnsi="Arial Narrow"/>
                <w:sz w:val="20"/>
              </w:rPr>
              <w:t>Week 76</w:t>
            </w:r>
          </w:p>
        </w:tc>
        <w:tc>
          <w:tcPr>
            <w:tcW w:w="2102" w:type="dxa"/>
            <w:tcBorders>
              <w:top w:val="nil"/>
              <w:left w:val="nil"/>
              <w:bottom w:val="nil"/>
              <w:right w:val="nil"/>
            </w:tcBorders>
            <w:vAlign w:val="center"/>
          </w:tcPr>
          <w:p w:rsidR="003D629B" w:rsidRPr="00682EE4" w:rsidRDefault="00FB1A7C" w:rsidP="003D629B">
            <w:pPr>
              <w:pStyle w:val="ListParagraph"/>
              <w:widowControl/>
              <w:ind w:left="0"/>
              <w:jc w:val="center"/>
              <w:rPr>
                <w:rFonts w:ascii="Arial Narrow" w:hAnsi="Arial Narrow"/>
                <w:sz w:val="20"/>
              </w:rPr>
            </w:pPr>
            <w:r w:rsidRPr="00682EE4">
              <w:rPr>
                <w:rFonts w:ascii="Arial Narrow" w:hAnsi="Arial Narrow"/>
                <w:sz w:val="20"/>
              </w:rPr>
              <w:t>102/125 (81.6)</w:t>
            </w:r>
          </w:p>
        </w:tc>
        <w:tc>
          <w:tcPr>
            <w:tcW w:w="2102" w:type="dxa"/>
            <w:tcBorders>
              <w:top w:val="nil"/>
              <w:left w:val="nil"/>
              <w:bottom w:val="nil"/>
            </w:tcBorders>
            <w:vAlign w:val="center"/>
          </w:tcPr>
          <w:p w:rsidR="003D629B" w:rsidRPr="00682EE4" w:rsidRDefault="00FB1A7C" w:rsidP="00FB1A7C">
            <w:pPr>
              <w:widowControl/>
              <w:jc w:val="center"/>
              <w:rPr>
                <w:rFonts w:ascii="Arial Narrow" w:hAnsi="Arial Narrow"/>
                <w:sz w:val="20"/>
              </w:rPr>
            </w:pPr>
            <w:r w:rsidRPr="00682EE4">
              <w:rPr>
                <w:rFonts w:ascii="Arial Narrow" w:hAnsi="Arial Narrow"/>
                <w:sz w:val="20"/>
              </w:rPr>
              <w:t>90/117 (76.9)</w:t>
            </w:r>
          </w:p>
        </w:tc>
      </w:tr>
      <w:tr w:rsidR="003D629B" w:rsidRPr="00682EE4" w:rsidTr="00571390">
        <w:tc>
          <w:tcPr>
            <w:tcW w:w="2081" w:type="dxa"/>
            <w:vMerge/>
          </w:tcPr>
          <w:p w:rsidR="003D629B" w:rsidRPr="00682EE4" w:rsidRDefault="003D629B" w:rsidP="003D629B">
            <w:pPr>
              <w:pStyle w:val="ListParagraph"/>
              <w:widowControl/>
              <w:ind w:left="0"/>
              <w:rPr>
                <w:rFonts w:ascii="Arial Narrow" w:hAnsi="Arial Narrow"/>
                <w:b/>
                <w:sz w:val="20"/>
              </w:rPr>
            </w:pPr>
          </w:p>
        </w:tc>
        <w:tc>
          <w:tcPr>
            <w:tcW w:w="2141" w:type="dxa"/>
            <w:tcBorders>
              <w:top w:val="nil"/>
              <w:bottom w:val="single" w:sz="4" w:space="0" w:color="auto"/>
              <w:right w:val="nil"/>
            </w:tcBorders>
            <w:vAlign w:val="center"/>
          </w:tcPr>
          <w:p w:rsidR="003D629B" w:rsidRPr="00682EE4" w:rsidRDefault="003D629B" w:rsidP="003D629B">
            <w:pPr>
              <w:pStyle w:val="ListParagraph"/>
              <w:widowControl/>
              <w:ind w:left="0"/>
              <w:jc w:val="center"/>
              <w:rPr>
                <w:rFonts w:ascii="Arial Narrow" w:hAnsi="Arial Narrow"/>
                <w:sz w:val="20"/>
              </w:rPr>
            </w:pPr>
            <w:r w:rsidRPr="00682EE4">
              <w:rPr>
                <w:rFonts w:ascii="Arial Narrow" w:hAnsi="Arial Narrow"/>
                <w:sz w:val="20"/>
              </w:rPr>
              <w:t>Week 100</w:t>
            </w:r>
          </w:p>
        </w:tc>
        <w:tc>
          <w:tcPr>
            <w:tcW w:w="2102" w:type="dxa"/>
            <w:tcBorders>
              <w:top w:val="nil"/>
              <w:left w:val="nil"/>
              <w:bottom w:val="single" w:sz="4" w:space="0" w:color="auto"/>
              <w:right w:val="nil"/>
            </w:tcBorders>
            <w:vAlign w:val="center"/>
          </w:tcPr>
          <w:p w:rsidR="003D629B" w:rsidRPr="00682EE4" w:rsidRDefault="00FB1A7C" w:rsidP="003D629B">
            <w:pPr>
              <w:pStyle w:val="ListParagraph"/>
              <w:widowControl/>
              <w:ind w:left="0"/>
              <w:jc w:val="center"/>
              <w:rPr>
                <w:rFonts w:ascii="Arial Narrow" w:hAnsi="Arial Narrow"/>
                <w:sz w:val="20"/>
              </w:rPr>
            </w:pPr>
            <w:r w:rsidRPr="00682EE4">
              <w:rPr>
                <w:rFonts w:ascii="Arial Narrow" w:hAnsi="Arial Narrow"/>
                <w:sz w:val="20"/>
              </w:rPr>
              <w:t>95/122 (77.9)</w:t>
            </w:r>
          </w:p>
        </w:tc>
        <w:tc>
          <w:tcPr>
            <w:tcW w:w="2102" w:type="dxa"/>
            <w:tcBorders>
              <w:top w:val="nil"/>
              <w:left w:val="nil"/>
              <w:bottom w:val="single" w:sz="4" w:space="0" w:color="auto"/>
            </w:tcBorders>
            <w:vAlign w:val="center"/>
          </w:tcPr>
          <w:p w:rsidR="003D629B" w:rsidRPr="00682EE4" w:rsidRDefault="00FB1A7C" w:rsidP="003D629B">
            <w:pPr>
              <w:pStyle w:val="ListParagraph"/>
              <w:widowControl/>
              <w:ind w:left="0"/>
              <w:jc w:val="center"/>
              <w:rPr>
                <w:rFonts w:ascii="Arial Narrow" w:hAnsi="Arial Narrow"/>
                <w:sz w:val="20"/>
              </w:rPr>
            </w:pPr>
            <w:r w:rsidRPr="00682EE4">
              <w:rPr>
                <w:rFonts w:ascii="Arial Narrow" w:hAnsi="Arial Narrow"/>
                <w:sz w:val="20"/>
              </w:rPr>
              <w:t>91/115 (79.1)</w:t>
            </w:r>
          </w:p>
        </w:tc>
      </w:tr>
      <w:tr w:rsidR="00FB1A7C" w:rsidRPr="00682EE4" w:rsidTr="00571390">
        <w:tc>
          <w:tcPr>
            <w:tcW w:w="2081" w:type="dxa"/>
            <w:vMerge w:val="restart"/>
            <w:vAlign w:val="center"/>
          </w:tcPr>
          <w:p w:rsidR="00FB1A7C" w:rsidRPr="00682EE4" w:rsidRDefault="00FB1A7C" w:rsidP="00FB1A7C">
            <w:pPr>
              <w:pStyle w:val="ListParagraph"/>
              <w:widowControl/>
              <w:ind w:left="0"/>
              <w:jc w:val="center"/>
              <w:rPr>
                <w:rFonts w:ascii="Arial Narrow" w:hAnsi="Arial Narrow"/>
                <w:b/>
                <w:sz w:val="20"/>
              </w:rPr>
            </w:pPr>
            <w:r w:rsidRPr="00682EE4">
              <w:rPr>
                <w:rFonts w:ascii="Arial Narrow" w:hAnsi="Arial Narrow"/>
                <w:b/>
                <w:sz w:val="20"/>
              </w:rPr>
              <w:t>ACR50</w:t>
            </w:r>
          </w:p>
        </w:tc>
        <w:tc>
          <w:tcPr>
            <w:tcW w:w="2141" w:type="dxa"/>
            <w:tcBorders>
              <w:bottom w:val="nil"/>
              <w:right w:val="nil"/>
            </w:tcBorders>
            <w:vAlign w:val="center"/>
          </w:tcPr>
          <w:p w:rsidR="00FB1A7C" w:rsidRPr="00682EE4" w:rsidRDefault="00FB1A7C" w:rsidP="00FB1A7C">
            <w:pPr>
              <w:pStyle w:val="ListParagraph"/>
              <w:widowControl/>
              <w:ind w:left="0"/>
              <w:jc w:val="center"/>
              <w:rPr>
                <w:rFonts w:ascii="Arial Narrow" w:hAnsi="Arial Narrow"/>
                <w:sz w:val="20"/>
              </w:rPr>
            </w:pPr>
            <w:r w:rsidRPr="00682EE4">
              <w:rPr>
                <w:rFonts w:ascii="Arial Narrow" w:hAnsi="Arial Narrow"/>
                <w:sz w:val="20"/>
              </w:rPr>
              <w:t>Week 52 (start)</w:t>
            </w:r>
          </w:p>
        </w:tc>
        <w:tc>
          <w:tcPr>
            <w:tcW w:w="2102" w:type="dxa"/>
            <w:tcBorders>
              <w:left w:val="nil"/>
              <w:bottom w:val="nil"/>
              <w:right w:val="nil"/>
            </w:tcBorders>
            <w:vAlign w:val="center"/>
          </w:tcPr>
          <w:p w:rsidR="00FB1A7C" w:rsidRPr="00682EE4" w:rsidRDefault="00FB1A7C" w:rsidP="00FB1A7C">
            <w:pPr>
              <w:pStyle w:val="ListParagraph"/>
              <w:widowControl/>
              <w:ind w:left="0"/>
              <w:jc w:val="center"/>
              <w:rPr>
                <w:rFonts w:ascii="Arial Narrow" w:hAnsi="Arial Narrow"/>
                <w:sz w:val="20"/>
              </w:rPr>
            </w:pPr>
            <w:r w:rsidRPr="00682EE4">
              <w:rPr>
                <w:rFonts w:ascii="Arial Narrow" w:hAnsi="Arial Narrow"/>
                <w:sz w:val="20"/>
              </w:rPr>
              <w:t>65/125 (52.0)</w:t>
            </w:r>
          </w:p>
        </w:tc>
        <w:tc>
          <w:tcPr>
            <w:tcW w:w="2102" w:type="dxa"/>
            <w:tcBorders>
              <w:left w:val="nil"/>
              <w:bottom w:val="nil"/>
            </w:tcBorders>
            <w:vAlign w:val="center"/>
          </w:tcPr>
          <w:p w:rsidR="00FB1A7C" w:rsidRPr="00682EE4" w:rsidRDefault="00FB1A7C" w:rsidP="00FB1A7C">
            <w:pPr>
              <w:pStyle w:val="ListParagraph"/>
              <w:widowControl/>
              <w:ind w:left="0"/>
              <w:jc w:val="center"/>
              <w:rPr>
                <w:rFonts w:ascii="Arial Narrow" w:hAnsi="Arial Narrow"/>
                <w:sz w:val="20"/>
              </w:rPr>
            </w:pPr>
            <w:r w:rsidRPr="00682EE4">
              <w:rPr>
                <w:rFonts w:ascii="Arial Narrow" w:hAnsi="Arial Narrow"/>
                <w:sz w:val="20"/>
              </w:rPr>
              <w:t>64/119 (53.8)</w:t>
            </w:r>
          </w:p>
        </w:tc>
      </w:tr>
      <w:tr w:rsidR="00FB1A7C" w:rsidRPr="00682EE4" w:rsidTr="00571390">
        <w:tc>
          <w:tcPr>
            <w:tcW w:w="2081" w:type="dxa"/>
            <w:vMerge/>
          </w:tcPr>
          <w:p w:rsidR="00FB1A7C" w:rsidRPr="00682EE4" w:rsidRDefault="00FB1A7C" w:rsidP="003D629B">
            <w:pPr>
              <w:pStyle w:val="ListParagraph"/>
              <w:widowControl/>
              <w:ind w:left="0"/>
              <w:rPr>
                <w:rFonts w:ascii="Arial Narrow" w:hAnsi="Arial Narrow"/>
                <w:b/>
                <w:sz w:val="20"/>
              </w:rPr>
            </w:pPr>
          </w:p>
        </w:tc>
        <w:tc>
          <w:tcPr>
            <w:tcW w:w="2141" w:type="dxa"/>
            <w:tcBorders>
              <w:top w:val="nil"/>
              <w:bottom w:val="nil"/>
              <w:right w:val="nil"/>
            </w:tcBorders>
            <w:vAlign w:val="center"/>
          </w:tcPr>
          <w:p w:rsidR="00FB1A7C" w:rsidRPr="00682EE4" w:rsidRDefault="00FB1A7C" w:rsidP="00FB1A7C">
            <w:pPr>
              <w:pStyle w:val="ListParagraph"/>
              <w:widowControl/>
              <w:ind w:left="0"/>
              <w:jc w:val="center"/>
              <w:rPr>
                <w:rFonts w:ascii="Arial Narrow" w:hAnsi="Arial Narrow"/>
                <w:sz w:val="20"/>
              </w:rPr>
            </w:pPr>
            <w:r w:rsidRPr="00682EE4">
              <w:rPr>
                <w:rFonts w:ascii="Arial Narrow" w:hAnsi="Arial Narrow"/>
                <w:sz w:val="20"/>
              </w:rPr>
              <w:t>Week 76</w:t>
            </w:r>
          </w:p>
        </w:tc>
        <w:tc>
          <w:tcPr>
            <w:tcW w:w="2102" w:type="dxa"/>
            <w:tcBorders>
              <w:top w:val="nil"/>
              <w:left w:val="nil"/>
              <w:bottom w:val="nil"/>
              <w:right w:val="nil"/>
            </w:tcBorders>
            <w:vAlign w:val="center"/>
          </w:tcPr>
          <w:p w:rsidR="00FB1A7C" w:rsidRPr="00682EE4" w:rsidRDefault="00FB1A7C" w:rsidP="00FB1A7C">
            <w:pPr>
              <w:widowControl/>
              <w:jc w:val="center"/>
              <w:rPr>
                <w:rFonts w:ascii="Arial Narrow" w:hAnsi="Arial Narrow"/>
                <w:sz w:val="20"/>
              </w:rPr>
            </w:pPr>
            <w:r w:rsidRPr="00682EE4">
              <w:rPr>
                <w:rFonts w:ascii="Arial Narrow" w:hAnsi="Arial Narrow"/>
                <w:sz w:val="20"/>
              </w:rPr>
              <w:t>74/125 (59.2)</w:t>
            </w:r>
          </w:p>
        </w:tc>
        <w:tc>
          <w:tcPr>
            <w:tcW w:w="2102" w:type="dxa"/>
            <w:tcBorders>
              <w:top w:val="nil"/>
              <w:left w:val="nil"/>
              <w:bottom w:val="nil"/>
            </w:tcBorders>
            <w:vAlign w:val="center"/>
          </w:tcPr>
          <w:p w:rsidR="00FB1A7C" w:rsidRPr="00682EE4" w:rsidRDefault="00FB1A7C" w:rsidP="00FB1A7C">
            <w:pPr>
              <w:widowControl/>
              <w:jc w:val="center"/>
              <w:rPr>
                <w:rFonts w:ascii="Arial Narrow" w:hAnsi="Arial Narrow"/>
                <w:sz w:val="20"/>
              </w:rPr>
            </w:pPr>
            <w:r w:rsidRPr="00682EE4">
              <w:rPr>
                <w:rFonts w:ascii="Arial Narrow" w:hAnsi="Arial Narrow"/>
                <w:sz w:val="20"/>
              </w:rPr>
              <w:t>62/117 (53.0)</w:t>
            </w:r>
          </w:p>
        </w:tc>
      </w:tr>
      <w:tr w:rsidR="00FB1A7C" w:rsidRPr="00682EE4" w:rsidTr="00571390">
        <w:tc>
          <w:tcPr>
            <w:tcW w:w="2081" w:type="dxa"/>
            <w:vMerge/>
          </w:tcPr>
          <w:p w:rsidR="00FB1A7C" w:rsidRPr="00682EE4" w:rsidRDefault="00FB1A7C" w:rsidP="003D629B">
            <w:pPr>
              <w:pStyle w:val="ListParagraph"/>
              <w:widowControl/>
              <w:ind w:left="0"/>
              <w:rPr>
                <w:rFonts w:ascii="Arial Narrow" w:hAnsi="Arial Narrow"/>
                <w:b/>
                <w:sz w:val="20"/>
              </w:rPr>
            </w:pPr>
          </w:p>
        </w:tc>
        <w:tc>
          <w:tcPr>
            <w:tcW w:w="2141" w:type="dxa"/>
            <w:tcBorders>
              <w:top w:val="nil"/>
              <w:bottom w:val="single" w:sz="4" w:space="0" w:color="auto"/>
              <w:right w:val="nil"/>
            </w:tcBorders>
            <w:vAlign w:val="center"/>
          </w:tcPr>
          <w:p w:rsidR="00FB1A7C" w:rsidRPr="00682EE4" w:rsidRDefault="00FB1A7C" w:rsidP="00FB1A7C">
            <w:pPr>
              <w:pStyle w:val="ListParagraph"/>
              <w:widowControl/>
              <w:ind w:left="0"/>
              <w:jc w:val="center"/>
              <w:rPr>
                <w:rFonts w:ascii="Arial Narrow" w:hAnsi="Arial Narrow"/>
                <w:sz w:val="20"/>
              </w:rPr>
            </w:pPr>
            <w:r w:rsidRPr="00682EE4">
              <w:rPr>
                <w:rFonts w:ascii="Arial Narrow" w:hAnsi="Arial Narrow"/>
                <w:sz w:val="20"/>
              </w:rPr>
              <w:t>Week 100</w:t>
            </w:r>
          </w:p>
        </w:tc>
        <w:tc>
          <w:tcPr>
            <w:tcW w:w="2102" w:type="dxa"/>
            <w:tcBorders>
              <w:top w:val="nil"/>
              <w:left w:val="nil"/>
              <w:bottom w:val="single" w:sz="4" w:space="0" w:color="auto"/>
              <w:right w:val="nil"/>
            </w:tcBorders>
            <w:vAlign w:val="center"/>
          </w:tcPr>
          <w:p w:rsidR="00FB1A7C" w:rsidRPr="00682EE4" w:rsidRDefault="00FB1A7C" w:rsidP="00FB1A7C">
            <w:pPr>
              <w:widowControl/>
              <w:jc w:val="center"/>
              <w:rPr>
                <w:rFonts w:ascii="Arial Narrow" w:hAnsi="Arial Narrow"/>
                <w:sz w:val="20"/>
              </w:rPr>
            </w:pPr>
            <w:r w:rsidRPr="00682EE4">
              <w:rPr>
                <w:rFonts w:ascii="Arial Narrow" w:hAnsi="Arial Narrow"/>
                <w:sz w:val="20"/>
              </w:rPr>
              <w:t>73/122 (59.8)</w:t>
            </w:r>
          </w:p>
        </w:tc>
        <w:tc>
          <w:tcPr>
            <w:tcW w:w="2102" w:type="dxa"/>
            <w:tcBorders>
              <w:top w:val="nil"/>
              <w:left w:val="nil"/>
              <w:bottom w:val="single" w:sz="4" w:space="0" w:color="auto"/>
            </w:tcBorders>
            <w:vAlign w:val="center"/>
          </w:tcPr>
          <w:p w:rsidR="00FB1A7C" w:rsidRPr="00682EE4" w:rsidRDefault="00FB1A7C" w:rsidP="00FB1A7C">
            <w:pPr>
              <w:widowControl/>
              <w:jc w:val="center"/>
              <w:rPr>
                <w:rFonts w:ascii="Arial Narrow" w:hAnsi="Arial Narrow"/>
                <w:sz w:val="20"/>
              </w:rPr>
            </w:pPr>
            <w:r w:rsidRPr="00682EE4">
              <w:rPr>
                <w:rFonts w:ascii="Arial Narrow" w:hAnsi="Arial Narrow"/>
                <w:sz w:val="20"/>
              </w:rPr>
              <w:t>70/115 (60.9)</w:t>
            </w:r>
          </w:p>
        </w:tc>
      </w:tr>
      <w:tr w:rsidR="00FB1A7C" w:rsidRPr="00682EE4" w:rsidTr="00571390">
        <w:tc>
          <w:tcPr>
            <w:tcW w:w="2081" w:type="dxa"/>
            <w:vMerge w:val="restart"/>
            <w:vAlign w:val="center"/>
          </w:tcPr>
          <w:p w:rsidR="00FB1A7C" w:rsidRPr="00682EE4" w:rsidRDefault="00FB1A7C" w:rsidP="00FB1A7C">
            <w:pPr>
              <w:pStyle w:val="ListParagraph"/>
              <w:widowControl/>
              <w:ind w:left="0"/>
              <w:jc w:val="center"/>
              <w:rPr>
                <w:rFonts w:ascii="Arial Narrow" w:hAnsi="Arial Narrow"/>
                <w:b/>
                <w:sz w:val="20"/>
              </w:rPr>
            </w:pPr>
            <w:r w:rsidRPr="00682EE4">
              <w:rPr>
                <w:rFonts w:ascii="Arial Narrow" w:hAnsi="Arial Narrow"/>
                <w:b/>
                <w:sz w:val="20"/>
              </w:rPr>
              <w:t>ACR70</w:t>
            </w:r>
          </w:p>
        </w:tc>
        <w:tc>
          <w:tcPr>
            <w:tcW w:w="2141" w:type="dxa"/>
            <w:tcBorders>
              <w:top w:val="single" w:sz="4" w:space="0" w:color="auto"/>
              <w:bottom w:val="nil"/>
              <w:right w:val="nil"/>
            </w:tcBorders>
            <w:vAlign w:val="center"/>
          </w:tcPr>
          <w:p w:rsidR="00FB1A7C" w:rsidRPr="00682EE4" w:rsidRDefault="00FB1A7C" w:rsidP="00FB1A7C">
            <w:pPr>
              <w:pStyle w:val="ListParagraph"/>
              <w:widowControl/>
              <w:ind w:left="0"/>
              <w:jc w:val="center"/>
              <w:rPr>
                <w:rFonts w:ascii="Arial Narrow" w:hAnsi="Arial Narrow"/>
                <w:sz w:val="20"/>
              </w:rPr>
            </w:pPr>
            <w:r w:rsidRPr="00682EE4">
              <w:rPr>
                <w:rFonts w:ascii="Arial Narrow" w:hAnsi="Arial Narrow"/>
                <w:sz w:val="20"/>
              </w:rPr>
              <w:t>Week 52 (start)</w:t>
            </w:r>
          </w:p>
        </w:tc>
        <w:tc>
          <w:tcPr>
            <w:tcW w:w="2102" w:type="dxa"/>
            <w:tcBorders>
              <w:top w:val="single" w:sz="4" w:space="0" w:color="auto"/>
              <w:left w:val="nil"/>
              <w:bottom w:val="nil"/>
              <w:right w:val="nil"/>
            </w:tcBorders>
            <w:vAlign w:val="center"/>
          </w:tcPr>
          <w:p w:rsidR="00FB1A7C" w:rsidRPr="00682EE4" w:rsidRDefault="00FB1A7C" w:rsidP="00FB1A7C">
            <w:pPr>
              <w:widowControl/>
              <w:jc w:val="center"/>
              <w:rPr>
                <w:rFonts w:ascii="Arial Narrow" w:hAnsi="Arial Narrow"/>
                <w:sz w:val="20"/>
              </w:rPr>
            </w:pPr>
            <w:r w:rsidRPr="00682EE4">
              <w:rPr>
                <w:rFonts w:ascii="Arial Narrow" w:hAnsi="Arial Narrow"/>
                <w:sz w:val="20"/>
              </w:rPr>
              <w:t>48/125 (38.4)</w:t>
            </w:r>
          </w:p>
        </w:tc>
        <w:tc>
          <w:tcPr>
            <w:tcW w:w="2102" w:type="dxa"/>
            <w:tcBorders>
              <w:top w:val="single" w:sz="4" w:space="0" w:color="auto"/>
              <w:left w:val="nil"/>
              <w:bottom w:val="nil"/>
            </w:tcBorders>
            <w:vAlign w:val="center"/>
          </w:tcPr>
          <w:p w:rsidR="00FB1A7C" w:rsidRPr="00682EE4" w:rsidRDefault="00FB1A7C" w:rsidP="00FB1A7C">
            <w:pPr>
              <w:widowControl/>
              <w:jc w:val="center"/>
              <w:rPr>
                <w:rFonts w:ascii="Arial Narrow" w:hAnsi="Arial Narrow"/>
                <w:sz w:val="20"/>
              </w:rPr>
            </w:pPr>
            <w:r w:rsidRPr="00682EE4">
              <w:rPr>
                <w:rFonts w:ascii="Arial Narrow" w:hAnsi="Arial Narrow"/>
                <w:sz w:val="20"/>
              </w:rPr>
              <w:t>39/119 (32.8)</w:t>
            </w:r>
          </w:p>
        </w:tc>
      </w:tr>
      <w:tr w:rsidR="00FB1A7C" w:rsidRPr="00682EE4" w:rsidTr="00571390">
        <w:tc>
          <w:tcPr>
            <w:tcW w:w="2081" w:type="dxa"/>
            <w:vMerge/>
          </w:tcPr>
          <w:p w:rsidR="00FB1A7C" w:rsidRPr="00682EE4" w:rsidRDefault="00FB1A7C" w:rsidP="003D629B">
            <w:pPr>
              <w:pStyle w:val="ListParagraph"/>
              <w:widowControl/>
              <w:ind w:left="0"/>
              <w:rPr>
                <w:rFonts w:ascii="Arial Narrow" w:hAnsi="Arial Narrow"/>
                <w:b/>
                <w:sz w:val="20"/>
              </w:rPr>
            </w:pPr>
          </w:p>
        </w:tc>
        <w:tc>
          <w:tcPr>
            <w:tcW w:w="2141" w:type="dxa"/>
            <w:tcBorders>
              <w:top w:val="nil"/>
              <w:bottom w:val="nil"/>
              <w:right w:val="nil"/>
            </w:tcBorders>
            <w:vAlign w:val="center"/>
          </w:tcPr>
          <w:p w:rsidR="00FB1A7C" w:rsidRPr="00682EE4" w:rsidRDefault="00FB1A7C" w:rsidP="00FB1A7C">
            <w:pPr>
              <w:pStyle w:val="ListParagraph"/>
              <w:widowControl/>
              <w:ind w:left="0"/>
              <w:jc w:val="center"/>
              <w:rPr>
                <w:rFonts w:ascii="Arial Narrow" w:hAnsi="Arial Narrow"/>
                <w:sz w:val="20"/>
              </w:rPr>
            </w:pPr>
            <w:r w:rsidRPr="00682EE4">
              <w:rPr>
                <w:rFonts w:ascii="Arial Narrow" w:hAnsi="Arial Narrow"/>
                <w:sz w:val="20"/>
              </w:rPr>
              <w:t>Week 76</w:t>
            </w:r>
          </w:p>
        </w:tc>
        <w:tc>
          <w:tcPr>
            <w:tcW w:w="2102" w:type="dxa"/>
            <w:tcBorders>
              <w:top w:val="nil"/>
              <w:left w:val="nil"/>
              <w:bottom w:val="nil"/>
              <w:right w:val="nil"/>
            </w:tcBorders>
            <w:vAlign w:val="center"/>
          </w:tcPr>
          <w:p w:rsidR="00FB1A7C" w:rsidRPr="00682EE4" w:rsidRDefault="00FB1A7C" w:rsidP="00FB1A7C">
            <w:pPr>
              <w:widowControl/>
              <w:jc w:val="center"/>
              <w:rPr>
                <w:rFonts w:ascii="Arial Narrow" w:hAnsi="Arial Narrow"/>
                <w:sz w:val="20"/>
              </w:rPr>
            </w:pPr>
            <w:r w:rsidRPr="00682EE4">
              <w:rPr>
                <w:rFonts w:ascii="Arial Narrow" w:hAnsi="Arial Narrow"/>
                <w:sz w:val="20"/>
              </w:rPr>
              <w:t>49/125 (39.2)</w:t>
            </w:r>
          </w:p>
        </w:tc>
        <w:tc>
          <w:tcPr>
            <w:tcW w:w="2102" w:type="dxa"/>
            <w:tcBorders>
              <w:top w:val="nil"/>
              <w:left w:val="nil"/>
              <w:bottom w:val="nil"/>
            </w:tcBorders>
            <w:vAlign w:val="center"/>
          </w:tcPr>
          <w:p w:rsidR="00FB1A7C" w:rsidRPr="00682EE4" w:rsidRDefault="00FB1A7C" w:rsidP="00FB1A7C">
            <w:pPr>
              <w:widowControl/>
              <w:jc w:val="center"/>
              <w:rPr>
                <w:rFonts w:ascii="Arial Narrow" w:hAnsi="Arial Narrow"/>
                <w:sz w:val="20"/>
              </w:rPr>
            </w:pPr>
            <w:r w:rsidRPr="00682EE4">
              <w:rPr>
                <w:rFonts w:ascii="Arial Narrow" w:hAnsi="Arial Narrow"/>
                <w:sz w:val="20"/>
              </w:rPr>
              <w:t>44/117 (37.6)</w:t>
            </w:r>
          </w:p>
        </w:tc>
      </w:tr>
      <w:tr w:rsidR="00FB1A7C" w:rsidRPr="00682EE4" w:rsidTr="00571390">
        <w:tc>
          <w:tcPr>
            <w:tcW w:w="2081" w:type="dxa"/>
            <w:vMerge/>
          </w:tcPr>
          <w:p w:rsidR="00FB1A7C" w:rsidRPr="00682EE4" w:rsidRDefault="00FB1A7C" w:rsidP="003D629B">
            <w:pPr>
              <w:pStyle w:val="ListParagraph"/>
              <w:widowControl/>
              <w:ind w:left="0"/>
              <w:rPr>
                <w:rFonts w:ascii="Arial Narrow" w:hAnsi="Arial Narrow"/>
                <w:b/>
                <w:sz w:val="20"/>
              </w:rPr>
            </w:pPr>
          </w:p>
        </w:tc>
        <w:tc>
          <w:tcPr>
            <w:tcW w:w="2141" w:type="dxa"/>
            <w:tcBorders>
              <w:top w:val="nil"/>
              <w:right w:val="nil"/>
            </w:tcBorders>
            <w:vAlign w:val="center"/>
          </w:tcPr>
          <w:p w:rsidR="00FB1A7C" w:rsidRPr="00682EE4" w:rsidRDefault="00FB1A7C" w:rsidP="00FB1A7C">
            <w:pPr>
              <w:pStyle w:val="ListParagraph"/>
              <w:widowControl/>
              <w:ind w:left="0"/>
              <w:jc w:val="center"/>
              <w:rPr>
                <w:rFonts w:ascii="Arial Narrow" w:hAnsi="Arial Narrow"/>
                <w:sz w:val="20"/>
              </w:rPr>
            </w:pPr>
            <w:r w:rsidRPr="00682EE4">
              <w:rPr>
                <w:rFonts w:ascii="Arial Narrow" w:hAnsi="Arial Narrow"/>
                <w:sz w:val="20"/>
              </w:rPr>
              <w:t>Week 100</w:t>
            </w:r>
          </w:p>
        </w:tc>
        <w:tc>
          <w:tcPr>
            <w:tcW w:w="2102" w:type="dxa"/>
            <w:tcBorders>
              <w:top w:val="nil"/>
              <w:left w:val="nil"/>
              <w:right w:val="nil"/>
            </w:tcBorders>
            <w:vAlign w:val="center"/>
          </w:tcPr>
          <w:p w:rsidR="00FB1A7C" w:rsidRPr="00682EE4" w:rsidRDefault="00FB1A7C" w:rsidP="00FB1A7C">
            <w:pPr>
              <w:widowControl/>
              <w:jc w:val="center"/>
              <w:rPr>
                <w:rFonts w:ascii="Arial Narrow" w:hAnsi="Arial Narrow"/>
                <w:sz w:val="20"/>
              </w:rPr>
            </w:pPr>
            <w:r w:rsidRPr="00682EE4">
              <w:rPr>
                <w:rFonts w:ascii="Arial Narrow" w:hAnsi="Arial Narrow"/>
                <w:sz w:val="20"/>
              </w:rPr>
              <w:t>52/122 (42.6)</w:t>
            </w:r>
          </w:p>
        </w:tc>
        <w:tc>
          <w:tcPr>
            <w:tcW w:w="2102" w:type="dxa"/>
            <w:tcBorders>
              <w:top w:val="nil"/>
              <w:left w:val="nil"/>
            </w:tcBorders>
            <w:vAlign w:val="center"/>
          </w:tcPr>
          <w:p w:rsidR="00FB1A7C" w:rsidRPr="00682EE4" w:rsidRDefault="00FB1A7C" w:rsidP="00FB1A7C">
            <w:pPr>
              <w:widowControl/>
              <w:jc w:val="center"/>
              <w:rPr>
                <w:rFonts w:ascii="Arial Narrow" w:hAnsi="Arial Narrow"/>
                <w:sz w:val="20"/>
              </w:rPr>
            </w:pPr>
            <w:r w:rsidRPr="00682EE4">
              <w:rPr>
                <w:rFonts w:ascii="Arial Narrow" w:hAnsi="Arial Narrow"/>
                <w:sz w:val="20"/>
              </w:rPr>
              <w:t>48/115 (41.7)</w:t>
            </w:r>
          </w:p>
        </w:tc>
      </w:tr>
    </w:tbl>
    <w:p w:rsidR="00571390" w:rsidRPr="00682EE4" w:rsidRDefault="00571390" w:rsidP="00571390">
      <w:pPr>
        <w:pStyle w:val="TableFooter"/>
        <w:ind w:left="709"/>
      </w:pPr>
      <w:r w:rsidRPr="00682EE4">
        <w:t xml:space="preserve">n’ = number of subjects with available assessment results at each time point, ACR20 = American College of Rheumatology 20% improvement criteria; ACR50 = American College of Rheumatology 50% improvement criteria; ACR70 = American College of Rheumatology 70% improvement criteria </w:t>
      </w:r>
    </w:p>
    <w:p w:rsidR="003C72AB" w:rsidRPr="00682EE4" w:rsidRDefault="00FB1A7C" w:rsidP="005378DD">
      <w:pPr>
        <w:widowControl/>
        <w:ind w:firstLine="709"/>
        <w:rPr>
          <w:rFonts w:ascii="Arial Narrow" w:hAnsi="Arial Narrow"/>
          <w:sz w:val="20"/>
        </w:rPr>
      </w:pPr>
      <w:r w:rsidRPr="00682EE4">
        <w:rPr>
          <w:rFonts w:ascii="Arial Narrow" w:hAnsi="Arial Narrow"/>
          <w:sz w:val="20"/>
        </w:rPr>
        <w:t>Source: SB4-G31-RA 100 week Extension Clinical Study Report</w:t>
      </w:r>
    </w:p>
    <w:p w:rsidR="00B60939" w:rsidRPr="00682EE4" w:rsidRDefault="00B60939" w:rsidP="00B60939">
      <w:pPr>
        <w:ind w:left="720" w:hanging="720"/>
        <w:rPr>
          <w:szCs w:val="22"/>
        </w:rPr>
      </w:pPr>
    </w:p>
    <w:p w:rsidR="005378DD" w:rsidRPr="00682EE4" w:rsidRDefault="005378DD" w:rsidP="005378DD">
      <w:pPr>
        <w:pStyle w:val="ListParagraph"/>
        <w:numPr>
          <w:ilvl w:val="1"/>
          <w:numId w:val="1"/>
        </w:numPr>
      </w:pPr>
      <w:r w:rsidRPr="00682EE4">
        <w:t>The mean change in DAS28 score from baseline at Week 76 was 2.9066 in the BR/BR treatment group and 2.9188 in the EN/BR treatment group. The mean change in DAS28 score from baseline at Week 100 was 2.8548 in the BR/BR treatment group and 3.0005 in the EN/BR treatment group.</w:t>
      </w:r>
    </w:p>
    <w:p w:rsidR="005378DD" w:rsidRPr="00682EE4" w:rsidRDefault="005378DD" w:rsidP="005378DD"/>
    <w:p w:rsidR="005378DD" w:rsidRPr="00682EE4" w:rsidRDefault="005378DD" w:rsidP="007F0F85">
      <w:pPr>
        <w:pStyle w:val="Heading2"/>
      </w:pPr>
      <w:bookmarkStart w:id="9" w:name="_Toc451246922"/>
      <w:r w:rsidRPr="00682EE4">
        <w:t>Comparative harms</w:t>
      </w:r>
      <w:bookmarkEnd w:id="9"/>
    </w:p>
    <w:p w:rsidR="005378DD" w:rsidRPr="00682EE4" w:rsidRDefault="005378DD" w:rsidP="005378DD"/>
    <w:p w:rsidR="00B60939" w:rsidRPr="00682EE4" w:rsidRDefault="005378DD" w:rsidP="00610F8E">
      <w:pPr>
        <w:pStyle w:val="ListParagraph"/>
        <w:widowControl/>
        <w:numPr>
          <w:ilvl w:val="1"/>
          <w:numId w:val="1"/>
        </w:numPr>
        <w:rPr>
          <w:szCs w:val="22"/>
        </w:rPr>
      </w:pPr>
      <w:r w:rsidRPr="00682EE4">
        <w:t>Overall,</w:t>
      </w:r>
      <w:r w:rsidR="007D7E59" w:rsidRPr="00682EE4">
        <w:t xml:space="preserve"> with the exception of injection site erythema (RR</w:t>
      </w:r>
      <w:r w:rsidR="00871E7C" w:rsidRPr="00682EE4">
        <w:t>=</w:t>
      </w:r>
      <w:r w:rsidR="007D7E59" w:rsidRPr="00682EE4">
        <w:t>0.18, 95% CI</w:t>
      </w:r>
      <w:r w:rsidR="00871E7C" w:rsidRPr="00682EE4">
        <w:t>:</w:t>
      </w:r>
      <w:r w:rsidR="007D7E59" w:rsidRPr="00682EE4">
        <w:t xml:space="preserve"> 0.08,</w:t>
      </w:r>
      <w:r w:rsidR="00871E7C" w:rsidRPr="00682EE4">
        <w:t xml:space="preserve"> </w:t>
      </w:r>
      <w:r w:rsidR="007D7E59" w:rsidRPr="00682EE4">
        <w:t>0.41</w:t>
      </w:r>
      <w:r w:rsidR="00871E7C" w:rsidRPr="00682EE4">
        <w:t>;</w:t>
      </w:r>
      <w:r w:rsidR="00934C6D" w:rsidRPr="00682EE4">
        <w:t xml:space="preserve"> favouring Brenzys</w:t>
      </w:r>
      <w:r w:rsidR="007D7E59" w:rsidRPr="00682EE4">
        <w:t>), the rate of adverse events repor</w:t>
      </w:r>
      <w:r w:rsidR="00934C6D" w:rsidRPr="00682EE4">
        <w:t>ted in patients treated with Brenzys</w:t>
      </w:r>
      <w:r w:rsidR="007D7E59" w:rsidRPr="00682EE4">
        <w:t xml:space="preserve"> was comparable to patients treated with etanercept in </w:t>
      </w:r>
      <w:r w:rsidR="00871E7C" w:rsidRPr="00682EE4">
        <w:t>T</w:t>
      </w:r>
      <w:r w:rsidR="007D7E59" w:rsidRPr="00682EE4">
        <w:t xml:space="preserve">rial SB4-G31-RA.  </w:t>
      </w:r>
    </w:p>
    <w:p w:rsidR="00B60052" w:rsidRPr="00682EE4" w:rsidRDefault="00B60052" w:rsidP="00B60052"/>
    <w:p w:rsidR="00B60052" w:rsidRPr="00682EE4" w:rsidRDefault="00B60052" w:rsidP="00803ABB">
      <w:pPr>
        <w:pStyle w:val="ListParagraph"/>
        <w:widowControl/>
        <w:numPr>
          <w:ilvl w:val="1"/>
          <w:numId w:val="1"/>
        </w:numPr>
        <w:rPr>
          <w:szCs w:val="22"/>
        </w:rPr>
      </w:pPr>
      <w:r w:rsidRPr="00682EE4">
        <w:t>The SB4-G31-RA extension study found that the incidences of</w:t>
      </w:r>
      <w:r w:rsidR="00A01B4C" w:rsidRPr="00682EE4">
        <w:t xml:space="preserve"> serious adverse events (</w:t>
      </w:r>
      <w:r w:rsidRPr="00682EE4">
        <w:t>SAEs</w:t>
      </w:r>
      <w:r w:rsidR="00A01B4C" w:rsidRPr="00682EE4">
        <w:t>)</w:t>
      </w:r>
      <w:r w:rsidRPr="00682EE4">
        <w:t xml:space="preserve"> and</w:t>
      </w:r>
      <w:r w:rsidR="00A01B4C" w:rsidRPr="00682EE4">
        <w:t xml:space="preserve"> treatment-emergent adverse events</w:t>
      </w:r>
      <w:r w:rsidRPr="00682EE4">
        <w:t xml:space="preserve"> </w:t>
      </w:r>
      <w:r w:rsidR="00A01B4C" w:rsidRPr="00682EE4">
        <w:t>(</w:t>
      </w:r>
      <w:r w:rsidRPr="00682EE4">
        <w:t>TEAEs</w:t>
      </w:r>
      <w:r w:rsidR="00A01B4C" w:rsidRPr="00682EE4">
        <w:t>)</w:t>
      </w:r>
      <w:r w:rsidRPr="00682EE4">
        <w:t xml:space="preserve"> were comparable between the BR/BR and EN/BR groups. The study also reported that the </w:t>
      </w:r>
      <w:r w:rsidR="00803ABB" w:rsidRPr="00682EE4">
        <w:t xml:space="preserve">overall </w:t>
      </w:r>
      <w:r w:rsidRPr="00682EE4">
        <w:t>incidence of anti-drug antibodies and neutralising antibodies to etanercept w</w:t>
      </w:r>
      <w:r w:rsidR="00803ABB" w:rsidRPr="00682EE4">
        <w:t>as</w:t>
      </w:r>
      <w:r w:rsidRPr="00682EE4">
        <w:t xml:space="preserve"> low (fewer than 5 patients at week 100) </w:t>
      </w:r>
      <w:r w:rsidR="00803ABB" w:rsidRPr="00682EE4">
        <w:t>in</w:t>
      </w:r>
      <w:r w:rsidRPr="00682EE4">
        <w:t xml:space="preserve"> the </w:t>
      </w:r>
      <w:r w:rsidR="00803ABB" w:rsidRPr="00682EE4">
        <w:t>BR/BR and EN/BR groups</w:t>
      </w:r>
      <w:r w:rsidRPr="00682EE4">
        <w:t xml:space="preserve">. </w:t>
      </w:r>
      <w:r w:rsidR="00803ABB" w:rsidRPr="00682EE4">
        <w:t>No antibodies were found to be neutralising during the open-label, extension period</w:t>
      </w:r>
      <w:r w:rsidR="001E372D" w:rsidRPr="00682EE4">
        <w:t>.</w:t>
      </w:r>
    </w:p>
    <w:p w:rsidR="00371A52" w:rsidRPr="00682EE4" w:rsidRDefault="00371A52">
      <w:pPr>
        <w:widowControl/>
        <w:jc w:val="left"/>
        <w:rPr>
          <w:b/>
        </w:rPr>
      </w:pPr>
      <w:bookmarkStart w:id="10" w:name="_Toc451246923"/>
    </w:p>
    <w:p w:rsidR="00B60939" w:rsidRPr="00682EE4" w:rsidRDefault="00B60939" w:rsidP="007F0F85">
      <w:pPr>
        <w:pStyle w:val="Heading2"/>
      </w:pPr>
      <w:r w:rsidRPr="00682EE4">
        <w:t>Clinical claim</w:t>
      </w:r>
      <w:bookmarkEnd w:id="10"/>
    </w:p>
    <w:p w:rsidR="00934C6D" w:rsidRPr="00682EE4" w:rsidRDefault="00934C6D" w:rsidP="00934C6D">
      <w:pPr>
        <w:widowControl/>
        <w:rPr>
          <w:iCs/>
        </w:rPr>
      </w:pPr>
    </w:p>
    <w:p w:rsidR="00934C6D" w:rsidRPr="00682EE4" w:rsidRDefault="00934C6D" w:rsidP="00934C6D">
      <w:pPr>
        <w:pStyle w:val="ListParagraph"/>
        <w:widowControl/>
        <w:numPr>
          <w:ilvl w:val="1"/>
          <w:numId w:val="1"/>
        </w:numPr>
        <w:rPr>
          <w:iCs/>
          <w:szCs w:val="22"/>
        </w:rPr>
      </w:pPr>
      <w:r w:rsidRPr="00682EE4">
        <w:rPr>
          <w:iCs/>
        </w:rPr>
        <w:t xml:space="preserve">The submission described Brenzys as equivalent in terms of comparative effectiveness and equivalent in terms of comparative safety to Enbrel. </w:t>
      </w:r>
    </w:p>
    <w:p w:rsidR="00934C6D" w:rsidRPr="00682EE4" w:rsidRDefault="00934C6D" w:rsidP="00934C6D">
      <w:r w:rsidRPr="00682EE4">
        <w:t xml:space="preserve"> </w:t>
      </w:r>
    </w:p>
    <w:p w:rsidR="00B60939" w:rsidRPr="00682EE4" w:rsidRDefault="00153DFA" w:rsidP="00610F8E">
      <w:pPr>
        <w:pStyle w:val="ListParagraph"/>
        <w:widowControl/>
        <w:numPr>
          <w:ilvl w:val="1"/>
          <w:numId w:val="1"/>
        </w:numPr>
        <w:rPr>
          <w:iCs/>
          <w:szCs w:val="22"/>
        </w:rPr>
      </w:pPr>
      <w:r w:rsidRPr="00682EE4">
        <w:rPr>
          <w:iCs/>
        </w:rPr>
        <w:t xml:space="preserve">The ACPM </w:t>
      </w:r>
      <w:r w:rsidR="00783D34" w:rsidRPr="00682EE4">
        <w:rPr>
          <w:iCs/>
        </w:rPr>
        <w:t>considered</w:t>
      </w:r>
      <w:r w:rsidRPr="00682EE4">
        <w:rPr>
          <w:iCs/>
        </w:rPr>
        <w:t xml:space="preserve"> that the clinical data and justifications by the sponsor were acceptable to support extrapolation to the other adult indications requested for Brenzys, including ankylosing spondylitis, psoriatic arthritis</w:t>
      </w:r>
      <w:r w:rsidR="00D57CF6">
        <w:rPr>
          <w:iCs/>
        </w:rPr>
        <w:t xml:space="preserve"> and</w:t>
      </w:r>
      <w:r w:rsidRPr="00682EE4">
        <w:rPr>
          <w:iCs/>
        </w:rPr>
        <w:t xml:space="preserve"> plaque psoriasis</w:t>
      </w:r>
      <w:r w:rsidR="00E67627" w:rsidRPr="00682EE4">
        <w:rPr>
          <w:iCs/>
        </w:rPr>
        <w:t xml:space="preserve">. The </w:t>
      </w:r>
      <w:r w:rsidR="00115C77" w:rsidRPr="00682EE4">
        <w:rPr>
          <w:iCs/>
        </w:rPr>
        <w:t xml:space="preserve">ACPM </w:t>
      </w:r>
      <w:r w:rsidR="00E67627" w:rsidRPr="00682EE4">
        <w:rPr>
          <w:iCs/>
        </w:rPr>
        <w:t>noted that Enbrel is also approved for two paediatric conditions, juvenile idiopathic arthritis and juvenile plaque psoriasis. The ACPM advised that Brenzys is not indicated for use in children less than 18 years of age as a 25 mg dose form will not be made available and the recommended dose of etanercept for paediatric patients is 0.8 mg/kg given once weekly.</w:t>
      </w:r>
      <w:r w:rsidRPr="00682EE4">
        <w:rPr>
          <w:iCs/>
        </w:rPr>
        <w:t xml:space="preserve"> </w:t>
      </w:r>
    </w:p>
    <w:p w:rsidR="00F9035D" w:rsidRPr="00682EE4" w:rsidRDefault="00F9035D" w:rsidP="00F9035D">
      <w:pPr>
        <w:pStyle w:val="ListParagraph"/>
        <w:rPr>
          <w:iCs/>
          <w:szCs w:val="22"/>
        </w:rPr>
      </w:pPr>
    </w:p>
    <w:p w:rsidR="00F9035D" w:rsidRPr="00682EE4" w:rsidRDefault="00F9035D" w:rsidP="00610F8E">
      <w:pPr>
        <w:pStyle w:val="ListParagraph"/>
        <w:widowControl/>
        <w:numPr>
          <w:ilvl w:val="1"/>
          <w:numId w:val="1"/>
        </w:numPr>
        <w:jc w:val="left"/>
        <w:rPr>
          <w:bCs/>
        </w:rPr>
      </w:pPr>
      <w:r w:rsidRPr="00682EE4">
        <w:rPr>
          <w:bCs/>
          <w:szCs w:val="22"/>
        </w:rPr>
        <w:t>The PBAC considered that the claim of non-inferior comparative effectiveness was reasonable</w:t>
      </w:r>
      <w:r w:rsidR="00667DA6" w:rsidRPr="00682EE4">
        <w:rPr>
          <w:bCs/>
          <w:szCs w:val="22"/>
        </w:rPr>
        <w:t>.</w:t>
      </w:r>
    </w:p>
    <w:p w:rsidR="00F9035D" w:rsidRPr="00682EE4" w:rsidRDefault="00F9035D" w:rsidP="00F9035D">
      <w:pPr>
        <w:pStyle w:val="ListParagraph"/>
        <w:rPr>
          <w:bCs/>
          <w:szCs w:val="22"/>
        </w:rPr>
      </w:pPr>
    </w:p>
    <w:p w:rsidR="00F9035D" w:rsidRPr="00682EE4" w:rsidRDefault="00F9035D" w:rsidP="00610F8E">
      <w:pPr>
        <w:pStyle w:val="ListParagraph"/>
        <w:widowControl/>
        <w:numPr>
          <w:ilvl w:val="1"/>
          <w:numId w:val="1"/>
        </w:numPr>
        <w:rPr>
          <w:szCs w:val="22"/>
        </w:rPr>
      </w:pPr>
      <w:r w:rsidRPr="00682EE4">
        <w:rPr>
          <w:szCs w:val="22"/>
        </w:rPr>
        <w:t>The PBAC considered that the claim of non-inferior co</w:t>
      </w:r>
      <w:r w:rsidR="00667DA6" w:rsidRPr="00682EE4">
        <w:rPr>
          <w:szCs w:val="22"/>
        </w:rPr>
        <w:t>mparative safety was reasonable.</w:t>
      </w:r>
    </w:p>
    <w:p w:rsidR="00B60939" w:rsidRPr="00682EE4" w:rsidRDefault="00B60939" w:rsidP="00B60939">
      <w:pPr>
        <w:ind w:left="720" w:hanging="720"/>
        <w:rPr>
          <w:szCs w:val="22"/>
        </w:rPr>
      </w:pPr>
    </w:p>
    <w:p w:rsidR="00B60939" w:rsidRPr="00682EE4" w:rsidRDefault="00B60939" w:rsidP="007F0F85">
      <w:pPr>
        <w:pStyle w:val="Heading2"/>
      </w:pPr>
      <w:bookmarkStart w:id="11" w:name="_Toc451246924"/>
      <w:r w:rsidRPr="00682EE4">
        <w:t>Economic analysis</w:t>
      </w:r>
      <w:bookmarkEnd w:id="11"/>
      <w:r w:rsidR="00491B3A" w:rsidRPr="00682EE4">
        <w:t xml:space="preserve"> </w:t>
      </w:r>
    </w:p>
    <w:p w:rsidR="00B60939" w:rsidRPr="00682EE4" w:rsidRDefault="00B60939" w:rsidP="00B60939">
      <w:pPr>
        <w:ind w:left="720" w:hanging="720"/>
        <w:rPr>
          <w:szCs w:val="22"/>
        </w:rPr>
      </w:pPr>
    </w:p>
    <w:p w:rsidR="00B60939" w:rsidRPr="00682EE4" w:rsidRDefault="00A65CE4" w:rsidP="00610F8E">
      <w:pPr>
        <w:pStyle w:val="ListParagraph"/>
        <w:widowControl/>
        <w:numPr>
          <w:ilvl w:val="1"/>
          <w:numId w:val="1"/>
        </w:numPr>
        <w:rPr>
          <w:szCs w:val="22"/>
        </w:rPr>
      </w:pPr>
      <w:r w:rsidRPr="00682EE4">
        <w:t xml:space="preserve">The economic analysis presented was a cost minimisation analysis. </w:t>
      </w:r>
    </w:p>
    <w:p w:rsidR="00275C5A" w:rsidRPr="00682EE4" w:rsidRDefault="00275C5A" w:rsidP="00275C5A">
      <w:pPr>
        <w:widowControl/>
        <w:rPr>
          <w:szCs w:val="22"/>
        </w:rPr>
      </w:pPr>
    </w:p>
    <w:p w:rsidR="00511826" w:rsidRPr="00682EE4" w:rsidRDefault="00934C6D" w:rsidP="003E78B2">
      <w:pPr>
        <w:pStyle w:val="ListParagraph"/>
        <w:widowControl/>
        <w:numPr>
          <w:ilvl w:val="1"/>
          <w:numId w:val="1"/>
        </w:numPr>
        <w:rPr>
          <w:iCs/>
          <w:szCs w:val="22"/>
        </w:rPr>
      </w:pPr>
      <w:r w:rsidRPr="00682EE4">
        <w:t>Brenzys</w:t>
      </w:r>
      <w:r w:rsidR="00E2430C" w:rsidRPr="00682EE4">
        <w:t xml:space="preserve"> 50</w:t>
      </w:r>
      <w:r w:rsidR="008A337E" w:rsidRPr="00682EE4">
        <w:t> </w:t>
      </w:r>
      <w:r w:rsidR="00A86E8B" w:rsidRPr="00682EE4">
        <w:t xml:space="preserve">mg and </w:t>
      </w:r>
      <w:r w:rsidRPr="00682EE4">
        <w:t>Enbrel</w:t>
      </w:r>
      <w:r w:rsidR="00E2430C" w:rsidRPr="00682EE4">
        <w:t xml:space="preserve"> 50</w:t>
      </w:r>
      <w:r w:rsidR="008A337E" w:rsidRPr="00682EE4">
        <w:t> </w:t>
      </w:r>
      <w:r w:rsidR="00E2430C" w:rsidRPr="00682EE4">
        <w:t>mg, both given as subcutaneous injections, were proposed to be equi-effective.</w:t>
      </w:r>
      <w:r w:rsidR="00A86E8B" w:rsidRPr="00682EE4">
        <w:t xml:space="preserve">  </w:t>
      </w:r>
      <w:r w:rsidR="00511826" w:rsidRPr="00682EE4">
        <w:rPr>
          <w:szCs w:val="22"/>
        </w:rPr>
        <w:t xml:space="preserve">The submission acknowledged that etanercept is subject to special pricing </w:t>
      </w:r>
      <w:r w:rsidR="00D26AC4" w:rsidRPr="00682EE4">
        <w:rPr>
          <w:szCs w:val="22"/>
        </w:rPr>
        <w:t>arrangements and is willi</w:t>
      </w:r>
      <w:r w:rsidRPr="00682EE4">
        <w:rPr>
          <w:szCs w:val="22"/>
        </w:rPr>
        <w:t>ng to work on the pricing of Brenzys</w:t>
      </w:r>
      <w:r w:rsidR="00D26AC4" w:rsidRPr="00682EE4">
        <w:rPr>
          <w:szCs w:val="22"/>
        </w:rPr>
        <w:t xml:space="preserve"> with the department of health following a</w:t>
      </w:r>
      <w:r w:rsidRPr="00682EE4">
        <w:rPr>
          <w:szCs w:val="22"/>
        </w:rPr>
        <w:t xml:space="preserve"> positive recommendation</w:t>
      </w:r>
      <w:r w:rsidR="00D26AC4" w:rsidRPr="00682EE4">
        <w:rPr>
          <w:szCs w:val="22"/>
        </w:rPr>
        <w:t>.</w:t>
      </w:r>
      <w:r w:rsidR="003D301E" w:rsidRPr="00682EE4">
        <w:rPr>
          <w:szCs w:val="22"/>
        </w:rPr>
        <w:t xml:space="preserve"> </w:t>
      </w:r>
      <w:r w:rsidR="003D301E" w:rsidRPr="00682EE4">
        <w:rPr>
          <w:iCs/>
        </w:rPr>
        <w:t>The Department advised that special pricing arrangements are not ordinarily agreed for multi-branded drugs in the F2 formulary.</w:t>
      </w:r>
    </w:p>
    <w:p w:rsidR="00C25D9C" w:rsidRPr="00682EE4" w:rsidRDefault="00C25D9C" w:rsidP="00F9035D">
      <w:pPr>
        <w:widowControl/>
        <w:jc w:val="right"/>
        <w:rPr>
          <w:szCs w:val="22"/>
        </w:rPr>
      </w:pPr>
    </w:p>
    <w:p w:rsidR="00823434" w:rsidRPr="00682EE4" w:rsidRDefault="001575C9" w:rsidP="007F0F85">
      <w:pPr>
        <w:pStyle w:val="Heading2"/>
      </w:pPr>
      <w:r w:rsidRPr="00682EE4">
        <w:t>Drug cost/patient/year: $</w:t>
      </w:r>
      <w:r w:rsidR="00CF20E2" w:rsidRPr="00A60109">
        <w:t>19</w:t>
      </w:r>
      <w:r w:rsidR="00871E7C" w:rsidRPr="00A60109">
        <w:t>,</w:t>
      </w:r>
      <w:r w:rsidR="00CF20E2" w:rsidRPr="00A60109">
        <w:t>417.32</w:t>
      </w:r>
      <w:r w:rsidRPr="00682EE4">
        <w:t xml:space="preserve"> </w:t>
      </w:r>
    </w:p>
    <w:p w:rsidR="00823434" w:rsidRPr="00682EE4" w:rsidRDefault="00823434" w:rsidP="00823434">
      <w:pPr>
        <w:widowControl/>
        <w:rPr>
          <w:b/>
          <w:szCs w:val="22"/>
        </w:rPr>
      </w:pPr>
    </w:p>
    <w:p w:rsidR="00A86E8B" w:rsidRPr="00682EE4" w:rsidRDefault="00823434" w:rsidP="00610F8E">
      <w:pPr>
        <w:pStyle w:val="ListParagraph"/>
        <w:widowControl/>
        <w:numPr>
          <w:ilvl w:val="1"/>
          <w:numId w:val="1"/>
        </w:numPr>
        <w:rPr>
          <w:szCs w:val="22"/>
        </w:rPr>
      </w:pPr>
      <w:r w:rsidRPr="00682EE4">
        <w:rPr>
          <w:szCs w:val="22"/>
        </w:rPr>
        <w:t xml:space="preserve">Based </w:t>
      </w:r>
      <w:r w:rsidR="001575C9" w:rsidRPr="00682EE4">
        <w:rPr>
          <w:szCs w:val="22"/>
        </w:rPr>
        <w:t xml:space="preserve">on </w:t>
      </w:r>
      <w:r w:rsidR="00CF20E2" w:rsidRPr="00682EE4">
        <w:rPr>
          <w:szCs w:val="22"/>
        </w:rPr>
        <w:t>52</w:t>
      </w:r>
      <w:r w:rsidR="001575C9" w:rsidRPr="00682EE4">
        <w:rPr>
          <w:szCs w:val="22"/>
        </w:rPr>
        <w:t xml:space="preserve"> </w:t>
      </w:r>
      <w:r w:rsidR="00CF20E2" w:rsidRPr="00682EE4">
        <w:rPr>
          <w:szCs w:val="22"/>
        </w:rPr>
        <w:t>weekly</w:t>
      </w:r>
      <w:r w:rsidR="00934C6D" w:rsidRPr="00682EE4">
        <w:rPr>
          <w:szCs w:val="22"/>
        </w:rPr>
        <w:t xml:space="preserve"> injections of Brenzys</w:t>
      </w:r>
      <w:r w:rsidR="001575C9" w:rsidRPr="00682EE4">
        <w:rPr>
          <w:szCs w:val="22"/>
        </w:rPr>
        <w:t xml:space="preserve"> 50</w:t>
      </w:r>
      <w:r w:rsidRPr="00682EE4">
        <w:rPr>
          <w:szCs w:val="22"/>
        </w:rPr>
        <w:t> </w:t>
      </w:r>
      <w:r w:rsidR="001575C9" w:rsidRPr="00682EE4">
        <w:rPr>
          <w:szCs w:val="22"/>
        </w:rPr>
        <w:t xml:space="preserve">mg, with each </w:t>
      </w:r>
      <w:r w:rsidR="00CF20E2" w:rsidRPr="00682EE4">
        <w:rPr>
          <w:szCs w:val="22"/>
        </w:rPr>
        <w:t xml:space="preserve">pack of 4 </w:t>
      </w:r>
      <w:r w:rsidR="001575C9" w:rsidRPr="00682EE4">
        <w:rPr>
          <w:szCs w:val="22"/>
        </w:rPr>
        <w:t>injection</w:t>
      </w:r>
      <w:r w:rsidR="00CF20E2" w:rsidRPr="00682EE4">
        <w:rPr>
          <w:szCs w:val="22"/>
        </w:rPr>
        <w:t>s</w:t>
      </w:r>
      <w:r w:rsidR="001575C9" w:rsidRPr="00682EE4">
        <w:rPr>
          <w:szCs w:val="22"/>
        </w:rPr>
        <w:t xml:space="preserve"> costed at a DPMQ of $</w:t>
      </w:r>
      <w:r w:rsidR="001575C9" w:rsidRPr="00A60109">
        <w:rPr>
          <w:szCs w:val="22"/>
        </w:rPr>
        <w:t>1,493.64</w:t>
      </w:r>
      <w:r w:rsidR="00871E7C" w:rsidRPr="00682EE4">
        <w:rPr>
          <w:szCs w:val="22"/>
        </w:rPr>
        <w:t xml:space="preserve"> (13 packs over 52 weeks)</w:t>
      </w:r>
      <w:r w:rsidR="001575C9" w:rsidRPr="00682EE4">
        <w:rPr>
          <w:szCs w:val="22"/>
        </w:rPr>
        <w:t xml:space="preserve">.  </w:t>
      </w:r>
      <w:r w:rsidR="00934C6D" w:rsidRPr="00682EE4">
        <w:rPr>
          <w:iCs/>
          <w:szCs w:val="22"/>
        </w:rPr>
        <w:t>The DPMQ of Brenzys and Enbrel</w:t>
      </w:r>
      <w:r w:rsidR="001575C9" w:rsidRPr="00682EE4">
        <w:rPr>
          <w:iCs/>
          <w:szCs w:val="22"/>
        </w:rPr>
        <w:t xml:space="preserve"> is expected to be identical, and thus the drug cost/patient/year is also expected to be identical. </w:t>
      </w:r>
    </w:p>
    <w:p w:rsidR="00B60939" w:rsidRPr="00682EE4" w:rsidRDefault="00B60939" w:rsidP="001002C3">
      <w:pPr>
        <w:spacing w:line="480" w:lineRule="auto"/>
        <w:rPr>
          <w:szCs w:val="22"/>
        </w:rPr>
      </w:pPr>
    </w:p>
    <w:p w:rsidR="00897A0F" w:rsidRDefault="00897A0F">
      <w:pPr>
        <w:widowControl/>
        <w:jc w:val="left"/>
        <w:rPr>
          <w:b/>
        </w:rPr>
      </w:pPr>
      <w:bookmarkStart w:id="12" w:name="_Toc451246925"/>
      <w:r>
        <w:br w:type="page"/>
      </w:r>
    </w:p>
    <w:p w:rsidR="00B60939" w:rsidRPr="00682EE4" w:rsidRDefault="00B60939" w:rsidP="007F0F85">
      <w:pPr>
        <w:pStyle w:val="Heading2"/>
      </w:pPr>
      <w:r w:rsidRPr="00682EE4">
        <w:t>Estimated PBS usage &amp; financial implications</w:t>
      </w:r>
      <w:bookmarkEnd w:id="12"/>
    </w:p>
    <w:p w:rsidR="00B60939" w:rsidRPr="00682EE4" w:rsidRDefault="00B60939" w:rsidP="00B60939">
      <w:pPr>
        <w:ind w:left="720" w:hanging="720"/>
        <w:rPr>
          <w:b/>
          <w:szCs w:val="22"/>
        </w:rPr>
      </w:pPr>
    </w:p>
    <w:p w:rsidR="0072416F" w:rsidRPr="00682EE4" w:rsidRDefault="001575C9" w:rsidP="00610F8E">
      <w:pPr>
        <w:pStyle w:val="ListParagraph"/>
        <w:widowControl/>
        <w:numPr>
          <w:ilvl w:val="1"/>
          <w:numId w:val="1"/>
        </w:numPr>
        <w:rPr>
          <w:szCs w:val="22"/>
        </w:rPr>
      </w:pPr>
      <w:r w:rsidRPr="00682EE4">
        <w:t xml:space="preserve">This submission </w:t>
      </w:r>
      <w:r w:rsidR="00DC0363" w:rsidRPr="00682EE4">
        <w:t>was not</w:t>
      </w:r>
      <w:r w:rsidR="00C25D9C" w:rsidRPr="00682EE4">
        <w:t xml:space="preserve"> considered by DUSC</w:t>
      </w:r>
      <w:r w:rsidR="00C25D9C" w:rsidRPr="00682EE4">
        <w:rPr>
          <w:color w:val="0070C0"/>
        </w:rPr>
        <w:t>.</w:t>
      </w:r>
      <w:r w:rsidRPr="00682EE4">
        <w:rPr>
          <w:color w:val="0070C0"/>
        </w:rPr>
        <w:t xml:space="preserve">  </w:t>
      </w:r>
      <w:r w:rsidRPr="00682EE4">
        <w:t xml:space="preserve">The submission used a market share approach </w:t>
      </w:r>
      <w:r w:rsidR="009E6E38" w:rsidRPr="00682EE4">
        <w:t xml:space="preserve">to estimate </w:t>
      </w:r>
      <w:r w:rsidR="00BC4950" w:rsidRPr="00682EE4">
        <w:t>the</w:t>
      </w:r>
      <w:r w:rsidR="00934C6D" w:rsidRPr="00682EE4">
        <w:t xml:space="preserve"> financial impact of listing Brenzys</w:t>
      </w:r>
      <w:r w:rsidR="00BC4950" w:rsidRPr="00682EE4">
        <w:t xml:space="preserve"> on the PBS</w:t>
      </w:r>
      <w:r w:rsidR="00C67948" w:rsidRPr="00682EE4">
        <w:t>, see Table 6</w:t>
      </w:r>
      <w:r w:rsidR="00BC4950" w:rsidRPr="00682EE4">
        <w:t xml:space="preserve">. </w:t>
      </w:r>
      <w:r w:rsidR="00C25D9C" w:rsidRPr="00682EE4">
        <w:rPr>
          <w:color w:val="0070C0"/>
        </w:rPr>
        <w:t xml:space="preserve">  </w:t>
      </w:r>
    </w:p>
    <w:p w:rsidR="00871E7C" w:rsidRPr="00682EE4" w:rsidRDefault="00871E7C" w:rsidP="00C25D9C">
      <w:pPr>
        <w:widowControl/>
        <w:rPr>
          <w:szCs w:val="22"/>
        </w:rPr>
      </w:pPr>
    </w:p>
    <w:p w:rsidR="00BC4950" w:rsidRPr="00682EE4" w:rsidRDefault="00BC4950" w:rsidP="00871E7C">
      <w:pPr>
        <w:ind w:firstLine="720"/>
        <w:rPr>
          <w:rFonts w:ascii="Arial Narrow" w:hAnsi="Arial Narrow"/>
          <w:b/>
          <w:bCs/>
          <w:sz w:val="20"/>
        </w:rPr>
      </w:pPr>
      <w:r w:rsidRPr="00682EE4">
        <w:rPr>
          <w:rFonts w:ascii="Arial Narrow" w:hAnsi="Arial Narrow"/>
          <w:b/>
          <w:bCs/>
          <w:sz w:val="20"/>
        </w:rPr>
        <w:t xml:space="preserve">Table </w:t>
      </w:r>
      <w:r w:rsidR="00C67948" w:rsidRPr="00682EE4">
        <w:rPr>
          <w:rFonts w:ascii="Arial Narrow" w:hAnsi="Arial Narrow"/>
          <w:b/>
          <w:bCs/>
          <w:sz w:val="20"/>
        </w:rPr>
        <w:t>6</w:t>
      </w:r>
      <w:r w:rsidRPr="00682EE4">
        <w:rPr>
          <w:rFonts w:ascii="Arial Narrow" w:hAnsi="Arial Narrow"/>
          <w:b/>
          <w:bCs/>
          <w:sz w:val="20"/>
        </w:rPr>
        <w:t>: Estimated extent of</w:t>
      </w:r>
      <w:r w:rsidR="00934C6D" w:rsidRPr="00682EE4">
        <w:rPr>
          <w:rFonts w:ascii="Arial Narrow" w:hAnsi="Arial Narrow"/>
          <w:b/>
          <w:bCs/>
          <w:sz w:val="20"/>
        </w:rPr>
        <w:t xml:space="preserve"> use and financial impact of Brenzys</w:t>
      </w:r>
    </w:p>
    <w:tbl>
      <w:tblPr>
        <w:tblStyle w:val="TableGrid"/>
        <w:tblW w:w="8345" w:type="dxa"/>
        <w:tblInd w:w="737" w:type="dxa"/>
        <w:tblLayout w:type="fixed"/>
        <w:tblCellMar>
          <w:left w:w="28" w:type="dxa"/>
          <w:right w:w="28" w:type="dxa"/>
        </w:tblCellMar>
        <w:tblLook w:val="04A0" w:firstRow="1" w:lastRow="0" w:firstColumn="1" w:lastColumn="0" w:noHBand="0" w:noVBand="1"/>
      </w:tblPr>
      <w:tblGrid>
        <w:gridCol w:w="2944"/>
        <w:gridCol w:w="1080"/>
        <w:gridCol w:w="1080"/>
        <w:gridCol w:w="1080"/>
        <w:gridCol w:w="1080"/>
        <w:gridCol w:w="1081"/>
      </w:tblGrid>
      <w:tr w:rsidR="00BC4950" w:rsidRPr="00682EE4" w:rsidTr="00871E7C">
        <w:tc>
          <w:tcPr>
            <w:tcW w:w="2944" w:type="dxa"/>
          </w:tcPr>
          <w:p w:rsidR="00BC4950" w:rsidRPr="00682EE4" w:rsidRDefault="00BC4950" w:rsidP="00297149">
            <w:pPr>
              <w:jc w:val="left"/>
              <w:rPr>
                <w:rFonts w:ascii="Arial Narrow" w:hAnsi="Arial Narrow" w:cstheme="minorBidi"/>
                <w:sz w:val="20"/>
              </w:rPr>
            </w:pPr>
          </w:p>
        </w:tc>
        <w:tc>
          <w:tcPr>
            <w:tcW w:w="1080" w:type="dxa"/>
            <w:vAlign w:val="center"/>
          </w:tcPr>
          <w:p w:rsidR="00BC4950" w:rsidRPr="00682EE4" w:rsidRDefault="00BC4950" w:rsidP="00871E7C">
            <w:pPr>
              <w:jc w:val="center"/>
              <w:rPr>
                <w:rFonts w:ascii="Arial Narrow" w:hAnsi="Arial Narrow" w:cstheme="minorBidi"/>
                <w:b/>
                <w:bCs/>
                <w:sz w:val="20"/>
              </w:rPr>
            </w:pPr>
            <w:r w:rsidRPr="00682EE4">
              <w:rPr>
                <w:rFonts w:ascii="Arial Narrow" w:hAnsi="Arial Narrow" w:cstheme="minorBidi"/>
                <w:b/>
                <w:bCs/>
                <w:sz w:val="20"/>
              </w:rPr>
              <w:t>2017</w:t>
            </w:r>
          </w:p>
        </w:tc>
        <w:tc>
          <w:tcPr>
            <w:tcW w:w="1080" w:type="dxa"/>
            <w:vAlign w:val="center"/>
          </w:tcPr>
          <w:p w:rsidR="00BC4950" w:rsidRPr="00682EE4" w:rsidRDefault="00BC4950" w:rsidP="00871E7C">
            <w:pPr>
              <w:jc w:val="center"/>
              <w:rPr>
                <w:rFonts w:ascii="Arial Narrow" w:hAnsi="Arial Narrow" w:cstheme="minorBidi"/>
                <w:b/>
                <w:bCs/>
                <w:sz w:val="20"/>
              </w:rPr>
            </w:pPr>
            <w:r w:rsidRPr="00682EE4">
              <w:rPr>
                <w:rFonts w:ascii="Arial Narrow" w:hAnsi="Arial Narrow" w:cstheme="minorBidi"/>
                <w:b/>
                <w:bCs/>
                <w:sz w:val="20"/>
              </w:rPr>
              <w:t>2018</w:t>
            </w:r>
          </w:p>
        </w:tc>
        <w:tc>
          <w:tcPr>
            <w:tcW w:w="1080" w:type="dxa"/>
            <w:vAlign w:val="center"/>
          </w:tcPr>
          <w:p w:rsidR="00BC4950" w:rsidRPr="00682EE4" w:rsidRDefault="00BC4950" w:rsidP="00871E7C">
            <w:pPr>
              <w:jc w:val="center"/>
              <w:rPr>
                <w:rFonts w:ascii="Arial Narrow" w:hAnsi="Arial Narrow" w:cstheme="minorBidi"/>
                <w:b/>
                <w:bCs/>
                <w:sz w:val="20"/>
              </w:rPr>
            </w:pPr>
            <w:r w:rsidRPr="00682EE4">
              <w:rPr>
                <w:rFonts w:ascii="Arial Narrow" w:hAnsi="Arial Narrow" w:cstheme="minorBidi"/>
                <w:b/>
                <w:bCs/>
                <w:sz w:val="20"/>
              </w:rPr>
              <w:t>2019</w:t>
            </w:r>
          </w:p>
        </w:tc>
        <w:tc>
          <w:tcPr>
            <w:tcW w:w="1080" w:type="dxa"/>
            <w:vAlign w:val="center"/>
          </w:tcPr>
          <w:p w:rsidR="00BC4950" w:rsidRPr="00682EE4" w:rsidRDefault="00BC4950" w:rsidP="00871E7C">
            <w:pPr>
              <w:jc w:val="center"/>
              <w:rPr>
                <w:rFonts w:ascii="Arial Narrow" w:hAnsi="Arial Narrow" w:cstheme="minorBidi"/>
                <w:b/>
                <w:bCs/>
                <w:sz w:val="20"/>
              </w:rPr>
            </w:pPr>
            <w:r w:rsidRPr="00682EE4">
              <w:rPr>
                <w:rFonts w:ascii="Arial Narrow" w:hAnsi="Arial Narrow" w:cstheme="minorBidi"/>
                <w:b/>
                <w:bCs/>
                <w:sz w:val="20"/>
              </w:rPr>
              <w:t>2020</w:t>
            </w:r>
          </w:p>
        </w:tc>
        <w:tc>
          <w:tcPr>
            <w:tcW w:w="1081" w:type="dxa"/>
            <w:vAlign w:val="center"/>
          </w:tcPr>
          <w:p w:rsidR="00BC4950" w:rsidRPr="00682EE4" w:rsidRDefault="00BC4950" w:rsidP="00871E7C">
            <w:pPr>
              <w:jc w:val="center"/>
              <w:rPr>
                <w:rFonts w:ascii="Arial Narrow" w:hAnsi="Arial Narrow" w:cstheme="minorBidi"/>
                <w:b/>
                <w:bCs/>
                <w:sz w:val="20"/>
              </w:rPr>
            </w:pPr>
            <w:r w:rsidRPr="00682EE4">
              <w:rPr>
                <w:rFonts w:ascii="Arial Narrow" w:hAnsi="Arial Narrow" w:cstheme="minorBidi"/>
                <w:b/>
                <w:bCs/>
                <w:sz w:val="20"/>
              </w:rPr>
              <w:t>2021</w:t>
            </w:r>
          </w:p>
        </w:tc>
      </w:tr>
      <w:tr w:rsidR="00BC4950" w:rsidRPr="00682EE4" w:rsidTr="00871E7C">
        <w:trPr>
          <w:trHeight w:val="77"/>
        </w:trPr>
        <w:tc>
          <w:tcPr>
            <w:tcW w:w="2944" w:type="dxa"/>
          </w:tcPr>
          <w:p w:rsidR="00BC4950" w:rsidRPr="00682EE4" w:rsidRDefault="00BC4950" w:rsidP="00297149">
            <w:pPr>
              <w:jc w:val="left"/>
              <w:rPr>
                <w:rFonts w:ascii="Arial Narrow" w:hAnsi="Arial Narrow" w:cstheme="minorBidi"/>
                <w:sz w:val="20"/>
              </w:rPr>
            </w:pPr>
            <w:r w:rsidRPr="00682EE4">
              <w:rPr>
                <w:rFonts w:ascii="Arial Narrow" w:hAnsi="Arial Narrow" w:cstheme="minorBidi"/>
                <w:sz w:val="20"/>
              </w:rPr>
              <w:t>Estimated etanercept 50</w:t>
            </w:r>
            <w:r w:rsidR="00823434" w:rsidRPr="00682EE4">
              <w:rPr>
                <w:rFonts w:ascii="Arial Narrow" w:hAnsi="Arial Narrow" w:cstheme="minorBidi"/>
                <w:sz w:val="20"/>
              </w:rPr>
              <w:t> </w:t>
            </w:r>
            <w:r w:rsidRPr="00682EE4">
              <w:rPr>
                <w:rFonts w:ascii="Arial Narrow" w:hAnsi="Arial Narrow" w:cstheme="minorBidi"/>
                <w:sz w:val="20"/>
              </w:rPr>
              <w:t>mg packs</w:t>
            </w:r>
          </w:p>
        </w:tc>
        <w:tc>
          <w:tcPr>
            <w:tcW w:w="1080" w:type="dxa"/>
            <w:vAlign w:val="center"/>
          </w:tcPr>
          <w:p w:rsidR="00BC4950" w:rsidRPr="00682EE4" w:rsidRDefault="00BC4950" w:rsidP="00871E7C">
            <w:pPr>
              <w:widowControl/>
              <w:jc w:val="center"/>
              <w:rPr>
                <w:rFonts w:ascii="Arial Narrow" w:hAnsi="Arial Narrow" w:cstheme="minorBidi"/>
                <w:snapToGrid/>
                <w:color w:val="000000"/>
                <w:sz w:val="20"/>
                <w:lang w:eastAsia="zh-CN"/>
              </w:rPr>
            </w:pPr>
            <w:r w:rsidRPr="00246652">
              <w:rPr>
                <w:rFonts w:ascii="Arial Narrow" w:hAnsi="Arial Narrow" w:cstheme="minorBidi"/>
                <w:snapToGrid/>
                <w:color w:val="000000"/>
                <w:sz w:val="20"/>
                <w:lang w:eastAsia="zh-CN"/>
              </w:rPr>
              <w:t>115,759</w:t>
            </w:r>
          </w:p>
        </w:tc>
        <w:tc>
          <w:tcPr>
            <w:tcW w:w="1080" w:type="dxa"/>
            <w:vAlign w:val="center"/>
          </w:tcPr>
          <w:p w:rsidR="00BC4950" w:rsidRPr="00682EE4" w:rsidRDefault="00BC4950" w:rsidP="00871E7C">
            <w:pPr>
              <w:jc w:val="center"/>
              <w:rPr>
                <w:rFonts w:ascii="Arial Narrow" w:hAnsi="Arial Narrow" w:cstheme="minorBidi"/>
                <w:color w:val="000000"/>
                <w:sz w:val="20"/>
              </w:rPr>
            </w:pPr>
            <w:r w:rsidRPr="00246652">
              <w:rPr>
                <w:rFonts w:ascii="Arial Narrow" w:hAnsi="Arial Narrow" w:cstheme="minorBidi"/>
                <w:color w:val="000000"/>
                <w:sz w:val="20"/>
              </w:rPr>
              <w:t>124,065</w:t>
            </w:r>
          </w:p>
        </w:tc>
        <w:tc>
          <w:tcPr>
            <w:tcW w:w="1080" w:type="dxa"/>
            <w:vAlign w:val="center"/>
          </w:tcPr>
          <w:p w:rsidR="00BC4950" w:rsidRPr="00682EE4" w:rsidRDefault="00BC4950" w:rsidP="00871E7C">
            <w:pPr>
              <w:jc w:val="center"/>
              <w:rPr>
                <w:rFonts w:ascii="Arial Narrow" w:hAnsi="Arial Narrow" w:cstheme="minorBidi"/>
                <w:color w:val="000000"/>
                <w:sz w:val="20"/>
              </w:rPr>
            </w:pPr>
            <w:r w:rsidRPr="00246652">
              <w:rPr>
                <w:rFonts w:ascii="Arial Narrow" w:hAnsi="Arial Narrow" w:cstheme="minorBidi"/>
                <w:color w:val="000000"/>
                <w:sz w:val="20"/>
              </w:rPr>
              <w:t>132,371</w:t>
            </w:r>
          </w:p>
        </w:tc>
        <w:tc>
          <w:tcPr>
            <w:tcW w:w="1080" w:type="dxa"/>
            <w:vAlign w:val="center"/>
          </w:tcPr>
          <w:p w:rsidR="00BC4950" w:rsidRPr="00682EE4" w:rsidRDefault="00BC4950" w:rsidP="00871E7C">
            <w:pPr>
              <w:jc w:val="center"/>
              <w:rPr>
                <w:rFonts w:ascii="Arial Narrow" w:hAnsi="Arial Narrow" w:cstheme="minorBidi"/>
                <w:color w:val="000000"/>
                <w:sz w:val="20"/>
              </w:rPr>
            </w:pPr>
            <w:r w:rsidRPr="00246652">
              <w:rPr>
                <w:rFonts w:ascii="Arial Narrow" w:hAnsi="Arial Narrow" w:cstheme="minorBidi"/>
                <w:color w:val="000000"/>
                <w:sz w:val="20"/>
              </w:rPr>
              <w:t>140,677</w:t>
            </w:r>
          </w:p>
        </w:tc>
        <w:tc>
          <w:tcPr>
            <w:tcW w:w="1081" w:type="dxa"/>
            <w:vAlign w:val="center"/>
          </w:tcPr>
          <w:p w:rsidR="00BC4950" w:rsidRPr="00682EE4" w:rsidRDefault="00BC4950" w:rsidP="00871E7C">
            <w:pPr>
              <w:jc w:val="center"/>
              <w:rPr>
                <w:rFonts w:ascii="Arial Narrow" w:hAnsi="Arial Narrow" w:cstheme="minorBidi"/>
                <w:color w:val="000000"/>
                <w:sz w:val="20"/>
              </w:rPr>
            </w:pPr>
            <w:r w:rsidRPr="00246652">
              <w:rPr>
                <w:rFonts w:ascii="Arial Narrow" w:hAnsi="Arial Narrow" w:cstheme="minorBidi"/>
                <w:color w:val="000000"/>
                <w:sz w:val="20"/>
              </w:rPr>
              <w:t>148,983</w:t>
            </w:r>
          </w:p>
        </w:tc>
      </w:tr>
      <w:tr w:rsidR="00BC4950" w:rsidRPr="00682EE4" w:rsidTr="00871E7C">
        <w:tc>
          <w:tcPr>
            <w:tcW w:w="2944" w:type="dxa"/>
          </w:tcPr>
          <w:p w:rsidR="00BC4950" w:rsidRPr="00682EE4" w:rsidRDefault="00934C6D" w:rsidP="00297149">
            <w:pPr>
              <w:jc w:val="left"/>
              <w:rPr>
                <w:rFonts w:ascii="Arial Narrow" w:hAnsi="Arial Narrow" w:cstheme="minorBidi"/>
                <w:sz w:val="20"/>
              </w:rPr>
            </w:pPr>
            <w:r w:rsidRPr="00682EE4">
              <w:rPr>
                <w:rFonts w:ascii="Arial Narrow" w:hAnsi="Arial Narrow" w:cstheme="minorBidi"/>
                <w:sz w:val="20"/>
              </w:rPr>
              <w:t>Uptake/substitution rate of Brenzys</w:t>
            </w:r>
          </w:p>
        </w:tc>
        <w:tc>
          <w:tcPr>
            <w:tcW w:w="1080" w:type="dxa"/>
            <w:vAlign w:val="center"/>
          </w:tcPr>
          <w:p w:rsidR="00BC4950" w:rsidRPr="00682EE4" w:rsidRDefault="00BC4950" w:rsidP="00871E7C">
            <w:pPr>
              <w:jc w:val="center"/>
              <w:rPr>
                <w:rFonts w:ascii="Arial Narrow" w:hAnsi="Arial Narrow" w:cstheme="minorBidi"/>
                <w:sz w:val="20"/>
              </w:rPr>
            </w:pPr>
            <w:r w:rsidRPr="00246652">
              <w:rPr>
                <w:rFonts w:ascii="Arial Narrow" w:hAnsi="Arial Narrow" w:cstheme="minorBidi"/>
                <w:sz w:val="20"/>
              </w:rPr>
              <w:t>12</w:t>
            </w:r>
            <w:r w:rsidRPr="00682EE4">
              <w:rPr>
                <w:rFonts w:ascii="Arial Narrow" w:hAnsi="Arial Narrow" w:cstheme="minorBidi"/>
                <w:sz w:val="20"/>
              </w:rPr>
              <w:t>%</w:t>
            </w:r>
          </w:p>
        </w:tc>
        <w:tc>
          <w:tcPr>
            <w:tcW w:w="1080" w:type="dxa"/>
            <w:vAlign w:val="center"/>
          </w:tcPr>
          <w:p w:rsidR="00BC4950" w:rsidRPr="00682EE4" w:rsidRDefault="00BC4950" w:rsidP="00871E7C">
            <w:pPr>
              <w:jc w:val="center"/>
              <w:rPr>
                <w:rFonts w:ascii="Arial Narrow" w:hAnsi="Arial Narrow" w:cstheme="minorBidi"/>
                <w:sz w:val="20"/>
              </w:rPr>
            </w:pPr>
            <w:r w:rsidRPr="00246652">
              <w:rPr>
                <w:rFonts w:ascii="Arial Narrow" w:hAnsi="Arial Narrow" w:cstheme="minorBidi"/>
                <w:sz w:val="20"/>
              </w:rPr>
              <w:t>24</w:t>
            </w:r>
            <w:r w:rsidRPr="00682EE4">
              <w:rPr>
                <w:rFonts w:ascii="Arial Narrow" w:hAnsi="Arial Narrow" w:cstheme="minorBidi"/>
                <w:sz w:val="20"/>
              </w:rPr>
              <w:t>%</w:t>
            </w:r>
          </w:p>
        </w:tc>
        <w:tc>
          <w:tcPr>
            <w:tcW w:w="1080" w:type="dxa"/>
            <w:vAlign w:val="center"/>
          </w:tcPr>
          <w:p w:rsidR="00BC4950" w:rsidRPr="00682EE4" w:rsidRDefault="00BC4950" w:rsidP="00871E7C">
            <w:pPr>
              <w:jc w:val="center"/>
              <w:rPr>
                <w:rFonts w:ascii="Arial Narrow" w:hAnsi="Arial Narrow" w:cstheme="minorBidi"/>
                <w:sz w:val="20"/>
              </w:rPr>
            </w:pPr>
            <w:r w:rsidRPr="00246652">
              <w:rPr>
                <w:rFonts w:ascii="Arial Narrow" w:hAnsi="Arial Narrow" w:cstheme="minorBidi"/>
                <w:sz w:val="20"/>
              </w:rPr>
              <w:t>26</w:t>
            </w:r>
            <w:r w:rsidRPr="00682EE4">
              <w:rPr>
                <w:rFonts w:ascii="Arial Narrow" w:hAnsi="Arial Narrow" w:cstheme="minorBidi"/>
                <w:sz w:val="20"/>
              </w:rPr>
              <w:t>%</w:t>
            </w:r>
          </w:p>
        </w:tc>
        <w:tc>
          <w:tcPr>
            <w:tcW w:w="1080" w:type="dxa"/>
            <w:vAlign w:val="center"/>
          </w:tcPr>
          <w:p w:rsidR="00BC4950" w:rsidRPr="00682EE4" w:rsidRDefault="00BC4950" w:rsidP="00871E7C">
            <w:pPr>
              <w:jc w:val="center"/>
              <w:rPr>
                <w:rFonts w:ascii="Arial Narrow" w:hAnsi="Arial Narrow" w:cstheme="minorBidi"/>
                <w:sz w:val="20"/>
              </w:rPr>
            </w:pPr>
            <w:r w:rsidRPr="00246652">
              <w:rPr>
                <w:rFonts w:ascii="Arial Narrow" w:hAnsi="Arial Narrow" w:cstheme="minorBidi"/>
                <w:sz w:val="20"/>
              </w:rPr>
              <w:t>24</w:t>
            </w:r>
            <w:r w:rsidRPr="00682EE4">
              <w:rPr>
                <w:rFonts w:ascii="Arial Narrow" w:hAnsi="Arial Narrow" w:cstheme="minorBidi"/>
                <w:sz w:val="20"/>
              </w:rPr>
              <w:t>%</w:t>
            </w:r>
          </w:p>
        </w:tc>
        <w:tc>
          <w:tcPr>
            <w:tcW w:w="1081" w:type="dxa"/>
            <w:vAlign w:val="center"/>
          </w:tcPr>
          <w:p w:rsidR="00BC4950" w:rsidRPr="00682EE4" w:rsidRDefault="00BC4950" w:rsidP="00871E7C">
            <w:pPr>
              <w:jc w:val="center"/>
              <w:rPr>
                <w:rFonts w:ascii="Arial Narrow" w:hAnsi="Arial Narrow" w:cstheme="minorBidi"/>
                <w:sz w:val="20"/>
              </w:rPr>
            </w:pPr>
            <w:r w:rsidRPr="00246652">
              <w:rPr>
                <w:rFonts w:ascii="Arial Narrow" w:hAnsi="Arial Narrow" w:cstheme="minorBidi"/>
                <w:sz w:val="20"/>
              </w:rPr>
              <w:t>22</w:t>
            </w:r>
            <w:r w:rsidRPr="00682EE4">
              <w:rPr>
                <w:rFonts w:ascii="Arial Narrow" w:hAnsi="Arial Narrow" w:cstheme="minorBidi"/>
                <w:sz w:val="20"/>
              </w:rPr>
              <w:t>%</w:t>
            </w:r>
          </w:p>
        </w:tc>
      </w:tr>
      <w:tr w:rsidR="00BC4950" w:rsidRPr="00682EE4" w:rsidTr="00871E7C">
        <w:tc>
          <w:tcPr>
            <w:tcW w:w="2944" w:type="dxa"/>
          </w:tcPr>
          <w:p w:rsidR="00BC4950" w:rsidRPr="00682EE4" w:rsidRDefault="00BC4950" w:rsidP="00934C6D">
            <w:pPr>
              <w:jc w:val="left"/>
              <w:rPr>
                <w:rFonts w:ascii="Arial Narrow" w:hAnsi="Arial Narrow" w:cstheme="minorBidi"/>
                <w:sz w:val="20"/>
              </w:rPr>
            </w:pPr>
            <w:r w:rsidRPr="00682EE4">
              <w:rPr>
                <w:rFonts w:ascii="Arial Narrow" w:hAnsi="Arial Narrow" w:cstheme="minorBidi"/>
                <w:sz w:val="20"/>
              </w:rPr>
              <w:t xml:space="preserve">Estimated </w:t>
            </w:r>
            <w:r w:rsidR="00934C6D" w:rsidRPr="00682EE4">
              <w:rPr>
                <w:rFonts w:ascii="Arial Narrow" w:hAnsi="Arial Narrow" w:cstheme="minorBidi"/>
                <w:sz w:val="20"/>
              </w:rPr>
              <w:t>Enbrel</w:t>
            </w:r>
            <w:r w:rsidRPr="00682EE4">
              <w:rPr>
                <w:rFonts w:ascii="Arial Narrow" w:hAnsi="Arial Narrow" w:cstheme="minorBidi"/>
                <w:sz w:val="20"/>
              </w:rPr>
              <w:t xml:space="preserve"> 50</w:t>
            </w:r>
            <w:r w:rsidR="00823434" w:rsidRPr="00682EE4">
              <w:rPr>
                <w:rFonts w:ascii="Arial Narrow" w:hAnsi="Arial Narrow" w:cstheme="minorBidi"/>
                <w:sz w:val="20"/>
              </w:rPr>
              <w:t> </w:t>
            </w:r>
            <w:r w:rsidR="00934C6D" w:rsidRPr="00682EE4">
              <w:rPr>
                <w:rFonts w:ascii="Arial Narrow" w:hAnsi="Arial Narrow" w:cstheme="minorBidi"/>
                <w:sz w:val="20"/>
              </w:rPr>
              <w:t>mg packs after Brenzys</w:t>
            </w:r>
            <w:r w:rsidRPr="00682EE4">
              <w:rPr>
                <w:rFonts w:ascii="Arial Narrow" w:hAnsi="Arial Narrow" w:cstheme="minorBidi"/>
                <w:sz w:val="20"/>
              </w:rPr>
              <w:t xml:space="preserve"> listing</w:t>
            </w:r>
          </w:p>
        </w:tc>
        <w:tc>
          <w:tcPr>
            <w:tcW w:w="1080" w:type="dxa"/>
            <w:vAlign w:val="center"/>
          </w:tcPr>
          <w:p w:rsidR="00BC4950" w:rsidRPr="00682EE4" w:rsidRDefault="00BC4950" w:rsidP="00871E7C">
            <w:pPr>
              <w:jc w:val="center"/>
              <w:rPr>
                <w:rFonts w:ascii="Arial Narrow" w:hAnsi="Arial Narrow"/>
                <w:sz w:val="20"/>
              </w:rPr>
            </w:pPr>
            <w:r w:rsidRPr="00246652">
              <w:rPr>
                <w:rFonts w:ascii="Arial Narrow" w:hAnsi="Arial Narrow"/>
                <w:sz w:val="20"/>
              </w:rPr>
              <w:t>101,868</w:t>
            </w:r>
          </w:p>
        </w:tc>
        <w:tc>
          <w:tcPr>
            <w:tcW w:w="1080" w:type="dxa"/>
            <w:vAlign w:val="center"/>
          </w:tcPr>
          <w:p w:rsidR="00BC4950" w:rsidRPr="00682EE4" w:rsidRDefault="00BC4950" w:rsidP="00871E7C">
            <w:pPr>
              <w:jc w:val="center"/>
              <w:rPr>
                <w:rFonts w:ascii="Arial Narrow" w:hAnsi="Arial Narrow"/>
                <w:sz w:val="20"/>
              </w:rPr>
            </w:pPr>
            <w:r w:rsidRPr="00246652">
              <w:rPr>
                <w:rFonts w:ascii="Arial Narrow" w:hAnsi="Arial Narrow"/>
                <w:sz w:val="20"/>
              </w:rPr>
              <w:t>94,289</w:t>
            </w:r>
          </w:p>
        </w:tc>
        <w:tc>
          <w:tcPr>
            <w:tcW w:w="1080" w:type="dxa"/>
            <w:vAlign w:val="center"/>
          </w:tcPr>
          <w:p w:rsidR="00BC4950" w:rsidRPr="00682EE4" w:rsidRDefault="00BC4950" w:rsidP="00871E7C">
            <w:pPr>
              <w:jc w:val="center"/>
              <w:rPr>
                <w:rFonts w:ascii="Arial Narrow" w:hAnsi="Arial Narrow"/>
                <w:sz w:val="20"/>
              </w:rPr>
            </w:pPr>
            <w:r w:rsidRPr="00246652">
              <w:rPr>
                <w:rFonts w:ascii="Arial Narrow" w:hAnsi="Arial Narrow"/>
                <w:sz w:val="20"/>
              </w:rPr>
              <w:t>97,955</w:t>
            </w:r>
          </w:p>
        </w:tc>
        <w:tc>
          <w:tcPr>
            <w:tcW w:w="1080" w:type="dxa"/>
            <w:vAlign w:val="center"/>
          </w:tcPr>
          <w:p w:rsidR="00BC4950" w:rsidRPr="00682EE4" w:rsidRDefault="00BC4950" w:rsidP="00871E7C">
            <w:pPr>
              <w:jc w:val="center"/>
              <w:rPr>
                <w:rFonts w:ascii="Arial Narrow" w:hAnsi="Arial Narrow"/>
                <w:sz w:val="20"/>
              </w:rPr>
            </w:pPr>
            <w:r w:rsidRPr="00246652">
              <w:rPr>
                <w:rFonts w:ascii="Arial Narrow" w:hAnsi="Arial Narrow"/>
                <w:sz w:val="20"/>
              </w:rPr>
              <w:t>106,915</w:t>
            </w:r>
          </w:p>
        </w:tc>
        <w:tc>
          <w:tcPr>
            <w:tcW w:w="1081" w:type="dxa"/>
            <w:vAlign w:val="center"/>
          </w:tcPr>
          <w:p w:rsidR="00BC4950" w:rsidRPr="00682EE4" w:rsidRDefault="00BC4950" w:rsidP="00871E7C">
            <w:pPr>
              <w:jc w:val="center"/>
              <w:rPr>
                <w:rFonts w:ascii="Arial Narrow" w:hAnsi="Arial Narrow"/>
                <w:sz w:val="20"/>
              </w:rPr>
            </w:pPr>
            <w:r w:rsidRPr="00246652">
              <w:rPr>
                <w:rFonts w:ascii="Arial Narrow" w:hAnsi="Arial Narrow"/>
                <w:sz w:val="20"/>
              </w:rPr>
              <w:t>116,207</w:t>
            </w:r>
          </w:p>
        </w:tc>
      </w:tr>
      <w:tr w:rsidR="00BC4950" w:rsidRPr="00682EE4" w:rsidTr="00871E7C">
        <w:tc>
          <w:tcPr>
            <w:tcW w:w="2944" w:type="dxa"/>
          </w:tcPr>
          <w:p w:rsidR="00BC4950" w:rsidRPr="00682EE4" w:rsidRDefault="00934C6D" w:rsidP="00297149">
            <w:pPr>
              <w:jc w:val="left"/>
              <w:rPr>
                <w:rFonts w:ascii="Arial Narrow" w:hAnsi="Arial Narrow" w:cstheme="minorBidi"/>
                <w:b/>
                <w:bCs/>
                <w:sz w:val="20"/>
              </w:rPr>
            </w:pPr>
            <w:r w:rsidRPr="00682EE4">
              <w:rPr>
                <w:rFonts w:ascii="Arial Narrow" w:hAnsi="Arial Narrow" w:cstheme="minorBidi"/>
                <w:b/>
                <w:bCs/>
                <w:sz w:val="20"/>
              </w:rPr>
              <w:t>Estimated Brenzys</w:t>
            </w:r>
            <w:r w:rsidR="00BC4950" w:rsidRPr="00682EE4">
              <w:rPr>
                <w:rFonts w:ascii="Arial Narrow" w:hAnsi="Arial Narrow" w:cstheme="minorBidi"/>
                <w:b/>
                <w:bCs/>
                <w:sz w:val="20"/>
              </w:rPr>
              <w:t xml:space="preserve"> packs</w:t>
            </w:r>
          </w:p>
        </w:tc>
        <w:tc>
          <w:tcPr>
            <w:tcW w:w="1080" w:type="dxa"/>
            <w:vAlign w:val="center"/>
          </w:tcPr>
          <w:p w:rsidR="00BC4950" w:rsidRPr="00682EE4" w:rsidRDefault="00BC4950" w:rsidP="00871E7C">
            <w:pPr>
              <w:widowControl/>
              <w:jc w:val="center"/>
              <w:rPr>
                <w:rFonts w:ascii="Arial Narrow" w:hAnsi="Arial Narrow" w:cstheme="minorBidi"/>
                <w:b/>
                <w:bCs/>
                <w:snapToGrid/>
                <w:color w:val="000000"/>
                <w:sz w:val="20"/>
                <w:lang w:eastAsia="zh-CN"/>
              </w:rPr>
            </w:pPr>
            <w:r w:rsidRPr="00246652">
              <w:rPr>
                <w:rFonts w:ascii="Arial Narrow" w:hAnsi="Arial Narrow" w:cstheme="minorBidi"/>
                <w:b/>
                <w:bCs/>
                <w:snapToGrid/>
                <w:color w:val="000000"/>
                <w:sz w:val="20"/>
                <w:lang w:eastAsia="zh-CN"/>
              </w:rPr>
              <w:t>13,891</w:t>
            </w:r>
          </w:p>
        </w:tc>
        <w:tc>
          <w:tcPr>
            <w:tcW w:w="1080" w:type="dxa"/>
            <w:vAlign w:val="center"/>
          </w:tcPr>
          <w:p w:rsidR="00BC4950" w:rsidRPr="00682EE4" w:rsidRDefault="00BC4950" w:rsidP="00871E7C">
            <w:pPr>
              <w:jc w:val="center"/>
              <w:rPr>
                <w:rFonts w:ascii="Arial Narrow" w:hAnsi="Arial Narrow" w:cstheme="minorBidi"/>
                <w:b/>
                <w:bCs/>
                <w:color w:val="000000"/>
                <w:sz w:val="20"/>
              </w:rPr>
            </w:pPr>
            <w:r w:rsidRPr="00246652">
              <w:rPr>
                <w:rFonts w:ascii="Arial Narrow" w:hAnsi="Arial Narrow" w:cstheme="minorBidi"/>
                <w:b/>
                <w:bCs/>
                <w:color w:val="000000"/>
                <w:sz w:val="20"/>
              </w:rPr>
              <w:t>29,776</w:t>
            </w:r>
          </w:p>
        </w:tc>
        <w:tc>
          <w:tcPr>
            <w:tcW w:w="1080" w:type="dxa"/>
            <w:vAlign w:val="center"/>
          </w:tcPr>
          <w:p w:rsidR="00BC4950" w:rsidRPr="00682EE4" w:rsidRDefault="00BC4950" w:rsidP="00871E7C">
            <w:pPr>
              <w:jc w:val="center"/>
              <w:rPr>
                <w:rFonts w:ascii="Arial Narrow" w:hAnsi="Arial Narrow" w:cstheme="minorBidi"/>
                <w:b/>
                <w:bCs/>
                <w:color w:val="000000"/>
                <w:sz w:val="20"/>
              </w:rPr>
            </w:pPr>
            <w:r w:rsidRPr="00246652">
              <w:rPr>
                <w:rFonts w:ascii="Arial Narrow" w:hAnsi="Arial Narrow" w:cstheme="minorBidi"/>
                <w:b/>
                <w:bCs/>
                <w:color w:val="000000"/>
                <w:sz w:val="20"/>
              </w:rPr>
              <w:t>34,416</w:t>
            </w:r>
          </w:p>
        </w:tc>
        <w:tc>
          <w:tcPr>
            <w:tcW w:w="1080" w:type="dxa"/>
            <w:vAlign w:val="center"/>
          </w:tcPr>
          <w:p w:rsidR="00BC4950" w:rsidRPr="00682EE4" w:rsidRDefault="00BC4950" w:rsidP="00871E7C">
            <w:pPr>
              <w:jc w:val="center"/>
              <w:rPr>
                <w:rFonts w:ascii="Arial Narrow" w:hAnsi="Arial Narrow" w:cstheme="minorBidi"/>
                <w:b/>
                <w:bCs/>
                <w:color w:val="000000"/>
                <w:sz w:val="20"/>
              </w:rPr>
            </w:pPr>
            <w:r w:rsidRPr="00246652">
              <w:rPr>
                <w:rFonts w:ascii="Arial Narrow" w:hAnsi="Arial Narrow" w:cstheme="minorBidi"/>
                <w:b/>
                <w:bCs/>
                <w:color w:val="000000"/>
                <w:sz w:val="20"/>
              </w:rPr>
              <w:t>33,762</w:t>
            </w:r>
          </w:p>
        </w:tc>
        <w:tc>
          <w:tcPr>
            <w:tcW w:w="1081" w:type="dxa"/>
            <w:vAlign w:val="center"/>
          </w:tcPr>
          <w:p w:rsidR="00BC4950" w:rsidRPr="00682EE4" w:rsidRDefault="00BC4950" w:rsidP="00871E7C">
            <w:pPr>
              <w:jc w:val="center"/>
              <w:rPr>
                <w:rFonts w:ascii="Arial Narrow" w:hAnsi="Arial Narrow" w:cstheme="minorBidi"/>
                <w:b/>
                <w:bCs/>
                <w:color w:val="000000"/>
                <w:sz w:val="20"/>
              </w:rPr>
            </w:pPr>
            <w:r w:rsidRPr="00246652">
              <w:rPr>
                <w:rFonts w:ascii="Arial Narrow" w:hAnsi="Arial Narrow" w:cstheme="minorBidi"/>
                <w:b/>
                <w:bCs/>
                <w:color w:val="000000"/>
                <w:sz w:val="20"/>
              </w:rPr>
              <w:t>32,776</w:t>
            </w:r>
          </w:p>
        </w:tc>
      </w:tr>
      <w:tr w:rsidR="00BC4950" w:rsidRPr="00682EE4" w:rsidTr="00871E7C">
        <w:tc>
          <w:tcPr>
            <w:tcW w:w="2944" w:type="dxa"/>
          </w:tcPr>
          <w:p w:rsidR="00BC4950" w:rsidRPr="00682EE4" w:rsidRDefault="00934C6D" w:rsidP="00297149">
            <w:pPr>
              <w:jc w:val="left"/>
              <w:rPr>
                <w:rFonts w:ascii="Arial Narrow" w:hAnsi="Arial Narrow" w:cstheme="minorBidi"/>
                <w:sz w:val="20"/>
              </w:rPr>
            </w:pPr>
            <w:r w:rsidRPr="00682EE4">
              <w:rPr>
                <w:rFonts w:ascii="Arial Narrow" w:hAnsi="Arial Narrow" w:cstheme="minorBidi"/>
                <w:sz w:val="20"/>
              </w:rPr>
              <w:t>Total cost of Brenzys</w:t>
            </w:r>
            <w:r w:rsidR="00BC4950" w:rsidRPr="00682EE4">
              <w:rPr>
                <w:rFonts w:ascii="Arial Narrow" w:hAnsi="Arial Narrow" w:cstheme="minorBidi"/>
                <w:sz w:val="20"/>
              </w:rPr>
              <w:t xml:space="preserve"> in submission</w:t>
            </w:r>
            <w:r w:rsidR="00BC4950" w:rsidRPr="00682EE4">
              <w:rPr>
                <w:rFonts w:ascii="Arial Narrow" w:hAnsi="Arial Narrow" w:cstheme="minorBidi"/>
                <w:sz w:val="20"/>
                <w:vertAlign w:val="superscript"/>
              </w:rPr>
              <w:t>1</w:t>
            </w:r>
            <w:r w:rsidR="00BC4950" w:rsidRPr="00682EE4">
              <w:rPr>
                <w:rFonts w:ascii="Arial Narrow" w:hAnsi="Arial Narrow" w:cstheme="minorBidi"/>
                <w:sz w:val="20"/>
              </w:rPr>
              <w:t xml:space="preserve"> </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20,448,385</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43,832,059</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50,662,417</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49,699,690</w:t>
            </w:r>
          </w:p>
        </w:tc>
        <w:tc>
          <w:tcPr>
            <w:tcW w:w="1081"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48,248,239</w:t>
            </w:r>
          </w:p>
        </w:tc>
      </w:tr>
      <w:tr w:rsidR="00BC4950" w:rsidRPr="00682EE4" w:rsidTr="00871E7C">
        <w:tc>
          <w:tcPr>
            <w:tcW w:w="2944" w:type="dxa"/>
          </w:tcPr>
          <w:p w:rsidR="00BC4950" w:rsidRPr="00682EE4" w:rsidRDefault="00BC4950" w:rsidP="00297149">
            <w:pPr>
              <w:jc w:val="left"/>
              <w:rPr>
                <w:rFonts w:ascii="Arial Narrow" w:hAnsi="Arial Narrow" w:cstheme="minorBidi"/>
                <w:sz w:val="20"/>
                <w:vertAlign w:val="superscript"/>
              </w:rPr>
            </w:pPr>
            <w:r w:rsidRPr="00682EE4">
              <w:rPr>
                <w:rFonts w:ascii="Arial Narrow" w:hAnsi="Arial Narrow" w:cstheme="minorBidi"/>
                <w:sz w:val="20"/>
              </w:rPr>
              <w:t>Total co-payment</w:t>
            </w:r>
            <w:r w:rsidRPr="00682EE4">
              <w:rPr>
                <w:rFonts w:ascii="Arial Narrow" w:hAnsi="Arial Narrow" w:cstheme="minorBidi"/>
                <w:sz w:val="20"/>
                <w:vertAlign w:val="superscript"/>
              </w:rPr>
              <w:t>2</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299,768</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642,566</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742,697</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728,584</w:t>
            </w:r>
          </w:p>
        </w:tc>
        <w:tc>
          <w:tcPr>
            <w:tcW w:w="1081"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707,306</w:t>
            </w:r>
          </w:p>
        </w:tc>
      </w:tr>
      <w:tr w:rsidR="00BC4950" w:rsidRPr="00682EE4" w:rsidTr="00871E7C">
        <w:tc>
          <w:tcPr>
            <w:tcW w:w="2944" w:type="dxa"/>
          </w:tcPr>
          <w:p w:rsidR="00BC4950" w:rsidRPr="00682EE4" w:rsidRDefault="00934C6D" w:rsidP="00297149">
            <w:pPr>
              <w:jc w:val="left"/>
              <w:rPr>
                <w:rFonts w:ascii="Arial Narrow" w:hAnsi="Arial Narrow" w:cstheme="minorBidi"/>
                <w:sz w:val="20"/>
              </w:rPr>
            </w:pPr>
            <w:r w:rsidRPr="00682EE4">
              <w:rPr>
                <w:rFonts w:ascii="Arial Narrow" w:hAnsi="Arial Narrow" w:cstheme="minorBidi"/>
                <w:sz w:val="20"/>
              </w:rPr>
              <w:t>Net cost of Brenzys</w:t>
            </w:r>
            <w:r w:rsidR="00BC4950" w:rsidRPr="00682EE4">
              <w:rPr>
                <w:rFonts w:ascii="Arial Narrow" w:hAnsi="Arial Narrow" w:cstheme="minorBidi"/>
                <w:sz w:val="20"/>
              </w:rPr>
              <w:t xml:space="preserve"> scripts</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20,448,385</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43,832,059</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50,662,417</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49,699,690</w:t>
            </w:r>
          </w:p>
        </w:tc>
        <w:tc>
          <w:tcPr>
            <w:tcW w:w="1081"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48,248,239</w:t>
            </w:r>
          </w:p>
        </w:tc>
      </w:tr>
      <w:tr w:rsidR="00BC4950" w:rsidRPr="00682EE4" w:rsidTr="00871E7C">
        <w:tc>
          <w:tcPr>
            <w:tcW w:w="2944" w:type="dxa"/>
          </w:tcPr>
          <w:p w:rsidR="00BC4950" w:rsidRPr="00682EE4" w:rsidRDefault="00BC4950" w:rsidP="00934C6D">
            <w:pPr>
              <w:jc w:val="left"/>
              <w:rPr>
                <w:rFonts w:ascii="Arial Narrow" w:hAnsi="Arial Narrow" w:cstheme="minorBidi"/>
                <w:sz w:val="20"/>
                <w:vertAlign w:val="superscript"/>
              </w:rPr>
            </w:pPr>
            <w:r w:rsidRPr="00682EE4">
              <w:rPr>
                <w:rFonts w:ascii="Arial Narrow" w:hAnsi="Arial Narrow" w:cstheme="minorBidi"/>
                <w:sz w:val="20"/>
              </w:rPr>
              <w:t xml:space="preserve">Cost offset from switching from </w:t>
            </w:r>
            <w:r w:rsidR="00934C6D" w:rsidRPr="00682EE4">
              <w:rPr>
                <w:rFonts w:ascii="Arial Narrow" w:hAnsi="Arial Narrow" w:cstheme="minorBidi"/>
                <w:sz w:val="20"/>
              </w:rPr>
              <w:t>Enbrel</w:t>
            </w:r>
            <w:r w:rsidRPr="00682EE4">
              <w:rPr>
                <w:rFonts w:ascii="Arial Narrow" w:hAnsi="Arial Narrow" w:cstheme="minorBidi"/>
                <w:sz w:val="20"/>
              </w:rPr>
              <w:t xml:space="preserve"> 50</w:t>
            </w:r>
            <w:r w:rsidR="00262BBA" w:rsidRPr="00682EE4">
              <w:rPr>
                <w:rFonts w:ascii="Arial Narrow" w:hAnsi="Arial Narrow" w:cstheme="minorBidi"/>
                <w:sz w:val="20"/>
              </w:rPr>
              <w:t> </w:t>
            </w:r>
            <w:r w:rsidRPr="00682EE4">
              <w:rPr>
                <w:rFonts w:ascii="Arial Narrow" w:hAnsi="Arial Narrow" w:cstheme="minorBidi"/>
                <w:sz w:val="20"/>
              </w:rPr>
              <w:t>mg</w:t>
            </w:r>
            <w:r w:rsidRPr="00682EE4">
              <w:rPr>
                <w:rFonts w:ascii="Arial Narrow" w:hAnsi="Arial Narrow" w:cstheme="minorBidi"/>
                <w:sz w:val="20"/>
                <w:vertAlign w:val="superscript"/>
              </w:rPr>
              <w:t>1</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20,448,385</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43,832,059</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50,662,417</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49,699,690</w:t>
            </w:r>
          </w:p>
        </w:tc>
        <w:tc>
          <w:tcPr>
            <w:tcW w:w="1081"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48,248,239</w:t>
            </w:r>
          </w:p>
        </w:tc>
      </w:tr>
      <w:tr w:rsidR="00BC4950" w:rsidRPr="00682EE4" w:rsidTr="00871E7C">
        <w:tc>
          <w:tcPr>
            <w:tcW w:w="2944" w:type="dxa"/>
          </w:tcPr>
          <w:p w:rsidR="00BC4950" w:rsidRPr="00682EE4" w:rsidRDefault="00BC4950" w:rsidP="00297149">
            <w:pPr>
              <w:jc w:val="left"/>
              <w:rPr>
                <w:rFonts w:ascii="Arial Narrow" w:hAnsi="Arial Narrow" w:cstheme="minorBidi"/>
                <w:b/>
                <w:bCs/>
                <w:sz w:val="20"/>
              </w:rPr>
            </w:pPr>
            <w:r w:rsidRPr="00682EE4">
              <w:rPr>
                <w:rFonts w:ascii="Arial Narrow" w:hAnsi="Arial Narrow" w:cstheme="minorBidi"/>
                <w:b/>
                <w:bCs/>
                <w:sz w:val="20"/>
              </w:rPr>
              <w:t>Total cost from switching in submission</w:t>
            </w:r>
            <w:r w:rsidRPr="00682EE4">
              <w:rPr>
                <w:rFonts w:ascii="Arial Narrow" w:hAnsi="Arial Narrow" w:cstheme="minorBidi"/>
                <w:b/>
                <w:bCs/>
                <w:sz w:val="20"/>
                <w:vertAlign w:val="superscript"/>
              </w:rPr>
              <w:t>1</w:t>
            </w:r>
          </w:p>
        </w:tc>
        <w:tc>
          <w:tcPr>
            <w:tcW w:w="1080" w:type="dxa"/>
            <w:vAlign w:val="center"/>
          </w:tcPr>
          <w:p w:rsidR="00BC4950" w:rsidRPr="00682EE4" w:rsidRDefault="00BC4950" w:rsidP="00871E7C">
            <w:pPr>
              <w:jc w:val="center"/>
              <w:rPr>
                <w:rFonts w:ascii="Arial Narrow" w:hAnsi="Arial Narrow"/>
                <w:b/>
                <w:bCs/>
                <w:sz w:val="20"/>
              </w:rPr>
            </w:pPr>
            <w:r w:rsidRPr="00682EE4">
              <w:rPr>
                <w:rFonts w:ascii="Arial Narrow" w:hAnsi="Arial Narrow"/>
                <w:b/>
                <w:bCs/>
                <w:sz w:val="20"/>
              </w:rPr>
              <w:t>$</w:t>
            </w:r>
            <w:r w:rsidRPr="00246652">
              <w:rPr>
                <w:rFonts w:ascii="Arial Narrow" w:hAnsi="Arial Narrow"/>
                <w:b/>
                <w:bCs/>
                <w:sz w:val="20"/>
              </w:rPr>
              <w:t>0</w:t>
            </w:r>
          </w:p>
        </w:tc>
        <w:tc>
          <w:tcPr>
            <w:tcW w:w="1080" w:type="dxa"/>
            <w:vAlign w:val="center"/>
          </w:tcPr>
          <w:p w:rsidR="00BC4950" w:rsidRPr="00682EE4" w:rsidRDefault="00BC4950" w:rsidP="00871E7C">
            <w:pPr>
              <w:jc w:val="center"/>
              <w:rPr>
                <w:rFonts w:ascii="Arial Narrow" w:hAnsi="Arial Narrow"/>
                <w:b/>
                <w:bCs/>
                <w:sz w:val="20"/>
              </w:rPr>
            </w:pPr>
            <w:r w:rsidRPr="00682EE4">
              <w:rPr>
                <w:rFonts w:ascii="Arial Narrow" w:hAnsi="Arial Narrow"/>
                <w:b/>
                <w:bCs/>
                <w:sz w:val="20"/>
              </w:rPr>
              <w:t>$</w:t>
            </w:r>
            <w:r w:rsidRPr="00246652">
              <w:rPr>
                <w:rFonts w:ascii="Arial Narrow" w:hAnsi="Arial Narrow"/>
                <w:b/>
                <w:bCs/>
                <w:sz w:val="20"/>
              </w:rPr>
              <w:t>0</w:t>
            </w:r>
          </w:p>
        </w:tc>
        <w:tc>
          <w:tcPr>
            <w:tcW w:w="1080" w:type="dxa"/>
            <w:vAlign w:val="center"/>
          </w:tcPr>
          <w:p w:rsidR="00BC4950" w:rsidRPr="00682EE4" w:rsidRDefault="00BC4950" w:rsidP="00871E7C">
            <w:pPr>
              <w:jc w:val="center"/>
              <w:rPr>
                <w:rFonts w:ascii="Arial Narrow" w:hAnsi="Arial Narrow"/>
                <w:b/>
                <w:bCs/>
                <w:sz w:val="20"/>
              </w:rPr>
            </w:pPr>
            <w:r w:rsidRPr="00682EE4">
              <w:rPr>
                <w:rFonts w:ascii="Arial Narrow" w:hAnsi="Arial Narrow"/>
                <w:b/>
                <w:bCs/>
                <w:sz w:val="20"/>
              </w:rPr>
              <w:t>$</w:t>
            </w:r>
            <w:r w:rsidRPr="00246652">
              <w:rPr>
                <w:rFonts w:ascii="Arial Narrow" w:hAnsi="Arial Narrow"/>
                <w:b/>
                <w:bCs/>
                <w:sz w:val="20"/>
              </w:rPr>
              <w:t>0</w:t>
            </w:r>
          </w:p>
        </w:tc>
        <w:tc>
          <w:tcPr>
            <w:tcW w:w="1080" w:type="dxa"/>
            <w:vAlign w:val="center"/>
          </w:tcPr>
          <w:p w:rsidR="00BC4950" w:rsidRPr="00682EE4" w:rsidRDefault="00BC4950" w:rsidP="00871E7C">
            <w:pPr>
              <w:jc w:val="center"/>
              <w:rPr>
                <w:rFonts w:ascii="Arial Narrow" w:hAnsi="Arial Narrow"/>
                <w:b/>
                <w:bCs/>
                <w:sz w:val="20"/>
              </w:rPr>
            </w:pPr>
            <w:r w:rsidRPr="00682EE4">
              <w:rPr>
                <w:rFonts w:ascii="Arial Narrow" w:hAnsi="Arial Narrow"/>
                <w:b/>
                <w:bCs/>
                <w:sz w:val="20"/>
              </w:rPr>
              <w:t>$</w:t>
            </w:r>
            <w:r w:rsidRPr="00246652">
              <w:rPr>
                <w:rFonts w:ascii="Arial Narrow" w:hAnsi="Arial Narrow"/>
                <w:b/>
                <w:bCs/>
                <w:sz w:val="20"/>
              </w:rPr>
              <w:t>0</w:t>
            </w:r>
          </w:p>
        </w:tc>
        <w:tc>
          <w:tcPr>
            <w:tcW w:w="1081" w:type="dxa"/>
            <w:vAlign w:val="center"/>
          </w:tcPr>
          <w:p w:rsidR="00BC4950" w:rsidRPr="00682EE4" w:rsidRDefault="00BC4950" w:rsidP="00871E7C">
            <w:pPr>
              <w:jc w:val="center"/>
              <w:rPr>
                <w:rFonts w:ascii="Arial Narrow" w:hAnsi="Arial Narrow"/>
                <w:b/>
                <w:bCs/>
                <w:sz w:val="20"/>
              </w:rPr>
            </w:pPr>
            <w:r w:rsidRPr="00682EE4">
              <w:rPr>
                <w:rFonts w:ascii="Arial Narrow" w:hAnsi="Arial Narrow"/>
                <w:b/>
                <w:bCs/>
                <w:sz w:val="20"/>
              </w:rPr>
              <w:t>$</w:t>
            </w:r>
            <w:r w:rsidRPr="00246652">
              <w:rPr>
                <w:rFonts w:ascii="Arial Narrow" w:hAnsi="Arial Narrow"/>
                <w:b/>
                <w:bCs/>
                <w:sz w:val="20"/>
              </w:rPr>
              <w:t>0</w:t>
            </w:r>
          </w:p>
        </w:tc>
      </w:tr>
      <w:tr w:rsidR="00BC4950" w:rsidRPr="00682EE4" w:rsidTr="00871E7C">
        <w:tc>
          <w:tcPr>
            <w:tcW w:w="2944" w:type="dxa"/>
          </w:tcPr>
          <w:p w:rsidR="00BC4950" w:rsidRPr="00682EE4" w:rsidRDefault="00934C6D" w:rsidP="00297149">
            <w:pPr>
              <w:jc w:val="left"/>
              <w:rPr>
                <w:rFonts w:ascii="Arial Narrow" w:hAnsi="Arial Narrow" w:cstheme="minorBidi"/>
                <w:sz w:val="20"/>
              </w:rPr>
            </w:pPr>
            <w:r w:rsidRPr="00682EE4">
              <w:rPr>
                <w:rFonts w:ascii="Arial Narrow" w:hAnsi="Arial Narrow" w:cstheme="minorBidi"/>
                <w:sz w:val="20"/>
              </w:rPr>
              <w:t>Total cost of Brenzys based on reduced Enbrel</w:t>
            </w:r>
            <w:r w:rsidR="00BC4950" w:rsidRPr="00682EE4">
              <w:rPr>
                <w:rFonts w:ascii="Arial Narrow" w:hAnsi="Arial Narrow" w:cstheme="minorBidi"/>
                <w:sz w:val="20"/>
              </w:rPr>
              <w:t xml:space="preserve"> price from 1 April 2016</w:t>
            </w:r>
            <w:r w:rsidR="00BC4950" w:rsidRPr="00682EE4">
              <w:rPr>
                <w:rFonts w:ascii="Arial Narrow" w:hAnsi="Arial Narrow" w:cstheme="minorBidi"/>
                <w:sz w:val="20"/>
                <w:vertAlign w:val="superscript"/>
              </w:rPr>
              <w:t>3</w:t>
            </w:r>
            <w:r w:rsidR="00BC4950" w:rsidRPr="00682EE4">
              <w:rPr>
                <w:rFonts w:ascii="Arial Narrow" w:hAnsi="Arial Narrow" w:cstheme="minorBidi"/>
                <w:sz w:val="20"/>
              </w:rPr>
              <w:t xml:space="preserve"> </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19,763,837</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42,364,697</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48,966,396</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48,035,898</w:t>
            </w:r>
          </w:p>
        </w:tc>
        <w:tc>
          <w:tcPr>
            <w:tcW w:w="1081"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46,633,037</w:t>
            </w:r>
          </w:p>
        </w:tc>
      </w:tr>
      <w:tr w:rsidR="00BC4950" w:rsidRPr="00682EE4" w:rsidTr="00871E7C">
        <w:tc>
          <w:tcPr>
            <w:tcW w:w="2944" w:type="dxa"/>
          </w:tcPr>
          <w:p w:rsidR="00BC4950" w:rsidRPr="00682EE4" w:rsidRDefault="00BC4950" w:rsidP="00297149">
            <w:pPr>
              <w:jc w:val="left"/>
              <w:rPr>
                <w:rFonts w:ascii="Arial Narrow" w:hAnsi="Arial Narrow" w:cstheme="minorBidi"/>
                <w:sz w:val="20"/>
                <w:vertAlign w:val="superscript"/>
              </w:rPr>
            </w:pPr>
            <w:r w:rsidRPr="00682EE4">
              <w:rPr>
                <w:rFonts w:ascii="Arial Narrow" w:hAnsi="Arial Narrow" w:cstheme="minorBidi"/>
                <w:sz w:val="20"/>
              </w:rPr>
              <w:t>Total co-payment</w:t>
            </w:r>
            <w:r w:rsidRPr="00682EE4">
              <w:rPr>
                <w:rFonts w:ascii="Arial Narrow" w:hAnsi="Arial Narrow" w:cstheme="minorBidi"/>
                <w:sz w:val="20"/>
                <w:vertAlign w:val="superscript"/>
              </w:rPr>
              <w:t>2</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299,768</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642,566</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742,697</w:t>
            </w:r>
          </w:p>
        </w:tc>
        <w:tc>
          <w:tcPr>
            <w:tcW w:w="1080"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728,584</w:t>
            </w:r>
          </w:p>
        </w:tc>
        <w:tc>
          <w:tcPr>
            <w:tcW w:w="1081" w:type="dxa"/>
            <w:vAlign w:val="center"/>
          </w:tcPr>
          <w:p w:rsidR="00BC4950" w:rsidRPr="00682EE4" w:rsidRDefault="00BC4950" w:rsidP="00871E7C">
            <w:pPr>
              <w:jc w:val="center"/>
              <w:rPr>
                <w:rFonts w:ascii="Arial Narrow" w:hAnsi="Arial Narrow"/>
                <w:sz w:val="20"/>
              </w:rPr>
            </w:pPr>
            <w:r w:rsidRPr="00682EE4">
              <w:rPr>
                <w:rFonts w:ascii="Arial Narrow" w:hAnsi="Arial Narrow"/>
                <w:sz w:val="20"/>
              </w:rPr>
              <w:t>$</w:t>
            </w:r>
            <w:r w:rsidRPr="00246652">
              <w:rPr>
                <w:rFonts w:ascii="Arial Narrow" w:hAnsi="Arial Narrow"/>
                <w:sz w:val="20"/>
              </w:rPr>
              <w:t>707,306</w:t>
            </w:r>
          </w:p>
        </w:tc>
      </w:tr>
      <w:tr w:rsidR="00BC4950" w:rsidRPr="00682EE4" w:rsidTr="00871E7C">
        <w:tc>
          <w:tcPr>
            <w:tcW w:w="2944" w:type="dxa"/>
          </w:tcPr>
          <w:p w:rsidR="00BC4950" w:rsidRPr="00682EE4" w:rsidRDefault="00934C6D" w:rsidP="00297149">
            <w:pPr>
              <w:jc w:val="left"/>
              <w:rPr>
                <w:rFonts w:ascii="Arial Narrow" w:hAnsi="Arial Narrow" w:cstheme="minorBidi"/>
                <w:sz w:val="20"/>
              </w:rPr>
            </w:pPr>
            <w:r w:rsidRPr="00682EE4">
              <w:rPr>
                <w:rFonts w:ascii="Arial Narrow" w:hAnsi="Arial Narrow" w:cstheme="minorBidi"/>
                <w:sz w:val="20"/>
              </w:rPr>
              <w:t>Net cost of Brenzys</w:t>
            </w:r>
            <w:r w:rsidR="00BC4950" w:rsidRPr="00682EE4">
              <w:rPr>
                <w:rFonts w:ascii="Arial Narrow" w:hAnsi="Arial Narrow" w:cstheme="minorBidi"/>
                <w:sz w:val="20"/>
              </w:rPr>
              <w:t xml:space="preserve"> scripts</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19,464,069</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41,722,131</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48,223,699</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47,307,314</w:t>
            </w:r>
          </w:p>
        </w:tc>
        <w:tc>
          <w:tcPr>
            <w:tcW w:w="1081"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45,925,731</w:t>
            </w:r>
          </w:p>
        </w:tc>
      </w:tr>
      <w:tr w:rsidR="00BC4950" w:rsidRPr="00682EE4" w:rsidTr="00871E7C">
        <w:tc>
          <w:tcPr>
            <w:tcW w:w="2944" w:type="dxa"/>
          </w:tcPr>
          <w:p w:rsidR="00BC4950" w:rsidRPr="00682EE4" w:rsidRDefault="00BC4950" w:rsidP="00934C6D">
            <w:pPr>
              <w:jc w:val="left"/>
              <w:rPr>
                <w:rFonts w:ascii="Arial Narrow" w:hAnsi="Arial Narrow" w:cstheme="minorBidi"/>
                <w:sz w:val="20"/>
                <w:vertAlign w:val="superscript"/>
              </w:rPr>
            </w:pPr>
            <w:r w:rsidRPr="00682EE4">
              <w:rPr>
                <w:rFonts w:ascii="Arial Narrow" w:hAnsi="Arial Narrow" w:cstheme="minorBidi"/>
                <w:sz w:val="20"/>
              </w:rPr>
              <w:t xml:space="preserve">Cost offset from switching from </w:t>
            </w:r>
            <w:r w:rsidR="00934C6D" w:rsidRPr="00682EE4">
              <w:rPr>
                <w:rFonts w:ascii="Arial Narrow" w:hAnsi="Arial Narrow" w:cstheme="minorBidi"/>
                <w:sz w:val="20"/>
              </w:rPr>
              <w:t>Enbrel</w:t>
            </w:r>
            <w:r w:rsidRPr="00682EE4">
              <w:rPr>
                <w:rFonts w:ascii="Arial Narrow" w:hAnsi="Arial Narrow" w:cstheme="minorBidi"/>
                <w:sz w:val="20"/>
              </w:rPr>
              <w:t xml:space="preserve"> 50</w:t>
            </w:r>
            <w:r w:rsidR="00262BBA" w:rsidRPr="00682EE4">
              <w:rPr>
                <w:rFonts w:ascii="Arial Narrow" w:hAnsi="Arial Narrow" w:cstheme="minorBidi"/>
                <w:sz w:val="20"/>
              </w:rPr>
              <w:t> </w:t>
            </w:r>
            <w:r w:rsidRPr="00682EE4">
              <w:rPr>
                <w:rFonts w:ascii="Arial Narrow" w:hAnsi="Arial Narrow" w:cstheme="minorBidi"/>
                <w:sz w:val="20"/>
              </w:rPr>
              <w:t>mg</w:t>
            </w:r>
            <w:r w:rsidRPr="00682EE4">
              <w:rPr>
                <w:rFonts w:ascii="Arial Narrow" w:hAnsi="Arial Narrow" w:cstheme="minorBidi"/>
                <w:sz w:val="20"/>
                <w:vertAlign w:val="superscript"/>
              </w:rPr>
              <w:t>3</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19,464,069</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41,722,131</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48,223,699</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47,307,314</w:t>
            </w:r>
          </w:p>
        </w:tc>
        <w:tc>
          <w:tcPr>
            <w:tcW w:w="1081"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45,925,731</w:t>
            </w:r>
          </w:p>
        </w:tc>
      </w:tr>
      <w:tr w:rsidR="00BC4950" w:rsidRPr="00682EE4" w:rsidTr="00871E7C">
        <w:tc>
          <w:tcPr>
            <w:tcW w:w="2944" w:type="dxa"/>
          </w:tcPr>
          <w:p w:rsidR="00BC4950" w:rsidRPr="00682EE4" w:rsidRDefault="00BC4950" w:rsidP="00297149">
            <w:pPr>
              <w:jc w:val="left"/>
              <w:rPr>
                <w:rFonts w:ascii="Arial Narrow" w:hAnsi="Arial Narrow" w:cstheme="minorBidi"/>
                <w:b/>
                <w:bCs/>
                <w:sz w:val="20"/>
                <w:vertAlign w:val="superscript"/>
              </w:rPr>
            </w:pPr>
            <w:r w:rsidRPr="00682EE4">
              <w:rPr>
                <w:rFonts w:ascii="Arial Narrow" w:hAnsi="Arial Narrow" w:cstheme="minorBidi"/>
                <w:b/>
                <w:bCs/>
                <w:sz w:val="20"/>
              </w:rPr>
              <w:t>Total cost from switching with current price</w:t>
            </w:r>
            <w:r w:rsidRPr="00682EE4">
              <w:rPr>
                <w:rFonts w:ascii="Arial Narrow" w:hAnsi="Arial Narrow" w:cstheme="minorBidi"/>
                <w:b/>
                <w:bCs/>
                <w:sz w:val="20"/>
                <w:vertAlign w:val="superscript"/>
              </w:rPr>
              <w:t>3</w:t>
            </w:r>
          </w:p>
        </w:tc>
        <w:tc>
          <w:tcPr>
            <w:tcW w:w="1080" w:type="dxa"/>
            <w:vAlign w:val="center"/>
          </w:tcPr>
          <w:p w:rsidR="00BC4950" w:rsidRPr="00682EE4" w:rsidRDefault="00BC4950" w:rsidP="00871E7C">
            <w:pPr>
              <w:jc w:val="center"/>
              <w:rPr>
                <w:rFonts w:ascii="Arial Narrow" w:hAnsi="Arial Narrow"/>
                <w:b/>
                <w:bCs/>
                <w:iCs/>
                <w:sz w:val="20"/>
              </w:rPr>
            </w:pPr>
            <w:r w:rsidRPr="00682EE4">
              <w:rPr>
                <w:rFonts w:ascii="Arial Narrow" w:hAnsi="Arial Narrow"/>
                <w:b/>
                <w:bCs/>
                <w:iCs/>
                <w:sz w:val="20"/>
              </w:rPr>
              <w:t>$</w:t>
            </w:r>
            <w:r w:rsidRPr="00246652">
              <w:rPr>
                <w:rFonts w:ascii="Arial Narrow" w:hAnsi="Arial Narrow"/>
                <w:b/>
                <w:bCs/>
                <w:iCs/>
                <w:sz w:val="20"/>
              </w:rPr>
              <w:t>0</w:t>
            </w:r>
          </w:p>
        </w:tc>
        <w:tc>
          <w:tcPr>
            <w:tcW w:w="1080" w:type="dxa"/>
            <w:vAlign w:val="center"/>
          </w:tcPr>
          <w:p w:rsidR="00BC4950" w:rsidRPr="00682EE4" w:rsidRDefault="00BC4950" w:rsidP="00871E7C">
            <w:pPr>
              <w:jc w:val="center"/>
              <w:rPr>
                <w:rFonts w:ascii="Arial Narrow" w:hAnsi="Arial Narrow"/>
                <w:b/>
                <w:bCs/>
                <w:iCs/>
                <w:sz w:val="20"/>
              </w:rPr>
            </w:pPr>
            <w:r w:rsidRPr="00682EE4">
              <w:rPr>
                <w:rFonts w:ascii="Arial Narrow" w:hAnsi="Arial Narrow"/>
                <w:b/>
                <w:bCs/>
                <w:iCs/>
                <w:sz w:val="20"/>
              </w:rPr>
              <w:t>$</w:t>
            </w:r>
            <w:r w:rsidRPr="00246652">
              <w:rPr>
                <w:rFonts w:ascii="Arial Narrow" w:hAnsi="Arial Narrow"/>
                <w:b/>
                <w:bCs/>
                <w:iCs/>
                <w:sz w:val="20"/>
              </w:rPr>
              <w:t>0</w:t>
            </w:r>
          </w:p>
        </w:tc>
        <w:tc>
          <w:tcPr>
            <w:tcW w:w="1080" w:type="dxa"/>
            <w:vAlign w:val="center"/>
          </w:tcPr>
          <w:p w:rsidR="00BC4950" w:rsidRPr="00682EE4" w:rsidRDefault="00BC4950" w:rsidP="00871E7C">
            <w:pPr>
              <w:jc w:val="center"/>
              <w:rPr>
                <w:rFonts w:ascii="Arial Narrow" w:hAnsi="Arial Narrow"/>
                <w:b/>
                <w:bCs/>
                <w:iCs/>
                <w:sz w:val="20"/>
              </w:rPr>
            </w:pPr>
            <w:r w:rsidRPr="00682EE4">
              <w:rPr>
                <w:rFonts w:ascii="Arial Narrow" w:hAnsi="Arial Narrow"/>
                <w:b/>
                <w:bCs/>
                <w:iCs/>
                <w:sz w:val="20"/>
              </w:rPr>
              <w:t>$</w:t>
            </w:r>
            <w:r w:rsidRPr="00246652">
              <w:rPr>
                <w:rFonts w:ascii="Arial Narrow" w:hAnsi="Arial Narrow"/>
                <w:b/>
                <w:bCs/>
                <w:iCs/>
                <w:sz w:val="20"/>
              </w:rPr>
              <w:t>0</w:t>
            </w:r>
          </w:p>
        </w:tc>
        <w:tc>
          <w:tcPr>
            <w:tcW w:w="1080" w:type="dxa"/>
            <w:vAlign w:val="center"/>
          </w:tcPr>
          <w:p w:rsidR="00BC4950" w:rsidRPr="00682EE4" w:rsidRDefault="00BC4950" w:rsidP="00871E7C">
            <w:pPr>
              <w:jc w:val="center"/>
              <w:rPr>
                <w:rFonts w:ascii="Arial Narrow" w:hAnsi="Arial Narrow"/>
                <w:b/>
                <w:bCs/>
                <w:iCs/>
                <w:sz w:val="20"/>
              </w:rPr>
            </w:pPr>
            <w:r w:rsidRPr="00682EE4">
              <w:rPr>
                <w:rFonts w:ascii="Arial Narrow" w:hAnsi="Arial Narrow"/>
                <w:b/>
                <w:bCs/>
                <w:iCs/>
                <w:sz w:val="20"/>
              </w:rPr>
              <w:t>$</w:t>
            </w:r>
            <w:r w:rsidRPr="00246652">
              <w:rPr>
                <w:rFonts w:ascii="Arial Narrow" w:hAnsi="Arial Narrow"/>
                <w:b/>
                <w:bCs/>
                <w:iCs/>
                <w:sz w:val="20"/>
              </w:rPr>
              <w:t>0</w:t>
            </w:r>
          </w:p>
        </w:tc>
        <w:tc>
          <w:tcPr>
            <w:tcW w:w="1081" w:type="dxa"/>
            <w:vAlign w:val="center"/>
          </w:tcPr>
          <w:p w:rsidR="00BC4950" w:rsidRPr="00682EE4" w:rsidRDefault="00BC4950" w:rsidP="00871E7C">
            <w:pPr>
              <w:jc w:val="center"/>
              <w:rPr>
                <w:rFonts w:ascii="Arial Narrow" w:hAnsi="Arial Narrow"/>
                <w:b/>
                <w:bCs/>
                <w:iCs/>
                <w:sz w:val="20"/>
              </w:rPr>
            </w:pPr>
            <w:r w:rsidRPr="00682EE4">
              <w:rPr>
                <w:rFonts w:ascii="Arial Narrow" w:hAnsi="Arial Narrow"/>
                <w:b/>
                <w:bCs/>
                <w:iCs/>
                <w:sz w:val="20"/>
              </w:rPr>
              <w:t>$</w:t>
            </w:r>
            <w:r w:rsidRPr="00246652">
              <w:rPr>
                <w:rFonts w:ascii="Arial Narrow" w:hAnsi="Arial Narrow"/>
                <w:b/>
                <w:bCs/>
                <w:iCs/>
                <w:sz w:val="20"/>
              </w:rPr>
              <w:t>0</w:t>
            </w:r>
          </w:p>
        </w:tc>
      </w:tr>
      <w:tr w:rsidR="00BC4950" w:rsidRPr="00682EE4" w:rsidTr="00871E7C">
        <w:tc>
          <w:tcPr>
            <w:tcW w:w="2944" w:type="dxa"/>
          </w:tcPr>
          <w:p w:rsidR="00BC4950" w:rsidRPr="00682EE4" w:rsidRDefault="00BC4950" w:rsidP="00934C6D">
            <w:pPr>
              <w:jc w:val="left"/>
              <w:rPr>
                <w:rFonts w:ascii="Arial Narrow" w:hAnsi="Arial Narrow" w:cstheme="minorBidi"/>
                <w:sz w:val="20"/>
                <w:vertAlign w:val="superscript"/>
              </w:rPr>
            </w:pPr>
            <w:r w:rsidRPr="00682EE4">
              <w:rPr>
                <w:rFonts w:ascii="Arial Narrow" w:hAnsi="Arial Narrow" w:cstheme="minorBidi"/>
                <w:sz w:val="20"/>
              </w:rPr>
              <w:t xml:space="preserve">Estimated net cost of </w:t>
            </w:r>
            <w:r w:rsidR="00934C6D" w:rsidRPr="00682EE4">
              <w:rPr>
                <w:rFonts w:ascii="Arial Narrow" w:hAnsi="Arial Narrow" w:cstheme="minorBidi"/>
                <w:sz w:val="20"/>
              </w:rPr>
              <w:t>Enbrel</w:t>
            </w:r>
            <w:r w:rsidRPr="00682EE4">
              <w:rPr>
                <w:rFonts w:ascii="Arial Narrow" w:hAnsi="Arial Narrow" w:cstheme="minorBidi"/>
                <w:sz w:val="20"/>
              </w:rPr>
              <w:t xml:space="preserve"> 50</w:t>
            </w:r>
            <w:r w:rsidR="00262BBA" w:rsidRPr="00682EE4">
              <w:rPr>
                <w:rFonts w:ascii="Arial Narrow" w:hAnsi="Arial Narrow" w:cstheme="minorBidi"/>
                <w:sz w:val="20"/>
              </w:rPr>
              <w:t> </w:t>
            </w:r>
            <w:r w:rsidR="00934C6D" w:rsidRPr="00682EE4">
              <w:rPr>
                <w:rFonts w:ascii="Arial Narrow" w:hAnsi="Arial Narrow" w:cstheme="minorBidi"/>
                <w:sz w:val="20"/>
              </w:rPr>
              <w:t>mg with no Brenzys</w:t>
            </w:r>
            <w:r w:rsidRPr="00682EE4">
              <w:rPr>
                <w:rFonts w:ascii="Arial Narrow" w:hAnsi="Arial Narrow" w:cstheme="minorBidi"/>
                <w:sz w:val="20"/>
              </w:rPr>
              <w:t xml:space="preserve"> listing in submission</w:t>
            </w:r>
            <w:r w:rsidRPr="00682EE4">
              <w:rPr>
                <w:rFonts w:ascii="Arial Narrow" w:hAnsi="Arial Narrow" w:cstheme="minorBidi"/>
                <w:sz w:val="20"/>
                <w:vertAlign w:val="superscript"/>
              </w:rPr>
              <w:t>4</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201,651,020</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216,119,989</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230,588,958</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245,057,927</w:t>
            </w:r>
          </w:p>
        </w:tc>
        <w:tc>
          <w:tcPr>
            <w:tcW w:w="1081"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246652">
              <w:rPr>
                <w:rFonts w:ascii="Arial Narrow" w:hAnsi="Arial Narrow"/>
                <w:iCs/>
                <w:sz w:val="20"/>
              </w:rPr>
              <w:t>259,526,896</w:t>
            </w:r>
          </w:p>
        </w:tc>
      </w:tr>
      <w:tr w:rsidR="00BC4950" w:rsidRPr="00682EE4" w:rsidTr="00871E7C">
        <w:tc>
          <w:tcPr>
            <w:tcW w:w="2944" w:type="dxa"/>
          </w:tcPr>
          <w:p w:rsidR="00BC4950" w:rsidRPr="00682EE4" w:rsidRDefault="00BC4950" w:rsidP="00934C6D">
            <w:pPr>
              <w:jc w:val="left"/>
              <w:rPr>
                <w:rFonts w:ascii="Arial Narrow" w:hAnsi="Arial Narrow" w:cstheme="minorBidi"/>
                <w:sz w:val="20"/>
                <w:vertAlign w:val="superscript"/>
              </w:rPr>
            </w:pPr>
            <w:r w:rsidRPr="00682EE4">
              <w:rPr>
                <w:rFonts w:ascii="Arial Narrow" w:hAnsi="Arial Narrow" w:cstheme="minorBidi"/>
                <w:sz w:val="20"/>
              </w:rPr>
              <w:t xml:space="preserve">Estimated net cost of </w:t>
            </w:r>
            <w:r w:rsidR="00934C6D" w:rsidRPr="00682EE4">
              <w:rPr>
                <w:rFonts w:ascii="Arial Narrow" w:hAnsi="Arial Narrow" w:cstheme="minorBidi"/>
                <w:sz w:val="20"/>
              </w:rPr>
              <w:t>Enbrel</w:t>
            </w:r>
            <w:r w:rsidRPr="00682EE4">
              <w:rPr>
                <w:rFonts w:ascii="Arial Narrow" w:hAnsi="Arial Narrow" w:cstheme="minorBidi"/>
                <w:sz w:val="20"/>
              </w:rPr>
              <w:t xml:space="preserve"> 50</w:t>
            </w:r>
            <w:r w:rsidR="00262BBA" w:rsidRPr="00682EE4">
              <w:rPr>
                <w:rFonts w:ascii="Arial Narrow" w:hAnsi="Arial Narrow" w:cstheme="minorBidi"/>
                <w:sz w:val="20"/>
              </w:rPr>
              <w:t> </w:t>
            </w:r>
            <w:r w:rsidRPr="00682EE4">
              <w:rPr>
                <w:rFonts w:ascii="Arial Narrow" w:hAnsi="Arial Narrow" w:cstheme="minorBidi"/>
                <w:sz w:val="20"/>
              </w:rPr>
              <w:t xml:space="preserve">mg plus </w:t>
            </w:r>
            <w:r w:rsidR="00934C6D" w:rsidRPr="00682EE4">
              <w:rPr>
                <w:rFonts w:ascii="Arial Narrow" w:hAnsi="Arial Narrow" w:cstheme="minorBidi"/>
                <w:sz w:val="20"/>
              </w:rPr>
              <w:t>Brenzys if Brenzys</w:t>
            </w:r>
            <w:r w:rsidRPr="00682EE4">
              <w:rPr>
                <w:rFonts w:ascii="Arial Narrow" w:hAnsi="Arial Narrow" w:cstheme="minorBidi"/>
                <w:sz w:val="20"/>
              </w:rPr>
              <w:t xml:space="preserve"> listed</w:t>
            </w:r>
            <w:r w:rsidRPr="00682EE4">
              <w:rPr>
                <w:rFonts w:ascii="Arial Narrow" w:hAnsi="Arial Narrow" w:cstheme="minorBidi"/>
                <w:sz w:val="20"/>
                <w:vertAlign w:val="superscript"/>
              </w:rPr>
              <w:t>5</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170,404,194</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182,631,124</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194,858,054</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207,084,985</w:t>
            </w:r>
          </w:p>
        </w:tc>
        <w:tc>
          <w:tcPr>
            <w:tcW w:w="1081"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219,311,915</w:t>
            </w:r>
          </w:p>
        </w:tc>
      </w:tr>
      <w:tr w:rsidR="00BC4950" w:rsidRPr="00682EE4" w:rsidTr="00871E7C">
        <w:tc>
          <w:tcPr>
            <w:tcW w:w="2944" w:type="dxa"/>
          </w:tcPr>
          <w:p w:rsidR="00BC4950" w:rsidRPr="00682EE4" w:rsidRDefault="00BC4950" w:rsidP="00297149">
            <w:pPr>
              <w:jc w:val="left"/>
              <w:rPr>
                <w:rFonts w:ascii="Arial Narrow" w:hAnsi="Arial Narrow" w:cstheme="minorBidi"/>
                <w:sz w:val="20"/>
              </w:rPr>
            </w:pPr>
            <w:r w:rsidRPr="00682EE4">
              <w:rPr>
                <w:rFonts w:ascii="Arial Narrow" w:hAnsi="Arial Narrow" w:cstheme="minorBidi"/>
                <w:sz w:val="20"/>
              </w:rPr>
              <w:t>Difference to net cos</w:t>
            </w:r>
            <w:r w:rsidR="00934C6D" w:rsidRPr="00682EE4">
              <w:rPr>
                <w:rFonts w:ascii="Arial Narrow" w:hAnsi="Arial Narrow" w:cstheme="minorBidi"/>
                <w:sz w:val="20"/>
              </w:rPr>
              <w:t>t before and after Brenzys</w:t>
            </w:r>
            <w:r w:rsidRPr="00682EE4">
              <w:rPr>
                <w:rFonts w:ascii="Arial Narrow" w:hAnsi="Arial Narrow" w:cstheme="minorBidi"/>
                <w:sz w:val="20"/>
              </w:rPr>
              <w:t xml:space="preserve"> listing</w:t>
            </w:r>
          </w:p>
        </w:tc>
        <w:tc>
          <w:tcPr>
            <w:tcW w:w="1080" w:type="dxa"/>
            <w:vAlign w:val="center"/>
          </w:tcPr>
          <w:p w:rsidR="00BC4950" w:rsidRPr="00682EE4" w:rsidRDefault="00606635" w:rsidP="00871E7C">
            <w:pPr>
              <w:widowControl/>
              <w:jc w:val="center"/>
              <w:rPr>
                <w:rFonts w:ascii="Arial Narrow" w:hAnsi="Arial Narrow"/>
                <w:iCs/>
                <w:snapToGrid/>
                <w:sz w:val="20"/>
                <w:lang w:eastAsia="zh-CN"/>
              </w:rPr>
            </w:pPr>
            <w:r w:rsidRPr="00682EE4">
              <w:rPr>
                <w:rFonts w:ascii="Arial Narrow" w:hAnsi="Arial Narrow"/>
                <w:iCs/>
                <w:sz w:val="20"/>
              </w:rPr>
              <w:t>-</w:t>
            </w:r>
            <w:r w:rsidR="00BC4950" w:rsidRPr="00682EE4">
              <w:rPr>
                <w:rFonts w:ascii="Arial Narrow" w:hAnsi="Arial Narrow"/>
                <w:iCs/>
                <w:sz w:val="20"/>
              </w:rPr>
              <w:t>$</w:t>
            </w:r>
            <w:r w:rsidR="00BC4950" w:rsidRPr="00B50376">
              <w:rPr>
                <w:rFonts w:ascii="Arial Narrow" w:hAnsi="Arial Narrow"/>
                <w:iCs/>
                <w:sz w:val="20"/>
              </w:rPr>
              <w:t>31,246,827</w:t>
            </w:r>
          </w:p>
        </w:tc>
        <w:tc>
          <w:tcPr>
            <w:tcW w:w="1080" w:type="dxa"/>
            <w:vAlign w:val="center"/>
          </w:tcPr>
          <w:p w:rsidR="00BC4950" w:rsidRPr="00682EE4" w:rsidRDefault="00606635" w:rsidP="00871E7C">
            <w:pPr>
              <w:jc w:val="center"/>
              <w:rPr>
                <w:rFonts w:ascii="Arial Narrow" w:hAnsi="Arial Narrow"/>
                <w:iCs/>
                <w:sz w:val="20"/>
              </w:rPr>
            </w:pPr>
            <w:r w:rsidRPr="00682EE4">
              <w:rPr>
                <w:rFonts w:ascii="Arial Narrow" w:hAnsi="Arial Narrow"/>
                <w:iCs/>
                <w:sz w:val="20"/>
              </w:rPr>
              <w:t>-</w:t>
            </w:r>
            <w:r w:rsidR="00BC4950" w:rsidRPr="00682EE4">
              <w:rPr>
                <w:rFonts w:ascii="Arial Narrow" w:hAnsi="Arial Narrow"/>
                <w:iCs/>
                <w:sz w:val="20"/>
              </w:rPr>
              <w:t>$</w:t>
            </w:r>
            <w:r w:rsidR="00BC4950" w:rsidRPr="00B50376">
              <w:rPr>
                <w:rFonts w:ascii="Arial Narrow" w:hAnsi="Arial Narrow"/>
                <w:iCs/>
                <w:sz w:val="20"/>
              </w:rPr>
              <w:t>33,488,865</w:t>
            </w:r>
          </w:p>
        </w:tc>
        <w:tc>
          <w:tcPr>
            <w:tcW w:w="1080" w:type="dxa"/>
            <w:vAlign w:val="center"/>
          </w:tcPr>
          <w:p w:rsidR="00BC4950" w:rsidRPr="00682EE4" w:rsidRDefault="00606635" w:rsidP="00871E7C">
            <w:pPr>
              <w:jc w:val="center"/>
              <w:rPr>
                <w:rFonts w:ascii="Arial Narrow" w:hAnsi="Arial Narrow"/>
                <w:iCs/>
                <w:sz w:val="20"/>
              </w:rPr>
            </w:pPr>
            <w:r w:rsidRPr="00682EE4">
              <w:rPr>
                <w:rFonts w:ascii="Arial Narrow" w:hAnsi="Arial Narrow"/>
                <w:iCs/>
                <w:sz w:val="20"/>
              </w:rPr>
              <w:t>-</w:t>
            </w:r>
            <w:r w:rsidR="00BC4950" w:rsidRPr="00682EE4">
              <w:rPr>
                <w:rFonts w:ascii="Arial Narrow" w:hAnsi="Arial Narrow"/>
                <w:iCs/>
                <w:sz w:val="20"/>
              </w:rPr>
              <w:t>$</w:t>
            </w:r>
            <w:r w:rsidR="00BC4950" w:rsidRPr="00B50376">
              <w:rPr>
                <w:rFonts w:ascii="Arial Narrow" w:hAnsi="Arial Narrow"/>
                <w:iCs/>
                <w:sz w:val="20"/>
              </w:rPr>
              <w:t>35,730,904</w:t>
            </w:r>
          </w:p>
        </w:tc>
        <w:tc>
          <w:tcPr>
            <w:tcW w:w="1080" w:type="dxa"/>
            <w:vAlign w:val="center"/>
          </w:tcPr>
          <w:p w:rsidR="00BC4950" w:rsidRPr="00682EE4" w:rsidRDefault="00606635" w:rsidP="00871E7C">
            <w:pPr>
              <w:jc w:val="center"/>
              <w:rPr>
                <w:rFonts w:ascii="Arial Narrow" w:hAnsi="Arial Narrow"/>
                <w:iCs/>
                <w:sz w:val="20"/>
              </w:rPr>
            </w:pPr>
            <w:r w:rsidRPr="00682EE4">
              <w:rPr>
                <w:rFonts w:ascii="Arial Narrow" w:hAnsi="Arial Narrow"/>
                <w:iCs/>
                <w:sz w:val="20"/>
              </w:rPr>
              <w:t>-</w:t>
            </w:r>
            <w:r w:rsidR="00BC4950" w:rsidRPr="00682EE4">
              <w:rPr>
                <w:rFonts w:ascii="Arial Narrow" w:hAnsi="Arial Narrow"/>
                <w:iCs/>
                <w:sz w:val="20"/>
              </w:rPr>
              <w:t>$</w:t>
            </w:r>
            <w:r w:rsidR="00BC4950" w:rsidRPr="00B50376">
              <w:rPr>
                <w:rFonts w:ascii="Arial Narrow" w:hAnsi="Arial Narrow"/>
                <w:iCs/>
                <w:sz w:val="20"/>
              </w:rPr>
              <w:t>37,972,943</w:t>
            </w:r>
          </w:p>
        </w:tc>
        <w:tc>
          <w:tcPr>
            <w:tcW w:w="1081" w:type="dxa"/>
            <w:vAlign w:val="center"/>
          </w:tcPr>
          <w:p w:rsidR="00BC4950" w:rsidRPr="00682EE4" w:rsidRDefault="00606635" w:rsidP="00871E7C">
            <w:pPr>
              <w:jc w:val="center"/>
              <w:rPr>
                <w:rFonts w:ascii="Arial Narrow" w:hAnsi="Arial Narrow"/>
                <w:iCs/>
                <w:sz w:val="20"/>
              </w:rPr>
            </w:pPr>
            <w:r w:rsidRPr="00682EE4">
              <w:rPr>
                <w:rFonts w:ascii="Arial Narrow" w:hAnsi="Arial Narrow"/>
                <w:iCs/>
                <w:sz w:val="20"/>
              </w:rPr>
              <w:t>-</w:t>
            </w:r>
            <w:r w:rsidR="00BC4950" w:rsidRPr="00682EE4">
              <w:rPr>
                <w:rFonts w:ascii="Arial Narrow" w:hAnsi="Arial Narrow"/>
                <w:iCs/>
                <w:sz w:val="20"/>
              </w:rPr>
              <w:t>$</w:t>
            </w:r>
            <w:r w:rsidR="00BC4950" w:rsidRPr="00B50376">
              <w:rPr>
                <w:rFonts w:ascii="Arial Narrow" w:hAnsi="Arial Narrow"/>
                <w:iCs/>
                <w:sz w:val="20"/>
              </w:rPr>
              <w:t>40,214,981</w:t>
            </w:r>
          </w:p>
        </w:tc>
      </w:tr>
      <w:tr w:rsidR="00BC4950" w:rsidRPr="00682EE4" w:rsidTr="00871E7C">
        <w:tc>
          <w:tcPr>
            <w:tcW w:w="2944" w:type="dxa"/>
          </w:tcPr>
          <w:p w:rsidR="00BC4950" w:rsidRPr="00682EE4" w:rsidRDefault="00BC4950" w:rsidP="00934C6D">
            <w:pPr>
              <w:jc w:val="left"/>
              <w:rPr>
                <w:rFonts w:ascii="Arial Narrow" w:hAnsi="Arial Narrow" w:cstheme="minorBidi"/>
                <w:sz w:val="20"/>
                <w:vertAlign w:val="superscript"/>
              </w:rPr>
            </w:pPr>
            <w:r w:rsidRPr="00682EE4">
              <w:rPr>
                <w:rFonts w:ascii="Arial Narrow" w:hAnsi="Arial Narrow" w:cstheme="minorBidi"/>
                <w:sz w:val="20"/>
              </w:rPr>
              <w:t xml:space="preserve">Estimated net cost of </w:t>
            </w:r>
            <w:r w:rsidR="00934C6D" w:rsidRPr="00682EE4">
              <w:rPr>
                <w:rFonts w:ascii="Arial Narrow" w:hAnsi="Arial Narrow" w:cstheme="minorBidi"/>
                <w:sz w:val="20"/>
              </w:rPr>
              <w:t>Enbrel</w:t>
            </w:r>
            <w:r w:rsidRPr="00682EE4">
              <w:rPr>
                <w:rFonts w:ascii="Arial Narrow" w:hAnsi="Arial Narrow" w:cstheme="minorBidi"/>
                <w:sz w:val="20"/>
              </w:rPr>
              <w:t xml:space="preserve"> 50</w:t>
            </w:r>
            <w:r w:rsidR="00262BBA" w:rsidRPr="00682EE4">
              <w:rPr>
                <w:rFonts w:ascii="Arial Narrow" w:hAnsi="Arial Narrow" w:cstheme="minorBidi"/>
                <w:sz w:val="20"/>
              </w:rPr>
              <w:t> </w:t>
            </w:r>
            <w:r w:rsidRPr="00682EE4">
              <w:rPr>
                <w:rFonts w:ascii="Arial Narrow" w:hAnsi="Arial Narrow" w:cstheme="minorBidi"/>
                <w:sz w:val="20"/>
              </w:rPr>
              <w:t xml:space="preserve">mg with no </w:t>
            </w:r>
            <w:r w:rsidR="00934C6D" w:rsidRPr="00682EE4">
              <w:rPr>
                <w:rFonts w:ascii="Arial Narrow" w:hAnsi="Arial Narrow" w:cstheme="minorBidi"/>
                <w:sz w:val="20"/>
              </w:rPr>
              <w:t>Brenzys</w:t>
            </w:r>
            <w:r w:rsidRPr="00682EE4">
              <w:rPr>
                <w:rFonts w:ascii="Arial Narrow" w:hAnsi="Arial Narrow" w:cstheme="minorBidi"/>
                <w:sz w:val="20"/>
              </w:rPr>
              <w:t xml:space="preserve"> listing with current cost</w:t>
            </w:r>
            <w:r w:rsidRPr="00682EE4">
              <w:rPr>
                <w:rFonts w:ascii="Arial Narrow" w:hAnsi="Arial Narrow" w:cstheme="minorBidi"/>
                <w:sz w:val="20"/>
                <w:vertAlign w:val="superscript"/>
              </w:rPr>
              <w:t>6</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191,886,749</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205,655,107</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219,423,464</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233,191,822</w:t>
            </w:r>
          </w:p>
        </w:tc>
        <w:tc>
          <w:tcPr>
            <w:tcW w:w="1081"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246,960,180</w:t>
            </w:r>
          </w:p>
        </w:tc>
      </w:tr>
      <w:tr w:rsidR="00BC4950" w:rsidRPr="00682EE4" w:rsidTr="00871E7C">
        <w:tc>
          <w:tcPr>
            <w:tcW w:w="2944" w:type="dxa"/>
          </w:tcPr>
          <w:p w:rsidR="00BC4950" w:rsidRPr="00682EE4" w:rsidRDefault="00BC4950" w:rsidP="00934C6D">
            <w:pPr>
              <w:jc w:val="left"/>
              <w:rPr>
                <w:rFonts w:ascii="Arial Narrow" w:hAnsi="Arial Narrow" w:cstheme="minorBidi"/>
                <w:sz w:val="20"/>
                <w:vertAlign w:val="superscript"/>
              </w:rPr>
            </w:pPr>
            <w:r w:rsidRPr="00682EE4">
              <w:rPr>
                <w:rFonts w:ascii="Arial Narrow" w:hAnsi="Arial Narrow" w:cstheme="minorBidi"/>
                <w:sz w:val="20"/>
              </w:rPr>
              <w:t xml:space="preserve">Estimated net cost of </w:t>
            </w:r>
            <w:r w:rsidR="00934C6D" w:rsidRPr="00682EE4">
              <w:rPr>
                <w:rFonts w:ascii="Arial Narrow" w:hAnsi="Arial Narrow" w:cstheme="minorBidi"/>
                <w:sz w:val="20"/>
              </w:rPr>
              <w:t>Enbrel</w:t>
            </w:r>
            <w:r w:rsidRPr="00682EE4">
              <w:rPr>
                <w:rFonts w:ascii="Arial Narrow" w:hAnsi="Arial Narrow" w:cstheme="minorBidi"/>
                <w:sz w:val="20"/>
              </w:rPr>
              <w:t xml:space="preserve"> 50</w:t>
            </w:r>
            <w:r w:rsidR="00262BBA" w:rsidRPr="00682EE4">
              <w:rPr>
                <w:rFonts w:ascii="Arial Narrow" w:hAnsi="Arial Narrow" w:cstheme="minorBidi"/>
                <w:sz w:val="20"/>
              </w:rPr>
              <w:t> </w:t>
            </w:r>
            <w:r w:rsidRPr="00682EE4">
              <w:rPr>
                <w:rFonts w:ascii="Arial Narrow" w:hAnsi="Arial Narrow" w:cstheme="minorBidi"/>
                <w:sz w:val="20"/>
              </w:rPr>
              <w:t xml:space="preserve">mg plus </w:t>
            </w:r>
            <w:r w:rsidR="00934C6D" w:rsidRPr="00682EE4">
              <w:rPr>
                <w:rFonts w:ascii="Arial Narrow" w:hAnsi="Arial Narrow" w:cstheme="minorBidi"/>
                <w:sz w:val="20"/>
              </w:rPr>
              <w:t>Brenzys if Brenzys</w:t>
            </w:r>
            <w:r w:rsidRPr="00682EE4">
              <w:rPr>
                <w:rFonts w:ascii="Arial Narrow" w:hAnsi="Arial Narrow" w:cstheme="minorBidi"/>
                <w:sz w:val="20"/>
              </w:rPr>
              <w:t xml:space="preserve"> listed with current costs</w:t>
            </w:r>
            <w:r w:rsidRPr="00682EE4">
              <w:rPr>
                <w:rFonts w:ascii="Arial Narrow" w:hAnsi="Arial Narrow" w:cstheme="minorBidi"/>
                <w:sz w:val="20"/>
                <w:vertAlign w:val="superscript"/>
              </w:rPr>
              <w:t>7</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162,201,511</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173,839,878</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185,478,245</w:t>
            </w:r>
          </w:p>
        </w:tc>
        <w:tc>
          <w:tcPr>
            <w:tcW w:w="1080"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197,116,612</w:t>
            </w:r>
          </w:p>
        </w:tc>
        <w:tc>
          <w:tcPr>
            <w:tcW w:w="1081" w:type="dxa"/>
            <w:vAlign w:val="center"/>
          </w:tcPr>
          <w:p w:rsidR="00BC4950" w:rsidRPr="00682EE4" w:rsidRDefault="00BC4950" w:rsidP="00871E7C">
            <w:pPr>
              <w:jc w:val="center"/>
              <w:rPr>
                <w:rFonts w:ascii="Arial Narrow" w:hAnsi="Arial Narrow"/>
                <w:iCs/>
                <w:sz w:val="20"/>
              </w:rPr>
            </w:pPr>
            <w:r w:rsidRPr="00682EE4">
              <w:rPr>
                <w:rFonts w:ascii="Arial Narrow" w:hAnsi="Arial Narrow"/>
                <w:iCs/>
                <w:sz w:val="20"/>
              </w:rPr>
              <w:t>$</w:t>
            </w:r>
            <w:r w:rsidRPr="00B50376">
              <w:rPr>
                <w:rFonts w:ascii="Arial Narrow" w:hAnsi="Arial Narrow"/>
                <w:iCs/>
                <w:sz w:val="20"/>
              </w:rPr>
              <w:t>208,754,980</w:t>
            </w:r>
          </w:p>
        </w:tc>
      </w:tr>
      <w:tr w:rsidR="00BC4950" w:rsidRPr="00682EE4" w:rsidTr="00871E7C">
        <w:tc>
          <w:tcPr>
            <w:tcW w:w="2944" w:type="dxa"/>
          </w:tcPr>
          <w:p w:rsidR="00BC4950" w:rsidRPr="00682EE4" w:rsidRDefault="00BC4950" w:rsidP="00934C6D">
            <w:pPr>
              <w:jc w:val="left"/>
              <w:rPr>
                <w:rFonts w:ascii="Arial Narrow" w:hAnsi="Arial Narrow" w:cstheme="minorBidi"/>
                <w:sz w:val="20"/>
              </w:rPr>
            </w:pPr>
            <w:r w:rsidRPr="00682EE4">
              <w:rPr>
                <w:rFonts w:ascii="Arial Narrow" w:hAnsi="Arial Narrow" w:cstheme="minorBidi"/>
                <w:sz w:val="20"/>
              </w:rPr>
              <w:t xml:space="preserve">Difference to net cost before and after </w:t>
            </w:r>
            <w:r w:rsidR="00934C6D" w:rsidRPr="00682EE4">
              <w:rPr>
                <w:rFonts w:ascii="Arial Narrow" w:hAnsi="Arial Narrow" w:cstheme="minorBidi"/>
                <w:sz w:val="20"/>
              </w:rPr>
              <w:t>Brenzys</w:t>
            </w:r>
            <w:r w:rsidRPr="00682EE4">
              <w:rPr>
                <w:rFonts w:ascii="Arial Narrow" w:hAnsi="Arial Narrow" w:cstheme="minorBidi"/>
                <w:sz w:val="20"/>
              </w:rPr>
              <w:t xml:space="preserve"> listing</w:t>
            </w:r>
          </w:p>
        </w:tc>
        <w:tc>
          <w:tcPr>
            <w:tcW w:w="1080" w:type="dxa"/>
            <w:vAlign w:val="center"/>
          </w:tcPr>
          <w:p w:rsidR="00BC4950" w:rsidRPr="00682EE4" w:rsidRDefault="00606635" w:rsidP="00871E7C">
            <w:pPr>
              <w:jc w:val="center"/>
              <w:rPr>
                <w:rFonts w:ascii="Arial Narrow" w:hAnsi="Arial Narrow"/>
                <w:iCs/>
                <w:sz w:val="20"/>
              </w:rPr>
            </w:pPr>
            <w:r w:rsidRPr="00682EE4">
              <w:rPr>
                <w:rFonts w:ascii="Arial Narrow" w:hAnsi="Arial Narrow"/>
                <w:iCs/>
                <w:sz w:val="20"/>
              </w:rPr>
              <w:t>-</w:t>
            </w:r>
            <w:r w:rsidR="00BC4950" w:rsidRPr="00682EE4">
              <w:rPr>
                <w:rFonts w:ascii="Arial Narrow" w:hAnsi="Arial Narrow"/>
                <w:iCs/>
                <w:sz w:val="20"/>
              </w:rPr>
              <w:t>$</w:t>
            </w:r>
            <w:r w:rsidR="00BC4950" w:rsidRPr="00B50376">
              <w:rPr>
                <w:rFonts w:ascii="Arial Narrow" w:hAnsi="Arial Narrow"/>
                <w:iCs/>
                <w:sz w:val="20"/>
              </w:rPr>
              <w:t>29,685,238</w:t>
            </w:r>
          </w:p>
        </w:tc>
        <w:tc>
          <w:tcPr>
            <w:tcW w:w="1080" w:type="dxa"/>
            <w:vAlign w:val="center"/>
          </w:tcPr>
          <w:p w:rsidR="00BC4950" w:rsidRPr="00682EE4" w:rsidRDefault="00606635" w:rsidP="00871E7C">
            <w:pPr>
              <w:jc w:val="center"/>
              <w:rPr>
                <w:rFonts w:ascii="Arial Narrow" w:hAnsi="Arial Narrow"/>
                <w:iCs/>
                <w:sz w:val="20"/>
              </w:rPr>
            </w:pPr>
            <w:r w:rsidRPr="00682EE4">
              <w:rPr>
                <w:rFonts w:ascii="Arial Narrow" w:hAnsi="Arial Narrow"/>
                <w:iCs/>
                <w:sz w:val="20"/>
              </w:rPr>
              <w:t>-</w:t>
            </w:r>
            <w:r w:rsidR="00BC4950" w:rsidRPr="00682EE4">
              <w:rPr>
                <w:rFonts w:ascii="Arial Narrow" w:hAnsi="Arial Narrow"/>
                <w:iCs/>
                <w:sz w:val="20"/>
              </w:rPr>
              <w:t>$</w:t>
            </w:r>
            <w:r w:rsidR="00BC4950" w:rsidRPr="00B50376">
              <w:rPr>
                <w:rFonts w:ascii="Arial Narrow" w:hAnsi="Arial Narrow"/>
                <w:iCs/>
                <w:sz w:val="20"/>
              </w:rPr>
              <w:t>31,815,229</w:t>
            </w:r>
          </w:p>
        </w:tc>
        <w:tc>
          <w:tcPr>
            <w:tcW w:w="1080" w:type="dxa"/>
            <w:vAlign w:val="center"/>
          </w:tcPr>
          <w:p w:rsidR="00BC4950" w:rsidRPr="00682EE4" w:rsidRDefault="00606635" w:rsidP="00871E7C">
            <w:pPr>
              <w:jc w:val="center"/>
              <w:rPr>
                <w:rFonts w:ascii="Arial Narrow" w:hAnsi="Arial Narrow"/>
                <w:iCs/>
                <w:sz w:val="20"/>
              </w:rPr>
            </w:pPr>
            <w:r w:rsidRPr="00682EE4">
              <w:rPr>
                <w:rFonts w:ascii="Arial Narrow" w:hAnsi="Arial Narrow"/>
                <w:iCs/>
                <w:sz w:val="20"/>
              </w:rPr>
              <w:t>-</w:t>
            </w:r>
            <w:r w:rsidR="00BC4950" w:rsidRPr="00682EE4">
              <w:rPr>
                <w:rFonts w:ascii="Arial Narrow" w:hAnsi="Arial Narrow"/>
                <w:iCs/>
                <w:sz w:val="20"/>
              </w:rPr>
              <w:t>$</w:t>
            </w:r>
            <w:r w:rsidR="00BC4950" w:rsidRPr="00B50376">
              <w:rPr>
                <w:rFonts w:ascii="Arial Narrow" w:hAnsi="Arial Narrow"/>
                <w:iCs/>
                <w:sz w:val="20"/>
              </w:rPr>
              <w:t>33,945,219</w:t>
            </w:r>
          </w:p>
        </w:tc>
        <w:tc>
          <w:tcPr>
            <w:tcW w:w="1080" w:type="dxa"/>
            <w:vAlign w:val="center"/>
          </w:tcPr>
          <w:p w:rsidR="00BC4950" w:rsidRPr="00682EE4" w:rsidRDefault="00606635" w:rsidP="00871E7C">
            <w:pPr>
              <w:jc w:val="center"/>
              <w:rPr>
                <w:rFonts w:ascii="Arial Narrow" w:hAnsi="Arial Narrow"/>
                <w:iCs/>
                <w:sz w:val="20"/>
              </w:rPr>
            </w:pPr>
            <w:r w:rsidRPr="00682EE4">
              <w:rPr>
                <w:rFonts w:ascii="Arial Narrow" w:hAnsi="Arial Narrow"/>
                <w:iCs/>
                <w:sz w:val="20"/>
              </w:rPr>
              <w:t>-</w:t>
            </w:r>
            <w:r w:rsidR="00BC4950" w:rsidRPr="00682EE4">
              <w:rPr>
                <w:rFonts w:ascii="Arial Narrow" w:hAnsi="Arial Narrow"/>
                <w:iCs/>
                <w:sz w:val="20"/>
              </w:rPr>
              <w:t>$</w:t>
            </w:r>
            <w:r w:rsidR="00BC4950" w:rsidRPr="00B50376">
              <w:rPr>
                <w:rFonts w:ascii="Arial Narrow" w:hAnsi="Arial Narrow"/>
                <w:iCs/>
                <w:sz w:val="20"/>
              </w:rPr>
              <w:t>36,075,210</w:t>
            </w:r>
          </w:p>
        </w:tc>
        <w:tc>
          <w:tcPr>
            <w:tcW w:w="1081" w:type="dxa"/>
            <w:vAlign w:val="center"/>
          </w:tcPr>
          <w:p w:rsidR="00BC4950" w:rsidRPr="00682EE4" w:rsidRDefault="00606635" w:rsidP="00871E7C">
            <w:pPr>
              <w:jc w:val="center"/>
              <w:rPr>
                <w:rFonts w:ascii="Arial Narrow" w:hAnsi="Arial Narrow"/>
                <w:iCs/>
                <w:sz w:val="20"/>
              </w:rPr>
            </w:pPr>
            <w:r w:rsidRPr="00682EE4">
              <w:rPr>
                <w:rFonts w:ascii="Arial Narrow" w:hAnsi="Arial Narrow"/>
                <w:iCs/>
                <w:sz w:val="20"/>
              </w:rPr>
              <w:t>-</w:t>
            </w:r>
            <w:r w:rsidR="00BC4950" w:rsidRPr="00682EE4">
              <w:rPr>
                <w:rFonts w:ascii="Arial Narrow" w:hAnsi="Arial Narrow"/>
                <w:iCs/>
                <w:sz w:val="20"/>
              </w:rPr>
              <w:t>$</w:t>
            </w:r>
            <w:r w:rsidR="00BC4950" w:rsidRPr="00B50376">
              <w:rPr>
                <w:rFonts w:ascii="Arial Narrow" w:hAnsi="Arial Narrow"/>
                <w:iCs/>
                <w:sz w:val="20"/>
              </w:rPr>
              <w:t>38,205,201</w:t>
            </w:r>
          </w:p>
        </w:tc>
      </w:tr>
    </w:tbl>
    <w:p w:rsidR="00BC4950" w:rsidRPr="00682EE4" w:rsidRDefault="00BC4950" w:rsidP="00871E7C">
      <w:pPr>
        <w:tabs>
          <w:tab w:val="left" w:pos="993"/>
        </w:tabs>
        <w:ind w:left="993" w:hanging="284"/>
        <w:rPr>
          <w:rFonts w:ascii="Arial Narrow" w:hAnsi="Arial Narrow"/>
          <w:sz w:val="20"/>
        </w:rPr>
      </w:pPr>
      <w:r w:rsidRPr="00682EE4">
        <w:rPr>
          <w:rFonts w:ascii="Arial Narrow" w:hAnsi="Arial Narrow"/>
          <w:sz w:val="20"/>
          <w:vertAlign w:val="superscript"/>
        </w:rPr>
        <w:t>1</w:t>
      </w:r>
      <w:r w:rsidR="00871E7C" w:rsidRPr="00682EE4">
        <w:rPr>
          <w:rFonts w:ascii="Arial Narrow" w:hAnsi="Arial Narrow"/>
          <w:sz w:val="20"/>
          <w:vertAlign w:val="superscript"/>
        </w:rPr>
        <w:tab/>
      </w:r>
      <w:r w:rsidRPr="00682EE4">
        <w:rPr>
          <w:rFonts w:ascii="Arial Narrow" w:hAnsi="Arial Narrow"/>
          <w:sz w:val="20"/>
        </w:rPr>
        <w:t xml:space="preserve">Assume a DPMQ for </w:t>
      </w:r>
      <w:r w:rsidR="00934C6D" w:rsidRPr="00682EE4">
        <w:rPr>
          <w:rFonts w:ascii="Arial Narrow" w:hAnsi="Arial Narrow"/>
          <w:sz w:val="20"/>
        </w:rPr>
        <w:t>Brenzys and Enbrel</w:t>
      </w:r>
      <w:r w:rsidRPr="00682EE4">
        <w:rPr>
          <w:rFonts w:ascii="Arial Narrow" w:hAnsi="Arial Narrow"/>
          <w:sz w:val="20"/>
        </w:rPr>
        <w:t xml:space="preserve"> 50</w:t>
      </w:r>
      <w:r w:rsidR="00262BBA" w:rsidRPr="00682EE4">
        <w:rPr>
          <w:rFonts w:ascii="Arial Narrow" w:hAnsi="Arial Narrow"/>
          <w:sz w:val="20"/>
        </w:rPr>
        <w:t> </w:t>
      </w:r>
      <w:r w:rsidRPr="00682EE4">
        <w:rPr>
          <w:rFonts w:ascii="Arial Narrow" w:hAnsi="Arial Narrow"/>
          <w:sz w:val="20"/>
        </w:rPr>
        <w:t>mg of $</w:t>
      </w:r>
      <w:r w:rsidRPr="00AD0338">
        <w:rPr>
          <w:rFonts w:ascii="Arial Narrow" w:hAnsi="Arial Narrow"/>
          <w:sz w:val="20"/>
        </w:rPr>
        <w:t>1,493.64</w:t>
      </w:r>
      <w:r w:rsidRPr="00682EE4">
        <w:rPr>
          <w:rFonts w:ascii="Arial Narrow" w:hAnsi="Arial Narrow"/>
          <w:sz w:val="20"/>
        </w:rPr>
        <w:t xml:space="preserve"> </w:t>
      </w:r>
    </w:p>
    <w:p w:rsidR="00BC4950" w:rsidRPr="00682EE4" w:rsidRDefault="00BC4950" w:rsidP="00871E7C">
      <w:pPr>
        <w:tabs>
          <w:tab w:val="left" w:pos="993"/>
        </w:tabs>
        <w:ind w:left="993" w:hanging="284"/>
        <w:rPr>
          <w:rFonts w:ascii="Arial Narrow" w:hAnsi="Arial Narrow"/>
          <w:iCs/>
          <w:sz w:val="20"/>
        </w:rPr>
      </w:pPr>
      <w:r w:rsidRPr="00682EE4">
        <w:rPr>
          <w:rFonts w:ascii="Arial Narrow" w:hAnsi="Arial Narrow"/>
          <w:sz w:val="20"/>
          <w:vertAlign w:val="superscript"/>
        </w:rPr>
        <w:t>2</w:t>
      </w:r>
      <w:r w:rsidR="00871E7C" w:rsidRPr="00682EE4">
        <w:rPr>
          <w:rFonts w:ascii="Arial Narrow" w:hAnsi="Arial Narrow"/>
          <w:sz w:val="20"/>
          <w:vertAlign w:val="superscript"/>
        </w:rPr>
        <w:tab/>
      </w:r>
      <w:r w:rsidRPr="00682EE4">
        <w:rPr>
          <w:rFonts w:ascii="Arial Narrow" w:hAnsi="Arial Narrow"/>
          <w:iCs/>
          <w:sz w:val="20"/>
        </w:rPr>
        <w:t xml:space="preserve">Assume an average </w:t>
      </w:r>
      <w:r w:rsidR="00371A52" w:rsidRPr="00682EE4">
        <w:rPr>
          <w:rFonts w:ascii="Arial Narrow" w:hAnsi="Arial Narrow"/>
          <w:iCs/>
          <w:sz w:val="20"/>
        </w:rPr>
        <w:t>co-payment</w:t>
      </w:r>
      <w:r w:rsidRPr="00682EE4">
        <w:rPr>
          <w:rFonts w:ascii="Arial Narrow" w:hAnsi="Arial Narrow"/>
          <w:iCs/>
          <w:sz w:val="20"/>
        </w:rPr>
        <w:t xml:space="preserve"> of $</w:t>
      </w:r>
      <w:r w:rsidRPr="00AD0338">
        <w:rPr>
          <w:rFonts w:ascii="Arial Narrow" w:hAnsi="Arial Narrow"/>
          <w:iCs/>
          <w:sz w:val="20"/>
        </w:rPr>
        <w:t>21.58</w:t>
      </w:r>
      <w:r w:rsidRPr="00682EE4">
        <w:rPr>
          <w:rFonts w:ascii="Arial Narrow" w:hAnsi="Arial Narrow"/>
          <w:iCs/>
          <w:sz w:val="20"/>
        </w:rPr>
        <w:t xml:space="preserve"> per script </w:t>
      </w:r>
    </w:p>
    <w:p w:rsidR="00BC4950" w:rsidRPr="00682EE4" w:rsidRDefault="00BC4950" w:rsidP="00871E7C">
      <w:pPr>
        <w:tabs>
          <w:tab w:val="left" w:pos="993"/>
        </w:tabs>
        <w:ind w:left="993" w:hanging="284"/>
        <w:rPr>
          <w:rFonts w:ascii="Arial Narrow" w:hAnsi="Arial Narrow"/>
          <w:sz w:val="20"/>
        </w:rPr>
      </w:pPr>
      <w:r w:rsidRPr="00682EE4">
        <w:rPr>
          <w:rFonts w:ascii="Arial Narrow" w:hAnsi="Arial Narrow"/>
          <w:sz w:val="20"/>
          <w:vertAlign w:val="superscript"/>
        </w:rPr>
        <w:t>3</w:t>
      </w:r>
      <w:r w:rsidR="00871E7C" w:rsidRPr="00682EE4">
        <w:rPr>
          <w:rFonts w:ascii="Arial Narrow" w:hAnsi="Arial Narrow"/>
          <w:sz w:val="20"/>
          <w:vertAlign w:val="superscript"/>
        </w:rPr>
        <w:tab/>
      </w:r>
      <w:r w:rsidRPr="00682EE4">
        <w:rPr>
          <w:rFonts w:ascii="Arial Narrow" w:hAnsi="Arial Narrow"/>
          <w:sz w:val="20"/>
        </w:rPr>
        <w:t xml:space="preserve">Assume a DPMQ for </w:t>
      </w:r>
      <w:r w:rsidR="00934C6D" w:rsidRPr="00682EE4">
        <w:rPr>
          <w:rFonts w:ascii="Arial Narrow" w:hAnsi="Arial Narrow"/>
          <w:sz w:val="20"/>
        </w:rPr>
        <w:t>Brenzys and Enbrel</w:t>
      </w:r>
      <w:r w:rsidRPr="00682EE4">
        <w:rPr>
          <w:rFonts w:ascii="Arial Narrow" w:hAnsi="Arial Narrow"/>
          <w:sz w:val="20"/>
        </w:rPr>
        <w:t xml:space="preserve"> 50</w:t>
      </w:r>
      <w:r w:rsidR="00262BBA" w:rsidRPr="00682EE4">
        <w:rPr>
          <w:rFonts w:ascii="Arial Narrow" w:hAnsi="Arial Narrow"/>
          <w:sz w:val="20"/>
        </w:rPr>
        <w:t> </w:t>
      </w:r>
      <w:r w:rsidRPr="00682EE4">
        <w:rPr>
          <w:rFonts w:ascii="Arial Narrow" w:hAnsi="Arial Narrow"/>
          <w:sz w:val="20"/>
        </w:rPr>
        <w:t>mg of $</w:t>
      </w:r>
      <w:r w:rsidRPr="00AD0338">
        <w:rPr>
          <w:rFonts w:ascii="Arial Narrow" w:hAnsi="Arial Narrow"/>
          <w:sz w:val="20"/>
        </w:rPr>
        <w:t>1422.78</w:t>
      </w:r>
    </w:p>
    <w:p w:rsidR="00BC4950" w:rsidRPr="00682EE4" w:rsidRDefault="00BC4950" w:rsidP="00871E7C">
      <w:pPr>
        <w:tabs>
          <w:tab w:val="left" w:pos="993"/>
        </w:tabs>
        <w:ind w:left="993" w:hanging="284"/>
        <w:rPr>
          <w:rFonts w:ascii="Arial Narrow" w:hAnsi="Arial Narrow"/>
          <w:sz w:val="20"/>
        </w:rPr>
      </w:pPr>
      <w:r w:rsidRPr="00682EE4">
        <w:rPr>
          <w:rFonts w:ascii="Arial Narrow" w:hAnsi="Arial Narrow"/>
          <w:sz w:val="20"/>
          <w:vertAlign w:val="superscript"/>
        </w:rPr>
        <w:t>4</w:t>
      </w:r>
      <w:r w:rsidR="00871E7C" w:rsidRPr="00682EE4">
        <w:rPr>
          <w:rFonts w:ascii="Arial Narrow" w:hAnsi="Arial Narrow"/>
          <w:sz w:val="20"/>
          <w:vertAlign w:val="superscript"/>
        </w:rPr>
        <w:tab/>
      </w:r>
      <w:r w:rsidRPr="00682EE4">
        <w:rPr>
          <w:rFonts w:ascii="Arial Narrow" w:hAnsi="Arial Narrow"/>
          <w:sz w:val="20"/>
        </w:rPr>
        <w:t xml:space="preserve">Assume DPMQ for </w:t>
      </w:r>
      <w:r w:rsidR="00934C6D" w:rsidRPr="00682EE4">
        <w:rPr>
          <w:rFonts w:ascii="Arial Narrow" w:hAnsi="Arial Narrow"/>
          <w:sz w:val="20"/>
        </w:rPr>
        <w:t>Enbrel</w:t>
      </w:r>
      <w:r w:rsidRPr="00682EE4">
        <w:rPr>
          <w:rFonts w:ascii="Arial Narrow" w:hAnsi="Arial Narrow"/>
          <w:sz w:val="20"/>
        </w:rPr>
        <w:t xml:space="preserve"> 50</w:t>
      </w:r>
      <w:r w:rsidR="00262BBA" w:rsidRPr="00682EE4">
        <w:rPr>
          <w:rFonts w:ascii="Arial Narrow" w:hAnsi="Arial Narrow"/>
          <w:sz w:val="20"/>
        </w:rPr>
        <w:t> </w:t>
      </w:r>
      <w:r w:rsidRPr="00682EE4">
        <w:rPr>
          <w:rFonts w:ascii="Arial Narrow" w:hAnsi="Arial Narrow"/>
          <w:sz w:val="20"/>
        </w:rPr>
        <w:t>mg of $</w:t>
      </w:r>
      <w:r w:rsidRPr="00AD0338">
        <w:rPr>
          <w:rFonts w:ascii="Arial Narrow" w:hAnsi="Arial Narrow"/>
          <w:sz w:val="20"/>
        </w:rPr>
        <w:t>1,763.57</w:t>
      </w:r>
      <w:r w:rsidRPr="00682EE4">
        <w:rPr>
          <w:rFonts w:ascii="Arial Narrow" w:hAnsi="Arial Narrow"/>
          <w:sz w:val="20"/>
        </w:rPr>
        <w:t xml:space="preserve"> and submission’s estimate </w:t>
      </w:r>
      <w:r w:rsidR="00934C6D" w:rsidRPr="00682EE4">
        <w:rPr>
          <w:rFonts w:ascii="Arial Narrow" w:hAnsi="Arial Narrow"/>
          <w:sz w:val="20"/>
        </w:rPr>
        <w:t>Enbrel</w:t>
      </w:r>
      <w:r w:rsidRPr="00682EE4">
        <w:rPr>
          <w:rFonts w:ascii="Arial Narrow" w:hAnsi="Arial Narrow"/>
          <w:sz w:val="20"/>
        </w:rPr>
        <w:t xml:space="preserve"> 50</w:t>
      </w:r>
      <w:r w:rsidR="00262BBA" w:rsidRPr="00682EE4">
        <w:rPr>
          <w:rFonts w:ascii="Arial Narrow" w:hAnsi="Arial Narrow"/>
          <w:sz w:val="20"/>
        </w:rPr>
        <w:t> </w:t>
      </w:r>
      <w:r w:rsidRPr="00682EE4">
        <w:rPr>
          <w:rFonts w:ascii="Arial Narrow" w:hAnsi="Arial Narrow"/>
          <w:sz w:val="20"/>
        </w:rPr>
        <w:t xml:space="preserve">mg packs, minus </w:t>
      </w:r>
      <w:r w:rsidR="00371A52" w:rsidRPr="00682EE4">
        <w:rPr>
          <w:rFonts w:ascii="Arial Narrow" w:hAnsi="Arial Narrow"/>
          <w:sz w:val="20"/>
        </w:rPr>
        <w:t>co-payment</w:t>
      </w:r>
      <w:r w:rsidRPr="00682EE4">
        <w:rPr>
          <w:rFonts w:ascii="Arial Narrow" w:hAnsi="Arial Narrow"/>
          <w:sz w:val="20"/>
        </w:rPr>
        <w:t xml:space="preserve">. Lower than submission estimates in table E.3-6, p65 of the submission but unclear how submission’s estimates are derived. </w:t>
      </w:r>
    </w:p>
    <w:p w:rsidR="00BC4950" w:rsidRPr="00682EE4" w:rsidRDefault="00BC4950" w:rsidP="00871E7C">
      <w:pPr>
        <w:tabs>
          <w:tab w:val="left" w:pos="993"/>
        </w:tabs>
        <w:ind w:left="993" w:hanging="284"/>
        <w:rPr>
          <w:rFonts w:ascii="Arial Narrow" w:hAnsi="Arial Narrow"/>
          <w:sz w:val="20"/>
        </w:rPr>
      </w:pPr>
      <w:r w:rsidRPr="00682EE4">
        <w:rPr>
          <w:rFonts w:ascii="Arial Narrow" w:hAnsi="Arial Narrow"/>
          <w:sz w:val="20"/>
          <w:vertAlign w:val="superscript"/>
        </w:rPr>
        <w:t>5</w:t>
      </w:r>
      <w:r w:rsidR="00871E7C" w:rsidRPr="00682EE4">
        <w:rPr>
          <w:rFonts w:ascii="Arial Narrow" w:hAnsi="Arial Narrow"/>
          <w:sz w:val="20"/>
          <w:vertAlign w:val="superscript"/>
        </w:rPr>
        <w:tab/>
      </w:r>
      <w:r w:rsidRPr="00682EE4">
        <w:rPr>
          <w:rFonts w:ascii="Arial Narrow" w:hAnsi="Arial Narrow"/>
          <w:sz w:val="20"/>
        </w:rPr>
        <w:t xml:space="preserve">Assume DPMQ for </w:t>
      </w:r>
      <w:r w:rsidR="00934C6D" w:rsidRPr="00682EE4">
        <w:rPr>
          <w:rFonts w:ascii="Arial Narrow" w:hAnsi="Arial Narrow"/>
          <w:sz w:val="20"/>
        </w:rPr>
        <w:t>Enbrel</w:t>
      </w:r>
      <w:r w:rsidRPr="00682EE4">
        <w:rPr>
          <w:rFonts w:ascii="Arial Narrow" w:hAnsi="Arial Narrow"/>
          <w:sz w:val="20"/>
        </w:rPr>
        <w:t xml:space="preserve"> 50</w:t>
      </w:r>
      <w:r w:rsidR="00262BBA" w:rsidRPr="00682EE4">
        <w:rPr>
          <w:rFonts w:ascii="Arial Narrow" w:hAnsi="Arial Narrow"/>
          <w:sz w:val="20"/>
        </w:rPr>
        <w:t> </w:t>
      </w:r>
      <w:r w:rsidRPr="00682EE4">
        <w:rPr>
          <w:rFonts w:ascii="Arial Narrow" w:hAnsi="Arial Narrow"/>
          <w:sz w:val="20"/>
        </w:rPr>
        <w:t xml:space="preserve">mg and </w:t>
      </w:r>
      <w:r w:rsidR="00934C6D" w:rsidRPr="00682EE4">
        <w:rPr>
          <w:rFonts w:ascii="Arial Narrow" w:hAnsi="Arial Narrow"/>
          <w:sz w:val="20"/>
        </w:rPr>
        <w:t>Brenzys</w:t>
      </w:r>
      <w:r w:rsidRPr="00682EE4">
        <w:rPr>
          <w:rFonts w:ascii="Arial Narrow" w:hAnsi="Arial Narrow"/>
          <w:sz w:val="20"/>
        </w:rPr>
        <w:t xml:space="preserve"> of $</w:t>
      </w:r>
      <w:r w:rsidRPr="00AD0338">
        <w:rPr>
          <w:rFonts w:ascii="Arial Narrow" w:hAnsi="Arial Narrow"/>
          <w:sz w:val="20"/>
        </w:rPr>
        <w:t>1,493.64</w:t>
      </w:r>
      <w:r w:rsidRPr="00682EE4">
        <w:rPr>
          <w:rFonts w:ascii="Arial Narrow" w:hAnsi="Arial Narrow"/>
          <w:sz w:val="20"/>
        </w:rPr>
        <w:t xml:space="preserve"> due to 16% price reduction and submission’s estimate </w:t>
      </w:r>
      <w:r w:rsidR="00934C6D" w:rsidRPr="00682EE4">
        <w:rPr>
          <w:rFonts w:ascii="Arial Narrow" w:hAnsi="Arial Narrow"/>
          <w:sz w:val="20"/>
        </w:rPr>
        <w:t>Enbrel</w:t>
      </w:r>
      <w:r w:rsidRPr="00682EE4">
        <w:rPr>
          <w:rFonts w:ascii="Arial Narrow" w:hAnsi="Arial Narrow"/>
          <w:sz w:val="20"/>
        </w:rPr>
        <w:t xml:space="preserve"> 50</w:t>
      </w:r>
      <w:r w:rsidR="00262BBA" w:rsidRPr="00682EE4">
        <w:rPr>
          <w:rFonts w:ascii="Arial Narrow" w:hAnsi="Arial Narrow"/>
          <w:sz w:val="20"/>
        </w:rPr>
        <w:t> </w:t>
      </w:r>
      <w:r w:rsidRPr="00682EE4">
        <w:rPr>
          <w:rFonts w:ascii="Arial Narrow" w:hAnsi="Arial Narrow"/>
          <w:sz w:val="20"/>
        </w:rPr>
        <w:t xml:space="preserve">mg packs and </w:t>
      </w:r>
      <w:r w:rsidR="00934C6D" w:rsidRPr="00682EE4">
        <w:rPr>
          <w:rFonts w:ascii="Arial Narrow" w:hAnsi="Arial Narrow"/>
          <w:sz w:val="20"/>
        </w:rPr>
        <w:t>Brenzys</w:t>
      </w:r>
      <w:r w:rsidRPr="00682EE4">
        <w:rPr>
          <w:rFonts w:ascii="Arial Narrow" w:hAnsi="Arial Narrow"/>
          <w:sz w:val="20"/>
        </w:rPr>
        <w:t xml:space="preserve"> uptake, minus </w:t>
      </w:r>
      <w:r w:rsidR="00371A52" w:rsidRPr="00682EE4">
        <w:rPr>
          <w:rFonts w:ascii="Arial Narrow" w:hAnsi="Arial Narrow"/>
          <w:sz w:val="20"/>
        </w:rPr>
        <w:t>co-payment</w:t>
      </w:r>
      <w:r w:rsidRPr="00682EE4">
        <w:rPr>
          <w:rFonts w:ascii="Arial Narrow" w:hAnsi="Arial Narrow"/>
          <w:sz w:val="20"/>
        </w:rPr>
        <w:t>. Lower than submission estimates in table E.3-6, p65 of the submission but unclear how submission’s estimates are derived.</w:t>
      </w:r>
    </w:p>
    <w:p w:rsidR="00BC4950" w:rsidRPr="00682EE4" w:rsidRDefault="00BC4950" w:rsidP="00871E7C">
      <w:pPr>
        <w:tabs>
          <w:tab w:val="left" w:pos="993"/>
        </w:tabs>
        <w:ind w:left="993" w:hanging="284"/>
        <w:rPr>
          <w:rFonts w:ascii="Arial Narrow" w:hAnsi="Arial Narrow"/>
          <w:sz w:val="20"/>
        </w:rPr>
      </w:pPr>
      <w:r w:rsidRPr="00682EE4">
        <w:rPr>
          <w:rFonts w:ascii="Arial Narrow" w:hAnsi="Arial Narrow"/>
          <w:sz w:val="20"/>
          <w:vertAlign w:val="superscript"/>
        </w:rPr>
        <w:t>6</w:t>
      </w:r>
      <w:r w:rsidR="00871E7C" w:rsidRPr="00682EE4">
        <w:rPr>
          <w:rFonts w:ascii="Arial Narrow" w:hAnsi="Arial Narrow"/>
          <w:sz w:val="20"/>
          <w:vertAlign w:val="superscript"/>
        </w:rPr>
        <w:tab/>
      </w:r>
      <w:r w:rsidRPr="00682EE4">
        <w:rPr>
          <w:rFonts w:ascii="Arial Narrow" w:hAnsi="Arial Narrow"/>
          <w:sz w:val="20"/>
        </w:rPr>
        <w:t xml:space="preserve">Assume DPMQ for </w:t>
      </w:r>
      <w:r w:rsidR="00934C6D" w:rsidRPr="00682EE4">
        <w:rPr>
          <w:rFonts w:ascii="Arial Narrow" w:hAnsi="Arial Narrow"/>
          <w:sz w:val="20"/>
        </w:rPr>
        <w:t>Enbrel</w:t>
      </w:r>
      <w:r w:rsidRPr="00682EE4">
        <w:rPr>
          <w:rFonts w:ascii="Arial Narrow" w:hAnsi="Arial Narrow"/>
          <w:sz w:val="20"/>
        </w:rPr>
        <w:t xml:space="preserve"> 50</w:t>
      </w:r>
      <w:r w:rsidR="00262BBA" w:rsidRPr="00682EE4">
        <w:rPr>
          <w:rFonts w:ascii="Arial Narrow" w:hAnsi="Arial Narrow"/>
          <w:sz w:val="20"/>
        </w:rPr>
        <w:t> </w:t>
      </w:r>
      <w:r w:rsidRPr="00682EE4">
        <w:rPr>
          <w:rFonts w:ascii="Arial Narrow" w:hAnsi="Arial Narrow"/>
          <w:sz w:val="20"/>
        </w:rPr>
        <w:t>mg of $</w:t>
      </w:r>
      <w:r w:rsidRPr="00AD0338">
        <w:rPr>
          <w:rFonts w:ascii="Arial Narrow" w:hAnsi="Arial Narrow"/>
          <w:sz w:val="20"/>
        </w:rPr>
        <w:t>1,679.22</w:t>
      </w:r>
      <w:r w:rsidRPr="00682EE4">
        <w:rPr>
          <w:rFonts w:ascii="Arial Narrow" w:hAnsi="Arial Narrow"/>
          <w:sz w:val="20"/>
        </w:rPr>
        <w:t xml:space="preserve"> and submission’s estimate </w:t>
      </w:r>
      <w:r w:rsidR="00934C6D" w:rsidRPr="00682EE4">
        <w:rPr>
          <w:rFonts w:ascii="Arial Narrow" w:hAnsi="Arial Narrow"/>
          <w:sz w:val="20"/>
        </w:rPr>
        <w:t>Enbrel</w:t>
      </w:r>
      <w:r w:rsidRPr="00682EE4">
        <w:rPr>
          <w:rFonts w:ascii="Arial Narrow" w:hAnsi="Arial Narrow"/>
          <w:sz w:val="20"/>
        </w:rPr>
        <w:t xml:space="preserve"> 50</w:t>
      </w:r>
      <w:r w:rsidR="00262BBA" w:rsidRPr="00682EE4">
        <w:rPr>
          <w:rFonts w:ascii="Arial Narrow" w:hAnsi="Arial Narrow"/>
          <w:sz w:val="20"/>
        </w:rPr>
        <w:t> </w:t>
      </w:r>
      <w:r w:rsidRPr="00682EE4">
        <w:rPr>
          <w:rFonts w:ascii="Arial Narrow" w:hAnsi="Arial Narrow"/>
          <w:sz w:val="20"/>
        </w:rPr>
        <w:t xml:space="preserve">mg packs, minus </w:t>
      </w:r>
      <w:r w:rsidR="00371A52" w:rsidRPr="00682EE4">
        <w:rPr>
          <w:rFonts w:ascii="Arial Narrow" w:hAnsi="Arial Narrow"/>
          <w:sz w:val="20"/>
        </w:rPr>
        <w:t>co-payment</w:t>
      </w:r>
    </w:p>
    <w:p w:rsidR="00BC4950" w:rsidRPr="00682EE4" w:rsidRDefault="00BC4950" w:rsidP="00871E7C">
      <w:pPr>
        <w:tabs>
          <w:tab w:val="left" w:pos="993"/>
        </w:tabs>
        <w:ind w:left="993" w:hanging="284"/>
        <w:rPr>
          <w:rFonts w:ascii="Arial Narrow" w:hAnsi="Arial Narrow"/>
          <w:sz w:val="20"/>
        </w:rPr>
      </w:pPr>
      <w:r w:rsidRPr="00682EE4">
        <w:rPr>
          <w:rFonts w:ascii="Arial Narrow" w:hAnsi="Arial Narrow"/>
          <w:sz w:val="20"/>
          <w:vertAlign w:val="superscript"/>
        </w:rPr>
        <w:t>7</w:t>
      </w:r>
      <w:r w:rsidR="00871E7C" w:rsidRPr="00682EE4">
        <w:rPr>
          <w:rFonts w:ascii="Arial Narrow" w:hAnsi="Arial Narrow"/>
          <w:sz w:val="20"/>
          <w:vertAlign w:val="superscript"/>
        </w:rPr>
        <w:tab/>
      </w:r>
      <w:r w:rsidRPr="00682EE4">
        <w:rPr>
          <w:rFonts w:ascii="Arial Narrow" w:hAnsi="Arial Narrow"/>
          <w:sz w:val="20"/>
        </w:rPr>
        <w:t xml:space="preserve">Assume DPMQ for </w:t>
      </w:r>
      <w:r w:rsidR="00934C6D" w:rsidRPr="00682EE4">
        <w:rPr>
          <w:rFonts w:ascii="Arial Narrow" w:hAnsi="Arial Narrow"/>
          <w:sz w:val="20"/>
        </w:rPr>
        <w:t>Enbrel</w:t>
      </w:r>
      <w:r w:rsidRPr="00682EE4">
        <w:rPr>
          <w:rFonts w:ascii="Arial Narrow" w:hAnsi="Arial Narrow"/>
          <w:sz w:val="20"/>
        </w:rPr>
        <w:t xml:space="preserve"> 50</w:t>
      </w:r>
      <w:r w:rsidR="00262BBA" w:rsidRPr="00682EE4">
        <w:rPr>
          <w:rFonts w:ascii="Arial Narrow" w:hAnsi="Arial Narrow"/>
          <w:sz w:val="20"/>
        </w:rPr>
        <w:t> </w:t>
      </w:r>
      <w:r w:rsidRPr="00682EE4">
        <w:rPr>
          <w:rFonts w:ascii="Arial Narrow" w:hAnsi="Arial Narrow"/>
          <w:sz w:val="20"/>
        </w:rPr>
        <w:t>mg of $</w:t>
      </w:r>
      <w:r w:rsidRPr="00246652">
        <w:rPr>
          <w:rFonts w:ascii="Arial Narrow" w:hAnsi="Arial Narrow"/>
          <w:sz w:val="20"/>
        </w:rPr>
        <w:t>1,422.78</w:t>
      </w:r>
      <w:r w:rsidRPr="00682EE4">
        <w:rPr>
          <w:rFonts w:ascii="Arial Narrow" w:hAnsi="Arial Narrow"/>
          <w:sz w:val="20"/>
        </w:rPr>
        <w:t xml:space="preserve"> due to </w:t>
      </w:r>
      <w:r w:rsidRPr="00AD0338">
        <w:rPr>
          <w:rFonts w:ascii="Arial Narrow" w:hAnsi="Arial Narrow"/>
          <w:sz w:val="20"/>
        </w:rPr>
        <w:t>16</w:t>
      </w:r>
      <w:r w:rsidRPr="00682EE4">
        <w:rPr>
          <w:rFonts w:ascii="Arial Narrow" w:hAnsi="Arial Narrow"/>
          <w:sz w:val="20"/>
        </w:rPr>
        <w:t xml:space="preserve">% price reduction and submission’s estimate </w:t>
      </w:r>
      <w:r w:rsidR="00934C6D" w:rsidRPr="00682EE4">
        <w:rPr>
          <w:rFonts w:ascii="Arial Narrow" w:hAnsi="Arial Narrow"/>
          <w:sz w:val="20"/>
        </w:rPr>
        <w:t>Enbrel</w:t>
      </w:r>
      <w:r w:rsidRPr="00682EE4">
        <w:rPr>
          <w:rFonts w:ascii="Arial Narrow" w:hAnsi="Arial Narrow"/>
          <w:sz w:val="20"/>
        </w:rPr>
        <w:t xml:space="preserve"> 50</w:t>
      </w:r>
      <w:r w:rsidR="00262BBA" w:rsidRPr="00682EE4">
        <w:rPr>
          <w:rFonts w:ascii="Arial Narrow" w:hAnsi="Arial Narrow"/>
          <w:sz w:val="20"/>
        </w:rPr>
        <w:t> </w:t>
      </w:r>
      <w:r w:rsidRPr="00682EE4">
        <w:rPr>
          <w:rFonts w:ascii="Arial Narrow" w:hAnsi="Arial Narrow"/>
          <w:sz w:val="20"/>
        </w:rPr>
        <w:t xml:space="preserve">mg packs, minus </w:t>
      </w:r>
      <w:r w:rsidR="00371A52" w:rsidRPr="00682EE4">
        <w:rPr>
          <w:rFonts w:ascii="Arial Narrow" w:hAnsi="Arial Narrow"/>
          <w:sz w:val="20"/>
        </w:rPr>
        <w:t>co-payment</w:t>
      </w:r>
    </w:p>
    <w:p w:rsidR="00BC4950" w:rsidRPr="00682EE4" w:rsidRDefault="00BC4950" w:rsidP="00BC4950">
      <w:pPr>
        <w:ind w:left="720"/>
        <w:rPr>
          <w:rFonts w:ascii="Arial Narrow" w:hAnsi="Arial Narrow"/>
          <w:sz w:val="20"/>
        </w:rPr>
      </w:pPr>
      <w:r w:rsidRPr="00682EE4">
        <w:rPr>
          <w:rFonts w:ascii="Arial Narrow" w:hAnsi="Arial Narrow"/>
          <w:sz w:val="20"/>
        </w:rPr>
        <w:t>Source: Constructed during evaluation using information from Section E Utilisation and Cost Model Spreadsheets_Etanercept Biosimilar.xlsx</w:t>
      </w:r>
    </w:p>
    <w:p w:rsidR="008D6173" w:rsidRPr="008D6173" w:rsidRDefault="008D6173" w:rsidP="008D6173">
      <w:pPr>
        <w:pStyle w:val="ListParagraph"/>
        <w:widowControl/>
        <w:rPr>
          <w:szCs w:val="22"/>
        </w:rPr>
      </w:pPr>
    </w:p>
    <w:p w:rsidR="00C25D9C" w:rsidRPr="00682EE4" w:rsidRDefault="00934C6D" w:rsidP="00610F8E">
      <w:pPr>
        <w:pStyle w:val="ListParagraph"/>
        <w:widowControl/>
        <w:numPr>
          <w:ilvl w:val="1"/>
          <w:numId w:val="1"/>
        </w:numPr>
        <w:rPr>
          <w:szCs w:val="22"/>
        </w:rPr>
      </w:pPr>
      <w:r w:rsidRPr="00682EE4">
        <w:t xml:space="preserve">Overall, if </w:t>
      </w:r>
      <w:proofErr w:type="spellStart"/>
      <w:r w:rsidRPr="00682EE4">
        <w:t>Brenzys</w:t>
      </w:r>
      <w:proofErr w:type="spellEnd"/>
      <w:r w:rsidR="00BC4950" w:rsidRPr="00682EE4">
        <w:t xml:space="preserve"> is to be priced identical</w:t>
      </w:r>
      <w:r w:rsidR="00115C77" w:rsidRPr="00682EE4">
        <w:t>ly</w:t>
      </w:r>
      <w:r w:rsidR="00BC4950" w:rsidRPr="00682EE4">
        <w:t xml:space="preserve"> to </w:t>
      </w:r>
      <w:r w:rsidR="00751735" w:rsidRPr="00682EE4">
        <w:t>Enbrel</w:t>
      </w:r>
      <w:r w:rsidR="00BC4950" w:rsidRPr="00682EE4">
        <w:t xml:space="preserve">, it is reasonable to </w:t>
      </w:r>
      <w:r w:rsidR="00DF57EE" w:rsidRPr="00682EE4">
        <w:t>expect</w:t>
      </w:r>
      <w:r w:rsidR="00BC4950" w:rsidRPr="00682EE4">
        <w:t xml:space="preserve"> that there will be no change in overall cost, and given the statutory 16% price reduction from listing of another brand of etanercept, the estimation of savings based on list price for etanercept is also expected and reasonable.</w:t>
      </w:r>
    </w:p>
    <w:p w:rsidR="00576972" w:rsidRPr="00682EE4" w:rsidRDefault="00576972" w:rsidP="00576972">
      <w:pPr>
        <w:widowControl/>
        <w:rPr>
          <w:szCs w:val="22"/>
        </w:rPr>
      </w:pPr>
    </w:p>
    <w:p w:rsidR="00F9035D" w:rsidRPr="00682EE4" w:rsidRDefault="00F9035D" w:rsidP="00F9035D">
      <w:pPr>
        <w:ind w:firstLine="720"/>
        <w:rPr>
          <w:bCs/>
          <w:szCs w:val="22"/>
        </w:rPr>
      </w:pPr>
      <w:r w:rsidRPr="00682EE4">
        <w:rPr>
          <w:bCs/>
          <w:i/>
          <w:szCs w:val="22"/>
        </w:rPr>
        <w:t>For more detail on PBAC’s view, see section 7 “PBAC outcome”</w:t>
      </w:r>
    </w:p>
    <w:p w:rsidR="00F9035D" w:rsidRDefault="00F9035D" w:rsidP="007217AB"/>
    <w:p w:rsidR="00897A0F" w:rsidRPr="00682EE4" w:rsidRDefault="00897A0F" w:rsidP="007217AB"/>
    <w:p w:rsidR="00F9035D" w:rsidRPr="00682EE4" w:rsidRDefault="00F9035D" w:rsidP="007F0F85">
      <w:pPr>
        <w:pStyle w:val="PBACHeading1"/>
      </w:pPr>
      <w:r w:rsidRPr="00682EE4">
        <w:t>PBAC Outcome</w:t>
      </w:r>
    </w:p>
    <w:p w:rsidR="00F9035D" w:rsidRPr="00682EE4" w:rsidRDefault="00F9035D" w:rsidP="00F9035D">
      <w:pPr>
        <w:rPr>
          <w:b/>
          <w:bCs/>
        </w:rPr>
      </w:pPr>
    </w:p>
    <w:p w:rsidR="00F9035D" w:rsidRPr="00682EE4" w:rsidRDefault="00667DA6" w:rsidP="00610F8E">
      <w:pPr>
        <w:numPr>
          <w:ilvl w:val="1"/>
          <w:numId w:val="1"/>
        </w:numPr>
        <w:rPr>
          <w:bCs/>
        </w:rPr>
      </w:pPr>
      <w:r w:rsidRPr="00682EE4">
        <w:rPr>
          <w:bCs/>
        </w:rPr>
        <w:t xml:space="preserve">The PBAC recommended the listing of etanercept (Brenzys) as a biosimilar of etanercept (Enbrel) on a cost minimisation basis </w:t>
      </w:r>
      <w:r w:rsidR="00C726F8" w:rsidRPr="00682EE4">
        <w:rPr>
          <w:bCs/>
        </w:rPr>
        <w:t>to</w:t>
      </w:r>
      <w:r w:rsidRPr="00682EE4">
        <w:rPr>
          <w:bCs/>
        </w:rPr>
        <w:t xml:space="preserve"> etanercept (Enbrel)</w:t>
      </w:r>
      <w:r w:rsidR="00C726F8" w:rsidRPr="00682EE4">
        <w:rPr>
          <w:bCs/>
        </w:rPr>
        <w:t>.</w:t>
      </w:r>
      <w:r w:rsidR="00F3574A" w:rsidRPr="00682EE4">
        <w:rPr>
          <w:bCs/>
        </w:rPr>
        <w:t xml:space="preserve">  </w:t>
      </w:r>
      <w:r w:rsidR="00A40528" w:rsidRPr="00682EE4">
        <w:rPr>
          <w:bCs/>
        </w:rPr>
        <w:t xml:space="preserve">The equi-effective doses </w:t>
      </w:r>
      <w:r w:rsidR="00C726F8" w:rsidRPr="00682EE4">
        <w:rPr>
          <w:bCs/>
        </w:rPr>
        <w:t xml:space="preserve">are </w:t>
      </w:r>
      <w:r w:rsidRPr="00682EE4">
        <w:rPr>
          <w:bCs/>
        </w:rPr>
        <w:t>50 mg etanercept (Brenzys) and 50 mg etanercept (Enbrel)</w:t>
      </w:r>
      <w:r w:rsidR="0068570A" w:rsidRPr="00682EE4">
        <w:rPr>
          <w:bCs/>
        </w:rPr>
        <w:t xml:space="preserve"> administered once weekly</w:t>
      </w:r>
      <w:r w:rsidRPr="00682EE4">
        <w:rPr>
          <w:bCs/>
        </w:rPr>
        <w:t>.</w:t>
      </w:r>
      <w:r w:rsidR="00934C6D" w:rsidRPr="00682EE4">
        <w:rPr>
          <w:bCs/>
        </w:rPr>
        <w:t xml:space="preserve"> T</w:t>
      </w:r>
      <w:r w:rsidR="003E3257" w:rsidRPr="00682EE4">
        <w:rPr>
          <w:bCs/>
        </w:rPr>
        <w:t xml:space="preserve">he PBAC recommended that etanercept (Brenzys) be listed for the following </w:t>
      </w:r>
      <w:r w:rsidR="00F3574A" w:rsidRPr="00682EE4">
        <w:rPr>
          <w:bCs/>
        </w:rPr>
        <w:t xml:space="preserve">indications that are </w:t>
      </w:r>
      <w:r w:rsidR="0068570A" w:rsidRPr="00682EE4">
        <w:rPr>
          <w:bCs/>
        </w:rPr>
        <w:t>PBS listed</w:t>
      </w:r>
      <w:r w:rsidR="003E3257" w:rsidRPr="00682EE4">
        <w:rPr>
          <w:bCs/>
        </w:rPr>
        <w:t xml:space="preserve"> for etanercept (Enbrel):</w:t>
      </w:r>
    </w:p>
    <w:p w:rsidR="003E3257" w:rsidRPr="00682EE4" w:rsidRDefault="003E3257" w:rsidP="007217AB"/>
    <w:p w:rsidR="00F9035D" w:rsidRPr="00682EE4" w:rsidRDefault="003E3257" w:rsidP="003E3257">
      <w:pPr>
        <w:pStyle w:val="ListParagraph"/>
        <w:numPr>
          <w:ilvl w:val="0"/>
          <w:numId w:val="10"/>
        </w:numPr>
        <w:ind w:left="1134"/>
        <w:rPr>
          <w:bCs/>
        </w:rPr>
      </w:pPr>
      <w:r w:rsidRPr="00682EE4">
        <w:rPr>
          <w:bCs/>
        </w:rPr>
        <w:t>Severe active rheumatoid arthritis</w:t>
      </w:r>
    </w:p>
    <w:p w:rsidR="003E3257" w:rsidRPr="00682EE4" w:rsidRDefault="003E3257" w:rsidP="003E3257">
      <w:pPr>
        <w:pStyle w:val="ListParagraph"/>
        <w:numPr>
          <w:ilvl w:val="0"/>
          <w:numId w:val="10"/>
        </w:numPr>
        <w:ind w:left="1134"/>
        <w:rPr>
          <w:bCs/>
        </w:rPr>
      </w:pPr>
      <w:r w:rsidRPr="00682EE4">
        <w:rPr>
          <w:bCs/>
        </w:rPr>
        <w:t>Ankylosing spondylitis</w:t>
      </w:r>
    </w:p>
    <w:p w:rsidR="003E3257" w:rsidRPr="00682EE4" w:rsidRDefault="003E3257" w:rsidP="003E3257">
      <w:pPr>
        <w:pStyle w:val="ListParagraph"/>
        <w:numPr>
          <w:ilvl w:val="0"/>
          <w:numId w:val="10"/>
        </w:numPr>
        <w:ind w:left="1134"/>
        <w:rPr>
          <w:bCs/>
        </w:rPr>
      </w:pPr>
      <w:r w:rsidRPr="00682EE4">
        <w:rPr>
          <w:bCs/>
        </w:rPr>
        <w:t>Severe psoriatic arthritis</w:t>
      </w:r>
    </w:p>
    <w:p w:rsidR="003E3257" w:rsidRPr="00682EE4" w:rsidRDefault="003E3257" w:rsidP="003E3257">
      <w:pPr>
        <w:pStyle w:val="ListParagraph"/>
        <w:numPr>
          <w:ilvl w:val="0"/>
          <w:numId w:val="10"/>
        </w:numPr>
        <w:ind w:left="1134"/>
        <w:rPr>
          <w:bCs/>
        </w:rPr>
      </w:pPr>
      <w:r w:rsidRPr="00682EE4">
        <w:rPr>
          <w:bCs/>
        </w:rPr>
        <w:t>Severe chronic plaque psoriasis</w:t>
      </w:r>
    </w:p>
    <w:p w:rsidR="00A40528" w:rsidRPr="00682EE4" w:rsidRDefault="00A40528" w:rsidP="007217AB"/>
    <w:p w:rsidR="00F3574A" w:rsidRPr="00682EE4" w:rsidRDefault="00F3574A" w:rsidP="00F3574A">
      <w:pPr>
        <w:pStyle w:val="ListParagraph"/>
        <w:numPr>
          <w:ilvl w:val="1"/>
          <w:numId w:val="1"/>
        </w:numPr>
        <w:rPr>
          <w:bCs/>
        </w:rPr>
      </w:pPr>
      <w:r w:rsidRPr="00682EE4">
        <w:rPr>
          <w:bCs/>
        </w:rPr>
        <w:t>The PBAC recommended the restrictions for etanercept (Brenzys) be the same as the restrictions for 50 mg etanercept (Enbrel) for the recommended indications.</w:t>
      </w:r>
    </w:p>
    <w:p w:rsidR="00076057" w:rsidRPr="00682EE4" w:rsidRDefault="00076057" w:rsidP="00076057"/>
    <w:p w:rsidR="00076057" w:rsidRPr="00682EE4" w:rsidRDefault="00076057" w:rsidP="00076057">
      <w:pPr>
        <w:pStyle w:val="ListParagraph"/>
        <w:numPr>
          <w:ilvl w:val="1"/>
          <w:numId w:val="1"/>
        </w:numPr>
        <w:rPr>
          <w:bCs/>
        </w:rPr>
      </w:pPr>
      <w:r w:rsidRPr="00682EE4">
        <w:rPr>
          <w:bCs/>
        </w:rPr>
        <w:t>The</w:t>
      </w:r>
      <w:r w:rsidRPr="00682EE4">
        <w:t xml:space="preserve"> </w:t>
      </w:r>
      <w:r w:rsidRPr="00682EE4">
        <w:rPr>
          <w:bCs/>
        </w:rPr>
        <w:t xml:space="preserve">PBAC noted the advice from the TGA delegate that </w:t>
      </w:r>
      <w:r w:rsidR="00115C77" w:rsidRPr="00682EE4">
        <w:rPr>
          <w:bCs/>
        </w:rPr>
        <w:t>he does</w:t>
      </w:r>
      <w:r w:rsidRPr="00682EE4">
        <w:rPr>
          <w:bCs/>
        </w:rPr>
        <w:t xml:space="preserve"> not intend to approve etanercept (Brenzys) for registration for juvenile plaque psoriasis or juvenile idiopathic arthritis because it is not available in a dose form that would enable weight based dosing for children weighing less than 62.5 kg (see Enbrel PI). As such the PBAC recommended that etanercept (Brenzys) should also not be subsidised for these indications.</w:t>
      </w:r>
    </w:p>
    <w:p w:rsidR="00C04AA3" w:rsidRPr="00682EE4" w:rsidRDefault="00C04AA3" w:rsidP="00076057">
      <w:pPr>
        <w:rPr>
          <w:bCs/>
          <w:highlight w:val="yellow"/>
        </w:rPr>
      </w:pPr>
    </w:p>
    <w:p w:rsidR="001D3089" w:rsidRPr="00682EE4" w:rsidRDefault="00C04AA3" w:rsidP="00094307">
      <w:pPr>
        <w:numPr>
          <w:ilvl w:val="1"/>
          <w:numId w:val="1"/>
        </w:numPr>
        <w:rPr>
          <w:bCs/>
        </w:rPr>
      </w:pPr>
      <w:r w:rsidRPr="00682EE4">
        <w:rPr>
          <w:bCs/>
        </w:rPr>
        <w:t>The PBAC</w:t>
      </w:r>
      <w:r w:rsidR="001D3089" w:rsidRPr="00682EE4">
        <w:rPr>
          <w:bCs/>
        </w:rPr>
        <w:t xml:space="preserve"> considered that </w:t>
      </w:r>
      <w:r w:rsidR="008F675B" w:rsidRPr="00682EE4">
        <w:rPr>
          <w:bCs/>
        </w:rPr>
        <w:t>a claim</w:t>
      </w:r>
      <w:r w:rsidR="001D3089" w:rsidRPr="00682EE4">
        <w:rPr>
          <w:bCs/>
        </w:rPr>
        <w:t xml:space="preserve"> of non-inferior comparative effectiveness and non-</w:t>
      </w:r>
      <w:r w:rsidR="008F675B" w:rsidRPr="00682EE4">
        <w:rPr>
          <w:bCs/>
        </w:rPr>
        <w:t>inferior comparative safety was</w:t>
      </w:r>
      <w:r w:rsidR="001D3089" w:rsidRPr="00682EE4">
        <w:rPr>
          <w:bCs/>
        </w:rPr>
        <w:t xml:space="preserve"> adequately supported. The PBAC</w:t>
      </w:r>
      <w:r w:rsidR="008F675B" w:rsidRPr="00682EE4">
        <w:rPr>
          <w:bCs/>
        </w:rPr>
        <w:t xml:space="preserve"> noted that the ACPM was satisfied that the submitted data showed that Brenzys is similar to Enbrel in terms of efficacy and safety, further noting that the ACPM had stated there were sufficient data </w:t>
      </w:r>
      <w:r w:rsidR="006D2018" w:rsidRPr="00682EE4">
        <w:rPr>
          <w:bCs/>
        </w:rPr>
        <w:t xml:space="preserve">for it to be satisfied that </w:t>
      </w:r>
      <w:r w:rsidR="008F675B" w:rsidRPr="00682EE4">
        <w:rPr>
          <w:bCs/>
        </w:rPr>
        <w:t xml:space="preserve">Brenzys </w:t>
      </w:r>
      <w:r w:rsidR="006D2018" w:rsidRPr="00682EE4">
        <w:rPr>
          <w:bCs/>
        </w:rPr>
        <w:t>is a biosimilar of</w:t>
      </w:r>
      <w:r w:rsidR="008F675B" w:rsidRPr="00682EE4">
        <w:rPr>
          <w:bCs/>
        </w:rPr>
        <w:t xml:space="preserve"> Enbrel.</w:t>
      </w:r>
      <w:r w:rsidR="001D3089" w:rsidRPr="00682EE4">
        <w:rPr>
          <w:bCs/>
        </w:rPr>
        <w:t xml:space="preserve"> </w:t>
      </w:r>
    </w:p>
    <w:p w:rsidR="00094307" w:rsidRPr="00682EE4" w:rsidRDefault="00094307" w:rsidP="00094307">
      <w:pPr>
        <w:pStyle w:val="ListParagraph"/>
        <w:rPr>
          <w:bCs/>
        </w:rPr>
      </w:pPr>
    </w:p>
    <w:p w:rsidR="00094307" w:rsidRPr="00682EE4" w:rsidRDefault="00094307" w:rsidP="006D2018">
      <w:pPr>
        <w:numPr>
          <w:ilvl w:val="1"/>
          <w:numId w:val="1"/>
        </w:numPr>
        <w:rPr>
          <w:bCs/>
        </w:rPr>
      </w:pPr>
      <w:r w:rsidRPr="00682EE4">
        <w:rPr>
          <w:bCs/>
        </w:rPr>
        <w:t xml:space="preserve">The PBAC </w:t>
      </w:r>
      <w:r w:rsidR="008F675B" w:rsidRPr="00682EE4">
        <w:rPr>
          <w:bCs/>
        </w:rPr>
        <w:t>advised the Minister that it considered the Enbrel and Brenzys brands of etanercept could be marked as equivalent in the Schedule of Pharmaceutical Benefits (‘a’ flagged), for the purposes of substitution by the pharmacist at the point of dispensing</w:t>
      </w:r>
      <w:r w:rsidR="006D2018" w:rsidRPr="00682EE4">
        <w:rPr>
          <w:bCs/>
        </w:rPr>
        <w:t xml:space="preserve"> for all the circumstances (restrictions) that both brands are listed against.</w:t>
      </w:r>
      <w:r w:rsidR="008F675B" w:rsidRPr="00682EE4">
        <w:rPr>
          <w:bCs/>
        </w:rPr>
        <w:t xml:space="preserve"> The PBAC noted that the substitution process allows for patient and prescriber choice and is not automatic. </w:t>
      </w:r>
      <w:r w:rsidR="006D2018" w:rsidRPr="00682EE4">
        <w:rPr>
          <w:bCs/>
        </w:rPr>
        <w:t xml:space="preserve">For any individual prescription, a prescriber may choose to not permit brand substitution. </w:t>
      </w:r>
      <w:r w:rsidR="008F675B" w:rsidRPr="00682EE4">
        <w:rPr>
          <w:bCs/>
        </w:rPr>
        <w:t>If on the other hand, substitution has been permitted by the prescriber, the patient may choose which brand they wish to receive from the pharmacist.</w:t>
      </w:r>
    </w:p>
    <w:p w:rsidR="008F675B" w:rsidRPr="00682EE4" w:rsidRDefault="008F675B" w:rsidP="008F675B">
      <w:pPr>
        <w:pStyle w:val="ListParagraph"/>
        <w:rPr>
          <w:bCs/>
        </w:rPr>
      </w:pPr>
    </w:p>
    <w:p w:rsidR="008F675B" w:rsidRPr="00682EE4" w:rsidRDefault="008F675B" w:rsidP="00FE1F07">
      <w:pPr>
        <w:keepNext/>
        <w:keepLines/>
        <w:numPr>
          <w:ilvl w:val="1"/>
          <w:numId w:val="1"/>
        </w:numPr>
        <w:rPr>
          <w:bCs/>
        </w:rPr>
      </w:pPr>
      <w:r w:rsidRPr="00682EE4">
        <w:rPr>
          <w:bCs/>
        </w:rPr>
        <w:t>In forming its view on brand substitution (‘a’ flagging), the PBAC considered a range of factors including:</w:t>
      </w:r>
    </w:p>
    <w:p w:rsidR="008F675B" w:rsidRPr="00682EE4" w:rsidRDefault="008F675B" w:rsidP="008F675B">
      <w:pPr>
        <w:pStyle w:val="ListParagraph"/>
        <w:rPr>
          <w:bCs/>
        </w:rPr>
      </w:pPr>
    </w:p>
    <w:p w:rsidR="008F675B" w:rsidRPr="00682EE4" w:rsidRDefault="008F675B" w:rsidP="008F675B">
      <w:pPr>
        <w:pStyle w:val="ListParagraph"/>
        <w:numPr>
          <w:ilvl w:val="0"/>
          <w:numId w:val="11"/>
        </w:numPr>
        <w:ind w:left="1134"/>
        <w:rPr>
          <w:bCs/>
        </w:rPr>
      </w:pPr>
      <w:r w:rsidRPr="00682EE4">
        <w:rPr>
          <w:bCs/>
        </w:rPr>
        <w:t>The evidence presented in the SB4-G31-RA trial in treatment-naïve patients initiating on either Enbrel or Brenzys that support a finding that Brenzys has equivalent effectiveness and equivalent safety compared to Enbrel.</w:t>
      </w:r>
    </w:p>
    <w:p w:rsidR="008F675B" w:rsidRPr="00682EE4" w:rsidRDefault="008F675B" w:rsidP="008F675B">
      <w:pPr>
        <w:pStyle w:val="ListParagraph"/>
        <w:numPr>
          <w:ilvl w:val="0"/>
          <w:numId w:val="11"/>
        </w:numPr>
        <w:ind w:left="1134"/>
        <w:rPr>
          <w:bCs/>
        </w:rPr>
      </w:pPr>
      <w:r w:rsidRPr="00682EE4">
        <w:rPr>
          <w:bCs/>
        </w:rPr>
        <w:t>The key randomised clinical study in rheumatoid arthritis did not indicate differences in efficacy or safety of Brenzys compared with Enbrel.</w:t>
      </w:r>
    </w:p>
    <w:p w:rsidR="008F675B" w:rsidRPr="00682EE4" w:rsidRDefault="008F675B" w:rsidP="008F675B">
      <w:pPr>
        <w:pStyle w:val="ListParagraph"/>
        <w:numPr>
          <w:ilvl w:val="0"/>
          <w:numId w:val="11"/>
        </w:numPr>
        <w:ind w:left="1134"/>
        <w:rPr>
          <w:bCs/>
        </w:rPr>
      </w:pPr>
      <w:r w:rsidRPr="00682EE4">
        <w:rPr>
          <w:bCs/>
        </w:rPr>
        <w:t>The clinical data provided in the submission did not suggest there were any identified populations where the risks of using the biosimilar product in place of the reference biologic were disproportionately high.</w:t>
      </w:r>
    </w:p>
    <w:p w:rsidR="003D4C90" w:rsidRPr="00682EE4" w:rsidRDefault="00076057" w:rsidP="00076057">
      <w:pPr>
        <w:pStyle w:val="ListParagraph"/>
        <w:numPr>
          <w:ilvl w:val="0"/>
          <w:numId w:val="11"/>
        </w:numPr>
        <w:rPr>
          <w:bCs/>
        </w:rPr>
      </w:pPr>
      <w:r w:rsidRPr="00682EE4">
        <w:rPr>
          <w:bCs/>
        </w:rPr>
        <w:t>In</w:t>
      </w:r>
      <w:r w:rsidRPr="00682EE4">
        <w:t xml:space="preserve"> </w:t>
      </w:r>
      <w:r w:rsidRPr="00682EE4">
        <w:rPr>
          <w:bCs/>
        </w:rPr>
        <w:t>the SB4-G31-RA Phase III extension study, which included 52 weeks of additional data, including from a one-way switch from Enbrel to Brenzys, the clinical evidence suggested no difference in efficacy, safety or immunogenicity between the biosimilar and the reference biologic. The drug, etanercept, is not immunogenic per se, and anti-drug antibodies are rare.  Switching between brands of etanercept is unlikely to change this.</w:t>
      </w:r>
    </w:p>
    <w:p w:rsidR="008F675B" w:rsidRPr="00682EE4" w:rsidRDefault="00493A08" w:rsidP="00493A08">
      <w:pPr>
        <w:pStyle w:val="ListParagraph"/>
        <w:numPr>
          <w:ilvl w:val="0"/>
          <w:numId w:val="11"/>
        </w:numPr>
        <w:ind w:left="1134"/>
        <w:rPr>
          <w:bCs/>
        </w:rPr>
      </w:pPr>
      <w:r w:rsidRPr="00682EE4">
        <w:rPr>
          <w:bCs/>
        </w:rPr>
        <w:t>The ACPM has declared Brenzys a biosimilar for Enbrel. The ACPM was satisfied of the similar safety and efficacy of Brenzys and Enbrel in rheumatoid arthritis, psoriatic arthritis, plaque psoriasis, ankylosing spondylitis and non</w:t>
      </w:r>
      <w:r w:rsidRPr="00682EE4">
        <w:rPr>
          <w:bCs/>
        </w:rPr>
        <w:noBreakHyphen/>
        <w:t>radiographic axial spondyloarthritis.</w:t>
      </w:r>
    </w:p>
    <w:p w:rsidR="00493A08" w:rsidRPr="00682EE4" w:rsidRDefault="00493A08" w:rsidP="00493A08"/>
    <w:p w:rsidR="00291A60" w:rsidRPr="00682EE4" w:rsidRDefault="00493A08" w:rsidP="00493A08">
      <w:pPr>
        <w:numPr>
          <w:ilvl w:val="1"/>
          <w:numId w:val="1"/>
        </w:numPr>
        <w:rPr>
          <w:bCs/>
        </w:rPr>
      </w:pPr>
      <w:r w:rsidRPr="00682EE4">
        <w:rPr>
          <w:bCs/>
        </w:rPr>
        <w:t>The PBAC noted the consumer comments that expressed concern regarding potential ‘a’ flagging of biosimilars to reference biologics. The PBAC noted that the concerns raised were similar to those raised during the Committee’s prior consideration of biosimilar infliximab, and biosimilars more broadly</w:t>
      </w:r>
      <w:r w:rsidR="00F3574A" w:rsidRPr="00682EE4">
        <w:rPr>
          <w:bCs/>
        </w:rPr>
        <w:t>, and that the Department is currently undertaking a biosimilar awareness initiative to help address these concerns.</w:t>
      </w:r>
      <w:r w:rsidRPr="00682EE4">
        <w:rPr>
          <w:bCs/>
        </w:rPr>
        <w:t xml:space="preserve"> The PBAC reiterated that it will make recommendations on whether to ‘a’ flag biosimilars on a case-by-case basis, </w:t>
      </w:r>
      <w:r w:rsidR="00F3574A" w:rsidRPr="00682EE4">
        <w:rPr>
          <w:bCs/>
        </w:rPr>
        <w:t>and</w:t>
      </w:r>
      <w:r w:rsidRPr="00682EE4">
        <w:rPr>
          <w:bCs/>
        </w:rPr>
        <w:t xml:space="preserve"> that pharmacy level substitution is not automatic.</w:t>
      </w:r>
    </w:p>
    <w:p w:rsidR="00291A60" w:rsidRPr="00682EE4" w:rsidRDefault="00291A60" w:rsidP="00291A60"/>
    <w:p w:rsidR="00493A08" w:rsidRPr="00682EE4" w:rsidRDefault="00291A60" w:rsidP="00291A60">
      <w:pPr>
        <w:pStyle w:val="ListParagraph"/>
        <w:numPr>
          <w:ilvl w:val="1"/>
          <w:numId w:val="1"/>
        </w:numPr>
        <w:rPr>
          <w:bCs/>
        </w:rPr>
      </w:pPr>
      <w:r w:rsidRPr="00682EE4">
        <w:rPr>
          <w:bCs/>
        </w:rPr>
        <w:t xml:space="preserve">The PBAC noted that the sponsor requested a partial ‘a’ flag for Brenzys, whereby substitution could only take place for </w:t>
      </w:r>
      <w:r w:rsidR="000800AF">
        <w:rPr>
          <w:bCs/>
        </w:rPr>
        <w:t xml:space="preserve">etanercept </w:t>
      </w:r>
      <w:r w:rsidRPr="00682EE4">
        <w:rPr>
          <w:bCs/>
        </w:rPr>
        <w:t xml:space="preserve">treatment-naïve patients. The PBAC considered that such an ‘a’ flag would not work in practice as it relies on the dispenser knowing whether the patient is etanercept treatment naïve and this information is not always available to the dispenser.  </w:t>
      </w:r>
    </w:p>
    <w:p w:rsidR="00157B79" w:rsidRPr="00682EE4" w:rsidRDefault="00157B79" w:rsidP="00291A60">
      <w:pPr>
        <w:rPr>
          <w:bCs/>
          <w:highlight w:val="yellow"/>
        </w:rPr>
      </w:pPr>
    </w:p>
    <w:p w:rsidR="00157B79" w:rsidRPr="00682EE4" w:rsidRDefault="00157B79" w:rsidP="009A475A">
      <w:pPr>
        <w:pStyle w:val="ListParagraph"/>
        <w:numPr>
          <w:ilvl w:val="1"/>
          <w:numId w:val="1"/>
        </w:numPr>
        <w:rPr>
          <w:bCs/>
        </w:rPr>
      </w:pPr>
      <w:r w:rsidRPr="00682EE4">
        <w:rPr>
          <w:bCs/>
        </w:rPr>
        <w:t>The PBAC noted the potential</w:t>
      </w:r>
      <w:r w:rsidR="009A475A" w:rsidRPr="00682EE4">
        <w:rPr>
          <w:bCs/>
        </w:rPr>
        <w:t xml:space="preserve"> for a</w:t>
      </w:r>
      <w:r w:rsidRPr="00682EE4">
        <w:rPr>
          <w:bCs/>
        </w:rPr>
        <w:t xml:space="preserve"> Quality Use of Medicines issue relating to differences in auto injector presentations for Brenzys and Enbrel,</w:t>
      </w:r>
      <w:r w:rsidRPr="00682EE4">
        <w:t xml:space="preserve"> </w:t>
      </w:r>
      <w:r w:rsidRPr="00682EE4">
        <w:rPr>
          <w:bCs/>
        </w:rPr>
        <w:t xml:space="preserve">but noted that any differences are likely to be minor and </w:t>
      </w:r>
      <w:r w:rsidR="009A475A" w:rsidRPr="00682EE4">
        <w:rPr>
          <w:bCs/>
        </w:rPr>
        <w:t>can be managed through</w:t>
      </w:r>
      <w:r w:rsidRPr="00682EE4">
        <w:rPr>
          <w:bCs/>
        </w:rPr>
        <w:t xml:space="preserve"> the regular patient education and counselling on the use of the devices that is provided to patients by prescribers</w:t>
      </w:r>
      <w:r w:rsidR="009A475A" w:rsidRPr="00682EE4">
        <w:rPr>
          <w:bCs/>
        </w:rPr>
        <w:t xml:space="preserve"> and</w:t>
      </w:r>
      <w:r w:rsidRPr="00682EE4">
        <w:rPr>
          <w:bCs/>
        </w:rPr>
        <w:t xml:space="preserve"> ph</w:t>
      </w:r>
      <w:r w:rsidR="009A475A" w:rsidRPr="00682EE4">
        <w:rPr>
          <w:bCs/>
        </w:rPr>
        <w:t>armacists</w:t>
      </w:r>
      <w:r w:rsidRPr="00682EE4">
        <w:rPr>
          <w:bCs/>
        </w:rPr>
        <w:t xml:space="preserve">. </w:t>
      </w:r>
    </w:p>
    <w:p w:rsidR="00157B79" w:rsidRPr="00682EE4" w:rsidRDefault="00157B79" w:rsidP="00157B79">
      <w:pPr>
        <w:ind w:left="720"/>
        <w:rPr>
          <w:bCs/>
        </w:rPr>
      </w:pPr>
    </w:p>
    <w:p w:rsidR="009A475A" w:rsidRPr="00682EE4" w:rsidRDefault="00157B79" w:rsidP="009A475A">
      <w:pPr>
        <w:numPr>
          <w:ilvl w:val="1"/>
          <w:numId w:val="1"/>
        </w:numPr>
        <w:rPr>
          <w:bCs/>
        </w:rPr>
      </w:pPr>
      <w:r w:rsidRPr="00682EE4">
        <w:rPr>
          <w:bCs/>
        </w:rPr>
        <w:t xml:space="preserve">The PBAC noted the proposal from the sponsor in the pre-PBAC </w:t>
      </w:r>
      <w:r w:rsidR="009A475A" w:rsidRPr="00682EE4">
        <w:rPr>
          <w:bCs/>
        </w:rPr>
        <w:t>response that the PBAC recommend the authority listing of</w:t>
      </w:r>
      <w:r w:rsidRPr="00682EE4">
        <w:rPr>
          <w:bCs/>
        </w:rPr>
        <w:t xml:space="preserve"> Brenzys (and other </w:t>
      </w:r>
      <w:r w:rsidR="009A475A" w:rsidRPr="00682EE4">
        <w:rPr>
          <w:bCs/>
        </w:rPr>
        <w:t>etanercept</w:t>
      </w:r>
      <w:r w:rsidRPr="00682EE4">
        <w:rPr>
          <w:bCs/>
        </w:rPr>
        <w:t xml:space="preserve"> biosimilars)</w:t>
      </w:r>
      <w:r w:rsidR="009A475A" w:rsidRPr="00682EE4">
        <w:rPr>
          <w:bCs/>
        </w:rPr>
        <w:t xml:space="preserve"> be streamlined, whilst the listing for Enbrel remains a written authority required.  The sponsor considered this approach ha</w:t>
      </w:r>
      <w:r w:rsidR="0001248C">
        <w:rPr>
          <w:bCs/>
        </w:rPr>
        <w:t>s</w:t>
      </w:r>
      <w:r w:rsidR="009A475A" w:rsidRPr="00682EE4">
        <w:rPr>
          <w:bCs/>
        </w:rPr>
        <w:t xml:space="preserve"> the following benefits:</w:t>
      </w:r>
    </w:p>
    <w:p w:rsidR="009A475A" w:rsidRPr="00682EE4" w:rsidRDefault="009A475A" w:rsidP="009A475A">
      <w:pPr>
        <w:pStyle w:val="ListParagraph"/>
        <w:numPr>
          <w:ilvl w:val="0"/>
          <w:numId w:val="14"/>
        </w:numPr>
        <w:ind w:left="1440"/>
        <w:rPr>
          <w:bCs/>
        </w:rPr>
      </w:pPr>
      <w:r w:rsidRPr="00682EE4">
        <w:rPr>
          <w:bCs/>
        </w:rPr>
        <w:t xml:space="preserve">to drive the uptake of both Brenzys and any future biosimilars to etanercept which will generate significant savings for government through price disclosure; </w:t>
      </w:r>
    </w:p>
    <w:p w:rsidR="009A475A" w:rsidRPr="00682EE4" w:rsidRDefault="009A475A" w:rsidP="009A475A">
      <w:pPr>
        <w:pStyle w:val="ListParagraph"/>
        <w:numPr>
          <w:ilvl w:val="0"/>
          <w:numId w:val="14"/>
        </w:numPr>
        <w:ind w:left="1440"/>
        <w:rPr>
          <w:bCs/>
        </w:rPr>
      </w:pPr>
      <w:r w:rsidRPr="00682EE4">
        <w:rPr>
          <w:bCs/>
        </w:rPr>
        <w:t>to provide etanercept biosimilars a point of differentiation from the originator and thereby give physicians a reason to prescribe biosimilar brands; and</w:t>
      </w:r>
    </w:p>
    <w:p w:rsidR="009A475A" w:rsidRPr="00682EE4" w:rsidRDefault="009A475A" w:rsidP="009A475A">
      <w:pPr>
        <w:pStyle w:val="ListParagraph"/>
        <w:numPr>
          <w:ilvl w:val="0"/>
          <w:numId w:val="14"/>
        </w:numPr>
        <w:ind w:left="1440"/>
        <w:rPr>
          <w:bCs/>
        </w:rPr>
      </w:pPr>
      <w:r w:rsidRPr="00682EE4">
        <w:rPr>
          <w:bCs/>
        </w:rPr>
        <w:t xml:space="preserve">to maintain the primacy of clinician choice. </w:t>
      </w:r>
    </w:p>
    <w:p w:rsidR="00EF3A56" w:rsidRPr="00682EE4" w:rsidRDefault="00EF3A56" w:rsidP="00EF3A56">
      <w:pPr>
        <w:pStyle w:val="ListParagraph"/>
        <w:ind w:left="1440"/>
        <w:rPr>
          <w:bCs/>
        </w:rPr>
      </w:pPr>
    </w:p>
    <w:p w:rsidR="00157B79" w:rsidRPr="00682EE4" w:rsidRDefault="009A475A" w:rsidP="00EF3A56">
      <w:pPr>
        <w:pStyle w:val="ListParagraph"/>
        <w:numPr>
          <w:ilvl w:val="1"/>
          <w:numId w:val="1"/>
        </w:numPr>
        <w:rPr>
          <w:bCs/>
        </w:rPr>
      </w:pPr>
      <w:r w:rsidRPr="00682EE4">
        <w:rPr>
          <w:bCs/>
        </w:rPr>
        <w:t>The PBAC did not consider streamlined listings would be appropriate because of the large potential for leakage into less severe disease.</w:t>
      </w:r>
      <w:r w:rsidR="00D57E93" w:rsidRPr="00682EE4">
        <w:rPr>
          <w:bCs/>
        </w:rPr>
        <w:t xml:space="preserve"> </w:t>
      </w:r>
      <w:r w:rsidR="008F57C3" w:rsidRPr="00682EE4">
        <w:rPr>
          <w:bCs/>
        </w:rPr>
        <w:t>The PBAC however acknowledged the ongoing need to examine the uptake drivers for biosimilar medicines, and n</w:t>
      </w:r>
      <w:r w:rsidR="00D57E93" w:rsidRPr="00682EE4">
        <w:rPr>
          <w:bCs/>
        </w:rPr>
        <w:t>oted that the introduction of competition in the PBS etanercept market would make this bDMARD more cost-effective than many other bDMARDs currently subsidised for the same indications, making this a potential candidate for first line treatment in a cost-effective prescribing setting.</w:t>
      </w:r>
    </w:p>
    <w:p w:rsidR="00F9035D" w:rsidRPr="00682EE4" w:rsidRDefault="00F9035D" w:rsidP="00F9035D">
      <w:pPr>
        <w:rPr>
          <w:bCs/>
        </w:rPr>
      </w:pPr>
    </w:p>
    <w:p w:rsidR="007217AB" w:rsidRPr="00682EE4" w:rsidRDefault="00532D95" w:rsidP="00532D95">
      <w:pPr>
        <w:numPr>
          <w:ilvl w:val="1"/>
          <w:numId w:val="1"/>
        </w:numPr>
        <w:rPr>
          <w:bCs/>
        </w:rPr>
      </w:pPr>
      <w:r w:rsidRPr="00682EE4">
        <w:rPr>
          <w:bCs/>
        </w:rPr>
        <w:t>The PBAC considered the utilisation estimates presented in the submission were</w:t>
      </w:r>
      <w:r w:rsidR="00F9035D" w:rsidRPr="00682EE4">
        <w:rPr>
          <w:bCs/>
        </w:rPr>
        <w:t xml:space="preserve"> reasonable</w:t>
      </w:r>
      <w:r w:rsidR="003235B0" w:rsidRPr="00682EE4">
        <w:rPr>
          <w:bCs/>
        </w:rPr>
        <w:t>. A</w:t>
      </w:r>
      <w:r w:rsidRPr="00682EE4">
        <w:rPr>
          <w:bCs/>
        </w:rPr>
        <w:t>s Brenzys is likely to only substitute for Enbrel or other future etanercept biosimilars, the PBAC considered the listing of Brenzys would not grow the overall market.</w:t>
      </w:r>
      <w:r w:rsidR="007217AB" w:rsidRPr="00682EE4">
        <w:rPr>
          <w:bCs/>
        </w:rPr>
        <w:t xml:space="preserve"> The PBAC noted the submission estimated overall net savings to the PBAC of over $150 million over the first five years of listing. This was based on the impact of the statutory 16% price reduction following the listing of a biosimilar brand. The financial estimates did not account for any potential impacts of price disclosure. In addition, the PBAC noted the financial estimates did not take into account </w:t>
      </w:r>
      <w:r w:rsidR="001A6E31" w:rsidRPr="00682EE4">
        <w:rPr>
          <w:bCs/>
        </w:rPr>
        <w:t>the</w:t>
      </w:r>
      <w:r w:rsidR="007217AB" w:rsidRPr="00682EE4">
        <w:rPr>
          <w:bCs/>
        </w:rPr>
        <w:t xml:space="preserve"> 5% statutory price reduction for etanercept that occurred in April 2016.</w:t>
      </w:r>
    </w:p>
    <w:p w:rsidR="00F9035D" w:rsidRPr="00682EE4" w:rsidRDefault="00F9035D" w:rsidP="00F9035D">
      <w:pPr>
        <w:rPr>
          <w:bCs/>
        </w:rPr>
      </w:pPr>
    </w:p>
    <w:p w:rsidR="00F9035D" w:rsidRPr="00682EE4" w:rsidRDefault="00F9035D" w:rsidP="00610F8E">
      <w:pPr>
        <w:numPr>
          <w:ilvl w:val="1"/>
          <w:numId w:val="1"/>
        </w:numPr>
        <w:rPr>
          <w:bCs/>
        </w:rPr>
      </w:pPr>
      <w:r w:rsidRPr="00682EE4">
        <w:rPr>
          <w:bCs/>
        </w:rPr>
        <w:t xml:space="preserve">The PBAC advised that </w:t>
      </w:r>
      <w:r w:rsidR="00341590" w:rsidRPr="00682EE4">
        <w:rPr>
          <w:bCs/>
        </w:rPr>
        <w:t>Brenzys</w:t>
      </w:r>
      <w:r w:rsidR="009F2D8F" w:rsidRPr="00682EE4">
        <w:rPr>
          <w:bCs/>
        </w:rPr>
        <w:t xml:space="preserve"> and all other </w:t>
      </w:r>
      <w:r w:rsidR="001A6E31" w:rsidRPr="00682EE4">
        <w:rPr>
          <w:bCs/>
        </w:rPr>
        <w:t xml:space="preserve">brands </w:t>
      </w:r>
      <w:r w:rsidR="009F2D8F" w:rsidRPr="00682EE4">
        <w:rPr>
          <w:bCs/>
        </w:rPr>
        <w:t>of etanercept are</w:t>
      </w:r>
      <w:r w:rsidR="00DC01F4" w:rsidRPr="00682EE4">
        <w:rPr>
          <w:bCs/>
        </w:rPr>
        <w:t xml:space="preserve"> </w:t>
      </w:r>
      <w:r w:rsidRPr="00682EE4">
        <w:rPr>
          <w:bCs/>
        </w:rPr>
        <w:t xml:space="preserve">not suitable for prescribing by nurse practitioners.  </w:t>
      </w:r>
    </w:p>
    <w:p w:rsidR="00F9035D" w:rsidRPr="00682EE4" w:rsidRDefault="00F9035D" w:rsidP="00F9035D">
      <w:pPr>
        <w:rPr>
          <w:bCs/>
        </w:rPr>
      </w:pPr>
    </w:p>
    <w:p w:rsidR="00F9035D" w:rsidRPr="00682EE4" w:rsidRDefault="00F9035D" w:rsidP="00610F8E">
      <w:pPr>
        <w:numPr>
          <w:ilvl w:val="1"/>
          <w:numId w:val="1"/>
        </w:numPr>
        <w:rPr>
          <w:bCs/>
        </w:rPr>
      </w:pPr>
      <w:r w:rsidRPr="00682EE4">
        <w:rPr>
          <w:bCs/>
        </w:rPr>
        <w:t>The PBAC recommended th</w:t>
      </w:r>
      <w:r w:rsidR="00DC01F4" w:rsidRPr="00682EE4">
        <w:rPr>
          <w:bCs/>
        </w:rPr>
        <w:t>at the Early Supply Rule should</w:t>
      </w:r>
      <w:r w:rsidRPr="00682EE4">
        <w:rPr>
          <w:bCs/>
        </w:rPr>
        <w:t xml:space="preserve"> apply. </w:t>
      </w:r>
    </w:p>
    <w:p w:rsidR="00F9035D" w:rsidRPr="00682EE4" w:rsidRDefault="00F9035D" w:rsidP="00F9035D">
      <w:pPr>
        <w:rPr>
          <w:bCs/>
        </w:rPr>
      </w:pPr>
    </w:p>
    <w:p w:rsidR="00F9035D" w:rsidRPr="00682EE4" w:rsidRDefault="00F9035D" w:rsidP="00610F8E">
      <w:pPr>
        <w:numPr>
          <w:ilvl w:val="1"/>
          <w:numId w:val="1"/>
        </w:numPr>
        <w:rPr>
          <w:bCs/>
        </w:rPr>
      </w:pPr>
      <w:r w:rsidRPr="00682EE4">
        <w:rPr>
          <w:bCs/>
        </w:rPr>
        <w:t>The PBA</w:t>
      </w:r>
      <w:r w:rsidR="00DC01F4" w:rsidRPr="00682EE4">
        <w:rPr>
          <w:bCs/>
        </w:rPr>
        <w:t xml:space="preserve">C noted that this submission </w:t>
      </w:r>
      <w:r w:rsidRPr="00682EE4">
        <w:rPr>
          <w:bCs/>
        </w:rPr>
        <w:t>is not eligible for an Independent Review</w:t>
      </w:r>
      <w:r w:rsidR="00DC01F4" w:rsidRPr="00682EE4">
        <w:rPr>
          <w:bCs/>
        </w:rPr>
        <w:t xml:space="preserve"> as it received a positive recommendation.</w:t>
      </w:r>
      <w:r w:rsidRPr="00682EE4">
        <w:rPr>
          <w:bCs/>
        </w:rPr>
        <w:t xml:space="preserve"> </w:t>
      </w:r>
    </w:p>
    <w:p w:rsidR="00F9035D" w:rsidRDefault="00F9035D" w:rsidP="00F9035D">
      <w:pPr>
        <w:rPr>
          <w:b/>
          <w:bCs/>
        </w:rPr>
      </w:pPr>
    </w:p>
    <w:p w:rsidR="00D4308C" w:rsidRPr="00682EE4" w:rsidRDefault="00D4308C" w:rsidP="00F9035D">
      <w:pPr>
        <w:rPr>
          <w:b/>
          <w:bCs/>
        </w:rPr>
      </w:pPr>
    </w:p>
    <w:p w:rsidR="00F9035D" w:rsidRPr="00682EE4" w:rsidRDefault="00F9035D" w:rsidP="00F9035D">
      <w:pPr>
        <w:rPr>
          <w:b/>
          <w:bCs/>
        </w:rPr>
      </w:pPr>
      <w:r w:rsidRPr="00682EE4">
        <w:rPr>
          <w:b/>
          <w:bCs/>
        </w:rPr>
        <w:t>Outcome:</w:t>
      </w:r>
    </w:p>
    <w:p w:rsidR="00F9035D" w:rsidRPr="00682EE4" w:rsidRDefault="00DC01F4" w:rsidP="00F9035D">
      <w:pPr>
        <w:rPr>
          <w:bCs/>
        </w:rPr>
      </w:pPr>
      <w:r w:rsidRPr="00682EE4">
        <w:rPr>
          <w:bCs/>
        </w:rPr>
        <w:t>Recommended</w:t>
      </w:r>
    </w:p>
    <w:p w:rsidR="00F9035D" w:rsidRPr="00682EE4" w:rsidRDefault="00F9035D" w:rsidP="00F9035D">
      <w:pPr>
        <w:rPr>
          <w:bCs/>
        </w:rPr>
      </w:pPr>
    </w:p>
    <w:p w:rsidR="00B91DED" w:rsidRPr="00682EE4" w:rsidRDefault="00B91DED" w:rsidP="00F9035D">
      <w:pPr>
        <w:rPr>
          <w:bCs/>
        </w:rPr>
      </w:pPr>
    </w:p>
    <w:p w:rsidR="00F9035D" w:rsidRPr="00682EE4" w:rsidRDefault="00F9035D" w:rsidP="007F0F85">
      <w:pPr>
        <w:pStyle w:val="PBACHeading1"/>
        <w:rPr>
          <w:i/>
        </w:rPr>
      </w:pPr>
      <w:r w:rsidRPr="00682EE4">
        <w:t>Recommended listing</w:t>
      </w:r>
    </w:p>
    <w:p w:rsidR="00F9035D" w:rsidRPr="00682EE4" w:rsidRDefault="00F9035D" w:rsidP="00F9035D">
      <w:pPr>
        <w:rPr>
          <w:b/>
          <w:bCs/>
          <w:i/>
        </w:rPr>
      </w:pPr>
    </w:p>
    <w:p w:rsidR="00F9035D" w:rsidRPr="00682EE4" w:rsidRDefault="00F9035D" w:rsidP="00F9035D">
      <w:pPr>
        <w:numPr>
          <w:ilvl w:val="1"/>
          <w:numId w:val="1"/>
        </w:numPr>
        <w:rPr>
          <w:b/>
          <w:bCs/>
        </w:rPr>
      </w:pPr>
      <w:r w:rsidRPr="00682EE4">
        <w:rPr>
          <w:bCs/>
        </w:rPr>
        <w:t>Add new item:</w:t>
      </w:r>
      <w:r w:rsidR="00094307" w:rsidRPr="00682EE4">
        <w:rPr>
          <w:bCs/>
        </w:rPr>
        <w:t xml:space="preserve"> Etanercept (Brenzys)</w:t>
      </w:r>
      <w:r w:rsidR="00EA50BB" w:rsidRPr="00682EE4">
        <w:rPr>
          <w:bCs/>
        </w:rPr>
        <w:t>, injection 50 mg</w:t>
      </w:r>
    </w:p>
    <w:p w:rsidR="00F9035D" w:rsidRPr="00682EE4" w:rsidRDefault="00F9035D" w:rsidP="00F9035D">
      <w:pPr>
        <w:rPr>
          <w:b/>
          <w:bCs/>
        </w:rPr>
      </w:pPr>
    </w:p>
    <w:p w:rsidR="00F9035D" w:rsidRPr="00682EE4" w:rsidRDefault="007217AB" w:rsidP="007217AB">
      <w:pPr>
        <w:ind w:left="720"/>
        <w:rPr>
          <w:bCs/>
        </w:rPr>
      </w:pPr>
      <w:r w:rsidRPr="00682EE4">
        <w:rPr>
          <w:bCs/>
        </w:rPr>
        <w:t>Listings same as for</w:t>
      </w:r>
      <w:r w:rsidR="004425E1" w:rsidRPr="00682EE4">
        <w:rPr>
          <w:bCs/>
        </w:rPr>
        <w:t xml:space="preserve"> 50 mg</w:t>
      </w:r>
      <w:r w:rsidRPr="00682EE4">
        <w:rPr>
          <w:bCs/>
        </w:rPr>
        <w:t xml:space="preserve"> etanercept (Enbrel) for the following indications:</w:t>
      </w:r>
    </w:p>
    <w:p w:rsidR="007217AB" w:rsidRPr="00682EE4" w:rsidRDefault="007217AB" w:rsidP="007217AB">
      <w:pPr>
        <w:ind w:left="720"/>
        <w:rPr>
          <w:bCs/>
        </w:rPr>
      </w:pPr>
    </w:p>
    <w:p w:rsidR="007217AB" w:rsidRPr="00682EE4" w:rsidRDefault="007217AB" w:rsidP="007217AB">
      <w:pPr>
        <w:pStyle w:val="ListParagraph"/>
        <w:numPr>
          <w:ilvl w:val="0"/>
          <w:numId w:val="12"/>
        </w:numPr>
        <w:ind w:left="1134"/>
        <w:rPr>
          <w:bCs/>
        </w:rPr>
      </w:pPr>
      <w:r w:rsidRPr="00682EE4">
        <w:rPr>
          <w:bCs/>
        </w:rPr>
        <w:t>Severe active rheumatoid arthritis</w:t>
      </w:r>
    </w:p>
    <w:p w:rsidR="007217AB" w:rsidRPr="00682EE4" w:rsidRDefault="007217AB" w:rsidP="007217AB">
      <w:pPr>
        <w:pStyle w:val="ListParagraph"/>
        <w:numPr>
          <w:ilvl w:val="0"/>
          <w:numId w:val="12"/>
        </w:numPr>
        <w:ind w:left="1134"/>
        <w:rPr>
          <w:bCs/>
        </w:rPr>
      </w:pPr>
      <w:r w:rsidRPr="00682EE4">
        <w:rPr>
          <w:bCs/>
        </w:rPr>
        <w:t>Ankylosing spondylitis</w:t>
      </w:r>
    </w:p>
    <w:p w:rsidR="007217AB" w:rsidRPr="00682EE4" w:rsidRDefault="007217AB" w:rsidP="007217AB">
      <w:pPr>
        <w:pStyle w:val="ListParagraph"/>
        <w:numPr>
          <w:ilvl w:val="0"/>
          <w:numId w:val="12"/>
        </w:numPr>
        <w:ind w:left="1134"/>
        <w:rPr>
          <w:bCs/>
        </w:rPr>
      </w:pPr>
      <w:r w:rsidRPr="00682EE4">
        <w:rPr>
          <w:bCs/>
        </w:rPr>
        <w:t>Severe psoriatic arthritis</w:t>
      </w:r>
    </w:p>
    <w:p w:rsidR="007217AB" w:rsidRPr="00682EE4" w:rsidRDefault="007217AB" w:rsidP="007217AB">
      <w:pPr>
        <w:pStyle w:val="ListParagraph"/>
        <w:numPr>
          <w:ilvl w:val="0"/>
          <w:numId w:val="12"/>
        </w:numPr>
        <w:ind w:left="1134"/>
        <w:rPr>
          <w:bCs/>
        </w:rPr>
      </w:pPr>
      <w:r w:rsidRPr="00682EE4">
        <w:rPr>
          <w:bCs/>
        </w:rPr>
        <w:t>Severe chronic plaque psoriasis</w:t>
      </w:r>
    </w:p>
    <w:p w:rsidR="007F0F85" w:rsidRDefault="007F0F85">
      <w:pPr>
        <w:widowControl/>
        <w:jc w:val="left"/>
      </w:pPr>
      <w:r>
        <w:br w:type="page"/>
      </w:r>
    </w:p>
    <w:p w:rsidR="005378DD" w:rsidRPr="00682EE4" w:rsidRDefault="005378DD" w:rsidP="00F9035D"/>
    <w:p w:rsidR="00411BFD" w:rsidRPr="00411BFD" w:rsidRDefault="00411BFD" w:rsidP="007F0F85">
      <w:pPr>
        <w:pStyle w:val="PBACHeading1"/>
      </w:pPr>
      <w:r w:rsidRPr="00485DD3">
        <w:t>Context for Decision</w:t>
      </w:r>
    </w:p>
    <w:p w:rsidR="00411BFD" w:rsidRDefault="00411BFD" w:rsidP="00411BFD">
      <w:pPr>
        <w:ind w:left="426"/>
      </w:pPr>
    </w:p>
    <w:p w:rsidR="00411BFD" w:rsidRPr="00411BFD" w:rsidRDefault="00411BFD" w:rsidP="00411BFD">
      <w:pPr>
        <w:ind w:left="720"/>
        <w:rPr>
          <w:bCs/>
        </w:rPr>
      </w:pPr>
      <w:r w:rsidRPr="00411BFD">
        <w:rPr>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11BFD" w:rsidRDefault="00411BFD" w:rsidP="00411BFD">
      <w:pPr>
        <w:ind w:left="426"/>
      </w:pPr>
    </w:p>
    <w:p w:rsidR="00411BFD" w:rsidRPr="00411BFD" w:rsidRDefault="00411BFD" w:rsidP="007F0F85">
      <w:pPr>
        <w:pStyle w:val="PBACHeading1"/>
      </w:pPr>
      <w:r w:rsidRPr="00485DD3">
        <w:t>Sponsor’s Comment</w:t>
      </w:r>
    </w:p>
    <w:p w:rsidR="00411BFD" w:rsidRPr="00411BFD" w:rsidRDefault="00411BFD" w:rsidP="00411BFD">
      <w:pPr>
        <w:ind w:left="720"/>
        <w:rPr>
          <w:bCs/>
        </w:rPr>
      </w:pPr>
    </w:p>
    <w:p w:rsidR="00411BFD" w:rsidRDefault="00411BFD" w:rsidP="00411BFD">
      <w:pPr>
        <w:ind w:left="720"/>
        <w:rPr>
          <w:bCs/>
        </w:rPr>
      </w:pPr>
      <w:r w:rsidRPr="003035CC">
        <w:rPr>
          <w:bCs/>
        </w:rPr>
        <w:t>The sponsor had no comment.</w:t>
      </w:r>
    </w:p>
    <w:p w:rsidR="00DF57EE" w:rsidRPr="00682EE4" w:rsidRDefault="00DF57EE">
      <w:pPr>
        <w:widowControl/>
        <w:jc w:val="left"/>
        <w:rPr>
          <w:b/>
        </w:rPr>
      </w:pPr>
    </w:p>
    <w:sectPr w:rsidR="00DF57EE" w:rsidRPr="00682EE4" w:rsidSect="00E95792">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F85" w:rsidRDefault="007F0F85" w:rsidP="00124A51">
      <w:r>
        <w:separator/>
      </w:r>
    </w:p>
  </w:endnote>
  <w:endnote w:type="continuationSeparator" w:id="0">
    <w:p w:rsidR="007F0F85" w:rsidRDefault="007F0F85"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85" w:rsidRDefault="007F0F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192997"/>
      <w:docPartObj>
        <w:docPartGallery w:val="Page Numbers (Bottom of Page)"/>
        <w:docPartUnique/>
      </w:docPartObj>
    </w:sdtPr>
    <w:sdtEndPr>
      <w:rPr>
        <w:noProof/>
      </w:rPr>
    </w:sdtEndPr>
    <w:sdtContent>
      <w:p w:rsidR="007F0F85" w:rsidRDefault="007F0F85">
        <w:pPr>
          <w:pStyle w:val="Footer"/>
          <w:jc w:val="center"/>
        </w:pPr>
        <w:r>
          <w:fldChar w:fldCharType="begin"/>
        </w:r>
        <w:r>
          <w:instrText xml:space="preserve"> PAGE   \* MERGEFORMAT </w:instrText>
        </w:r>
        <w:r>
          <w:fldChar w:fldCharType="separate"/>
        </w:r>
        <w:r w:rsidR="005A643E">
          <w:rPr>
            <w:noProof/>
          </w:rPr>
          <w:t>1</w:t>
        </w:r>
        <w:r>
          <w:rPr>
            <w:noProof/>
          </w:rPr>
          <w:fldChar w:fldCharType="end"/>
        </w:r>
      </w:p>
    </w:sdtContent>
  </w:sdt>
  <w:p w:rsidR="007F0F85" w:rsidRDefault="007F0F85" w:rsidP="00957E2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85" w:rsidRDefault="007F0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F85" w:rsidRDefault="007F0F85" w:rsidP="00124A51">
      <w:r>
        <w:separator/>
      </w:r>
    </w:p>
  </w:footnote>
  <w:footnote w:type="continuationSeparator" w:id="0">
    <w:p w:rsidR="007F0F85" w:rsidRDefault="007F0F85" w:rsidP="00124A51">
      <w:r>
        <w:continuationSeparator/>
      </w:r>
    </w:p>
  </w:footnote>
  <w:footnote w:id="1">
    <w:p w:rsidR="007F0F85" w:rsidRPr="00226E39" w:rsidRDefault="007F0F85" w:rsidP="00CE43CD">
      <w:pPr>
        <w:pStyle w:val="FootnoteText"/>
        <w:rPr>
          <w:rFonts w:ascii="Arial" w:hAnsi="Arial" w:cs="Arial"/>
        </w:rPr>
      </w:pPr>
      <w:r w:rsidRPr="00226E39">
        <w:rPr>
          <w:rStyle w:val="FootnoteReference"/>
          <w:rFonts w:ascii="Arial" w:hAnsi="Arial" w:cs="Arial"/>
        </w:rPr>
        <w:footnoteRef/>
      </w:r>
      <w:r w:rsidRPr="00226E39">
        <w:rPr>
          <w:rFonts w:ascii="Arial" w:hAnsi="Arial" w:cs="Arial"/>
        </w:rPr>
        <w:t xml:space="preserve"> </w:t>
      </w:r>
      <w:r w:rsidRPr="00474003">
        <w:rPr>
          <w:rFonts w:ascii="Arial" w:hAnsi="Arial" w:cs="Arial"/>
        </w:rPr>
        <w:t>Symbols used in the Schedule</w:t>
      </w:r>
      <w:hyperlink r:id="rId1" w:history="1"/>
      <w:r w:rsidRPr="00226E39">
        <w:rPr>
          <w:rFonts w:ascii="Arial" w:hAnsi="Arial" w:cs="Arial"/>
        </w:rPr>
        <w:t xml:space="preserve"> </w:t>
      </w:r>
      <w:r>
        <w:rPr>
          <w:rFonts w:ascii="Arial" w:hAnsi="Arial" w:cs="Arial"/>
        </w:rPr>
        <w:t xml:space="preserve">- </w:t>
      </w:r>
      <w:r w:rsidRPr="00474003">
        <w:rPr>
          <w:rFonts w:ascii="Arial" w:hAnsi="Arial" w:cs="Arial"/>
        </w:rPr>
        <w:t>http://www.pbs.gov.au/info/healthpro/explanatory-notes/section2/section-2-symbols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85" w:rsidRDefault="007F0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85" w:rsidRPr="00DF217D" w:rsidRDefault="007F0F85" w:rsidP="00F9035D">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2016 </w:t>
    </w:r>
    <w:r w:rsidRPr="00DF217D">
      <w:rPr>
        <w:i/>
        <w:color w:val="808080"/>
      </w:rPr>
      <w:t>PBAC</w:t>
    </w:r>
    <w:r>
      <w:rPr>
        <w:i/>
        <w:color w:val="808080"/>
      </w:rPr>
      <w:t xml:space="preserve"> </w:t>
    </w:r>
    <w:r w:rsidRPr="00DF217D">
      <w:rPr>
        <w:i/>
        <w:color w:val="808080"/>
      </w:rPr>
      <w:t>Meeting</w:t>
    </w:r>
  </w:p>
  <w:p w:rsidR="007F0F85" w:rsidRPr="00124A51" w:rsidRDefault="007F0F85" w:rsidP="003C6A80">
    <w:pPr>
      <w:tabs>
        <w:tab w:val="left" w:pos="142"/>
        <w:tab w:val="right" w:pos="9027"/>
      </w:tabs>
      <w:jc w:val="right"/>
    </w:pPr>
  </w:p>
  <w:p w:rsidR="007F0F85" w:rsidRDefault="007F0F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85" w:rsidRDefault="007F0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B7D7EA2"/>
    <w:multiLevelType w:val="hybridMultilevel"/>
    <w:tmpl w:val="D2A004A4"/>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nsid w:val="0F5D22B6"/>
    <w:multiLevelType w:val="multilevel"/>
    <w:tmpl w:val="9D18489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34027C5"/>
    <w:multiLevelType w:val="hybridMultilevel"/>
    <w:tmpl w:val="D8A4A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99C6E94"/>
    <w:multiLevelType w:val="hybridMultilevel"/>
    <w:tmpl w:val="D0B2D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E2E4D9B"/>
    <w:multiLevelType w:val="multilevel"/>
    <w:tmpl w:val="9D18489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8153F1E"/>
    <w:multiLevelType w:val="hybridMultilevel"/>
    <w:tmpl w:val="62C6A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CB81EBE"/>
    <w:multiLevelType w:val="hybridMultilevel"/>
    <w:tmpl w:val="2F8EC7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686583B"/>
    <w:multiLevelType w:val="hybridMultilevel"/>
    <w:tmpl w:val="219CA78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C143145"/>
    <w:multiLevelType w:val="hybridMultilevel"/>
    <w:tmpl w:val="CADAB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F62030E"/>
    <w:multiLevelType w:val="hybridMultilevel"/>
    <w:tmpl w:val="AE3EF602"/>
    <w:lvl w:ilvl="0" w:tplc="4E3002CA">
      <w:start w:val="1"/>
      <w:numFmt w:val="decimal"/>
      <w:lvlText w:val="%1."/>
      <w:lvlJc w:val="left"/>
      <w:pPr>
        <w:ind w:left="720" w:hanging="360"/>
      </w:pPr>
      <w:rPr>
        <w:rFonts w:ascii="Times New Roman" w:hAnsi="Times New Roman" w:cs="Times New Roman" w:hint="default"/>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174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0A01B1A"/>
    <w:multiLevelType w:val="hybridMultilevel"/>
    <w:tmpl w:val="C37E6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FB12FB1"/>
    <w:multiLevelType w:val="hybridMultilevel"/>
    <w:tmpl w:val="AB50A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4D033C"/>
    <w:multiLevelType w:val="multilevel"/>
    <w:tmpl w:val="21D6556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4"/>
  </w:num>
  <w:num w:numId="3">
    <w:abstractNumId w:val="15"/>
  </w:num>
  <w:num w:numId="4">
    <w:abstractNumId w:val="11"/>
  </w:num>
  <w:num w:numId="5">
    <w:abstractNumId w:val="1"/>
  </w:num>
  <w:num w:numId="6">
    <w:abstractNumId w:val="0"/>
  </w:num>
  <w:num w:numId="7">
    <w:abstractNumId w:val="5"/>
  </w:num>
  <w:num w:numId="8">
    <w:abstractNumId w:val="3"/>
  </w:num>
  <w:num w:numId="9">
    <w:abstractNumId w:val="7"/>
  </w:num>
  <w:num w:numId="10">
    <w:abstractNumId w:val="14"/>
  </w:num>
  <w:num w:numId="11">
    <w:abstractNumId w:val="10"/>
  </w:num>
  <w:num w:numId="12">
    <w:abstractNumId w:val="9"/>
  </w:num>
  <w:num w:numId="13">
    <w:abstractNumId w:val="6"/>
  </w:num>
  <w:num w:numId="14">
    <w:abstractNumId w:val="2"/>
  </w:num>
  <w:num w:numId="15">
    <w:abstractNumId w:val="8"/>
  </w:num>
  <w:num w:numId="16">
    <w:abstractNumId w:val="12"/>
  </w:num>
  <w:num w:numId="17">
    <w:abstractNumId w:val="16"/>
  </w:num>
  <w:num w:numId="18">
    <w:abstractNumId w:val="16"/>
  </w:num>
  <w:num w:numId="1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1248C"/>
    <w:rsid w:val="00013247"/>
    <w:rsid w:val="00015886"/>
    <w:rsid w:val="000160AB"/>
    <w:rsid w:val="000162EF"/>
    <w:rsid w:val="00016332"/>
    <w:rsid w:val="0002225F"/>
    <w:rsid w:val="00023763"/>
    <w:rsid w:val="00032C6C"/>
    <w:rsid w:val="00037DEE"/>
    <w:rsid w:val="00040895"/>
    <w:rsid w:val="000408EB"/>
    <w:rsid w:val="000431CE"/>
    <w:rsid w:val="00043C37"/>
    <w:rsid w:val="000546D7"/>
    <w:rsid w:val="00062689"/>
    <w:rsid w:val="00071248"/>
    <w:rsid w:val="000720B9"/>
    <w:rsid w:val="00074A5A"/>
    <w:rsid w:val="00076057"/>
    <w:rsid w:val="000800AF"/>
    <w:rsid w:val="000812CA"/>
    <w:rsid w:val="00090C7E"/>
    <w:rsid w:val="00094307"/>
    <w:rsid w:val="000A2237"/>
    <w:rsid w:val="000B4638"/>
    <w:rsid w:val="000B72ED"/>
    <w:rsid w:val="000C079C"/>
    <w:rsid w:val="000C1A95"/>
    <w:rsid w:val="000C3B12"/>
    <w:rsid w:val="000C753F"/>
    <w:rsid w:val="000D0662"/>
    <w:rsid w:val="000D0E64"/>
    <w:rsid w:val="000D1BFC"/>
    <w:rsid w:val="000D3405"/>
    <w:rsid w:val="000D7DFB"/>
    <w:rsid w:val="000F2854"/>
    <w:rsid w:val="000F4BB8"/>
    <w:rsid w:val="000F7127"/>
    <w:rsid w:val="000F7E2E"/>
    <w:rsid w:val="00100121"/>
    <w:rsid w:val="001002C3"/>
    <w:rsid w:val="00100F8A"/>
    <w:rsid w:val="001070DB"/>
    <w:rsid w:val="00107A6F"/>
    <w:rsid w:val="0011032E"/>
    <w:rsid w:val="0011348B"/>
    <w:rsid w:val="00115C77"/>
    <w:rsid w:val="001160BA"/>
    <w:rsid w:val="001161E2"/>
    <w:rsid w:val="00121799"/>
    <w:rsid w:val="001219EB"/>
    <w:rsid w:val="001222FC"/>
    <w:rsid w:val="00124A51"/>
    <w:rsid w:val="00125FCF"/>
    <w:rsid w:val="00126621"/>
    <w:rsid w:val="001301E9"/>
    <w:rsid w:val="00136D43"/>
    <w:rsid w:val="00137645"/>
    <w:rsid w:val="0014015A"/>
    <w:rsid w:val="0014050E"/>
    <w:rsid w:val="001406AA"/>
    <w:rsid w:val="00140E99"/>
    <w:rsid w:val="001423F3"/>
    <w:rsid w:val="00145540"/>
    <w:rsid w:val="001456B0"/>
    <w:rsid w:val="001517BF"/>
    <w:rsid w:val="00153DFA"/>
    <w:rsid w:val="00157130"/>
    <w:rsid w:val="001575C9"/>
    <w:rsid w:val="00157640"/>
    <w:rsid w:val="00157B79"/>
    <w:rsid w:val="001614F5"/>
    <w:rsid w:val="00162913"/>
    <w:rsid w:val="00163EFF"/>
    <w:rsid w:val="001661FB"/>
    <w:rsid w:val="00167B35"/>
    <w:rsid w:val="001720FE"/>
    <w:rsid w:val="0017487F"/>
    <w:rsid w:val="00177716"/>
    <w:rsid w:val="0018752F"/>
    <w:rsid w:val="00187F55"/>
    <w:rsid w:val="00195222"/>
    <w:rsid w:val="001975D8"/>
    <w:rsid w:val="001A6E31"/>
    <w:rsid w:val="001B3443"/>
    <w:rsid w:val="001B4224"/>
    <w:rsid w:val="001C15B0"/>
    <w:rsid w:val="001C2875"/>
    <w:rsid w:val="001C6E66"/>
    <w:rsid w:val="001D0620"/>
    <w:rsid w:val="001D3089"/>
    <w:rsid w:val="001E19C1"/>
    <w:rsid w:val="001E238E"/>
    <w:rsid w:val="001E2B1E"/>
    <w:rsid w:val="001E372D"/>
    <w:rsid w:val="001E52EB"/>
    <w:rsid w:val="001E740C"/>
    <w:rsid w:val="001F1235"/>
    <w:rsid w:val="001F1CB3"/>
    <w:rsid w:val="001F3536"/>
    <w:rsid w:val="001F7361"/>
    <w:rsid w:val="0020385F"/>
    <w:rsid w:val="00207021"/>
    <w:rsid w:val="00207D00"/>
    <w:rsid w:val="002105C1"/>
    <w:rsid w:val="00221BD0"/>
    <w:rsid w:val="00223B49"/>
    <w:rsid w:val="00224DD4"/>
    <w:rsid w:val="002309CC"/>
    <w:rsid w:val="00233B59"/>
    <w:rsid w:val="00237449"/>
    <w:rsid w:val="00246652"/>
    <w:rsid w:val="00252CC7"/>
    <w:rsid w:val="0025301F"/>
    <w:rsid w:val="002536E3"/>
    <w:rsid w:val="00254DCF"/>
    <w:rsid w:val="0025534B"/>
    <w:rsid w:val="00255BB7"/>
    <w:rsid w:val="00262A87"/>
    <w:rsid w:val="00262BBA"/>
    <w:rsid w:val="002631C3"/>
    <w:rsid w:val="00265DC1"/>
    <w:rsid w:val="002714F7"/>
    <w:rsid w:val="00275C5A"/>
    <w:rsid w:val="00281014"/>
    <w:rsid w:val="00291A60"/>
    <w:rsid w:val="0029272E"/>
    <w:rsid w:val="00293A3F"/>
    <w:rsid w:val="00297149"/>
    <w:rsid w:val="002A14AB"/>
    <w:rsid w:val="002A6BEC"/>
    <w:rsid w:val="002B1C1F"/>
    <w:rsid w:val="002B432F"/>
    <w:rsid w:val="002B6CCE"/>
    <w:rsid w:val="002C2775"/>
    <w:rsid w:val="002C27C1"/>
    <w:rsid w:val="002C5715"/>
    <w:rsid w:val="002C61D0"/>
    <w:rsid w:val="002C679A"/>
    <w:rsid w:val="002D0502"/>
    <w:rsid w:val="002D1A60"/>
    <w:rsid w:val="002D47F1"/>
    <w:rsid w:val="002D7D45"/>
    <w:rsid w:val="002E23AB"/>
    <w:rsid w:val="002E3AE3"/>
    <w:rsid w:val="003009CB"/>
    <w:rsid w:val="00301017"/>
    <w:rsid w:val="0030786C"/>
    <w:rsid w:val="0031031A"/>
    <w:rsid w:val="00310981"/>
    <w:rsid w:val="003117B1"/>
    <w:rsid w:val="00315498"/>
    <w:rsid w:val="00316150"/>
    <w:rsid w:val="003235B0"/>
    <w:rsid w:val="00324CB9"/>
    <w:rsid w:val="003251A9"/>
    <w:rsid w:val="003266A2"/>
    <w:rsid w:val="003366C9"/>
    <w:rsid w:val="003371B0"/>
    <w:rsid w:val="00337429"/>
    <w:rsid w:val="0033774B"/>
    <w:rsid w:val="003409C5"/>
    <w:rsid w:val="00341590"/>
    <w:rsid w:val="00344A50"/>
    <w:rsid w:val="00344CCF"/>
    <w:rsid w:val="00350C15"/>
    <w:rsid w:val="00354779"/>
    <w:rsid w:val="0035620E"/>
    <w:rsid w:val="00360171"/>
    <w:rsid w:val="003606D4"/>
    <w:rsid w:val="003607A1"/>
    <w:rsid w:val="0036358C"/>
    <w:rsid w:val="003653E6"/>
    <w:rsid w:val="0037197C"/>
    <w:rsid w:val="00371A52"/>
    <w:rsid w:val="003727EF"/>
    <w:rsid w:val="0038365C"/>
    <w:rsid w:val="003868EC"/>
    <w:rsid w:val="0039333D"/>
    <w:rsid w:val="00396FD0"/>
    <w:rsid w:val="003A1236"/>
    <w:rsid w:val="003A1A7A"/>
    <w:rsid w:val="003A5D3E"/>
    <w:rsid w:val="003B6147"/>
    <w:rsid w:val="003C0AAD"/>
    <w:rsid w:val="003C2581"/>
    <w:rsid w:val="003C6A80"/>
    <w:rsid w:val="003C72AB"/>
    <w:rsid w:val="003D1828"/>
    <w:rsid w:val="003D2422"/>
    <w:rsid w:val="003D301E"/>
    <w:rsid w:val="003D3FE1"/>
    <w:rsid w:val="003D4C90"/>
    <w:rsid w:val="003D629B"/>
    <w:rsid w:val="003E3257"/>
    <w:rsid w:val="003E71E8"/>
    <w:rsid w:val="003E78B2"/>
    <w:rsid w:val="003F4156"/>
    <w:rsid w:val="003F5E18"/>
    <w:rsid w:val="00401C8E"/>
    <w:rsid w:val="004027BE"/>
    <w:rsid w:val="00403A25"/>
    <w:rsid w:val="004078D2"/>
    <w:rsid w:val="00407B40"/>
    <w:rsid w:val="004101C6"/>
    <w:rsid w:val="00410708"/>
    <w:rsid w:val="00410EC7"/>
    <w:rsid w:val="00411BF4"/>
    <w:rsid w:val="00411BFD"/>
    <w:rsid w:val="00414476"/>
    <w:rsid w:val="0041781B"/>
    <w:rsid w:val="00420B9F"/>
    <w:rsid w:val="00423FE1"/>
    <w:rsid w:val="00430023"/>
    <w:rsid w:val="00430851"/>
    <w:rsid w:val="004319A3"/>
    <w:rsid w:val="004319F8"/>
    <w:rsid w:val="004327EB"/>
    <w:rsid w:val="004327F6"/>
    <w:rsid w:val="00433044"/>
    <w:rsid w:val="004330E6"/>
    <w:rsid w:val="004425E1"/>
    <w:rsid w:val="004443A7"/>
    <w:rsid w:val="004464EB"/>
    <w:rsid w:val="00455D45"/>
    <w:rsid w:val="00462451"/>
    <w:rsid w:val="00464595"/>
    <w:rsid w:val="00467F87"/>
    <w:rsid w:val="00474003"/>
    <w:rsid w:val="004867E2"/>
    <w:rsid w:val="00490618"/>
    <w:rsid w:val="00491B3A"/>
    <w:rsid w:val="00491D0A"/>
    <w:rsid w:val="00492CFD"/>
    <w:rsid w:val="00493A08"/>
    <w:rsid w:val="00495DA8"/>
    <w:rsid w:val="004962D2"/>
    <w:rsid w:val="00497543"/>
    <w:rsid w:val="004A0DA1"/>
    <w:rsid w:val="004A5F83"/>
    <w:rsid w:val="004A6597"/>
    <w:rsid w:val="004B1CB4"/>
    <w:rsid w:val="004B2F18"/>
    <w:rsid w:val="004B3DDB"/>
    <w:rsid w:val="004B44FD"/>
    <w:rsid w:val="004B5CFC"/>
    <w:rsid w:val="004B6EE0"/>
    <w:rsid w:val="004C3E77"/>
    <w:rsid w:val="004C4AED"/>
    <w:rsid w:val="004D25CE"/>
    <w:rsid w:val="004D3D3F"/>
    <w:rsid w:val="004E0EB8"/>
    <w:rsid w:val="004E2ADC"/>
    <w:rsid w:val="004E31A0"/>
    <w:rsid w:val="004E43B2"/>
    <w:rsid w:val="004F1D02"/>
    <w:rsid w:val="004F2679"/>
    <w:rsid w:val="004F7865"/>
    <w:rsid w:val="00506928"/>
    <w:rsid w:val="00507AC0"/>
    <w:rsid w:val="00511826"/>
    <w:rsid w:val="00512886"/>
    <w:rsid w:val="005152B5"/>
    <w:rsid w:val="005176A6"/>
    <w:rsid w:val="00521319"/>
    <w:rsid w:val="00523C28"/>
    <w:rsid w:val="00526D10"/>
    <w:rsid w:val="00532D95"/>
    <w:rsid w:val="0053454E"/>
    <w:rsid w:val="005378DD"/>
    <w:rsid w:val="00537D45"/>
    <w:rsid w:val="00543FA4"/>
    <w:rsid w:val="0054790C"/>
    <w:rsid w:val="00552BD3"/>
    <w:rsid w:val="0055408F"/>
    <w:rsid w:val="00555109"/>
    <w:rsid w:val="00562F0F"/>
    <w:rsid w:val="0056696F"/>
    <w:rsid w:val="00571390"/>
    <w:rsid w:val="00572659"/>
    <w:rsid w:val="00573D17"/>
    <w:rsid w:val="00575D8D"/>
    <w:rsid w:val="00576972"/>
    <w:rsid w:val="00583699"/>
    <w:rsid w:val="005865FA"/>
    <w:rsid w:val="00592EFB"/>
    <w:rsid w:val="00593C19"/>
    <w:rsid w:val="00596EF6"/>
    <w:rsid w:val="005A4758"/>
    <w:rsid w:val="005A598B"/>
    <w:rsid w:val="005A643E"/>
    <w:rsid w:val="005A7E09"/>
    <w:rsid w:val="005B5857"/>
    <w:rsid w:val="005C1B83"/>
    <w:rsid w:val="005C346B"/>
    <w:rsid w:val="005C4CE9"/>
    <w:rsid w:val="005D044D"/>
    <w:rsid w:val="005D18AD"/>
    <w:rsid w:val="005D2C5A"/>
    <w:rsid w:val="005E2A41"/>
    <w:rsid w:val="005E6101"/>
    <w:rsid w:val="005E73C0"/>
    <w:rsid w:val="005F0759"/>
    <w:rsid w:val="005F13C7"/>
    <w:rsid w:val="005F21C8"/>
    <w:rsid w:val="005F2706"/>
    <w:rsid w:val="005F6A8F"/>
    <w:rsid w:val="00601AC9"/>
    <w:rsid w:val="00603747"/>
    <w:rsid w:val="00606635"/>
    <w:rsid w:val="00607669"/>
    <w:rsid w:val="00607D40"/>
    <w:rsid w:val="00610F8E"/>
    <w:rsid w:val="00611076"/>
    <w:rsid w:val="00611DF8"/>
    <w:rsid w:val="00612F97"/>
    <w:rsid w:val="00616802"/>
    <w:rsid w:val="00617D4E"/>
    <w:rsid w:val="00617E12"/>
    <w:rsid w:val="00621477"/>
    <w:rsid w:val="00622C0A"/>
    <w:rsid w:val="006245C7"/>
    <w:rsid w:val="00626FAC"/>
    <w:rsid w:val="00631D6B"/>
    <w:rsid w:val="006339F2"/>
    <w:rsid w:val="0063479F"/>
    <w:rsid w:val="006363D6"/>
    <w:rsid w:val="006364A1"/>
    <w:rsid w:val="00637BFD"/>
    <w:rsid w:val="006471CC"/>
    <w:rsid w:val="00647C0D"/>
    <w:rsid w:val="0065079F"/>
    <w:rsid w:val="006527DF"/>
    <w:rsid w:val="00667DA6"/>
    <w:rsid w:val="00670C29"/>
    <w:rsid w:val="00671A1D"/>
    <w:rsid w:val="0067329D"/>
    <w:rsid w:val="00674A53"/>
    <w:rsid w:val="00674E42"/>
    <w:rsid w:val="0067519C"/>
    <w:rsid w:val="00675CF5"/>
    <w:rsid w:val="006802D2"/>
    <w:rsid w:val="00681E78"/>
    <w:rsid w:val="00682112"/>
    <w:rsid w:val="00682EE4"/>
    <w:rsid w:val="0068570A"/>
    <w:rsid w:val="006872BA"/>
    <w:rsid w:val="006917D7"/>
    <w:rsid w:val="00694F44"/>
    <w:rsid w:val="00697FC7"/>
    <w:rsid w:val="006A2C57"/>
    <w:rsid w:val="006A561D"/>
    <w:rsid w:val="006B040E"/>
    <w:rsid w:val="006B0749"/>
    <w:rsid w:val="006B4AFA"/>
    <w:rsid w:val="006C2A8E"/>
    <w:rsid w:val="006D2018"/>
    <w:rsid w:val="006D3C7D"/>
    <w:rsid w:val="006D5B59"/>
    <w:rsid w:val="006D5D5F"/>
    <w:rsid w:val="006E0819"/>
    <w:rsid w:val="006E6121"/>
    <w:rsid w:val="006F03A7"/>
    <w:rsid w:val="006F3CA0"/>
    <w:rsid w:val="006F63A5"/>
    <w:rsid w:val="0070276E"/>
    <w:rsid w:val="00702F8F"/>
    <w:rsid w:val="00711A36"/>
    <w:rsid w:val="007172AD"/>
    <w:rsid w:val="007217AB"/>
    <w:rsid w:val="007237A0"/>
    <w:rsid w:val="0072416F"/>
    <w:rsid w:val="00725080"/>
    <w:rsid w:val="00731894"/>
    <w:rsid w:val="007347AD"/>
    <w:rsid w:val="00735328"/>
    <w:rsid w:val="00735A75"/>
    <w:rsid w:val="0073685B"/>
    <w:rsid w:val="00741C48"/>
    <w:rsid w:val="007427E7"/>
    <w:rsid w:val="00751735"/>
    <w:rsid w:val="0075204D"/>
    <w:rsid w:val="00752817"/>
    <w:rsid w:val="0075756B"/>
    <w:rsid w:val="00761CC3"/>
    <w:rsid w:val="007678AD"/>
    <w:rsid w:val="00774228"/>
    <w:rsid w:val="00783D34"/>
    <w:rsid w:val="007845A2"/>
    <w:rsid w:val="00787E0D"/>
    <w:rsid w:val="00792461"/>
    <w:rsid w:val="00792983"/>
    <w:rsid w:val="0079758F"/>
    <w:rsid w:val="007A0A12"/>
    <w:rsid w:val="007A1463"/>
    <w:rsid w:val="007B102B"/>
    <w:rsid w:val="007B18A9"/>
    <w:rsid w:val="007B251D"/>
    <w:rsid w:val="007B5740"/>
    <w:rsid w:val="007B6182"/>
    <w:rsid w:val="007B77D1"/>
    <w:rsid w:val="007C276A"/>
    <w:rsid w:val="007C361D"/>
    <w:rsid w:val="007C5064"/>
    <w:rsid w:val="007C6234"/>
    <w:rsid w:val="007D0B38"/>
    <w:rsid w:val="007D218B"/>
    <w:rsid w:val="007D3AD4"/>
    <w:rsid w:val="007D5D61"/>
    <w:rsid w:val="007D7E59"/>
    <w:rsid w:val="007E545C"/>
    <w:rsid w:val="007F0F85"/>
    <w:rsid w:val="007F1017"/>
    <w:rsid w:val="007F2931"/>
    <w:rsid w:val="007F4A3F"/>
    <w:rsid w:val="007F5EDE"/>
    <w:rsid w:val="007F6AD3"/>
    <w:rsid w:val="007F6FDB"/>
    <w:rsid w:val="00803ABB"/>
    <w:rsid w:val="00803F7F"/>
    <w:rsid w:val="00803FF8"/>
    <w:rsid w:val="00804C30"/>
    <w:rsid w:val="00805142"/>
    <w:rsid w:val="00807A8B"/>
    <w:rsid w:val="00812149"/>
    <w:rsid w:val="008166EF"/>
    <w:rsid w:val="00823434"/>
    <w:rsid w:val="008264EB"/>
    <w:rsid w:val="0083084D"/>
    <w:rsid w:val="0083154A"/>
    <w:rsid w:val="00831AC0"/>
    <w:rsid w:val="008322CA"/>
    <w:rsid w:val="00833B05"/>
    <w:rsid w:val="00840CA2"/>
    <w:rsid w:val="00841367"/>
    <w:rsid w:val="008424C1"/>
    <w:rsid w:val="00843693"/>
    <w:rsid w:val="00843E20"/>
    <w:rsid w:val="0084514B"/>
    <w:rsid w:val="00852CA4"/>
    <w:rsid w:val="00856E9A"/>
    <w:rsid w:val="00862502"/>
    <w:rsid w:val="0086458E"/>
    <w:rsid w:val="00871E7C"/>
    <w:rsid w:val="00872D85"/>
    <w:rsid w:val="00873537"/>
    <w:rsid w:val="0088142C"/>
    <w:rsid w:val="008820CE"/>
    <w:rsid w:val="00882874"/>
    <w:rsid w:val="00883787"/>
    <w:rsid w:val="00894489"/>
    <w:rsid w:val="008948AE"/>
    <w:rsid w:val="00894A1D"/>
    <w:rsid w:val="00895D67"/>
    <w:rsid w:val="008963A5"/>
    <w:rsid w:val="00897330"/>
    <w:rsid w:val="00897A0F"/>
    <w:rsid w:val="008A0196"/>
    <w:rsid w:val="008A337E"/>
    <w:rsid w:val="008A3C3E"/>
    <w:rsid w:val="008A79DE"/>
    <w:rsid w:val="008B4577"/>
    <w:rsid w:val="008B7D7E"/>
    <w:rsid w:val="008C160B"/>
    <w:rsid w:val="008C7ECB"/>
    <w:rsid w:val="008D6173"/>
    <w:rsid w:val="008E1B9E"/>
    <w:rsid w:val="008E74D7"/>
    <w:rsid w:val="008F0185"/>
    <w:rsid w:val="008F120A"/>
    <w:rsid w:val="008F48EB"/>
    <w:rsid w:val="008F4F0B"/>
    <w:rsid w:val="008F57C3"/>
    <w:rsid w:val="008F675B"/>
    <w:rsid w:val="008F6F55"/>
    <w:rsid w:val="009025AF"/>
    <w:rsid w:val="009062A5"/>
    <w:rsid w:val="00907804"/>
    <w:rsid w:val="00911272"/>
    <w:rsid w:val="00912243"/>
    <w:rsid w:val="009131FE"/>
    <w:rsid w:val="00920816"/>
    <w:rsid w:val="00930A97"/>
    <w:rsid w:val="00930ECA"/>
    <w:rsid w:val="0093354A"/>
    <w:rsid w:val="00934C21"/>
    <w:rsid w:val="00934C6D"/>
    <w:rsid w:val="009413F8"/>
    <w:rsid w:val="00945B9D"/>
    <w:rsid w:val="00947F2A"/>
    <w:rsid w:val="00957E28"/>
    <w:rsid w:val="00962CB9"/>
    <w:rsid w:val="00964312"/>
    <w:rsid w:val="00964C86"/>
    <w:rsid w:val="00974572"/>
    <w:rsid w:val="00975981"/>
    <w:rsid w:val="00983E57"/>
    <w:rsid w:val="009913E0"/>
    <w:rsid w:val="00992258"/>
    <w:rsid w:val="00992F20"/>
    <w:rsid w:val="00996B1A"/>
    <w:rsid w:val="009A1168"/>
    <w:rsid w:val="009A475A"/>
    <w:rsid w:val="009B35B4"/>
    <w:rsid w:val="009B3E26"/>
    <w:rsid w:val="009B4C10"/>
    <w:rsid w:val="009B5973"/>
    <w:rsid w:val="009C0581"/>
    <w:rsid w:val="009C257A"/>
    <w:rsid w:val="009D09E0"/>
    <w:rsid w:val="009D10F1"/>
    <w:rsid w:val="009D1B09"/>
    <w:rsid w:val="009D214E"/>
    <w:rsid w:val="009D5B91"/>
    <w:rsid w:val="009E0E23"/>
    <w:rsid w:val="009E4C07"/>
    <w:rsid w:val="009E5C98"/>
    <w:rsid w:val="009E6E38"/>
    <w:rsid w:val="009F0D0F"/>
    <w:rsid w:val="009F0FC4"/>
    <w:rsid w:val="009F153B"/>
    <w:rsid w:val="009F2D8F"/>
    <w:rsid w:val="009F5056"/>
    <w:rsid w:val="009F79A9"/>
    <w:rsid w:val="009F7E59"/>
    <w:rsid w:val="00A0104A"/>
    <w:rsid w:val="00A01B4C"/>
    <w:rsid w:val="00A02A86"/>
    <w:rsid w:val="00A03D43"/>
    <w:rsid w:val="00A04380"/>
    <w:rsid w:val="00A10140"/>
    <w:rsid w:val="00A13948"/>
    <w:rsid w:val="00A22D34"/>
    <w:rsid w:val="00A234F3"/>
    <w:rsid w:val="00A27AEC"/>
    <w:rsid w:val="00A33A44"/>
    <w:rsid w:val="00A35D16"/>
    <w:rsid w:val="00A40528"/>
    <w:rsid w:val="00A40573"/>
    <w:rsid w:val="00A4185F"/>
    <w:rsid w:val="00A42F0B"/>
    <w:rsid w:val="00A43C59"/>
    <w:rsid w:val="00A44BB9"/>
    <w:rsid w:val="00A50BCA"/>
    <w:rsid w:val="00A50ECD"/>
    <w:rsid w:val="00A52729"/>
    <w:rsid w:val="00A53675"/>
    <w:rsid w:val="00A56B6A"/>
    <w:rsid w:val="00A578DC"/>
    <w:rsid w:val="00A60109"/>
    <w:rsid w:val="00A61D51"/>
    <w:rsid w:val="00A65CE4"/>
    <w:rsid w:val="00A6725B"/>
    <w:rsid w:val="00A702DF"/>
    <w:rsid w:val="00A7767F"/>
    <w:rsid w:val="00A86E8B"/>
    <w:rsid w:val="00A87885"/>
    <w:rsid w:val="00A909D1"/>
    <w:rsid w:val="00A93072"/>
    <w:rsid w:val="00A93DA8"/>
    <w:rsid w:val="00A959D8"/>
    <w:rsid w:val="00AA7D31"/>
    <w:rsid w:val="00AB042A"/>
    <w:rsid w:val="00AB0F20"/>
    <w:rsid w:val="00AB2D34"/>
    <w:rsid w:val="00AB3430"/>
    <w:rsid w:val="00AB789A"/>
    <w:rsid w:val="00AB7CFA"/>
    <w:rsid w:val="00AD0338"/>
    <w:rsid w:val="00AD080C"/>
    <w:rsid w:val="00AE26A2"/>
    <w:rsid w:val="00AE4318"/>
    <w:rsid w:val="00AF0EB0"/>
    <w:rsid w:val="00B017FE"/>
    <w:rsid w:val="00B026AD"/>
    <w:rsid w:val="00B047EE"/>
    <w:rsid w:val="00B12A7B"/>
    <w:rsid w:val="00B14BE1"/>
    <w:rsid w:val="00B161C8"/>
    <w:rsid w:val="00B16E49"/>
    <w:rsid w:val="00B1722C"/>
    <w:rsid w:val="00B22888"/>
    <w:rsid w:val="00B26E4D"/>
    <w:rsid w:val="00B32924"/>
    <w:rsid w:val="00B329AA"/>
    <w:rsid w:val="00B330A2"/>
    <w:rsid w:val="00B33139"/>
    <w:rsid w:val="00B401AD"/>
    <w:rsid w:val="00B40243"/>
    <w:rsid w:val="00B40D46"/>
    <w:rsid w:val="00B40EAF"/>
    <w:rsid w:val="00B42851"/>
    <w:rsid w:val="00B42A3B"/>
    <w:rsid w:val="00B44961"/>
    <w:rsid w:val="00B44DC4"/>
    <w:rsid w:val="00B50376"/>
    <w:rsid w:val="00B50DB8"/>
    <w:rsid w:val="00B5229C"/>
    <w:rsid w:val="00B532A0"/>
    <w:rsid w:val="00B53905"/>
    <w:rsid w:val="00B54B5B"/>
    <w:rsid w:val="00B5562E"/>
    <w:rsid w:val="00B57000"/>
    <w:rsid w:val="00B576EE"/>
    <w:rsid w:val="00B57F94"/>
    <w:rsid w:val="00B60052"/>
    <w:rsid w:val="00B60939"/>
    <w:rsid w:val="00B60AFD"/>
    <w:rsid w:val="00B62715"/>
    <w:rsid w:val="00B73AD8"/>
    <w:rsid w:val="00B818A4"/>
    <w:rsid w:val="00B8649C"/>
    <w:rsid w:val="00B91DED"/>
    <w:rsid w:val="00B92D0B"/>
    <w:rsid w:val="00B94945"/>
    <w:rsid w:val="00BB1408"/>
    <w:rsid w:val="00BB2FA3"/>
    <w:rsid w:val="00BB3F38"/>
    <w:rsid w:val="00BB6107"/>
    <w:rsid w:val="00BB7405"/>
    <w:rsid w:val="00BC4950"/>
    <w:rsid w:val="00BC55F8"/>
    <w:rsid w:val="00BC783A"/>
    <w:rsid w:val="00BD2E3B"/>
    <w:rsid w:val="00BD6CF3"/>
    <w:rsid w:val="00BE2180"/>
    <w:rsid w:val="00BE4275"/>
    <w:rsid w:val="00BF2433"/>
    <w:rsid w:val="00BF61C9"/>
    <w:rsid w:val="00BF69A0"/>
    <w:rsid w:val="00C03340"/>
    <w:rsid w:val="00C038C7"/>
    <w:rsid w:val="00C04AA3"/>
    <w:rsid w:val="00C16045"/>
    <w:rsid w:val="00C21182"/>
    <w:rsid w:val="00C226F5"/>
    <w:rsid w:val="00C25418"/>
    <w:rsid w:val="00C25D9C"/>
    <w:rsid w:val="00C306EC"/>
    <w:rsid w:val="00C31649"/>
    <w:rsid w:val="00C34A38"/>
    <w:rsid w:val="00C373A2"/>
    <w:rsid w:val="00C40385"/>
    <w:rsid w:val="00C44A46"/>
    <w:rsid w:val="00C44FFC"/>
    <w:rsid w:val="00C502FB"/>
    <w:rsid w:val="00C556BF"/>
    <w:rsid w:val="00C57AB2"/>
    <w:rsid w:val="00C65576"/>
    <w:rsid w:val="00C66165"/>
    <w:rsid w:val="00C670F7"/>
    <w:rsid w:val="00C67948"/>
    <w:rsid w:val="00C726F8"/>
    <w:rsid w:val="00C750C8"/>
    <w:rsid w:val="00C8213F"/>
    <w:rsid w:val="00C84231"/>
    <w:rsid w:val="00C8489F"/>
    <w:rsid w:val="00C8797A"/>
    <w:rsid w:val="00C938CF"/>
    <w:rsid w:val="00CA4E49"/>
    <w:rsid w:val="00CA5245"/>
    <w:rsid w:val="00CA56D7"/>
    <w:rsid w:val="00CA66F8"/>
    <w:rsid w:val="00CA7B09"/>
    <w:rsid w:val="00CB375D"/>
    <w:rsid w:val="00CB56AD"/>
    <w:rsid w:val="00CB5B1A"/>
    <w:rsid w:val="00CB62DE"/>
    <w:rsid w:val="00CC11F4"/>
    <w:rsid w:val="00CC571A"/>
    <w:rsid w:val="00CC6E7E"/>
    <w:rsid w:val="00CD0A5E"/>
    <w:rsid w:val="00CD6ADC"/>
    <w:rsid w:val="00CE43CD"/>
    <w:rsid w:val="00CE6274"/>
    <w:rsid w:val="00CF1B5F"/>
    <w:rsid w:val="00CF20E2"/>
    <w:rsid w:val="00CF456B"/>
    <w:rsid w:val="00CF5A22"/>
    <w:rsid w:val="00D0262E"/>
    <w:rsid w:val="00D07725"/>
    <w:rsid w:val="00D0794B"/>
    <w:rsid w:val="00D110BD"/>
    <w:rsid w:val="00D17D6C"/>
    <w:rsid w:val="00D22CA9"/>
    <w:rsid w:val="00D23CCB"/>
    <w:rsid w:val="00D26AC4"/>
    <w:rsid w:val="00D30FFB"/>
    <w:rsid w:val="00D3315C"/>
    <w:rsid w:val="00D357FF"/>
    <w:rsid w:val="00D404BF"/>
    <w:rsid w:val="00D42ACC"/>
    <w:rsid w:val="00D4308C"/>
    <w:rsid w:val="00D510D6"/>
    <w:rsid w:val="00D5686B"/>
    <w:rsid w:val="00D56A3D"/>
    <w:rsid w:val="00D57CF6"/>
    <w:rsid w:val="00D57E93"/>
    <w:rsid w:val="00D71562"/>
    <w:rsid w:val="00D7458C"/>
    <w:rsid w:val="00D76A44"/>
    <w:rsid w:val="00D77195"/>
    <w:rsid w:val="00D85A47"/>
    <w:rsid w:val="00D86A1C"/>
    <w:rsid w:val="00D93753"/>
    <w:rsid w:val="00D94CB9"/>
    <w:rsid w:val="00DA1998"/>
    <w:rsid w:val="00DA518B"/>
    <w:rsid w:val="00DA6616"/>
    <w:rsid w:val="00DA77A5"/>
    <w:rsid w:val="00DB27BB"/>
    <w:rsid w:val="00DB709F"/>
    <w:rsid w:val="00DC01F4"/>
    <w:rsid w:val="00DC0363"/>
    <w:rsid w:val="00DC3ED5"/>
    <w:rsid w:val="00DC43BF"/>
    <w:rsid w:val="00DC5501"/>
    <w:rsid w:val="00DC6091"/>
    <w:rsid w:val="00DD2C10"/>
    <w:rsid w:val="00DD3F28"/>
    <w:rsid w:val="00DD4537"/>
    <w:rsid w:val="00DD4E15"/>
    <w:rsid w:val="00DD7EAF"/>
    <w:rsid w:val="00DE48DB"/>
    <w:rsid w:val="00DE4FCB"/>
    <w:rsid w:val="00DE6094"/>
    <w:rsid w:val="00DE731D"/>
    <w:rsid w:val="00DF2D0E"/>
    <w:rsid w:val="00DF57EE"/>
    <w:rsid w:val="00DF5D2B"/>
    <w:rsid w:val="00E051EB"/>
    <w:rsid w:val="00E10149"/>
    <w:rsid w:val="00E16372"/>
    <w:rsid w:val="00E20ED6"/>
    <w:rsid w:val="00E21358"/>
    <w:rsid w:val="00E2249B"/>
    <w:rsid w:val="00E22A0D"/>
    <w:rsid w:val="00E240FE"/>
    <w:rsid w:val="00E2430C"/>
    <w:rsid w:val="00E26DF8"/>
    <w:rsid w:val="00E2771E"/>
    <w:rsid w:val="00E31095"/>
    <w:rsid w:val="00E33E56"/>
    <w:rsid w:val="00E37569"/>
    <w:rsid w:val="00E37721"/>
    <w:rsid w:val="00E41E30"/>
    <w:rsid w:val="00E43D70"/>
    <w:rsid w:val="00E44F74"/>
    <w:rsid w:val="00E47B2C"/>
    <w:rsid w:val="00E51560"/>
    <w:rsid w:val="00E5168A"/>
    <w:rsid w:val="00E55424"/>
    <w:rsid w:val="00E55BB5"/>
    <w:rsid w:val="00E65E79"/>
    <w:rsid w:val="00E66693"/>
    <w:rsid w:val="00E67416"/>
    <w:rsid w:val="00E67627"/>
    <w:rsid w:val="00E718B6"/>
    <w:rsid w:val="00E73581"/>
    <w:rsid w:val="00E735E3"/>
    <w:rsid w:val="00E736DB"/>
    <w:rsid w:val="00E81EE1"/>
    <w:rsid w:val="00E82A9F"/>
    <w:rsid w:val="00E83BDF"/>
    <w:rsid w:val="00E95792"/>
    <w:rsid w:val="00EA3864"/>
    <w:rsid w:val="00EA50BB"/>
    <w:rsid w:val="00EB15B6"/>
    <w:rsid w:val="00EB4916"/>
    <w:rsid w:val="00EB4FE6"/>
    <w:rsid w:val="00EC00C9"/>
    <w:rsid w:val="00EC0D4D"/>
    <w:rsid w:val="00EE07D3"/>
    <w:rsid w:val="00EE3B82"/>
    <w:rsid w:val="00EE5804"/>
    <w:rsid w:val="00EF0D62"/>
    <w:rsid w:val="00EF1FED"/>
    <w:rsid w:val="00EF269B"/>
    <w:rsid w:val="00EF3A56"/>
    <w:rsid w:val="00F067A2"/>
    <w:rsid w:val="00F20B6C"/>
    <w:rsid w:val="00F24837"/>
    <w:rsid w:val="00F24CAF"/>
    <w:rsid w:val="00F2575F"/>
    <w:rsid w:val="00F33DE9"/>
    <w:rsid w:val="00F33E32"/>
    <w:rsid w:val="00F34BE8"/>
    <w:rsid w:val="00F34F5A"/>
    <w:rsid w:val="00F3574A"/>
    <w:rsid w:val="00F3619A"/>
    <w:rsid w:val="00F408A3"/>
    <w:rsid w:val="00F4686C"/>
    <w:rsid w:val="00F46CB6"/>
    <w:rsid w:val="00F504C3"/>
    <w:rsid w:val="00F50535"/>
    <w:rsid w:val="00F55E73"/>
    <w:rsid w:val="00F60092"/>
    <w:rsid w:val="00F649BB"/>
    <w:rsid w:val="00F70F24"/>
    <w:rsid w:val="00F75C63"/>
    <w:rsid w:val="00F76951"/>
    <w:rsid w:val="00F76F5C"/>
    <w:rsid w:val="00F806F2"/>
    <w:rsid w:val="00F80E5D"/>
    <w:rsid w:val="00F851CE"/>
    <w:rsid w:val="00F9035D"/>
    <w:rsid w:val="00F91A9C"/>
    <w:rsid w:val="00F933E9"/>
    <w:rsid w:val="00F97A78"/>
    <w:rsid w:val="00FA1A1C"/>
    <w:rsid w:val="00FA24E7"/>
    <w:rsid w:val="00FA669C"/>
    <w:rsid w:val="00FA682B"/>
    <w:rsid w:val="00FB11F3"/>
    <w:rsid w:val="00FB1A7C"/>
    <w:rsid w:val="00FB2FCB"/>
    <w:rsid w:val="00FC0746"/>
    <w:rsid w:val="00FC08E0"/>
    <w:rsid w:val="00FC1074"/>
    <w:rsid w:val="00FC1884"/>
    <w:rsid w:val="00FC2A6F"/>
    <w:rsid w:val="00FC5AC1"/>
    <w:rsid w:val="00FD2100"/>
    <w:rsid w:val="00FD446D"/>
    <w:rsid w:val="00FD7053"/>
    <w:rsid w:val="00FD79A1"/>
    <w:rsid w:val="00FE18D6"/>
    <w:rsid w:val="00FE1F07"/>
    <w:rsid w:val="00FE3870"/>
    <w:rsid w:val="00FE42A1"/>
    <w:rsid w:val="00FE5477"/>
    <w:rsid w:val="00FF03DB"/>
    <w:rsid w:val="00FF36EE"/>
    <w:rsid w:val="00FF3DCF"/>
    <w:rsid w:val="00FF4B52"/>
    <w:rsid w:val="00FF5769"/>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7F0F85"/>
    <w:pPr>
      <w:widowControl/>
      <w:spacing w:after="120"/>
      <w:jc w:val="left"/>
      <w:outlineLvl w:val="1"/>
    </w:pPr>
    <w:rPr>
      <w:b/>
      <w:bCs/>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7F0F85"/>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7F0F85"/>
    <w:pPr>
      <w:jc w:val="left"/>
    </w:pPr>
    <w:rPr>
      <w:sz w:val="28"/>
    </w:rPr>
  </w:style>
  <w:style w:type="character" w:customStyle="1" w:styleId="TitleChar">
    <w:name w:val="Title Char"/>
    <w:basedOn w:val="DefaultParagraphFont"/>
    <w:link w:val="Title"/>
    <w:rsid w:val="007F0F85"/>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99"/>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F0F85"/>
    <w:pPr>
      <w:numPr>
        <w:numId w:val="1"/>
      </w:numPr>
      <w:outlineLvl w:val="0"/>
    </w:pPr>
    <w:rPr>
      <w:rFonts w:ascii="Arial" w:hAnsi="Arial" w:cs="Arial"/>
      <w:b/>
      <w:snapToGrid w:val="0"/>
      <w:sz w:val="22"/>
      <w:szCs w:val="22"/>
      <w:lang w:eastAsia="en-US"/>
    </w:rPr>
  </w:style>
  <w:style w:type="table" w:customStyle="1" w:styleId="TableGrid1">
    <w:name w:val="Table Grid1"/>
    <w:basedOn w:val="TableNormal"/>
    <w:next w:val="TableGrid"/>
    <w:uiPriority w:val="59"/>
    <w:rsid w:val="000B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03FF8"/>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803FF8"/>
    <w:rPr>
      <w:rFonts w:ascii="Arial" w:hAnsi="Arial" w:cs="Arial"/>
      <w:snapToGrid w:val="0"/>
      <w:sz w:val="22"/>
      <w:lang w:eastAsia="en-US"/>
    </w:rPr>
  </w:style>
  <w:style w:type="character" w:styleId="IntenseReference">
    <w:name w:val="Intense Reference"/>
    <w:basedOn w:val="DefaultParagraphFont"/>
    <w:uiPriority w:val="32"/>
    <w:rsid w:val="00F9035D"/>
    <w:rPr>
      <w:b/>
      <w:bCs/>
      <w:smallCaps/>
      <w:color w:val="C0504D" w:themeColor="accent2"/>
      <w:spacing w:val="5"/>
      <w:u w:val="single"/>
    </w:rPr>
  </w:style>
  <w:style w:type="paragraph" w:styleId="FootnoteText">
    <w:name w:val="footnote text"/>
    <w:basedOn w:val="Normal"/>
    <w:link w:val="FootnoteTextChar"/>
    <w:rsid w:val="00CE43CD"/>
    <w:pPr>
      <w:widowControl/>
      <w:jc w:val="left"/>
    </w:pPr>
    <w:rPr>
      <w:rFonts w:ascii="Times New Roman" w:hAnsi="Times New Roman" w:cs="Times New Roman"/>
      <w:snapToGrid/>
      <w:sz w:val="20"/>
      <w:lang w:eastAsia="en-AU"/>
    </w:rPr>
  </w:style>
  <w:style w:type="character" w:customStyle="1" w:styleId="FootnoteTextChar">
    <w:name w:val="Footnote Text Char"/>
    <w:basedOn w:val="DefaultParagraphFont"/>
    <w:link w:val="FootnoteText"/>
    <w:rsid w:val="00CE43CD"/>
  </w:style>
  <w:style w:type="character" w:styleId="FootnoteReference">
    <w:name w:val="footnote reference"/>
    <w:basedOn w:val="DefaultParagraphFont"/>
    <w:rsid w:val="00CE43CD"/>
    <w:rPr>
      <w:vertAlign w:val="superscript"/>
    </w:rPr>
  </w:style>
  <w:style w:type="character" w:styleId="FollowedHyperlink">
    <w:name w:val="FollowedHyperlink"/>
    <w:basedOn w:val="DefaultParagraphFont"/>
    <w:semiHidden/>
    <w:unhideWhenUsed/>
    <w:rsid w:val="00D568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7F0F85"/>
    <w:pPr>
      <w:widowControl/>
      <w:spacing w:after="120"/>
      <w:jc w:val="left"/>
      <w:outlineLvl w:val="1"/>
    </w:pPr>
    <w:rPr>
      <w:b/>
      <w:bCs/>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7F0F85"/>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7F0F85"/>
    <w:pPr>
      <w:jc w:val="left"/>
    </w:pPr>
    <w:rPr>
      <w:sz w:val="28"/>
    </w:rPr>
  </w:style>
  <w:style w:type="character" w:customStyle="1" w:styleId="TitleChar">
    <w:name w:val="Title Char"/>
    <w:basedOn w:val="DefaultParagraphFont"/>
    <w:link w:val="Title"/>
    <w:rsid w:val="007F0F85"/>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99"/>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F0F85"/>
    <w:pPr>
      <w:numPr>
        <w:numId w:val="1"/>
      </w:numPr>
      <w:outlineLvl w:val="0"/>
    </w:pPr>
    <w:rPr>
      <w:rFonts w:ascii="Arial" w:hAnsi="Arial" w:cs="Arial"/>
      <w:b/>
      <w:snapToGrid w:val="0"/>
      <w:sz w:val="22"/>
      <w:szCs w:val="22"/>
      <w:lang w:eastAsia="en-US"/>
    </w:rPr>
  </w:style>
  <w:style w:type="table" w:customStyle="1" w:styleId="TableGrid1">
    <w:name w:val="Table Grid1"/>
    <w:basedOn w:val="TableNormal"/>
    <w:next w:val="TableGrid"/>
    <w:uiPriority w:val="59"/>
    <w:rsid w:val="000B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03FF8"/>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803FF8"/>
    <w:rPr>
      <w:rFonts w:ascii="Arial" w:hAnsi="Arial" w:cs="Arial"/>
      <w:snapToGrid w:val="0"/>
      <w:sz w:val="22"/>
      <w:lang w:eastAsia="en-US"/>
    </w:rPr>
  </w:style>
  <w:style w:type="character" w:styleId="IntenseReference">
    <w:name w:val="Intense Reference"/>
    <w:basedOn w:val="DefaultParagraphFont"/>
    <w:uiPriority w:val="32"/>
    <w:rsid w:val="00F9035D"/>
    <w:rPr>
      <w:b/>
      <w:bCs/>
      <w:smallCaps/>
      <w:color w:val="C0504D" w:themeColor="accent2"/>
      <w:spacing w:val="5"/>
      <w:u w:val="single"/>
    </w:rPr>
  </w:style>
  <w:style w:type="paragraph" w:styleId="FootnoteText">
    <w:name w:val="footnote text"/>
    <w:basedOn w:val="Normal"/>
    <w:link w:val="FootnoteTextChar"/>
    <w:rsid w:val="00CE43CD"/>
    <w:pPr>
      <w:widowControl/>
      <w:jc w:val="left"/>
    </w:pPr>
    <w:rPr>
      <w:rFonts w:ascii="Times New Roman" w:hAnsi="Times New Roman" w:cs="Times New Roman"/>
      <w:snapToGrid/>
      <w:sz w:val="20"/>
      <w:lang w:eastAsia="en-AU"/>
    </w:rPr>
  </w:style>
  <w:style w:type="character" w:customStyle="1" w:styleId="FootnoteTextChar">
    <w:name w:val="Footnote Text Char"/>
    <w:basedOn w:val="DefaultParagraphFont"/>
    <w:link w:val="FootnoteText"/>
    <w:rsid w:val="00CE43CD"/>
  </w:style>
  <w:style w:type="character" w:styleId="FootnoteReference">
    <w:name w:val="footnote reference"/>
    <w:basedOn w:val="DefaultParagraphFont"/>
    <w:rsid w:val="00CE43CD"/>
    <w:rPr>
      <w:vertAlign w:val="superscript"/>
    </w:rPr>
  </w:style>
  <w:style w:type="character" w:styleId="FollowedHyperlink">
    <w:name w:val="FollowedHyperlink"/>
    <w:basedOn w:val="DefaultParagraphFont"/>
    <w:semiHidden/>
    <w:unhideWhenUsed/>
    <w:rsid w:val="00D568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306128208">
      <w:bodyDiv w:val="1"/>
      <w:marLeft w:val="0"/>
      <w:marRight w:val="0"/>
      <w:marTop w:val="0"/>
      <w:marBottom w:val="0"/>
      <w:divBdr>
        <w:top w:val="none" w:sz="0" w:space="0" w:color="auto"/>
        <w:left w:val="none" w:sz="0" w:space="0" w:color="auto"/>
        <w:bottom w:val="none" w:sz="0" w:space="0" w:color="auto"/>
        <w:right w:val="none" w:sz="0" w:space="0" w:color="auto"/>
      </w:divBdr>
    </w:div>
    <w:div w:id="1304969465">
      <w:bodyDiv w:val="1"/>
      <w:marLeft w:val="0"/>
      <w:marRight w:val="0"/>
      <w:marTop w:val="0"/>
      <w:marBottom w:val="0"/>
      <w:divBdr>
        <w:top w:val="none" w:sz="0" w:space="0" w:color="auto"/>
        <w:left w:val="none" w:sz="0" w:space="0" w:color="auto"/>
        <w:bottom w:val="none" w:sz="0" w:space="0" w:color="auto"/>
        <w:right w:val="none" w:sz="0" w:space="0" w:color="auto"/>
      </w:divBdr>
    </w:div>
    <w:div w:id="1879392458">
      <w:bodyDiv w:val="1"/>
      <w:marLeft w:val="0"/>
      <w:marRight w:val="0"/>
      <w:marTop w:val="0"/>
      <w:marBottom w:val="0"/>
      <w:divBdr>
        <w:top w:val="none" w:sz="0" w:space="0" w:color="auto"/>
        <w:left w:val="none" w:sz="0" w:space="0" w:color="auto"/>
        <w:bottom w:val="none" w:sz="0" w:space="0" w:color="auto"/>
        <w:right w:val="none" w:sz="0" w:space="0" w:color="auto"/>
      </w:divBdr>
    </w:div>
    <w:div w:id="19330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healthpro/explanatory-notes/section2/section-2-symb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125C4-5BDE-417F-8992-51BB2AAB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4126</Words>
  <Characters>23243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2016-10-04T05:59:00Z</dcterms:created>
  <dcterms:modified xsi:type="dcterms:W3CDTF">2016-10-04T06:14:00Z</dcterms:modified>
</cp:coreProperties>
</file>