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207D00" w:rsidRDefault="00B94D1F" w:rsidP="00B94D1F">
      <w:pPr>
        <w:pStyle w:val="Heading1"/>
        <w:rPr>
          <w:sz w:val="28"/>
        </w:rPr>
      </w:pPr>
      <w:bookmarkStart w:id="0" w:name="_Toc451425474"/>
      <w:r>
        <w:rPr>
          <w:sz w:val="28"/>
        </w:rPr>
        <w:t>5.1</w:t>
      </w:r>
      <w:r w:rsidR="00E620E9">
        <w:rPr>
          <w:sz w:val="28"/>
        </w:rPr>
        <w:t>3</w:t>
      </w:r>
      <w:r w:rsidR="00B60939" w:rsidRPr="00207D00">
        <w:rPr>
          <w:sz w:val="28"/>
        </w:rPr>
        <w:tab/>
      </w:r>
      <w:r w:rsidR="00602230" w:rsidRPr="005C59DC">
        <w:rPr>
          <w:sz w:val="28"/>
        </w:rPr>
        <w:t xml:space="preserve">TENOFOVIR ALAFENAMIDE, EMTRICITABINE AND </w:t>
      </w:r>
      <w:r w:rsidR="005C59DC" w:rsidRPr="005C59DC">
        <w:rPr>
          <w:sz w:val="28"/>
        </w:rPr>
        <w:t xml:space="preserve">RILPIVIRINE </w:t>
      </w:r>
      <w:r w:rsidR="00B60939" w:rsidRPr="00207D00">
        <w:rPr>
          <w:sz w:val="28"/>
        </w:rPr>
        <w:t xml:space="preserve">, </w:t>
      </w:r>
      <w:r w:rsidR="008875CD" w:rsidRPr="008875CD">
        <w:rPr>
          <w:caps w:val="0"/>
          <w:sz w:val="28"/>
        </w:rPr>
        <w:t>fixed-dose combination tablet</w:t>
      </w:r>
      <w:r w:rsidR="00B60939" w:rsidRPr="00207D00">
        <w:rPr>
          <w:sz w:val="28"/>
        </w:rPr>
        <w:t xml:space="preserve">, </w:t>
      </w:r>
      <w:proofErr w:type="spellStart"/>
      <w:r w:rsidR="00602230" w:rsidRPr="008875CD">
        <w:rPr>
          <w:caps w:val="0"/>
          <w:sz w:val="28"/>
        </w:rPr>
        <w:t>tenofovir</w:t>
      </w:r>
      <w:proofErr w:type="spellEnd"/>
      <w:r w:rsidR="00602230" w:rsidRPr="008875CD">
        <w:rPr>
          <w:caps w:val="0"/>
          <w:sz w:val="28"/>
        </w:rPr>
        <w:t xml:space="preserve"> </w:t>
      </w:r>
      <w:proofErr w:type="spellStart"/>
      <w:r w:rsidR="00602230" w:rsidRPr="008875CD">
        <w:rPr>
          <w:caps w:val="0"/>
          <w:sz w:val="28"/>
        </w:rPr>
        <w:t>alafenamide</w:t>
      </w:r>
      <w:proofErr w:type="spellEnd"/>
      <w:r w:rsidR="00602230" w:rsidRPr="008875CD">
        <w:rPr>
          <w:caps w:val="0"/>
          <w:sz w:val="28"/>
        </w:rPr>
        <w:t xml:space="preserve"> 25 mg</w:t>
      </w:r>
      <w:r w:rsidR="00602230" w:rsidRPr="00207D00">
        <w:rPr>
          <w:sz w:val="28"/>
        </w:rPr>
        <w:t xml:space="preserve">, </w:t>
      </w:r>
      <w:proofErr w:type="spellStart"/>
      <w:r w:rsidR="00602230" w:rsidRPr="008875CD">
        <w:rPr>
          <w:caps w:val="0"/>
          <w:sz w:val="28"/>
        </w:rPr>
        <w:t>emtricitabine</w:t>
      </w:r>
      <w:proofErr w:type="spellEnd"/>
      <w:r w:rsidR="00602230" w:rsidRPr="008875CD">
        <w:rPr>
          <w:caps w:val="0"/>
          <w:sz w:val="28"/>
        </w:rPr>
        <w:t xml:space="preserve"> 200 mg and </w:t>
      </w:r>
      <w:proofErr w:type="spellStart"/>
      <w:r w:rsidR="0049214A">
        <w:rPr>
          <w:caps w:val="0"/>
          <w:sz w:val="28"/>
        </w:rPr>
        <w:t>r</w:t>
      </w:r>
      <w:r w:rsidR="008875CD" w:rsidRPr="008875CD">
        <w:rPr>
          <w:caps w:val="0"/>
          <w:sz w:val="28"/>
        </w:rPr>
        <w:t>ilpivirine</w:t>
      </w:r>
      <w:proofErr w:type="spellEnd"/>
      <w:r w:rsidR="008875CD" w:rsidRPr="008875CD">
        <w:rPr>
          <w:caps w:val="0"/>
          <w:sz w:val="28"/>
        </w:rPr>
        <w:t xml:space="preserve"> 25 mg, </w:t>
      </w:r>
      <w:proofErr w:type="spellStart"/>
      <w:r w:rsidR="008875CD" w:rsidRPr="008875CD">
        <w:rPr>
          <w:caps w:val="0"/>
          <w:sz w:val="28"/>
        </w:rPr>
        <w:t>Odefsey</w:t>
      </w:r>
      <w:proofErr w:type="spellEnd"/>
      <w:r w:rsidR="00B60939" w:rsidRPr="00207D00">
        <w:rPr>
          <w:sz w:val="28"/>
          <w:vertAlign w:val="superscript"/>
        </w:rPr>
        <w:t>®</w:t>
      </w:r>
      <w:r w:rsidR="00B60939" w:rsidRPr="00207D00">
        <w:rPr>
          <w:sz w:val="28"/>
        </w:rPr>
        <w:t xml:space="preserve">, </w:t>
      </w:r>
      <w:r w:rsidR="00565A1B" w:rsidRPr="00565A1B">
        <w:rPr>
          <w:caps w:val="0"/>
          <w:sz w:val="28"/>
        </w:rPr>
        <w:t>Gilead Sciences Pty Ltd</w:t>
      </w:r>
      <w:r w:rsidR="00B60939" w:rsidRPr="00207D00">
        <w:rPr>
          <w:sz w:val="28"/>
        </w:rPr>
        <w:t>.</w:t>
      </w:r>
      <w:bookmarkEnd w:id="0"/>
      <w:r w:rsidR="005C59DC">
        <w:rPr>
          <w:sz w:val="28"/>
        </w:rPr>
        <w:t xml:space="preserve"> </w:t>
      </w:r>
    </w:p>
    <w:p w:rsidR="0017739E" w:rsidRPr="00E620E9" w:rsidRDefault="0017739E" w:rsidP="004973B4"/>
    <w:p w:rsidR="00E620E9" w:rsidRPr="00082954" w:rsidRDefault="00E620E9" w:rsidP="00E620E9">
      <w:pPr>
        <w:rPr>
          <w:b/>
        </w:rPr>
      </w:pPr>
      <w:r w:rsidRPr="00082954">
        <w:rPr>
          <w:b/>
        </w:rPr>
        <w:t>Preface</w:t>
      </w:r>
    </w:p>
    <w:p w:rsidR="00E620E9" w:rsidRPr="00082954" w:rsidRDefault="00E620E9" w:rsidP="00E620E9">
      <w:pPr>
        <w:rPr>
          <w:iCs/>
        </w:rPr>
      </w:pPr>
      <w:r w:rsidRPr="00082954">
        <w:t xml:space="preserve">To improve the readability of this </w:t>
      </w:r>
      <w:r w:rsidR="003143B0">
        <w:t>document</w:t>
      </w:r>
      <w:r w:rsidRPr="00082954">
        <w:t xml:space="preserve">, brand names are generally used to identify fixed dose combination (FDC) antiretroviral products. Where the form of the drug within a brand is described, the </w:t>
      </w:r>
      <w:r w:rsidR="00D81314">
        <w:t>Public Summary Document</w:t>
      </w:r>
      <w:r w:rsidR="00D81314" w:rsidRPr="00082954">
        <w:t xml:space="preserve"> </w:t>
      </w:r>
      <w:r w:rsidRPr="00082954">
        <w:t>use</w:t>
      </w:r>
      <w:r w:rsidR="00D81314">
        <w:t>s</w:t>
      </w:r>
      <w:r w:rsidRPr="00082954">
        <w:t xml:space="preserve"> the </w:t>
      </w:r>
      <w:r w:rsidRPr="00082954">
        <w:rPr>
          <w:iCs/>
        </w:rPr>
        <w:t>Australian Medicines Terminology medicinal product unit of use (MPUU).</w:t>
      </w:r>
    </w:p>
    <w:p w:rsidR="00E620E9" w:rsidRPr="00082954" w:rsidRDefault="00E620E9" w:rsidP="00E620E9">
      <w:pPr>
        <w:rPr>
          <w:iCs/>
        </w:rPr>
      </w:pPr>
    </w:p>
    <w:tbl>
      <w:tblPr>
        <w:tblStyle w:val="TableGrid"/>
        <w:tblW w:w="4932" w:type="pct"/>
        <w:tblLayout w:type="fixed"/>
        <w:tblCellMar>
          <w:left w:w="28" w:type="dxa"/>
          <w:right w:w="28" w:type="dxa"/>
        </w:tblCellMar>
        <w:tblLook w:val="04A0" w:firstRow="1" w:lastRow="0" w:firstColumn="1" w:lastColumn="0" w:noHBand="0" w:noVBand="1"/>
        <w:tblCaption w:val="Preface"/>
        <w:tblDescription w:val="To improve the readability of this document, brand names are generally used to identify fixed dose combination (FDC) antiretroviral products. Where the form of the drug within a brand is described, the Public Summary Document uses the Australian Medicines Terminology medicinal product unit of use (MPUU).&#10;"/>
      </w:tblPr>
      <w:tblGrid>
        <w:gridCol w:w="5131"/>
        <w:gridCol w:w="2551"/>
        <w:gridCol w:w="1276"/>
      </w:tblGrid>
      <w:tr w:rsidR="00E620E9" w:rsidRPr="00082954" w:rsidTr="00495439">
        <w:trPr>
          <w:tblHeader/>
        </w:trPr>
        <w:tc>
          <w:tcPr>
            <w:tcW w:w="2864" w:type="pct"/>
            <w:vAlign w:val="center"/>
          </w:tcPr>
          <w:p w:rsidR="00E620E9" w:rsidRPr="00082954" w:rsidRDefault="00E620E9" w:rsidP="0088228B">
            <w:pPr>
              <w:jc w:val="left"/>
              <w:rPr>
                <w:rFonts w:ascii="Arial Narrow" w:hAnsi="Arial Narrow" w:cstheme="minorBidi"/>
                <w:b/>
                <w:iCs/>
                <w:sz w:val="20"/>
              </w:rPr>
            </w:pPr>
            <w:r w:rsidRPr="00082954">
              <w:rPr>
                <w:rFonts w:ascii="Arial Narrow" w:hAnsi="Arial Narrow" w:cstheme="minorBidi"/>
                <w:b/>
                <w:iCs/>
                <w:sz w:val="20"/>
              </w:rPr>
              <w:t>FDC of antiretroviral therapies</w:t>
            </w:r>
          </w:p>
        </w:tc>
        <w:tc>
          <w:tcPr>
            <w:tcW w:w="1424" w:type="pct"/>
            <w:vAlign w:val="center"/>
          </w:tcPr>
          <w:p w:rsidR="00E620E9" w:rsidRPr="00082954" w:rsidRDefault="00E620E9" w:rsidP="0088228B">
            <w:pPr>
              <w:jc w:val="center"/>
              <w:rPr>
                <w:rFonts w:ascii="Arial Narrow" w:hAnsi="Arial Narrow" w:cstheme="minorBidi"/>
                <w:b/>
                <w:iCs/>
                <w:sz w:val="20"/>
              </w:rPr>
            </w:pPr>
            <w:r w:rsidRPr="00082954">
              <w:rPr>
                <w:rFonts w:ascii="Arial Narrow" w:hAnsi="Arial Narrow" w:cstheme="minorBidi"/>
                <w:b/>
                <w:iCs/>
                <w:sz w:val="20"/>
              </w:rPr>
              <w:t>Drug classes</w:t>
            </w:r>
          </w:p>
        </w:tc>
        <w:tc>
          <w:tcPr>
            <w:tcW w:w="712" w:type="pct"/>
            <w:vAlign w:val="center"/>
          </w:tcPr>
          <w:p w:rsidR="00E620E9" w:rsidRPr="00082954" w:rsidRDefault="00E620E9" w:rsidP="0088228B">
            <w:pPr>
              <w:jc w:val="center"/>
              <w:rPr>
                <w:rFonts w:ascii="Arial Narrow" w:hAnsi="Arial Narrow" w:cstheme="minorBidi"/>
                <w:b/>
                <w:iCs/>
                <w:sz w:val="20"/>
              </w:rPr>
            </w:pPr>
            <w:r w:rsidRPr="00082954">
              <w:rPr>
                <w:rFonts w:ascii="Arial Narrow" w:hAnsi="Arial Narrow"/>
                <w:b/>
                <w:iCs/>
                <w:sz w:val="20"/>
              </w:rPr>
              <w:t>Brand name</w:t>
            </w:r>
          </w:p>
        </w:tc>
      </w:tr>
      <w:tr w:rsidR="00E620E9" w:rsidRPr="00082954" w:rsidTr="0088228B">
        <w:tc>
          <w:tcPr>
            <w:tcW w:w="5000" w:type="pct"/>
            <w:gridSpan w:val="3"/>
            <w:vAlign w:val="center"/>
          </w:tcPr>
          <w:p w:rsidR="00E620E9" w:rsidRPr="00082954" w:rsidRDefault="00E620E9" w:rsidP="0088228B">
            <w:pPr>
              <w:jc w:val="left"/>
              <w:rPr>
                <w:rFonts w:ascii="Arial Narrow" w:hAnsi="Arial Narrow"/>
                <w:b/>
                <w:iCs/>
                <w:sz w:val="20"/>
              </w:rPr>
            </w:pPr>
            <w:r w:rsidRPr="00082954">
              <w:rPr>
                <w:rFonts w:ascii="Arial Narrow" w:hAnsi="Arial Narrow" w:cstheme="minorBidi"/>
                <w:b/>
                <w:iCs/>
                <w:sz w:val="20"/>
              </w:rPr>
              <w:t>Single tablet regimens</w:t>
            </w:r>
          </w:p>
        </w:tc>
      </w:tr>
      <w:tr w:rsidR="00E620E9" w:rsidRPr="00082954" w:rsidTr="0088228B">
        <w:tc>
          <w:tcPr>
            <w:tcW w:w="2864" w:type="pct"/>
            <w:vAlign w:val="center"/>
          </w:tcPr>
          <w:p w:rsidR="00E620E9" w:rsidRPr="00082954" w:rsidRDefault="00E620E9" w:rsidP="0088228B">
            <w:pPr>
              <w:jc w:val="left"/>
              <w:rPr>
                <w:rFonts w:ascii="Arial Narrow" w:hAnsi="Arial Narrow" w:cstheme="minorBidi"/>
                <w:b/>
                <w:iCs/>
                <w:sz w:val="20"/>
              </w:rPr>
            </w:pPr>
            <w:proofErr w:type="spellStart"/>
            <w:r w:rsidRPr="00082954">
              <w:rPr>
                <w:rFonts w:ascii="Arial Narrow" w:hAnsi="Arial Narrow" w:cstheme="minorBidi"/>
                <w:iCs/>
                <w:sz w:val="20"/>
              </w:rPr>
              <w:t>Rilpivirine</w:t>
            </w:r>
            <w:proofErr w:type="spellEnd"/>
            <w:r w:rsidRPr="00082954">
              <w:rPr>
                <w:rFonts w:ascii="Arial Narrow" w:hAnsi="Arial Narrow" w:cstheme="minorBidi"/>
                <w:iCs/>
                <w:sz w:val="20"/>
              </w:rPr>
              <w:t>/</w:t>
            </w:r>
            <w:proofErr w:type="spellStart"/>
            <w:r w:rsidRPr="00082954">
              <w:rPr>
                <w:rFonts w:ascii="Arial Narrow" w:hAnsi="Arial Narrow" w:cstheme="minorBidi"/>
                <w:iCs/>
                <w:sz w:val="20"/>
              </w:rPr>
              <w:t>emtricitabine</w:t>
            </w:r>
            <w:proofErr w:type="spellEnd"/>
            <w:r w:rsidRPr="00082954">
              <w:rPr>
                <w:rFonts w:ascii="Arial Narrow" w:hAnsi="Arial Narrow" w:cstheme="minorBidi"/>
                <w:iCs/>
                <w:sz w:val="20"/>
              </w:rPr>
              <w:t>/</w:t>
            </w:r>
            <w:proofErr w:type="spellStart"/>
            <w:r w:rsidRPr="00082954">
              <w:rPr>
                <w:rFonts w:ascii="Arial Narrow" w:hAnsi="Arial Narrow" w:cstheme="minorBidi"/>
                <w:b/>
                <w:bCs/>
                <w:iCs/>
                <w:sz w:val="20"/>
              </w:rPr>
              <w:t>tenofovir</w:t>
            </w:r>
            <w:proofErr w:type="spellEnd"/>
            <w:r w:rsidRPr="00082954">
              <w:rPr>
                <w:rFonts w:ascii="Arial Narrow" w:hAnsi="Arial Narrow" w:cstheme="minorBidi"/>
                <w:b/>
                <w:bCs/>
                <w:iCs/>
                <w:sz w:val="20"/>
              </w:rPr>
              <w:t xml:space="preserve"> </w:t>
            </w:r>
            <w:proofErr w:type="spellStart"/>
            <w:r w:rsidRPr="00082954">
              <w:rPr>
                <w:rFonts w:ascii="Arial Narrow" w:hAnsi="Arial Narrow" w:cstheme="minorBidi"/>
                <w:b/>
                <w:bCs/>
                <w:iCs/>
                <w:sz w:val="20"/>
              </w:rPr>
              <w:t>alafenamide</w:t>
            </w:r>
            <w:proofErr w:type="spellEnd"/>
          </w:p>
        </w:tc>
        <w:tc>
          <w:tcPr>
            <w:tcW w:w="1424" w:type="pct"/>
            <w:vAlign w:val="center"/>
          </w:tcPr>
          <w:p w:rsidR="00E620E9" w:rsidRPr="00082954" w:rsidRDefault="00E620E9" w:rsidP="0088228B">
            <w:pPr>
              <w:jc w:val="center"/>
              <w:rPr>
                <w:rFonts w:ascii="Arial Narrow" w:hAnsi="Arial Narrow" w:cstheme="minorBidi"/>
                <w:b/>
                <w:iCs/>
                <w:sz w:val="20"/>
              </w:rPr>
            </w:pPr>
            <w:r w:rsidRPr="00082954">
              <w:rPr>
                <w:rFonts w:ascii="Arial Narrow" w:hAnsi="Arial Narrow" w:cstheme="minorBidi"/>
                <w:iCs/>
                <w:sz w:val="20"/>
              </w:rPr>
              <w:t>NNRTI/NRTI/NRTI</w:t>
            </w:r>
          </w:p>
        </w:tc>
        <w:tc>
          <w:tcPr>
            <w:tcW w:w="712" w:type="pct"/>
            <w:vAlign w:val="center"/>
          </w:tcPr>
          <w:p w:rsidR="00E620E9" w:rsidRPr="00082954" w:rsidRDefault="00E620E9" w:rsidP="0088228B">
            <w:pPr>
              <w:jc w:val="center"/>
              <w:rPr>
                <w:rFonts w:ascii="Arial Narrow" w:hAnsi="Arial Narrow"/>
                <w:bCs/>
                <w:iCs/>
                <w:sz w:val="20"/>
              </w:rPr>
            </w:pPr>
            <w:proofErr w:type="spellStart"/>
            <w:r w:rsidRPr="00082954">
              <w:rPr>
                <w:rFonts w:ascii="Arial Narrow" w:hAnsi="Arial Narrow"/>
                <w:bCs/>
                <w:iCs/>
                <w:sz w:val="20"/>
              </w:rPr>
              <w:t>Odefsey</w:t>
            </w:r>
            <w:proofErr w:type="spellEnd"/>
            <w:r w:rsidRPr="00082954">
              <w:rPr>
                <w:rFonts w:ascii="Arial Narrow" w:hAnsi="Arial Narrow"/>
                <w:bCs/>
                <w:iCs/>
                <w:sz w:val="20"/>
                <w:vertAlign w:val="superscript"/>
              </w:rPr>
              <w:t>®</w:t>
            </w:r>
          </w:p>
        </w:tc>
      </w:tr>
      <w:tr w:rsidR="00E620E9" w:rsidRPr="00082954" w:rsidTr="0088228B">
        <w:tc>
          <w:tcPr>
            <w:tcW w:w="2864" w:type="pct"/>
          </w:tcPr>
          <w:p w:rsidR="00E620E9" w:rsidRPr="00082954" w:rsidRDefault="00E620E9" w:rsidP="0088228B">
            <w:pPr>
              <w:jc w:val="left"/>
              <w:rPr>
                <w:rFonts w:ascii="Arial Narrow" w:hAnsi="Arial Narrow" w:cstheme="minorBidi"/>
                <w:b/>
                <w:iCs/>
                <w:sz w:val="20"/>
              </w:rPr>
            </w:pPr>
            <w:proofErr w:type="spellStart"/>
            <w:r w:rsidRPr="00082954">
              <w:rPr>
                <w:rFonts w:ascii="Arial Narrow" w:hAnsi="Arial Narrow" w:cstheme="minorBidi"/>
                <w:iCs/>
                <w:sz w:val="20"/>
              </w:rPr>
              <w:t>Rilpivirine</w:t>
            </w:r>
            <w:proofErr w:type="spellEnd"/>
            <w:r w:rsidRPr="00082954">
              <w:rPr>
                <w:rFonts w:ascii="Arial Narrow" w:hAnsi="Arial Narrow" w:cstheme="minorBidi"/>
                <w:iCs/>
                <w:sz w:val="20"/>
              </w:rPr>
              <w:t>/</w:t>
            </w:r>
            <w:proofErr w:type="spellStart"/>
            <w:r w:rsidRPr="00082954">
              <w:rPr>
                <w:rFonts w:ascii="Arial Narrow" w:hAnsi="Arial Narrow" w:cstheme="minorBidi"/>
                <w:iCs/>
                <w:sz w:val="20"/>
              </w:rPr>
              <w:t>emtricitabine</w:t>
            </w:r>
            <w:proofErr w:type="spellEnd"/>
            <w:r w:rsidRPr="00082954">
              <w:rPr>
                <w:rFonts w:ascii="Arial Narrow" w:hAnsi="Arial Narrow" w:cstheme="minorBidi"/>
                <w:iCs/>
                <w:sz w:val="20"/>
              </w:rPr>
              <w:t>/</w:t>
            </w:r>
            <w:proofErr w:type="spellStart"/>
            <w:r w:rsidRPr="00082954">
              <w:rPr>
                <w:rFonts w:ascii="Arial Narrow" w:hAnsi="Arial Narrow" w:cstheme="minorBidi"/>
                <w:iCs/>
                <w:sz w:val="20"/>
              </w:rPr>
              <w:t>tenofovir</w:t>
            </w:r>
            <w:proofErr w:type="spellEnd"/>
            <w:r w:rsidRPr="00082954">
              <w:rPr>
                <w:rFonts w:ascii="Arial Narrow" w:hAnsi="Arial Narrow" w:cstheme="minorBidi"/>
                <w:iCs/>
                <w:sz w:val="20"/>
              </w:rPr>
              <w:t xml:space="preserve"> </w:t>
            </w:r>
            <w:proofErr w:type="spellStart"/>
            <w:r w:rsidRPr="00082954">
              <w:rPr>
                <w:rFonts w:ascii="Arial Narrow" w:hAnsi="Arial Narrow" w:cstheme="minorBidi"/>
                <w:iCs/>
                <w:sz w:val="20"/>
              </w:rPr>
              <w:t>disoproxil</w:t>
            </w:r>
            <w:proofErr w:type="spellEnd"/>
            <w:r w:rsidRPr="00082954">
              <w:rPr>
                <w:rFonts w:ascii="Arial Narrow" w:hAnsi="Arial Narrow" w:cstheme="minorBidi"/>
                <w:iCs/>
                <w:sz w:val="20"/>
              </w:rPr>
              <w:t xml:space="preserve"> </w:t>
            </w:r>
            <w:proofErr w:type="spellStart"/>
            <w:r w:rsidRPr="00082954">
              <w:rPr>
                <w:rFonts w:ascii="Arial Narrow" w:hAnsi="Arial Narrow" w:cstheme="minorBidi"/>
                <w:iCs/>
                <w:sz w:val="20"/>
              </w:rPr>
              <w:t>fumarate</w:t>
            </w:r>
            <w:proofErr w:type="spellEnd"/>
            <w:r w:rsidRPr="00082954">
              <w:rPr>
                <w:rFonts w:ascii="Arial Narrow" w:hAnsi="Arial Narrow" w:cstheme="minorBidi"/>
                <w:iCs/>
                <w:sz w:val="20"/>
              </w:rPr>
              <w:t xml:space="preserve">  </w:t>
            </w:r>
          </w:p>
        </w:tc>
        <w:tc>
          <w:tcPr>
            <w:tcW w:w="1424" w:type="pct"/>
          </w:tcPr>
          <w:p w:rsidR="00E620E9" w:rsidRPr="00082954" w:rsidRDefault="00E620E9" w:rsidP="0088228B">
            <w:pPr>
              <w:jc w:val="center"/>
              <w:rPr>
                <w:rFonts w:ascii="Arial Narrow" w:hAnsi="Arial Narrow" w:cstheme="minorBidi"/>
                <w:b/>
                <w:iCs/>
                <w:sz w:val="20"/>
              </w:rPr>
            </w:pPr>
            <w:r w:rsidRPr="00082954">
              <w:rPr>
                <w:rFonts w:ascii="Arial Narrow" w:hAnsi="Arial Narrow" w:cstheme="minorBidi"/>
                <w:iCs/>
                <w:sz w:val="20"/>
              </w:rPr>
              <w:t>NNRTI/NRTI/NRTI</w:t>
            </w:r>
          </w:p>
        </w:tc>
        <w:tc>
          <w:tcPr>
            <w:tcW w:w="712" w:type="pct"/>
          </w:tcPr>
          <w:p w:rsidR="00E620E9" w:rsidRPr="00082954" w:rsidRDefault="00E620E9" w:rsidP="0088228B">
            <w:pPr>
              <w:jc w:val="center"/>
              <w:rPr>
                <w:rFonts w:ascii="Arial Narrow" w:hAnsi="Arial Narrow"/>
                <w:b/>
                <w:iCs/>
                <w:sz w:val="20"/>
              </w:rPr>
            </w:pPr>
            <w:proofErr w:type="spellStart"/>
            <w:r w:rsidRPr="00082954">
              <w:rPr>
                <w:rFonts w:ascii="Arial Narrow" w:hAnsi="Arial Narrow" w:cstheme="minorBidi"/>
                <w:iCs/>
                <w:sz w:val="20"/>
              </w:rPr>
              <w:t>Eviplera</w:t>
            </w:r>
            <w:proofErr w:type="spellEnd"/>
            <w:r w:rsidRPr="00082954">
              <w:rPr>
                <w:rFonts w:ascii="Arial Narrow" w:hAnsi="Arial Narrow"/>
                <w:iCs/>
                <w:sz w:val="20"/>
                <w:vertAlign w:val="superscript"/>
              </w:rPr>
              <w:t>®</w:t>
            </w:r>
          </w:p>
        </w:tc>
      </w:tr>
      <w:tr w:rsidR="00E620E9" w:rsidRPr="00082954" w:rsidTr="0088228B">
        <w:tc>
          <w:tcPr>
            <w:tcW w:w="2864" w:type="pct"/>
          </w:tcPr>
          <w:p w:rsidR="00E620E9" w:rsidRPr="00082954" w:rsidRDefault="00E620E9" w:rsidP="0088228B">
            <w:pPr>
              <w:jc w:val="left"/>
              <w:rPr>
                <w:rFonts w:ascii="Arial Narrow" w:hAnsi="Arial Narrow" w:cstheme="minorBidi"/>
                <w:iCs/>
                <w:sz w:val="20"/>
              </w:rPr>
            </w:pPr>
            <w:proofErr w:type="spellStart"/>
            <w:r w:rsidRPr="00082954">
              <w:rPr>
                <w:rFonts w:ascii="Arial Narrow" w:hAnsi="Arial Narrow" w:cstheme="minorBidi"/>
                <w:iCs/>
                <w:sz w:val="20"/>
              </w:rPr>
              <w:t>Efavirenz</w:t>
            </w:r>
            <w:proofErr w:type="spellEnd"/>
            <w:r w:rsidRPr="00082954">
              <w:rPr>
                <w:rFonts w:ascii="Arial Narrow" w:hAnsi="Arial Narrow" w:cstheme="minorBidi"/>
                <w:iCs/>
                <w:sz w:val="20"/>
              </w:rPr>
              <w:t>/</w:t>
            </w:r>
            <w:proofErr w:type="spellStart"/>
            <w:r w:rsidRPr="00082954">
              <w:rPr>
                <w:rFonts w:ascii="Arial Narrow" w:hAnsi="Arial Narrow" w:cstheme="minorBidi"/>
                <w:iCs/>
                <w:sz w:val="20"/>
              </w:rPr>
              <w:t>emtricitabine</w:t>
            </w:r>
            <w:proofErr w:type="spellEnd"/>
            <w:r w:rsidRPr="00082954">
              <w:rPr>
                <w:rFonts w:ascii="Arial Narrow" w:hAnsi="Arial Narrow" w:cstheme="minorBidi"/>
                <w:iCs/>
                <w:sz w:val="20"/>
              </w:rPr>
              <w:t>/</w:t>
            </w:r>
            <w:proofErr w:type="spellStart"/>
            <w:r w:rsidRPr="00082954">
              <w:rPr>
                <w:rFonts w:ascii="Arial Narrow" w:hAnsi="Arial Narrow" w:cstheme="minorBidi"/>
                <w:iCs/>
                <w:sz w:val="20"/>
              </w:rPr>
              <w:t>tenofovir</w:t>
            </w:r>
            <w:proofErr w:type="spellEnd"/>
            <w:r w:rsidRPr="00082954">
              <w:rPr>
                <w:rFonts w:ascii="Arial Narrow" w:hAnsi="Arial Narrow" w:cstheme="minorBidi"/>
                <w:iCs/>
                <w:sz w:val="20"/>
              </w:rPr>
              <w:t xml:space="preserve"> </w:t>
            </w:r>
            <w:proofErr w:type="spellStart"/>
            <w:r w:rsidRPr="00082954">
              <w:rPr>
                <w:rFonts w:ascii="Arial Narrow" w:hAnsi="Arial Narrow" w:cstheme="minorBidi"/>
                <w:iCs/>
                <w:sz w:val="20"/>
              </w:rPr>
              <w:t>disoproxil</w:t>
            </w:r>
            <w:proofErr w:type="spellEnd"/>
            <w:r w:rsidRPr="00082954">
              <w:rPr>
                <w:rFonts w:ascii="Arial Narrow" w:hAnsi="Arial Narrow" w:cstheme="minorBidi"/>
                <w:iCs/>
                <w:sz w:val="20"/>
              </w:rPr>
              <w:t xml:space="preserve"> </w:t>
            </w:r>
            <w:proofErr w:type="spellStart"/>
            <w:r w:rsidRPr="00082954">
              <w:rPr>
                <w:rFonts w:ascii="Arial Narrow" w:hAnsi="Arial Narrow" w:cstheme="minorBidi"/>
                <w:iCs/>
                <w:sz w:val="20"/>
              </w:rPr>
              <w:t>fumarate</w:t>
            </w:r>
            <w:proofErr w:type="spellEnd"/>
          </w:p>
        </w:tc>
        <w:tc>
          <w:tcPr>
            <w:tcW w:w="1424" w:type="pct"/>
          </w:tcPr>
          <w:p w:rsidR="00E620E9" w:rsidRPr="00082954" w:rsidRDefault="00E620E9" w:rsidP="0088228B">
            <w:pPr>
              <w:jc w:val="center"/>
              <w:rPr>
                <w:rFonts w:ascii="Arial Narrow" w:hAnsi="Arial Narrow" w:cstheme="minorBidi"/>
                <w:iCs/>
                <w:sz w:val="20"/>
              </w:rPr>
            </w:pPr>
            <w:r w:rsidRPr="00082954">
              <w:rPr>
                <w:rFonts w:ascii="Arial Narrow" w:hAnsi="Arial Narrow" w:cstheme="minorBidi"/>
                <w:iCs/>
                <w:sz w:val="20"/>
              </w:rPr>
              <w:t>NNRTI/NRTI/NRTI</w:t>
            </w:r>
          </w:p>
        </w:tc>
        <w:tc>
          <w:tcPr>
            <w:tcW w:w="712" w:type="pct"/>
          </w:tcPr>
          <w:p w:rsidR="00E620E9" w:rsidRPr="00082954" w:rsidRDefault="00E620E9" w:rsidP="0088228B">
            <w:pPr>
              <w:jc w:val="center"/>
              <w:rPr>
                <w:rFonts w:ascii="Arial Narrow" w:hAnsi="Arial Narrow" w:cstheme="minorBidi"/>
                <w:iCs/>
                <w:sz w:val="20"/>
              </w:rPr>
            </w:pPr>
            <w:proofErr w:type="spellStart"/>
            <w:r w:rsidRPr="00082954">
              <w:rPr>
                <w:rFonts w:ascii="Arial Narrow" w:hAnsi="Arial Narrow" w:cstheme="minorBidi"/>
                <w:iCs/>
                <w:sz w:val="20"/>
              </w:rPr>
              <w:t>Atripla</w:t>
            </w:r>
            <w:proofErr w:type="spellEnd"/>
            <w:r w:rsidRPr="00082954">
              <w:rPr>
                <w:rFonts w:ascii="Arial Narrow" w:hAnsi="Arial Narrow"/>
                <w:iCs/>
                <w:sz w:val="20"/>
                <w:vertAlign w:val="superscript"/>
              </w:rPr>
              <w:t>®</w:t>
            </w:r>
          </w:p>
        </w:tc>
      </w:tr>
      <w:tr w:rsidR="00E620E9" w:rsidRPr="00082954" w:rsidTr="0088228B">
        <w:tc>
          <w:tcPr>
            <w:tcW w:w="2864" w:type="pct"/>
          </w:tcPr>
          <w:p w:rsidR="00E620E9" w:rsidRPr="00082954" w:rsidRDefault="00E620E9" w:rsidP="0088228B">
            <w:pPr>
              <w:jc w:val="left"/>
              <w:rPr>
                <w:rFonts w:ascii="Arial Narrow" w:hAnsi="Arial Narrow" w:cstheme="minorBidi"/>
                <w:iCs/>
                <w:sz w:val="20"/>
              </w:rPr>
            </w:pPr>
            <w:proofErr w:type="spellStart"/>
            <w:r w:rsidRPr="00082954">
              <w:rPr>
                <w:rFonts w:ascii="Arial Narrow" w:hAnsi="Arial Narrow" w:cstheme="minorBidi"/>
                <w:iCs/>
                <w:sz w:val="20"/>
              </w:rPr>
              <w:t>Dolutegravir</w:t>
            </w:r>
            <w:proofErr w:type="spellEnd"/>
            <w:r w:rsidRPr="00082954">
              <w:rPr>
                <w:rFonts w:ascii="Arial Narrow" w:hAnsi="Arial Narrow" w:cstheme="minorBidi"/>
                <w:iCs/>
                <w:sz w:val="20"/>
              </w:rPr>
              <w:t>/</w:t>
            </w:r>
            <w:proofErr w:type="spellStart"/>
            <w:r w:rsidRPr="00082954">
              <w:rPr>
                <w:rFonts w:ascii="Arial Narrow" w:hAnsi="Arial Narrow" w:cstheme="minorBidi"/>
                <w:iCs/>
                <w:sz w:val="20"/>
              </w:rPr>
              <w:t>abacavir</w:t>
            </w:r>
            <w:proofErr w:type="spellEnd"/>
            <w:r w:rsidRPr="00082954">
              <w:rPr>
                <w:rFonts w:ascii="Arial Narrow" w:hAnsi="Arial Narrow" w:cstheme="minorBidi"/>
                <w:iCs/>
                <w:sz w:val="20"/>
              </w:rPr>
              <w:t xml:space="preserve">/lamivudine  </w:t>
            </w:r>
          </w:p>
        </w:tc>
        <w:tc>
          <w:tcPr>
            <w:tcW w:w="1424" w:type="pct"/>
          </w:tcPr>
          <w:p w:rsidR="00E620E9" w:rsidRPr="00082954" w:rsidRDefault="00E620E9" w:rsidP="0088228B">
            <w:pPr>
              <w:jc w:val="center"/>
              <w:rPr>
                <w:rFonts w:ascii="Arial Narrow" w:hAnsi="Arial Narrow" w:cstheme="minorBidi"/>
                <w:iCs/>
                <w:sz w:val="20"/>
              </w:rPr>
            </w:pPr>
            <w:r w:rsidRPr="00082954">
              <w:rPr>
                <w:rFonts w:ascii="Arial Narrow" w:hAnsi="Arial Narrow" w:cstheme="minorBidi"/>
                <w:iCs/>
                <w:sz w:val="20"/>
              </w:rPr>
              <w:t>INSTI/NRTI/NRTI</w:t>
            </w:r>
          </w:p>
        </w:tc>
        <w:tc>
          <w:tcPr>
            <w:tcW w:w="712" w:type="pct"/>
          </w:tcPr>
          <w:p w:rsidR="00E620E9" w:rsidRPr="00082954" w:rsidRDefault="00E620E9" w:rsidP="0088228B">
            <w:pPr>
              <w:jc w:val="center"/>
              <w:rPr>
                <w:rFonts w:ascii="Arial Narrow" w:hAnsi="Arial Narrow" w:cstheme="minorBidi"/>
                <w:iCs/>
                <w:sz w:val="20"/>
              </w:rPr>
            </w:pPr>
            <w:proofErr w:type="spellStart"/>
            <w:r w:rsidRPr="00082954">
              <w:rPr>
                <w:rFonts w:ascii="Arial Narrow" w:hAnsi="Arial Narrow" w:cstheme="minorBidi"/>
                <w:iCs/>
                <w:sz w:val="20"/>
              </w:rPr>
              <w:t>Triumeq</w:t>
            </w:r>
            <w:proofErr w:type="spellEnd"/>
            <w:r w:rsidRPr="00082954">
              <w:rPr>
                <w:rFonts w:ascii="Arial Narrow" w:hAnsi="Arial Narrow"/>
                <w:iCs/>
                <w:sz w:val="20"/>
                <w:vertAlign w:val="superscript"/>
              </w:rPr>
              <w:t>®</w:t>
            </w:r>
          </w:p>
        </w:tc>
      </w:tr>
      <w:tr w:rsidR="00E620E9" w:rsidRPr="00082954" w:rsidTr="0088228B">
        <w:tc>
          <w:tcPr>
            <w:tcW w:w="2864" w:type="pct"/>
          </w:tcPr>
          <w:p w:rsidR="00E620E9" w:rsidRPr="00082954" w:rsidRDefault="00E620E9" w:rsidP="0088228B">
            <w:pPr>
              <w:jc w:val="left"/>
              <w:rPr>
                <w:rFonts w:ascii="Arial Narrow" w:hAnsi="Arial Narrow" w:cstheme="minorBidi"/>
                <w:iCs/>
                <w:sz w:val="20"/>
              </w:rPr>
            </w:pPr>
            <w:proofErr w:type="spellStart"/>
            <w:r w:rsidRPr="00082954">
              <w:rPr>
                <w:rFonts w:ascii="Arial Narrow" w:hAnsi="Arial Narrow"/>
                <w:iCs/>
                <w:sz w:val="20"/>
              </w:rPr>
              <w:t>Elvitegravir</w:t>
            </w:r>
            <w:proofErr w:type="spellEnd"/>
            <w:r w:rsidRPr="00082954">
              <w:rPr>
                <w:rFonts w:ascii="Arial Narrow" w:hAnsi="Arial Narrow"/>
                <w:iCs/>
                <w:sz w:val="20"/>
              </w:rPr>
              <w:t>/</w:t>
            </w:r>
            <w:proofErr w:type="spellStart"/>
            <w:r w:rsidRPr="00082954">
              <w:rPr>
                <w:rFonts w:ascii="Arial Narrow" w:hAnsi="Arial Narrow"/>
                <w:iCs/>
                <w:sz w:val="20"/>
              </w:rPr>
              <w:t>cobicistat</w:t>
            </w:r>
            <w:proofErr w:type="spellEnd"/>
            <w:r w:rsidRPr="00082954">
              <w:rPr>
                <w:rFonts w:ascii="Arial Narrow" w:hAnsi="Arial Narrow"/>
                <w:iCs/>
                <w:sz w:val="20"/>
              </w:rPr>
              <w:t>/</w:t>
            </w:r>
            <w:proofErr w:type="spellStart"/>
            <w:r w:rsidRPr="00082954">
              <w:rPr>
                <w:rFonts w:ascii="Arial Narrow" w:hAnsi="Arial Narrow"/>
                <w:iCs/>
                <w:sz w:val="20"/>
              </w:rPr>
              <w:t>emtricitabine</w:t>
            </w:r>
            <w:proofErr w:type="spellEnd"/>
            <w:r w:rsidRPr="00082954">
              <w:rPr>
                <w:rFonts w:ascii="Arial Narrow" w:hAnsi="Arial Narrow"/>
                <w:iCs/>
                <w:sz w:val="20"/>
              </w:rPr>
              <w:t>/</w:t>
            </w:r>
            <w:proofErr w:type="spellStart"/>
            <w:r w:rsidRPr="00082954">
              <w:rPr>
                <w:rFonts w:ascii="Arial Narrow" w:hAnsi="Arial Narrow"/>
                <w:iCs/>
                <w:sz w:val="20"/>
              </w:rPr>
              <w:t>tenofovir</w:t>
            </w:r>
            <w:proofErr w:type="spellEnd"/>
            <w:r w:rsidRPr="00082954">
              <w:rPr>
                <w:rFonts w:ascii="Arial Narrow" w:hAnsi="Arial Narrow"/>
                <w:iCs/>
                <w:sz w:val="20"/>
              </w:rPr>
              <w:t xml:space="preserve"> </w:t>
            </w:r>
            <w:proofErr w:type="spellStart"/>
            <w:r w:rsidRPr="00082954">
              <w:rPr>
                <w:rFonts w:ascii="Arial Narrow" w:hAnsi="Arial Narrow"/>
                <w:iCs/>
                <w:sz w:val="20"/>
              </w:rPr>
              <w:t>disoproxil</w:t>
            </w:r>
            <w:proofErr w:type="spellEnd"/>
            <w:r w:rsidRPr="00082954">
              <w:rPr>
                <w:rFonts w:ascii="Arial Narrow" w:hAnsi="Arial Narrow"/>
                <w:iCs/>
                <w:sz w:val="20"/>
              </w:rPr>
              <w:t xml:space="preserve"> </w:t>
            </w:r>
            <w:proofErr w:type="spellStart"/>
            <w:r w:rsidRPr="00082954">
              <w:rPr>
                <w:rFonts w:ascii="Arial Narrow" w:hAnsi="Arial Narrow"/>
                <w:iCs/>
                <w:sz w:val="20"/>
              </w:rPr>
              <w:t>fumarate</w:t>
            </w:r>
            <w:proofErr w:type="spellEnd"/>
          </w:p>
        </w:tc>
        <w:tc>
          <w:tcPr>
            <w:tcW w:w="1424" w:type="pct"/>
            <w:vAlign w:val="center"/>
          </w:tcPr>
          <w:p w:rsidR="00E620E9" w:rsidRPr="00082954" w:rsidRDefault="00E620E9" w:rsidP="0088228B">
            <w:pPr>
              <w:jc w:val="center"/>
              <w:rPr>
                <w:rFonts w:ascii="Arial Narrow" w:hAnsi="Arial Narrow" w:cstheme="minorBidi"/>
                <w:iCs/>
                <w:sz w:val="20"/>
              </w:rPr>
            </w:pPr>
            <w:r w:rsidRPr="00082954">
              <w:rPr>
                <w:rFonts w:ascii="Arial Narrow" w:hAnsi="Arial Narrow" w:cstheme="minorBidi"/>
                <w:iCs/>
                <w:sz w:val="20"/>
              </w:rPr>
              <w:t>INSTI/PK enhancer/NRTI/NRTI</w:t>
            </w:r>
          </w:p>
        </w:tc>
        <w:tc>
          <w:tcPr>
            <w:tcW w:w="712" w:type="pct"/>
            <w:vAlign w:val="center"/>
          </w:tcPr>
          <w:p w:rsidR="00E620E9" w:rsidRPr="00082954" w:rsidRDefault="00E620E9" w:rsidP="0088228B">
            <w:pPr>
              <w:jc w:val="center"/>
              <w:rPr>
                <w:rFonts w:ascii="Arial Narrow" w:hAnsi="Arial Narrow" w:cstheme="minorBidi"/>
                <w:iCs/>
                <w:sz w:val="20"/>
              </w:rPr>
            </w:pPr>
            <w:proofErr w:type="spellStart"/>
            <w:r w:rsidRPr="00082954">
              <w:rPr>
                <w:rFonts w:ascii="Arial Narrow" w:hAnsi="Arial Narrow" w:cstheme="minorBidi"/>
                <w:iCs/>
                <w:sz w:val="20"/>
              </w:rPr>
              <w:t>Stribild</w:t>
            </w:r>
            <w:proofErr w:type="spellEnd"/>
            <w:r w:rsidRPr="00082954">
              <w:rPr>
                <w:rFonts w:ascii="Arial Narrow" w:hAnsi="Arial Narrow"/>
                <w:iCs/>
                <w:sz w:val="20"/>
                <w:vertAlign w:val="superscript"/>
              </w:rPr>
              <w:t>®</w:t>
            </w:r>
          </w:p>
        </w:tc>
      </w:tr>
      <w:tr w:rsidR="00E620E9" w:rsidRPr="00082954" w:rsidTr="0088228B">
        <w:tc>
          <w:tcPr>
            <w:tcW w:w="2864" w:type="pct"/>
          </w:tcPr>
          <w:p w:rsidR="00E620E9" w:rsidRPr="00082954" w:rsidRDefault="00E620E9" w:rsidP="0088228B">
            <w:pPr>
              <w:jc w:val="left"/>
              <w:rPr>
                <w:rFonts w:ascii="Arial Narrow" w:hAnsi="Arial Narrow"/>
                <w:iCs/>
                <w:sz w:val="20"/>
              </w:rPr>
            </w:pPr>
            <w:proofErr w:type="spellStart"/>
            <w:r w:rsidRPr="00082954">
              <w:rPr>
                <w:rFonts w:ascii="Arial Narrow" w:hAnsi="Arial Narrow"/>
                <w:iCs/>
                <w:sz w:val="20"/>
              </w:rPr>
              <w:t>Elvitegravir</w:t>
            </w:r>
            <w:proofErr w:type="spellEnd"/>
            <w:r w:rsidRPr="00082954">
              <w:rPr>
                <w:rFonts w:ascii="Arial Narrow" w:hAnsi="Arial Narrow"/>
                <w:iCs/>
                <w:sz w:val="20"/>
              </w:rPr>
              <w:t>/</w:t>
            </w:r>
            <w:proofErr w:type="spellStart"/>
            <w:r w:rsidRPr="00082954">
              <w:rPr>
                <w:rFonts w:ascii="Arial Narrow" w:hAnsi="Arial Narrow"/>
                <w:iCs/>
                <w:sz w:val="20"/>
              </w:rPr>
              <w:t>cobicistat</w:t>
            </w:r>
            <w:proofErr w:type="spellEnd"/>
            <w:r w:rsidRPr="00082954">
              <w:rPr>
                <w:rFonts w:ascii="Arial Narrow" w:hAnsi="Arial Narrow"/>
                <w:iCs/>
                <w:sz w:val="20"/>
              </w:rPr>
              <w:t>/</w:t>
            </w:r>
            <w:proofErr w:type="spellStart"/>
            <w:r w:rsidRPr="00082954">
              <w:rPr>
                <w:rFonts w:ascii="Arial Narrow" w:hAnsi="Arial Narrow"/>
                <w:iCs/>
                <w:sz w:val="20"/>
              </w:rPr>
              <w:t>emtricitabine</w:t>
            </w:r>
            <w:proofErr w:type="spellEnd"/>
            <w:r w:rsidRPr="00082954">
              <w:rPr>
                <w:rFonts w:ascii="Arial Narrow" w:hAnsi="Arial Narrow"/>
                <w:iCs/>
                <w:sz w:val="20"/>
              </w:rPr>
              <w:t>/</w:t>
            </w:r>
            <w:proofErr w:type="spellStart"/>
            <w:r w:rsidRPr="00082954">
              <w:rPr>
                <w:rFonts w:ascii="Arial Narrow" w:hAnsi="Arial Narrow"/>
                <w:b/>
                <w:bCs/>
                <w:iCs/>
                <w:sz w:val="20"/>
              </w:rPr>
              <w:t>tenofovir</w:t>
            </w:r>
            <w:proofErr w:type="spellEnd"/>
            <w:r w:rsidRPr="00082954">
              <w:rPr>
                <w:rFonts w:ascii="Arial Narrow" w:hAnsi="Arial Narrow"/>
                <w:b/>
                <w:bCs/>
                <w:iCs/>
                <w:sz w:val="20"/>
              </w:rPr>
              <w:t xml:space="preserve"> </w:t>
            </w:r>
            <w:proofErr w:type="spellStart"/>
            <w:r w:rsidRPr="00082954">
              <w:rPr>
                <w:rFonts w:ascii="Arial Narrow" w:hAnsi="Arial Narrow" w:cstheme="minorBidi"/>
                <w:b/>
                <w:bCs/>
                <w:iCs/>
                <w:sz w:val="20"/>
              </w:rPr>
              <w:t>alafenamide</w:t>
            </w:r>
            <w:proofErr w:type="spellEnd"/>
          </w:p>
        </w:tc>
        <w:tc>
          <w:tcPr>
            <w:tcW w:w="1424" w:type="pct"/>
            <w:vAlign w:val="center"/>
          </w:tcPr>
          <w:p w:rsidR="00E620E9" w:rsidRPr="00082954" w:rsidRDefault="00E620E9" w:rsidP="0088228B">
            <w:pPr>
              <w:jc w:val="center"/>
              <w:rPr>
                <w:rFonts w:ascii="Arial Narrow" w:hAnsi="Arial Narrow" w:cstheme="minorBidi"/>
                <w:iCs/>
                <w:sz w:val="20"/>
              </w:rPr>
            </w:pPr>
            <w:r w:rsidRPr="00082954">
              <w:rPr>
                <w:rFonts w:ascii="Arial Narrow" w:hAnsi="Arial Narrow" w:cstheme="minorBidi"/>
                <w:iCs/>
                <w:sz w:val="20"/>
              </w:rPr>
              <w:t>INSTI/PK enhancer/NRTI/NRTI</w:t>
            </w:r>
          </w:p>
        </w:tc>
        <w:tc>
          <w:tcPr>
            <w:tcW w:w="712" w:type="pct"/>
            <w:vAlign w:val="center"/>
          </w:tcPr>
          <w:p w:rsidR="00E620E9" w:rsidRPr="00082954" w:rsidRDefault="00E620E9" w:rsidP="0088228B">
            <w:pPr>
              <w:jc w:val="center"/>
              <w:rPr>
                <w:rFonts w:ascii="Arial Narrow" w:hAnsi="Arial Narrow" w:cstheme="minorBidi"/>
                <w:iCs/>
                <w:sz w:val="20"/>
              </w:rPr>
            </w:pPr>
            <w:proofErr w:type="spellStart"/>
            <w:r w:rsidRPr="00082954">
              <w:rPr>
                <w:rFonts w:ascii="Arial Narrow" w:hAnsi="Arial Narrow" w:cstheme="minorBidi"/>
                <w:iCs/>
                <w:sz w:val="20"/>
              </w:rPr>
              <w:t>Genvoya</w:t>
            </w:r>
            <w:proofErr w:type="spellEnd"/>
            <w:r w:rsidRPr="00082954">
              <w:rPr>
                <w:rFonts w:ascii="Arial Narrow" w:hAnsi="Arial Narrow" w:cstheme="minorBidi"/>
                <w:iCs/>
                <w:sz w:val="20"/>
                <w:vertAlign w:val="superscript"/>
              </w:rPr>
              <w:t>®</w:t>
            </w:r>
          </w:p>
        </w:tc>
      </w:tr>
      <w:tr w:rsidR="00E620E9" w:rsidRPr="00082954" w:rsidTr="0088228B">
        <w:tc>
          <w:tcPr>
            <w:tcW w:w="5000" w:type="pct"/>
            <w:gridSpan w:val="3"/>
          </w:tcPr>
          <w:p w:rsidR="00E620E9" w:rsidRPr="00082954" w:rsidRDefault="00E620E9" w:rsidP="0088228B">
            <w:pPr>
              <w:jc w:val="left"/>
              <w:rPr>
                <w:rFonts w:ascii="Arial Narrow" w:hAnsi="Arial Narrow" w:cstheme="minorBidi"/>
                <w:iCs/>
                <w:sz w:val="20"/>
              </w:rPr>
            </w:pPr>
            <w:r w:rsidRPr="00082954">
              <w:rPr>
                <w:rFonts w:ascii="Arial Narrow" w:hAnsi="Arial Narrow"/>
                <w:b/>
                <w:bCs/>
                <w:iCs/>
                <w:sz w:val="20"/>
              </w:rPr>
              <w:t>NRTI backbones</w:t>
            </w:r>
          </w:p>
        </w:tc>
      </w:tr>
      <w:tr w:rsidR="00E620E9" w:rsidRPr="00082954" w:rsidTr="0088228B">
        <w:tc>
          <w:tcPr>
            <w:tcW w:w="2864" w:type="pct"/>
          </w:tcPr>
          <w:p w:rsidR="00E620E9" w:rsidRPr="00082954" w:rsidRDefault="00E620E9" w:rsidP="0088228B">
            <w:pPr>
              <w:jc w:val="left"/>
              <w:rPr>
                <w:rFonts w:ascii="Arial Narrow" w:hAnsi="Arial Narrow" w:cstheme="minorBidi"/>
                <w:iCs/>
                <w:sz w:val="20"/>
              </w:rPr>
            </w:pPr>
            <w:proofErr w:type="spellStart"/>
            <w:r w:rsidRPr="00082954">
              <w:rPr>
                <w:rFonts w:ascii="Arial Narrow" w:hAnsi="Arial Narrow" w:cstheme="minorBidi"/>
                <w:iCs/>
                <w:sz w:val="20"/>
              </w:rPr>
              <w:t>Emtricitabine</w:t>
            </w:r>
            <w:proofErr w:type="spellEnd"/>
            <w:r w:rsidRPr="00082954">
              <w:rPr>
                <w:rFonts w:ascii="Arial Narrow" w:hAnsi="Arial Narrow" w:cstheme="minorBidi"/>
                <w:iCs/>
                <w:sz w:val="20"/>
              </w:rPr>
              <w:t>/</w:t>
            </w:r>
            <w:proofErr w:type="spellStart"/>
            <w:r w:rsidRPr="00082954">
              <w:rPr>
                <w:rFonts w:ascii="Arial Narrow" w:hAnsi="Arial Narrow" w:cstheme="minorBidi"/>
                <w:b/>
                <w:bCs/>
                <w:iCs/>
                <w:sz w:val="20"/>
              </w:rPr>
              <w:t>tenofovir</w:t>
            </w:r>
            <w:proofErr w:type="spellEnd"/>
            <w:r w:rsidRPr="00082954">
              <w:rPr>
                <w:rFonts w:ascii="Arial Narrow" w:hAnsi="Arial Narrow" w:cstheme="minorBidi"/>
                <w:b/>
                <w:bCs/>
                <w:iCs/>
                <w:sz w:val="20"/>
              </w:rPr>
              <w:t xml:space="preserve"> </w:t>
            </w:r>
            <w:proofErr w:type="spellStart"/>
            <w:r w:rsidRPr="00082954">
              <w:rPr>
                <w:rFonts w:ascii="Arial Narrow" w:hAnsi="Arial Narrow" w:cstheme="minorBidi"/>
                <w:b/>
                <w:bCs/>
                <w:iCs/>
                <w:sz w:val="20"/>
              </w:rPr>
              <w:t>alafenamide</w:t>
            </w:r>
            <w:proofErr w:type="spellEnd"/>
          </w:p>
        </w:tc>
        <w:tc>
          <w:tcPr>
            <w:tcW w:w="1424" w:type="pct"/>
          </w:tcPr>
          <w:p w:rsidR="00E620E9" w:rsidRPr="00082954" w:rsidRDefault="00E620E9" w:rsidP="0088228B">
            <w:pPr>
              <w:jc w:val="center"/>
              <w:rPr>
                <w:rFonts w:ascii="Arial Narrow" w:hAnsi="Arial Narrow" w:cstheme="minorBidi"/>
                <w:iCs/>
                <w:sz w:val="20"/>
              </w:rPr>
            </w:pPr>
            <w:r w:rsidRPr="00082954">
              <w:rPr>
                <w:rFonts w:ascii="Arial Narrow" w:hAnsi="Arial Narrow" w:cstheme="minorBidi"/>
                <w:iCs/>
                <w:sz w:val="20"/>
              </w:rPr>
              <w:t>NRTI/NRTI</w:t>
            </w:r>
          </w:p>
        </w:tc>
        <w:tc>
          <w:tcPr>
            <w:tcW w:w="712" w:type="pct"/>
          </w:tcPr>
          <w:p w:rsidR="00E620E9" w:rsidRPr="00082954" w:rsidRDefault="00E620E9" w:rsidP="0088228B">
            <w:pPr>
              <w:jc w:val="center"/>
              <w:rPr>
                <w:rFonts w:ascii="Arial Narrow" w:hAnsi="Arial Narrow" w:cstheme="minorBidi"/>
                <w:iCs/>
                <w:sz w:val="20"/>
              </w:rPr>
            </w:pPr>
            <w:proofErr w:type="spellStart"/>
            <w:r w:rsidRPr="00082954">
              <w:rPr>
                <w:rFonts w:ascii="Arial Narrow" w:hAnsi="Arial Narrow" w:cstheme="minorBidi"/>
                <w:iCs/>
                <w:sz w:val="20"/>
              </w:rPr>
              <w:t>Descovy</w:t>
            </w:r>
            <w:proofErr w:type="spellEnd"/>
            <w:r w:rsidRPr="00082954">
              <w:rPr>
                <w:rFonts w:ascii="Arial Narrow" w:hAnsi="Arial Narrow" w:cstheme="minorBidi"/>
                <w:iCs/>
                <w:sz w:val="20"/>
                <w:vertAlign w:val="superscript"/>
              </w:rPr>
              <w:t>®</w:t>
            </w:r>
          </w:p>
        </w:tc>
      </w:tr>
      <w:tr w:rsidR="00E620E9" w:rsidRPr="00082954" w:rsidTr="0088228B">
        <w:tc>
          <w:tcPr>
            <w:tcW w:w="2864" w:type="pct"/>
          </w:tcPr>
          <w:p w:rsidR="00E620E9" w:rsidRPr="00082954" w:rsidRDefault="00E620E9" w:rsidP="0088228B">
            <w:pPr>
              <w:jc w:val="left"/>
              <w:rPr>
                <w:rFonts w:ascii="Arial Narrow" w:hAnsi="Arial Narrow" w:cstheme="minorBidi"/>
                <w:iCs/>
                <w:sz w:val="20"/>
              </w:rPr>
            </w:pPr>
            <w:proofErr w:type="spellStart"/>
            <w:r w:rsidRPr="00082954">
              <w:rPr>
                <w:rFonts w:ascii="Arial Narrow" w:hAnsi="Arial Narrow" w:cstheme="minorBidi"/>
                <w:iCs/>
                <w:sz w:val="20"/>
              </w:rPr>
              <w:t>Emtricitabine</w:t>
            </w:r>
            <w:proofErr w:type="spellEnd"/>
            <w:r w:rsidRPr="00082954">
              <w:rPr>
                <w:rFonts w:ascii="Arial Narrow" w:hAnsi="Arial Narrow" w:cstheme="minorBidi"/>
                <w:iCs/>
                <w:sz w:val="20"/>
              </w:rPr>
              <w:t>/</w:t>
            </w:r>
            <w:proofErr w:type="spellStart"/>
            <w:r w:rsidRPr="00082954">
              <w:rPr>
                <w:rFonts w:ascii="Arial Narrow" w:hAnsi="Arial Narrow" w:cstheme="minorBidi"/>
                <w:iCs/>
                <w:sz w:val="20"/>
              </w:rPr>
              <w:t>tenofovir</w:t>
            </w:r>
            <w:proofErr w:type="spellEnd"/>
            <w:r w:rsidRPr="00082954">
              <w:rPr>
                <w:rFonts w:ascii="Arial Narrow" w:hAnsi="Arial Narrow" w:cstheme="minorBidi"/>
                <w:iCs/>
                <w:sz w:val="20"/>
              </w:rPr>
              <w:t xml:space="preserve"> </w:t>
            </w:r>
            <w:proofErr w:type="spellStart"/>
            <w:r w:rsidRPr="00082954">
              <w:rPr>
                <w:rFonts w:ascii="Arial Narrow" w:hAnsi="Arial Narrow" w:cstheme="minorBidi"/>
                <w:iCs/>
                <w:sz w:val="20"/>
              </w:rPr>
              <w:t>disoproxil</w:t>
            </w:r>
            <w:proofErr w:type="spellEnd"/>
            <w:r w:rsidRPr="00082954">
              <w:rPr>
                <w:rFonts w:ascii="Arial Narrow" w:hAnsi="Arial Narrow" w:cstheme="minorBidi"/>
                <w:iCs/>
                <w:sz w:val="20"/>
              </w:rPr>
              <w:t xml:space="preserve"> </w:t>
            </w:r>
            <w:proofErr w:type="spellStart"/>
            <w:r w:rsidRPr="00082954">
              <w:rPr>
                <w:rFonts w:ascii="Arial Narrow" w:hAnsi="Arial Narrow" w:cstheme="minorBidi"/>
                <w:iCs/>
                <w:sz w:val="20"/>
              </w:rPr>
              <w:t>fumarate</w:t>
            </w:r>
            <w:proofErr w:type="spellEnd"/>
            <w:r w:rsidRPr="00082954">
              <w:rPr>
                <w:rFonts w:ascii="Arial Narrow" w:hAnsi="Arial Narrow" w:cstheme="minorBidi"/>
                <w:iCs/>
                <w:sz w:val="20"/>
              </w:rPr>
              <w:t xml:space="preserve"> </w:t>
            </w:r>
          </w:p>
        </w:tc>
        <w:tc>
          <w:tcPr>
            <w:tcW w:w="1424" w:type="pct"/>
          </w:tcPr>
          <w:p w:rsidR="00E620E9" w:rsidRPr="00082954" w:rsidRDefault="00E620E9" w:rsidP="0088228B">
            <w:pPr>
              <w:jc w:val="center"/>
              <w:rPr>
                <w:rFonts w:ascii="Arial Narrow" w:hAnsi="Arial Narrow" w:cstheme="minorBidi"/>
                <w:iCs/>
                <w:sz w:val="20"/>
              </w:rPr>
            </w:pPr>
            <w:r w:rsidRPr="00082954">
              <w:rPr>
                <w:rFonts w:ascii="Arial Narrow" w:hAnsi="Arial Narrow" w:cstheme="minorBidi"/>
                <w:iCs/>
                <w:sz w:val="20"/>
              </w:rPr>
              <w:t>NRTI/NRTI</w:t>
            </w:r>
          </w:p>
        </w:tc>
        <w:tc>
          <w:tcPr>
            <w:tcW w:w="712" w:type="pct"/>
          </w:tcPr>
          <w:p w:rsidR="00E620E9" w:rsidRPr="00082954" w:rsidRDefault="00E620E9" w:rsidP="0088228B">
            <w:pPr>
              <w:jc w:val="center"/>
              <w:rPr>
                <w:rFonts w:ascii="Arial Narrow" w:hAnsi="Arial Narrow" w:cstheme="minorBidi"/>
                <w:iCs/>
                <w:sz w:val="20"/>
              </w:rPr>
            </w:pPr>
            <w:proofErr w:type="spellStart"/>
            <w:r w:rsidRPr="00082954">
              <w:rPr>
                <w:rFonts w:ascii="Arial Narrow" w:hAnsi="Arial Narrow" w:cstheme="minorBidi"/>
                <w:iCs/>
                <w:sz w:val="20"/>
              </w:rPr>
              <w:t>Truvada</w:t>
            </w:r>
            <w:proofErr w:type="spellEnd"/>
            <w:r w:rsidRPr="00082954">
              <w:rPr>
                <w:rFonts w:ascii="Arial Narrow" w:hAnsi="Arial Narrow"/>
                <w:iCs/>
                <w:sz w:val="20"/>
                <w:vertAlign w:val="superscript"/>
              </w:rPr>
              <w:t>®</w:t>
            </w:r>
          </w:p>
        </w:tc>
      </w:tr>
      <w:tr w:rsidR="00E620E9" w:rsidRPr="00082954" w:rsidTr="0088228B">
        <w:tc>
          <w:tcPr>
            <w:tcW w:w="2864" w:type="pct"/>
          </w:tcPr>
          <w:p w:rsidR="00E620E9" w:rsidRPr="00082954" w:rsidRDefault="00E620E9" w:rsidP="0088228B">
            <w:pPr>
              <w:jc w:val="left"/>
              <w:rPr>
                <w:rFonts w:ascii="Arial Narrow" w:hAnsi="Arial Narrow" w:cstheme="minorBidi"/>
                <w:iCs/>
                <w:sz w:val="20"/>
              </w:rPr>
            </w:pPr>
            <w:proofErr w:type="spellStart"/>
            <w:r w:rsidRPr="00082954">
              <w:rPr>
                <w:rFonts w:ascii="Arial Narrow" w:hAnsi="Arial Narrow" w:cstheme="minorBidi"/>
                <w:iCs/>
                <w:sz w:val="20"/>
              </w:rPr>
              <w:t>Abacavir</w:t>
            </w:r>
            <w:proofErr w:type="spellEnd"/>
            <w:r w:rsidRPr="00082954">
              <w:rPr>
                <w:rFonts w:ascii="Arial Narrow" w:hAnsi="Arial Narrow" w:cstheme="minorBidi"/>
                <w:iCs/>
                <w:sz w:val="20"/>
              </w:rPr>
              <w:t xml:space="preserve">/lamivudine  </w:t>
            </w:r>
          </w:p>
        </w:tc>
        <w:tc>
          <w:tcPr>
            <w:tcW w:w="1424" w:type="pct"/>
          </w:tcPr>
          <w:p w:rsidR="00E620E9" w:rsidRPr="00082954" w:rsidRDefault="00E620E9" w:rsidP="0088228B">
            <w:pPr>
              <w:jc w:val="center"/>
              <w:rPr>
                <w:rFonts w:ascii="Arial Narrow" w:hAnsi="Arial Narrow" w:cstheme="minorBidi"/>
                <w:iCs/>
                <w:sz w:val="20"/>
              </w:rPr>
            </w:pPr>
            <w:r w:rsidRPr="00082954">
              <w:rPr>
                <w:rFonts w:ascii="Arial Narrow" w:hAnsi="Arial Narrow" w:cstheme="minorBidi"/>
                <w:iCs/>
                <w:sz w:val="20"/>
              </w:rPr>
              <w:t>NRTI/NRTI</w:t>
            </w:r>
          </w:p>
        </w:tc>
        <w:tc>
          <w:tcPr>
            <w:tcW w:w="712" w:type="pct"/>
          </w:tcPr>
          <w:p w:rsidR="00E620E9" w:rsidRPr="00082954" w:rsidRDefault="00E620E9" w:rsidP="0088228B">
            <w:pPr>
              <w:jc w:val="center"/>
              <w:rPr>
                <w:rFonts w:ascii="Arial Narrow" w:hAnsi="Arial Narrow" w:cstheme="minorBidi"/>
                <w:iCs/>
                <w:sz w:val="20"/>
              </w:rPr>
            </w:pPr>
            <w:proofErr w:type="spellStart"/>
            <w:r w:rsidRPr="00082954">
              <w:rPr>
                <w:rFonts w:ascii="Arial Narrow" w:hAnsi="Arial Narrow" w:cstheme="minorBidi"/>
                <w:iCs/>
                <w:sz w:val="20"/>
              </w:rPr>
              <w:t>Kivexa</w:t>
            </w:r>
            <w:proofErr w:type="spellEnd"/>
            <w:r w:rsidRPr="00082954">
              <w:rPr>
                <w:rFonts w:ascii="Arial Narrow" w:hAnsi="Arial Narrow" w:cstheme="minorBidi"/>
                <w:iCs/>
                <w:sz w:val="20"/>
                <w:vertAlign w:val="superscript"/>
              </w:rPr>
              <w:t>®</w:t>
            </w:r>
          </w:p>
        </w:tc>
      </w:tr>
    </w:tbl>
    <w:p w:rsidR="00B60939" w:rsidRDefault="00B60939" w:rsidP="00207D00"/>
    <w:p w:rsidR="00B50DB8" w:rsidRPr="00495439" w:rsidRDefault="00B50DB8" w:rsidP="00495439">
      <w:pPr>
        <w:pStyle w:val="Heading2"/>
      </w:pPr>
      <w:bookmarkStart w:id="1" w:name="_Toc451425476"/>
      <w:r w:rsidRPr="00495439">
        <w:t>Purpose of Application</w:t>
      </w:r>
      <w:bookmarkEnd w:id="1"/>
    </w:p>
    <w:p w:rsidR="00B60939" w:rsidRPr="00882085" w:rsidRDefault="00B60939" w:rsidP="00B60939">
      <w:pPr>
        <w:rPr>
          <w:szCs w:val="22"/>
        </w:rPr>
      </w:pPr>
    </w:p>
    <w:p w:rsidR="002C2775" w:rsidRPr="00082954" w:rsidRDefault="00AC6843" w:rsidP="004E76AF">
      <w:pPr>
        <w:pStyle w:val="ListParagraph"/>
        <w:widowControl/>
        <w:numPr>
          <w:ilvl w:val="1"/>
          <w:numId w:val="6"/>
        </w:numPr>
        <w:rPr>
          <w:szCs w:val="22"/>
        </w:rPr>
      </w:pPr>
      <w:r w:rsidRPr="00082954">
        <w:t xml:space="preserve">Section 100 </w:t>
      </w:r>
      <w:r w:rsidR="002E1ACE" w:rsidRPr="00082954">
        <w:t>H</w:t>
      </w:r>
      <w:r w:rsidRPr="00082954">
        <w:t>ighly Specialised Drugs Program</w:t>
      </w:r>
      <w:r w:rsidR="002E1ACE" w:rsidRPr="00082954">
        <w:t xml:space="preserve"> </w:t>
      </w:r>
      <w:r w:rsidRPr="00082954">
        <w:t>(</w:t>
      </w:r>
      <w:r w:rsidR="002E1ACE" w:rsidRPr="00082954">
        <w:t>Community Access)</w:t>
      </w:r>
      <w:r w:rsidR="00782D38" w:rsidRPr="00082954">
        <w:t xml:space="preserve">: Authority Required (Streamlined) </w:t>
      </w:r>
      <w:r w:rsidR="001E238E" w:rsidRPr="00082954">
        <w:t xml:space="preserve">listing for </w:t>
      </w:r>
      <w:proofErr w:type="spellStart"/>
      <w:r w:rsidR="008279B2" w:rsidRPr="00082954">
        <w:t>Odefsey</w:t>
      </w:r>
      <w:proofErr w:type="spellEnd"/>
      <w:r w:rsidR="008279B2" w:rsidRPr="00082954">
        <w:rPr>
          <w:vertAlign w:val="superscript"/>
        </w:rPr>
        <w:t>®</w:t>
      </w:r>
      <w:r w:rsidR="00FD31D7">
        <w:t xml:space="preserve"> </w:t>
      </w:r>
      <w:r w:rsidR="001E238E" w:rsidRPr="00082954">
        <w:t xml:space="preserve">for </w:t>
      </w:r>
      <w:r w:rsidR="004E76AF" w:rsidRPr="00082954">
        <w:t xml:space="preserve">the </w:t>
      </w:r>
      <w:r w:rsidR="001E238E" w:rsidRPr="00082954">
        <w:t xml:space="preserve">treatment </w:t>
      </w:r>
      <w:r w:rsidR="004E76AF" w:rsidRPr="00082954">
        <w:t xml:space="preserve">of </w:t>
      </w:r>
      <w:r w:rsidR="005D7919" w:rsidRPr="00082954">
        <w:t xml:space="preserve">human immunodeficiency virus (HIV) </w:t>
      </w:r>
      <w:r w:rsidR="00B94D1F" w:rsidRPr="00082954">
        <w:t>for treatment-naïve patients and treatment-experienced patients</w:t>
      </w:r>
      <w:r w:rsidR="005D7919" w:rsidRPr="00082954">
        <w:t>.</w:t>
      </w:r>
    </w:p>
    <w:p w:rsidR="000D7A76" w:rsidRDefault="000D7A76">
      <w:pPr>
        <w:widowControl/>
        <w:jc w:val="left"/>
      </w:pPr>
      <w:r>
        <w:br w:type="page"/>
      </w:r>
    </w:p>
    <w:p w:rsidR="00B60939" w:rsidRDefault="00B60939" w:rsidP="004B1CB4"/>
    <w:p w:rsidR="00B50DB8" w:rsidRPr="00407F2D" w:rsidRDefault="00B50DB8" w:rsidP="00495439">
      <w:pPr>
        <w:pStyle w:val="Heading2"/>
      </w:pPr>
      <w:bookmarkStart w:id="2" w:name="_Toc451425477"/>
      <w:r w:rsidRPr="00407F2D">
        <w:t>Requested listing</w:t>
      </w:r>
      <w:bookmarkEnd w:id="2"/>
    </w:p>
    <w:p w:rsidR="00617E12" w:rsidRPr="007C609A" w:rsidRDefault="00617E12" w:rsidP="00F378BB">
      <w:pPr>
        <w:widowControl/>
      </w:pPr>
    </w:p>
    <w:tbl>
      <w:tblPr>
        <w:tblW w:w="4604" w:type="pct"/>
        <w:tblInd w:w="737" w:type="dxa"/>
        <w:tblCellMar>
          <w:left w:w="28" w:type="dxa"/>
          <w:right w:w="28" w:type="dxa"/>
        </w:tblCellMar>
        <w:tblLook w:val="0000" w:firstRow="0" w:lastRow="0" w:firstColumn="0" w:lastColumn="0" w:noHBand="0" w:noVBand="0"/>
        <w:tblCaption w:val="Requested listing"/>
      </w:tblPr>
      <w:tblGrid>
        <w:gridCol w:w="3686"/>
        <w:gridCol w:w="567"/>
        <w:gridCol w:w="708"/>
        <w:gridCol w:w="1561"/>
        <w:gridCol w:w="973"/>
        <w:gridCol w:w="868"/>
      </w:tblGrid>
      <w:tr w:rsidR="00B50DB8" w:rsidRPr="00413860" w:rsidTr="0078067A">
        <w:trPr>
          <w:cantSplit/>
          <w:trHeight w:val="463"/>
        </w:trPr>
        <w:tc>
          <w:tcPr>
            <w:tcW w:w="2204" w:type="pct"/>
            <w:tcBorders>
              <w:bottom w:val="single" w:sz="4" w:space="0" w:color="auto"/>
            </w:tcBorders>
            <w:vAlign w:val="center"/>
          </w:tcPr>
          <w:p w:rsidR="00617E12" w:rsidRPr="00EC561D" w:rsidRDefault="00617E12" w:rsidP="00617E12">
            <w:pPr>
              <w:keepNext/>
              <w:jc w:val="left"/>
              <w:rPr>
                <w:rFonts w:ascii="Arial Narrow" w:hAnsi="Arial Narrow"/>
                <w:sz w:val="20"/>
              </w:rPr>
            </w:pPr>
            <w:r w:rsidRPr="00EC561D">
              <w:rPr>
                <w:rFonts w:ascii="Arial Narrow" w:hAnsi="Arial Narrow"/>
                <w:sz w:val="20"/>
              </w:rPr>
              <w:t>Name, Restriction,</w:t>
            </w:r>
          </w:p>
          <w:p w:rsidR="00617E12" w:rsidRPr="00EC561D" w:rsidRDefault="00617E12" w:rsidP="00617E12">
            <w:pPr>
              <w:keepNext/>
              <w:jc w:val="left"/>
              <w:rPr>
                <w:rFonts w:ascii="Arial Narrow" w:hAnsi="Arial Narrow"/>
                <w:sz w:val="20"/>
              </w:rPr>
            </w:pPr>
            <w:r w:rsidRPr="00EC561D">
              <w:rPr>
                <w:rFonts w:ascii="Arial Narrow" w:hAnsi="Arial Narrow"/>
                <w:sz w:val="20"/>
              </w:rPr>
              <w:t>Manner of administration and form</w:t>
            </w:r>
          </w:p>
        </w:tc>
        <w:tc>
          <w:tcPr>
            <w:tcW w:w="339" w:type="pct"/>
            <w:tcBorders>
              <w:bottom w:val="single" w:sz="4" w:space="0" w:color="auto"/>
            </w:tcBorders>
            <w:vAlign w:val="center"/>
          </w:tcPr>
          <w:p w:rsidR="00617E12" w:rsidRPr="00EC561D" w:rsidRDefault="00617E12" w:rsidP="00617E12">
            <w:pPr>
              <w:keepNext/>
              <w:jc w:val="center"/>
              <w:rPr>
                <w:rFonts w:ascii="Arial Narrow" w:hAnsi="Arial Narrow"/>
                <w:sz w:val="20"/>
              </w:rPr>
            </w:pPr>
            <w:r w:rsidRPr="00EC561D">
              <w:rPr>
                <w:rFonts w:ascii="Arial Narrow" w:hAnsi="Arial Narrow"/>
                <w:sz w:val="20"/>
              </w:rPr>
              <w:t>Max.</w:t>
            </w:r>
          </w:p>
          <w:p w:rsidR="00617E12" w:rsidRPr="00EC561D" w:rsidRDefault="00617E12" w:rsidP="00617E12">
            <w:pPr>
              <w:keepNext/>
              <w:jc w:val="center"/>
              <w:rPr>
                <w:rFonts w:ascii="Arial Narrow" w:hAnsi="Arial Narrow"/>
                <w:sz w:val="20"/>
              </w:rPr>
            </w:pPr>
            <w:proofErr w:type="spellStart"/>
            <w:r w:rsidRPr="00EC561D">
              <w:rPr>
                <w:rFonts w:ascii="Arial Narrow" w:hAnsi="Arial Narrow"/>
                <w:sz w:val="20"/>
              </w:rPr>
              <w:t>Qty</w:t>
            </w:r>
            <w:proofErr w:type="spellEnd"/>
          </w:p>
        </w:tc>
        <w:tc>
          <w:tcPr>
            <w:tcW w:w="423" w:type="pct"/>
            <w:tcBorders>
              <w:bottom w:val="single" w:sz="4" w:space="0" w:color="auto"/>
            </w:tcBorders>
            <w:vAlign w:val="center"/>
          </w:tcPr>
          <w:p w:rsidR="00617E12" w:rsidRPr="00EC561D" w:rsidRDefault="00617E12" w:rsidP="00617E12">
            <w:pPr>
              <w:keepNext/>
              <w:jc w:val="center"/>
              <w:rPr>
                <w:rFonts w:ascii="Arial Narrow" w:hAnsi="Arial Narrow"/>
                <w:sz w:val="20"/>
              </w:rPr>
            </w:pPr>
            <w:r w:rsidRPr="00EC561D">
              <w:rPr>
                <w:rFonts w:ascii="Arial Narrow" w:hAnsi="Arial Narrow"/>
                <w:sz w:val="20"/>
              </w:rPr>
              <w:t>№.of</w:t>
            </w:r>
          </w:p>
          <w:p w:rsidR="00617E12" w:rsidRPr="00EC561D" w:rsidRDefault="00617E12" w:rsidP="00617E12">
            <w:pPr>
              <w:keepNext/>
              <w:jc w:val="center"/>
              <w:rPr>
                <w:rFonts w:ascii="Arial Narrow" w:hAnsi="Arial Narrow"/>
                <w:sz w:val="20"/>
              </w:rPr>
            </w:pPr>
            <w:proofErr w:type="spellStart"/>
            <w:r w:rsidRPr="00EC561D">
              <w:rPr>
                <w:rFonts w:ascii="Arial Narrow" w:hAnsi="Arial Narrow"/>
                <w:sz w:val="20"/>
              </w:rPr>
              <w:t>Rpts</w:t>
            </w:r>
            <w:proofErr w:type="spellEnd"/>
          </w:p>
        </w:tc>
        <w:tc>
          <w:tcPr>
            <w:tcW w:w="933" w:type="pct"/>
            <w:tcBorders>
              <w:bottom w:val="single" w:sz="4" w:space="0" w:color="auto"/>
            </w:tcBorders>
            <w:vAlign w:val="center"/>
          </w:tcPr>
          <w:p w:rsidR="00617E12" w:rsidRPr="00EC561D" w:rsidRDefault="00617E12" w:rsidP="00617E12">
            <w:pPr>
              <w:keepNext/>
              <w:jc w:val="center"/>
              <w:rPr>
                <w:rFonts w:ascii="Arial Narrow" w:hAnsi="Arial Narrow"/>
                <w:sz w:val="20"/>
              </w:rPr>
            </w:pPr>
            <w:r w:rsidRPr="00EC561D">
              <w:rPr>
                <w:rFonts w:ascii="Arial Narrow" w:hAnsi="Arial Narrow"/>
                <w:sz w:val="20"/>
              </w:rPr>
              <w:t xml:space="preserve">Dispensed Price for Max. </w:t>
            </w:r>
            <w:proofErr w:type="spellStart"/>
            <w:r w:rsidRPr="00EC561D">
              <w:rPr>
                <w:rFonts w:ascii="Arial Narrow" w:hAnsi="Arial Narrow"/>
                <w:sz w:val="20"/>
              </w:rPr>
              <w:t>Qty</w:t>
            </w:r>
            <w:proofErr w:type="spellEnd"/>
          </w:p>
        </w:tc>
        <w:tc>
          <w:tcPr>
            <w:tcW w:w="1101" w:type="pct"/>
            <w:gridSpan w:val="2"/>
            <w:tcBorders>
              <w:bottom w:val="single" w:sz="4" w:space="0" w:color="auto"/>
            </w:tcBorders>
            <w:vAlign w:val="center"/>
          </w:tcPr>
          <w:p w:rsidR="00617E12" w:rsidRPr="00EC561D" w:rsidRDefault="00617E12" w:rsidP="00617E12">
            <w:pPr>
              <w:keepNext/>
              <w:jc w:val="center"/>
              <w:rPr>
                <w:rFonts w:ascii="Arial Narrow" w:hAnsi="Arial Narrow"/>
                <w:sz w:val="20"/>
                <w:lang w:val="fr-FR"/>
              </w:rPr>
            </w:pPr>
            <w:r w:rsidRPr="00EC561D">
              <w:rPr>
                <w:rFonts w:ascii="Arial Narrow" w:hAnsi="Arial Narrow"/>
                <w:sz w:val="20"/>
              </w:rPr>
              <w:t>Proprietary Name and Manufacturer</w:t>
            </w:r>
          </w:p>
        </w:tc>
      </w:tr>
      <w:tr w:rsidR="0031790F" w:rsidRPr="00413860" w:rsidTr="0078067A">
        <w:trPr>
          <w:cantSplit/>
          <w:trHeight w:val="567"/>
        </w:trPr>
        <w:tc>
          <w:tcPr>
            <w:tcW w:w="2204" w:type="pct"/>
            <w:vAlign w:val="center"/>
          </w:tcPr>
          <w:p w:rsidR="0031790F" w:rsidRPr="00EC561D" w:rsidRDefault="0031790F" w:rsidP="0031790F">
            <w:pPr>
              <w:keepNext/>
              <w:jc w:val="left"/>
              <w:rPr>
                <w:rFonts w:ascii="Arial Narrow" w:hAnsi="Arial Narrow"/>
                <w:sz w:val="20"/>
              </w:rPr>
            </w:pPr>
            <w:proofErr w:type="spellStart"/>
            <w:r w:rsidRPr="00EC561D">
              <w:rPr>
                <w:rFonts w:ascii="Arial Narrow" w:hAnsi="Arial Narrow"/>
                <w:smallCaps/>
                <w:sz w:val="20"/>
              </w:rPr>
              <w:t>rilpivirine</w:t>
            </w:r>
            <w:proofErr w:type="spellEnd"/>
            <w:r w:rsidRPr="00EC561D">
              <w:rPr>
                <w:rFonts w:ascii="Arial Narrow" w:hAnsi="Arial Narrow"/>
                <w:smallCaps/>
                <w:sz w:val="20"/>
              </w:rPr>
              <w:t xml:space="preserve"> + </w:t>
            </w:r>
            <w:proofErr w:type="spellStart"/>
            <w:r w:rsidRPr="00EC561D">
              <w:rPr>
                <w:rFonts w:ascii="Arial Narrow" w:hAnsi="Arial Narrow"/>
                <w:smallCaps/>
                <w:sz w:val="20"/>
              </w:rPr>
              <w:t>emtricitabine</w:t>
            </w:r>
            <w:proofErr w:type="spellEnd"/>
            <w:r w:rsidRPr="00EC561D">
              <w:rPr>
                <w:rFonts w:ascii="Arial Narrow" w:hAnsi="Arial Narrow"/>
                <w:smallCaps/>
                <w:sz w:val="20"/>
              </w:rPr>
              <w:t xml:space="preserve"> + </w:t>
            </w:r>
            <w:proofErr w:type="spellStart"/>
            <w:r w:rsidRPr="00EC561D">
              <w:rPr>
                <w:rFonts w:ascii="Arial Narrow" w:hAnsi="Arial Narrow"/>
                <w:smallCaps/>
                <w:sz w:val="20"/>
              </w:rPr>
              <w:t>tenofovir</w:t>
            </w:r>
            <w:proofErr w:type="spellEnd"/>
            <w:r w:rsidRPr="00EC561D">
              <w:rPr>
                <w:rFonts w:ascii="Arial Narrow" w:hAnsi="Arial Narrow"/>
                <w:smallCaps/>
                <w:sz w:val="20"/>
              </w:rPr>
              <w:t xml:space="preserve"> </w:t>
            </w:r>
            <w:proofErr w:type="spellStart"/>
            <w:r w:rsidRPr="00EC561D">
              <w:rPr>
                <w:rFonts w:ascii="Arial Narrow" w:hAnsi="Arial Narrow"/>
                <w:smallCaps/>
                <w:sz w:val="20"/>
              </w:rPr>
              <w:t>alafenamide</w:t>
            </w:r>
            <w:proofErr w:type="spellEnd"/>
            <w:r w:rsidRPr="00EC561D">
              <w:rPr>
                <w:rFonts w:ascii="Arial Narrow" w:hAnsi="Arial Narrow"/>
                <w:smallCaps/>
                <w:sz w:val="20"/>
              </w:rPr>
              <w:t xml:space="preserve"> </w:t>
            </w:r>
          </w:p>
          <w:p w:rsidR="0031790F" w:rsidRPr="00EC561D" w:rsidRDefault="0031790F" w:rsidP="0031790F">
            <w:pPr>
              <w:keepNext/>
              <w:jc w:val="left"/>
              <w:rPr>
                <w:rFonts w:ascii="Arial Narrow" w:hAnsi="Arial Narrow"/>
                <w:sz w:val="20"/>
              </w:rPr>
            </w:pPr>
            <w:proofErr w:type="spellStart"/>
            <w:r w:rsidRPr="00EC561D">
              <w:rPr>
                <w:rFonts w:ascii="Arial Narrow" w:hAnsi="Arial Narrow"/>
                <w:sz w:val="20"/>
              </w:rPr>
              <w:t>rilpivirine</w:t>
            </w:r>
            <w:proofErr w:type="spellEnd"/>
            <w:r w:rsidRPr="00EC561D">
              <w:rPr>
                <w:rFonts w:ascii="Arial Narrow" w:hAnsi="Arial Narrow"/>
                <w:sz w:val="20"/>
              </w:rPr>
              <w:t xml:space="preserve"> 25mg + </w:t>
            </w:r>
            <w:proofErr w:type="spellStart"/>
            <w:r w:rsidRPr="00EC561D">
              <w:rPr>
                <w:rFonts w:ascii="Arial Narrow" w:hAnsi="Arial Narrow"/>
                <w:sz w:val="20"/>
              </w:rPr>
              <w:t>emtricitabine</w:t>
            </w:r>
            <w:proofErr w:type="spellEnd"/>
            <w:r w:rsidRPr="00EC561D">
              <w:rPr>
                <w:rFonts w:ascii="Arial Narrow" w:hAnsi="Arial Narrow"/>
                <w:sz w:val="20"/>
              </w:rPr>
              <w:t xml:space="preserve"> 200mg + </w:t>
            </w:r>
            <w:proofErr w:type="spellStart"/>
            <w:r w:rsidRPr="00EC561D">
              <w:rPr>
                <w:rFonts w:ascii="Arial Narrow" w:hAnsi="Arial Narrow"/>
                <w:sz w:val="20"/>
              </w:rPr>
              <w:t>tenofovir</w:t>
            </w:r>
            <w:proofErr w:type="spellEnd"/>
            <w:r w:rsidRPr="00EC561D">
              <w:rPr>
                <w:rFonts w:ascii="Arial Narrow" w:hAnsi="Arial Narrow"/>
                <w:sz w:val="20"/>
              </w:rPr>
              <w:t xml:space="preserve"> </w:t>
            </w:r>
            <w:proofErr w:type="spellStart"/>
            <w:r w:rsidRPr="00EC561D">
              <w:rPr>
                <w:rFonts w:ascii="Arial Narrow" w:hAnsi="Arial Narrow"/>
                <w:sz w:val="20"/>
              </w:rPr>
              <w:t>alafenamide</w:t>
            </w:r>
            <w:proofErr w:type="spellEnd"/>
            <w:r w:rsidRPr="00EC561D">
              <w:rPr>
                <w:rFonts w:ascii="Arial Narrow" w:hAnsi="Arial Narrow"/>
                <w:sz w:val="20"/>
              </w:rPr>
              <w:t xml:space="preserve"> 25mg tablet, 30</w:t>
            </w:r>
          </w:p>
        </w:tc>
        <w:tc>
          <w:tcPr>
            <w:tcW w:w="339" w:type="pct"/>
            <w:vAlign w:val="center"/>
          </w:tcPr>
          <w:p w:rsidR="0031790F" w:rsidRPr="00EC561D" w:rsidRDefault="0031790F" w:rsidP="0031790F">
            <w:pPr>
              <w:keepNext/>
              <w:jc w:val="center"/>
              <w:rPr>
                <w:rFonts w:ascii="Arial Narrow" w:hAnsi="Arial Narrow"/>
                <w:sz w:val="20"/>
              </w:rPr>
            </w:pPr>
            <w:r w:rsidRPr="00EC561D">
              <w:rPr>
                <w:rFonts w:ascii="Arial Narrow" w:hAnsi="Arial Narrow"/>
                <w:sz w:val="20"/>
              </w:rPr>
              <w:t>2</w:t>
            </w:r>
          </w:p>
        </w:tc>
        <w:tc>
          <w:tcPr>
            <w:tcW w:w="423" w:type="pct"/>
            <w:vAlign w:val="center"/>
          </w:tcPr>
          <w:p w:rsidR="0031790F" w:rsidRPr="00EC561D" w:rsidRDefault="0031790F" w:rsidP="0031790F">
            <w:pPr>
              <w:keepNext/>
              <w:jc w:val="center"/>
              <w:rPr>
                <w:rFonts w:ascii="Arial Narrow" w:hAnsi="Arial Narrow"/>
                <w:sz w:val="20"/>
              </w:rPr>
            </w:pPr>
            <w:r w:rsidRPr="00EC561D">
              <w:rPr>
                <w:rFonts w:ascii="Arial Narrow" w:hAnsi="Arial Narrow"/>
                <w:sz w:val="20"/>
              </w:rPr>
              <w:t>5</w:t>
            </w:r>
          </w:p>
        </w:tc>
        <w:tc>
          <w:tcPr>
            <w:tcW w:w="933" w:type="pct"/>
            <w:vAlign w:val="center"/>
          </w:tcPr>
          <w:p w:rsidR="0031790F" w:rsidRPr="00EC561D" w:rsidRDefault="0031790F" w:rsidP="0031790F">
            <w:pPr>
              <w:keepNext/>
              <w:jc w:val="center"/>
              <w:rPr>
                <w:rFonts w:ascii="Arial Narrow" w:hAnsi="Arial Narrow"/>
                <w:sz w:val="20"/>
              </w:rPr>
            </w:pPr>
            <w:r w:rsidRPr="00EC561D">
              <w:rPr>
                <w:rFonts w:ascii="Arial Narrow" w:hAnsi="Arial Narrow"/>
                <w:sz w:val="20"/>
              </w:rPr>
              <w:t>$</w:t>
            </w:r>
            <w:r w:rsidRPr="00315D62">
              <w:rPr>
                <w:rFonts w:ascii="Arial Narrow" w:hAnsi="Arial Narrow"/>
                <w:sz w:val="20"/>
              </w:rPr>
              <w:t>2,043.79</w:t>
            </w:r>
          </w:p>
        </w:tc>
        <w:tc>
          <w:tcPr>
            <w:tcW w:w="582" w:type="pct"/>
            <w:vAlign w:val="center"/>
          </w:tcPr>
          <w:p w:rsidR="0031790F" w:rsidRPr="00EC561D" w:rsidRDefault="0031790F" w:rsidP="0031790F">
            <w:pPr>
              <w:keepNext/>
              <w:jc w:val="center"/>
              <w:rPr>
                <w:rFonts w:ascii="Arial Narrow" w:hAnsi="Arial Narrow"/>
                <w:sz w:val="20"/>
              </w:rPr>
            </w:pPr>
            <w:proofErr w:type="spellStart"/>
            <w:r w:rsidRPr="00EC561D">
              <w:rPr>
                <w:rFonts w:ascii="Arial Narrow" w:hAnsi="Arial Narrow"/>
                <w:sz w:val="20"/>
              </w:rPr>
              <w:t>Odefsey</w:t>
            </w:r>
            <w:proofErr w:type="spellEnd"/>
            <w:r w:rsidR="00B94D1F" w:rsidRPr="00B94D1F">
              <w:rPr>
                <w:rFonts w:ascii="Arial Narrow" w:hAnsi="Arial Narrow"/>
                <w:sz w:val="20"/>
                <w:vertAlign w:val="superscript"/>
              </w:rPr>
              <w:t>®</w:t>
            </w:r>
          </w:p>
        </w:tc>
        <w:tc>
          <w:tcPr>
            <w:tcW w:w="519" w:type="pct"/>
            <w:vAlign w:val="center"/>
          </w:tcPr>
          <w:p w:rsidR="0031790F" w:rsidRPr="00EC561D" w:rsidRDefault="0031790F" w:rsidP="0031790F">
            <w:pPr>
              <w:keepNext/>
              <w:jc w:val="center"/>
              <w:rPr>
                <w:rFonts w:ascii="Arial Narrow" w:hAnsi="Arial Narrow"/>
                <w:sz w:val="20"/>
              </w:rPr>
            </w:pPr>
            <w:r w:rsidRPr="00EC561D">
              <w:rPr>
                <w:rFonts w:ascii="Arial Narrow" w:hAnsi="Arial Narrow"/>
                <w:sz w:val="20"/>
              </w:rPr>
              <w:t>Gilead Sciences Pty Ltd</w:t>
            </w:r>
          </w:p>
        </w:tc>
      </w:tr>
    </w:tbl>
    <w:tbl>
      <w:tblPr>
        <w:tblStyle w:val="TableGrid"/>
        <w:tblW w:w="4602" w:type="pct"/>
        <w:tblInd w:w="737" w:type="dxa"/>
        <w:tblCellMar>
          <w:left w:w="28" w:type="dxa"/>
          <w:right w:w="28" w:type="dxa"/>
        </w:tblCellMar>
        <w:tblLook w:val="04A0" w:firstRow="1" w:lastRow="0" w:firstColumn="1" w:lastColumn="0" w:noHBand="0" w:noVBand="1"/>
        <w:tblCaption w:val="Requested listing"/>
      </w:tblPr>
      <w:tblGrid>
        <w:gridCol w:w="1700"/>
        <w:gridCol w:w="6659"/>
      </w:tblGrid>
      <w:tr w:rsidR="00367A82" w:rsidRPr="00AB7214" w:rsidTr="00495439">
        <w:trPr>
          <w:tblHeader/>
        </w:trPr>
        <w:tc>
          <w:tcPr>
            <w:tcW w:w="1017" w:type="pct"/>
          </w:tcPr>
          <w:p w:rsidR="00367A82" w:rsidRPr="00B94D1F" w:rsidRDefault="00367A82" w:rsidP="00EC4086">
            <w:pPr>
              <w:pStyle w:val="Table"/>
              <w:rPr>
                <w:rStyle w:val="SmallBold"/>
                <w:rFonts w:ascii="Arial Narrow" w:hAnsi="Arial Narrow"/>
                <w:b w:val="0"/>
              </w:rPr>
            </w:pPr>
            <w:r w:rsidRPr="00B94D1F">
              <w:rPr>
                <w:rStyle w:val="SmallBold"/>
                <w:rFonts w:ascii="Arial Narrow" w:hAnsi="Arial Narrow"/>
                <w:b w:val="0"/>
              </w:rPr>
              <w:t>Category</w:t>
            </w:r>
            <w:r w:rsidR="00EC4086" w:rsidRPr="00B94D1F">
              <w:rPr>
                <w:rStyle w:val="SmallBold"/>
                <w:rFonts w:ascii="Arial Narrow" w:hAnsi="Arial Narrow"/>
                <w:b w:val="0"/>
              </w:rPr>
              <w:t>/</w:t>
            </w:r>
            <w:r w:rsidRPr="00B94D1F">
              <w:rPr>
                <w:rStyle w:val="SmallBold"/>
                <w:rFonts w:ascii="Arial Narrow" w:hAnsi="Arial Narrow"/>
                <w:b w:val="0"/>
              </w:rPr>
              <w:t>Program</w:t>
            </w:r>
          </w:p>
        </w:tc>
        <w:tc>
          <w:tcPr>
            <w:tcW w:w="3983" w:type="pct"/>
          </w:tcPr>
          <w:p w:rsidR="00367A82" w:rsidRPr="00AB7214" w:rsidRDefault="00367A82" w:rsidP="009703AA">
            <w:pPr>
              <w:pStyle w:val="Table"/>
              <w:rPr>
                <w:rFonts w:ascii="Arial Narrow" w:hAnsi="Arial Narrow"/>
              </w:rPr>
            </w:pPr>
            <w:r w:rsidRPr="00AB7214">
              <w:rPr>
                <w:rFonts w:ascii="Arial Narrow" w:hAnsi="Arial Narrow"/>
              </w:rPr>
              <w:t>Section 100 - Highly Specialised Drugs Program (Community Access)</w:t>
            </w:r>
          </w:p>
        </w:tc>
      </w:tr>
      <w:tr w:rsidR="00367A82" w:rsidRPr="00AB7214" w:rsidTr="00F1092A">
        <w:tc>
          <w:tcPr>
            <w:tcW w:w="1017" w:type="pct"/>
          </w:tcPr>
          <w:p w:rsidR="00367A82" w:rsidRPr="00B94D1F" w:rsidRDefault="00B94D1F" w:rsidP="009703AA">
            <w:pPr>
              <w:pStyle w:val="Table"/>
              <w:rPr>
                <w:rStyle w:val="SmallBold"/>
                <w:rFonts w:ascii="Arial Narrow" w:hAnsi="Arial Narrow"/>
                <w:b w:val="0"/>
              </w:rPr>
            </w:pPr>
            <w:r w:rsidRPr="00B94D1F">
              <w:rPr>
                <w:rStyle w:val="SmallBold"/>
                <w:rFonts w:ascii="Arial Narrow" w:hAnsi="Arial Narrow"/>
                <w:b w:val="0"/>
              </w:rPr>
              <w:t>Condition</w:t>
            </w:r>
          </w:p>
        </w:tc>
        <w:tc>
          <w:tcPr>
            <w:tcW w:w="3983" w:type="pct"/>
          </w:tcPr>
          <w:p w:rsidR="00367A82" w:rsidRPr="00AB7214" w:rsidRDefault="00367A82" w:rsidP="009703AA">
            <w:pPr>
              <w:pStyle w:val="Table"/>
              <w:rPr>
                <w:rFonts w:ascii="Arial Narrow" w:hAnsi="Arial Narrow"/>
              </w:rPr>
            </w:pPr>
            <w:r w:rsidRPr="00AB7214">
              <w:rPr>
                <w:rFonts w:ascii="Arial Narrow" w:hAnsi="Arial Narrow"/>
              </w:rPr>
              <w:t>HIV infection</w:t>
            </w:r>
          </w:p>
        </w:tc>
      </w:tr>
      <w:tr w:rsidR="00B94D1F" w:rsidRPr="00AB7214" w:rsidTr="00F1092A">
        <w:tc>
          <w:tcPr>
            <w:tcW w:w="1017" w:type="pct"/>
          </w:tcPr>
          <w:p w:rsidR="00B94D1F" w:rsidRPr="00B94D1F" w:rsidRDefault="00B94D1F" w:rsidP="009703AA">
            <w:pPr>
              <w:pStyle w:val="Table"/>
              <w:rPr>
                <w:rStyle w:val="SmallBold"/>
                <w:rFonts w:ascii="Arial Narrow" w:hAnsi="Arial Narrow"/>
                <w:b w:val="0"/>
              </w:rPr>
            </w:pPr>
            <w:r w:rsidRPr="00B94D1F">
              <w:rPr>
                <w:rStyle w:val="SmallBold"/>
                <w:rFonts w:ascii="Arial Narrow" w:hAnsi="Arial Narrow"/>
                <w:b w:val="0"/>
              </w:rPr>
              <w:t xml:space="preserve">Restriction </w:t>
            </w:r>
          </w:p>
        </w:tc>
        <w:tc>
          <w:tcPr>
            <w:tcW w:w="3983" w:type="pct"/>
          </w:tcPr>
          <w:p w:rsidR="00B94D1F" w:rsidRPr="00AB7214" w:rsidRDefault="00B94D1F" w:rsidP="009703AA">
            <w:pPr>
              <w:pStyle w:val="Table"/>
              <w:rPr>
                <w:rFonts w:ascii="Arial Narrow" w:hAnsi="Arial Narrow"/>
              </w:rPr>
            </w:pPr>
            <w:r w:rsidRPr="00C92FC4">
              <w:rPr>
                <w:rFonts w:ascii="Arial Narrow" w:hAnsi="Arial Narrow"/>
                <w:lang w:eastAsia="en-AU"/>
              </w:rPr>
              <w:t>Authority Required (Streamlined)</w:t>
            </w:r>
          </w:p>
        </w:tc>
      </w:tr>
      <w:tr w:rsidR="00367A82" w:rsidRPr="00AB7214" w:rsidTr="00F1092A">
        <w:tc>
          <w:tcPr>
            <w:tcW w:w="1017" w:type="pct"/>
          </w:tcPr>
          <w:p w:rsidR="00367A82" w:rsidRPr="00B94D1F" w:rsidRDefault="00367A82" w:rsidP="009703AA">
            <w:pPr>
              <w:pStyle w:val="Table"/>
              <w:rPr>
                <w:rStyle w:val="SmallBold"/>
                <w:rFonts w:ascii="Arial Narrow" w:hAnsi="Arial Narrow"/>
                <w:b w:val="0"/>
              </w:rPr>
            </w:pPr>
            <w:r w:rsidRPr="00B94D1F">
              <w:rPr>
                <w:rStyle w:val="SmallBold"/>
                <w:rFonts w:ascii="Arial Narrow" w:hAnsi="Arial Narrow"/>
                <w:b w:val="0"/>
              </w:rPr>
              <w:t>Treatment criteria</w:t>
            </w:r>
          </w:p>
        </w:tc>
        <w:tc>
          <w:tcPr>
            <w:tcW w:w="3983" w:type="pct"/>
          </w:tcPr>
          <w:p w:rsidR="00367A82" w:rsidRPr="00AB7214" w:rsidRDefault="00367A82" w:rsidP="009703AA">
            <w:pPr>
              <w:pStyle w:val="Table"/>
              <w:rPr>
                <w:rFonts w:ascii="Arial Narrow" w:hAnsi="Arial Narrow"/>
              </w:rPr>
            </w:pPr>
            <w:r w:rsidRPr="00AB7214">
              <w:rPr>
                <w:rFonts w:ascii="Arial Narrow" w:hAnsi="Arial Narrow"/>
              </w:rPr>
              <w:t>Treatment Phase: Initial</w:t>
            </w:r>
          </w:p>
        </w:tc>
      </w:tr>
      <w:tr w:rsidR="00367A82" w:rsidRPr="00AB7214" w:rsidTr="00F1092A">
        <w:tc>
          <w:tcPr>
            <w:tcW w:w="1017" w:type="pct"/>
          </w:tcPr>
          <w:p w:rsidR="00367A82" w:rsidRPr="00B94D1F" w:rsidRDefault="00367A82" w:rsidP="009703AA">
            <w:pPr>
              <w:pStyle w:val="Table"/>
              <w:rPr>
                <w:rStyle w:val="SmallBold"/>
                <w:rFonts w:ascii="Arial Narrow" w:hAnsi="Arial Narrow"/>
                <w:b w:val="0"/>
              </w:rPr>
            </w:pPr>
            <w:r w:rsidRPr="00B94D1F">
              <w:rPr>
                <w:rStyle w:val="SmallBold"/>
                <w:rFonts w:ascii="Arial Narrow" w:hAnsi="Arial Narrow"/>
                <w:b w:val="0"/>
              </w:rPr>
              <w:t>Clinical criteria</w:t>
            </w:r>
          </w:p>
        </w:tc>
        <w:tc>
          <w:tcPr>
            <w:tcW w:w="3983" w:type="pct"/>
          </w:tcPr>
          <w:p w:rsidR="00367A82" w:rsidRPr="00AB7214" w:rsidRDefault="00367A82" w:rsidP="009703AA">
            <w:pPr>
              <w:pStyle w:val="Table"/>
              <w:rPr>
                <w:rFonts w:ascii="Arial Narrow" w:hAnsi="Arial Narrow"/>
              </w:rPr>
            </w:pPr>
            <w:r w:rsidRPr="00AB7214">
              <w:rPr>
                <w:rFonts w:ascii="Arial Narrow" w:hAnsi="Arial Narrow"/>
              </w:rPr>
              <w:t>Patient must be antiretroviral treatment naïve.</w:t>
            </w:r>
          </w:p>
        </w:tc>
      </w:tr>
      <w:tr w:rsidR="00367A82" w:rsidRPr="00F95C70" w:rsidTr="00F1092A">
        <w:tc>
          <w:tcPr>
            <w:tcW w:w="1017" w:type="pct"/>
            <w:tcBorders>
              <w:top w:val="double" w:sz="4" w:space="0" w:color="auto"/>
            </w:tcBorders>
          </w:tcPr>
          <w:p w:rsidR="00367A82" w:rsidRPr="00B94D1F" w:rsidRDefault="00367A82" w:rsidP="00EC4086">
            <w:pPr>
              <w:rPr>
                <w:rFonts w:ascii="Arial Narrow" w:hAnsi="Arial Narrow"/>
                <w:bCs/>
                <w:sz w:val="20"/>
              </w:rPr>
            </w:pPr>
            <w:r w:rsidRPr="00B94D1F">
              <w:rPr>
                <w:rFonts w:ascii="Arial Narrow" w:hAnsi="Arial Narrow"/>
                <w:bCs/>
                <w:sz w:val="20"/>
              </w:rPr>
              <w:t>Category/Program</w:t>
            </w:r>
          </w:p>
        </w:tc>
        <w:tc>
          <w:tcPr>
            <w:tcW w:w="3983" w:type="pct"/>
            <w:tcBorders>
              <w:top w:val="double" w:sz="4" w:space="0" w:color="auto"/>
            </w:tcBorders>
          </w:tcPr>
          <w:p w:rsidR="00367A82" w:rsidRPr="00F95C70" w:rsidRDefault="00367A82" w:rsidP="009703AA">
            <w:pPr>
              <w:rPr>
                <w:rFonts w:ascii="Arial Narrow" w:hAnsi="Arial Narrow"/>
                <w:sz w:val="20"/>
              </w:rPr>
            </w:pPr>
            <w:r w:rsidRPr="00F95C70">
              <w:rPr>
                <w:rFonts w:ascii="Arial Narrow" w:hAnsi="Arial Narrow"/>
                <w:sz w:val="20"/>
              </w:rPr>
              <w:t>Section 100 – Highly Specialised Drugs Program (Community Access)</w:t>
            </w:r>
          </w:p>
        </w:tc>
      </w:tr>
      <w:tr w:rsidR="00367A82" w:rsidRPr="00F95C70" w:rsidTr="00F1092A">
        <w:tc>
          <w:tcPr>
            <w:tcW w:w="1017" w:type="pct"/>
          </w:tcPr>
          <w:p w:rsidR="00367A82" w:rsidRPr="00B94D1F" w:rsidRDefault="00B94D1F" w:rsidP="009703AA">
            <w:pPr>
              <w:rPr>
                <w:rFonts w:ascii="Arial Narrow" w:hAnsi="Arial Narrow"/>
                <w:bCs/>
                <w:sz w:val="20"/>
              </w:rPr>
            </w:pPr>
            <w:r w:rsidRPr="00B94D1F">
              <w:rPr>
                <w:rFonts w:ascii="Arial Narrow" w:hAnsi="Arial Narrow"/>
                <w:bCs/>
                <w:sz w:val="20"/>
              </w:rPr>
              <w:t>Condition</w:t>
            </w:r>
          </w:p>
        </w:tc>
        <w:tc>
          <w:tcPr>
            <w:tcW w:w="3983" w:type="pct"/>
          </w:tcPr>
          <w:p w:rsidR="00367A82" w:rsidRPr="00F95C70" w:rsidRDefault="00367A82" w:rsidP="009703AA">
            <w:pPr>
              <w:rPr>
                <w:rFonts w:ascii="Arial Narrow" w:hAnsi="Arial Narrow"/>
                <w:sz w:val="20"/>
              </w:rPr>
            </w:pPr>
            <w:r w:rsidRPr="00F95C70">
              <w:rPr>
                <w:rFonts w:ascii="Arial Narrow" w:hAnsi="Arial Narrow"/>
                <w:sz w:val="20"/>
              </w:rPr>
              <w:t>HIV infection</w:t>
            </w:r>
          </w:p>
        </w:tc>
      </w:tr>
      <w:tr w:rsidR="00B94D1F" w:rsidRPr="00F95C70" w:rsidTr="00F1092A">
        <w:tc>
          <w:tcPr>
            <w:tcW w:w="1017" w:type="pct"/>
          </w:tcPr>
          <w:p w:rsidR="00B94D1F" w:rsidRPr="00B94D1F" w:rsidRDefault="00B94D1F" w:rsidP="009703AA">
            <w:pPr>
              <w:rPr>
                <w:rFonts w:ascii="Arial Narrow" w:hAnsi="Arial Narrow"/>
                <w:bCs/>
                <w:sz w:val="20"/>
              </w:rPr>
            </w:pPr>
            <w:r w:rsidRPr="00B94D1F">
              <w:rPr>
                <w:rFonts w:ascii="Arial Narrow" w:hAnsi="Arial Narrow"/>
                <w:bCs/>
                <w:sz w:val="20"/>
              </w:rPr>
              <w:t xml:space="preserve">Restriction </w:t>
            </w:r>
          </w:p>
        </w:tc>
        <w:tc>
          <w:tcPr>
            <w:tcW w:w="3983" w:type="pct"/>
          </w:tcPr>
          <w:p w:rsidR="00B94D1F" w:rsidRPr="00F95C70" w:rsidRDefault="00B94D1F" w:rsidP="009703AA">
            <w:pPr>
              <w:rPr>
                <w:rFonts w:ascii="Arial Narrow" w:hAnsi="Arial Narrow"/>
                <w:sz w:val="20"/>
              </w:rPr>
            </w:pPr>
            <w:r w:rsidRPr="00C92FC4">
              <w:rPr>
                <w:rFonts w:ascii="Arial Narrow" w:hAnsi="Arial Narrow"/>
                <w:sz w:val="20"/>
                <w:lang w:eastAsia="en-AU"/>
              </w:rPr>
              <w:t>Authority Required (Streamlined)</w:t>
            </w:r>
          </w:p>
        </w:tc>
      </w:tr>
      <w:tr w:rsidR="00367A82" w:rsidRPr="00F95C70" w:rsidTr="00F1092A">
        <w:tc>
          <w:tcPr>
            <w:tcW w:w="1017" w:type="pct"/>
          </w:tcPr>
          <w:p w:rsidR="00367A82" w:rsidRPr="00B94D1F" w:rsidRDefault="00367A82" w:rsidP="009703AA">
            <w:pPr>
              <w:rPr>
                <w:rFonts w:ascii="Arial Narrow" w:hAnsi="Arial Narrow"/>
                <w:bCs/>
                <w:sz w:val="20"/>
              </w:rPr>
            </w:pPr>
            <w:r w:rsidRPr="00B94D1F">
              <w:rPr>
                <w:rFonts w:ascii="Arial Narrow" w:hAnsi="Arial Narrow"/>
                <w:bCs/>
                <w:sz w:val="20"/>
              </w:rPr>
              <w:t>Treatment criteria</w:t>
            </w:r>
          </w:p>
        </w:tc>
        <w:tc>
          <w:tcPr>
            <w:tcW w:w="3983" w:type="pct"/>
          </w:tcPr>
          <w:p w:rsidR="00367A82" w:rsidRPr="00F95C70" w:rsidRDefault="00367A82" w:rsidP="009703AA">
            <w:pPr>
              <w:rPr>
                <w:rFonts w:ascii="Arial Narrow" w:hAnsi="Arial Narrow"/>
                <w:sz w:val="20"/>
              </w:rPr>
            </w:pPr>
            <w:r w:rsidRPr="00F95C70">
              <w:rPr>
                <w:rFonts w:ascii="Arial Narrow" w:hAnsi="Arial Narrow"/>
                <w:sz w:val="20"/>
              </w:rPr>
              <w:t>Treatment Phase: Continuing</w:t>
            </w:r>
          </w:p>
        </w:tc>
      </w:tr>
      <w:tr w:rsidR="00367A82" w:rsidRPr="00F95C70" w:rsidTr="00F1092A">
        <w:tc>
          <w:tcPr>
            <w:tcW w:w="1017" w:type="pct"/>
          </w:tcPr>
          <w:p w:rsidR="00367A82" w:rsidRPr="00B94D1F" w:rsidRDefault="00367A82" w:rsidP="009703AA">
            <w:pPr>
              <w:rPr>
                <w:rFonts w:ascii="Arial Narrow" w:hAnsi="Arial Narrow"/>
                <w:bCs/>
                <w:sz w:val="20"/>
              </w:rPr>
            </w:pPr>
            <w:r w:rsidRPr="00B94D1F">
              <w:rPr>
                <w:rFonts w:ascii="Arial Narrow" w:hAnsi="Arial Narrow"/>
                <w:bCs/>
                <w:sz w:val="20"/>
              </w:rPr>
              <w:t>Clinical criteria</w:t>
            </w:r>
          </w:p>
        </w:tc>
        <w:tc>
          <w:tcPr>
            <w:tcW w:w="3983" w:type="pct"/>
          </w:tcPr>
          <w:p w:rsidR="00367A82" w:rsidRPr="00F95C70" w:rsidRDefault="00367A82" w:rsidP="009703AA">
            <w:pPr>
              <w:rPr>
                <w:rFonts w:ascii="Arial Narrow" w:hAnsi="Arial Narrow"/>
                <w:sz w:val="20"/>
              </w:rPr>
            </w:pPr>
            <w:r w:rsidRPr="00F95C70">
              <w:rPr>
                <w:rFonts w:ascii="Arial Narrow" w:hAnsi="Arial Narrow"/>
                <w:sz w:val="20"/>
              </w:rPr>
              <w:t>Patient must have previously received PBS-subsidised therapy for HIV infection.</w:t>
            </w:r>
          </w:p>
        </w:tc>
      </w:tr>
    </w:tbl>
    <w:p w:rsidR="00B60939" w:rsidRPr="006B43E5" w:rsidRDefault="00B60939" w:rsidP="004B1CB4"/>
    <w:p w:rsidR="002C2775" w:rsidRPr="00082954" w:rsidRDefault="002B7278" w:rsidP="006E6FD7">
      <w:pPr>
        <w:pStyle w:val="ListParagraph"/>
        <w:widowControl/>
        <w:numPr>
          <w:ilvl w:val="1"/>
          <w:numId w:val="6"/>
        </w:numPr>
        <w:rPr>
          <w:szCs w:val="22"/>
        </w:rPr>
      </w:pPr>
      <w:r w:rsidRPr="00082954">
        <w:rPr>
          <w:szCs w:val="22"/>
        </w:rPr>
        <w:t xml:space="preserve">The submission provided a cost-minimisation analysis </w:t>
      </w:r>
      <w:r w:rsidR="00E201C4" w:rsidRPr="00082954">
        <w:rPr>
          <w:szCs w:val="22"/>
        </w:rPr>
        <w:t xml:space="preserve">of </w:t>
      </w:r>
      <w:proofErr w:type="spellStart"/>
      <w:r w:rsidR="00DB7222" w:rsidRPr="00082954">
        <w:t>Odefsey</w:t>
      </w:r>
      <w:proofErr w:type="spellEnd"/>
      <w:r w:rsidR="00DB7222" w:rsidRPr="00082954">
        <w:rPr>
          <w:vertAlign w:val="superscript"/>
        </w:rPr>
        <w:t>®</w:t>
      </w:r>
      <w:r w:rsidR="00DB7222" w:rsidRPr="00082954">
        <w:rPr>
          <w:szCs w:val="22"/>
        </w:rPr>
        <w:t xml:space="preserve"> versus the nominated comparator </w:t>
      </w:r>
      <w:proofErr w:type="spellStart"/>
      <w:r w:rsidR="00456AE1" w:rsidRPr="00082954">
        <w:rPr>
          <w:szCs w:val="22"/>
        </w:rPr>
        <w:t>Eviplera</w:t>
      </w:r>
      <w:proofErr w:type="spellEnd"/>
      <w:r w:rsidR="00456AE1" w:rsidRPr="00082954">
        <w:rPr>
          <w:szCs w:val="22"/>
          <w:vertAlign w:val="superscript"/>
        </w:rPr>
        <w:t>®</w:t>
      </w:r>
      <w:r w:rsidR="00456AE1" w:rsidRPr="00082954">
        <w:rPr>
          <w:szCs w:val="22"/>
        </w:rPr>
        <w:t xml:space="preserve"> </w:t>
      </w:r>
      <w:r w:rsidR="00DC06C4" w:rsidRPr="00082954">
        <w:rPr>
          <w:szCs w:val="22"/>
        </w:rPr>
        <w:t>based on drug cost only</w:t>
      </w:r>
      <w:r w:rsidR="001A7828" w:rsidRPr="00082954">
        <w:rPr>
          <w:szCs w:val="22"/>
        </w:rPr>
        <w:t>.</w:t>
      </w:r>
    </w:p>
    <w:p w:rsidR="00DC06C4" w:rsidRPr="00082954" w:rsidRDefault="00DC06C4" w:rsidP="00DC06C4">
      <w:pPr>
        <w:pStyle w:val="ListParagraph"/>
        <w:widowControl/>
        <w:rPr>
          <w:szCs w:val="22"/>
        </w:rPr>
      </w:pPr>
    </w:p>
    <w:p w:rsidR="00DC06C4" w:rsidRDefault="00DC06C4" w:rsidP="006E6FD7">
      <w:pPr>
        <w:pStyle w:val="ListParagraph"/>
        <w:widowControl/>
        <w:numPr>
          <w:ilvl w:val="1"/>
          <w:numId w:val="6"/>
        </w:numPr>
        <w:rPr>
          <w:szCs w:val="22"/>
        </w:rPr>
      </w:pPr>
      <w:r w:rsidRPr="00082954">
        <w:rPr>
          <w:szCs w:val="22"/>
        </w:rPr>
        <w:t>On the basis of a claim of favourable safety</w:t>
      </w:r>
      <w:r w:rsidR="00F86C79" w:rsidRPr="00082954">
        <w:rPr>
          <w:szCs w:val="22"/>
        </w:rPr>
        <w:t xml:space="preserve"> and compliance</w:t>
      </w:r>
      <w:r w:rsidRPr="00082954">
        <w:rPr>
          <w:szCs w:val="22"/>
        </w:rPr>
        <w:t xml:space="preserve">, the Sponsor requested that the </w:t>
      </w:r>
      <w:r w:rsidR="00785CA7" w:rsidRPr="00082954">
        <w:rPr>
          <w:szCs w:val="22"/>
        </w:rPr>
        <w:t>PBAC gives advice to the Minister</w:t>
      </w:r>
      <w:r w:rsidR="002229FF" w:rsidRPr="00082954">
        <w:rPr>
          <w:szCs w:val="22"/>
        </w:rPr>
        <w:t xml:space="preserve"> </w:t>
      </w:r>
      <w:r w:rsidRPr="00082954">
        <w:rPr>
          <w:szCs w:val="22"/>
        </w:rPr>
        <w:t xml:space="preserve">under Section 101(4AC) of the </w:t>
      </w:r>
      <w:r w:rsidRPr="005D70F6">
        <w:rPr>
          <w:i/>
          <w:szCs w:val="22"/>
        </w:rPr>
        <w:t xml:space="preserve">National Health Act </w:t>
      </w:r>
      <w:r w:rsidRPr="005D70F6">
        <w:rPr>
          <w:szCs w:val="22"/>
        </w:rPr>
        <w:t>1953</w:t>
      </w:r>
      <w:r w:rsidR="005D70F6" w:rsidRPr="005D70F6">
        <w:rPr>
          <w:szCs w:val="22"/>
        </w:rPr>
        <w:t xml:space="preserve"> (the Act)</w:t>
      </w:r>
      <w:r w:rsidRPr="005D70F6">
        <w:rPr>
          <w:szCs w:val="22"/>
        </w:rPr>
        <w:t>.</w:t>
      </w:r>
      <w:r w:rsidR="00C54514" w:rsidRPr="00082954">
        <w:rPr>
          <w:szCs w:val="22"/>
        </w:rPr>
        <w:t xml:space="preserve"> </w:t>
      </w:r>
    </w:p>
    <w:p w:rsidR="00585BB3" w:rsidRPr="00585BB3" w:rsidRDefault="00585BB3" w:rsidP="00585BB3">
      <w:pPr>
        <w:pStyle w:val="ListParagraph"/>
        <w:rPr>
          <w:szCs w:val="22"/>
        </w:rPr>
      </w:pPr>
    </w:p>
    <w:p w:rsidR="00585BB3" w:rsidRPr="0005234D" w:rsidRDefault="00585BB3" w:rsidP="00585BB3">
      <w:pPr>
        <w:ind w:firstLine="720"/>
        <w:rPr>
          <w:bCs/>
          <w:szCs w:val="22"/>
        </w:rPr>
      </w:pPr>
      <w:r w:rsidRPr="00D96801">
        <w:rPr>
          <w:bCs/>
          <w:i/>
          <w:szCs w:val="22"/>
        </w:rPr>
        <w:t>For more detail on PBAC’s view, see section 7 “PBAC outcome”</w:t>
      </w:r>
    </w:p>
    <w:p w:rsidR="00585BB3" w:rsidRPr="00082954" w:rsidRDefault="00585BB3" w:rsidP="00585BB3">
      <w:pPr>
        <w:pStyle w:val="ListParagraph"/>
        <w:widowControl/>
        <w:rPr>
          <w:szCs w:val="22"/>
        </w:rPr>
      </w:pPr>
    </w:p>
    <w:p w:rsidR="00F97A78" w:rsidRPr="00082954" w:rsidRDefault="00F97A78" w:rsidP="00A35D16">
      <w:pPr>
        <w:widowControl/>
        <w:rPr>
          <w:szCs w:val="22"/>
        </w:rPr>
      </w:pPr>
    </w:p>
    <w:p w:rsidR="00B50DB8" w:rsidRPr="00082954" w:rsidRDefault="00B50DB8" w:rsidP="00495439">
      <w:pPr>
        <w:pStyle w:val="Heading2"/>
      </w:pPr>
      <w:bookmarkStart w:id="3" w:name="_Toc451425478"/>
      <w:r w:rsidRPr="00082954">
        <w:t>Background</w:t>
      </w:r>
      <w:bookmarkEnd w:id="3"/>
    </w:p>
    <w:p w:rsidR="00B60939" w:rsidRPr="00082954" w:rsidRDefault="00B60939" w:rsidP="00B60939">
      <w:pPr>
        <w:rPr>
          <w:szCs w:val="22"/>
        </w:rPr>
      </w:pPr>
    </w:p>
    <w:p w:rsidR="00B60939" w:rsidRPr="00082954" w:rsidRDefault="00B60939" w:rsidP="006E6FD7">
      <w:pPr>
        <w:pStyle w:val="ListParagraph"/>
        <w:widowControl/>
        <w:numPr>
          <w:ilvl w:val="1"/>
          <w:numId w:val="6"/>
        </w:numPr>
      </w:pPr>
      <w:r w:rsidRPr="00FA0F9D">
        <w:rPr>
          <w:szCs w:val="22"/>
        </w:rPr>
        <w:t>TGA status</w:t>
      </w:r>
      <w:r w:rsidR="0017739E" w:rsidRPr="00FA0F9D">
        <w:rPr>
          <w:szCs w:val="22"/>
        </w:rPr>
        <w:t xml:space="preserve"> at time of</w:t>
      </w:r>
      <w:r w:rsidR="00FA0F9D">
        <w:rPr>
          <w:szCs w:val="22"/>
        </w:rPr>
        <w:t xml:space="preserve"> PBAC consideration</w:t>
      </w:r>
      <w:r w:rsidRPr="00082954">
        <w:rPr>
          <w:szCs w:val="22"/>
        </w:rPr>
        <w:t xml:space="preserve">: </w:t>
      </w:r>
      <w:r w:rsidRPr="00082954">
        <w:t xml:space="preserve">The submission was made under TGA/PBAC Parallel Process. At the time of </w:t>
      </w:r>
      <w:r w:rsidR="00FA0F9D">
        <w:t>PBAC</w:t>
      </w:r>
      <w:r w:rsidR="003143B0">
        <w:t xml:space="preserve"> consideration</w:t>
      </w:r>
      <w:r w:rsidR="003A13D3" w:rsidRPr="00082954">
        <w:t xml:space="preserve">, </w:t>
      </w:r>
      <w:r w:rsidR="00FA0F9D">
        <w:t>the TGA Delegate’s overview and clinical evaluation report</w:t>
      </w:r>
      <w:r w:rsidRPr="00082954">
        <w:t xml:space="preserve"> were available. </w:t>
      </w:r>
    </w:p>
    <w:p w:rsidR="00B60939" w:rsidRPr="00082954" w:rsidRDefault="00B60939" w:rsidP="00B60939">
      <w:pPr>
        <w:pStyle w:val="ListParagraph"/>
        <w:rPr>
          <w:szCs w:val="22"/>
          <w:highlight w:val="yellow"/>
        </w:rPr>
      </w:pPr>
    </w:p>
    <w:p w:rsidR="002C2775" w:rsidRPr="00082954" w:rsidRDefault="004661B9" w:rsidP="006E6FD7">
      <w:pPr>
        <w:pStyle w:val="ListParagraph"/>
        <w:widowControl/>
        <w:numPr>
          <w:ilvl w:val="1"/>
          <w:numId w:val="6"/>
        </w:numPr>
        <w:rPr>
          <w:szCs w:val="22"/>
        </w:rPr>
      </w:pPr>
      <w:r w:rsidRPr="00082954">
        <w:rPr>
          <w:szCs w:val="22"/>
        </w:rPr>
        <w:t xml:space="preserve">This is the first submission requesting PBS-listing of </w:t>
      </w:r>
      <w:proofErr w:type="spellStart"/>
      <w:r w:rsidRPr="00082954">
        <w:rPr>
          <w:szCs w:val="22"/>
        </w:rPr>
        <w:t>Odefsey</w:t>
      </w:r>
      <w:proofErr w:type="spellEnd"/>
      <w:r w:rsidRPr="00082954">
        <w:rPr>
          <w:szCs w:val="22"/>
          <w:vertAlign w:val="superscript"/>
        </w:rPr>
        <w:t>®</w:t>
      </w:r>
      <w:r w:rsidRPr="00082954">
        <w:rPr>
          <w:szCs w:val="22"/>
        </w:rPr>
        <w:t xml:space="preserve">. A concurrent submission seeking PBS-listing of a FDC containing </w:t>
      </w:r>
      <w:proofErr w:type="spellStart"/>
      <w:r w:rsidRPr="00082954">
        <w:rPr>
          <w:szCs w:val="22"/>
        </w:rPr>
        <w:t>Descovy</w:t>
      </w:r>
      <w:proofErr w:type="spellEnd"/>
      <w:r w:rsidRPr="00082954">
        <w:rPr>
          <w:szCs w:val="22"/>
          <w:vertAlign w:val="superscript"/>
        </w:rPr>
        <w:t>®</w:t>
      </w:r>
      <w:r w:rsidRPr="00082954">
        <w:rPr>
          <w:szCs w:val="22"/>
        </w:rPr>
        <w:t xml:space="preserve"> w</w:t>
      </w:r>
      <w:r w:rsidR="003143B0">
        <w:rPr>
          <w:szCs w:val="22"/>
        </w:rPr>
        <w:t>as</w:t>
      </w:r>
      <w:r w:rsidRPr="00082954">
        <w:rPr>
          <w:szCs w:val="22"/>
        </w:rPr>
        <w:t xml:space="preserve"> considered at the July 2016 PBAC meeting.</w:t>
      </w:r>
    </w:p>
    <w:p w:rsidR="00DC06C4" w:rsidRPr="00082954" w:rsidRDefault="00DC06C4" w:rsidP="00DC06C4">
      <w:pPr>
        <w:pStyle w:val="ListParagraph"/>
        <w:rPr>
          <w:szCs w:val="22"/>
        </w:rPr>
      </w:pPr>
    </w:p>
    <w:p w:rsidR="007E2C2F" w:rsidRPr="00082954" w:rsidRDefault="00DC06C4" w:rsidP="00F86C79">
      <w:pPr>
        <w:pStyle w:val="ListParagraph"/>
        <w:widowControl/>
        <w:numPr>
          <w:ilvl w:val="1"/>
          <w:numId w:val="6"/>
        </w:numPr>
        <w:rPr>
          <w:szCs w:val="22"/>
        </w:rPr>
      </w:pPr>
      <w:proofErr w:type="spellStart"/>
      <w:r w:rsidRPr="00082954">
        <w:rPr>
          <w:szCs w:val="22"/>
        </w:rPr>
        <w:t>Eviplera</w:t>
      </w:r>
      <w:proofErr w:type="spellEnd"/>
      <w:r w:rsidRPr="00082954">
        <w:rPr>
          <w:szCs w:val="22"/>
          <w:vertAlign w:val="superscript"/>
        </w:rPr>
        <w:t>®</w:t>
      </w:r>
      <w:r w:rsidRPr="00082954">
        <w:rPr>
          <w:szCs w:val="22"/>
        </w:rPr>
        <w:t xml:space="preserve"> </w:t>
      </w:r>
      <w:r w:rsidR="002B0A34" w:rsidRPr="00082954">
        <w:rPr>
          <w:szCs w:val="22"/>
        </w:rPr>
        <w:t xml:space="preserve">was recommended by the PBAC in November 2011 on the basis of a cost-minimisation analysis compared with the </w:t>
      </w:r>
      <w:proofErr w:type="spellStart"/>
      <w:r w:rsidR="002B0A34" w:rsidRPr="00082954">
        <w:rPr>
          <w:szCs w:val="22"/>
        </w:rPr>
        <w:t>Atripla</w:t>
      </w:r>
      <w:proofErr w:type="spellEnd"/>
      <w:r w:rsidR="002B0A34" w:rsidRPr="00082954">
        <w:rPr>
          <w:szCs w:val="22"/>
          <w:vertAlign w:val="superscript"/>
        </w:rPr>
        <w:t>®</w:t>
      </w:r>
      <w:r w:rsidR="002B0A34" w:rsidRPr="00082954">
        <w:rPr>
          <w:szCs w:val="22"/>
        </w:rPr>
        <w:t>.</w:t>
      </w:r>
    </w:p>
    <w:p w:rsidR="007E2C2F" w:rsidRPr="00082954" w:rsidRDefault="007E2C2F" w:rsidP="007E2C2F">
      <w:pPr>
        <w:pStyle w:val="ListParagraph"/>
        <w:rPr>
          <w:szCs w:val="22"/>
        </w:rPr>
      </w:pPr>
    </w:p>
    <w:p w:rsidR="00E55BB5" w:rsidRDefault="002B0A34" w:rsidP="00F86C79">
      <w:pPr>
        <w:pStyle w:val="ListParagraph"/>
        <w:widowControl/>
        <w:numPr>
          <w:ilvl w:val="1"/>
          <w:numId w:val="6"/>
        </w:numPr>
        <w:rPr>
          <w:szCs w:val="22"/>
        </w:rPr>
      </w:pPr>
      <w:proofErr w:type="spellStart"/>
      <w:r w:rsidRPr="00082954">
        <w:rPr>
          <w:szCs w:val="22"/>
        </w:rPr>
        <w:t>Genvoya</w:t>
      </w:r>
      <w:proofErr w:type="spellEnd"/>
      <w:r w:rsidRPr="00082954">
        <w:rPr>
          <w:szCs w:val="22"/>
          <w:vertAlign w:val="superscript"/>
        </w:rPr>
        <w:t>®</w:t>
      </w:r>
      <w:r w:rsidRPr="00082954">
        <w:rPr>
          <w:szCs w:val="22"/>
        </w:rPr>
        <w:t xml:space="preserve"> was recommended by the PBAC in November 2015 on the basis of a cost-minimisation analysis to </w:t>
      </w:r>
      <w:proofErr w:type="spellStart"/>
      <w:r w:rsidRPr="00082954">
        <w:rPr>
          <w:szCs w:val="22"/>
        </w:rPr>
        <w:t>Stribild</w:t>
      </w:r>
      <w:proofErr w:type="spellEnd"/>
      <w:r w:rsidRPr="00082954">
        <w:rPr>
          <w:szCs w:val="22"/>
          <w:vertAlign w:val="superscript"/>
        </w:rPr>
        <w:t>®</w:t>
      </w:r>
      <w:proofErr w:type="gramStart"/>
      <w:r w:rsidRPr="00082954">
        <w:rPr>
          <w:szCs w:val="22"/>
        </w:rPr>
        <w:t xml:space="preserve">.  </w:t>
      </w:r>
      <w:proofErr w:type="gramEnd"/>
      <w:r w:rsidRPr="00082954">
        <w:rPr>
          <w:szCs w:val="22"/>
        </w:rPr>
        <w:t xml:space="preserve">On the basis of a claim of favourable safety, the Sponsor requested that the </w:t>
      </w:r>
      <w:r w:rsidR="00F86C79" w:rsidRPr="00082954">
        <w:rPr>
          <w:szCs w:val="22"/>
        </w:rPr>
        <w:t>PBAC provide advice</w:t>
      </w:r>
      <w:r w:rsidRPr="00082954">
        <w:rPr>
          <w:szCs w:val="22"/>
        </w:rPr>
        <w:t xml:space="preserve"> under Section 101(4AC) of the </w:t>
      </w:r>
      <w:r w:rsidR="005D70F6">
        <w:rPr>
          <w:szCs w:val="22"/>
        </w:rPr>
        <w:t>Act</w:t>
      </w:r>
      <w:proofErr w:type="gramStart"/>
      <w:r w:rsidRPr="00082954">
        <w:rPr>
          <w:szCs w:val="22"/>
        </w:rPr>
        <w:t xml:space="preserve">.  </w:t>
      </w:r>
      <w:proofErr w:type="gramEnd"/>
      <w:r w:rsidRPr="00082954">
        <w:rPr>
          <w:szCs w:val="22"/>
        </w:rPr>
        <w:t xml:space="preserve">The PBAC </w:t>
      </w:r>
      <w:r w:rsidR="00F86C79" w:rsidRPr="00082954">
        <w:rPr>
          <w:szCs w:val="22"/>
        </w:rPr>
        <w:t>decided it was not satisfied as required by subsection 101(4AC).</w:t>
      </w:r>
    </w:p>
    <w:p w:rsidR="00585BB3" w:rsidRPr="00585BB3" w:rsidRDefault="00585BB3" w:rsidP="00585BB3">
      <w:pPr>
        <w:pStyle w:val="ListParagraph"/>
        <w:rPr>
          <w:szCs w:val="22"/>
        </w:rPr>
      </w:pPr>
    </w:p>
    <w:p w:rsidR="007E2C2F" w:rsidRPr="00082954" w:rsidRDefault="007E2C2F" w:rsidP="00155216">
      <w:pPr>
        <w:ind w:firstLine="720"/>
      </w:pPr>
    </w:p>
    <w:p w:rsidR="00F378BB" w:rsidRDefault="00F378BB">
      <w:pPr>
        <w:widowControl/>
        <w:jc w:val="left"/>
        <w:rPr>
          <w:b/>
          <w:szCs w:val="22"/>
        </w:rPr>
      </w:pPr>
      <w:bookmarkStart w:id="4" w:name="_Toc451425479"/>
      <w:r>
        <w:br w:type="page"/>
      </w:r>
    </w:p>
    <w:p w:rsidR="00B50DB8" w:rsidRPr="00082954" w:rsidRDefault="00B50DB8" w:rsidP="00495439">
      <w:pPr>
        <w:pStyle w:val="Heading2"/>
      </w:pPr>
      <w:r w:rsidRPr="00082954">
        <w:lastRenderedPageBreak/>
        <w:t>Clinical place for the proposed therapy</w:t>
      </w:r>
      <w:bookmarkEnd w:id="4"/>
    </w:p>
    <w:p w:rsidR="00B60939" w:rsidRPr="00082954" w:rsidRDefault="00B60939" w:rsidP="00B60939">
      <w:pPr>
        <w:rPr>
          <w:szCs w:val="22"/>
        </w:rPr>
      </w:pPr>
    </w:p>
    <w:p w:rsidR="0054484D" w:rsidRPr="00082954" w:rsidRDefault="00883B17" w:rsidP="00F43BB4">
      <w:pPr>
        <w:pStyle w:val="ListParagraph"/>
        <w:widowControl/>
        <w:numPr>
          <w:ilvl w:val="1"/>
          <w:numId w:val="6"/>
        </w:numPr>
        <w:rPr>
          <w:szCs w:val="22"/>
        </w:rPr>
      </w:pPr>
      <w:r w:rsidRPr="00082954">
        <w:t xml:space="preserve">An antiretroviral therapy (ART) regimen for a treatment-naive HIV-positive patient generally consists of two </w:t>
      </w:r>
      <w:r w:rsidR="00231E32" w:rsidRPr="00082954">
        <w:t>nucleoside/nucleotide reverse transcriptase inhibitors (</w:t>
      </w:r>
      <w:r w:rsidRPr="00082954">
        <w:t>NRTIs</w:t>
      </w:r>
      <w:r w:rsidR="00231E32" w:rsidRPr="00082954">
        <w:t>)</w:t>
      </w:r>
      <w:r w:rsidR="003E2C6C" w:rsidRPr="00082954">
        <w:t>,</w:t>
      </w:r>
      <w:r w:rsidRPr="00082954">
        <w:t xml:space="preserve"> one of which is </w:t>
      </w:r>
      <w:proofErr w:type="spellStart"/>
      <w:r w:rsidRPr="00082954">
        <w:t>emtricitabine</w:t>
      </w:r>
      <w:proofErr w:type="spellEnd"/>
      <w:r w:rsidRPr="00082954">
        <w:t xml:space="preserve"> or lamivudine</w:t>
      </w:r>
      <w:r w:rsidR="003E2C6C" w:rsidRPr="00082954">
        <w:t>,</w:t>
      </w:r>
      <w:r w:rsidRPr="00082954">
        <w:t xml:space="preserve"> plus an integrase strand transfer inhibitor, a </w:t>
      </w:r>
      <w:r w:rsidR="00F8421C" w:rsidRPr="00082954">
        <w:t>non-nucleoside reverse transcriptase inhibitor (</w:t>
      </w:r>
      <w:r w:rsidRPr="00082954">
        <w:t>NNRTI</w:t>
      </w:r>
      <w:r w:rsidR="00F8421C" w:rsidRPr="00082954">
        <w:t>)</w:t>
      </w:r>
      <w:r w:rsidRPr="00082954">
        <w:t>, or a protease inhibitor with a pharmacokinetic enhancer.</w:t>
      </w:r>
      <w:r w:rsidR="002348F9" w:rsidRPr="00082954">
        <w:t xml:space="preserve"> </w:t>
      </w:r>
      <w:r w:rsidR="0065263C" w:rsidRPr="00082954">
        <w:t xml:space="preserve">The </w:t>
      </w:r>
      <w:r w:rsidR="00B64643" w:rsidRPr="00082954">
        <w:t xml:space="preserve">Australian commentary on the US Department of Health and Human Services Guidelines for the use of Antiretroviral Agents in HIV-1-Infected Adults and Adolescents </w:t>
      </w:r>
      <w:r w:rsidR="00621FA7" w:rsidRPr="00082954">
        <w:t>(201</w:t>
      </w:r>
      <w:r w:rsidR="00F43BB4" w:rsidRPr="00082954">
        <w:t>5</w:t>
      </w:r>
      <w:r w:rsidR="00B64643" w:rsidRPr="00082954">
        <w:t xml:space="preserve">) </w:t>
      </w:r>
      <w:r w:rsidR="0033140E" w:rsidRPr="00082954">
        <w:t>by the Australasian Society for HIV Medicine (ASHM)</w:t>
      </w:r>
      <w:r w:rsidR="009E502D" w:rsidRPr="00082954">
        <w:t xml:space="preserve"> </w:t>
      </w:r>
      <w:r w:rsidR="0065263C" w:rsidRPr="00082954">
        <w:t>ha</w:t>
      </w:r>
      <w:r w:rsidR="00A14574" w:rsidRPr="00082954">
        <w:t>s</w:t>
      </w:r>
      <w:r w:rsidR="0065263C" w:rsidRPr="00082954">
        <w:t xml:space="preserve"> ‘recommended’, ‘alternative’, </w:t>
      </w:r>
      <w:r w:rsidR="001E255F" w:rsidRPr="00082954">
        <w:t>and</w:t>
      </w:r>
      <w:r w:rsidR="0065263C" w:rsidRPr="00082954">
        <w:t xml:space="preserve"> ‘other’ regimens. </w:t>
      </w:r>
      <w:r w:rsidR="002B0A34" w:rsidRPr="00082954">
        <w:rPr>
          <w:szCs w:val="22"/>
        </w:rPr>
        <w:t xml:space="preserve">The guidelines recommend expert advice in assessing and managing a treatment-experienced patient experiencing ART failure. </w:t>
      </w:r>
      <w:r w:rsidR="002B0A34" w:rsidRPr="00082954">
        <w:t>A new regimen should include at least two, preferably three, fully active agents.</w:t>
      </w:r>
    </w:p>
    <w:p w:rsidR="0054484D" w:rsidRPr="00082954" w:rsidRDefault="0054484D" w:rsidP="0054484D">
      <w:pPr>
        <w:pStyle w:val="ListParagraph"/>
      </w:pPr>
    </w:p>
    <w:p w:rsidR="00B60939" w:rsidRPr="004E4049" w:rsidRDefault="00527A56" w:rsidP="006423EA">
      <w:pPr>
        <w:pStyle w:val="ListParagraph"/>
        <w:widowControl/>
        <w:numPr>
          <w:ilvl w:val="1"/>
          <w:numId w:val="6"/>
        </w:numPr>
        <w:rPr>
          <w:szCs w:val="22"/>
        </w:rPr>
      </w:pPr>
      <w:proofErr w:type="spellStart"/>
      <w:r w:rsidRPr="00082954">
        <w:t>Eviplera</w:t>
      </w:r>
      <w:proofErr w:type="spellEnd"/>
      <w:r w:rsidRPr="00082954">
        <w:rPr>
          <w:vertAlign w:val="superscript"/>
        </w:rPr>
        <w:t>®</w:t>
      </w:r>
      <w:r w:rsidR="00273DD4" w:rsidRPr="00082954">
        <w:t xml:space="preserve"> which has an NNRTI as the third agent,</w:t>
      </w:r>
      <w:r w:rsidRPr="00082954">
        <w:t xml:space="preserve"> is an ‘alternative’ regimen for patients with pre-treatment HIV </w:t>
      </w:r>
      <w:r w:rsidR="00FC3688" w:rsidRPr="00082954">
        <w:t>ribonucleic acid (</w:t>
      </w:r>
      <w:r w:rsidRPr="00082954">
        <w:t>RNA</w:t>
      </w:r>
      <w:r w:rsidR="00FC3688" w:rsidRPr="00082954">
        <w:t>)</w:t>
      </w:r>
      <w:r w:rsidRPr="00082954">
        <w:t xml:space="preserve"> &lt;100,000 copies/mL </w:t>
      </w:r>
      <w:r w:rsidR="00CC67D3">
        <w:t>and</w:t>
      </w:r>
      <w:r w:rsidR="00CC67D3" w:rsidRPr="00082954">
        <w:t xml:space="preserve"> </w:t>
      </w:r>
      <w:r w:rsidR="00013A8F" w:rsidRPr="00082954">
        <w:t>CD4 T-lymphocytes (</w:t>
      </w:r>
      <w:r w:rsidRPr="00082954">
        <w:t>CD4</w:t>
      </w:r>
      <w:r w:rsidR="005700EB" w:rsidRPr="00082954">
        <w:t xml:space="preserve"> cell</w:t>
      </w:r>
      <w:r w:rsidR="00013A8F" w:rsidRPr="00082954">
        <w:t>)</w:t>
      </w:r>
      <w:r w:rsidRPr="00082954">
        <w:t xml:space="preserve"> count &gt;200 cells/mm</w:t>
      </w:r>
      <w:r w:rsidRPr="00082954">
        <w:rPr>
          <w:vertAlign w:val="superscript"/>
        </w:rPr>
        <w:t>3</w:t>
      </w:r>
      <w:r w:rsidRPr="00082954">
        <w:t>.</w:t>
      </w:r>
      <w:r w:rsidR="006F02C7" w:rsidRPr="00082954">
        <w:t xml:space="preserve"> </w:t>
      </w:r>
      <w:r w:rsidR="006F02C7" w:rsidRPr="00082954">
        <w:rPr>
          <w:iCs/>
        </w:rPr>
        <w:t xml:space="preserve">The submission </w:t>
      </w:r>
      <w:r w:rsidR="006B6ACF" w:rsidRPr="00082954">
        <w:rPr>
          <w:iCs/>
        </w:rPr>
        <w:t>state</w:t>
      </w:r>
      <w:r w:rsidR="00A53D47" w:rsidRPr="00082954">
        <w:rPr>
          <w:iCs/>
        </w:rPr>
        <w:t>d that</w:t>
      </w:r>
      <w:r w:rsidR="006B6ACF" w:rsidRPr="00082954">
        <w:rPr>
          <w:iCs/>
        </w:rPr>
        <w:t xml:space="preserve"> </w:t>
      </w:r>
      <w:proofErr w:type="spellStart"/>
      <w:r w:rsidR="00AA7A0C" w:rsidRPr="004E4049">
        <w:rPr>
          <w:iCs/>
        </w:rPr>
        <w:t>Odefsey</w:t>
      </w:r>
      <w:proofErr w:type="spellEnd"/>
      <w:r w:rsidR="00AA7A0C" w:rsidRPr="004E4049">
        <w:rPr>
          <w:iCs/>
          <w:vertAlign w:val="superscript"/>
        </w:rPr>
        <w:t>®</w:t>
      </w:r>
      <w:r w:rsidR="00AA7A0C" w:rsidRPr="004E4049">
        <w:rPr>
          <w:iCs/>
        </w:rPr>
        <w:t xml:space="preserve"> </w:t>
      </w:r>
      <w:r w:rsidR="00A53D47" w:rsidRPr="004E4049">
        <w:rPr>
          <w:iCs/>
        </w:rPr>
        <w:t>would substitute for</w:t>
      </w:r>
      <w:r w:rsidR="00625E51" w:rsidRPr="004E4049">
        <w:rPr>
          <w:iCs/>
        </w:rPr>
        <w:t xml:space="preserve"> </w:t>
      </w:r>
      <w:proofErr w:type="spellStart"/>
      <w:r w:rsidR="00625E51" w:rsidRPr="004E4049">
        <w:rPr>
          <w:iCs/>
        </w:rPr>
        <w:t>Eviplera</w:t>
      </w:r>
      <w:proofErr w:type="spellEnd"/>
      <w:r w:rsidR="00625E51" w:rsidRPr="004E4049">
        <w:rPr>
          <w:iCs/>
          <w:vertAlign w:val="superscript"/>
        </w:rPr>
        <w:t>®</w:t>
      </w:r>
      <w:r w:rsidR="00A53D47" w:rsidRPr="004E4049">
        <w:rPr>
          <w:iCs/>
        </w:rPr>
        <w:t>.</w:t>
      </w:r>
      <w:r w:rsidR="00AA7A0C" w:rsidRPr="004E4049">
        <w:rPr>
          <w:iCs/>
        </w:rPr>
        <w:t xml:space="preserve"> </w:t>
      </w:r>
    </w:p>
    <w:p w:rsidR="00585BB3" w:rsidRPr="004E4049" w:rsidRDefault="00585BB3" w:rsidP="00585BB3">
      <w:pPr>
        <w:pStyle w:val="ListParagraph"/>
        <w:rPr>
          <w:szCs w:val="22"/>
        </w:rPr>
      </w:pPr>
    </w:p>
    <w:p w:rsidR="00585BB3" w:rsidRPr="004E4049" w:rsidRDefault="00585BB3" w:rsidP="00585BB3">
      <w:pPr>
        <w:ind w:firstLine="720"/>
        <w:rPr>
          <w:bCs/>
          <w:szCs w:val="22"/>
        </w:rPr>
      </w:pPr>
      <w:r w:rsidRPr="004E4049">
        <w:rPr>
          <w:bCs/>
          <w:i/>
          <w:szCs w:val="22"/>
        </w:rPr>
        <w:t>For more detail on PBAC’s view, see section 7 “PBAC outcome”</w:t>
      </w:r>
    </w:p>
    <w:p w:rsidR="00F378BB" w:rsidRPr="00553B67" w:rsidRDefault="00F378BB" w:rsidP="00553B67">
      <w:pPr>
        <w:rPr>
          <w:szCs w:val="22"/>
        </w:rPr>
      </w:pPr>
    </w:p>
    <w:p w:rsidR="00B50DB8" w:rsidRPr="004E4049" w:rsidRDefault="00B50DB8" w:rsidP="00495439">
      <w:pPr>
        <w:pStyle w:val="Heading2"/>
      </w:pPr>
      <w:r w:rsidRPr="004E4049">
        <w:t>Comparator</w:t>
      </w:r>
    </w:p>
    <w:p w:rsidR="00B60939" w:rsidRPr="004E4049" w:rsidRDefault="00B60939" w:rsidP="004B1CB4"/>
    <w:p w:rsidR="00FD31D7" w:rsidRPr="004E4049" w:rsidRDefault="005B559B" w:rsidP="00CC67D3">
      <w:pPr>
        <w:pStyle w:val="ListParagraph"/>
        <w:widowControl/>
        <w:numPr>
          <w:ilvl w:val="1"/>
          <w:numId w:val="6"/>
        </w:numPr>
        <w:rPr>
          <w:szCs w:val="22"/>
        </w:rPr>
      </w:pPr>
      <w:proofErr w:type="spellStart"/>
      <w:r w:rsidRPr="004E4049">
        <w:t>Eviplera</w:t>
      </w:r>
      <w:proofErr w:type="spellEnd"/>
      <w:r w:rsidRPr="004E4049">
        <w:rPr>
          <w:vertAlign w:val="superscript"/>
        </w:rPr>
        <w:t>®</w:t>
      </w:r>
      <w:r w:rsidR="00F067A2" w:rsidRPr="004E4049">
        <w:t xml:space="preserve">. </w:t>
      </w:r>
      <w:r w:rsidR="007C2BE8" w:rsidRPr="004E4049">
        <w:t>Th</w:t>
      </w:r>
      <w:r w:rsidR="005D70F6" w:rsidRPr="004E4049">
        <w:t xml:space="preserve">e PBAC </w:t>
      </w:r>
      <w:r w:rsidR="005A3BD5" w:rsidRPr="004E4049">
        <w:t>noted that there are a number of</w:t>
      </w:r>
      <w:r w:rsidR="00FD31D7" w:rsidRPr="004E4049">
        <w:t xml:space="preserve"> single table</w:t>
      </w:r>
      <w:r w:rsidR="00521DD0" w:rsidRPr="004E4049">
        <w:t>t</w:t>
      </w:r>
      <w:r w:rsidR="00FD31D7" w:rsidRPr="004E4049">
        <w:t xml:space="preserve"> fixed dose combination medicines listed on the PBS</w:t>
      </w:r>
      <w:r w:rsidR="00521DD0" w:rsidRPr="004E4049">
        <w:t xml:space="preserve"> for HIV</w:t>
      </w:r>
      <w:r w:rsidR="00FD31D7" w:rsidRPr="004E4049">
        <w:t xml:space="preserve"> which </w:t>
      </w:r>
      <w:proofErr w:type="spellStart"/>
      <w:r w:rsidR="00FD31D7" w:rsidRPr="004E4049">
        <w:t>Odefsey</w:t>
      </w:r>
      <w:proofErr w:type="spellEnd"/>
      <w:r w:rsidR="00FD31D7" w:rsidRPr="004E4049">
        <w:t xml:space="preserve"> could potentially replace including </w:t>
      </w:r>
      <w:proofErr w:type="spellStart"/>
      <w:r w:rsidR="00F24F28" w:rsidRPr="004E4049">
        <w:t>Atripla</w:t>
      </w:r>
      <w:proofErr w:type="spellEnd"/>
      <w:r w:rsidR="00F24F28" w:rsidRPr="004E4049">
        <w:rPr>
          <w:vertAlign w:val="superscript"/>
        </w:rPr>
        <w:t>®</w:t>
      </w:r>
      <w:r w:rsidR="00521DD0" w:rsidRPr="004E4049">
        <w:t xml:space="preserve">, but agreed with the pre-PBAC response that </w:t>
      </w:r>
      <w:r w:rsidR="004E4049" w:rsidRPr="004E4049">
        <w:t xml:space="preserve">both </w:t>
      </w:r>
      <w:proofErr w:type="spellStart"/>
      <w:r w:rsidR="00155216" w:rsidRPr="004E4049">
        <w:t>Odefsey</w:t>
      </w:r>
      <w:proofErr w:type="spellEnd"/>
      <w:r w:rsidR="00155216" w:rsidRPr="004E4049">
        <w:t xml:space="preserve"> and </w:t>
      </w:r>
      <w:proofErr w:type="spellStart"/>
      <w:r w:rsidR="00155216" w:rsidRPr="004E4049">
        <w:t>Eviple</w:t>
      </w:r>
      <w:r w:rsidR="00521DD0" w:rsidRPr="004E4049">
        <w:t>r</w:t>
      </w:r>
      <w:r w:rsidR="00155216" w:rsidRPr="004E4049">
        <w:t>a</w:t>
      </w:r>
      <w:proofErr w:type="spellEnd"/>
      <w:r w:rsidR="00521DD0" w:rsidRPr="004E4049">
        <w:t xml:space="preserve"> are distinct from the other PBS-listed single tablet fixed dose combination medicines with regard to a maximum limit for baseline viral load</w:t>
      </w:r>
      <w:r w:rsidR="00CC67D3" w:rsidRPr="00CC67D3">
        <w:t xml:space="preserve"> and requirement for dosing with meals</w:t>
      </w:r>
      <w:r w:rsidR="00521DD0" w:rsidRPr="004E4049">
        <w:t>, which means that they are unlikely to be widely prescribed in place of other single tablet fixed dose combination medicines to which this requirement does not apply.</w:t>
      </w:r>
    </w:p>
    <w:p w:rsidR="00FD31D7" w:rsidRPr="004E4049" w:rsidRDefault="00FD31D7" w:rsidP="00521DD0">
      <w:pPr>
        <w:pStyle w:val="ListParagraph"/>
        <w:widowControl/>
        <w:rPr>
          <w:szCs w:val="22"/>
        </w:rPr>
      </w:pPr>
    </w:p>
    <w:p w:rsidR="00585BB3" w:rsidRPr="004E4049" w:rsidRDefault="00A759CD" w:rsidP="00585BB3">
      <w:pPr>
        <w:pStyle w:val="ListParagraph"/>
        <w:widowControl/>
        <w:numPr>
          <w:ilvl w:val="1"/>
          <w:numId w:val="6"/>
        </w:numPr>
        <w:rPr>
          <w:szCs w:val="22"/>
        </w:rPr>
      </w:pPr>
      <w:r w:rsidRPr="004E4049">
        <w:rPr>
          <w:szCs w:val="22"/>
        </w:rPr>
        <w:t xml:space="preserve">The submission </w:t>
      </w:r>
      <w:r w:rsidR="00260ACE" w:rsidRPr="004E4049">
        <w:rPr>
          <w:szCs w:val="22"/>
        </w:rPr>
        <w:t xml:space="preserve">also </w:t>
      </w:r>
      <w:r w:rsidRPr="004E4049">
        <w:rPr>
          <w:szCs w:val="22"/>
        </w:rPr>
        <w:t xml:space="preserve">nominated multi-tablet ART regimens without </w:t>
      </w:r>
      <w:proofErr w:type="spellStart"/>
      <w:r w:rsidRPr="004E4049">
        <w:rPr>
          <w:szCs w:val="22"/>
        </w:rPr>
        <w:t>tenofovir</w:t>
      </w:r>
      <w:proofErr w:type="spellEnd"/>
      <w:r w:rsidRPr="004E4049">
        <w:rPr>
          <w:szCs w:val="22"/>
        </w:rPr>
        <w:t xml:space="preserve"> </w:t>
      </w:r>
      <w:proofErr w:type="spellStart"/>
      <w:r w:rsidRPr="004E4049">
        <w:rPr>
          <w:szCs w:val="22"/>
        </w:rPr>
        <w:t>alafenamide</w:t>
      </w:r>
      <w:proofErr w:type="spellEnd"/>
      <w:r w:rsidRPr="004E4049">
        <w:rPr>
          <w:szCs w:val="22"/>
        </w:rPr>
        <w:t xml:space="preserve"> in the NRTI backbone as ‘alternative therapies’ for the purposes of the request under Subsection 101(4AC) of the </w:t>
      </w:r>
      <w:r w:rsidR="005D70F6" w:rsidRPr="004E4049">
        <w:rPr>
          <w:iCs/>
          <w:szCs w:val="22"/>
        </w:rPr>
        <w:t>Act</w:t>
      </w:r>
      <w:r w:rsidRPr="004E4049">
        <w:rPr>
          <w:szCs w:val="22"/>
        </w:rPr>
        <w:t xml:space="preserve">. The submission further refined the definition of the NRTI backbone to </w:t>
      </w:r>
      <w:r w:rsidR="00234B8A" w:rsidRPr="004E4049">
        <w:rPr>
          <w:szCs w:val="22"/>
        </w:rPr>
        <w:t xml:space="preserve">the </w:t>
      </w:r>
      <w:proofErr w:type="spellStart"/>
      <w:r w:rsidR="00234B8A" w:rsidRPr="004E4049">
        <w:rPr>
          <w:szCs w:val="22"/>
        </w:rPr>
        <w:t>abacavir</w:t>
      </w:r>
      <w:proofErr w:type="spellEnd"/>
      <w:r w:rsidR="00234B8A" w:rsidRPr="004E4049">
        <w:rPr>
          <w:szCs w:val="22"/>
        </w:rPr>
        <w:t xml:space="preserve"> plus </w:t>
      </w:r>
      <w:r w:rsidRPr="004E4049">
        <w:rPr>
          <w:szCs w:val="22"/>
        </w:rPr>
        <w:t>lamivudine</w:t>
      </w:r>
      <w:r w:rsidR="00FA1AE7" w:rsidRPr="004E4049">
        <w:rPr>
          <w:szCs w:val="22"/>
        </w:rPr>
        <w:t xml:space="preserve"> FDC</w:t>
      </w:r>
      <w:r w:rsidRPr="004E4049">
        <w:rPr>
          <w:szCs w:val="22"/>
        </w:rPr>
        <w:t xml:space="preserve"> (</w:t>
      </w:r>
      <w:proofErr w:type="spellStart"/>
      <w:r w:rsidRPr="004E4049">
        <w:rPr>
          <w:szCs w:val="22"/>
        </w:rPr>
        <w:t>Kivexa</w:t>
      </w:r>
      <w:proofErr w:type="spellEnd"/>
      <w:r w:rsidRPr="004E4049">
        <w:rPr>
          <w:szCs w:val="22"/>
          <w:vertAlign w:val="superscript"/>
        </w:rPr>
        <w:t>®</w:t>
      </w:r>
      <w:r w:rsidRPr="004E4049">
        <w:rPr>
          <w:szCs w:val="22"/>
        </w:rPr>
        <w:t xml:space="preserve">) and </w:t>
      </w:r>
      <w:proofErr w:type="spellStart"/>
      <w:r w:rsidR="00234B8A" w:rsidRPr="004E4049">
        <w:rPr>
          <w:szCs w:val="22"/>
        </w:rPr>
        <w:t>emtricitabine</w:t>
      </w:r>
      <w:proofErr w:type="spellEnd"/>
      <w:r w:rsidR="00234B8A" w:rsidRPr="004E4049">
        <w:rPr>
          <w:szCs w:val="22"/>
        </w:rPr>
        <w:t xml:space="preserve"> plus </w:t>
      </w:r>
      <w:proofErr w:type="spellStart"/>
      <w:r w:rsidRPr="004E4049">
        <w:rPr>
          <w:szCs w:val="22"/>
        </w:rPr>
        <w:t>tenofovir</w:t>
      </w:r>
      <w:proofErr w:type="spellEnd"/>
      <w:r w:rsidRPr="004E4049">
        <w:rPr>
          <w:szCs w:val="22"/>
        </w:rPr>
        <w:t xml:space="preserve"> </w:t>
      </w:r>
      <w:proofErr w:type="spellStart"/>
      <w:r w:rsidRPr="004E4049">
        <w:rPr>
          <w:szCs w:val="22"/>
        </w:rPr>
        <w:t>disoproxil</w:t>
      </w:r>
      <w:proofErr w:type="spellEnd"/>
      <w:r w:rsidRPr="004E4049">
        <w:rPr>
          <w:szCs w:val="22"/>
        </w:rPr>
        <w:t xml:space="preserve"> </w:t>
      </w:r>
      <w:proofErr w:type="spellStart"/>
      <w:r w:rsidRPr="004E4049">
        <w:rPr>
          <w:szCs w:val="22"/>
        </w:rPr>
        <w:t>fumarate</w:t>
      </w:r>
      <w:proofErr w:type="spellEnd"/>
      <w:r w:rsidRPr="004E4049">
        <w:rPr>
          <w:szCs w:val="22"/>
        </w:rPr>
        <w:t xml:space="preserve"> </w:t>
      </w:r>
      <w:r w:rsidR="00FA1AE7" w:rsidRPr="004E4049">
        <w:rPr>
          <w:szCs w:val="22"/>
        </w:rPr>
        <w:t xml:space="preserve">FDC </w:t>
      </w:r>
      <w:r w:rsidRPr="004E4049">
        <w:rPr>
          <w:szCs w:val="22"/>
        </w:rPr>
        <w:t>(</w:t>
      </w:r>
      <w:proofErr w:type="spellStart"/>
      <w:r w:rsidRPr="004E4049">
        <w:rPr>
          <w:szCs w:val="22"/>
        </w:rPr>
        <w:t>Truvada</w:t>
      </w:r>
      <w:proofErr w:type="spellEnd"/>
      <w:r w:rsidRPr="004E4049">
        <w:rPr>
          <w:szCs w:val="22"/>
          <w:vertAlign w:val="superscript"/>
        </w:rPr>
        <w:t>®</w:t>
      </w:r>
      <w:r w:rsidRPr="004E4049">
        <w:rPr>
          <w:szCs w:val="22"/>
        </w:rPr>
        <w:t xml:space="preserve">), with </w:t>
      </w:r>
      <w:proofErr w:type="spellStart"/>
      <w:r w:rsidRPr="004E4049">
        <w:rPr>
          <w:szCs w:val="22"/>
        </w:rPr>
        <w:t>Truvada</w:t>
      </w:r>
      <w:proofErr w:type="spellEnd"/>
      <w:r w:rsidRPr="004E4049">
        <w:rPr>
          <w:szCs w:val="22"/>
          <w:vertAlign w:val="superscript"/>
        </w:rPr>
        <w:t>®</w:t>
      </w:r>
      <w:r w:rsidRPr="004E4049">
        <w:rPr>
          <w:szCs w:val="22"/>
        </w:rPr>
        <w:t xml:space="preserve"> being suitable for patients with a HLA-B*5701 allele (which increases the risk of hypersensitivity reactions to </w:t>
      </w:r>
      <w:proofErr w:type="spellStart"/>
      <w:r w:rsidRPr="004E4049">
        <w:rPr>
          <w:szCs w:val="22"/>
        </w:rPr>
        <w:t>abacavir</w:t>
      </w:r>
      <w:proofErr w:type="spellEnd"/>
      <w:r w:rsidRPr="004E4049">
        <w:rPr>
          <w:szCs w:val="22"/>
        </w:rPr>
        <w:t xml:space="preserve">). The main arguments provided were that the requirement of the </w:t>
      </w:r>
      <w:r w:rsidRPr="004E4049">
        <w:rPr>
          <w:iCs/>
          <w:szCs w:val="22"/>
        </w:rPr>
        <w:t>Act</w:t>
      </w:r>
      <w:r w:rsidRPr="004E4049">
        <w:rPr>
          <w:szCs w:val="22"/>
        </w:rPr>
        <w:t xml:space="preserve"> draws a distinction between ‘therapy involving a combination item’ and ‘alternative therapies’, which </w:t>
      </w:r>
      <w:r w:rsidR="00CB6E68" w:rsidRPr="004E4049">
        <w:rPr>
          <w:szCs w:val="22"/>
        </w:rPr>
        <w:t xml:space="preserve">was </w:t>
      </w:r>
      <w:r w:rsidRPr="004E4049">
        <w:rPr>
          <w:szCs w:val="22"/>
        </w:rPr>
        <w:t xml:space="preserve">interpreted as requesting a comparison of the combination product versus alternative therapies that do not meet the definition of a combination product (i.e. multi-tablet regimens). The submission further argued that the alternative therapies were multi-tablet regimens with </w:t>
      </w:r>
      <w:r w:rsidR="009C57B6" w:rsidRPr="004E4049">
        <w:rPr>
          <w:szCs w:val="22"/>
        </w:rPr>
        <w:t xml:space="preserve">NRTI </w:t>
      </w:r>
      <w:r w:rsidRPr="004E4049">
        <w:rPr>
          <w:szCs w:val="22"/>
        </w:rPr>
        <w:t xml:space="preserve">backbones excluding </w:t>
      </w:r>
      <w:proofErr w:type="spellStart"/>
      <w:r w:rsidRPr="004E4049">
        <w:rPr>
          <w:szCs w:val="22"/>
        </w:rPr>
        <w:t>tenofovir</w:t>
      </w:r>
      <w:proofErr w:type="spellEnd"/>
      <w:r w:rsidRPr="004E4049">
        <w:rPr>
          <w:szCs w:val="22"/>
        </w:rPr>
        <w:t xml:space="preserve"> </w:t>
      </w:r>
      <w:proofErr w:type="spellStart"/>
      <w:r w:rsidRPr="004E4049">
        <w:rPr>
          <w:szCs w:val="22"/>
        </w:rPr>
        <w:t>alafenamide</w:t>
      </w:r>
      <w:proofErr w:type="spellEnd"/>
      <w:r w:rsidRPr="004E4049">
        <w:rPr>
          <w:szCs w:val="22"/>
        </w:rPr>
        <w:t xml:space="preserve">, as </w:t>
      </w:r>
      <w:proofErr w:type="spellStart"/>
      <w:r w:rsidRPr="004E4049">
        <w:rPr>
          <w:szCs w:val="22"/>
        </w:rPr>
        <w:t>tenofovir</w:t>
      </w:r>
      <w:proofErr w:type="spellEnd"/>
      <w:r w:rsidRPr="004E4049">
        <w:rPr>
          <w:szCs w:val="22"/>
        </w:rPr>
        <w:t xml:space="preserve"> </w:t>
      </w:r>
      <w:proofErr w:type="spellStart"/>
      <w:r w:rsidRPr="004E4049">
        <w:rPr>
          <w:szCs w:val="22"/>
        </w:rPr>
        <w:t>alafenami</w:t>
      </w:r>
      <w:r w:rsidR="00DE56FA" w:rsidRPr="004E4049">
        <w:rPr>
          <w:szCs w:val="22"/>
        </w:rPr>
        <w:t>de</w:t>
      </w:r>
      <w:proofErr w:type="spellEnd"/>
      <w:r w:rsidR="00DE56FA" w:rsidRPr="004E4049">
        <w:rPr>
          <w:szCs w:val="22"/>
        </w:rPr>
        <w:t xml:space="preserve"> is not available as a single-</w:t>
      </w:r>
      <w:r w:rsidRPr="004E4049">
        <w:rPr>
          <w:szCs w:val="22"/>
        </w:rPr>
        <w:t>entity agent.</w:t>
      </w:r>
      <w:r w:rsidR="006341BA" w:rsidRPr="004E4049">
        <w:rPr>
          <w:szCs w:val="22"/>
        </w:rPr>
        <w:t xml:space="preserve"> </w:t>
      </w:r>
      <w:r w:rsidR="00F86C79" w:rsidRPr="004E4049">
        <w:rPr>
          <w:szCs w:val="22"/>
        </w:rPr>
        <w:t xml:space="preserve">The </w:t>
      </w:r>
      <w:r w:rsidR="00F728C7" w:rsidRPr="004E4049">
        <w:rPr>
          <w:szCs w:val="22"/>
        </w:rPr>
        <w:t xml:space="preserve">evaluation noted that the </w:t>
      </w:r>
      <w:r w:rsidR="00F86C79" w:rsidRPr="004E4049">
        <w:rPr>
          <w:szCs w:val="22"/>
        </w:rPr>
        <w:t>submission’s claim that other single tablet fixed dose combination products cannot be considered as “alternative therapies” for the purposes of Section 101(4AC) is incorrect.</w:t>
      </w:r>
      <w:r w:rsidR="006341BA" w:rsidRPr="004E4049">
        <w:rPr>
          <w:iCs/>
          <w:szCs w:val="22"/>
        </w:rPr>
        <w:t xml:space="preserve"> </w:t>
      </w:r>
      <w:r w:rsidR="00F86C79" w:rsidRPr="004E4049">
        <w:rPr>
          <w:iCs/>
          <w:szCs w:val="22"/>
        </w:rPr>
        <w:t>T</w:t>
      </w:r>
      <w:r w:rsidR="006341BA" w:rsidRPr="004E4049">
        <w:rPr>
          <w:iCs/>
          <w:szCs w:val="22"/>
        </w:rPr>
        <w:t xml:space="preserve">he </w:t>
      </w:r>
      <w:r w:rsidR="002E6D8D" w:rsidRPr="004E4049">
        <w:rPr>
          <w:iCs/>
          <w:szCs w:val="22"/>
        </w:rPr>
        <w:t>PBAC ha</w:t>
      </w:r>
      <w:r w:rsidR="00F86C79" w:rsidRPr="004E4049">
        <w:rPr>
          <w:iCs/>
          <w:szCs w:val="22"/>
        </w:rPr>
        <w:t>s</w:t>
      </w:r>
      <w:r w:rsidR="002E6D8D" w:rsidRPr="004E4049">
        <w:rPr>
          <w:iCs/>
          <w:szCs w:val="22"/>
        </w:rPr>
        <w:t xml:space="preserve"> previously considered other combination products as alternative therapies when providing advice under subsection 101(4AC) of the Act (</w:t>
      </w:r>
      <w:r w:rsidR="00F86C79" w:rsidRPr="004E4049">
        <w:rPr>
          <w:iCs/>
          <w:szCs w:val="22"/>
        </w:rPr>
        <w:t xml:space="preserve">see for example </w:t>
      </w:r>
      <w:r w:rsidR="002E6D8D" w:rsidRPr="004E4049">
        <w:rPr>
          <w:iCs/>
          <w:szCs w:val="22"/>
        </w:rPr>
        <w:t xml:space="preserve">PBAC Public Summary for </w:t>
      </w:r>
      <w:proofErr w:type="spellStart"/>
      <w:r w:rsidR="002E6D8D" w:rsidRPr="004E4049">
        <w:rPr>
          <w:iCs/>
          <w:szCs w:val="22"/>
        </w:rPr>
        <w:t>Vytorin</w:t>
      </w:r>
      <w:proofErr w:type="spellEnd"/>
      <w:r w:rsidR="002E6D8D" w:rsidRPr="004E4049">
        <w:rPr>
          <w:iCs/>
          <w:szCs w:val="22"/>
          <w:vertAlign w:val="superscript"/>
        </w:rPr>
        <w:t>®</w:t>
      </w:r>
      <w:r w:rsidR="002E6D8D" w:rsidRPr="004E4049">
        <w:rPr>
          <w:iCs/>
          <w:szCs w:val="22"/>
        </w:rPr>
        <w:t xml:space="preserve"> November 2014). </w:t>
      </w:r>
    </w:p>
    <w:p w:rsidR="00155216" w:rsidRDefault="00155216" w:rsidP="00585BB3">
      <w:pPr>
        <w:pStyle w:val="PBACHeading1"/>
        <w:numPr>
          <w:ilvl w:val="0"/>
          <w:numId w:val="0"/>
        </w:numPr>
        <w:ind w:left="720"/>
        <w:rPr>
          <w:b w:val="0"/>
          <w:i/>
        </w:rPr>
      </w:pPr>
    </w:p>
    <w:p w:rsidR="00585BB3" w:rsidRPr="00585BB3" w:rsidRDefault="00585BB3" w:rsidP="00585BB3">
      <w:pPr>
        <w:pStyle w:val="PBACHeading1"/>
        <w:numPr>
          <w:ilvl w:val="0"/>
          <w:numId w:val="0"/>
        </w:numPr>
        <w:ind w:left="720"/>
        <w:rPr>
          <w:b w:val="0"/>
          <w:i/>
        </w:rPr>
      </w:pPr>
      <w:r w:rsidRPr="00D96801">
        <w:rPr>
          <w:b w:val="0"/>
          <w:i/>
        </w:rPr>
        <w:t>For more detail on PBAC’s view, see section 7 “PBAC outcome”</w:t>
      </w:r>
    </w:p>
    <w:p w:rsidR="00B60939" w:rsidRDefault="00B60939" w:rsidP="00DF5D2B">
      <w:pPr>
        <w:rPr>
          <w:szCs w:val="22"/>
        </w:rPr>
      </w:pPr>
    </w:p>
    <w:p w:rsidR="00F378BB" w:rsidRPr="00082954" w:rsidRDefault="00F378BB" w:rsidP="00DF5D2B">
      <w:pPr>
        <w:rPr>
          <w:szCs w:val="22"/>
        </w:rPr>
      </w:pPr>
    </w:p>
    <w:p w:rsidR="00B50DB8" w:rsidRDefault="00BD6CF3" w:rsidP="00495439">
      <w:pPr>
        <w:pStyle w:val="Heading2"/>
      </w:pPr>
      <w:bookmarkStart w:id="5" w:name="_Toc451425480"/>
      <w:r w:rsidRPr="00082954">
        <w:t>C</w:t>
      </w:r>
      <w:r w:rsidR="00B50DB8" w:rsidRPr="00082954">
        <w:t>onsideration of the evidence</w:t>
      </w:r>
      <w:bookmarkEnd w:id="5"/>
    </w:p>
    <w:p w:rsidR="00585BB3" w:rsidRDefault="00585BB3" w:rsidP="00585BB3">
      <w:pPr>
        <w:rPr>
          <w:b/>
          <w:bCs/>
          <w:szCs w:val="22"/>
          <w:highlight w:val="yellow"/>
        </w:rPr>
      </w:pPr>
    </w:p>
    <w:p w:rsidR="00585BB3" w:rsidRPr="00495439" w:rsidRDefault="00585BB3" w:rsidP="00495439">
      <w:pPr>
        <w:pStyle w:val="Heading3"/>
      </w:pPr>
      <w:r w:rsidRPr="00495439">
        <w:t>Sponsor hearing</w:t>
      </w:r>
    </w:p>
    <w:p w:rsidR="00585BB3" w:rsidRPr="00D96801" w:rsidRDefault="00585BB3" w:rsidP="00585BB3">
      <w:pPr>
        <w:rPr>
          <w:b/>
          <w:bCs/>
          <w:szCs w:val="22"/>
        </w:rPr>
      </w:pPr>
    </w:p>
    <w:p w:rsidR="00585BB3" w:rsidRPr="00D96801" w:rsidRDefault="00585BB3" w:rsidP="00F378BB">
      <w:pPr>
        <w:widowControl/>
        <w:numPr>
          <w:ilvl w:val="1"/>
          <w:numId w:val="6"/>
        </w:numPr>
        <w:spacing w:after="120"/>
        <w:ind w:left="709" w:hanging="709"/>
        <w:jc w:val="left"/>
        <w:rPr>
          <w:bCs/>
          <w:szCs w:val="22"/>
        </w:rPr>
      </w:pPr>
      <w:r w:rsidRPr="00D96801">
        <w:rPr>
          <w:bCs/>
          <w:szCs w:val="22"/>
        </w:rPr>
        <w:t>There was no hearing for this i</w:t>
      </w:r>
      <w:r w:rsidR="008224C7" w:rsidRPr="00D96801">
        <w:rPr>
          <w:bCs/>
          <w:szCs w:val="22"/>
        </w:rPr>
        <w:t>tem</w:t>
      </w:r>
      <w:r w:rsidRPr="00D96801">
        <w:rPr>
          <w:bCs/>
          <w:szCs w:val="22"/>
        </w:rPr>
        <w:t>.</w:t>
      </w:r>
    </w:p>
    <w:p w:rsidR="00585BB3" w:rsidRPr="00F378BB" w:rsidRDefault="00585BB3" w:rsidP="00585BB3">
      <w:pPr>
        <w:rPr>
          <w:bCs/>
          <w:i/>
          <w:szCs w:val="22"/>
        </w:rPr>
      </w:pPr>
    </w:p>
    <w:p w:rsidR="00585BB3" w:rsidRPr="00F378BB" w:rsidRDefault="00585BB3" w:rsidP="00495439">
      <w:pPr>
        <w:pStyle w:val="Heading3"/>
      </w:pPr>
      <w:r w:rsidRPr="00F378BB">
        <w:t>Consumer comments</w:t>
      </w:r>
    </w:p>
    <w:p w:rsidR="00585BB3" w:rsidRPr="00D96801" w:rsidRDefault="00585BB3" w:rsidP="00585BB3">
      <w:pPr>
        <w:rPr>
          <w:b/>
          <w:bCs/>
          <w:szCs w:val="22"/>
        </w:rPr>
      </w:pPr>
    </w:p>
    <w:p w:rsidR="00585BB3" w:rsidRPr="00D96801" w:rsidRDefault="00585BB3" w:rsidP="008224C7">
      <w:pPr>
        <w:widowControl/>
        <w:numPr>
          <w:ilvl w:val="1"/>
          <w:numId w:val="6"/>
        </w:numPr>
        <w:spacing w:after="120"/>
        <w:jc w:val="left"/>
        <w:rPr>
          <w:bCs/>
          <w:szCs w:val="22"/>
        </w:rPr>
      </w:pPr>
      <w:r w:rsidRPr="00D96801">
        <w:rPr>
          <w:bCs/>
          <w:szCs w:val="22"/>
        </w:rPr>
        <w:t>The PBAC noted that no consumer comme</w:t>
      </w:r>
      <w:r w:rsidR="008224C7" w:rsidRPr="00D96801">
        <w:rPr>
          <w:bCs/>
          <w:szCs w:val="22"/>
        </w:rPr>
        <w:t>nts were received for this item</w:t>
      </w:r>
      <w:r w:rsidRPr="00D96801">
        <w:rPr>
          <w:bCs/>
          <w:szCs w:val="22"/>
        </w:rPr>
        <w:t>.</w:t>
      </w:r>
    </w:p>
    <w:p w:rsidR="00B60939" w:rsidRPr="00082954" w:rsidRDefault="00B60939" w:rsidP="004B1CB4"/>
    <w:p w:rsidR="00B60939" w:rsidRPr="00F378BB" w:rsidRDefault="00B60939" w:rsidP="00495439">
      <w:pPr>
        <w:pStyle w:val="Heading3"/>
      </w:pPr>
      <w:bookmarkStart w:id="6" w:name="_Toc451425481"/>
      <w:r w:rsidRPr="00F378BB">
        <w:t>Clinical trials</w:t>
      </w:r>
      <w:bookmarkEnd w:id="6"/>
    </w:p>
    <w:p w:rsidR="00B60939" w:rsidRPr="00082954" w:rsidRDefault="00B60939" w:rsidP="00B60939">
      <w:pPr>
        <w:rPr>
          <w:szCs w:val="22"/>
        </w:rPr>
      </w:pPr>
    </w:p>
    <w:p w:rsidR="00FF36C8" w:rsidRPr="00082954" w:rsidRDefault="00F61549" w:rsidP="00F61549">
      <w:pPr>
        <w:pStyle w:val="ListParagraph"/>
        <w:widowControl/>
        <w:numPr>
          <w:ilvl w:val="1"/>
          <w:numId w:val="6"/>
        </w:numPr>
      </w:pPr>
      <w:r w:rsidRPr="00082954">
        <w:t xml:space="preserve">No head-to-head studies providing a comparison of </w:t>
      </w:r>
      <w:proofErr w:type="spellStart"/>
      <w:r w:rsidRPr="00082954">
        <w:t>Odefsey</w:t>
      </w:r>
      <w:proofErr w:type="spellEnd"/>
      <w:r w:rsidRPr="00082954">
        <w:rPr>
          <w:vertAlign w:val="superscript"/>
        </w:rPr>
        <w:t>®</w:t>
      </w:r>
      <w:r w:rsidRPr="00082954">
        <w:t xml:space="preserve"> and </w:t>
      </w:r>
      <w:proofErr w:type="spellStart"/>
      <w:r w:rsidRPr="00082954">
        <w:t>Eviplera</w:t>
      </w:r>
      <w:proofErr w:type="spellEnd"/>
      <w:r w:rsidRPr="00082954">
        <w:rPr>
          <w:vertAlign w:val="superscript"/>
        </w:rPr>
        <w:t>®</w:t>
      </w:r>
      <w:r w:rsidRPr="00082954">
        <w:t xml:space="preserve"> were available. </w:t>
      </w:r>
    </w:p>
    <w:p w:rsidR="00FF36C8" w:rsidRPr="00082954" w:rsidRDefault="00FF36C8" w:rsidP="00FF36C8">
      <w:pPr>
        <w:pStyle w:val="ListParagraph"/>
        <w:widowControl/>
      </w:pPr>
    </w:p>
    <w:p w:rsidR="004C4819" w:rsidRPr="00082954" w:rsidRDefault="00F61549" w:rsidP="00F61549">
      <w:pPr>
        <w:pStyle w:val="ListParagraph"/>
        <w:widowControl/>
        <w:numPr>
          <w:ilvl w:val="1"/>
          <w:numId w:val="6"/>
        </w:numPr>
      </w:pPr>
      <w:r w:rsidRPr="00082954">
        <w:t>The submission was based on five trials/studies:</w:t>
      </w:r>
    </w:p>
    <w:p w:rsidR="00B40C92" w:rsidRPr="00082954" w:rsidRDefault="004C4819" w:rsidP="00CB2F3B">
      <w:pPr>
        <w:pStyle w:val="ListParagraph"/>
        <w:widowControl/>
        <w:numPr>
          <w:ilvl w:val="0"/>
          <w:numId w:val="25"/>
        </w:numPr>
      </w:pPr>
      <w:r w:rsidRPr="00082954">
        <w:t xml:space="preserve">One Phase III head-to-head randomised-controlled ‘switch’ trial comparing </w:t>
      </w:r>
      <w:proofErr w:type="spellStart"/>
      <w:r w:rsidRPr="00082954">
        <w:t>Descovy</w:t>
      </w:r>
      <w:proofErr w:type="spellEnd"/>
      <w:r w:rsidRPr="00082954">
        <w:rPr>
          <w:vertAlign w:val="superscript"/>
        </w:rPr>
        <w:t>®</w:t>
      </w:r>
      <w:r w:rsidRPr="00082954">
        <w:t xml:space="preserve"> versus </w:t>
      </w:r>
      <w:proofErr w:type="spellStart"/>
      <w:r w:rsidRPr="00082954">
        <w:t>Truvada</w:t>
      </w:r>
      <w:proofErr w:type="spellEnd"/>
      <w:r w:rsidRPr="00082954">
        <w:rPr>
          <w:vertAlign w:val="superscript"/>
        </w:rPr>
        <w:t>®</w:t>
      </w:r>
      <w:r w:rsidRPr="00082954">
        <w:t xml:space="preserve">, plus a third agent, in virologically suppressed HIV-positive patients on </w:t>
      </w:r>
      <w:proofErr w:type="spellStart"/>
      <w:r w:rsidRPr="00082954">
        <w:t>Truvada</w:t>
      </w:r>
      <w:proofErr w:type="spellEnd"/>
      <w:r w:rsidRPr="00082954">
        <w:rPr>
          <w:vertAlign w:val="superscript"/>
        </w:rPr>
        <w:t>®</w:t>
      </w:r>
      <w:r w:rsidRPr="00082954">
        <w:t xml:space="preserve">-based regimens (Study 1089). </w:t>
      </w:r>
      <w:r w:rsidR="00EB5B29" w:rsidRPr="00082954">
        <w:t xml:space="preserve">A ±10% margin was used to assess non-inferior efficacy. </w:t>
      </w:r>
      <w:r w:rsidRPr="00082954">
        <w:t xml:space="preserve">The submission presented </w:t>
      </w:r>
      <w:r w:rsidRPr="00082954">
        <w:rPr>
          <w:iCs/>
        </w:rPr>
        <w:t>ad hoc</w:t>
      </w:r>
      <w:r w:rsidRPr="00082954">
        <w:t xml:space="preserve"> subgroup analyses of patients using </w:t>
      </w:r>
      <w:proofErr w:type="spellStart"/>
      <w:r w:rsidRPr="00082954">
        <w:t>nevirapine</w:t>
      </w:r>
      <w:proofErr w:type="spellEnd"/>
      <w:r w:rsidRPr="00082954">
        <w:t xml:space="preserve">, </w:t>
      </w:r>
      <w:proofErr w:type="spellStart"/>
      <w:r w:rsidRPr="00082954">
        <w:t>efavirenz</w:t>
      </w:r>
      <w:proofErr w:type="spellEnd"/>
      <w:r w:rsidRPr="00082954">
        <w:t xml:space="preserve"> and </w:t>
      </w:r>
      <w:proofErr w:type="spellStart"/>
      <w:r w:rsidRPr="00082954">
        <w:t>rilpivirine</w:t>
      </w:r>
      <w:proofErr w:type="spellEnd"/>
      <w:r w:rsidRPr="00082954">
        <w:t xml:space="preserve"> as the third agent. The submission acknowledged the small patient numbers using </w:t>
      </w:r>
      <w:proofErr w:type="spellStart"/>
      <w:r w:rsidRPr="00082954">
        <w:t>rilpivirine</w:t>
      </w:r>
      <w:proofErr w:type="spellEnd"/>
      <w:r w:rsidRPr="00082954">
        <w:t xml:space="preserve"> </w:t>
      </w:r>
      <w:r w:rsidR="004403C6" w:rsidRPr="00082954">
        <w:t>(</w:t>
      </w:r>
      <w:r w:rsidRPr="00082954">
        <w:t>as the third agent in this trial (</w:t>
      </w:r>
      <w:proofErr w:type="spellStart"/>
      <w:r w:rsidRPr="00082954">
        <w:t>Descovy</w:t>
      </w:r>
      <w:proofErr w:type="spellEnd"/>
      <w:r w:rsidRPr="00082954">
        <w:rPr>
          <w:vertAlign w:val="superscript"/>
        </w:rPr>
        <w:t>®</w:t>
      </w:r>
      <w:r w:rsidRPr="00082954">
        <w:t xml:space="preserve"> arm: 3 patients (0.9%), </w:t>
      </w:r>
      <w:proofErr w:type="spellStart"/>
      <w:r w:rsidRPr="00082954">
        <w:t>Truvada</w:t>
      </w:r>
      <w:proofErr w:type="spellEnd"/>
      <w:r w:rsidRPr="00082954">
        <w:rPr>
          <w:vertAlign w:val="superscript"/>
        </w:rPr>
        <w:t>®</w:t>
      </w:r>
      <w:r w:rsidRPr="00082954">
        <w:t xml:space="preserve"> arm: 6 patients (1.8%)</w:t>
      </w:r>
      <w:r w:rsidR="004403C6" w:rsidRPr="00082954">
        <w:t xml:space="preserve">, which is consistent with </w:t>
      </w:r>
      <w:proofErr w:type="spellStart"/>
      <w:r w:rsidR="004403C6" w:rsidRPr="00082954">
        <w:t>Odefsey</w:t>
      </w:r>
      <w:proofErr w:type="spellEnd"/>
      <w:r w:rsidR="004403C6" w:rsidRPr="00082954">
        <w:rPr>
          <w:vertAlign w:val="superscript"/>
        </w:rPr>
        <w:t xml:space="preserve">® </w:t>
      </w:r>
      <w:r w:rsidR="004403C6" w:rsidRPr="00082954">
        <w:t xml:space="preserve">and </w:t>
      </w:r>
      <w:proofErr w:type="spellStart"/>
      <w:r w:rsidR="004403C6" w:rsidRPr="00082954">
        <w:t>Eviplera</w:t>
      </w:r>
      <w:proofErr w:type="spellEnd"/>
      <w:r w:rsidR="004403C6" w:rsidRPr="00082954">
        <w:rPr>
          <w:vertAlign w:val="superscript"/>
        </w:rPr>
        <w:t>®</w:t>
      </w:r>
      <w:r w:rsidR="004403C6" w:rsidRPr="00082954">
        <w:t>, respectively</w:t>
      </w:r>
      <w:r w:rsidRPr="00082954">
        <w:t>).</w:t>
      </w:r>
    </w:p>
    <w:p w:rsidR="00B40C92" w:rsidRPr="00082954" w:rsidRDefault="004C4819" w:rsidP="00A179BB">
      <w:pPr>
        <w:pStyle w:val="ListParagraph"/>
        <w:widowControl/>
        <w:numPr>
          <w:ilvl w:val="0"/>
          <w:numId w:val="25"/>
        </w:numPr>
      </w:pPr>
      <w:r w:rsidRPr="00082954">
        <w:t xml:space="preserve">One Phase I cross-over bioequivalence study evaluating the bioequivalence of </w:t>
      </w:r>
      <w:proofErr w:type="spellStart"/>
      <w:r w:rsidRPr="00082954">
        <w:t>Odefsey</w:t>
      </w:r>
      <w:proofErr w:type="spellEnd"/>
      <w:r w:rsidRPr="00082954">
        <w:rPr>
          <w:vertAlign w:val="superscript"/>
        </w:rPr>
        <w:t>®</w:t>
      </w:r>
      <w:r w:rsidRPr="00082954">
        <w:t xml:space="preserve"> </w:t>
      </w:r>
      <w:r w:rsidR="00A179BB" w:rsidRPr="00082954">
        <w:t xml:space="preserve">to </w:t>
      </w:r>
      <w:proofErr w:type="spellStart"/>
      <w:r w:rsidR="00A179BB" w:rsidRPr="00082954">
        <w:t>rilpivirine</w:t>
      </w:r>
      <w:proofErr w:type="spellEnd"/>
      <w:r w:rsidR="00A179BB" w:rsidRPr="00082954">
        <w:t xml:space="preserve"> from the single-agent </w:t>
      </w:r>
      <w:proofErr w:type="spellStart"/>
      <w:r w:rsidR="00A179BB" w:rsidRPr="00082954">
        <w:t>rilpivirine</w:t>
      </w:r>
      <w:proofErr w:type="spellEnd"/>
      <w:r w:rsidR="00A179BB" w:rsidRPr="00082954">
        <w:t xml:space="preserve"> product (</w:t>
      </w:r>
      <w:proofErr w:type="spellStart"/>
      <w:r w:rsidR="00A179BB" w:rsidRPr="00082954">
        <w:t>Edurant</w:t>
      </w:r>
      <w:proofErr w:type="spellEnd"/>
      <w:r w:rsidR="00A179BB" w:rsidRPr="00082954">
        <w:rPr>
          <w:vertAlign w:val="superscript"/>
        </w:rPr>
        <w:t>®</w:t>
      </w:r>
      <w:r w:rsidR="00A179BB" w:rsidRPr="00082954">
        <w:t xml:space="preserve">) and </w:t>
      </w:r>
      <w:r w:rsidRPr="00082954">
        <w:t xml:space="preserve">to the </w:t>
      </w:r>
      <w:proofErr w:type="spellStart"/>
      <w:r w:rsidRPr="00082954">
        <w:t>emtricitabine</w:t>
      </w:r>
      <w:proofErr w:type="spellEnd"/>
      <w:r w:rsidRPr="00082954">
        <w:t xml:space="preserve"> and </w:t>
      </w:r>
      <w:proofErr w:type="spellStart"/>
      <w:r w:rsidRPr="00082954">
        <w:t>tenofovir</w:t>
      </w:r>
      <w:proofErr w:type="spellEnd"/>
      <w:r w:rsidRPr="00082954">
        <w:t xml:space="preserve"> </w:t>
      </w:r>
      <w:proofErr w:type="spellStart"/>
      <w:r w:rsidRPr="00082954">
        <w:t>alafenamide</w:t>
      </w:r>
      <w:proofErr w:type="spellEnd"/>
      <w:r w:rsidRPr="00082954">
        <w:t xml:space="preserve"> components of </w:t>
      </w:r>
      <w:proofErr w:type="spellStart"/>
      <w:r w:rsidRPr="00082954">
        <w:t>Genvoya</w:t>
      </w:r>
      <w:proofErr w:type="spellEnd"/>
      <w:r w:rsidRPr="00082954">
        <w:rPr>
          <w:vertAlign w:val="superscript"/>
        </w:rPr>
        <w:t>®</w:t>
      </w:r>
      <w:r w:rsidRPr="00082954">
        <w:t xml:space="preserve"> in healthy volunteers (Study 1159).</w:t>
      </w:r>
    </w:p>
    <w:p w:rsidR="00B40C92" w:rsidRPr="00082954" w:rsidRDefault="004C4819" w:rsidP="00CA5926">
      <w:pPr>
        <w:pStyle w:val="ListParagraph"/>
        <w:widowControl/>
        <w:numPr>
          <w:ilvl w:val="0"/>
          <w:numId w:val="25"/>
        </w:numPr>
      </w:pPr>
      <w:proofErr w:type="gramStart"/>
      <w:r w:rsidRPr="00082954">
        <w:t>Two supplementary Phase III</w:t>
      </w:r>
      <w:proofErr w:type="gramEnd"/>
      <w:r w:rsidRPr="00082954">
        <w:t xml:space="preserve"> randomised controlled trials comparing </w:t>
      </w:r>
      <w:proofErr w:type="spellStart"/>
      <w:r w:rsidR="00FC311C" w:rsidRPr="00082954">
        <w:t>Genvoya</w:t>
      </w:r>
      <w:proofErr w:type="spellEnd"/>
      <w:r w:rsidR="00FC311C" w:rsidRPr="00082954">
        <w:rPr>
          <w:vertAlign w:val="superscript"/>
        </w:rPr>
        <w:t>®</w:t>
      </w:r>
      <w:r w:rsidR="00FC311C" w:rsidRPr="00082954">
        <w:t xml:space="preserve"> </w:t>
      </w:r>
      <w:r w:rsidRPr="00082954">
        <w:t xml:space="preserve">to </w:t>
      </w:r>
      <w:proofErr w:type="spellStart"/>
      <w:r w:rsidR="00453AFD" w:rsidRPr="00082954">
        <w:t>Stribild</w:t>
      </w:r>
      <w:proofErr w:type="spellEnd"/>
      <w:r w:rsidR="00453AFD" w:rsidRPr="00082954">
        <w:rPr>
          <w:vertAlign w:val="superscript"/>
        </w:rPr>
        <w:t>®</w:t>
      </w:r>
      <w:r w:rsidR="00453AFD" w:rsidRPr="00082954">
        <w:t xml:space="preserve"> </w:t>
      </w:r>
      <w:r w:rsidRPr="00082954">
        <w:t xml:space="preserve">in treatment-naïve patients (Studies 104 and 111). These trials were previously considered by the PBAC during its consideration of the November 2015 </w:t>
      </w:r>
      <w:proofErr w:type="spellStart"/>
      <w:r w:rsidRPr="00082954">
        <w:t>Genvoya</w:t>
      </w:r>
      <w:proofErr w:type="spellEnd"/>
      <w:r w:rsidRPr="00082954">
        <w:rPr>
          <w:vertAlign w:val="superscript"/>
        </w:rPr>
        <w:t>®</w:t>
      </w:r>
      <w:r w:rsidRPr="00082954">
        <w:t xml:space="preserve"> submission. The current submission provided additional longer term data (</w:t>
      </w:r>
      <w:r w:rsidR="00CA5926" w:rsidRPr="00082954">
        <w:t>to 96 weeks, 48 week data was considered previously</w:t>
      </w:r>
      <w:r w:rsidRPr="00082954">
        <w:t xml:space="preserve">), which was used to support a claim of a favourable safety profile of </w:t>
      </w:r>
      <w:proofErr w:type="spellStart"/>
      <w:r w:rsidRPr="00082954">
        <w:t>tenofovir</w:t>
      </w:r>
      <w:proofErr w:type="spellEnd"/>
      <w:r w:rsidRPr="00082954">
        <w:t xml:space="preserve"> </w:t>
      </w:r>
      <w:proofErr w:type="spellStart"/>
      <w:r w:rsidRPr="00082954">
        <w:t>alafenamide</w:t>
      </w:r>
      <w:proofErr w:type="spellEnd"/>
      <w:r w:rsidRPr="00082954">
        <w:t xml:space="preserve"> versus </w:t>
      </w:r>
      <w:proofErr w:type="spellStart"/>
      <w:r w:rsidRPr="00082954">
        <w:t>tenofovir</w:t>
      </w:r>
      <w:proofErr w:type="spellEnd"/>
      <w:r w:rsidRPr="00082954">
        <w:t xml:space="preserve"> </w:t>
      </w:r>
      <w:proofErr w:type="spellStart"/>
      <w:r w:rsidRPr="00082954">
        <w:t>disoproxil</w:t>
      </w:r>
      <w:proofErr w:type="spellEnd"/>
      <w:r w:rsidRPr="00082954">
        <w:t xml:space="preserve"> </w:t>
      </w:r>
      <w:proofErr w:type="spellStart"/>
      <w:r w:rsidRPr="00082954">
        <w:t>fumarate</w:t>
      </w:r>
      <w:proofErr w:type="spellEnd"/>
      <w:r w:rsidRPr="00082954">
        <w:t>.</w:t>
      </w:r>
    </w:p>
    <w:p w:rsidR="007F1017" w:rsidRPr="00082954" w:rsidRDefault="004C4819" w:rsidP="00E300F6">
      <w:pPr>
        <w:pStyle w:val="ListParagraph"/>
        <w:widowControl/>
        <w:numPr>
          <w:ilvl w:val="0"/>
          <w:numId w:val="25"/>
        </w:numPr>
      </w:pPr>
      <w:r w:rsidRPr="00082954">
        <w:t xml:space="preserve">One supplementary open-label single-arm cohort study of </w:t>
      </w:r>
      <w:proofErr w:type="spellStart"/>
      <w:r w:rsidRPr="00082954">
        <w:t>Genvoya</w:t>
      </w:r>
      <w:proofErr w:type="spellEnd"/>
      <w:r w:rsidRPr="00082954">
        <w:rPr>
          <w:vertAlign w:val="superscript"/>
        </w:rPr>
        <w:t>®</w:t>
      </w:r>
      <w:r w:rsidRPr="00082954">
        <w:t xml:space="preserve"> in treatment-naïve and treatment-experienced patients with mild to moderate renal impairment (Study 112). This was included the November 2015 </w:t>
      </w:r>
      <w:proofErr w:type="spellStart"/>
      <w:r w:rsidRPr="00082954">
        <w:t>Genvoya</w:t>
      </w:r>
      <w:proofErr w:type="spellEnd"/>
      <w:r w:rsidRPr="00082954">
        <w:rPr>
          <w:vertAlign w:val="superscript"/>
        </w:rPr>
        <w:t>®</w:t>
      </w:r>
      <w:r w:rsidRPr="00082954">
        <w:t xml:space="preserve"> submission as a supplementary study. </w:t>
      </w:r>
      <w:r w:rsidRPr="00082954">
        <w:rPr>
          <w:iCs/>
        </w:rPr>
        <w:t xml:space="preserve">The submission provided a poster presentation with longer term data </w:t>
      </w:r>
      <w:r w:rsidR="00E22B63" w:rsidRPr="00082954">
        <w:rPr>
          <w:iCs/>
        </w:rPr>
        <w:t xml:space="preserve">(to 96 weeks) </w:t>
      </w:r>
      <w:r w:rsidRPr="00082954">
        <w:rPr>
          <w:iCs/>
        </w:rPr>
        <w:t xml:space="preserve">from Study 112. </w:t>
      </w:r>
    </w:p>
    <w:p w:rsidR="00FF36C8" w:rsidRPr="00082954" w:rsidRDefault="00FF36C8" w:rsidP="00FF36C8">
      <w:pPr>
        <w:pStyle w:val="ListParagraph"/>
        <w:widowControl/>
        <w:ind w:left="1080"/>
      </w:pPr>
    </w:p>
    <w:p w:rsidR="00FF36C8" w:rsidRPr="00082954" w:rsidRDefault="000911F2" w:rsidP="00195122">
      <w:pPr>
        <w:pStyle w:val="ListParagraph"/>
        <w:widowControl/>
        <w:numPr>
          <w:ilvl w:val="1"/>
          <w:numId w:val="6"/>
        </w:numPr>
        <w:rPr>
          <w:szCs w:val="22"/>
        </w:rPr>
      </w:pPr>
      <w:r w:rsidRPr="00082954">
        <w:rPr>
          <w:szCs w:val="22"/>
        </w:rPr>
        <w:t xml:space="preserve">The submission stated on the basis that the </w:t>
      </w:r>
      <w:proofErr w:type="spellStart"/>
      <w:r w:rsidRPr="00082954">
        <w:rPr>
          <w:szCs w:val="22"/>
        </w:rPr>
        <w:t>emtricitabine</w:t>
      </w:r>
      <w:proofErr w:type="spellEnd"/>
      <w:r w:rsidRPr="00082954">
        <w:rPr>
          <w:szCs w:val="22"/>
        </w:rPr>
        <w:t xml:space="preserve"> and </w:t>
      </w:r>
      <w:proofErr w:type="spellStart"/>
      <w:r w:rsidRPr="00082954">
        <w:rPr>
          <w:szCs w:val="22"/>
        </w:rPr>
        <w:t>tenofovir</w:t>
      </w:r>
      <w:proofErr w:type="spellEnd"/>
      <w:r w:rsidRPr="00082954">
        <w:rPr>
          <w:szCs w:val="22"/>
        </w:rPr>
        <w:t xml:space="preserve"> </w:t>
      </w:r>
      <w:proofErr w:type="spellStart"/>
      <w:r w:rsidRPr="00082954">
        <w:rPr>
          <w:szCs w:val="22"/>
        </w:rPr>
        <w:t>alafenamide</w:t>
      </w:r>
      <w:proofErr w:type="spellEnd"/>
      <w:r w:rsidRPr="00082954">
        <w:rPr>
          <w:szCs w:val="22"/>
        </w:rPr>
        <w:t xml:space="preserve"> components of </w:t>
      </w:r>
      <w:proofErr w:type="spellStart"/>
      <w:r w:rsidRPr="00082954">
        <w:rPr>
          <w:szCs w:val="22"/>
        </w:rPr>
        <w:t>Odefsey</w:t>
      </w:r>
      <w:proofErr w:type="spellEnd"/>
      <w:r w:rsidRPr="00082954">
        <w:rPr>
          <w:szCs w:val="22"/>
          <w:vertAlign w:val="superscript"/>
        </w:rPr>
        <w:t>®</w:t>
      </w:r>
      <w:r w:rsidRPr="00082954">
        <w:rPr>
          <w:szCs w:val="22"/>
        </w:rPr>
        <w:t xml:space="preserve"> and </w:t>
      </w:r>
      <w:proofErr w:type="spellStart"/>
      <w:r w:rsidRPr="00082954">
        <w:rPr>
          <w:szCs w:val="22"/>
        </w:rPr>
        <w:t>Genvoya</w:t>
      </w:r>
      <w:proofErr w:type="spellEnd"/>
      <w:r w:rsidRPr="00082954">
        <w:rPr>
          <w:szCs w:val="22"/>
          <w:vertAlign w:val="superscript"/>
        </w:rPr>
        <w:t>®</w:t>
      </w:r>
      <w:r w:rsidRPr="00082954">
        <w:rPr>
          <w:szCs w:val="22"/>
        </w:rPr>
        <w:t xml:space="preserve"> were bioequivalent, consideration of the </w:t>
      </w:r>
      <w:proofErr w:type="spellStart"/>
      <w:r w:rsidRPr="00082954">
        <w:rPr>
          <w:szCs w:val="22"/>
        </w:rPr>
        <w:t>Genvoya</w:t>
      </w:r>
      <w:proofErr w:type="spellEnd"/>
      <w:r w:rsidRPr="00082954">
        <w:rPr>
          <w:szCs w:val="22"/>
          <w:vertAlign w:val="superscript"/>
        </w:rPr>
        <w:t>®</w:t>
      </w:r>
      <w:r w:rsidRPr="00082954">
        <w:rPr>
          <w:szCs w:val="22"/>
        </w:rPr>
        <w:t xml:space="preserve"> versus </w:t>
      </w:r>
      <w:proofErr w:type="spellStart"/>
      <w:r w:rsidRPr="00082954">
        <w:rPr>
          <w:szCs w:val="22"/>
        </w:rPr>
        <w:t>Stribild</w:t>
      </w:r>
      <w:proofErr w:type="spellEnd"/>
      <w:r w:rsidRPr="00082954">
        <w:rPr>
          <w:szCs w:val="22"/>
          <w:vertAlign w:val="superscript"/>
        </w:rPr>
        <w:t>®</w:t>
      </w:r>
      <w:r w:rsidRPr="00082954">
        <w:rPr>
          <w:szCs w:val="22"/>
        </w:rPr>
        <w:t xml:space="preserve"> trials and </w:t>
      </w:r>
      <w:proofErr w:type="spellStart"/>
      <w:r w:rsidRPr="00082954">
        <w:rPr>
          <w:szCs w:val="22"/>
        </w:rPr>
        <w:t>Genvoya</w:t>
      </w:r>
      <w:proofErr w:type="spellEnd"/>
      <w:r w:rsidRPr="00082954">
        <w:rPr>
          <w:szCs w:val="22"/>
          <w:vertAlign w:val="superscript"/>
        </w:rPr>
        <w:t>®</w:t>
      </w:r>
      <w:r w:rsidRPr="00082954">
        <w:rPr>
          <w:szCs w:val="22"/>
        </w:rPr>
        <w:t xml:space="preserve"> cohort study was justified</w:t>
      </w:r>
      <w:proofErr w:type="gramStart"/>
      <w:r w:rsidRPr="00082954">
        <w:rPr>
          <w:szCs w:val="22"/>
        </w:rPr>
        <w:t xml:space="preserve">.  </w:t>
      </w:r>
      <w:proofErr w:type="gramEnd"/>
      <w:r w:rsidRPr="00082954">
        <w:rPr>
          <w:iCs/>
          <w:szCs w:val="22"/>
        </w:rPr>
        <w:t xml:space="preserve">Evidence was not presented to support the bioequivalence of the </w:t>
      </w:r>
      <w:proofErr w:type="spellStart"/>
      <w:r w:rsidRPr="00082954">
        <w:rPr>
          <w:iCs/>
          <w:szCs w:val="22"/>
        </w:rPr>
        <w:t>emtricitabine</w:t>
      </w:r>
      <w:proofErr w:type="spellEnd"/>
      <w:r w:rsidRPr="00082954">
        <w:rPr>
          <w:iCs/>
          <w:szCs w:val="22"/>
        </w:rPr>
        <w:t xml:space="preserve"> and </w:t>
      </w:r>
      <w:proofErr w:type="spellStart"/>
      <w:r w:rsidRPr="00082954">
        <w:rPr>
          <w:iCs/>
          <w:szCs w:val="22"/>
        </w:rPr>
        <w:t>tenofovir</w:t>
      </w:r>
      <w:proofErr w:type="spellEnd"/>
      <w:r w:rsidRPr="00082954">
        <w:rPr>
          <w:iCs/>
          <w:szCs w:val="22"/>
        </w:rPr>
        <w:t xml:space="preserve"> </w:t>
      </w:r>
      <w:proofErr w:type="spellStart"/>
      <w:r w:rsidRPr="00082954">
        <w:rPr>
          <w:iCs/>
          <w:szCs w:val="22"/>
        </w:rPr>
        <w:lastRenderedPageBreak/>
        <w:t>disoproxil</w:t>
      </w:r>
      <w:proofErr w:type="spellEnd"/>
      <w:r w:rsidRPr="00082954">
        <w:rPr>
          <w:iCs/>
          <w:szCs w:val="22"/>
        </w:rPr>
        <w:t xml:space="preserve"> </w:t>
      </w:r>
      <w:proofErr w:type="spellStart"/>
      <w:r w:rsidRPr="00082954">
        <w:rPr>
          <w:iCs/>
          <w:szCs w:val="22"/>
        </w:rPr>
        <w:t>fumarate</w:t>
      </w:r>
      <w:proofErr w:type="spellEnd"/>
      <w:r w:rsidRPr="00082954">
        <w:rPr>
          <w:iCs/>
          <w:szCs w:val="22"/>
        </w:rPr>
        <w:t xml:space="preserve"> components of </w:t>
      </w:r>
      <w:proofErr w:type="spellStart"/>
      <w:r w:rsidRPr="00082954">
        <w:rPr>
          <w:iCs/>
          <w:szCs w:val="22"/>
        </w:rPr>
        <w:t>Eviplera</w:t>
      </w:r>
      <w:proofErr w:type="spellEnd"/>
      <w:r w:rsidRPr="00082954">
        <w:rPr>
          <w:iCs/>
          <w:szCs w:val="22"/>
          <w:vertAlign w:val="superscript"/>
        </w:rPr>
        <w:t>®</w:t>
      </w:r>
      <w:r w:rsidRPr="00082954">
        <w:rPr>
          <w:iCs/>
          <w:szCs w:val="22"/>
        </w:rPr>
        <w:t xml:space="preserve"> and </w:t>
      </w:r>
      <w:proofErr w:type="spellStart"/>
      <w:r w:rsidRPr="00082954">
        <w:rPr>
          <w:iCs/>
          <w:szCs w:val="22"/>
        </w:rPr>
        <w:t>Stribild</w:t>
      </w:r>
      <w:proofErr w:type="spellEnd"/>
      <w:r w:rsidRPr="00082954">
        <w:rPr>
          <w:iCs/>
          <w:szCs w:val="22"/>
          <w:vertAlign w:val="superscript"/>
        </w:rPr>
        <w:t>®</w:t>
      </w:r>
      <w:r w:rsidRPr="00082954">
        <w:rPr>
          <w:iCs/>
          <w:szCs w:val="22"/>
        </w:rPr>
        <w:t xml:space="preserve"> to support the relevance of the trials to the nominated comparator of </w:t>
      </w:r>
      <w:proofErr w:type="spellStart"/>
      <w:r w:rsidRPr="00082954">
        <w:rPr>
          <w:iCs/>
          <w:szCs w:val="22"/>
        </w:rPr>
        <w:t>Eviplera</w:t>
      </w:r>
      <w:proofErr w:type="spellEnd"/>
      <w:r w:rsidRPr="00082954">
        <w:rPr>
          <w:iCs/>
          <w:szCs w:val="22"/>
          <w:vertAlign w:val="superscript"/>
        </w:rPr>
        <w:t>®</w:t>
      </w:r>
      <w:r w:rsidRPr="00082954">
        <w:rPr>
          <w:iCs/>
          <w:szCs w:val="22"/>
        </w:rPr>
        <w:t>.</w:t>
      </w:r>
    </w:p>
    <w:p w:rsidR="000911F2" w:rsidRPr="00082954" w:rsidRDefault="000911F2" w:rsidP="000911F2">
      <w:pPr>
        <w:pStyle w:val="ListParagraph"/>
        <w:widowControl/>
        <w:rPr>
          <w:szCs w:val="22"/>
        </w:rPr>
      </w:pPr>
    </w:p>
    <w:p w:rsidR="00862502" w:rsidRPr="00082954" w:rsidRDefault="00862502" w:rsidP="00195122">
      <w:pPr>
        <w:pStyle w:val="ListParagraph"/>
        <w:widowControl/>
        <w:numPr>
          <w:ilvl w:val="1"/>
          <w:numId w:val="6"/>
        </w:numPr>
        <w:rPr>
          <w:szCs w:val="22"/>
        </w:rPr>
      </w:pPr>
      <w:r w:rsidRPr="00082954">
        <w:rPr>
          <w:szCs w:val="22"/>
        </w:rPr>
        <w:t xml:space="preserve">Details of the trials presented in the submission are provided in </w:t>
      </w:r>
      <w:r w:rsidR="00195122" w:rsidRPr="00082954">
        <w:rPr>
          <w:szCs w:val="22"/>
        </w:rPr>
        <w:t>Table 1</w:t>
      </w:r>
      <w:r w:rsidRPr="00082954">
        <w:rPr>
          <w:szCs w:val="22"/>
        </w:rPr>
        <w:t xml:space="preserve">. </w:t>
      </w:r>
    </w:p>
    <w:p w:rsidR="00CA1992" w:rsidRPr="005C1548" w:rsidRDefault="00CA1992" w:rsidP="005C1548">
      <w:pPr>
        <w:widowControl/>
        <w:rPr>
          <w:szCs w:val="22"/>
        </w:rPr>
      </w:pPr>
    </w:p>
    <w:p w:rsidR="008F120A" w:rsidRDefault="008F120A" w:rsidP="00A9380F">
      <w:pPr>
        <w:ind w:firstLine="720"/>
        <w:rPr>
          <w:rStyle w:val="CommentReference"/>
        </w:rPr>
      </w:pPr>
      <w:r w:rsidRPr="00431246">
        <w:rPr>
          <w:rStyle w:val="CommentReference"/>
        </w:rPr>
        <w:t xml:space="preserve">Table </w:t>
      </w:r>
      <w:r w:rsidR="00A9380F">
        <w:rPr>
          <w:rStyle w:val="CommentReference"/>
        </w:rPr>
        <w:t>1</w:t>
      </w:r>
      <w:r w:rsidRPr="00431246">
        <w:rPr>
          <w:rStyle w:val="CommentReference"/>
        </w:rPr>
        <w:t xml:space="preserve">: Trials and associated reports presented in the </w:t>
      </w:r>
      <w:r w:rsidRPr="000812CA">
        <w:rPr>
          <w:rStyle w:val="CommentReference"/>
        </w:rPr>
        <w:t>submission</w:t>
      </w:r>
    </w:p>
    <w:tbl>
      <w:tblPr>
        <w:tblW w:w="463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3"/>
        <w:gridCol w:w="5464"/>
        <w:gridCol w:w="1824"/>
      </w:tblGrid>
      <w:tr w:rsidR="007E2FB6" w:rsidRPr="004E2ADC" w:rsidTr="00FF59AE">
        <w:trPr>
          <w:tblHeader/>
        </w:trPr>
        <w:tc>
          <w:tcPr>
            <w:tcW w:w="673" w:type="pct"/>
          </w:tcPr>
          <w:p w:rsidR="007E2FB6" w:rsidRPr="004E2ADC" w:rsidRDefault="007E2FB6" w:rsidP="009703AA">
            <w:pPr>
              <w:jc w:val="left"/>
              <w:rPr>
                <w:rFonts w:ascii="Arial Narrow" w:hAnsi="Arial Narrow"/>
                <w:b/>
                <w:sz w:val="20"/>
              </w:rPr>
            </w:pPr>
            <w:r w:rsidRPr="004E2ADC">
              <w:rPr>
                <w:rFonts w:ascii="Arial Narrow" w:hAnsi="Arial Narrow"/>
                <w:b/>
                <w:sz w:val="20"/>
              </w:rPr>
              <w:t>Trial ID</w:t>
            </w:r>
          </w:p>
        </w:tc>
        <w:tc>
          <w:tcPr>
            <w:tcW w:w="3244" w:type="pct"/>
          </w:tcPr>
          <w:p w:rsidR="007E2FB6" w:rsidRPr="004E2ADC" w:rsidRDefault="007E2FB6" w:rsidP="009703AA">
            <w:pPr>
              <w:jc w:val="center"/>
              <w:rPr>
                <w:rFonts w:ascii="Arial Narrow" w:hAnsi="Arial Narrow"/>
                <w:b/>
                <w:sz w:val="20"/>
              </w:rPr>
            </w:pPr>
            <w:r w:rsidRPr="004E2ADC">
              <w:rPr>
                <w:rFonts w:ascii="Arial Narrow" w:hAnsi="Arial Narrow"/>
                <w:b/>
                <w:sz w:val="20"/>
              </w:rPr>
              <w:t>Protocol title/ Publication title</w:t>
            </w:r>
          </w:p>
        </w:tc>
        <w:tc>
          <w:tcPr>
            <w:tcW w:w="1083" w:type="pct"/>
          </w:tcPr>
          <w:p w:rsidR="007E2FB6" w:rsidRPr="004E2ADC" w:rsidRDefault="007E2FB6" w:rsidP="009703AA">
            <w:pPr>
              <w:jc w:val="center"/>
              <w:rPr>
                <w:rFonts w:ascii="Arial Narrow" w:hAnsi="Arial Narrow"/>
                <w:b/>
                <w:sz w:val="20"/>
              </w:rPr>
            </w:pPr>
            <w:r w:rsidRPr="004E2ADC">
              <w:rPr>
                <w:rFonts w:ascii="Arial Narrow" w:hAnsi="Arial Narrow"/>
                <w:b/>
                <w:sz w:val="20"/>
              </w:rPr>
              <w:t>Publication citation</w:t>
            </w:r>
          </w:p>
        </w:tc>
      </w:tr>
      <w:tr w:rsidR="007E2FB6" w:rsidRPr="004E2ADC" w:rsidTr="00AF134D">
        <w:tc>
          <w:tcPr>
            <w:tcW w:w="5000" w:type="pct"/>
            <w:gridSpan w:val="3"/>
            <w:vAlign w:val="center"/>
          </w:tcPr>
          <w:p w:rsidR="007E2FB6" w:rsidRPr="004E2ADC" w:rsidRDefault="007E2FB6" w:rsidP="009703AA">
            <w:pPr>
              <w:jc w:val="left"/>
              <w:rPr>
                <w:rFonts w:ascii="Arial Narrow" w:hAnsi="Arial Narrow"/>
                <w:b/>
                <w:sz w:val="20"/>
              </w:rPr>
            </w:pPr>
            <w:r>
              <w:rPr>
                <w:rFonts w:ascii="Arial Narrow" w:hAnsi="Arial Narrow"/>
                <w:b/>
                <w:sz w:val="20"/>
              </w:rPr>
              <w:t>Key randomised controlled trial (Phase III)</w:t>
            </w:r>
          </w:p>
        </w:tc>
      </w:tr>
      <w:tr w:rsidR="007E2FB6" w:rsidRPr="004E2ADC" w:rsidTr="00FF59AE">
        <w:tc>
          <w:tcPr>
            <w:tcW w:w="673" w:type="pct"/>
            <w:vAlign w:val="center"/>
          </w:tcPr>
          <w:p w:rsidR="007E2FB6" w:rsidRPr="00EE6A05" w:rsidRDefault="007E2FB6" w:rsidP="009703AA">
            <w:pPr>
              <w:jc w:val="left"/>
              <w:rPr>
                <w:rFonts w:ascii="Arial Narrow" w:hAnsi="Arial Narrow"/>
                <w:b/>
                <w:bCs/>
                <w:sz w:val="20"/>
              </w:rPr>
            </w:pPr>
            <w:r w:rsidRPr="00EE6A05">
              <w:rPr>
                <w:rFonts w:ascii="Arial Narrow" w:hAnsi="Arial Narrow"/>
                <w:b/>
                <w:bCs/>
                <w:sz w:val="20"/>
              </w:rPr>
              <w:t>Study 1089</w:t>
            </w:r>
          </w:p>
          <w:p w:rsidR="007E2FB6" w:rsidRPr="00EE6A05" w:rsidRDefault="007E2FB6" w:rsidP="009703AA">
            <w:pPr>
              <w:rPr>
                <w:rFonts w:ascii="Arial Narrow" w:hAnsi="Arial Narrow"/>
                <w:sz w:val="20"/>
              </w:rPr>
            </w:pPr>
            <w:r w:rsidRPr="00EE6A05">
              <w:rPr>
                <w:rFonts w:ascii="Arial Narrow" w:hAnsi="Arial Narrow"/>
                <w:sz w:val="20"/>
              </w:rPr>
              <w:t>NCT02121795</w:t>
            </w:r>
          </w:p>
          <w:p w:rsidR="007E2FB6" w:rsidRPr="004E2ADC" w:rsidRDefault="007E2FB6" w:rsidP="009703AA">
            <w:pPr>
              <w:jc w:val="left"/>
              <w:rPr>
                <w:rFonts w:ascii="Arial Narrow" w:hAnsi="Arial Narrow"/>
                <w:sz w:val="20"/>
              </w:rPr>
            </w:pPr>
            <w:r w:rsidRPr="00EE6A05">
              <w:rPr>
                <w:rFonts w:ascii="Arial Narrow" w:hAnsi="Arial Narrow"/>
                <w:sz w:val="20"/>
              </w:rPr>
              <w:t>GS-US-311-1089</w:t>
            </w:r>
          </w:p>
        </w:tc>
        <w:tc>
          <w:tcPr>
            <w:tcW w:w="3244" w:type="pct"/>
          </w:tcPr>
          <w:p w:rsidR="007E2FB6" w:rsidRDefault="007E2FB6" w:rsidP="009703AA">
            <w:pPr>
              <w:jc w:val="left"/>
              <w:rPr>
                <w:rFonts w:ascii="Arial Narrow" w:hAnsi="Arial Narrow"/>
                <w:bCs/>
                <w:sz w:val="20"/>
              </w:rPr>
            </w:pPr>
            <w:r w:rsidRPr="007C005C">
              <w:rPr>
                <w:rFonts w:ascii="Arial Narrow" w:hAnsi="Arial Narrow"/>
                <w:bCs/>
                <w:sz w:val="20"/>
              </w:rPr>
              <w:t xml:space="preserve">A Phase 3, Randomised, Double-Blind, Switch Study to Evaluate F/TAF in HIV-1 Positive Subjects who are Virologically Suppressed on Regimens Containing </w:t>
            </w:r>
            <w:proofErr w:type="spellStart"/>
            <w:r w:rsidRPr="007C005C">
              <w:rPr>
                <w:rFonts w:ascii="Arial Narrow" w:hAnsi="Arial Narrow"/>
                <w:bCs/>
                <w:sz w:val="20"/>
              </w:rPr>
              <w:t>Truvada</w:t>
            </w:r>
            <w:proofErr w:type="spellEnd"/>
            <w:r>
              <w:rPr>
                <w:rFonts w:ascii="Arial Narrow" w:hAnsi="Arial Narrow"/>
                <w:bCs/>
                <w:sz w:val="20"/>
              </w:rPr>
              <w:t>. Interim Week 48 Clinical Study Report.</w:t>
            </w:r>
          </w:p>
          <w:p w:rsidR="007E2FB6" w:rsidRPr="00A21222" w:rsidRDefault="007E2FB6" w:rsidP="009703AA">
            <w:pPr>
              <w:jc w:val="left"/>
              <w:rPr>
                <w:rFonts w:ascii="Arial Narrow" w:hAnsi="Arial Narrow"/>
                <w:bCs/>
                <w:i/>
                <w:iCs/>
                <w:sz w:val="20"/>
              </w:rPr>
            </w:pPr>
            <w:r w:rsidRPr="00A21222">
              <w:rPr>
                <w:rFonts w:ascii="Arial Narrow" w:hAnsi="Arial Narrow"/>
                <w:bCs/>
                <w:i/>
                <w:iCs/>
                <w:sz w:val="20"/>
              </w:rPr>
              <w:t>Gallant</w:t>
            </w:r>
            <w:r>
              <w:rPr>
                <w:rFonts w:ascii="Arial Narrow" w:hAnsi="Arial Narrow"/>
                <w:bCs/>
                <w:i/>
                <w:iCs/>
                <w:sz w:val="20"/>
              </w:rPr>
              <w:t xml:space="preserve"> JE</w:t>
            </w:r>
            <w:r w:rsidRPr="00A21222">
              <w:rPr>
                <w:rFonts w:ascii="Arial Narrow" w:hAnsi="Arial Narrow"/>
                <w:bCs/>
                <w:i/>
                <w:iCs/>
                <w:sz w:val="20"/>
              </w:rPr>
              <w:t xml:space="preserve">, </w:t>
            </w:r>
            <w:proofErr w:type="spellStart"/>
            <w:r w:rsidRPr="00A21222">
              <w:rPr>
                <w:rFonts w:ascii="Arial Narrow" w:hAnsi="Arial Narrow"/>
                <w:bCs/>
                <w:i/>
                <w:iCs/>
                <w:sz w:val="20"/>
              </w:rPr>
              <w:t>Daar</w:t>
            </w:r>
            <w:proofErr w:type="spellEnd"/>
            <w:r>
              <w:rPr>
                <w:rFonts w:ascii="Arial Narrow" w:hAnsi="Arial Narrow"/>
                <w:bCs/>
                <w:i/>
                <w:iCs/>
                <w:sz w:val="20"/>
              </w:rPr>
              <w:t xml:space="preserve"> ES</w:t>
            </w:r>
            <w:r w:rsidRPr="00A21222">
              <w:rPr>
                <w:rFonts w:ascii="Arial Narrow" w:hAnsi="Arial Narrow"/>
                <w:bCs/>
                <w:i/>
                <w:iCs/>
                <w:sz w:val="20"/>
              </w:rPr>
              <w:t xml:space="preserve">, </w:t>
            </w:r>
            <w:proofErr w:type="spellStart"/>
            <w:r w:rsidRPr="00A21222">
              <w:rPr>
                <w:rFonts w:ascii="Arial Narrow" w:hAnsi="Arial Narrow"/>
                <w:bCs/>
                <w:i/>
                <w:iCs/>
                <w:sz w:val="20"/>
              </w:rPr>
              <w:t>Raffi</w:t>
            </w:r>
            <w:proofErr w:type="spellEnd"/>
            <w:r>
              <w:rPr>
                <w:rFonts w:ascii="Arial Narrow" w:hAnsi="Arial Narrow"/>
                <w:bCs/>
                <w:i/>
                <w:iCs/>
                <w:sz w:val="20"/>
              </w:rPr>
              <w:t xml:space="preserve"> Fs</w:t>
            </w:r>
            <w:r w:rsidRPr="00A21222">
              <w:rPr>
                <w:rFonts w:ascii="Arial Narrow" w:hAnsi="Arial Narrow"/>
                <w:bCs/>
                <w:i/>
                <w:iCs/>
                <w:sz w:val="20"/>
              </w:rPr>
              <w:t xml:space="preserve">, et al. Efficacy and safety of </w:t>
            </w:r>
            <w:proofErr w:type="spellStart"/>
            <w:r w:rsidRPr="00A21222">
              <w:rPr>
                <w:rFonts w:ascii="Arial Narrow" w:hAnsi="Arial Narrow"/>
                <w:bCs/>
                <w:i/>
                <w:iCs/>
                <w:sz w:val="20"/>
              </w:rPr>
              <w:t>tenofovir</w:t>
            </w:r>
            <w:proofErr w:type="spellEnd"/>
            <w:r w:rsidRPr="00A21222">
              <w:rPr>
                <w:rFonts w:ascii="Arial Narrow" w:hAnsi="Arial Narrow"/>
                <w:bCs/>
                <w:i/>
                <w:iCs/>
                <w:sz w:val="20"/>
              </w:rPr>
              <w:t xml:space="preserve"> </w:t>
            </w:r>
            <w:proofErr w:type="spellStart"/>
            <w:r w:rsidRPr="00A21222">
              <w:rPr>
                <w:rFonts w:ascii="Arial Narrow" w:hAnsi="Arial Narrow"/>
                <w:bCs/>
                <w:i/>
                <w:iCs/>
                <w:sz w:val="20"/>
              </w:rPr>
              <w:t>alafenamide</w:t>
            </w:r>
            <w:proofErr w:type="spellEnd"/>
            <w:r w:rsidRPr="00A21222">
              <w:rPr>
                <w:rFonts w:ascii="Arial Narrow" w:hAnsi="Arial Narrow"/>
                <w:bCs/>
                <w:i/>
                <w:iCs/>
                <w:sz w:val="20"/>
              </w:rPr>
              <w:t xml:space="preserve"> versus </w:t>
            </w:r>
            <w:proofErr w:type="spellStart"/>
            <w:r w:rsidRPr="00A21222">
              <w:rPr>
                <w:rFonts w:ascii="Arial Narrow" w:hAnsi="Arial Narrow"/>
                <w:bCs/>
                <w:i/>
                <w:iCs/>
                <w:sz w:val="20"/>
              </w:rPr>
              <w:t>tenofovir</w:t>
            </w:r>
            <w:proofErr w:type="spellEnd"/>
            <w:r w:rsidRPr="00A21222">
              <w:rPr>
                <w:rFonts w:ascii="Arial Narrow" w:hAnsi="Arial Narrow"/>
                <w:bCs/>
                <w:i/>
                <w:iCs/>
                <w:sz w:val="20"/>
              </w:rPr>
              <w:t xml:space="preserve"> </w:t>
            </w:r>
            <w:proofErr w:type="spellStart"/>
            <w:r w:rsidRPr="00A21222">
              <w:rPr>
                <w:rFonts w:ascii="Arial Narrow" w:hAnsi="Arial Narrow"/>
                <w:bCs/>
                <w:i/>
                <w:iCs/>
                <w:sz w:val="20"/>
              </w:rPr>
              <w:t>disoproxil</w:t>
            </w:r>
            <w:proofErr w:type="spellEnd"/>
            <w:r w:rsidRPr="00A21222">
              <w:rPr>
                <w:rFonts w:ascii="Arial Narrow" w:hAnsi="Arial Narrow"/>
                <w:bCs/>
                <w:i/>
                <w:iCs/>
                <w:sz w:val="20"/>
              </w:rPr>
              <w:t xml:space="preserve"> </w:t>
            </w:r>
            <w:proofErr w:type="spellStart"/>
            <w:r w:rsidRPr="00A21222">
              <w:rPr>
                <w:rFonts w:ascii="Arial Narrow" w:hAnsi="Arial Narrow"/>
                <w:bCs/>
                <w:i/>
                <w:iCs/>
                <w:sz w:val="20"/>
              </w:rPr>
              <w:t>fumarate</w:t>
            </w:r>
            <w:proofErr w:type="spellEnd"/>
            <w:r w:rsidRPr="00A21222">
              <w:rPr>
                <w:rFonts w:ascii="Arial Narrow" w:hAnsi="Arial Narrow"/>
                <w:bCs/>
                <w:i/>
                <w:iCs/>
                <w:sz w:val="20"/>
              </w:rPr>
              <w:t xml:space="preserve"> given as fixed-dose combinations containing </w:t>
            </w:r>
            <w:proofErr w:type="spellStart"/>
            <w:r w:rsidRPr="00A21222">
              <w:rPr>
                <w:rFonts w:ascii="Arial Narrow" w:hAnsi="Arial Narrow"/>
                <w:bCs/>
                <w:i/>
                <w:iCs/>
                <w:sz w:val="20"/>
              </w:rPr>
              <w:t>emtricitabine</w:t>
            </w:r>
            <w:proofErr w:type="spellEnd"/>
            <w:r w:rsidRPr="00A21222">
              <w:rPr>
                <w:rFonts w:ascii="Arial Narrow" w:hAnsi="Arial Narrow"/>
                <w:bCs/>
                <w:i/>
                <w:iCs/>
                <w:sz w:val="20"/>
              </w:rPr>
              <w:t xml:space="preserve"> as backbones for treatment of HIV-1 infection in virologically suppressed adults: a randomised, double-blind, active-controlled phase 3 trial.</w:t>
            </w:r>
          </w:p>
        </w:tc>
        <w:tc>
          <w:tcPr>
            <w:tcW w:w="1083" w:type="pct"/>
          </w:tcPr>
          <w:p w:rsidR="007E2FB6" w:rsidRDefault="007E2FB6" w:rsidP="009703AA">
            <w:pPr>
              <w:jc w:val="left"/>
              <w:rPr>
                <w:rFonts w:ascii="Arial Narrow" w:hAnsi="Arial Narrow"/>
                <w:bCs/>
                <w:sz w:val="20"/>
              </w:rPr>
            </w:pPr>
            <w:r w:rsidRPr="00CE2599">
              <w:rPr>
                <w:rFonts w:ascii="Arial Narrow" w:hAnsi="Arial Narrow"/>
                <w:bCs/>
                <w:sz w:val="20"/>
              </w:rPr>
              <w:t>22 September 2015</w:t>
            </w:r>
            <w:r>
              <w:rPr>
                <w:rFonts w:ascii="Arial Narrow" w:hAnsi="Arial Narrow"/>
                <w:bCs/>
                <w:sz w:val="20"/>
              </w:rPr>
              <w:t xml:space="preserve"> (revised 13 November 2015)</w:t>
            </w:r>
          </w:p>
          <w:p w:rsidR="007E2FB6" w:rsidRPr="00A21222" w:rsidRDefault="007E2FB6" w:rsidP="009703AA">
            <w:pPr>
              <w:jc w:val="left"/>
              <w:rPr>
                <w:rFonts w:ascii="Arial Narrow" w:hAnsi="Arial Narrow"/>
                <w:bCs/>
                <w:i/>
                <w:iCs/>
                <w:sz w:val="20"/>
              </w:rPr>
            </w:pPr>
            <w:r w:rsidRPr="00A21222">
              <w:rPr>
                <w:rFonts w:ascii="Arial Narrow" w:hAnsi="Arial Narrow"/>
                <w:bCs/>
                <w:i/>
                <w:iCs/>
                <w:sz w:val="20"/>
              </w:rPr>
              <w:t xml:space="preserve">Lancet HIV 2016; </w:t>
            </w:r>
            <w:r>
              <w:rPr>
                <w:rFonts w:ascii="Arial Narrow" w:hAnsi="Arial Narrow"/>
                <w:bCs/>
                <w:i/>
                <w:iCs/>
                <w:sz w:val="20"/>
              </w:rPr>
              <w:t>p</w:t>
            </w:r>
            <w:r w:rsidRPr="00A21222">
              <w:rPr>
                <w:rFonts w:ascii="Arial Narrow" w:hAnsi="Arial Narrow"/>
                <w:bCs/>
                <w:i/>
                <w:iCs/>
                <w:sz w:val="20"/>
              </w:rPr>
              <w:t xml:space="preserve">ublished </w:t>
            </w:r>
            <w:r>
              <w:rPr>
                <w:rFonts w:ascii="Arial Narrow" w:hAnsi="Arial Narrow"/>
                <w:bCs/>
                <w:i/>
                <w:iCs/>
                <w:sz w:val="20"/>
              </w:rPr>
              <w:t>o</w:t>
            </w:r>
            <w:r w:rsidRPr="00A21222">
              <w:rPr>
                <w:rFonts w:ascii="Arial Narrow" w:hAnsi="Arial Narrow"/>
                <w:bCs/>
                <w:i/>
                <w:iCs/>
                <w:sz w:val="20"/>
              </w:rPr>
              <w:t xml:space="preserve">nline </w:t>
            </w:r>
            <w:r>
              <w:rPr>
                <w:rFonts w:ascii="Arial Narrow" w:hAnsi="Arial Narrow"/>
                <w:bCs/>
                <w:i/>
                <w:iCs/>
                <w:sz w:val="20"/>
              </w:rPr>
              <w:t xml:space="preserve">14 </w:t>
            </w:r>
            <w:r w:rsidRPr="00A21222">
              <w:rPr>
                <w:rFonts w:ascii="Arial Narrow" w:hAnsi="Arial Narrow"/>
                <w:bCs/>
                <w:i/>
                <w:iCs/>
                <w:sz w:val="20"/>
              </w:rPr>
              <w:t>March 2016</w:t>
            </w:r>
          </w:p>
          <w:p w:rsidR="007E2FB6" w:rsidRPr="00CE2599" w:rsidRDefault="007E2FB6" w:rsidP="00C43FA2">
            <w:pPr>
              <w:rPr>
                <w:rFonts w:ascii="Arial Narrow" w:hAnsi="Arial Narrow"/>
                <w:bCs/>
                <w:sz w:val="20"/>
              </w:rPr>
            </w:pPr>
            <w:r w:rsidRPr="00A21222">
              <w:rPr>
                <w:rFonts w:ascii="Arial Narrow" w:hAnsi="Arial Narrow"/>
                <w:bCs/>
                <w:i/>
                <w:iCs/>
                <w:sz w:val="20"/>
              </w:rPr>
              <w:t>http://dx.doi.org/10.1016/S2352-3018(16)00024-2</w:t>
            </w:r>
          </w:p>
        </w:tc>
      </w:tr>
      <w:tr w:rsidR="007E2FB6" w:rsidRPr="004E2ADC" w:rsidTr="00AF134D">
        <w:tc>
          <w:tcPr>
            <w:tcW w:w="5000" w:type="pct"/>
            <w:gridSpan w:val="3"/>
            <w:vAlign w:val="center"/>
          </w:tcPr>
          <w:p w:rsidR="007E2FB6" w:rsidRPr="004E2ADC" w:rsidRDefault="007E2FB6" w:rsidP="009703AA">
            <w:pPr>
              <w:jc w:val="left"/>
              <w:rPr>
                <w:rFonts w:ascii="Arial Narrow" w:hAnsi="Arial Narrow"/>
                <w:b/>
                <w:sz w:val="20"/>
              </w:rPr>
            </w:pPr>
            <w:r>
              <w:rPr>
                <w:rFonts w:ascii="Arial Narrow" w:hAnsi="Arial Narrow"/>
                <w:b/>
                <w:sz w:val="20"/>
              </w:rPr>
              <w:t>Bioequivalence study (Phase I)</w:t>
            </w:r>
          </w:p>
        </w:tc>
      </w:tr>
      <w:tr w:rsidR="007E2FB6" w:rsidRPr="004E2ADC" w:rsidTr="00FF59AE">
        <w:tc>
          <w:tcPr>
            <w:tcW w:w="673" w:type="pct"/>
            <w:vAlign w:val="center"/>
          </w:tcPr>
          <w:p w:rsidR="007E2FB6" w:rsidRPr="00EE6A05" w:rsidRDefault="007E2FB6" w:rsidP="009703AA">
            <w:pPr>
              <w:jc w:val="left"/>
              <w:rPr>
                <w:rFonts w:ascii="Arial Narrow" w:hAnsi="Arial Narrow"/>
                <w:b/>
                <w:sz w:val="20"/>
              </w:rPr>
            </w:pPr>
            <w:r w:rsidRPr="00EE6A05">
              <w:rPr>
                <w:rFonts w:ascii="Arial Narrow" w:hAnsi="Arial Narrow"/>
                <w:b/>
                <w:sz w:val="20"/>
              </w:rPr>
              <w:t>Study 1159</w:t>
            </w:r>
          </w:p>
          <w:p w:rsidR="007E2FB6" w:rsidRPr="004E2ADC" w:rsidRDefault="007E2FB6" w:rsidP="009703AA">
            <w:pPr>
              <w:jc w:val="left"/>
              <w:rPr>
                <w:rFonts w:ascii="Arial Narrow" w:hAnsi="Arial Narrow"/>
                <w:sz w:val="20"/>
              </w:rPr>
            </w:pPr>
            <w:r w:rsidRPr="00EE6A05">
              <w:rPr>
                <w:rFonts w:ascii="Arial Narrow" w:hAnsi="Arial Narrow"/>
                <w:sz w:val="20"/>
              </w:rPr>
              <w:t>GS-US-366-1159</w:t>
            </w:r>
          </w:p>
        </w:tc>
        <w:tc>
          <w:tcPr>
            <w:tcW w:w="3244" w:type="pct"/>
          </w:tcPr>
          <w:p w:rsidR="007E2FB6" w:rsidRDefault="007E2FB6" w:rsidP="009703AA">
            <w:pPr>
              <w:jc w:val="left"/>
              <w:rPr>
                <w:rFonts w:ascii="Arial Narrow" w:hAnsi="Arial Narrow"/>
                <w:bCs/>
                <w:sz w:val="20"/>
              </w:rPr>
            </w:pPr>
            <w:r w:rsidRPr="003815DC">
              <w:rPr>
                <w:rFonts w:ascii="Arial Narrow" w:hAnsi="Arial Narrow"/>
                <w:bCs/>
                <w:sz w:val="20"/>
              </w:rPr>
              <w:t xml:space="preserve">A Phase 1, Randomised, Open-Label, Single-Dose, Three-Way, Six-Sequence, Cross-Over Study to Evaluate the Bioequivalence of </w:t>
            </w:r>
            <w:proofErr w:type="spellStart"/>
            <w:r w:rsidRPr="003815DC">
              <w:rPr>
                <w:rFonts w:ascii="Arial Narrow" w:hAnsi="Arial Narrow"/>
                <w:bCs/>
                <w:sz w:val="20"/>
              </w:rPr>
              <w:t>Emtricitabine</w:t>
            </w:r>
            <w:proofErr w:type="spellEnd"/>
            <w:r w:rsidRPr="003815DC">
              <w:rPr>
                <w:rFonts w:ascii="Arial Narrow" w:hAnsi="Arial Narrow"/>
                <w:bCs/>
                <w:sz w:val="20"/>
              </w:rPr>
              <w:t xml:space="preserve">, </w:t>
            </w:r>
            <w:proofErr w:type="spellStart"/>
            <w:r w:rsidRPr="003815DC">
              <w:rPr>
                <w:rFonts w:ascii="Arial Narrow" w:hAnsi="Arial Narrow"/>
                <w:bCs/>
                <w:sz w:val="20"/>
              </w:rPr>
              <w:t>Rilpivirine</w:t>
            </w:r>
            <w:proofErr w:type="spellEnd"/>
            <w:r w:rsidRPr="003815DC">
              <w:rPr>
                <w:rFonts w:ascii="Arial Narrow" w:hAnsi="Arial Narrow"/>
                <w:bCs/>
                <w:sz w:val="20"/>
              </w:rPr>
              <w:t xml:space="preserve"> and </w:t>
            </w:r>
            <w:proofErr w:type="spellStart"/>
            <w:r w:rsidRPr="003815DC">
              <w:rPr>
                <w:rFonts w:ascii="Arial Narrow" w:hAnsi="Arial Narrow"/>
                <w:bCs/>
                <w:sz w:val="20"/>
              </w:rPr>
              <w:t>Tenofovir</w:t>
            </w:r>
            <w:proofErr w:type="spellEnd"/>
            <w:r w:rsidRPr="003815DC">
              <w:rPr>
                <w:rFonts w:ascii="Arial Narrow" w:hAnsi="Arial Narrow"/>
                <w:bCs/>
                <w:sz w:val="20"/>
              </w:rPr>
              <w:t xml:space="preserve"> </w:t>
            </w:r>
            <w:proofErr w:type="spellStart"/>
            <w:r w:rsidRPr="003815DC">
              <w:rPr>
                <w:rFonts w:ascii="Arial Narrow" w:hAnsi="Arial Narrow"/>
                <w:bCs/>
                <w:sz w:val="20"/>
              </w:rPr>
              <w:t>Alafenamide</w:t>
            </w:r>
            <w:proofErr w:type="spellEnd"/>
            <w:r w:rsidRPr="003815DC">
              <w:rPr>
                <w:rFonts w:ascii="Arial Narrow" w:hAnsi="Arial Narrow"/>
                <w:bCs/>
                <w:sz w:val="20"/>
              </w:rPr>
              <w:t xml:space="preserve"> from a Fixed Dose Combination of </w:t>
            </w:r>
            <w:proofErr w:type="spellStart"/>
            <w:r w:rsidRPr="003815DC">
              <w:rPr>
                <w:rFonts w:ascii="Arial Narrow" w:hAnsi="Arial Narrow"/>
                <w:bCs/>
                <w:sz w:val="20"/>
              </w:rPr>
              <w:t>Emtricitabine</w:t>
            </w:r>
            <w:proofErr w:type="spellEnd"/>
            <w:r w:rsidRPr="003815DC">
              <w:rPr>
                <w:rFonts w:ascii="Arial Narrow" w:hAnsi="Arial Narrow"/>
                <w:bCs/>
                <w:sz w:val="20"/>
              </w:rPr>
              <w:t>/</w:t>
            </w:r>
            <w:proofErr w:type="spellStart"/>
            <w:r w:rsidRPr="003815DC">
              <w:rPr>
                <w:rFonts w:ascii="Arial Narrow" w:hAnsi="Arial Narrow"/>
                <w:bCs/>
                <w:sz w:val="20"/>
              </w:rPr>
              <w:t>Rilpivirine</w:t>
            </w:r>
            <w:proofErr w:type="spellEnd"/>
            <w:r w:rsidRPr="003815DC">
              <w:rPr>
                <w:rFonts w:ascii="Arial Narrow" w:hAnsi="Arial Narrow"/>
                <w:bCs/>
                <w:sz w:val="20"/>
              </w:rPr>
              <w:t>/</w:t>
            </w:r>
            <w:proofErr w:type="spellStart"/>
            <w:r w:rsidRPr="003815DC">
              <w:rPr>
                <w:rFonts w:ascii="Arial Narrow" w:hAnsi="Arial Narrow"/>
                <w:bCs/>
                <w:sz w:val="20"/>
              </w:rPr>
              <w:t>Tenofovir</w:t>
            </w:r>
            <w:proofErr w:type="spellEnd"/>
            <w:r w:rsidRPr="003815DC">
              <w:rPr>
                <w:rFonts w:ascii="Arial Narrow" w:hAnsi="Arial Narrow"/>
                <w:bCs/>
                <w:sz w:val="20"/>
              </w:rPr>
              <w:t xml:space="preserve"> </w:t>
            </w:r>
            <w:proofErr w:type="spellStart"/>
            <w:r w:rsidRPr="003815DC">
              <w:rPr>
                <w:rFonts w:ascii="Arial Narrow" w:hAnsi="Arial Narrow"/>
                <w:bCs/>
                <w:sz w:val="20"/>
              </w:rPr>
              <w:t>Alafenamide</w:t>
            </w:r>
            <w:proofErr w:type="spellEnd"/>
            <w:r w:rsidRPr="003815DC">
              <w:rPr>
                <w:rFonts w:ascii="Arial Narrow" w:hAnsi="Arial Narrow"/>
                <w:bCs/>
                <w:sz w:val="20"/>
              </w:rPr>
              <w:t xml:space="preserve">  Relative to </w:t>
            </w:r>
            <w:proofErr w:type="spellStart"/>
            <w:r w:rsidRPr="003815DC">
              <w:rPr>
                <w:rFonts w:ascii="Arial Narrow" w:hAnsi="Arial Narrow"/>
                <w:bCs/>
                <w:sz w:val="20"/>
              </w:rPr>
              <w:t>Elvitegravir</w:t>
            </w:r>
            <w:proofErr w:type="spellEnd"/>
            <w:r w:rsidRPr="003815DC">
              <w:rPr>
                <w:rFonts w:ascii="Arial Narrow" w:hAnsi="Arial Narrow"/>
                <w:bCs/>
                <w:sz w:val="20"/>
              </w:rPr>
              <w:t>/</w:t>
            </w:r>
            <w:proofErr w:type="spellStart"/>
            <w:r w:rsidRPr="003815DC">
              <w:rPr>
                <w:rFonts w:ascii="Arial Narrow" w:hAnsi="Arial Narrow"/>
                <w:bCs/>
                <w:sz w:val="20"/>
              </w:rPr>
              <w:t>Cobicistat</w:t>
            </w:r>
            <w:proofErr w:type="spellEnd"/>
            <w:r w:rsidRPr="003815DC">
              <w:rPr>
                <w:rFonts w:ascii="Arial Narrow" w:hAnsi="Arial Narrow"/>
                <w:bCs/>
                <w:sz w:val="20"/>
              </w:rPr>
              <w:t>/</w:t>
            </w:r>
            <w:proofErr w:type="spellStart"/>
            <w:r w:rsidRPr="003815DC">
              <w:rPr>
                <w:rFonts w:ascii="Arial Narrow" w:hAnsi="Arial Narrow"/>
                <w:bCs/>
                <w:sz w:val="20"/>
              </w:rPr>
              <w:t>Emtricitabine</w:t>
            </w:r>
            <w:proofErr w:type="spellEnd"/>
            <w:r w:rsidRPr="003815DC">
              <w:rPr>
                <w:rFonts w:ascii="Arial Narrow" w:hAnsi="Arial Narrow"/>
                <w:bCs/>
                <w:sz w:val="20"/>
              </w:rPr>
              <w:t>/</w:t>
            </w:r>
            <w:proofErr w:type="spellStart"/>
            <w:r w:rsidRPr="003815DC">
              <w:rPr>
                <w:rFonts w:ascii="Arial Narrow" w:hAnsi="Arial Narrow"/>
                <w:bCs/>
                <w:sz w:val="20"/>
              </w:rPr>
              <w:t>Tenofovir</w:t>
            </w:r>
            <w:proofErr w:type="spellEnd"/>
            <w:r w:rsidRPr="003815DC">
              <w:rPr>
                <w:rFonts w:ascii="Arial Narrow" w:hAnsi="Arial Narrow"/>
                <w:bCs/>
                <w:sz w:val="20"/>
              </w:rPr>
              <w:t xml:space="preserve"> </w:t>
            </w:r>
            <w:proofErr w:type="spellStart"/>
            <w:r w:rsidRPr="003815DC">
              <w:rPr>
                <w:rFonts w:ascii="Arial Narrow" w:hAnsi="Arial Narrow"/>
                <w:bCs/>
                <w:sz w:val="20"/>
              </w:rPr>
              <w:t>Alafenamide</w:t>
            </w:r>
            <w:proofErr w:type="spellEnd"/>
            <w:r w:rsidRPr="003815DC">
              <w:rPr>
                <w:rFonts w:ascii="Arial Narrow" w:hAnsi="Arial Narrow"/>
                <w:bCs/>
                <w:sz w:val="20"/>
              </w:rPr>
              <w:t xml:space="preserve"> Fixed-Dose Combination and </w:t>
            </w:r>
            <w:proofErr w:type="spellStart"/>
            <w:r w:rsidRPr="003815DC">
              <w:rPr>
                <w:rFonts w:ascii="Arial Narrow" w:hAnsi="Arial Narrow"/>
                <w:bCs/>
                <w:sz w:val="20"/>
              </w:rPr>
              <w:t>Rilpivirine</w:t>
            </w:r>
            <w:proofErr w:type="spellEnd"/>
            <w:r>
              <w:rPr>
                <w:rFonts w:ascii="Arial Narrow" w:hAnsi="Arial Narrow"/>
                <w:bCs/>
                <w:sz w:val="20"/>
              </w:rPr>
              <w:t>. Final Clinical Study Report.</w:t>
            </w:r>
          </w:p>
          <w:p w:rsidR="007E2FB6" w:rsidRPr="003815DC" w:rsidRDefault="007E2FB6" w:rsidP="009703AA">
            <w:pPr>
              <w:jc w:val="left"/>
              <w:rPr>
                <w:rFonts w:ascii="Arial Narrow" w:hAnsi="Arial Narrow"/>
                <w:bCs/>
                <w:sz w:val="20"/>
              </w:rPr>
            </w:pPr>
            <w:r w:rsidRPr="00FD0939">
              <w:rPr>
                <w:rFonts w:ascii="Arial Narrow" w:hAnsi="Arial Narrow"/>
                <w:bCs/>
                <w:sz w:val="20"/>
              </w:rPr>
              <w:t>Za</w:t>
            </w:r>
            <w:r>
              <w:rPr>
                <w:rFonts w:ascii="Arial Narrow" w:hAnsi="Arial Narrow"/>
                <w:bCs/>
                <w:sz w:val="20"/>
              </w:rPr>
              <w:t xml:space="preserve">ck J, Chuck S, Chu H, </w:t>
            </w:r>
            <w:r w:rsidRPr="006A5EFA">
              <w:rPr>
                <w:rFonts w:ascii="Arial Narrow" w:hAnsi="Arial Narrow"/>
                <w:bCs/>
                <w:i/>
                <w:iCs/>
                <w:sz w:val="20"/>
              </w:rPr>
              <w:t>et al.</w:t>
            </w:r>
            <w:r>
              <w:rPr>
                <w:rFonts w:ascii="Arial Narrow" w:hAnsi="Arial Narrow"/>
                <w:bCs/>
                <w:sz w:val="20"/>
              </w:rPr>
              <w:t xml:space="preserve"> </w:t>
            </w:r>
            <w:r w:rsidRPr="00FD0939">
              <w:rPr>
                <w:rFonts w:ascii="Arial Narrow" w:hAnsi="Arial Narrow"/>
                <w:bCs/>
                <w:sz w:val="20"/>
              </w:rPr>
              <w:t xml:space="preserve">Bioequivalence of the </w:t>
            </w:r>
            <w:proofErr w:type="spellStart"/>
            <w:r w:rsidRPr="00FD0939">
              <w:rPr>
                <w:rFonts w:ascii="Arial Narrow" w:hAnsi="Arial Narrow"/>
                <w:bCs/>
                <w:sz w:val="20"/>
              </w:rPr>
              <w:t>rilpivirine</w:t>
            </w:r>
            <w:proofErr w:type="spellEnd"/>
            <w:r w:rsidRPr="00FD0939">
              <w:rPr>
                <w:rFonts w:ascii="Arial Narrow" w:hAnsi="Arial Narrow"/>
                <w:bCs/>
                <w:sz w:val="20"/>
              </w:rPr>
              <w:t>/</w:t>
            </w:r>
            <w:proofErr w:type="spellStart"/>
            <w:r w:rsidRPr="00FD0939">
              <w:rPr>
                <w:rFonts w:ascii="Arial Narrow" w:hAnsi="Arial Narrow"/>
                <w:bCs/>
                <w:sz w:val="20"/>
              </w:rPr>
              <w:t>emtricitabine</w:t>
            </w:r>
            <w:proofErr w:type="spellEnd"/>
            <w:r w:rsidRPr="00FD0939">
              <w:rPr>
                <w:rFonts w:ascii="Arial Narrow" w:hAnsi="Arial Narrow"/>
                <w:bCs/>
                <w:sz w:val="20"/>
              </w:rPr>
              <w:t>/</w:t>
            </w:r>
            <w:proofErr w:type="spellStart"/>
            <w:r w:rsidRPr="00FD0939">
              <w:rPr>
                <w:rFonts w:ascii="Arial Narrow" w:hAnsi="Arial Narrow"/>
                <w:bCs/>
                <w:sz w:val="20"/>
              </w:rPr>
              <w:t>tenofovir</w:t>
            </w:r>
            <w:proofErr w:type="spellEnd"/>
            <w:r w:rsidRPr="00FD0939">
              <w:rPr>
                <w:rFonts w:ascii="Arial Narrow" w:hAnsi="Arial Narrow"/>
                <w:bCs/>
                <w:sz w:val="20"/>
              </w:rPr>
              <w:t xml:space="preserve"> </w:t>
            </w:r>
            <w:proofErr w:type="spellStart"/>
            <w:r w:rsidRPr="00FD0939">
              <w:rPr>
                <w:rFonts w:ascii="Arial Narrow" w:hAnsi="Arial Narrow"/>
                <w:bCs/>
                <w:sz w:val="20"/>
              </w:rPr>
              <w:t>alafenamide</w:t>
            </w:r>
            <w:proofErr w:type="spellEnd"/>
            <w:r w:rsidRPr="00FD0939">
              <w:rPr>
                <w:rFonts w:ascii="Arial Narrow" w:hAnsi="Arial Narrow"/>
                <w:bCs/>
                <w:sz w:val="20"/>
              </w:rPr>
              <w:t xml:space="preserve"> single-tablet regimen. </w:t>
            </w:r>
          </w:p>
        </w:tc>
        <w:tc>
          <w:tcPr>
            <w:tcW w:w="1083" w:type="pct"/>
          </w:tcPr>
          <w:p w:rsidR="007E2FB6" w:rsidRDefault="007E2FB6" w:rsidP="009703AA">
            <w:pPr>
              <w:jc w:val="left"/>
              <w:rPr>
                <w:rFonts w:ascii="Arial Narrow" w:hAnsi="Arial Narrow"/>
                <w:bCs/>
                <w:i/>
                <w:iCs/>
                <w:sz w:val="20"/>
              </w:rPr>
            </w:pPr>
            <w:r>
              <w:rPr>
                <w:rFonts w:ascii="Arial Narrow" w:hAnsi="Arial Narrow"/>
                <w:bCs/>
                <w:sz w:val="20"/>
              </w:rPr>
              <w:t>28 April 2015</w:t>
            </w:r>
          </w:p>
          <w:p w:rsidR="007E2FB6" w:rsidRDefault="007E2FB6" w:rsidP="009703AA">
            <w:pPr>
              <w:jc w:val="left"/>
              <w:rPr>
                <w:rFonts w:ascii="Arial Narrow" w:hAnsi="Arial Narrow"/>
                <w:bCs/>
                <w:i/>
                <w:iCs/>
                <w:sz w:val="20"/>
              </w:rPr>
            </w:pPr>
          </w:p>
          <w:p w:rsidR="007E2FB6" w:rsidRDefault="007E2FB6" w:rsidP="009703AA">
            <w:pPr>
              <w:jc w:val="left"/>
              <w:rPr>
                <w:rFonts w:ascii="Arial Narrow" w:hAnsi="Arial Narrow"/>
                <w:bCs/>
                <w:i/>
                <w:iCs/>
                <w:sz w:val="20"/>
              </w:rPr>
            </w:pPr>
          </w:p>
          <w:p w:rsidR="007E2FB6" w:rsidRPr="004E2ADC" w:rsidRDefault="007E2FB6" w:rsidP="009703AA">
            <w:pPr>
              <w:jc w:val="left"/>
              <w:rPr>
                <w:rFonts w:ascii="Arial Narrow" w:hAnsi="Arial Narrow"/>
                <w:b/>
                <w:sz w:val="20"/>
              </w:rPr>
            </w:pPr>
            <w:r w:rsidRPr="0011482B">
              <w:rPr>
                <w:rFonts w:ascii="Arial Narrow" w:hAnsi="Arial Narrow"/>
                <w:bCs/>
                <w:i/>
                <w:iCs/>
                <w:sz w:val="20"/>
              </w:rPr>
              <w:t xml:space="preserve">J </w:t>
            </w:r>
            <w:proofErr w:type="spellStart"/>
            <w:r w:rsidRPr="0011482B">
              <w:rPr>
                <w:rFonts w:ascii="Arial Narrow" w:hAnsi="Arial Narrow"/>
                <w:bCs/>
                <w:i/>
                <w:iCs/>
                <w:sz w:val="20"/>
              </w:rPr>
              <w:t>Bioequiv</w:t>
            </w:r>
            <w:proofErr w:type="spellEnd"/>
            <w:r w:rsidRPr="0011482B">
              <w:rPr>
                <w:rFonts w:ascii="Arial Narrow" w:hAnsi="Arial Narrow"/>
                <w:bCs/>
                <w:i/>
                <w:iCs/>
                <w:sz w:val="20"/>
              </w:rPr>
              <w:t xml:space="preserve"> </w:t>
            </w:r>
            <w:proofErr w:type="spellStart"/>
            <w:r w:rsidRPr="0011482B">
              <w:rPr>
                <w:rFonts w:ascii="Arial Narrow" w:hAnsi="Arial Narrow"/>
                <w:bCs/>
                <w:i/>
                <w:iCs/>
                <w:sz w:val="20"/>
              </w:rPr>
              <w:t>Availab</w:t>
            </w:r>
            <w:proofErr w:type="spellEnd"/>
            <w:r w:rsidRPr="00FD0939">
              <w:rPr>
                <w:rFonts w:ascii="Arial Narrow" w:hAnsi="Arial Narrow"/>
                <w:bCs/>
                <w:sz w:val="20"/>
              </w:rPr>
              <w:t xml:space="preserve"> 2016; 8(2): 49-54.</w:t>
            </w:r>
          </w:p>
        </w:tc>
      </w:tr>
      <w:tr w:rsidR="007E2FB6" w:rsidRPr="004E2ADC" w:rsidTr="00AF134D">
        <w:tc>
          <w:tcPr>
            <w:tcW w:w="5000" w:type="pct"/>
            <w:gridSpan w:val="3"/>
            <w:vAlign w:val="center"/>
          </w:tcPr>
          <w:p w:rsidR="007E2FB6" w:rsidRPr="004E2ADC" w:rsidRDefault="007E2FB6" w:rsidP="009703AA">
            <w:pPr>
              <w:jc w:val="left"/>
              <w:rPr>
                <w:rFonts w:ascii="Arial Narrow" w:hAnsi="Arial Narrow"/>
                <w:b/>
                <w:sz w:val="20"/>
              </w:rPr>
            </w:pPr>
            <w:r>
              <w:rPr>
                <w:rFonts w:ascii="Arial Narrow" w:hAnsi="Arial Narrow"/>
                <w:b/>
                <w:sz w:val="20"/>
              </w:rPr>
              <w:t>Supplementary randomised controlled trials (Phase III)</w:t>
            </w:r>
          </w:p>
        </w:tc>
      </w:tr>
      <w:tr w:rsidR="007E2FB6" w:rsidRPr="004E2ADC" w:rsidTr="00FF59AE">
        <w:tc>
          <w:tcPr>
            <w:tcW w:w="673" w:type="pct"/>
            <w:vAlign w:val="center"/>
          </w:tcPr>
          <w:p w:rsidR="007E2FB6" w:rsidRDefault="007E2FB6" w:rsidP="009703AA">
            <w:pPr>
              <w:jc w:val="left"/>
              <w:rPr>
                <w:rFonts w:ascii="Arial Narrow" w:hAnsi="Arial Narrow"/>
                <w:b/>
                <w:sz w:val="20"/>
              </w:rPr>
            </w:pPr>
            <w:r w:rsidRPr="006349AF">
              <w:rPr>
                <w:rFonts w:ascii="Arial Narrow" w:hAnsi="Arial Narrow"/>
                <w:b/>
                <w:sz w:val="20"/>
              </w:rPr>
              <w:t>Study 104</w:t>
            </w:r>
          </w:p>
          <w:p w:rsidR="007E2FB6" w:rsidRPr="006349AF" w:rsidRDefault="007E2FB6" w:rsidP="009703AA">
            <w:pPr>
              <w:rPr>
                <w:rFonts w:ascii="Arial Narrow" w:hAnsi="Arial Narrow"/>
                <w:bCs/>
                <w:sz w:val="20"/>
              </w:rPr>
            </w:pPr>
            <w:r w:rsidRPr="006349AF">
              <w:rPr>
                <w:rFonts w:ascii="Arial Narrow" w:hAnsi="Arial Narrow"/>
                <w:bCs/>
                <w:sz w:val="20"/>
              </w:rPr>
              <w:t>NCT01780506</w:t>
            </w:r>
          </w:p>
          <w:p w:rsidR="007E2FB6" w:rsidRPr="006349AF" w:rsidRDefault="007E2FB6" w:rsidP="009703AA">
            <w:pPr>
              <w:jc w:val="left"/>
              <w:rPr>
                <w:rFonts w:ascii="Arial Narrow" w:hAnsi="Arial Narrow"/>
                <w:b/>
                <w:sz w:val="20"/>
              </w:rPr>
            </w:pPr>
            <w:r w:rsidRPr="006349AF">
              <w:rPr>
                <w:rFonts w:ascii="Arial Narrow" w:hAnsi="Arial Narrow"/>
                <w:bCs/>
                <w:sz w:val="20"/>
              </w:rPr>
              <w:t>GS-US-292-0104</w:t>
            </w:r>
          </w:p>
        </w:tc>
        <w:tc>
          <w:tcPr>
            <w:tcW w:w="3244" w:type="pct"/>
          </w:tcPr>
          <w:p w:rsidR="007E2FB6" w:rsidRDefault="007E2FB6" w:rsidP="009703AA">
            <w:pPr>
              <w:jc w:val="left"/>
              <w:rPr>
                <w:rFonts w:ascii="Arial Narrow" w:hAnsi="Arial Narrow"/>
                <w:bCs/>
                <w:sz w:val="20"/>
              </w:rPr>
            </w:pPr>
            <w:r w:rsidRPr="00504935">
              <w:rPr>
                <w:rFonts w:ascii="Arial Narrow" w:hAnsi="Arial Narrow"/>
                <w:bCs/>
                <w:sz w:val="20"/>
              </w:rPr>
              <w:t xml:space="preserve">A Phase 3, Randomised, Double-Blind Study to Evaluate the Safety and Efficacy of </w:t>
            </w:r>
            <w:proofErr w:type="spellStart"/>
            <w:r w:rsidRPr="00504935">
              <w:rPr>
                <w:rFonts w:ascii="Arial Narrow" w:hAnsi="Arial Narrow"/>
                <w:bCs/>
                <w:sz w:val="20"/>
              </w:rPr>
              <w:t>Elvitegravir</w:t>
            </w:r>
            <w:proofErr w:type="spellEnd"/>
            <w:r w:rsidRPr="00504935">
              <w:rPr>
                <w:rFonts w:ascii="Arial Narrow" w:hAnsi="Arial Narrow"/>
                <w:bCs/>
                <w:sz w:val="20"/>
              </w:rPr>
              <w:t>/</w:t>
            </w:r>
            <w:proofErr w:type="spellStart"/>
            <w:r w:rsidRPr="00504935">
              <w:rPr>
                <w:rFonts w:ascii="Arial Narrow" w:hAnsi="Arial Narrow"/>
                <w:bCs/>
                <w:sz w:val="20"/>
              </w:rPr>
              <w:t>Cobicistat</w:t>
            </w:r>
            <w:proofErr w:type="spellEnd"/>
            <w:r w:rsidRPr="00504935">
              <w:rPr>
                <w:rFonts w:ascii="Arial Narrow" w:hAnsi="Arial Narrow"/>
                <w:bCs/>
                <w:sz w:val="20"/>
              </w:rPr>
              <w:t>/</w:t>
            </w:r>
            <w:proofErr w:type="spellStart"/>
            <w:r w:rsidRPr="00504935">
              <w:rPr>
                <w:rFonts w:ascii="Arial Narrow" w:hAnsi="Arial Narrow"/>
                <w:bCs/>
                <w:sz w:val="20"/>
              </w:rPr>
              <w:t>Emtricitabine</w:t>
            </w:r>
            <w:proofErr w:type="spellEnd"/>
            <w:r w:rsidRPr="00504935">
              <w:rPr>
                <w:rFonts w:ascii="Arial Narrow" w:hAnsi="Arial Narrow"/>
                <w:bCs/>
                <w:sz w:val="20"/>
              </w:rPr>
              <w:t>/</w:t>
            </w:r>
            <w:proofErr w:type="spellStart"/>
            <w:r w:rsidRPr="00504935">
              <w:rPr>
                <w:rFonts w:ascii="Arial Narrow" w:hAnsi="Arial Narrow"/>
                <w:bCs/>
                <w:sz w:val="20"/>
              </w:rPr>
              <w:t>Tenofovir</w:t>
            </w:r>
            <w:proofErr w:type="spellEnd"/>
            <w:r w:rsidRPr="00504935">
              <w:rPr>
                <w:rFonts w:ascii="Arial Narrow" w:hAnsi="Arial Narrow"/>
                <w:bCs/>
                <w:sz w:val="20"/>
              </w:rPr>
              <w:t xml:space="preserve"> </w:t>
            </w:r>
            <w:proofErr w:type="spellStart"/>
            <w:r w:rsidRPr="00504935">
              <w:rPr>
                <w:rFonts w:ascii="Arial Narrow" w:hAnsi="Arial Narrow"/>
                <w:bCs/>
                <w:sz w:val="20"/>
              </w:rPr>
              <w:t>Alafenamide</w:t>
            </w:r>
            <w:proofErr w:type="spellEnd"/>
            <w:r w:rsidRPr="00504935">
              <w:rPr>
                <w:rFonts w:ascii="Arial Narrow" w:hAnsi="Arial Narrow"/>
                <w:bCs/>
                <w:sz w:val="20"/>
              </w:rPr>
              <w:t xml:space="preserve"> Versus </w:t>
            </w:r>
            <w:proofErr w:type="spellStart"/>
            <w:r w:rsidRPr="00504935">
              <w:rPr>
                <w:rFonts w:ascii="Arial Narrow" w:hAnsi="Arial Narrow"/>
                <w:bCs/>
                <w:sz w:val="20"/>
              </w:rPr>
              <w:t>Elvitegravir</w:t>
            </w:r>
            <w:proofErr w:type="spellEnd"/>
            <w:r w:rsidRPr="00504935">
              <w:rPr>
                <w:rFonts w:ascii="Arial Narrow" w:hAnsi="Arial Narrow"/>
                <w:bCs/>
                <w:sz w:val="20"/>
              </w:rPr>
              <w:t>/</w:t>
            </w:r>
            <w:proofErr w:type="spellStart"/>
            <w:r w:rsidRPr="00504935">
              <w:rPr>
                <w:rFonts w:ascii="Arial Narrow" w:hAnsi="Arial Narrow"/>
                <w:bCs/>
                <w:sz w:val="20"/>
              </w:rPr>
              <w:t>Cobicistat</w:t>
            </w:r>
            <w:proofErr w:type="spellEnd"/>
            <w:r w:rsidRPr="00504935">
              <w:rPr>
                <w:rFonts w:ascii="Arial Narrow" w:hAnsi="Arial Narrow"/>
                <w:bCs/>
                <w:sz w:val="20"/>
              </w:rPr>
              <w:t>/</w:t>
            </w:r>
            <w:proofErr w:type="spellStart"/>
            <w:r w:rsidRPr="00504935">
              <w:rPr>
                <w:rFonts w:ascii="Arial Narrow" w:hAnsi="Arial Narrow"/>
                <w:bCs/>
                <w:sz w:val="20"/>
              </w:rPr>
              <w:t>Emtricitabine</w:t>
            </w:r>
            <w:proofErr w:type="spellEnd"/>
            <w:r w:rsidRPr="00504935">
              <w:rPr>
                <w:rFonts w:ascii="Arial Narrow" w:hAnsi="Arial Narrow"/>
                <w:bCs/>
                <w:sz w:val="20"/>
              </w:rPr>
              <w:t>/</w:t>
            </w:r>
            <w:proofErr w:type="spellStart"/>
            <w:r w:rsidRPr="00504935">
              <w:rPr>
                <w:rFonts w:ascii="Arial Narrow" w:hAnsi="Arial Narrow"/>
                <w:bCs/>
                <w:sz w:val="20"/>
              </w:rPr>
              <w:t>Tenofovir</w:t>
            </w:r>
            <w:proofErr w:type="spellEnd"/>
            <w:r w:rsidRPr="00504935">
              <w:rPr>
                <w:rFonts w:ascii="Arial Narrow" w:hAnsi="Arial Narrow"/>
                <w:bCs/>
                <w:sz w:val="20"/>
              </w:rPr>
              <w:t xml:space="preserve"> </w:t>
            </w:r>
            <w:proofErr w:type="spellStart"/>
            <w:r w:rsidRPr="00504935">
              <w:rPr>
                <w:rFonts w:ascii="Arial Narrow" w:hAnsi="Arial Narrow"/>
                <w:bCs/>
                <w:sz w:val="20"/>
              </w:rPr>
              <w:t>Disoproxil</w:t>
            </w:r>
            <w:proofErr w:type="spellEnd"/>
            <w:r w:rsidRPr="00504935">
              <w:rPr>
                <w:rFonts w:ascii="Arial Narrow" w:hAnsi="Arial Narrow"/>
                <w:bCs/>
                <w:sz w:val="20"/>
              </w:rPr>
              <w:t xml:space="preserve"> </w:t>
            </w:r>
            <w:proofErr w:type="spellStart"/>
            <w:r w:rsidRPr="00504935">
              <w:rPr>
                <w:rFonts w:ascii="Arial Narrow" w:hAnsi="Arial Narrow"/>
                <w:bCs/>
                <w:sz w:val="20"/>
              </w:rPr>
              <w:t>Fumarate</w:t>
            </w:r>
            <w:proofErr w:type="spellEnd"/>
            <w:r w:rsidRPr="00504935">
              <w:rPr>
                <w:rFonts w:ascii="Arial Narrow" w:hAnsi="Arial Narrow"/>
                <w:bCs/>
                <w:sz w:val="20"/>
              </w:rPr>
              <w:t xml:space="preserve"> in HIV-1 Positive, Antiretroviral Treatment- Naive Adults.</w:t>
            </w:r>
            <w:r>
              <w:rPr>
                <w:rFonts w:ascii="Arial Narrow" w:hAnsi="Arial Narrow"/>
                <w:bCs/>
                <w:sz w:val="20"/>
              </w:rPr>
              <w:t xml:space="preserve"> Interim Week 48 Clinical Study Report.</w:t>
            </w:r>
          </w:p>
          <w:p w:rsidR="007E2FB6" w:rsidRPr="00504935" w:rsidRDefault="007E2FB6" w:rsidP="009703AA">
            <w:pPr>
              <w:jc w:val="left"/>
              <w:rPr>
                <w:rFonts w:ascii="Arial Narrow" w:hAnsi="Arial Narrow"/>
                <w:bCs/>
                <w:sz w:val="20"/>
              </w:rPr>
            </w:pPr>
            <w:r w:rsidRPr="00504935">
              <w:rPr>
                <w:rFonts w:ascii="Arial Narrow" w:hAnsi="Arial Narrow"/>
                <w:bCs/>
                <w:sz w:val="20"/>
              </w:rPr>
              <w:t xml:space="preserve">A Phase 3, Randomised, Double-Blind Study to Evaluate the Safety and Efficacy of </w:t>
            </w:r>
            <w:proofErr w:type="spellStart"/>
            <w:r w:rsidRPr="00504935">
              <w:rPr>
                <w:rFonts w:ascii="Arial Narrow" w:hAnsi="Arial Narrow"/>
                <w:bCs/>
                <w:sz w:val="20"/>
              </w:rPr>
              <w:t>Elvitegravir</w:t>
            </w:r>
            <w:proofErr w:type="spellEnd"/>
            <w:r w:rsidRPr="00504935">
              <w:rPr>
                <w:rFonts w:ascii="Arial Narrow" w:hAnsi="Arial Narrow"/>
                <w:bCs/>
                <w:sz w:val="20"/>
              </w:rPr>
              <w:t>/</w:t>
            </w:r>
            <w:proofErr w:type="spellStart"/>
            <w:r w:rsidRPr="00504935">
              <w:rPr>
                <w:rFonts w:ascii="Arial Narrow" w:hAnsi="Arial Narrow"/>
                <w:bCs/>
                <w:sz w:val="20"/>
              </w:rPr>
              <w:t>Cobicistat</w:t>
            </w:r>
            <w:proofErr w:type="spellEnd"/>
            <w:r w:rsidRPr="00504935">
              <w:rPr>
                <w:rFonts w:ascii="Arial Narrow" w:hAnsi="Arial Narrow"/>
                <w:bCs/>
                <w:sz w:val="20"/>
              </w:rPr>
              <w:t>/</w:t>
            </w:r>
            <w:proofErr w:type="spellStart"/>
            <w:r w:rsidRPr="00504935">
              <w:rPr>
                <w:rFonts w:ascii="Arial Narrow" w:hAnsi="Arial Narrow"/>
                <w:bCs/>
                <w:sz w:val="20"/>
              </w:rPr>
              <w:t>Emtricitabine</w:t>
            </w:r>
            <w:proofErr w:type="spellEnd"/>
            <w:r w:rsidRPr="00504935">
              <w:rPr>
                <w:rFonts w:ascii="Arial Narrow" w:hAnsi="Arial Narrow"/>
                <w:bCs/>
                <w:sz w:val="20"/>
              </w:rPr>
              <w:t>/</w:t>
            </w:r>
            <w:proofErr w:type="spellStart"/>
            <w:r w:rsidRPr="00504935">
              <w:rPr>
                <w:rFonts w:ascii="Arial Narrow" w:hAnsi="Arial Narrow"/>
                <w:bCs/>
                <w:sz w:val="20"/>
              </w:rPr>
              <w:t>Tenofovir</w:t>
            </w:r>
            <w:proofErr w:type="spellEnd"/>
            <w:r w:rsidRPr="00504935">
              <w:rPr>
                <w:rFonts w:ascii="Arial Narrow" w:hAnsi="Arial Narrow"/>
                <w:bCs/>
                <w:sz w:val="20"/>
              </w:rPr>
              <w:t xml:space="preserve"> </w:t>
            </w:r>
            <w:proofErr w:type="spellStart"/>
            <w:r w:rsidRPr="00504935">
              <w:rPr>
                <w:rFonts w:ascii="Arial Narrow" w:hAnsi="Arial Narrow"/>
                <w:bCs/>
                <w:sz w:val="20"/>
              </w:rPr>
              <w:t>Alafenamide</w:t>
            </w:r>
            <w:proofErr w:type="spellEnd"/>
            <w:r w:rsidRPr="00504935">
              <w:rPr>
                <w:rFonts w:ascii="Arial Narrow" w:hAnsi="Arial Narrow"/>
                <w:bCs/>
                <w:sz w:val="20"/>
              </w:rPr>
              <w:t xml:space="preserve"> Versus </w:t>
            </w:r>
            <w:proofErr w:type="spellStart"/>
            <w:r w:rsidRPr="00504935">
              <w:rPr>
                <w:rFonts w:ascii="Arial Narrow" w:hAnsi="Arial Narrow"/>
                <w:bCs/>
                <w:sz w:val="20"/>
              </w:rPr>
              <w:t>Elvitegravir</w:t>
            </w:r>
            <w:proofErr w:type="spellEnd"/>
            <w:r w:rsidRPr="00504935">
              <w:rPr>
                <w:rFonts w:ascii="Arial Narrow" w:hAnsi="Arial Narrow"/>
                <w:bCs/>
                <w:sz w:val="20"/>
              </w:rPr>
              <w:t>/</w:t>
            </w:r>
            <w:proofErr w:type="spellStart"/>
            <w:r w:rsidRPr="00504935">
              <w:rPr>
                <w:rFonts w:ascii="Arial Narrow" w:hAnsi="Arial Narrow"/>
                <w:bCs/>
                <w:sz w:val="20"/>
              </w:rPr>
              <w:t>Cobicistat</w:t>
            </w:r>
            <w:proofErr w:type="spellEnd"/>
            <w:r w:rsidRPr="00504935">
              <w:rPr>
                <w:rFonts w:ascii="Arial Narrow" w:hAnsi="Arial Narrow"/>
                <w:bCs/>
                <w:sz w:val="20"/>
              </w:rPr>
              <w:t>/</w:t>
            </w:r>
            <w:proofErr w:type="spellStart"/>
            <w:r w:rsidRPr="00504935">
              <w:rPr>
                <w:rFonts w:ascii="Arial Narrow" w:hAnsi="Arial Narrow"/>
                <w:bCs/>
                <w:sz w:val="20"/>
              </w:rPr>
              <w:t>Emtricitabine</w:t>
            </w:r>
            <w:proofErr w:type="spellEnd"/>
            <w:r w:rsidRPr="00504935">
              <w:rPr>
                <w:rFonts w:ascii="Arial Narrow" w:hAnsi="Arial Narrow"/>
                <w:bCs/>
                <w:sz w:val="20"/>
              </w:rPr>
              <w:t>/</w:t>
            </w:r>
            <w:proofErr w:type="spellStart"/>
            <w:r w:rsidRPr="00504935">
              <w:rPr>
                <w:rFonts w:ascii="Arial Narrow" w:hAnsi="Arial Narrow"/>
                <w:bCs/>
                <w:sz w:val="20"/>
              </w:rPr>
              <w:t>Tenofovir</w:t>
            </w:r>
            <w:proofErr w:type="spellEnd"/>
            <w:r w:rsidRPr="00504935">
              <w:rPr>
                <w:rFonts w:ascii="Arial Narrow" w:hAnsi="Arial Narrow"/>
                <w:bCs/>
                <w:sz w:val="20"/>
              </w:rPr>
              <w:t xml:space="preserve"> </w:t>
            </w:r>
            <w:proofErr w:type="spellStart"/>
            <w:r w:rsidRPr="00504935">
              <w:rPr>
                <w:rFonts w:ascii="Arial Narrow" w:hAnsi="Arial Narrow"/>
                <w:bCs/>
                <w:sz w:val="20"/>
              </w:rPr>
              <w:t>Disoproxil</w:t>
            </w:r>
            <w:proofErr w:type="spellEnd"/>
            <w:r w:rsidRPr="00504935">
              <w:rPr>
                <w:rFonts w:ascii="Arial Narrow" w:hAnsi="Arial Narrow"/>
                <w:bCs/>
                <w:sz w:val="20"/>
              </w:rPr>
              <w:t xml:space="preserve"> </w:t>
            </w:r>
            <w:proofErr w:type="spellStart"/>
            <w:r w:rsidRPr="00504935">
              <w:rPr>
                <w:rFonts w:ascii="Arial Narrow" w:hAnsi="Arial Narrow"/>
                <w:bCs/>
                <w:sz w:val="20"/>
              </w:rPr>
              <w:t>Fumarate</w:t>
            </w:r>
            <w:proofErr w:type="spellEnd"/>
            <w:r w:rsidRPr="00504935">
              <w:rPr>
                <w:rFonts w:ascii="Arial Narrow" w:hAnsi="Arial Narrow"/>
                <w:bCs/>
                <w:sz w:val="20"/>
              </w:rPr>
              <w:t xml:space="preserve"> in HIV-1 Positive, Antiretroviral Treatment- Naive Adults.</w:t>
            </w:r>
            <w:r>
              <w:rPr>
                <w:rFonts w:ascii="Arial Narrow" w:hAnsi="Arial Narrow"/>
                <w:bCs/>
                <w:sz w:val="20"/>
              </w:rPr>
              <w:t xml:space="preserve"> Interim Week 96 Clinical Study Report.</w:t>
            </w:r>
          </w:p>
          <w:p w:rsidR="007E2FB6" w:rsidRDefault="007E2FB6" w:rsidP="009703AA">
            <w:pPr>
              <w:jc w:val="left"/>
              <w:rPr>
                <w:rFonts w:ascii="Arial Narrow" w:hAnsi="Arial Narrow"/>
                <w:bCs/>
                <w:sz w:val="20"/>
              </w:rPr>
            </w:pPr>
            <w:r w:rsidRPr="00504935">
              <w:rPr>
                <w:rFonts w:ascii="Arial Narrow" w:hAnsi="Arial Narrow"/>
                <w:bCs/>
                <w:sz w:val="20"/>
              </w:rPr>
              <w:t xml:space="preserve">Sax PE, </w:t>
            </w:r>
            <w:proofErr w:type="spellStart"/>
            <w:r w:rsidRPr="00504935">
              <w:rPr>
                <w:rFonts w:ascii="Arial Narrow" w:hAnsi="Arial Narrow"/>
                <w:bCs/>
                <w:sz w:val="20"/>
              </w:rPr>
              <w:t>Whol</w:t>
            </w:r>
            <w:proofErr w:type="spellEnd"/>
            <w:r w:rsidRPr="00504935">
              <w:rPr>
                <w:rFonts w:ascii="Arial Narrow" w:hAnsi="Arial Narrow"/>
                <w:bCs/>
                <w:sz w:val="20"/>
              </w:rPr>
              <w:t xml:space="preserve"> D, Yin MT, </w:t>
            </w:r>
            <w:r w:rsidRPr="00FF0C52">
              <w:rPr>
                <w:rFonts w:ascii="Arial Narrow" w:hAnsi="Arial Narrow"/>
                <w:bCs/>
                <w:i/>
                <w:iCs/>
                <w:sz w:val="20"/>
              </w:rPr>
              <w:t>et al.</w:t>
            </w:r>
            <w:r>
              <w:rPr>
                <w:rFonts w:ascii="Arial Narrow" w:hAnsi="Arial Narrow"/>
                <w:bCs/>
                <w:sz w:val="20"/>
              </w:rPr>
              <w:t xml:space="preserve"> </w:t>
            </w:r>
            <w:proofErr w:type="spellStart"/>
            <w:r w:rsidRPr="00504935">
              <w:rPr>
                <w:rFonts w:ascii="Arial Narrow" w:hAnsi="Arial Narrow"/>
                <w:bCs/>
                <w:sz w:val="20"/>
              </w:rPr>
              <w:t>Tenofovir</w:t>
            </w:r>
            <w:proofErr w:type="spellEnd"/>
            <w:r w:rsidRPr="00504935">
              <w:rPr>
                <w:rFonts w:ascii="Arial Narrow" w:hAnsi="Arial Narrow"/>
                <w:bCs/>
                <w:sz w:val="20"/>
              </w:rPr>
              <w:t xml:space="preserve"> </w:t>
            </w:r>
            <w:proofErr w:type="spellStart"/>
            <w:r w:rsidRPr="00504935">
              <w:rPr>
                <w:rFonts w:ascii="Arial Narrow" w:hAnsi="Arial Narrow"/>
                <w:bCs/>
                <w:sz w:val="20"/>
              </w:rPr>
              <w:t>alafenamide</w:t>
            </w:r>
            <w:proofErr w:type="spellEnd"/>
            <w:r w:rsidRPr="00504935">
              <w:rPr>
                <w:rFonts w:ascii="Arial Narrow" w:hAnsi="Arial Narrow"/>
                <w:bCs/>
                <w:sz w:val="20"/>
              </w:rPr>
              <w:t xml:space="preserve"> versus </w:t>
            </w:r>
            <w:proofErr w:type="spellStart"/>
            <w:r w:rsidRPr="00504935">
              <w:rPr>
                <w:rFonts w:ascii="Arial Narrow" w:hAnsi="Arial Narrow"/>
                <w:bCs/>
                <w:sz w:val="20"/>
              </w:rPr>
              <w:t>tenofovir</w:t>
            </w:r>
            <w:proofErr w:type="spellEnd"/>
            <w:r w:rsidRPr="00504935">
              <w:rPr>
                <w:rFonts w:ascii="Arial Narrow" w:hAnsi="Arial Narrow"/>
                <w:bCs/>
                <w:sz w:val="20"/>
              </w:rPr>
              <w:t xml:space="preserve"> </w:t>
            </w:r>
            <w:proofErr w:type="spellStart"/>
            <w:r w:rsidRPr="00504935">
              <w:rPr>
                <w:rFonts w:ascii="Arial Narrow" w:hAnsi="Arial Narrow"/>
                <w:bCs/>
                <w:sz w:val="20"/>
              </w:rPr>
              <w:t>disoproxil</w:t>
            </w:r>
            <w:proofErr w:type="spellEnd"/>
            <w:r w:rsidRPr="00504935">
              <w:rPr>
                <w:rFonts w:ascii="Arial Narrow" w:hAnsi="Arial Narrow"/>
                <w:bCs/>
                <w:sz w:val="20"/>
              </w:rPr>
              <w:t xml:space="preserve"> </w:t>
            </w:r>
            <w:proofErr w:type="spellStart"/>
            <w:r w:rsidRPr="00504935">
              <w:rPr>
                <w:rFonts w:ascii="Arial Narrow" w:hAnsi="Arial Narrow"/>
                <w:bCs/>
                <w:sz w:val="20"/>
              </w:rPr>
              <w:t>fumarate</w:t>
            </w:r>
            <w:proofErr w:type="spellEnd"/>
            <w:r w:rsidRPr="00504935">
              <w:rPr>
                <w:rFonts w:ascii="Arial Narrow" w:hAnsi="Arial Narrow"/>
                <w:bCs/>
                <w:sz w:val="20"/>
              </w:rPr>
              <w:t xml:space="preserve">, </w:t>
            </w:r>
            <w:proofErr w:type="spellStart"/>
            <w:r w:rsidRPr="00504935">
              <w:rPr>
                <w:rFonts w:ascii="Arial Narrow" w:hAnsi="Arial Narrow"/>
                <w:bCs/>
                <w:sz w:val="20"/>
              </w:rPr>
              <w:t>coformulated</w:t>
            </w:r>
            <w:proofErr w:type="spellEnd"/>
            <w:r w:rsidRPr="00504935">
              <w:rPr>
                <w:rFonts w:ascii="Arial Narrow" w:hAnsi="Arial Narrow"/>
                <w:bCs/>
                <w:sz w:val="20"/>
              </w:rPr>
              <w:t xml:space="preserve"> with </w:t>
            </w:r>
            <w:proofErr w:type="spellStart"/>
            <w:r w:rsidRPr="00504935">
              <w:rPr>
                <w:rFonts w:ascii="Arial Narrow" w:hAnsi="Arial Narrow"/>
                <w:bCs/>
                <w:sz w:val="20"/>
              </w:rPr>
              <w:t>elvitegravir</w:t>
            </w:r>
            <w:proofErr w:type="spellEnd"/>
            <w:r w:rsidRPr="00504935">
              <w:rPr>
                <w:rFonts w:ascii="Arial Narrow" w:hAnsi="Arial Narrow"/>
                <w:bCs/>
                <w:sz w:val="20"/>
              </w:rPr>
              <w:t xml:space="preserve">, </w:t>
            </w:r>
            <w:proofErr w:type="spellStart"/>
            <w:r w:rsidRPr="00504935">
              <w:rPr>
                <w:rFonts w:ascii="Arial Narrow" w:hAnsi="Arial Narrow"/>
                <w:bCs/>
                <w:sz w:val="20"/>
              </w:rPr>
              <w:t>cobicistat</w:t>
            </w:r>
            <w:proofErr w:type="spellEnd"/>
            <w:r w:rsidRPr="00504935">
              <w:rPr>
                <w:rFonts w:ascii="Arial Narrow" w:hAnsi="Arial Narrow"/>
                <w:bCs/>
                <w:sz w:val="20"/>
              </w:rPr>
              <w:t xml:space="preserve">, and </w:t>
            </w:r>
            <w:proofErr w:type="spellStart"/>
            <w:r w:rsidRPr="00504935">
              <w:rPr>
                <w:rFonts w:ascii="Arial Narrow" w:hAnsi="Arial Narrow"/>
                <w:bCs/>
                <w:sz w:val="20"/>
              </w:rPr>
              <w:t>emtricitabine</w:t>
            </w:r>
            <w:proofErr w:type="spellEnd"/>
            <w:r w:rsidRPr="00504935">
              <w:rPr>
                <w:rFonts w:ascii="Arial Narrow" w:hAnsi="Arial Narrow"/>
                <w:bCs/>
                <w:sz w:val="20"/>
              </w:rPr>
              <w:t xml:space="preserve">, for initial treatment of HIV-1 infection: two randomised, double-blind, phase 3, non-inferiority trials. </w:t>
            </w:r>
          </w:p>
          <w:p w:rsidR="007E2FB6" w:rsidRPr="00504935" w:rsidRDefault="007E2FB6" w:rsidP="00E75470">
            <w:pPr>
              <w:jc w:val="left"/>
              <w:rPr>
                <w:rFonts w:ascii="Arial Narrow" w:hAnsi="Arial Narrow"/>
                <w:bCs/>
                <w:sz w:val="20"/>
              </w:rPr>
            </w:pPr>
            <w:proofErr w:type="spellStart"/>
            <w:r w:rsidRPr="005A5ABA">
              <w:rPr>
                <w:rFonts w:ascii="Arial Narrow" w:hAnsi="Arial Narrow"/>
                <w:bCs/>
                <w:i/>
                <w:iCs/>
                <w:sz w:val="20"/>
              </w:rPr>
              <w:t>Wohl</w:t>
            </w:r>
            <w:proofErr w:type="spellEnd"/>
            <w:r w:rsidRPr="005A5ABA">
              <w:rPr>
                <w:rFonts w:ascii="Arial Narrow" w:hAnsi="Arial Narrow"/>
                <w:bCs/>
                <w:i/>
                <w:iCs/>
                <w:sz w:val="20"/>
              </w:rPr>
              <w:t xml:space="preserve"> D, Oka S, </w:t>
            </w:r>
            <w:proofErr w:type="spellStart"/>
            <w:r w:rsidRPr="005A5ABA">
              <w:rPr>
                <w:rFonts w:ascii="Arial Narrow" w:hAnsi="Arial Narrow"/>
                <w:bCs/>
                <w:i/>
                <w:iCs/>
                <w:sz w:val="20"/>
              </w:rPr>
              <w:t>Clumeck</w:t>
            </w:r>
            <w:proofErr w:type="spellEnd"/>
            <w:r w:rsidRPr="005A5ABA">
              <w:rPr>
                <w:rFonts w:ascii="Arial Narrow" w:hAnsi="Arial Narrow"/>
                <w:bCs/>
                <w:i/>
                <w:iCs/>
                <w:sz w:val="20"/>
              </w:rPr>
              <w:t xml:space="preserve"> N, et al. A Randomized, Double-Blind comparison of </w:t>
            </w:r>
            <w:proofErr w:type="spellStart"/>
            <w:r w:rsidRPr="005A5ABA">
              <w:rPr>
                <w:rFonts w:ascii="Arial Narrow" w:hAnsi="Arial Narrow"/>
                <w:bCs/>
                <w:i/>
                <w:iCs/>
                <w:sz w:val="20"/>
              </w:rPr>
              <w:t>Tenofovir</w:t>
            </w:r>
            <w:proofErr w:type="spellEnd"/>
            <w:r w:rsidRPr="005A5ABA">
              <w:rPr>
                <w:rFonts w:ascii="Arial Narrow" w:hAnsi="Arial Narrow"/>
                <w:bCs/>
                <w:i/>
                <w:iCs/>
                <w:sz w:val="20"/>
              </w:rPr>
              <w:t xml:space="preserve"> </w:t>
            </w:r>
            <w:proofErr w:type="spellStart"/>
            <w:r w:rsidRPr="005A5ABA">
              <w:rPr>
                <w:rFonts w:ascii="Arial Narrow" w:hAnsi="Arial Narrow"/>
                <w:bCs/>
                <w:i/>
                <w:iCs/>
                <w:sz w:val="20"/>
              </w:rPr>
              <w:t>Alafenamide</w:t>
            </w:r>
            <w:proofErr w:type="spellEnd"/>
            <w:r w:rsidRPr="005A5ABA">
              <w:rPr>
                <w:rFonts w:ascii="Arial Narrow" w:hAnsi="Arial Narrow"/>
                <w:bCs/>
                <w:i/>
                <w:iCs/>
                <w:sz w:val="20"/>
              </w:rPr>
              <w:t xml:space="preserve"> (TAF) vs. </w:t>
            </w:r>
            <w:proofErr w:type="spellStart"/>
            <w:r w:rsidRPr="005A5ABA">
              <w:rPr>
                <w:rFonts w:ascii="Arial Narrow" w:hAnsi="Arial Narrow"/>
                <w:bCs/>
                <w:i/>
                <w:iCs/>
                <w:sz w:val="20"/>
              </w:rPr>
              <w:t>Tenofovir</w:t>
            </w:r>
            <w:proofErr w:type="spellEnd"/>
            <w:r w:rsidRPr="005A5ABA">
              <w:rPr>
                <w:rFonts w:ascii="Arial Narrow" w:hAnsi="Arial Narrow"/>
                <w:bCs/>
                <w:i/>
                <w:iCs/>
                <w:sz w:val="20"/>
              </w:rPr>
              <w:t xml:space="preserve"> </w:t>
            </w:r>
            <w:proofErr w:type="spellStart"/>
            <w:r w:rsidRPr="005A5ABA">
              <w:rPr>
                <w:rFonts w:ascii="Arial Narrow" w:hAnsi="Arial Narrow"/>
                <w:bCs/>
                <w:i/>
                <w:iCs/>
                <w:sz w:val="20"/>
              </w:rPr>
              <w:t>Disoproxil</w:t>
            </w:r>
            <w:proofErr w:type="spellEnd"/>
            <w:r w:rsidRPr="005A5ABA">
              <w:rPr>
                <w:rFonts w:ascii="Arial Narrow" w:hAnsi="Arial Narrow"/>
                <w:bCs/>
                <w:i/>
                <w:iCs/>
                <w:sz w:val="20"/>
              </w:rPr>
              <w:t xml:space="preserve"> </w:t>
            </w:r>
            <w:proofErr w:type="spellStart"/>
            <w:r w:rsidRPr="005A5ABA">
              <w:rPr>
                <w:rFonts w:ascii="Arial Narrow" w:hAnsi="Arial Narrow"/>
                <w:bCs/>
                <w:i/>
                <w:iCs/>
                <w:sz w:val="20"/>
              </w:rPr>
              <w:t>fumarate</w:t>
            </w:r>
            <w:proofErr w:type="spellEnd"/>
            <w:r w:rsidRPr="005A5ABA">
              <w:rPr>
                <w:rFonts w:ascii="Arial Narrow" w:hAnsi="Arial Narrow"/>
                <w:bCs/>
                <w:i/>
                <w:iCs/>
                <w:sz w:val="20"/>
              </w:rPr>
              <w:t xml:space="preserve"> (TDF), each </w:t>
            </w:r>
            <w:proofErr w:type="spellStart"/>
            <w:r w:rsidRPr="005A5ABA">
              <w:rPr>
                <w:rFonts w:ascii="Arial Narrow" w:hAnsi="Arial Narrow"/>
                <w:bCs/>
                <w:i/>
                <w:iCs/>
                <w:sz w:val="20"/>
              </w:rPr>
              <w:t>coformulated</w:t>
            </w:r>
            <w:proofErr w:type="spellEnd"/>
            <w:r w:rsidRPr="005A5ABA">
              <w:rPr>
                <w:rFonts w:ascii="Arial Narrow" w:hAnsi="Arial Narrow"/>
                <w:bCs/>
                <w:i/>
                <w:iCs/>
                <w:sz w:val="20"/>
              </w:rPr>
              <w:t xml:space="preserve"> with </w:t>
            </w:r>
            <w:proofErr w:type="spellStart"/>
            <w:r w:rsidRPr="005A5ABA">
              <w:rPr>
                <w:rFonts w:ascii="Arial Narrow" w:hAnsi="Arial Narrow"/>
                <w:bCs/>
                <w:i/>
                <w:iCs/>
                <w:sz w:val="20"/>
              </w:rPr>
              <w:t>Elvitegravir</w:t>
            </w:r>
            <w:proofErr w:type="spellEnd"/>
            <w:r w:rsidRPr="005A5ABA">
              <w:rPr>
                <w:rFonts w:ascii="Arial Narrow" w:hAnsi="Arial Narrow"/>
                <w:bCs/>
                <w:i/>
                <w:iCs/>
                <w:sz w:val="20"/>
              </w:rPr>
              <w:t xml:space="preserve">, </w:t>
            </w:r>
            <w:proofErr w:type="spellStart"/>
            <w:r w:rsidRPr="005A5ABA">
              <w:rPr>
                <w:rFonts w:ascii="Arial Narrow" w:hAnsi="Arial Narrow"/>
                <w:bCs/>
                <w:i/>
                <w:iCs/>
                <w:sz w:val="20"/>
              </w:rPr>
              <w:t>Cobicistat</w:t>
            </w:r>
            <w:proofErr w:type="spellEnd"/>
            <w:r w:rsidRPr="005A5ABA">
              <w:rPr>
                <w:rFonts w:ascii="Arial Narrow" w:hAnsi="Arial Narrow"/>
                <w:bCs/>
                <w:i/>
                <w:iCs/>
                <w:sz w:val="20"/>
              </w:rPr>
              <w:t xml:space="preserve">, and </w:t>
            </w:r>
            <w:proofErr w:type="spellStart"/>
            <w:r w:rsidRPr="005A5ABA">
              <w:rPr>
                <w:rFonts w:ascii="Arial Narrow" w:hAnsi="Arial Narrow"/>
                <w:bCs/>
                <w:i/>
                <w:iCs/>
                <w:sz w:val="20"/>
              </w:rPr>
              <w:t>Emtricitabine</w:t>
            </w:r>
            <w:proofErr w:type="spellEnd"/>
            <w:r w:rsidRPr="005A5ABA">
              <w:rPr>
                <w:rFonts w:ascii="Arial Narrow" w:hAnsi="Arial Narrow"/>
                <w:bCs/>
                <w:i/>
                <w:iCs/>
                <w:sz w:val="20"/>
              </w:rPr>
              <w:t xml:space="preserve"> (E/C/F) for initial HIV-1 Treatment: Week 96 results.</w:t>
            </w:r>
            <w:r w:rsidRPr="00504935">
              <w:rPr>
                <w:rFonts w:ascii="Arial Narrow" w:hAnsi="Arial Narrow"/>
                <w:bCs/>
                <w:sz w:val="20"/>
              </w:rPr>
              <w:t xml:space="preserve"> </w:t>
            </w:r>
          </w:p>
        </w:tc>
        <w:tc>
          <w:tcPr>
            <w:tcW w:w="1083" w:type="pct"/>
          </w:tcPr>
          <w:p w:rsidR="007E2FB6" w:rsidRDefault="007E2FB6" w:rsidP="009703AA">
            <w:pPr>
              <w:jc w:val="left"/>
              <w:rPr>
                <w:rFonts w:ascii="Arial Narrow" w:hAnsi="Arial Narrow"/>
                <w:bCs/>
                <w:sz w:val="20"/>
              </w:rPr>
            </w:pPr>
            <w:r>
              <w:rPr>
                <w:rFonts w:ascii="Arial Narrow" w:hAnsi="Arial Narrow"/>
                <w:bCs/>
                <w:sz w:val="20"/>
              </w:rPr>
              <w:t>6 October 2014</w:t>
            </w:r>
          </w:p>
          <w:p w:rsidR="007E2FB6" w:rsidRDefault="007E2FB6" w:rsidP="009703AA">
            <w:pPr>
              <w:jc w:val="left"/>
              <w:rPr>
                <w:rFonts w:ascii="Arial Narrow" w:hAnsi="Arial Narrow"/>
                <w:bCs/>
                <w:sz w:val="20"/>
              </w:rPr>
            </w:pPr>
          </w:p>
          <w:p w:rsidR="00495439" w:rsidRDefault="00495439" w:rsidP="009703AA">
            <w:pPr>
              <w:jc w:val="left"/>
              <w:rPr>
                <w:rFonts w:ascii="Arial Narrow" w:hAnsi="Arial Narrow"/>
                <w:bCs/>
                <w:sz w:val="20"/>
              </w:rPr>
            </w:pPr>
          </w:p>
          <w:p w:rsidR="007E2FB6" w:rsidRDefault="007E2FB6" w:rsidP="009703AA">
            <w:pPr>
              <w:jc w:val="left"/>
              <w:rPr>
                <w:rFonts w:ascii="Arial Narrow" w:hAnsi="Arial Narrow"/>
                <w:bCs/>
                <w:sz w:val="20"/>
              </w:rPr>
            </w:pPr>
            <w:r>
              <w:rPr>
                <w:rFonts w:ascii="Arial Narrow" w:hAnsi="Arial Narrow"/>
                <w:bCs/>
                <w:sz w:val="20"/>
              </w:rPr>
              <w:t>2 October 2015</w:t>
            </w:r>
          </w:p>
          <w:p w:rsidR="007E2FB6" w:rsidRDefault="007E2FB6" w:rsidP="009703AA">
            <w:pPr>
              <w:jc w:val="left"/>
              <w:rPr>
                <w:rFonts w:ascii="Arial Narrow" w:hAnsi="Arial Narrow"/>
                <w:bCs/>
                <w:sz w:val="20"/>
              </w:rPr>
            </w:pPr>
          </w:p>
          <w:p w:rsidR="007E2FB6" w:rsidRDefault="007E2FB6" w:rsidP="009703AA">
            <w:pPr>
              <w:jc w:val="left"/>
              <w:rPr>
                <w:rFonts w:ascii="Arial Narrow" w:hAnsi="Arial Narrow"/>
                <w:bCs/>
                <w:sz w:val="20"/>
              </w:rPr>
            </w:pPr>
          </w:p>
          <w:p w:rsidR="007E2FB6" w:rsidRDefault="007E2FB6" w:rsidP="009703AA">
            <w:pPr>
              <w:jc w:val="left"/>
              <w:rPr>
                <w:rFonts w:ascii="Arial Narrow" w:hAnsi="Arial Narrow"/>
                <w:bCs/>
                <w:sz w:val="20"/>
              </w:rPr>
            </w:pPr>
            <w:r w:rsidRPr="00670B9A">
              <w:rPr>
                <w:rFonts w:ascii="Arial Narrow" w:hAnsi="Arial Narrow"/>
                <w:bCs/>
                <w:i/>
                <w:iCs/>
                <w:sz w:val="20"/>
              </w:rPr>
              <w:t>Lancet</w:t>
            </w:r>
            <w:r w:rsidRPr="00504935">
              <w:rPr>
                <w:rFonts w:ascii="Arial Narrow" w:hAnsi="Arial Narrow"/>
                <w:bCs/>
                <w:sz w:val="20"/>
              </w:rPr>
              <w:t xml:space="preserve"> 2015; 385 (9987): 2606-2615. </w:t>
            </w:r>
          </w:p>
          <w:p w:rsidR="007E2FB6" w:rsidRDefault="007E2FB6" w:rsidP="009703AA">
            <w:pPr>
              <w:jc w:val="left"/>
              <w:rPr>
                <w:rFonts w:ascii="Arial Narrow" w:hAnsi="Arial Narrow"/>
                <w:bCs/>
                <w:sz w:val="20"/>
              </w:rPr>
            </w:pPr>
          </w:p>
          <w:p w:rsidR="007E2FB6" w:rsidRPr="005A5ABA" w:rsidRDefault="007E2FB6" w:rsidP="009703AA">
            <w:pPr>
              <w:jc w:val="left"/>
              <w:rPr>
                <w:rFonts w:ascii="Arial Narrow" w:hAnsi="Arial Narrow"/>
                <w:bCs/>
                <w:i/>
                <w:iCs/>
                <w:sz w:val="20"/>
              </w:rPr>
            </w:pPr>
            <w:r w:rsidRPr="005A5ABA">
              <w:rPr>
                <w:rFonts w:ascii="Arial Narrow" w:hAnsi="Arial Narrow"/>
                <w:bCs/>
                <w:i/>
                <w:iCs/>
                <w:sz w:val="20"/>
              </w:rPr>
              <w:t xml:space="preserve">J </w:t>
            </w:r>
            <w:proofErr w:type="spellStart"/>
            <w:r w:rsidRPr="005A5ABA">
              <w:rPr>
                <w:rFonts w:ascii="Arial Narrow" w:hAnsi="Arial Narrow"/>
                <w:bCs/>
                <w:i/>
                <w:iCs/>
                <w:sz w:val="20"/>
              </w:rPr>
              <w:t>Acquir</w:t>
            </w:r>
            <w:proofErr w:type="spellEnd"/>
            <w:r w:rsidRPr="005A5ABA">
              <w:rPr>
                <w:rFonts w:ascii="Arial Narrow" w:hAnsi="Arial Narrow"/>
                <w:bCs/>
                <w:i/>
                <w:iCs/>
                <w:sz w:val="20"/>
              </w:rPr>
              <w:t xml:space="preserve"> Immune </w:t>
            </w:r>
            <w:proofErr w:type="spellStart"/>
            <w:r w:rsidRPr="005A5ABA">
              <w:rPr>
                <w:rFonts w:ascii="Arial Narrow" w:hAnsi="Arial Narrow"/>
                <w:bCs/>
                <w:i/>
                <w:iCs/>
                <w:sz w:val="20"/>
              </w:rPr>
              <w:t>Defic</w:t>
            </w:r>
            <w:proofErr w:type="spellEnd"/>
            <w:r w:rsidRPr="005A5ABA">
              <w:rPr>
                <w:rFonts w:ascii="Arial Narrow" w:hAnsi="Arial Narrow"/>
                <w:bCs/>
                <w:i/>
                <w:iCs/>
                <w:sz w:val="20"/>
              </w:rPr>
              <w:t xml:space="preserve"> </w:t>
            </w:r>
            <w:proofErr w:type="spellStart"/>
            <w:r w:rsidRPr="005A5ABA">
              <w:rPr>
                <w:rFonts w:ascii="Arial Narrow" w:hAnsi="Arial Narrow"/>
                <w:bCs/>
                <w:i/>
                <w:iCs/>
                <w:sz w:val="20"/>
              </w:rPr>
              <w:t>Syndr</w:t>
            </w:r>
            <w:proofErr w:type="spellEnd"/>
            <w:r>
              <w:rPr>
                <w:rFonts w:ascii="Arial Narrow" w:hAnsi="Arial Narrow"/>
                <w:bCs/>
                <w:i/>
                <w:iCs/>
                <w:sz w:val="20"/>
              </w:rPr>
              <w:t xml:space="preserve">  2016 </w:t>
            </w:r>
            <w:r w:rsidRPr="005A5ABA">
              <w:rPr>
                <w:rFonts w:ascii="Arial Narrow" w:hAnsi="Arial Narrow"/>
                <w:bCs/>
                <w:i/>
                <w:iCs/>
                <w:sz w:val="20"/>
              </w:rPr>
              <w:t>[</w:t>
            </w:r>
            <w:proofErr w:type="spellStart"/>
            <w:r w:rsidRPr="005A5ABA">
              <w:rPr>
                <w:rFonts w:ascii="Arial Narrow" w:hAnsi="Arial Narrow"/>
                <w:bCs/>
                <w:i/>
                <w:iCs/>
                <w:sz w:val="20"/>
              </w:rPr>
              <w:t>Epub</w:t>
            </w:r>
            <w:proofErr w:type="spellEnd"/>
            <w:r w:rsidRPr="005A5ABA">
              <w:rPr>
                <w:rFonts w:ascii="Arial Narrow" w:hAnsi="Arial Narrow"/>
                <w:bCs/>
                <w:i/>
                <w:iCs/>
                <w:sz w:val="20"/>
              </w:rPr>
              <w:t xml:space="preserve"> ahead of print]</w:t>
            </w:r>
          </w:p>
          <w:p w:rsidR="007E2FB6" w:rsidRPr="00504935" w:rsidRDefault="007E2FB6" w:rsidP="004948B2">
            <w:pPr>
              <w:jc w:val="left"/>
              <w:rPr>
                <w:rFonts w:ascii="Arial Narrow" w:hAnsi="Arial Narrow"/>
                <w:bCs/>
                <w:sz w:val="20"/>
              </w:rPr>
            </w:pPr>
          </w:p>
        </w:tc>
      </w:tr>
      <w:tr w:rsidR="007E2FB6" w:rsidRPr="004E2ADC" w:rsidTr="00FF59AE">
        <w:tc>
          <w:tcPr>
            <w:tcW w:w="673" w:type="pct"/>
            <w:vAlign w:val="center"/>
          </w:tcPr>
          <w:p w:rsidR="007E2FB6" w:rsidRPr="007233DB" w:rsidRDefault="007E2FB6" w:rsidP="009703AA">
            <w:pPr>
              <w:jc w:val="left"/>
              <w:rPr>
                <w:rFonts w:ascii="Arial Narrow" w:hAnsi="Arial Narrow"/>
                <w:b/>
                <w:sz w:val="20"/>
              </w:rPr>
            </w:pPr>
            <w:r w:rsidRPr="007233DB">
              <w:rPr>
                <w:rFonts w:ascii="Arial Narrow" w:hAnsi="Arial Narrow"/>
                <w:b/>
                <w:sz w:val="20"/>
              </w:rPr>
              <w:t>Study 111</w:t>
            </w:r>
          </w:p>
          <w:p w:rsidR="007E2FB6" w:rsidRDefault="007E2FB6" w:rsidP="009703AA">
            <w:pPr>
              <w:jc w:val="left"/>
              <w:rPr>
                <w:rFonts w:ascii="Arial Narrow" w:hAnsi="Arial Narrow"/>
                <w:bCs/>
                <w:sz w:val="20"/>
              </w:rPr>
            </w:pPr>
            <w:r w:rsidRPr="00255816">
              <w:rPr>
                <w:rFonts w:ascii="Arial Narrow" w:hAnsi="Arial Narrow"/>
                <w:bCs/>
                <w:sz w:val="20"/>
              </w:rPr>
              <w:t>NCT01797445 GS-US-292-0111</w:t>
            </w:r>
          </w:p>
        </w:tc>
        <w:tc>
          <w:tcPr>
            <w:tcW w:w="3244" w:type="pct"/>
          </w:tcPr>
          <w:p w:rsidR="007E2FB6" w:rsidRDefault="007E2FB6" w:rsidP="009703AA">
            <w:pPr>
              <w:jc w:val="left"/>
              <w:rPr>
                <w:rFonts w:ascii="Arial Narrow" w:hAnsi="Arial Narrow"/>
                <w:bCs/>
                <w:sz w:val="20"/>
              </w:rPr>
            </w:pPr>
            <w:r w:rsidRPr="00255816">
              <w:rPr>
                <w:rFonts w:ascii="Arial Narrow" w:hAnsi="Arial Narrow"/>
                <w:bCs/>
                <w:sz w:val="20"/>
              </w:rPr>
              <w:t xml:space="preserve">A Phase 3, Randomized, Double-Blind Study to Evaluate the Safety and Efficacy of </w:t>
            </w:r>
            <w:proofErr w:type="spellStart"/>
            <w:r w:rsidRPr="00255816">
              <w:rPr>
                <w:rFonts w:ascii="Arial Narrow" w:hAnsi="Arial Narrow"/>
                <w:bCs/>
                <w:sz w:val="20"/>
              </w:rPr>
              <w:t>Elvitegravir</w:t>
            </w:r>
            <w:proofErr w:type="spellEnd"/>
            <w:r w:rsidRPr="00255816">
              <w:rPr>
                <w:rFonts w:ascii="Arial Narrow" w:hAnsi="Arial Narrow"/>
                <w:bCs/>
                <w:sz w:val="20"/>
              </w:rPr>
              <w:t>/</w:t>
            </w:r>
            <w:proofErr w:type="spellStart"/>
            <w:r w:rsidRPr="00255816">
              <w:rPr>
                <w:rFonts w:ascii="Arial Narrow" w:hAnsi="Arial Narrow"/>
                <w:bCs/>
                <w:sz w:val="20"/>
              </w:rPr>
              <w:t>Cobicistat</w:t>
            </w:r>
            <w:proofErr w:type="spellEnd"/>
            <w:r w:rsidRPr="00255816">
              <w:rPr>
                <w:rFonts w:ascii="Arial Narrow" w:hAnsi="Arial Narrow"/>
                <w:bCs/>
                <w:sz w:val="20"/>
              </w:rPr>
              <w:t>/</w:t>
            </w:r>
            <w:proofErr w:type="spellStart"/>
            <w:r w:rsidRPr="00255816">
              <w:rPr>
                <w:rFonts w:ascii="Arial Narrow" w:hAnsi="Arial Narrow"/>
                <w:bCs/>
                <w:sz w:val="20"/>
              </w:rPr>
              <w:t>Emtricitabine</w:t>
            </w:r>
            <w:proofErr w:type="spellEnd"/>
            <w:r w:rsidRPr="00255816">
              <w:rPr>
                <w:rFonts w:ascii="Arial Narrow" w:hAnsi="Arial Narrow"/>
                <w:bCs/>
                <w:sz w:val="20"/>
              </w:rPr>
              <w:t>/</w:t>
            </w:r>
            <w:proofErr w:type="spellStart"/>
            <w:r w:rsidRPr="00255816">
              <w:rPr>
                <w:rFonts w:ascii="Arial Narrow" w:hAnsi="Arial Narrow"/>
                <w:bCs/>
                <w:sz w:val="20"/>
              </w:rPr>
              <w:t>Tenofovir</w:t>
            </w:r>
            <w:proofErr w:type="spellEnd"/>
            <w:r w:rsidRPr="00255816">
              <w:rPr>
                <w:rFonts w:ascii="Arial Narrow" w:hAnsi="Arial Narrow"/>
                <w:bCs/>
                <w:sz w:val="20"/>
              </w:rPr>
              <w:t xml:space="preserve"> </w:t>
            </w:r>
            <w:proofErr w:type="spellStart"/>
            <w:r w:rsidRPr="00255816">
              <w:rPr>
                <w:rFonts w:ascii="Arial Narrow" w:hAnsi="Arial Narrow"/>
                <w:bCs/>
                <w:sz w:val="20"/>
              </w:rPr>
              <w:t>Alafenamide</w:t>
            </w:r>
            <w:proofErr w:type="spellEnd"/>
            <w:r w:rsidRPr="00255816">
              <w:rPr>
                <w:rFonts w:ascii="Arial Narrow" w:hAnsi="Arial Narrow"/>
                <w:bCs/>
                <w:sz w:val="20"/>
              </w:rPr>
              <w:t xml:space="preserve"> Versus </w:t>
            </w:r>
            <w:proofErr w:type="spellStart"/>
            <w:r w:rsidRPr="00255816">
              <w:rPr>
                <w:rFonts w:ascii="Arial Narrow" w:hAnsi="Arial Narrow"/>
                <w:bCs/>
                <w:sz w:val="20"/>
              </w:rPr>
              <w:t>Elvitegravir</w:t>
            </w:r>
            <w:proofErr w:type="spellEnd"/>
            <w:r w:rsidRPr="00255816">
              <w:rPr>
                <w:rFonts w:ascii="Arial Narrow" w:hAnsi="Arial Narrow"/>
                <w:bCs/>
                <w:sz w:val="20"/>
              </w:rPr>
              <w:t>/</w:t>
            </w:r>
            <w:proofErr w:type="spellStart"/>
            <w:r w:rsidRPr="00255816">
              <w:rPr>
                <w:rFonts w:ascii="Arial Narrow" w:hAnsi="Arial Narrow"/>
                <w:bCs/>
                <w:sz w:val="20"/>
              </w:rPr>
              <w:t>Cobicistat</w:t>
            </w:r>
            <w:proofErr w:type="spellEnd"/>
            <w:r w:rsidRPr="00255816">
              <w:rPr>
                <w:rFonts w:ascii="Arial Narrow" w:hAnsi="Arial Narrow"/>
                <w:bCs/>
                <w:sz w:val="20"/>
              </w:rPr>
              <w:t xml:space="preserve">/ </w:t>
            </w:r>
            <w:proofErr w:type="spellStart"/>
            <w:r w:rsidRPr="00255816">
              <w:rPr>
                <w:rFonts w:ascii="Arial Narrow" w:hAnsi="Arial Narrow"/>
                <w:bCs/>
                <w:sz w:val="20"/>
              </w:rPr>
              <w:t>Emtricitabine</w:t>
            </w:r>
            <w:proofErr w:type="spellEnd"/>
            <w:r w:rsidRPr="00255816">
              <w:rPr>
                <w:rFonts w:ascii="Arial Narrow" w:hAnsi="Arial Narrow"/>
                <w:bCs/>
                <w:sz w:val="20"/>
              </w:rPr>
              <w:t>/</w:t>
            </w:r>
            <w:proofErr w:type="spellStart"/>
            <w:r w:rsidRPr="00255816">
              <w:rPr>
                <w:rFonts w:ascii="Arial Narrow" w:hAnsi="Arial Narrow"/>
                <w:bCs/>
                <w:sz w:val="20"/>
              </w:rPr>
              <w:t>Tenofovir</w:t>
            </w:r>
            <w:proofErr w:type="spellEnd"/>
            <w:r w:rsidRPr="00255816">
              <w:rPr>
                <w:rFonts w:ascii="Arial Narrow" w:hAnsi="Arial Narrow"/>
                <w:bCs/>
                <w:sz w:val="20"/>
              </w:rPr>
              <w:t xml:space="preserve"> </w:t>
            </w:r>
            <w:proofErr w:type="spellStart"/>
            <w:r w:rsidRPr="00255816">
              <w:rPr>
                <w:rFonts w:ascii="Arial Narrow" w:hAnsi="Arial Narrow"/>
                <w:bCs/>
                <w:sz w:val="20"/>
              </w:rPr>
              <w:t>Disoproxil</w:t>
            </w:r>
            <w:proofErr w:type="spellEnd"/>
            <w:r w:rsidRPr="00255816">
              <w:rPr>
                <w:rFonts w:ascii="Arial Narrow" w:hAnsi="Arial Narrow"/>
                <w:bCs/>
                <w:sz w:val="20"/>
              </w:rPr>
              <w:t xml:space="preserve"> </w:t>
            </w:r>
            <w:proofErr w:type="spellStart"/>
            <w:r w:rsidRPr="00255816">
              <w:rPr>
                <w:rFonts w:ascii="Arial Narrow" w:hAnsi="Arial Narrow"/>
                <w:bCs/>
                <w:sz w:val="20"/>
              </w:rPr>
              <w:t>Fumarate</w:t>
            </w:r>
            <w:proofErr w:type="spellEnd"/>
            <w:r w:rsidRPr="00255816">
              <w:rPr>
                <w:rFonts w:ascii="Arial Narrow" w:hAnsi="Arial Narrow"/>
                <w:bCs/>
                <w:sz w:val="20"/>
              </w:rPr>
              <w:t xml:space="preserve"> in HIV-1 Positive, Antiretroviral Treatment-Naive Adults</w:t>
            </w:r>
            <w:r>
              <w:rPr>
                <w:rFonts w:ascii="Arial Narrow" w:hAnsi="Arial Narrow"/>
                <w:bCs/>
                <w:sz w:val="20"/>
              </w:rPr>
              <w:t>. Interim Week 48 Clinical Study Report.</w:t>
            </w:r>
          </w:p>
          <w:p w:rsidR="007E2FB6" w:rsidRDefault="007E2FB6" w:rsidP="009703AA">
            <w:pPr>
              <w:jc w:val="left"/>
              <w:rPr>
                <w:rFonts w:ascii="Arial Narrow" w:hAnsi="Arial Narrow"/>
                <w:bCs/>
                <w:sz w:val="20"/>
              </w:rPr>
            </w:pPr>
            <w:r w:rsidRPr="00255816">
              <w:rPr>
                <w:rFonts w:ascii="Arial Narrow" w:hAnsi="Arial Narrow"/>
                <w:bCs/>
                <w:sz w:val="20"/>
              </w:rPr>
              <w:t xml:space="preserve">A Phase 3, Randomized, Double-Blind Study to Evaluate the Safety and Efficacy of </w:t>
            </w:r>
            <w:proofErr w:type="spellStart"/>
            <w:r w:rsidRPr="00255816">
              <w:rPr>
                <w:rFonts w:ascii="Arial Narrow" w:hAnsi="Arial Narrow"/>
                <w:bCs/>
                <w:sz w:val="20"/>
              </w:rPr>
              <w:t>Elvitegravir</w:t>
            </w:r>
            <w:proofErr w:type="spellEnd"/>
            <w:r w:rsidRPr="00255816">
              <w:rPr>
                <w:rFonts w:ascii="Arial Narrow" w:hAnsi="Arial Narrow"/>
                <w:bCs/>
                <w:sz w:val="20"/>
              </w:rPr>
              <w:t>/</w:t>
            </w:r>
            <w:proofErr w:type="spellStart"/>
            <w:r w:rsidRPr="00255816">
              <w:rPr>
                <w:rFonts w:ascii="Arial Narrow" w:hAnsi="Arial Narrow"/>
                <w:bCs/>
                <w:sz w:val="20"/>
              </w:rPr>
              <w:t>Cobicistat</w:t>
            </w:r>
            <w:proofErr w:type="spellEnd"/>
            <w:r w:rsidRPr="00255816">
              <w:rPr>
                <w:rFonts w:ascii="Arial Narrow" w:hAnsi="Arial Narrow"/>
                <w:bCs/>
                <w:sz w:val="20"/>
              </w:rPr>
              <w:t>/</w:t>
            </w:r>
            <w:proofErr w:type="spellStart"/>
            <w:r w:rsidRPr="00255816">
              <w:rPr>
                <w:rFonts w:ascii="Arial Narrow" w:hAnsi="Arial Narrow"/>
                <w:bCs/>
                <w:sz w:val="20"/>
              </w:rPr>
              <w:t>Emtricitabine</w:t>
            </w:r>
            <w:proofErr w:type="spellEnd"/>
            <w:r w:rsidRPr="00255816">
              <w:rPr>
                <w:rFonts w:ascii="Arial Narrow" w:hAnsi="Arial Narrow"/>
                <w:bCs/>
                <w:sz w:val="20"/>
              </w:rPr>
              <w:t>/</w:t>
            </w:r>
            <w:proofErr w:type="spellStart"/>
            <w:r w:rsidRPr="00255816">
              <w:rPr>
                <w:rFonts w:ascii="Arial Narrow" w:hAnsi="Arial Narrow"/>
                <w:bCs/>
                <w:sz w:val="20"/>
              </w:rPr>
              <w:t>Tenofovir</w:t>
            </w:r>
            <w:proofErr w:type="spellEnd"/>
            <w:r w:rsidRPr="00255816">
              <w:rPr>
                <w:rFonts w:ascii="Arial Narrow" w:hAnsi="Arial Narrow"/>
                <w:bCs/>
                <w:sz w:val="20"/>
              </w:rPr>
              <w:t xml:space="preserve"> </w:t>
            </w:r>
            <w:proofErr w:type="spellStart"/>
            <w:r w:rsidRPr="00255816">
              <w:rPr>
                <w:rFonts w:ascii="Arial Narrow" w:hAnsi="Arial Narrow"/>
                <w:bCs/>
                <w:sz w:val="20"/>
              </w:rPr>
              <w:t>Alafenamide</w:t>
            </w:r>
            <w:proofErr w:type="spellEnd"/>
            <w:r w:rsidRPr="00255816">
              <w:rPr>
                <w:rFonts w:ascii="Arial Narrow" w:hAnsi="Arial Narrow"/>
                <w:bCs/>
                <w:sz w:val="20"/>
              </w:rPr>
              <w:t xml:space="preserve"> Versus </w:t>
            </w:r>
            <w:proofErr w:type="spellStart"/>
            <w:r w:rsidRPr="00255816">
              <w:rPr>
                <w:rFonts w:ascii="Arial Narrow" w:hAnsi="Arial Narrow"/>
                <w:bCs/>
                <w:sz w:val="20"/>
              </w:rPr>
              <w:t>Elvitegravir</w:t>
            </w:r>
            <w:proofErr w:type="spellEnd"/>
            <w:r w:rsidRPr="00255816">
              <w:rPr>
                <w:rFonts w:ascii="Arial Narrow" w:hAnsi="Arial Narrow"/>
                <w:bCs/>
                <w:sz w:val="20"/>
              </w:rPr>
              <w:t>/</w:t>
            </w:r>
            <w:proofErr w:type="spellStart"/>
            <w:r w:rsidRPr="00255816">
              <w:rPr>
                <w:rFonts w:ascii="Arial Narrow" w:hAnsi="Arial Narrow"/>
                <w:bCs/>
                <w:sz w:val="20"/>
              </w:rPr>
              <w:t>Cobicistat</w:t>
            </w:r>
            <w:proofErr w:type="spellEnd"/>
            <w:r w:rsidRPr="00255816">
              <w:rPr>
                <w:rFonts w:ascii="Arial Narrow" w:hAnsi="Arial Narrow"/>
                <w:bCs/>
                <w:sz w:val="20"/>
              </w:rPr>
              <w:t xml:space="preserve">/ </w:t>
            </w:r>
            <w:proofErr w:type="spellStart"/>
            <w:r w:rsidRPr="00255816">
              <w:rPr>
                <w:rFonts w:ascii="Arial Narrow" w:hAnsi="Arial Narrow"/>
                <w:bCs/>
                <w:sz w:val="20"/>
              </w:rPr>
              <w:t>Emtricitabine</w:t>
            </w:r>
            <w:proofErr w:type="spellEnd"/>
            <w:r w:rsidRPr="00255816">
              <w:rPr>
                <w:rFonts w:ascii="Arial Narrow" w:hAnsi="Arial Narrow"/>
                <w:bCs/>
                <w:sz w:val="20"/>
              </w:rPr>
              <w:t>/</w:t>
            </w:r>
            <w:proofErr w:type="spellStart"/>
            <w:r w:rsidRPr="00255816">
              <w:rPr>
                <w:rFonts w:ascii="Arial Narrow" w:hAnsi="Arial Narrow"/>
                <w:bCs/>
                <w:sz w:val="20"/>
              </w:rPr>
              <w:t>Tenofovir</w:t>
            </w:r>
            <w:proofErr w:type="spellEnd"/>
            <w:r w:rsidRPr="00255816">
              <w:rPr>
                <w:rFonts w:ascii="Arial Narrow" w:hAnsi="Arial Narrow"/>
                <w:bCs/>
                <w:sz w:val="20"/>
              </w:rPr>
              <w:t xml:space="preserve"> </w:t>
            </w:r>
            <w:proofErr w:type="spellStart"/>
            <w:r w:rsidRPr="00255816">
              <w:rPr>
                <w:rFonts w:ascii="Arial Narrow" w:hAnsi="Arial Narrow"/>
                <w:bCs/>
                <w:sz w:val="20"/>
              </w:rPr>
              <w:t>Disoproxil</w:t>
            </w:r>
            <w:proofErr w:type="spellEnd"/>
            <w:r w:rsidRPr="00255816">
              <w:rPr>
                <w:rFonts w:ascii="Arial Narrow" w:hAnsi="Arial Narrow"/>
                <w:bCs/>
                <w:sz w:val="20"/>
              </w:rPr>
              <w:t xml:space="preserve"> </w:t>
            </w:r>
            <w:proofErr w:type="spellStart"/>
            <w:r w:rsidRPr="00255816">
              <w:rPr>
                <w:rFonts w:ascii="Arial Narrow" w:hAnsi="Arial Narrow"/>
                <w:bCs/>
                <w:sz w:val="20"/>
              </w:rPr>
              <w:t>Fumarate</w:t>
            </w:r>
            <w:proofErr w:type="spellEnd"/>
            <w:r w:rsidRPr="00255816">
              <w:rPr>
                <w:rFonts w:ascii="Arial Narrow" w:hAnsi="Arial Narrow"/>
                <w:bCs/>
                <w:sz w:val="20"/>
              </w:rPr>
              <w:t xml:space="preserve"> in HIV-1 Positive, Antiretroviral Treatment-Naive Adults</w:t>
            </w:r>
            <w:r>
              <w:rPr>
                <w:rFonts w:ascii="Arial Narrow" w:hAnsi="Arial Narrow"/>
                <w:bCs/>
                <w:sz w:val="20"/>
              </w:rPr>
              <w:t>. Interim Week 96 Clinical Study Report.</w:t>
            </w:r>
          </w:p>
          <w:p w:rsidR="007E2FB6" w:rsidRPr="00504935" w:rsidRDefault="007E2FB6" w:rsidP="004A1FF1">
            <w:pPr>
              <w:jc w:val="left"/>
              <w:rPr>
                <w:rFonts w:ascii="Arial Narrow" w:hAnsi="Arial Narrow"/>
                <w:bCs/>
                <w:sz w:val="20"/>
              </w:rPr>
            </w:pPr>
            <w:r w:rsidRPr="00504935">
              <w:rPr>
                <w:rFonts w:ascii="Arial Narrow" w:hAnsi="Arial Narrow"/>
                <w:bCs/>
                <w:sz w:val="20"/>
              </w:rPr>
              <w:lastRenderedPageBreak/>
              <w:t xml:space="preserve">Sax PE, </w:t>
            </w:r>
            <w:proofErr w:type="spellStart"/>
            <w:r w:rsidRPr="00504935">
              <w:rPr>
                <w:rFonts w:ascii="Arial Narrow" w:hAnsi="Arial Narrow"/>
                <w:bCs/>
                <w:sz w:val="20"/>
              </w:rPr>
              <w:t>Whol</w:t>
            </w:r>
            <w:proofErr w:type="spellEnd"/>
            <w:r w:rsidRPr="00504935">
              <w:rPr>
                <w:rFonts w:ascii="Arial Narrow" w:hAnsi="Arial Narrow"/>
                <w:bCs/>
                <w:sz w:val="20"/>
              </w:rPr>
              <w:t xml:space="preserve"> D, Yin MT, </w:t>
            </w:r>
            <w:r w:rsidRPr="00FF0C52">
              <w:rPr>
                <w:rFonts w:ascii="Arial Narrow" w:hAnsi="Arial Narrow"/>
                <w:bCs/>
                <w:i/>
                <w:iCs/>
                <w:sz w:val="20"/>
              </w:rPr>
              <w:t>et al.</w:t>
            </w:r>
            <w:r>
              <w:rPr>
                <w:rFonts w:ascii="Arial Narrow" w:hAnsi="Arial Narrow"/>
                <w:bCs/>
                <w:sz w:val="20"/>
              </w:rPr>
              <w:t xml:space="preserve"> </w:t>
            </w:r>
            <w:proofErr w:type="spellStart"/>
            <w:r w:rsidRPr="00504935">
              <w:rPr>
                <w:rFonts w:ascii="Arial Narrow" w:hAnsi="Arial Narrow"/>
                <w:bCs/>
                <w:sz w:val="20"/>
              </w:rPr>
              <w:t>Tenofovir</w:t>
            </w:r>
            <w:proofErr w:type="spellEnd"/>
            <w:r w:rsidRPr="00504935">
              <w:rPr>
                <w:rFonts w:ascii="Arial Narrow" w:hAnsi="Arial Narrow"/>
                <w:bCs/>
                <w:sz w:val="20"/>
              </w:rPr>
              <w:t xml:space="preserve"> </w:t>
            </w:r>
            <w:proofErr w:type="spellStart"/>
            <w:r w:rsidRPr="00504935">
              <w:rPr>
                <w:rFonts w:ascii="Arial Narrow" w:hAnsi="Arial Narrow"/>
                <w:bCs/>
                <w:sz w:val="20"/>
              </w:rPr>
              <w:t>alafenamide</w:t>
            </w:r>
            <w:proofErr w:type="spellEnd"/>
            <w:r w:rsidRPr="00504935">
              <w:rPr>
                <w:rFonts w:ascii="Arial Narrow" w:hAnsi="Arial Narrow"/>
                <w:bCs/>
                <w:sz w:val="20"/>
              </w:rPr>
              <w:t xml:space="preserve"> versus </w:t>
            </w:r>
            <w:proofErr w:type="spellStart"/>
            <w:r w:rsidRPr="00504935">
              <w:rPr>
                <w:rFonts w:ascii="Arial Narrow" w:hAnsi="Arial Narrow"/>
                <w:bCs/>
                <w:sz w:val="20"/>
              </w:rPr>
              <w:t>tenofovir</w:t>
            </w:r>
            <w:proofErr w:type="spellEnd"/>
            <w:r w:rsidRPr="00504935">
              <w:rPr>
                <w:rFonts w:ascii="Arial Narrow" w:hAnsi="Arial Narrow"/>
                <w:bCs/>
                <w:sz w:val="20"/>
              </w:rPr>
              <w:t xml:space="preserve"> </w:t>
            </w:r>
            <w:proofErr w:type="spellStart"/>
            <w:r w:rsidRPr="00504935">
              <w:rPr>
                <w:rFonts w:ascii="Arial Narrow" w:hAnsi="Arial Narrow"/>
                <w:bCs/>
                <w:sz w:val="20"/>
              </w:rPr>
              <w:t>disoproxil</w:t>
            </w:r>
            <w:proofErr w:type="spellEnd"/>
            <w:r w:rsidRPr="00504935">
              <w:rPr>
                <w:rFonts w:ascii="Arial Narrow" w:hAnsi="Arial Narrow"/>
                <w:bCs/>
                <w:sz w:val="20"/>
              </w:rPr>
              <w:t xml:space="preserve"> </w:t>
            </w:r>
            <w:proofErr w:type="spellStart"/>
            <w:r w:rsidRPr="00504935">
              <w:rPr>
                <w:rFonts w:ascii="Arial Narrow" w:hAnsi="Arial Narrow"/>
                <w:bCs/>
                <w:sz w:val="20"/>
              </w:rPr>
              <w:t>fumarate</w:t>
            </w:r>
            <w:proofErr w:type="spellEnd"/>
            <w:r w:rsidRPr="00504935">
              <w:rPr>
                <w:rFonts w:ascii="Arial Narrow" w:hAnsi="Arial Narrow"/>
                <w:bCs/>
                <w:sz w:val="20"/>
              </w:rPr>
              <w:t xml:space="preserve">, </w:t>
            </w:r>
            <w:proofErr w:type="spellStart"/>
            <w:r w:rsidRPr="00504935">
              <w:rPr>
                <w:rFonts w:ascii="Arial Narrow" w:hAnsi="Arial Narrow"/>
                <w:bCs/>
                <w:sz w:val="20"/>
              </w:rPr>
              <w:t>coformulated</w:t>
            </w:r>
            <w:proofErr w:type="spellEnd"/>
            <w:r w:rsidRPr="00504935">
              <w:rPr>
                <w:rFonts w:ascii="Arial Narrow" w:hAnsi="Arial Narrow"/>
                <w:bCs/>
                <w:sz w:val="20"/>
              </w:rPr>
              <w:t xml:space="preserve"> with </w:t>
            </w:r>
            <w:proofErr w:type="spellStart"/>
            <w:r w:rsidRPr="00504935">
              <w:rPr>
                <w:rFonts w:ascii="Arial Narrow" w:hAnsi="Arial Narrow"/>
                <w:bCs/>
                <w:sz w:val="20"/>
              </w:rPr>
              <w:t>elvitegravir</w:t>
            </w:r>
            <w:proofErr w:type="spellEnd"/>
            <w:r w:rsidRPr="00504935">
              <w:rPr>
                <w:rFonts w:ascii="Arial Narrow" w:hAnsi="Arial Narrow"/>
                <w:bCs/>
                <w:sz w:val="20"/>
              </w:rPr>
              <w:t xml:space="preserve">, </w:t>
            </w:r>
            <w:proofErr w:type="spellStart"/>
            <w:r w:rsidRPr="00504935">
              <w:rPr>
                <w:rFonts w:ascii="Arial Narrow" w:hAnsi="Arial Narrow"/>
                <w:bCs/>
                <w:sz w:val="20"/>
              </w:rPr>
              <w:t>cobicistat</w:t>
            </w:r>
            <w:proofErr w:type="spellEnd"/>
            <w:r w:rsidRPr="00504935">
              <w:rPr>
                <w:rFonts w:ascii="Arial Narrow" w:hAnsi="Arial Narrow"/>
                <w:bCs/>
                <w:sz w:val="20"/>
              </w:rPr>
              <w:t xml:space="preserve">, and </w:t>
            </w:r>
            <w:proofErr w:type="spellStart"/>
            <w:r w:rsidRPr="00504935">
              <w:rPr>
                <w:rFonts w:ascii="Arial Narrow" w:hAnsi="Arial Narrow"/>
                <w:bCs/>
                <w:sz w:val="20"/>
              </w:rPr>
              <w:t>emtricitabine</w:t>
            </w:r>
            <w:proofErr w:type="spellEnd"/>
            <w:r w:rsidRPr="00504935">
              <w:rPr>
                <w:rFonts w:ascii="Arial Narrow" w:hAnsi="Arial Narrow"/>
                <w:bCs/>
                <w:sz w:val="20"/>
              </w:rPr>
              <w:t xml:space="preserve">, for initial treatment of HIV-1 infection: two randomised, double-blind, phase 3, non-inferiority trials. </w:t>
            </w:r>
          </w:p>
        </w:tc>
        <w:tc>
          <w:tcPr>
            <w:tcW w:w="1083" w:type="pct"/>
          </w:tcPr>
          <w:p w:rsidR="007E2FB6" w:rsidRDefault="007E2FB6" w:rsidP="009703AA">
            <w:pPr>
              <w:jc w:val="left"/>
              <w:rPr>
                <w:rFonts w:ascii="Arial Narrow" w:hAnsi="Arial Narrow"/>
                <w:bCs/>
                <w:sz w:val="20"/>
              </w:rPr>
            </w:pPr>
            <w:r>
              <w:rPr>
                <w:rFonts w:ascii="Arial Narrow" w:hAnsi="Arial Narrow"/>
                <w:bCs/>
                <w:sz w:val="20"/>
              </w:rPr>
              <w:lastRenderedPageBreak/>
              <w:t>13 October 2014</w:t>
            </w:r>
          </w:p>
          <w:p w:rsidR="007E2FB6" w:rsidRDefault="007E2FB6" w:rsidP="009703AA">
            <w:pPr>
              <w:jc w:val="left"/>
              <w:rPr>
                <w:rFonts w:ascii="Arial Narrow" w:hAnsi="Arial Narrow"/>
                <w:bCs/>
                <w:sz w:val="20"/>
              </w:rPr>
            </w:pPr>
          </w:p>
          <w:p w:rsidR="007E2FB6" w:rsidRDefault="007E2FB6" w:rsidP="009703AA">
            <w:pPr>
              <w:jc w:val="left"/>
              <w:rPr>
                <w:rFonts w:ascii="Arial Narrow" w:hAnsi="Arial Narrow"/>
                <w:bCs/>
                <w:sz w:val="20"/>
              </w:rPr>
            </w:pPr>
          </w:p>
          <w:p w:rsidR="007E2FB6" w:rsidRDefault="007E2FB6" w:rsidP="009703AA">
            <w:pPr>
              <w:jc w:val="left"/>
              <w:rPr>
                <w:rFonts w:ascii="Arial Narrow" w:hAnsi="Arial Narrow"/>
                <w:bCs/>
                <w:sz w:val="20"/>
              </w:rPr>
            </w:pPr>
            <w:r>
              <w:rPr>
                <w:rFonts w:ascii="Arial Narrow" w:hAnsi="Arial Narrow"/>
                <w:bCs/>
                <w:sz w:val="20"/>
              </w:rPr>
              <w:t>2 October 2015</w:t>
            </w:r>
            <w:r w:rsidR="00495439">
              <w:rPr>
                <w:rFonts w:ascii="Arial Narrow" w:hAnsi="Arial Narrow"/>
                <w:bCs/>
                <w:sz w:val="20"/>
              </w:rPr>
              <w:t> </w:t>
            </w:r>
          </w:p>
          <w:p w:rsidR="007E2FB6" w:rsidRDefault="007E2FB6" w:rsidP="009703AA">
            <w:pPr>
              <w:jc w:val="left"/>
              <w:rPr>
                <w:rFonts w:ascii="Arial Narrow" w:hAnsi="Arial Narrow"/>
                <w:bCs/>
                <w:sz w:val="20"/>
              </w:rPr>
            </w:pPr>
          </w:p>
          <w:p w:rsidR="007E2FB6" w:rsidRDefault="007E2FB6" w:rsidP="009703AA">
            <w:pPr>
              <w:jc w:val="left"/>
              <w:rPr>
                <w:rFonts w:ascii="Arial Narrow" w:hAnsi="Arial Narrow"/>
                <w:bCs/>
                <w:sz w:val="20"/>
              </w:rPr>
            </w:pPr>
            <w:r w:rsidRPr="00670B9A">
              <w:rPr>
                <w:rFonts w:ascii="Arial Narrow" w:hAnsi="Arial Narrow"/>
                <w:bCs/>
                <w:i/>
                <w:iCs/>
                <w:sz w:val="20"/>
              </w:rPr>
              <w:t>Lancet</w:t>
            </w:r>
            <w:r w:rsidRPr="00504935">
              <w:rPr>
                <w:rFonts w:ascii="Arial Narrow" w:hAnsi="Arial Narrow"/>
                <w:bCs/>
                <w:sz w:val="20"/>
              </w:rPr>
              <w:t xml:space="preserve"> 2015; 385 (9987): 2606-2615. </w:t>
            </w:r>
          </w:p>
          <w:p w:rsidR="007E2FB6" w:rsidRPr="00504935" w:rsidRDefault="007E2FB6" w:rsidP="00A9454A">
            <w:pPr>
              <w:jc w:val="left"/>
              <w:rPr>
                <w:rFonts w:ascii="Arial Narrow" w:hAnsi="Arial Narrow"/>
                <w:bCs/>
                <w:sz w:val="20"/>
              </w:rPr>
            </w:pPr>
            <w:r w:rsidRPr="00504935">
              <w:rPr>
                <w:rFonts w:ascii="Arial Narrow" w:hAnsi="Arial Narrow"/>
                <w:bCs/>
                <w:sz w:val="20"/>
              </w:rPr>
              <w:t xml:space="preserve"> </w:t>
            </w:r>
          </w:p>
        </w:tc>
      </w:tr>
      <w:tr w:rsidR="007E2FB6" w:rsidRPr="00B0459C" w:rsidTr="00AF134D">
        <w:tc>
          <w:tcPr>
            <w:tcW w:w="5000" w:type="pct"/>
            <w:gridSpan w:val="3"/>
            <w:vAlign w:val="center"/>
          </w:tcPr>
          <w:p w:rsidR="007E2FB6" w:rsidRPr="00B0459C" w:rsidRDefault="007E2FB6" w:rsidP="009703AA">
            <w:pPr>
              <w:jc w:val="left"/>
              <w:rPr>
                <w:rFonts w:ascii="Arial Narrow" w:hAnsi="Arial Narrow"/>
                <w:bCs/>
                <w:sz w:val="20"/>
              </w:rPr>
            </w:pPr>
            <w:r w:rsidRPr="00B0459C">
              <w:rPr>
                <w:rFonts w:ascii="Arial Narrow" w:hAnsi="Arial Narrow"/>
                <w:b/>
                <w:sz w:val="20"/>
              </w:rPr>
              <w:lastRenderedPageBreak/>
              <w:t xml:space="preserve">Supplementary open-label </w:t>
            </w:r>
            <w:r>
              <w:rPr>
                <w:rFonts w:ascii="Arial Narrow" w:hAnsi="Arial Narrow"/>
                <w:b/>
                <w:sz w:val="20"/>
              </w:rPr>
              <w:t xml:space="preserve">cohort </w:t>
            </w:r>
            <w:r w:rsidRPr="00B0459C">
              <w:rPr>
                <w:rFonts w:ascii="Arial Narrow" w:hAnsi="Arial Narrow"/>
                <w:b/>
                <w:sz w:val="20"/>
              </w:rPr>
              <w:t xml:space="preserve">study </w:t>
            </w:r>
          </w:p>
        </w:tc>
      </w:tr>
      <w:tr w:rsidR="007E2FB6" w:rsidRPr="00B0459C" w:rsidTr="00FF59AE">
        <w:tc>
          <w:tcPr>
            <w:tcW w:w="673" w:type="pct"/>
            <w:vAlign w:val="center"/>
          </w:tcPr>
          <w:p w:rsidR="007E2FB6" w:rsidRPr="00B0459C" w:rsidRDefault="007E2FB6" w:rsidP="009703AA">
            <w:pPr>
              <w:rPr>
                <w:rFonts w:ascii="Arial Narrow" w:hAnsi="Arial Narrow"/>
                <w:b/>
                <w:sz w:val="20"/>
              </w:rPr>
            </w:pPr>
            <w:r w:rsidRPr="00B0459C">
              <w:rPr>
                <w:rFonts w:ascii="Arial Narrow" w:hAnsi="Arial Narrow"/>
                <w:b/>
                <w:sz w:val="20"/>
              </w:rPr>
              <w:t>Study 112</w:t>
            </w:r>
          </w:p>
          <w:p w:rsidR="007E2FB6" w:rsidRPr="00B0459C" w:rsidRDefault="007E2FB6" w:rsidP="009703AA">
            <w:pPr>
              <w:jc w:val="left"/>
              <w:rPr>
                <w:rFonts w:ascii="Arial Narrow" w:hAnsi="Arial Narrow"/>
                <w:bCs/>
                <w:sz w:val="20"/>
              </w:rPr>
            </w:pPr>
            <w:r w:rsidRPr="00B0459C">
              <w:rPr>
                <w:rFonts w:ascii="Arial Narrow" w:hAnsi="Arial Narrow"/>
                <w:bCs/>
                <w:sz w:val="20"/>
              </w:rPr>
              <w:t>NCT01818596 GS-US-292-0112</w:t>
            </w:r>
          </w:p>
        </w:tc>
        <w:tc>
          <w:tcPr>
            <w:tcW w:w="3244" w:type="pct"/>
          </w:tcPr>
          <w:p w:rsidR="007E2FB6" w:rsidRPr="00D65AA1" w:rsidRDefault="007E2FB6" w:rsidP="005F1B54">
            <w:pPr>
              <w:jc w:val="left"/>
              <w:rPr>
                <w:rFonts w:ascii="Arial Narrow" w:hAnsi="Arial Narrow"/>
                <w:bCs/>
                <w:i/>
                <w:iCs/>
                <w:sz w:val="20"/>
              </w:rPr>
            </w:pPr>
            <w:r w:rsidRPr="00B0459C">
              <w:rPr>
                <w:rFonts w:ascii="Arial Narrow" w:hAnsi="Arial Narrow"/>
                <w:bCs/>
                <w:sz w:val="20"/>
              </w:rPr>
              <w:t xml:space="preserve">A Phase 3 Open-label Safety Study of </w:t>
            </w:r>
            <w:proofErr w:type="spellStart"/>
            <w:r w:rsidRPr="00B0459C">
              <w:rPr>
                <w:rFonts w:ascii="Arial Narrow" w:hAnsi="Arial Narrow"/>
                <w:bCs/>
                <w:sz w:val="20"/>
              </w:rPr>
              <w:t>Elvitegravir</w:t>
            </w:r>
            <w:proofErr w:type="spellEnd"/>
            <w:r w:rsidRPr="00B0459C">
              <w:rPr>
                <w:rFonts w:ascii="Arial Narrow" w:hAnsi="Arial Narrow"/>
                <w:bCs/>
                <w:sz w:val="20"/>
              </w:rPr>
              <w:t>/</w:t>
            </w:r>
            <w:proofErr w:type="spellStart"/>
            <w:r w:rsidRPr="00B0459C">
              <w:rPr>
                <w:rFonts w:ascii="Arial Narrow" w:hAnsi="Arial Narrow"/>
                <w:bCs/>
                <w:sz w:val="20"/>
              </w:rPr>
              <w:t>Cobicistat</w:t>
            </w:r>
            <w:proofErr w:type="spellEnd"/>
            <w:r w:rsidRPr="00B0459C">
              <w:rPr>
                <w:rFonts w:ascii="Arial Narrow" w:hAnsi="Arial Narrow"/>
                <w:bCs/>
                <w:sz w:val="20"/>
              </w:rPr>
              <w:t>/</w:t>
            </w:r>
            <w:proofErr w:type="spellStart"/>
            <w:r w:rsidRPr="00B0459C">
              <w:rPr>
                <w:rFonts w:ascii="Arial Narrow" w:hAnsi="Arial Narrow"/>
                <w:bCs/>
                <w:sz w:val="20"/>
              </w:rPr>
              <w:t>Emtricitabine</w:t>
            </w:r>
            <w:proofErr w:type="spellEnd"/>
            <w:r w:rsidRPr="00B0459C">
              <w:rPr>
                <w:rFonts w:ascii="Arial Narrow" w:hAnsi="Arial Narrow"/>
                <w:bCs/>
                <w:sz w:val="20"/>
              </w:rPr>
              <w:t xml:space="preserve">/ </w:t>
            </w:r>
            <w:proofErr w:type="spellStart"/>
            <w:r w:rsidRPr="00B0459C">
              <w:rPr>
                <w:rFonts w:ascii="Arial Narrow" w:hAnsi="Arial Narrow"/>
                <w:bCs/>
                <w:sz w:val="20"/>
              </w:rPr>
              <w:t>Tenofovir</w:t>
            </w:r>
            <w:proofErr w:type="spellEnd"/>
            <w:r w:rsidRPr="00B0459C">
              <w:rPr>
                <w:rFonts w:ascii="Arial Narrow" w:hAnsi="Arial Narrow"/>
                <w:bCs/>
                <w:sz w:val="20"/>
              </w:rPr>
              <w:t xml:space="preserve"> </w:t>
            </w:r>
            <w:proofErr w:type="spellStart"/>
            <w:r w:rsidRPr="00B0459C">
              <w:rPr>
                <w:rFonts w:ascii="Arial Narrow" w:hAnsi="Arial Narrow"/>
                <w:bCs/>
                <w:sz w:val="20"/>
              </w:rPr>
              <w:t>Alafenamide</w:t>
            </w:r>
            <w:proofErr w:type="spellEnd"/>
            <w:r w:rsidRPr="00B0459C">
              <w:rPr>
                <w:rFonts w:ascii="Arial Narrow" w:hAnsi="Arial Narrow"/>
                <w:bCs/>
                <w:sz w:val="20"/>
              </w:rPr>
              <w:t xml:space="preserve"> Single-Tablet Regimen in HIV-1 Positive Patients with Mild to Moderate Renal Impairment. Interim Week 24 Clinical Study Report.</w:t>
            </w:r>
          </w:p>
        </w:tc>
        <w:tc>
          <w:tcPr>
            <w:tcW w:w="1083" w:type="pct"/>
          </w:tcPr>
          <w:p w:rsidR="007E2FB6" w:rsidRDefault="007E2FB6" w:rsidP="009703AA">
            <w:pPr>
              <w:jc w:val="left"/>
              <w:rPr>
                <w:rFonts w:ascii="Arial Narrow" w:hAnsi="Arial Narrow"/>
                <w:bCs/>
                <w:sz w:val="20"/>
              </w:rPr>
            </w:pPr>
            <w:r w:rsidRPr="00B0459C">
              <w:rPr>
                <w:rFonts w:ascii="Arial Narrow" w:hAnsi="Arial Narrow"/>
                <w:bCs/>
                <w:sz w:val="20"/>
              </w:rPr>
              <w:t>13 October 2014</w:t>
            </w:r>
          </w:p>
          <w:p w:rsidR="007E2FB6" w:rsidRDefault="007E2FB6" w:rsidP="009703AA">
            <w:pPr>
              <w:jc w:val="left"/>
              <w:rPr>
                <w:rFonts w:ascii="Arial Narrow" w:hAnsi="Arial Narrow"/>
                <w:bCs/>
                <w:sz w:val="20"/>
              </w:rPr>
            </w:pPr>
          </w:p>
          <w:p w:rsidR="007E2FB6" w:rsidRDefault="007E2FB6" w:rsidP="009703AA">
            <w:pPr>
              <w:jc w:val="left"/>
              <w:rPr>
                <w:rFonts w:ascii="Arial Narrow" w:hAnsi="Arial Narrow"/>
                <w:bCs/>
                <w:sz w:val="20"/>
              </w:rPr>
            </w:pPr>
          </w:p>
          <w:p w:rsidR="007E2FB6" w:rsidRPr="00BE61CE" w:rsidRDefault="007E2FB6" w:rsidP="009703AA">
            <w:pPr>
              <w:jc w:val="left"/>
              <w:rPr>
                <w:rFonts w:ascii="Arial Narrow" w:hAnsi="Arial Narrow"/>
                <w:bCs/>
                <w:i/>
                <w:iCs/>
                <w:sz w:val="20"/>
              </w:rPr>
            </w:pPr>
          </w:p>
        </w:tc>
      </w:tr>
    </w:tbl>
    <w:p w:rsidR="00FF59AE" w:rsidRPr="00B0459C" w:rsidRDefault="00FF59AE" w:rsidP="005F1B54">
      <w:pPr>
        <w:pStyle w:val="TableFooter"/>
        <w:ind w:left="720"/>
      </w:pPr>
      <w:r w:rsidRPr="00B0459C">
        <w:t>Source: Adapted from Table B-5, pp39-40 of the submission</w:t>
      </w:r>
      <w:r>
        <w:t xml:space="preserve"> and folder entitled ‘references’</w:t>
      </w:r>
      <w:r w:rsidR="005F1B54">
        <w:t xml:space="preserve">. </w:t>
      </w:r>
      <w:r w:rsidR="005F1B54">
        <w:rPr>
          <w:i/>
          <w:iCs/>
        </w:rPr>
        <w:t>Poster presentations were not included.</w:t>
      </w:r>
      <w:r>
        <w:t xml:space="preserve"> </w:t>
      </w:r>
    </w:p>
    <w:p w:rsidR="00862502" w:rsidRDefault="00862502" w:rsidP="008F120A">
      <w:pPr>
        <w:widowControl/>
        <w:rPr>
          <w:szCs w:val="22"/>
        </w:rPr>
      </w:pPr>
    </w:p>
    <w:p w:rsidR="00862502" w:rsidRPr="00B50DB8" w:rsidRDefault="008F120A" w:rsidP="00195122">
      <w:pPr>
        <w:pStyle w:val="ListParagraph"/>
        <w:widowControl/>
        <w:numPr>
          <w:ilvl w:val="1"/>
          <w:numId w:val="6"/>
        </w:numPr>
        <w:rPr>
          <w:szCs w:val="22"/>
        </w:rPr>
      </w:pPr>
      <w:r w:rsidRPr="00B50DB8">
        <w:rPr>
          <w:szCs w:val="22"/>
        </w:rPr>
        <w:t xml:space="preserve">The key features of the </w:t>
      </w:r>
      <w:r w:rsidR="00D326DA">
        <w:rPr>
          <w:szCs w:val="22"/>
        </w:rPr>
        <w:t>randomised trial</w:t>
      </w:r>
      <w:r w:rsidRPr="00B50DB8">
        <w:rPr>
          <w:szCs w:val="22"/>
        </w:rPr>
        <w:t>s</w:t>
      </w:r>
      <w:r w:rsidR="00D326DA">
        <w:rPr>
          <w:szCs w:val="22"/>
        </w:rPr>
        <w:t xml:space="preserve"> and non-randomised study</w:t>
      </w:r>
      <w:r w:rsidRPr="00B50DB8">
        <w:rPr>
          <w:szCs w:val="22"/>
        </w:rPr>
        <w:t xml:space="preserve"> are summarised in </w:t>
      </w:r>
      <w:r w:rsidR="00195122">
        <w:rPr>
          <w:szCs w:val="22"/>
        </w:rPr>
        <w:t>Table 2</w:t>
      </w:r>
      <w:r w:rsidRPr="00B50DB8">
        <w:rPr>
          <w:szCs w:val="22"/>
        </w:rPr>
        <w:t xml:space="preserve">. </w:t>
      </w:r>
    </w:p>
    <w:p w:rsidR="002837AF" w:rsidRDefault="002837AF">
      <w:pPr>
        <w:widowControl/>
        <w:jc w:val="left"/>
        <w:rPr>
          <w:rStyle w:val="CommentReference"/>
        </w:rPr>
      </w:pPr>
    </w:p>
    <w:p w:rsidR="007F1017" w:rsidRPr="00E2771E" w:rsidRDefault="007F1017" w:rsidP="00A9380F">
      <w:pPr>
        <w:ind w:firstLine="720"/>
        <w:rPr>
          <w:rStyle w:val="CommentReference"/>
        </w:rPr>
      </w:pPr>
      <w:r w:rsidRPr="00E2771E">
        <w:rPr>
          <w:rStyle w:val="CommentReference"/>
        </w:rPr>
        <w:t xml:space="preserve">Table </w:t>
      </w:r>
      <w:r w:rsidR="00A9380F">
        <w:rPr>
          <w:rStyle w:val="CommentReference"/>
        </w:rPr>
        <w:t>2</w:t>
      </w:r>
      <w:r w:rsidRPr="00E2771E">
        <w:rPr>
          <w:rStyle w:val="CommentReference"/>
        </w:rPr>
        <w:t>: Key features of the included evidence</w:t>
      </w:r>
    </w:p>
    <w:tbl>
      <w:tblPr>
        <w:tblW w:w="843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2"/>
        <w:gridCol w:w="426"/>
        <w:gridCol w:w="1134"/>
        <w:gridCol w:w="659"/>
        <w:gridCol w:w="1959"/>
        <w:gridCol w:w="1932"/>
        <w:gridCol w:w="1337"/>
      </w:tblGrid>
      <w:tr w:rsidR="002905E0" w:rsidRPr="00C27D17" w:rsidTr="002905E0">
        <w:trPr>
          <w:cantSplit/>
          <w:tblHeader/>
        </w:trPr>
        <w:tc>
          <w:tcPr>
            <w:tcW w:w="992" w:type="dxa"/>
            <w:shd w:val="clear" w:color="auto" w:fill="auto"/>
            <w:vAlign w:val="center"/>
          </w:tcPr>
          <w:p w:rsidR="00510952" w:rsidRPr="00C27D17" w:rsidRDefault="00510952" w:rsidP="009703AA">
            <w:pPr>
              <w:jc w:val="left"/>
              <w:rPr>
                <w:rFonts w:ascii="Arial Narrow" w:hAnsi="Arial Narrow"/>
                <w:b/>
                <w:sz w:val="20"/>
              </w:rPr>
            </w:pPr>
            <w:r w:rsidRPr="00C27D17">
              <w:rPr>
                <w:rFonts w:ascii="Arial Narrow" w:hAnsi="Arial Narrow"/>
                <w:b/>
                <w:sz w:val="20"/>
              </w:rPr>
              <w:t>Trial</w:t>
            </w:r>
          </w:p>
        </w:tc>
        <w:tc>
          <w:tcPr>
            <w:tcW w:w="426" w:type="dxa"/>
            <w:shd w:val="clear" w:color="auto" w:fill="auto"/>
            <w:vAlign w:val="center"/>
          </w:tcPr>
          <w:p w:rsidR="00510952" w:rsidRPr="00C27D17" w:rsidRDefault="00510952" w:rsidP="009703AA">
            <w:pPr>
              <w:jc w:val="center"/>
              <w:rPr>
                <w:rFonts w:ascii="Arial Narrow" w:hAnsi="Arial Narrow"/>
                <w:b/>
                <w:sz w:val="20"/>
              </w:rPr>
            </w:pPr>
            <w:r w:rsidRPr="00C27D17">
              <w:rPr>
                <w:rFonts w:ascii="Arial Narrow" w:hAnsi="Arial Narrow"/>
                <w:b/>
                <w:sz w:val="20"/>
              </w:rPr>
              <w:t>N</w:t>
            </w:r>
          </w:p>
        </w:tc>
        <w:tc>
          <w:tcPr>
            <w:tcW w:w="1134" w:type="dxa"/>
            <w:shd w:val="clear" w:color="auto" w:fill="auto"/>
            <w:vAlign w:val="center"/>
          </w:tcPr>
          <w:p w:rsidR="00510952" w:rsidRPr="00C27D17" w:rsidRDefault="00510952" w:rsidP="009703AA">
            <w:pPr>
              <w:jc w:val="center"/>
              <w:rPr>
                <w:rFonts w:ascii="Arial Narrow" w:hAnsi="Arial Narrow"/>
                <w:b/>
                <w:sz w:val="20"/>
              </w:rPr>
            </w:pPr>
            <w:r w:rsidRPr="00C27D17">
              <w:rPr>
                <w:rFonts w:ascii="Arial Narrow" w:hAnsi="Arial Narrow"/>
                <w:b/>
                <w:sz w:val="20"/>
              </w:rPr>
              <w:t>Design / duration</w:t>
            </w:r>
          </w:p>
        </w:tc>
        <w:tc>
          <w:tcPr>
            <w:tcW w:w="659" w:type="dxa"/>
            <w:shd w:val="clear" w:color="auto" w:fill="auto"/>
            <w:vAlign w:val="center"/>
          </w:tcPr>
          <w:p w:rsidR="00510952" w:rsidRPr="00C27D17" w:rsidRDefault="00510952" w:rsidP="009703AA">
            <w:pPr>
              <w:jc w:val="center"/>
              <w:rPr>
                <w:rFonts w:ascii="Arial Narrow" w:hAnsi="Arial Narrow"/>
                <w:b/>
                <w:sz w:val="20"/>
              </w:rPr>
            </w:pPr>
            <w:r w:rsidRPr="00C27D17">
              <w:rPr>
                <w:rFonts w:ascii="Arial Narrow" w:hAnsi="Arial Narrow"/>
                <w:b/>
                <w:sz w:val="20"/>
              </w:rPr>
              <w:t>Risk of bias</w:t>
            </w:r>
          </w:p>
        </w:tc>
        <w:tc>
          <w:tcPr>
            <w:tcW w:w="1959" w:type="dxa"/>
            <w:shd w:val="clear" w:color="auto" w:fill="auto"/>
            <w:vAlign w:val="center"/>
          </w:tcPr>
          <w:p w:rsidR="00510952" w:rsidRPr="00C27D17" w:rsidRDefault="00510952" w:rsidP="009703AA">
            <w:pPr>
              <w:jc w:val="center"/>
              <w:rPr>
                <w:rFonts w:ascii="Arial Narrow" w:hAnsi="Arial Narrow"/>
                <w:b/>
                <w:sz w:val="20"/>
              </w:rPr>
            </w:pPr>
            <w:r w:rsidRPr="00C27D17">
              <w:rPr>
                <w:rFonts w:ascii="Arial Narrow" w:hAnsi="Arial Narrow"/>
                <w:b/>
                <w:sz w:val="20"/>
              </w:rPr>
              <w:t>Patient population</w:t>
            </w:r>
          </w:p>
        </w:tc>
        <w:tc>
          <w:tcPr>
            <w:tcW w:w="1932" w:type="dxa"/>
            <w:shd w:val="clear" w:color="auto" w:fill="auto"/>
            <w:vAlign w:val="center"/>
          </w:tcPr>
          <w:p w:rsidR="00510952" w:rsidRPr="00C27D17" w:rsidRDefault="00510952" w:rsidP="009703AA">
            <w:pPr>
              <w:jc w:val="center"/>
              <w:rPr>
                <w:rFonts w:ascii="Arial Narrow" w:hAnsi="Arial Narrow"/>
                <w:b/>
                <w:sz w:val="20"/>
              </w:rPr>
            </w:pPr>
            <w:r w:rsidRPr="00C27D17">
              <w:rPr>
                <w:rFonts w:ascii="Arial Narrow" w:hAnsi="Arial Narrow"/>
                <w:b/>
                <w:sz w:val="20"/>
              </w:rPr>
              <w:t>Intervention</w:t>
            </w:r>
          </w:p>
        </w:tc>
        <w:tc>
          <w:tcPr>
            <w:tcW w:w="1337" w:type="dxa"/>
            <w:vAlign w:val="center"/>
          </w:tcPr>
          <w:p w:rsidR="00510952" w:rsidRPr="00C27D17" w:rsidRDefault="00510952" w:rsidP="009703AA">
            <w:pPr>
              <w:jc w:val="center"/>
              <w:rPr>
                <w:rFonts w:ascii="Arial Narrow" w:hAnsi="Arial Narrow"/>
                <w:b/>
                <w:sz w:val="20"/>
              </w:rPr>
            </w:pPr>
            <w:r w:rsidRPr="00C27D17">
              <w:rPr>
                <w:rFonts w:ascii="Arial Narrow" w:hAnsi="Arial Narrow"/>
                <w:b/>
                <w:sz w:val="20"/>
              </w:rPr>
              <w:t>Key outcome(s)</w:t>
            </w:r>
          </w:p>
        </w:tc>
      </w:tr>
      <w:tr w:rsidR="00510952" w:rsidRPr="00C27D17" w:rsidTr="00D326DA">
        <w:trPr>
          <w:cantSplit/>
        </w:trPr>
        <w:tc>
          <w:tcPr>
            <w:tcW w:w="8439" w:type="dxa"/>
            <w:gridSpan w:val="7"/>
            <w:shd w:val="clear" w:color="auto" w:fill="auto"/>
            <w:vAlign w:val="center"/>
          </w:tcPr>
          <w:p w:rsidR="00510952" w:rsidRPr="00C27D17" w:rsidRDefault="00510952" w:rsidP="009703AA">
            <w:pPr>
              <w:jc w:val="left"/>
              <w:rPr>
                <w:rFonts w:ascii="Arial Narrow" w:hAnsi="Arial Narrow"/>
                <w:b/>
                <w:sz w:val="20"/>
              </w:rPr>
            </w:pPr>
            <w:r>
              <w:rPr>
                <w:rFonts w:ascii="Arial Narrow" w:hAnsi="Arial Narrow"/>
                <w:b/>
                <w:sz w:val="20"/>
              </w:rPr>
              <w:t>Key randomised controlled trial (Phase III)</w:t>
            </w:r>
          </w:p>
        </w:tc>
      </w:tr>
      <w:tr w:rsidR="002905E0" w:rsidRPr="00C27D17" w:rsidTr="002905E0">
        <w:trPr>
          <w:cantSplit/>
        </w:trPr>
        <w:tc>
          <w:tcPr>
            <w:tcW w:w="992" w:type="dxa"/>
            <w:shd w:val="clear" w:color="auto" w:fill="auto"/>
            <w:vAlign w:val="center"/>
          </w:tcPr>
          <w:p w:rsidR="00510952" w:rsidRPr="00AB0413" w:rsidRDefault="00510952" w:rsidP="009703AA">
            <w:pPr>
              <w:jc w:val="left"/>
              <w:rPr>
                <w:rFonts w:ascii="Arial Narrow" w:hAnsi="Arial Narrow"/>
                <w:bCs/>
                <w:sz w:val="20"/>
              </w:rPr>
            </w:pPr>
            <w:r>
              <w:rPr>
                <w:rFonts w:ascii="Arial Narrow" w:hAnsi="Arial Narrow"/>
                <w:sz w:val="20"/>
              </w:rPr>
              <w:t>Study 1089</w:t>
            </w:r>
          </w:p>
        </w:tc>
        <w:tc>
          <w:tcPr>
            <w:tcW w:w="426" w:type="dxa"/>
            <w:shd w:val="clear" w:color="auto" w:fill="auto"/>
            <w:vAlign w:val="center"/>
          </w:tcPr>
          <w:p w:rsidR="00510952" w:rsidRPr="00AB0413" w:rsidRDefault="00510952" w:rsidP="009703AA">
            <w:pPr>
              <w:jc w:val="center"/>
              <w:rPr>
                <w:rFonts w:ascii="Arial Narrow" w:hAnsi="Arial Narrow"/>
                <w:bCs/>
                <w:sz w:val="20"/>
              </w:rPr>
            </w:pPr>
            <w:r>
              <w:rPr>
                <w:rFonts w:ascii="Arial Narrow" w:hAnsi="Arial Narrow"/>
                <w:bCs/>
                <w:sz w:val="20"/>
              </w:rPr>
              <w:t>668</w:t>
            </w:r>
          </w:p>
        </w:tc>
        <w:tc>
          <w:tcPr>
            <w:tcW w:w="1134" w:type="dxa"/>
            <w:vMerge w:val="restart"/>
            <w:shd w:val="clear" w:color="auto" w:fill="auto"/>
            <w:vAlign w:val="center"/>
          </w:tcPr>
          <w:p w:rsidR="00510952" w:rsidRDefault="00510952" w:rsidP="009703AA">
            <w:pPr>
              <w:jc w:val="center"/>
              <w:rPr>
                <w:rFonts w:ascii="Arial Narrow" w:hAnsi="Arial Narrow"/>
                <w:bCs/>
                <w:sz w:val="20"/>
              </w:rPr>
            </w:pPr>
            <w:r>
              <w:rPr>
                <w:rFonts w:ascii="Arial Narrow" w:hAnsi="Arial Narrow"/>
                <w:bCs/>
                <w:sz w:val="20"/>
              </w:rPr>
              <w:t>R, DB, MC</w:t>
            </w:r>
          </w:p>
          <w:p w:rsidR="00510952" w:rsidRDefault="00510952" w:rsidP="009703AA">
            <w:pPr>
              <w:jc w:val="center"/>
              <w:rPr>
                <w:rFonts w:ascii="Arial Narrow" w:hAnsi="Arial Narrow"/>
                <w:bCs/>
                <w:sz w:val="20"/>
              </w:rPr>
            </w:pPr>
            <w:r>
              <w:rPr>
                <w:rFonts w:ascii="Arial Narrow" w:hAnsi="Arial Narrow"/>
                <w:bCs/>
                <w:sz w:val="20"/>
              </w:rPr>
              <w:t xml:space="preserve">48 </w:t>
            </w:r>
            <w:proofErr w:type="spellStart"/>
            <w:r>
              <w:rPr>
                <w:rFonts w:ascii="Arial Narrow" w:hAnsi="Arial Narrow"/>
                <w:bCs/>
                <w:sz w:val="20"/>
              </w:rPr>
              <w:t>wks</w:t>
            </w:r>
            <w:proofErr w:type="spellEnd"/>
            <w:r>
              <w:rPr>
                <w:rFonts w:ascii="Arial Narrow" w:hAnsi="Arial Narrow"/>
                <w:bCs/>
                <w:sz w:val="20"/>
              </w:rPr>
              <w:t xml:space="preserve"> </w:t>
            </w:r>
          </w:p>
          <w:p w:rsidR="00510952" w:rsidRPr="00AB0413" w:rsidRDefault="00510952" w:rsidP="009703AA">
            <w:pPr>
              <w:jc w:val="center"/>
              <w:rPr>
                <w:rFonts w:ascii="Arial Narrow" w:hAnsi="Arial Narrow"/>
                <w:bCs/>
                <w:sz w:val="20"/>
              </w:rPr>
            </w:pPr>
            <w:r>
              <w:rPr>
                <w:rFonts w:ascii="Arial Narrow" w:hAnsi="Arial Narrow"/>
                <w:bCs/>
                <w:sz w:val="20"/>
              </w:rPr>
              <w:t xml:space="preserve">(96 </w:t>
            </w:r>
            <w:proofErr w:type="spellStart"/>
            <w:r>
              <w:rPr>
                <w:rFonts w:ascii="Arial Narrow" w:hAnsi="Arial Narrow"/>
                <w:bCs/>
                <w:sz w:val="20"/>
              </w:rPr>
              <w:t>wks</w:t>
            </w:r>
            <w:proofErr w:type="spellEnd"/>
            <w:r>
              <w:rPr>
                <w:rFonts w:ascii="Arial Narrow" w:hAnsi="Arial Narrow"/>
                <w:bCs/>
                <w:sz w:val="20"/>
              </w:rPr>
              <w:t xml:space="preserve"> ongoing)</w:t>
            </w:r>
          </w:p>
        </w:tc>
        <w:tc>
          <w:tcPr>
            <w:tcW w:w="659" w:type="dxa"/>
            <w:shd w:val="clear" w:color="auto" w:fill="auto"/>
            <w:vAlign w:val="center"/>
          </w:tcPr>
          <w:p w:rsidR="00510952" w:rsidRPr="000208B7" w:rsidRDefault="00510952" w:rsidP="009703AA">
            <w:pPr>
              <w:jc w:val="center"/>
              <w:rPr>
                <w:rFonts w:ascii="Arial Narrow" w:hAnsi="Arial Narrow"/>
                <w:bCs/>
                <w:i/>
                <w:iCs/>
                <w:sz w:val="20"/>
              </w:rPr>
            </w:pPr>
            <w:r w:rsidRPr="000208B7">
              <w:rPr>
                <w:rFonts w:ascii="Arial Narrow" w:hAnsi="Arial Narrow"/>
                <w:bCs/>
                <w:i/>
                <w:iCs/>
                <w:sz w:val="20"/>
              </w:rPr>
              <w:t>Low</w:t>
            </w:r>
          </w:p>
        </w:tc>
        <w:tc>
          <w:tcPr>
            <w:tcW w:w="1959" w:type="dxa"/>
            <w:shd w:val="clear" w:color="auto" w:fill="auto"/>
            <w:vAlign w:val="center"/>
          </w:tcPr>
          <w:p w:rsidR="00510952" w:rsidRPr="00AB0413" w:rsidRDefault="00510952" w:rsidP="009703AA">
            <w:pPr>
              <w:jc w:val="center"/>
              <w:rPr>
                <w:rFonts w:ascii="Arial Narrow" w:hAnsi="Arial Narrow"/>
                <w:bCs/>
                <w:sz w:val="20"/>
              </w:rPr>
            </w:pPr>
            <w:r>
              <w:rPr>
                <w:rFonts w:ascii="Arial Narrow" w:hAnsi="Arial Narrow"/>
                <w:bCs/>
                <w:sz w:val="20"/>
              </w:rPr>
              <w:t xml:space="preserve">HIV-1 positive, treatment-experienced, virologically supressed on </w:t>
            </w:r>
            <w:proofErr w:type="spellStart"/>
            <w:r>
              <w:rPr>
                <w:rFonts w:ascii="Arial Narrow" w:hAnsi="Arial Narrow"/>
                <w:bCs/>
                <w:sz w:val="20"/>
              </w:rPr>
              <w:t>Truvada</w:t>
            </w:r>
            <w:proofErr w:type="spellEnd"/>
            <w:r w:rsidRPr="00D04807">
              <w:rPr>
                <w:rFonts w:ascii="Arial Narrow" w:hAnsi="Arial Narrow"/>
                <w:bCs/>
                <w:sz w:val="20"/>
                <w:vertAlign w:val="superscript"/>
              </w:rPr>
              <w:t>®</w:t>
            </w:r>
            <w:r>
              <w:rPr>
                <w:rFonts w:ascii="Arial Narrow" w:hAnsi="Arial Narrow"/>
                <w:bCs/>
                <w:sz w:val="20"/>
              </w:rPr>
              <w:t>-based regimens</w:t>
            </w:r>
          </w:p>
        </w:tc>
        <w:tc>
          <w:tcPr>
            <w:tcW w:w="1932" w:type="dxa"/>
            <w:shd w:val="clear" w:color="auto" w:fill="auto"/>
            <w:vAlign w:val="center"/>
          </w:tcPr>
          <w:p w:rsidR="00510952" w:rsidRPr="00216AC6" w:rsidRDefault="00510952" w:rsidP="009703AA">
            <w:pPr>
              <w:jc w:val="center"/>
              <w:rPr>
                <w:rFonts w:ascii="Arial Narrow" w:hAnsi="Arial Narrow"/>
                <w:bCs/>
                <w:sz w:val="20"/>
              </w:rPr>
            </w:pPr>
            <w:proofErr w:type="spellStart"/>
            <w:r>
              <w:rPr>
                <w:rFonts w:ascii="Arial Narrow" w:hAnsi="Arial Narrow"/>
                <w:sz w:val="20"/>
              </w:rPr>
              <w:t>Descovy</w:t>
            </w:r>
            <w:proofErr w:type="spellEnd"/>
            <w:r w:rsidRPr="00B0561E">
              <w:rPr>
                <w:rFonts w:ascii="Arial Narrow" w:hAnsi="Arial Narrow"/>
                <w:sz w:val="20"/>
                <w:vertAlign w:val="superscript"/>
              </w:rPr>
              <w:t>®</w:t>
            </w:r>
            <w:r>
              <w:rPr>
                <w:rFonts w:ascii="Arial Narrow" w:hAnsi="Arial Narrow"/>
                <w:sz w:val="20"/>
              </w:rPr>
              <w:t xml:space="preserve"> </w:t>
            </w:r>
            <w:r>
              <w:rPr>
                <w:rFonts w:ascii="Arial Narrow" w:hAnsi="Arial Narrow"/>
                <w:bCs/>
                <w:sz w:val="20"/>
              </w:rPr>
              <w:t>+ 3</w:t>
            </w:r>
            <w:r w:rsidRPr="004B0AD6">
              <w:rPr>
                <w:rFonts w:ascii="Arial Narrow" w:hAnsi="Arial Narrow"/>
                <w:bCs/>
                <w:sz w:val="20"/>
                <w:vertAlign w:val="superscript"/>
              </w:rPr>
              <w:t>rd</w:t>
            </w:r>
            <w:r>
              <w:rPr>
                <w:rFonts w:ascii="Arial Narrow" w:hAnsi="Arial Narrow"/>
                <w:bCs/>
                <w:sz w:val="20"/>
              </w:rPr>
              <w:t xml:space="preserve"> agent vs </w:t>
            </w:r>
            <w:proofErr w:type="spellStart"/>
            <w:r>
              <w:rPr>
                <w:rFonts w:ascii="Arial Narrow" w:hAnsi="Arial Narrow"/>
                <w:bCs/>
                <w:sz w:val="20"/>
              </w:rPr>
              <w:t>Truvada</w:t>
            </w:r>
            <w:proofErr w:type="spellEnd"/>
            <w:r w:rsidRPr="00216AC6">
              <w:rPr>
                <w:rFonts w:ascii="Arial Narrow" w:hAnsi="Arial Narrow"/>
                <w:bCs/>
                <w:sz w:val="20"/>
                <w:vertAlign w:val="superscript"/>
              </w:rPr>
              <w:t>®</w:t>
            </w:r>
            <w:r>
              <w:rPr>
                <w:rFonts w:ascii="Arial Narrow" w:hAnsi="Arial Narrow"/>
                <w:bCs/>
                <w:sz w:val="20"/>
                <w:vertAlign w:val="superscript"/>
              </w:rPr>
              <w:t xml:space="preserve"> </w:t>
            </w:r>
            <w:r>
              <w:rPr>
                <w:rFonts w:ascii="Arial Narrow" w:hAnsi="Arial Narrow"/>
                <w:bCs/>
                <w:sz w:val="20"/>
              </w:rPr>
              <w:t>+ 3</w:t>
            </w:r>
            <w:r w:rsidRPr="004B0AD6">
              <w:rPr>
                <w:rFonts w:ascii="Arial Narrow" w:hAnsi="Arial Narrow"/>
                <w:bCs/>
                <w:sz w:val="20"/>
                <w:vertAlign w:val="superscript"/>
              </w:rPr>
              <w:t>rd</w:t>
            </w:r>
            <w:r>
              <w:rPr>
                <w:rFonts w:ascii="Arial Narrow" w:hAnsi="Arial Narrow"/>
                <w:bCs/>
                <w:sz w:val="20"/>
              </w:rPr>
              <w:t xml:space="preserve"> agent </w:t>
            </w:r>
          </w:p>
        </w:tc>
        <w:tc>
          <w:tcPr>
            <w:tcW w:w="1337" w:type="dxa"/>
            <w:vMerge w:val="restart"/>
            <w:vAlign w:val="center"/>
          </w:tcPr>
          <w:p w:rsidR="00510952" w:rsidRPr="00AB0413" w:rsidRDefault="00510952" w:rsidP="009703AA">
            <w:pPr>
              <w:jc w:val="center"/>
              <w:rPr>
                <w:rFonts w:ascii="Arial Narrow" w:hAnsi="Arial Narrow"/>
                <w:bCs/>
                <w:sz w:val="20"/>
              </w:rPr>
            </w:pPr>
            <w:r>
              <w:rPr>
                <w:rFonts w:ascii="Arial Narrow" w:hAnsi="Arial Narrow"/>
                <w:sz w:val="20"/>
              </w:rPr>
              <w:t>% with HIV RNA &lt;50 copies/mL at Week 48</w:t>
            </w:r>
          </w:p>
        </w:tc>
      </w:tr>
      <w:tr w:rsidR="002905E0" w:rsidRPr="00C27D17" w:rsidTr="002905E0">
        <w:trPr>
          <w:cantSplit/>
        </w:trPr>
        <w:tc>
          <w:tcPr>
            <w:tcW w:w="992" w:type="dxa"/>
            <w:shd w:val="clear" w:color="auto" w:fill="auto"/>
            <w:vAlign w:val="center"/>
          </w:tcPr>
          <w:p w:rsidR="00510952" w:rsidRDefault="00510952" w:rsidP="009703AA">
            <w:pPr>
              <w:ind w:left="142"/>
              <w:jc w:val="left"/>
              <w:rPr>
                <w:rFonts w:ascii="Arial Narrow" w:hAnsi="Arial Narrow"/>
                <w:sz w:val="20"/>
              </w:rPr>
            </w:pPr>
            <w:proofErr w:type="spellStart"/>
            <w:r>
              <w:rPr>
                <w:rFonts w:ascii="Arial Narrow" w:hAnsi="Arial Narrow"/>
                <w:sz w:val="20"/>
              </w:rPr>
              <w:t>R</w:t>
            </w:r>
            <w:r w:rsidRPr="00F9046A">
              <w:rPr>
                <w:rFonts w:ascii="Arial Narrow" w:hAnsi="Arial Narrow"/>
                <w:sz w:val="20"/>
              </w:rPr>
              <w:t>ilpivirine</w:t>
            </w:r>
            <w:proofErr w:type="spellEnd"/>
            <w:r>
              <w:rPr>
                <w:rFonts w:ascii="Arial Narrow" w:hAnsi="Arial Narrow"/>
                <w:sz w:val="20"/>
              </w:rPr>
              <w:t xml:space="preserve"> </w:t>
            </w:r>
            <w:r>
              <w:rPr>
                <w:rFonts w:ascii="Arial Narrow" w:hAnsi="Arial Narrow"/>
                <w:bCs/>
                <w:sz w:val="20"/>
              </w:rPr>
              <w:t>subgroup</w:t>
            </w:r>
          </w:p>
        </w:tc>
        <w:tc>
          <w:tcPr>
            <w:tcW w:w="426" w:type="dxa"/>
            <w:shd w:val="clear" w:color="auto" w:fill="auto"/>
            <w:vAlign w:val="center"/>
          </w:tcPr>
          <w:p w:rsidR="00510952" w:rsidRDefault="00510952" w:rsidP="009703AA">
            <w:pPr>
              <w:jc w:val="center"/>
              <w:rPr>
                <w:rFonts w:ascii="Arial Narrow" w:hAnsi="Arial Narrow"/>
                <w:bCs/>
                <w:sz w:val="20"/>
              </w:rPr>
            </w:pPr>
            <w:r>
              <w:rPr>
                <w:rFonts w:ascii="Arial Narrow" w:hAnsi="Arial Narrow"/>
                <w:bCs/>
                <w:sz w:val="20"/>
              </w:rPr>
              <w:t>9</w:t>
            </w:r>
          </w:p>
        </w:tc>
        <w:tc>
          <w:tcPr>
            <w:tcW w:w="1134" w:type="dxa"/>
            <w:vMerge/>
            <w:shd w:val="clear" w:color="auto" w:fill="auto"/>
            <w:vAlign w:val="center"/>
          </w:tcPr>
          <w:p w:rsidR="00510952" w:rsidRDefault="00510952" w:rsidP="009703AA">
            <w:pPr>
              <w:jc w:val="center"/>
              <w:rPr>
                <w:rFonts w:ascii="Arial Narrow" w:hAnsi="Arial Narrow"/>
                <w:bCs/>
                <w:sz w:val="20"/>
              </w:rPr>
            </w:pPr>
          </w:p>
        </w:tc>
        <w:tc>
          <w:tcPr>
            <w:tcW w:w="659" w:type="dxa"/>
            <w:shd w:val="clear" w:color="auto" w:fill="auto"/>
            <w:vAlign w:val="center"/>
          </w:tcPr>
          <w:p w:rsidR="00510952" w:rsidRPr="000838E3" w:rsidRDefault="00510952" w:rsidP="009703AA">
            <w:pPr>
              <w:jc w:val="center"/>
              <w:rPr>
                <w:rFonts w:ascii="Arial Narrow" w:hAnsi="Arial Narrow"/>
                <w:bCs/>
                <w:i/>
                <w:iCs/>
                <w:sz w:val="20"/>
              </w:rPr>
            </w:pPr>
            <w:r>
              <w:rPr>
                <w:rFonts w:ascii="Arial Narrow" w:hAnsi="Arial Narrow"/>
                <w:bCs/>
                <w:i/>
                <w:iCs/>
                <w:sz w:val="20"/>
              </w:rPr>
              <w:t>Unclear</w:t>
            </w:r>
          </w:p>
        </w:tc>
        <w:tc>
          <w:tcPr>
            <w:tcW w:w="1959" w:type="dxa"/>
            <w:shd w:val="clear" w:color="auto" w:fill="auto"/>
            <w:vAlign w:val="center"/>
          </w:tcPr>
          <w:p w:rsidR="00510952" w:rsidRDefault="00510952" w:rsidP="009703AA">
            <w:pPr>
              <w:jc w:val="center"/>
              <w:rPr>
                <w:rFonts w:ascii="Arial Narrow" w:hAnsi="Arial Narrow"/>
                <w:sz w:val="20"/>
              </w:rPr>
            </w:pPr>
            <w:r>
              <w:rPr>
                <w:rFonts w:ascii="Arial Narrow" w:hAnsi="Arial Narrow"/>
                <w:bCs/>
                <w:sz w:val="20"/>
              </w:rPr>
              <w:t xml:space="preserve">Third agent: </w:t>
            </w:r>
            <w:proofErr w:type="spellStart"/>
            <w:r>
              <w:rPr>
                <w:rFonts w:ascii="Arial Narrow" w:hAnsi="Arial Narrow"/>
                <w:bCs/>
                <w:sz w:val="20"/>
              </w:rPr>
              <w:t>rilpivirine</w:t>
            </w:r>
            <w:proofErr w:type="spellEnd"/>
          </w:p>
        </w:tc>
        <w:tc>
          <w:tcPr>
            <w:tcW w:w="1932" w:type="dxa"/>
            <w:shd w:val="clear" w:color="auto" w:fill="auto"/>
            <w:vAlign w:val="center"/>
          </w:tcPr>
          <w:p w:rsidR="00510952" w:rsidRDefault="00510952" w:rsidP="009703AA">
            <w:pPr>
              <w:jc w:val="center"/>
              <w:rPr>
                <w:rFonts w:ascii="Arial Narrow" w:hAnsi="Arial Narrow"/>
                <w:sz w:val="20"/>
              </w:rPr>
            </w:pPr>
            <w:proofErr w:type="spellStart"/>
            <w:r>
              <w:rPr>
                <w:rFonts w:ascii="Arial Narrow" w:hAnsi="Arial Narrow"/>
                <w:sz w:val="20"/>
              </w:rPr>
              <w:t>Descovy</w:t>
            </w:r>
            <w:proofErr w:type="spellEnd"/>
            <w:r w:rsidRPr="00B0561E">
              <w:rPr>
                <w:rFonts w:ascii="Arial Narrow" w:hAnsi="Arial Narrow"/>
                <w:sz w:val="20"/>
                <w:vertAlign w:val="superscript"/>
              </w:rPr>
              <w:t>®</w:t>
            </w:r>
            <w:r>
              <w:rPr>
                <w:rFonts w:ascii="Arial Narrow" w:hAnsi="Arial Narrow"/>
                <w:sz w:val="20"/>
              </w:rPr>
              <w:t xml:space="preserve"> </w:t>
            </w:r>
            <w:r>
              <w:rPr>
                <w:rFonts w:ascii="Arial Narrow" w:hAnsi="Arial Narrow"/>
                <w:bCs/>
                <w:sz w:val="20"/>
              </w:rPr>
              <w:t xml:space="preserve">+ </w:t>
            </w:r>
            <w:proofErr w:type="spellStart"/>
            <w:r>
              <w:rPr>
                <w:rFonts w:ascii="Arial Narrow" w:hAnsi="Arial Narrow"/>
                <w:bCs/>
                <w:sz w:val="20"/>
              </w:rPr>
              <w:t>rilpivirine</w:t>
            </w:r>
            <w:proofErr w:type="spellEnd"/>
            <w:r>
              <w:rPr>
                <w:rFonts w:ascii="Arial Narrow" w:hAnsi="Arial Narrow"/>
                <w:bCs/>
                <w:sz w:val="20"/>
              </w:rPr>
              <w:t xml:space="preserve"> vs </w:t>
            </w:r>
            <w:proofErr w:type="spellStart"/>
            <w:r>
              <w:rPr>
                <w:rFonts w:ascii="Arial Narrow" w:hAnsi="Arial Narrow"/>
                <w:bCs/>
                <w:sz w:val="20"/>
              </w:rPr>
              <w:t>Truvada</w:t>
            </w:r>
            <w:proofErr w:type="spellEnd"/>
            <w:r w:rsidRPr="00216AC6">
              <w:rPr>
                <w:rFonts w:ascii="Arial Narrow" w:hAnsi="Arial Narrow"/>
                <w:bCs/>
                <w:sz w:val="20"/>
                <w:vertAlign w:val="superscript"/>
              </w:rPr>
              <w:t>®</w:t>
            </w:r>
            <w:r>
              <w:rPr>
                <w:rFonts w:ascii="Arial Narrow" w:hAnsi="Arial Narrow"/>
                <w:bCs/>
                <w:sz w:val="20"/>
                <w:vertAlign w:val="superscript"/>
              </w:rPr>
              <w:t xml:space="preserve"> </w:t>
            </w:r>
            <w:r>
              <w:rPr>
                <w:rFonts w:ascii="Arial Narrow" w:hAnsi="Arial Narrow"/>
                <w:bCs/>
                <w:sz w:val="20"/>
              </w:rPr>
              <w:t xml:space="preserve">+ </w:t>
            </w:r>
            <w:proofErr w:type="spellStart"/>
            <w:r>
              <w:rPr>
                <w:rFonts w:ascii="Arial Narrow" w:hAnsi="Arial Narrow"/>
                <w:bCs/>
                <w:sz w:val="20"/>
              </w:rPr>
              <w:t>rilpivirine</w:t>
            </w:r>
            <w:proofErr w:type="spellEnd"/>
          </w:p>
        </w:tc>
        <w:tc>
          <w:tcPr>
            <w:tcW w:w="1337" w:type="dxa"/>
            <w:vMerge/>
            <w:vAlign w:val="center"/>
          </w:tcPr>
          <w:p w:rsidR="00510952" w:rsidRDefault="00510952" w:rsidP="009703AA">
            <w:pPr>
              <w:jc w:val="center"/>
              <w:rPr>
                <w:rFonts w:ascii="Arial Narrow" w:hAnsi="Arial Narrow"/>
                <w:sz w:val="20"/>
              </w:rPr>
            </w:pPr>
          </w:p>
        </w:tc>
      </w:tr>
      <w:tr w:rsidR="002905E0" w:rsidRPr="00C27D17" w:rsidTr="002905E0">
        <w:trPr>
          <w:cantSplit/>
        </w:trPr>
        <w:tc>
          <w:tcPr>
            <w:tcW w:w="992" w:type="dxa"/>
            <w:shd w:val="clear" w:color="auto" w:fill="auto"/>
            <w:vAlign w:val="center"/>
          </w:tcPr>
          <w:p w:rsidR="00510952" w:rsidRDefault="00510952" w:rsidP="009703AA">
            <w:pPr>
              <w:ind w:left="142"/>
              <w:jc w:val="left"/>
              <w:rPr>
                <w:rFonts w:ascii="Arial Narrow" w:hAnsi="Arial Narrow"/>
                <w:sz w:val="20"/>
              </w:rPr>
            </w:pPr>
            <w:proofErr w:type="spellStart"/>
            <w:r>
              <w:rPr>
                <w:rFonts w:ascii="Arial Narrow" w:hAnsi="Arial Narrow"/>
                <w:sz w:val="20"/>
              </w:rPr>
              <w:t>E</w:t>
            </w:r>
            <w:r w:rsidRPr="00F9046A">
              <w:rPr>
                <w:rFonts w:ascii="Arial Narrow" w:hAnsi="Arial Narrow"/>
                <w:sz w:val="20"/>
              </w:rPr>
              <w:t>favirenz</w:t>
            </w:r>
            <w:proofErr w:type="spellEnd"/>
            <w:r>
              <w:rPr>
                <w:rFonts w:ascii="Arial Narrow" w:hAnsi="Arial Narrow"/>
                <w:sz w:val="20"/>
              </w:rPr>
              <w:t xml:space="preserve"> </w:t>
            </w:r>
            <w:r>
              <w:rPr>
                <w:rFonts w:ascii="Arial Narrow" w:hAnsi="Arial Narrow"/>
                <w:bCs/>
                <w:sz w:val="20"/>
              </w:rPr>
              <w:t>subgroup</w:t>
            </w:r>
          </w:p>
        </w:tc>
        <w:tc>
          <w:tcPr>
            <w:tcW w:w="426" w:type="dxa"/>
            <w:shd w:val="clear" w:color="auto" w:fill="auto"/>
            <w:vAlign w:val="center"/>
          </w:tcPr>
          <w:p w:rsidR="00510952" w:rsidRDefault="00510952" w:rsidP="009703AA">
            <w:pPr>
              <w:jc w:val="center"/>
              <w:rPr>
                <w:rFonts w:ascii="Arial Narrow" w:hAnsi="Arial Narrow"/>
                <w:bCs/>
                <w:sz w:val="20"/>
              </w:rPr>
            </w:pPr>
            <w:r>
              <w:rPr>
                <w:rFonts w:ascii="Arial Narrow" w:hAnsi="Arial Narrow"/>
                <w:bCs/>
                <w:sz w:val="20"/>
              </w:rPr>
              <w:t>14</w:t>
            </w:r>
          </w:p>
        </w:tc>
        <w:tc>
          <w:tcPr>
            <w:tcW w:w="1134" w:type="dxa"/>
            <w:vMerge/>
            <w:shd w:val="clear" w:color="auto" w:fill="auto"/>
            <w:vAlign w:val="center"/>
          </w:tcPr>
          <w:p w:rsidR="00510952" w:rsidRDefault="00510952" w:rsidP="009703AA">
            <w:pPr>
              <w:jc w:val="center"/>
              <w:rPr>
                <w:rFonts w:ascii="Arial Narrow" w:hAnsi="Arial Narrow"/>
                <w:bCs/>
                <w:sz w:val="20"/>
              </w:rPr>
            </w:pPr>
          </w:p>
        </w:tc>
        <w:tc>
          <w:tcPr>
            <w:tcW w:w="659" w:type="dxa"/>
            <w:shd w:val="clear" w:color="auto" w:fill="auto"/>
            <w:vAlign w:val="center"/>
          </w:tcPr>
          <w:p w:rsidR="00510952" w:rsidRPr="00AB0413" w:rsidRDefault="00510952" w:rsidP="009703AA">
            <w:pPr>
              <w:jc w:val="center"/>
              <w:rPr>
                <w:rFonts w:ascii="Arial Narrow" w:hAnsi="Arial Narrow"/>
                <w:bCs/>
                <w:sz w:val="20"/>
              </w:rPr>
            </w:pPr>
            <w:r>
              <w:rPr>
                <w:rFonts w:ascii="Arial Narrow" w:hAnsi="Arial Narrow"/>
                <w:bCs/>
                <w:i/>
                <w:iCs/>
                <w:sz w:val="20"/>
              </w:rPr>
              <w:t>Unclear</w:t>
            </w:r>
          </w:p>
        </w:tc>
        <w:tc>
          <w:tcPr>
            <w:tcW w:w="1959" w:type="dxa"/>
            <w:shd w:val="clear" w:color="auto" w:fill="auto"/>
            <w:vAlign w:val="center"/>
          </w:tcPr>
          <w:p w:rsidR="00510952" w:rsidRDefault="00510952" w:rsidP="009703AA">
            <w:pPr>
              <w:jc w:val="center"/>
              <w:rPr>
                <w:rFonts w:ascii="Arial Narrow" w:hAnsi="Arial Narrow"/>
                <w:sz w:val="20"/>
              </w:rPr>
            </w:pPr>
            <w:r>
              <w:rPr>
                <w:rFonts w:ascii="Arial Narrow" w:hAnsi="Arial Narrow"/>
                <w:bCs/>
                <w:sz w:val="20"/>
              </w:rPr>
              <w:t xml:space="preserve"> Third agent: </w:t>
            </w:r>
            <w:proofErr w:type="spellStart"/>
            <w:r>
              <w:rPr>
                <w:rFonts w:ascii="Arial Narrow" w:hAnsi="Arial Narrow"/>
                <w:bCs/>
                <w:sz w:val="20"/>
              </w:rPr>
              <w:t>efavirenz</w:t>
            </w:r>
            <w:proofErr w:type="spellEnd"/>
          </w:p>
        </w:tc>
        <w:tc>
          <w:tcPr>
            <w:tcW w:w="1932" w:type="dxa"/>
            <w:shd w:val="clear" w:color="auto" w:fill="auto"/>
            <w:vAlign w:val="center"/>
          </w:tcPr>
          <w:p w:rsidR="00510952" w:rsidRDefault="00510952" w:rsidP="009703AA">
            <w:pPr>
              <w:jc w:val="center"/>
              <w:rPr>
                <w:rFonts w:ascii="Arial Narrow" w:hAnsi="Arial Narrow"/>
                <w:sz w:val="20"/>
              </w:rPr>
            </w:pPr>
            <w:proofErr w:type="spellStart"/>
            <w:r>
              <w:rPr>
                <w:rFonts w:ascii="Arial Narrow" w:hAnsi="Arial Narrow"/>
                <w:sz w:val="20"/>
              </w:rPr>
              <w:t>Descovy</w:t>
            </w:r>
            <w:proofErr w:type="spellEnd"/>
            <w:r w:rsidRPr="00B0561E">
              <w:rPr>
                <w:rFonts w:ascii="Arial Narrow" w:hAnsi="Arial Narrow"/>
                <w:sz w:val="20"/>
                <w:vertAlign w:val="superscript"/>
              </w:rPr>
              <w:t>®</w:t>
            </w:r>
            <w:r>
              <w:rPr>
                <w:rFonts w:ascii="Arial Narrow" w:hAnsi="Arial Narrow"/>
                <w:sz w:val="20"/>
              </w:rPr>
              <w:t xml:space="preserve"> </w:t>
            </w:r>
            <w:r>
              <w:rPr>
                <w:rFonts w:ascii="Arial Narrow" w:hAnsi="Arial Narrow"/>
                <w:bCs/>
                <w:sz w:val="20"/>
              </w:rPr>
              <w:t xml:space="preserve">+ </w:t>
            </w:r>
            <w:proofErr w:type="spellStart"/>
            <w:r>
              <w:rPr>
                <w:rFonts w:ascii="Arial Narrow" w:hAnsi="Arial Narrow"/>
                <w:bCs/>
                <w:sz w:val="20"/>
              </w:rPr>
              <w:t>efavirenz</w:t>
            </w:r>
            <w:proofErr w:type="spellEnd"/>
            <w:r>
              <w:rPr>
                <w:rFonts w:ascii="Arial Narrow" w:hAnsi="Arial Narrow"/>
                <w:bCs/>
                <w:sz w:val="20"/>
              </w:rPr>
              <w:t xml:space="preserve"> vs </w:t>
            </w:r>
            <w:proofErr w:type="spellStart"/>
            <w:r>
              <w:rPr>
                <w:rFonts w:ascii="Arial Narrow" w:hAnsi="Arial Narrow"/>
                <w:bCs/>
                <w:sz w:val="20"/>
              </w:rPr>
              <w:t>Truvada</w:t>
            </w:r>
            <w:proofErr w:type="spellEnd"/>
            <w:r w:rsidRPr="00216AC6">
              <w:rPr>
                <w:rFonts w:ascii="Arial Narrow" w:hAnsi="Arial Narrow"/>
                <w:bCs/>
                <w:sz w:val="20"/>
                <w:vertAlign w:val="superscript"/>
              </w:rPr>
              <w:t>®</w:t>
            </w:r>
            <w:r>
              <w:rPr>
                <w:rFonts w:ascii="Arial Narrow" w:hAnsi="Arial Narrow"/>
                <w:bCs/>
                <w:sz w:val="20"/>
                <w:vertAlign w:val="superscript"/>
              </w:rPr>
              <w:t xml:space="preserve"> </w:t>
            </w:r>
            <w:r>
              <w:rPr>
                <w:rFonts w:ascii="Arial Narrow" w:hAnsi="Arial Narrow"/>
                <w:bCs/>
                <w:sz w:val="20"/>
              </w:rPr>
              <w:t xml:space="preserve">+ </w:t>
            </w:r>
            <w:proofErr w:type="spellStart"/>
            <w:r>
              <w:rPr>
                <w:rFonts w:ascii="Arial Narrow" w:hAnsi="Arial Narrow"/>
                <w:bCs/>
                <w:sz w:val="20"/>
              </w:rPr>
              <w:t>efavirenz</w:t>
            </w:r>
            <w:proofErr w:type="spellEnd"/>
          </w:p>
        </w:tc>
        <w:tc>
          <w:tcPr>
            <w:tcW w:w="1337" w:type="dxa"/>
            <w:vMerge/>
            <w:vAlign w:val="center"/>
          </w:tcPr>
          <w:p w:rsidR="00510952" w:rsidRDefault="00510952" w:rsidP="009703AA">
            <w:pPr>
              <w:jc w:val="center"/>
              <w:rPr>
                <w:rFonts w:ascii="Arial Narrow" w:hAnsi="Arial Narrow"/>
                <w:sz w:val="20"/>
              </w:rPr>
            </w:pPr>
          </w:p>
        </w:tc>
      </w:tr>
      <w:tr w:rsidR="002905E0" w:rsidRPr="00F43BB4" w:rsidTr="002905E0">
        <w:trPr>
          <w:cantSplit/>
        </w:trPr>
        <w:tc>
          <w:tcPr>
            <w:tcW w:w="992" w:type="dxa"/>
            <w:shd w:val="clear" w:color="auto" w:fill="auto"/>
            <w:vAlign w:val="center"/>
          </w:tcPr>
          <w:p w:rsidR="00510952" w:rsidRPr="00AB0413" w:rsidRDefault="00510952" w:rsidP="009703AA">
            <w:pPr>
              <w:ind w:left="142"/>
              <w:jc w:val="left"/>
              <w:rPr>
                <w:rFonts w:ascii="Arial Narrow" w:hAnsi="Arial Narrow"/>
                <w:bCs/>
                <w:sz w:val="20"/>
              </w:rPr>
            </w:pPr>
            <w:proofErr w:type="spellStart"/>
            <w:r>
              <w:rPr>
                <w:rFonts w:ascii="Arial Narrow" w:hAnsi="Arial Narrow"/>
                <w:bCs/>
                <w:sz w:val="20"/>
              </w:rPr>
              <w:t>N</w:t>
            </w:r>
            <w:r w:rsidRPr="00F9046A">
              <w:rPr>
                <w:rFonts w:ascii="Arial Narrow" w:hAnsi="Arial Narrow"/>
                <w:bCs/>
                <w:sz w:val="20"/>
              </w:rPr>
              <w:t>evirapine</w:t>
            </w:r>
            <w:proofErr w:type="spellEnd"/>
            <w:r w:rsidRPr="00F9046A">
              <w:rPr>
                <w:rFonts w:ascii="Arial Narrow" w:hAnsi="Arial Narrow"/>
                <w:bCs/>
                <w:sz w:val="20"/>
              </w:rPr>
              <w:t xml:space="preserve"> </w:t>
            </w:r>
            <w:r>
              <w:rPr>
                <w:rFonts w:ascii="Arial Narrow" w:hAnsi="Arial Narrow"/>
                <w:bCs/>
                <w:sz w:val="20"/>
              </w:rPr>
              <w:t xml:space="preserve">subgroup </w:t>
            </w:r>
          </w:p>
        </w:tc>
        <w:tc>
          <w:tcPr>
            <w:tcW w:w="426" w:type="dxa"/>
            <w:shd w:val="clear" w:color="auto" w:fill="auto"/>
            <w:vAlign w:val="center"/>
          </w:tcPr>
          <w:p w:rsidR="00510952" w:rsidRPr="00AB0413" w:rsidRDefault="00510952" w:rsidP="009703AA">
            <w:pPr>
              <w:jc w:val="center"/>
              <w:rPr>
                <w:rFonts w:ascii="Arial Narrow" w:hAnsi="Arial Narrow"/>
                <w:bCs/>
                <w:sz w:val="20"/>
              </w:rPr>
            </w:pPr>
            <w:r>
              <w:rPr>
                <w:rFonts w:ascii="Arial Narrow" w:hAnsi="Arial Narrow"/>
                <w:bCs/>
                <w:sz w:val="20"/>
              </w:rPr>
              <w:t>140</w:t>
            </w:r>
          </w:p>
        </w:tc>
        <w:tc>
          <w:tcPr>
            <w:tcW w:w="1134" w:type="dxa"/>
            <w:vMerge/>
            <w:shd w:val="clear" w:color="auto" w:fill="auto"/>
            <w:vAlign w:val="center"/>
          </w:tcPr>
          <w:p w:rsidR="00510952" w:rsidRPr="00AB0413" w:rsidRDefault="00510952" w:rsidP="009703AA">
            <w:pPr>
              <w:jc w:val="center"/>
              <w:rPr>
                <w:rFonts w:ascii="Arial Narrow" w:hAnsi="Arial Narrow"/>
                <w:bCs/>
                <w:sz w:val="20"/>
              </w:rPr>
            </w:pPr>
          </w:p>
        </w:tc>
        <w:tc>
          <w:tcPr>
            <w:tcW w:w="659" w:type="dxa"/>
            <w:shd w:val="clear" w:color="auto" w:fill="auto"/>
            <w:vAlign w:val="center"/>
          </w:tcPr>
          <w:p w:rsidR="00510952" w:rsidRPr="00AB0413" w:rsidRDefault="00510952" w:rsidP="009703AA">
            <w:pPr>
              <w:jc w:val="center"/>
              <w:rPr>
                <w:rFonts w:ascii="Arial Narrow" w:hAnsi="Arial Narrow"/>
                <w:bCs/>
                <w:sz w:val="20"/>
              </w:rPr>
            </w:pPr>
            <w:r>
              <w:rPr>
                <w:rFonts w:ascii="Arial Narrow" w:hAnsi="Arial Narrow"/>
                <w:bCs/>
                <w:i/>
                <w:iCs/>
                <w:sz w:val="20"/>
              </w:rPr>
              <w:t>Unclear</w:t>
            </w:r>
          </w:p>
        </w:tc>
        <w:tc>
          <w:tcPr>
            <w:tcW w:w="1959" w:type="dxa"/>
            <w:shd w:val="clear" w:color="auto" w:fill="auto"/>
            <w:vAlign w:val="center"/>
          </w:tcPr>
          <w:p w:rsidR="00510952" w:rsidRPr="00AB0413" w:rsidRDefault="00510952" w:rsidP="009703AA">
            <w:pPr>
              <w:jc w:val="center"/>
              <w:rPr>
                <w:rFonts w:ascii="Arial Narrow" w:hAnsi="Arial Narrow"/>
                <w:bCs/>
                <w:sz w:val="20"/>
              </w:rPr>
            </w:pPr>
            <w:r w:rsidRPr="004C1DDF">
              <w:rPr>
                <w:rFonts w:ascii="Arial Narrow" w:hAnsi="Arial Narrow"/>
                <w:bCs/>
                <w:sz w:val="20"/>
              </w:rPr>
              <w:t xml:space="preserve">Third agent: </w:t>
            </w:r>
            <w:proofErr w:type="spellStart"/>
            <w:r>
              <w:rPr>
                <w:rFonts w:ascii="Arial Narrow" w:hAnsi="Arial Narrow"/>
                <w:bCs/>
                <w:sz w:val="20"/>
              </w:rPr>
              <w:t>nevirapine</w:t>
            </w:r>
            <w:proofErr w:type="spellEnd"/>
          </w:p>
        </w:tc>
        <w:tc>
          <w:tcPr>
            <w:tcW w:w="1932" w:type="dxa"/>
            <w:shd w:val="clear" w:color="auto" w:fill="auto"/>
            <w:vAlign w:val="center"/>
          </w:tcPr>
          <w:p w:rsidR="00510952" w:rsidRPr="00CA673C" w:rsidRDefault="00510952" w:rsidP="009703AA">
            <w:pPr>
              <w:jc w:val="center"/>
              <w:rPr>
                <w:rFonts w:ascii="Arial Narrow" w:hAnsi="Arial Narrow"/>
                <w:bCs/>
                <w:sz w:val="20"/>
                <w:lang w:val="pt-PT"/>
              </w:rPr>
            </w:pPr>
            <w:r w:rsidRPr="00CA673C">
              <w:rPr>
                <w:rFonts w:ascii="Arial Narrow" w:hAnsi="Arial Narrow"/>
                <w:sz w:val="20"/>
                <w:lang w:val="pt-PT"/>
              </w:rPr>
              <w:t>Descovy</w:t>
            </w:r>
            <w:r w:rsidRPr="00CA673C">
              <w:rPr>
                <w:rFonts w:ascii="Arial Narrow" w:hAnsi="Arial Narrow"/>
                <w:sz w:val="20"/>
                <w:vertAlign w:val="superscript"/>
                <w:lang w:val="pt-PT"/>
              </w:rPr>
              <w:t>®</w:t>
            </w:r>
            <w:r w:rsidRPr="00CA673C">
              <w:rPr>
                <w:rFonts w:ascii="Arial Narrow" w:hAnsi="Arial Narrow"/>
                <w:sz w:val="20"/>
                <w:lang w:val="pt-PT"/>
              </w:rPr>
              <w:t xml:space="preserve"> </w:t>
            </w:r>
            <w:r w:rsidRPr="00CA673C">
              <w:rPr>
                <w:rFonts w:ascii="Arial Narrow" w:hAnsi="Arial Narrow"/>
                <w:bCs/>
                <w:sz w:val="20"/>
                <w:lang w:val="pt-PT"/>
              </w:rPr>
              <w:t>+ nevirapine vs Truvada</w:t>
            </w:r>
            <w:r w:rsidRPr="00CA673C">
              <w:rPr>
                <w:rFonts w:ascii="Arial Narrow" w:hAnsi="Arial Narrow"/>
                <w:bCs/>
                <w:sz w:val="20"/>
                <w:vertAlign w:val="superscript"/>
                <w:lang w:val="pt-PT"/>
              </w:rPr>
              <w:t xml:space="preserve">® </w:t>
            </w:r>
            <w:r w:rsidRPr="00CA673C">
              <w:rPr>
                <w:rFonts w:ascii="Arial Narrow" w:hAnsi="Arial Narrow"/>
                <w:bCs/>
                <w:sz w:val="20"/>
                <w:lang w:val="pt-PT"/>
              </w:rPr>
              <w:t>+ nevirapine</w:t>
            </w:r>
          </w:p>
        </w:tc>
        <w:tc>
          <w:tcPr>
            <w:tcW w:w="1337" w:type="dxa"/>
            <w:vMerge/>
            <w:vAlign w:val="center"/>
          </w:tcPr>
          <w:p w:rsidR="00510952" w:rsidRPr="00CA673C" w:rsidRDefault="00510952" w:rsidP="009703AA">
            <w:pPr>
              <w:jc w:val="center"/>
              <w:rPr>
                <w:rFonts w:ascii="Arial Narrow" w:hAnsi="Arial Narrow"/>
                <w:bCs/>
                <w:sz w:val="20"/>
                <w:lang w:val="pt-PT"/>
              </w:rPr>
            </w:pPr>
          </w:p>
        </w:tc>
      </w:tr>
      <w:tr w:rsidR="00510952" w:rsidRPr="00C27D17" w:rsidTr="00D326DA">
        <w:trPr>
          <w:cantSplit/>
        </w:trPr>
        <w:tc>
          <w:tcPr>
            <w:tcW w:w="8439" w:type="dxa"/>
            <w:gridSpan w:val="7"/>
            <w:shd w:val="clear" w:color="auto" w:fill="auto"/>
            <w:vAlign w:val="center"/>
          </w:tcPr>
          <w:p w:rsidR="00510952" w:rsidRPr="00AB0413" w:rsidRDefault="00510952" w:rsidP="009703AA">
            <w:pPr>
              <w:jc w:val="left"/>
              <w:rPr>
                <w:rFonts w:ascii="Arial Narrow" w:hAnsi="Arial Narrow"/>
                <w:bCs/>
                <w:sz w:val="20"/>
              </w:rPr>
            </w:pPr>
            <w:r>
              <w:rPr>
                <w:rFonts w:ascii="Arial Narrow" w:hAnsi="Arial Narrow"/>
                <w:b/>
                <w:sz w:val="20"/>
              </w:rPr>
              <w:t>Bioequivalence study (Phase I)</w:t>
            </w:r>
          </w:p>
        </w:tc>
      </w:tr>
      <w:tr w:rsidR="002905E0" w:rsidRPr="00C27D17" w:rsidTr="002905E0">
        <w:trPr>
          <w:cantSplit/>
        </w:trPr>
        <w:tc>
          <w:tcPr>
            <w:tcW w:w="992" w:type="dxa"/>
            <w:shd w:val="clear" w:color="auto" w:fill="auto"/>
            <w:vAlign w:val="center"/>
          </w:tcPr>
          <w:p w:rsidR="00510952" w:rsidRPr="00AB0413" w:rsidRDefault="00510952" w:rsidP="009703AA">
            <w:pPr>
              <w:jc w:val="left"/>
              <w:rPr>
                <w:rFonts w:ascii="Arial Narrow" w:hAnsi="Arial Narrow"/>
                <w:bCs/>
                <w:sz w:val="20"/>
              </w:rPr>
            </w:pPr>
            <w:r>
              <w:rPr>
                <w:rFonts w:ascii="Arial Narrow" w:hAnsi="Arial Narrow"/>
                <w:bCs/>
                <w:sz w:val="20"/>
              </w:rPr>
              <w:t>Study 1159</w:t>
            </w:r>
          </w:p>
        </w:tc>
        <w:tc>
          <w:tcPr>
            <w:tcW w:w="426" w:type="dxa"/>
            <w:shd w:val="clear" w:color="auto" w:fill="auto"/>
            <w:vAlign w:val="center"/>
          </w:tcPr>
          <w:p w:rsidR="00510952" w:rsidRPr="00AB0413" w:rsidRDefault="00510952" w:rsidP="009703AA">
            <w:pPr>
              <w:jc w:val="center"/>
              <w:rPr>
                <w:rFonts w:ascii="Arial Narrow" w:hAnsi="Arial Narrow"/>
                <w:bCs/>
                <w:sz w:val="20"/>
              </w:rPr>
            </w:pPr>
            <w:r>
              <w:rPr>
                <w:rFonts w:ascii="Arial Narrow" w:hAnsi="Arial Narrow"/>
                <w:bCs/>
                <w:sz w:val="20"/>
              </w:rPr>
              <w:t>96</w:t>
            </w:r>
          </w:p>
        </w:tc>
        <w:tc>
          <w:tcPr>
            <w:tcW w:w="1134" w:type="dxa"/>
            <w:shd w:val="clear" w:color="auto" w:fill="auto"/>
            <w:vAlign w:val="center"/>
          </w:tcPr>
          <w:p w:rsidR="00510952" w:rsidRDefault="00510952" w:rsidP="009703AA">
            <w:pPr>
              <w:jc w:val="center"/>
              <w:rPr>
                <w:rFonts w:ascii="Arial Narrow" w:hAnsi="Arial Narrow"/>
                <w:bCs/>
                <w:sz w:val="20"/>
              </w:rPr>
            </w:pPr>
            <w:r>
              <w:rPr>
                <w:rFonts w:ascii="Arial Narrow" w:hAnsi="Arial Narrow"/>
                <w:bCs/>
                <w:sz w:val="20"/>
              </w:rPr>
              <w:t>R, OL, CO</w:t>
            </w:r>
          </w:p>
          <w:p w:rsidR="00510952" w:rsidRPr="00AB0413" w:rsidRDefault="00510952" w:rsidP="009703AA">
            <w:pPr>
              <w:jc w:val="center"/>
              <w:rPr>
                <w:rFonts w:ascii="Arial Narrow" w:hAnsi="Arial Narrow"/>
                <w:bCs/>
                <w:sz w:val="20"/>
              </w:rPr>
            </w:pPr>
            <w:r>
              <w:rPr>
                <w:rFonts w:ascii="Arial Narrow" w:hAnsi="Arial Narrow"/>
                <w:bCs/>
                <w:sz w:val="20"/>
              </w:rPr>
              <w:t>Single dose, 14 days wash-out period</w:t>
            </w:r>
          </w:p>
        </w:tc>
        <w:tc>
          <w:tcPr>
            <w:tcW w:w="659" w:type="dxa"/>
            <w:shd w:val="clear" w:color="auto" w:fill="auto"/>
            <w:vAlign w:val="center"/>
          </w:tcPr>
          <w:p w:rsidR="00510952" w:rsidRPr="00373E1C" w:rsidRDefault="00510952" w:rsidP="009703AA">
            <w:pPr>
              <w:jc w:val="center"/>
              <w:rPr>
                <w:rFonts w:ascii="Arial Narrow" w:hAnsi="Arial Narrow"/>
                <w:bCs/>
                <w:i/>
                <w:iCs/>
                <w:sz w:val="20"/>
              </w:rPr>
            </w:pPr>
            <w:r w:rsidRPr="00373E1C">
              <w:rPr>
                <w:rFonts w:ascii="Arial Narrow" w:hAnsi="Arial Narrow"/>
                <w:bCs/>
                <w:i/>
                <w:iCs/>
                <w:sz w:val="20"/>
              </w:rPr>
              <w:t>Low</w:t>
            </w:r>
          </w:p>
        </w:tc>
        <w:tc>
          <w:tcPr>
            <w:tcW w:w="1959" w:type="dxa"/>
            <w:shd w:val="clear" w:color="auto" w:fill="auto"/>
            <w:vAlign w:val="center"/>
          </w:tcPr>
          <w:p w:rsidR="00510952" w:rsidRPr="00AB0413" w:rsidRDefault="00510952" w:rsidP="009703AA">
            <w:pPr>
              <w:jc w:val="center"/>
              <w:rPr>
                <w:rFonts w:ascii="Arial Narrow" w:hAnsi="Arial Narrow"/>
                <w:bCs/>
                <w:sz w:val="20"/>
              </w:rPr>
            </w:pPr>
            <w:r w:rsidRPr="00882630">
              <w:rPr>
                <w:rFonts w:ascii="Arial Narrow" w:hAnsi="Arial Narrow"/>
                <w:bCs/>
                <w:sz w:val="20"/>
              </w:rPr>
              <w:t>Healthy volunteers</w:t>
            </w:r>
            <w:r>
              <w:rPr>
                <w:rFonts w:ascii="Arial Narrow" w:hAnsi="Arial Narrow"/>
                <w:bCs/>
                <w:sz w:val="20"/>
              </w:rPr>
              <w:t>,</w:t>
            </w:r>
            <w:r w:rsidRPr="00882630">
              <w:rPr>
                <w:rFonts w:ascii="Arial Narrow" w:hAnsi="Arial Narrow"/>
                <w:bCs/>
                <w:sz w:val="20"/>
              </w:rPr>
              <w:t xml:space="preserve"> 18-45 years</w:t>
            </w:r>
          </w:p>
        </w:tc>
        <w:tc>
          <w:tcPr>
            <w:tcW w:w="1932" w:type="dxa"/>
            <w:shd w:val="clear" w:color="auto" w:fill="auto"/>
            <w:vAlign w:val="center"/>
          </w:tcPr>
          <w:p w:rsidR="00510952" w:rsidRDefault="00510952" w:rsidP="009703AA">
            <w:pPr>
              <w:jc w:val="center"/>
              <w:rPr>
                <w:rFonts w:ascii="Arial Narrow" w:hAnsi="Arial Narrow"/>
                <w:bCs/>
                <w:sz w:val="20"/>
              </w:rPr>
            </w:pPr>
            <w:proofErr w:type="spellStart"/>
            <w:r>
              <w:rPr>
                <w:rFonts w:ascii="Arial Narrow" w:hAnsi="Arial Narrow"/>
                <w:bCs/>
                <w:sz w:val="20"/>
              </w:rPr>
              <w:t>Odefsey</w:t>
            </w:r>
            <w:proofErr w:type="spellEnd"/>
            <w:r w:rsidRPr="00796C49">
              <w:rPr>
                <w:rFonts w:ascii="Arial Narrow" w:hAnsi="Arial Narrow"/>
                <w:bCs/>
                <w:sz w:val="20"/>
                <w:vertAlign w:val="superscript"/>
              </w:rPr>
              <w:t>®</w:t>
            </w:r>
            <w:r>
              <w:rPr>
                <w:rFonts w:ascii="Arial Narrow" w:hAnsi="Arial Narrow"/>
                <w:bCs/>
                <w:sz w:val="20"/>
              </w:rPr>
              <w:t xml:space="preserve"> versus </w:t>
            </w:r>
            <w:proofErr w:type="spellStart"/>
            <w:r>
              <w:rPr>
                <w:rFonts w:ascii="Arial Narrow" w:hAnsi="Arial Narrow"/>
                <w:bCs/>
                <w:sz w:val="20"/>
              </w:rPr>
              <w:t>rilpivirine</w:t>
            </w:r>
            <w:proofErr w:type="spellEnd"/>
            <w:r>
              <w:rPr>
                <w:rFonts w:ascii="Arial Narrow" w:hAnsi="Arial Narrow"/>
                <w:bCs/>
                <w:sz w:val="20"/>
              </w:rPr>
              <w:t xml:space="preserve"> (</w:t>
            </w:r>
            <w:proofErr w:type="spellStart"/>
            <w:r w:rsidRPr="00332ECA">
              <w:rPr>
                <w:rFonts w:ascii="Arial Narrow" w:hAnsi="Arial Narrow"/>
                <w:bCs/>
                <w:sz w:val="20"/>
              </w:rPr>
              <w:t>Edurant</w:t>
            </w:r>
            <w:proofErr w:type="spellEnd"/>
            <w:r w:rsidRPr="00AE461F">
              <w:rPr>
                <w:rFonts w:ascii="Arial Narrow" w:hAnsi="Arial Narrow"/>
                <w:bCs/>
                <w:sz w:val="20"/>
                <w:vertAlign w:val="superscript"/>
              </w:rPr>
              <w:t>®</w:t>
            </w:r>
            <w:r>
              <w:rPr>
                <w:rFonts w:ascii="Arial Narrow" w:hAnsi="Arial Narrow"/>
                <w:bCs/>
                <w:sz w:val="20"/>
              </w:rPr>
              <w:t>) or</w:t>
            </w:r>
            <w:r w:rsidRPr="00853D02">
              <w:rPr>
                <w:rFonts w:ascii="Arial Narrow" w:hAnsi="Arial Narrow"/>
                <w:bCs/>
                <w:sz w:val="20"/>
              </w:rPr>
              <w:t xml:space="preserve"> </w:t>
            </w:r>
            <w:proofErr w:type="spellStart"/>
            <w:r w:rsidRPr="00853D02">
              <w:rPr>
                <w:rFonts w:ascii="Arial Narrow" w:hAnsi="Arial Narrow"/>
                <w:bCs/>
                <w:sz w:val="20"/>
              </w:rPr>
              <w:t>Genvoya</w:t>
            </w:r>
            <w:proofErr w:type="spellEnd"/>
            <w:r w:rsidRPr="00853D02">
              <w:rPr>
                <w:rFonts w:ascii="Arial Narrow" w:hAnsi="Arial Narrow"/>
                <w:bCs/>
                <w:sz w:val="20"/>
                <w:vertAlign w:val="superscript"/>
              </w:rPr>
              <w:t>®</w:t>
            </w:r>
            <w:r>
              <w:rPr>
                <w:rFonts w:ascii="Arial Narrow" w:hAnsi="Arial Narrow"/>
                <w:bCs/>
                <w:sz w:val="20"/>
              </w:rPr>
              <w:t xml:space="preserve"> </w:t>
            </w:r>
          </w:p>
          <w:p w:rsidR="00510952" w:rsidRPr="005673FA" w:rsidRDefault="00510952" w:rsidP="009703AA">
            <w:pPr>
              <w:jc w:val="center"/>
              <w:rPr>
                <w:rFonts w:ascii="Arial Narrow" w:hAnsi="Arial Narrow"/>
                <w:bCs/>
                <w:sz w:val="20"/>
              </w:rPr>
            </w:pPr>
            <w:r>
              <w:rPr>
                <w:rFonts w:ascii="Arial Narrow" w:hAnsi="Arial Narrow"/>
                <w:bCs/>
                <w:sz w:val="20"/>
              </w:rPr>
              <w:t xml:space="preserve">(6 treatment sequences) </w:t>
            </w:r>
          </w:p>
        </w:tc>
        <w:tc>
          <w:tcPr>
            <w:tcW w:w="1337" w:type="dxa"/>
            <w:vAlign w:val="center"/>
          </w:tcPr>
          <w:p w:rsidR="00510952" w:rsidRPr="00AB0413" w:rsidRDefault="00510952" w:rsidP="009703AA">
            <w:pPr>
              <w:jc w:val="center"/>
              <w:rPr>
                <w:rFonts w:ascii="Arial Narrow" w:hAnsi="Arial Narrow"/>
                <w:bCs/>
                <w:sz w:val="20"/>
              </w:rPr>
            </w:pPr>
            <w:r>
              <w:rPr>
                <w:rFonts w:ascii="Arial Narrow" w:hAnsi="Arial Narrow"/>
                <w:sz w:val="20"/>
              </w:rPr>
              <w:t>PK parameters</w:t>
            </w:r>
          </w:p>
        </w:tc>
      </w:tr>
      <w:tr w:rsidR="00510952" w:rsidRPr="00C27D17" w:rsidTr="00D326DA">
        <w:trPr>
          <w:cantSplit/>
        </w:trPr>
        <w:tc>
          <w:tcPr>
            <w:tcW w:w="8439" w:type="dxa"/>
            <w:gridSpan w:val="7"/>
            <w:shd w:val="clear" w:color="auto" w:fill="auto"/>
            <w:vAlign w:val="center"/>
          </w:tcPr>
          <w:p w:rsidR="00510952" w:rsidRPr="00AB0413" w:rsidRDefault="00510952" w:rsidP="009703AA">
            <w:pPr>
              <w:jc w:val="left"/>
              <w:rPr>
                <w:rFonts w:ascii="Arial Narrow" w:hAnsi="Arial Narrow"/>
                <w:bCs/>
                <w:sz w:val="20"/>
              </w:rPr>
            </w:pPr>
            <w:r>
              <w:rPr>
                <w:rFonts w:ascii="Arial Narrow" w:hAnsi="Arial Narrow"/>
                <w:b/>
                <w:sz w:val="20"/>
              </w:rPr>
              <w:t>Supplementary randomised controlled trials (Phase III)</w:t>
            </w:r>
          </w:p>
        </w:tc>
      </w:tr>
      <w:tr w:rsidR="002905E0" w:rsidRPr="000B5BA1" w:rsidTr="002905E0">
        <w:trPr>
          <w:cantSplit/>
        </w:trPr>
        <w:tc>
          <w:tcPr>
            <w:tcW w:w="992" w:type="dxa"/>
            <w:shd w:val="clear" w:color="auto" w:fill="auto"/>
            <w:vAlign w:val="center"/>
          </w:tcPr>
          <w:p w:rsidR="00510952" w:rsidRPr="000B5BA1" w:rsidRDefault="00510952" w:rsidP="009703AA">
            <w:pPr>
              <w:jc w:val="left"/>
              <w:rPr>
                <w:rFonts w:ascii="Arial Narrow" w:hAnsi="Arial Narrow"/>
                <w:bCs/>
                <w:sz w:val="20"/>
              </w:rPr>
            </w:pPr>
            <w:r w:rsidRPr="000B5BA1">
              <w:rPr>
                <w:rFonts w:ascii="Arial Narrow" w:hAnsi="Arial Narrow"/>
                <w:bCs/>
                <w:sz w:val="20"/>
              </w:rPr>
              <w:t>Study 104</w:t>
            </w:r>
          </w:p>
        </w:tc>
        <w:tc>
          <w:tcPr>
            <w:tcW w:w="426" w:type="dxa"/>
            <w:shd w:val="clear" w:color="auto" w:fill="auto"/>
            <w:vAlign w:val="center"/>
          </w:tcPr>
          <w:p w:rsidR="00510952" w:rsidRPr="000B5BA1" w:rsidRDefault="00510952" w:rsidP="009703AA">
            <w:pPr>
              <w:jc w:val="center"/>
              <w:rPr>
                <w:rFonts w:ascii="Arial Narrow" w:hAnsi="Arial Narrow"/>
                <w:bCs/>
                <w:sz w:val="20"/>
              </w:rPr>
            </w:pPr>
            <w:r w:rsidRPr="000B5BA1">
              <w:rPr>
                <w:rFonts w:ascii="Arial Narrow" w:hAnsi="Arial Narrow"/>
                <w:bCs/>
                <w:sz w:val="20"/>
              </w:rPr>
              <w:t>872</w:t>
            </w:r>
          </w:p>
        </w:tc>
        <w:tc>
          <w:tcPr>
            <w:tcW w:w="1134" w:type="dxa"/>
            <w:shd w:val="clear" w:color="auto" w:fill="auto"/>
            <w:vAlign w:val="center"/>
          </w:tcPr>
          <w:p w:rsidR="00510952" w:rsidRDefault="00510952" w:rsidP="009703AA">
            <w:pPr>
              <w:jc w:val="center"/>
              <w:rPr>
                <w:rFonts w:ascii="Arial Narrow" w:hAnsi="Arial Narrow"/>
                <w:bCs/>
                <w:sz w:val="20"/>
              </w:rPr>
            </w:pPr>
            <w:r>
              <w:rPr>
                <w:rFonts w:ascii="Arial Narrow" w:hAnsi="Arial Narrow"/>
                <w:bCs/>
                <w:sz w:val="20"/>
              </w:rPr>
              <w:t>R, DB, MC</w:t>
            </w:r>
          </w:p>
          <w:p w:rsidR="00510952" w:rsidRDefault="00510952" w:rsidP="009703AA">
            <w:pPr>
              <w:jc w:val="center"/>
              <w:rPr>
                <w:rFonts w:ascii="Arial Narrow" w:hAnsi="Arial Narrow"/>
                <w:bCs/>
                <w:sz w:val="20"/>
              </w:rPr>
            </w:pPr>
            <w:r w:rsidRPr="000B5BA1">
              <w:rPr>
                <w:rFonts w:ascii="Arial Narrow" w:hAnsi="Arial Narrow"/>
                <w:bCs/>
                <w:sz w:val="20"/>
              </w:rPr>
              <w:t xml:space="preserve">48 and 96 </w:t>
            </w:r>
            <w:proofErr w:type="spellStart"/>
            <w:r w:rsidRPr="000B5BA1">
              <w:rPr>
                <w:rFonts w:ascii="Arial Narrow" w:hAnsi="Arial Narrow"/>
                <w:bCs/>
                <w:sz w:val="20"/>
              </w:rPr>
              <w:t>wks</w:t>
            </w:r>
            <w:proofErr w:type="spellEnd"/>
            <w:r>
              <w:rPr>
                <w:rFonts w:ascii="Arial Narrow" w:hAnsi="Arial Narrow"/>
                <w:bCs/>
                <w:sz w:val="20"/>
              </w:rPr>
              <w:t xml:space="preserve"> </w:t>
            </w:r>
          </w:p>
          <w:p w:rsidR="00510952" w:rsidRPr="000B5BA1" w:rsidRDefault="00510952" w:rsidP="009703AA">
            <w:pPr>
              <w:jc w:val="center"/>
              <w:rPr>
                <w:rFonts w:ascii="Arial Narrow" w:hAnsi="Arial Narrow"/>
                <w:bCs/>
                <w:sz w:val="20"/>
              </w:rPr>
            </w:pPr>
            <w:r>
              <w:rPr>
                <w:rFonts w:ascii="Arial Narrow" w:hAnsi="Arial Narrow"/>
                <w:bCs/>
                <w:sz w:val="20"/>
              </w:rPr>
              <w:t xml:space="preserve">(144 </w:t>
            </w:r>
            <w:proofErr w:type="spellStart"/>
            <w:r>
              <w:rPr>
                <w:rFonts w:ascii="Arial Narrow" w:hAnsi="Arial Narrow"/>
                <w:bCs/>
                <w:sz w:val="20"/>
              </w:rPr>
              <w:t>wks</w:t>
            </w:r>
            <w:proofErr w:type="spellEnd"/>
            <w:r>
              <w:rPr>
                <w:rFonts w:ascii="Arial Narrow" w:hAnsi="Arial Narrow"/>
                <w:bCs/>
                <w:sz w:val="20"/>
              </w:rPr>
              <w:t xml:space="preserve"> ongoing)</w:t>
            </w:r>
          </w:p>
        </w:tc>
        <w:tc>
          <w:tcPr>
            <w:tcW w:w="659" w:type="dxa"/>
            <w:shd w:val="clear" w:color="auto" w:fill="auto"/>
            <w:vAlign w:val="center"/>
          </w:tcPr>
          <w:p w:rsidR="00510952" w:rsidRPr="000B5BA1" w:rsidRDefault="00510952" w:rsidP="009703AA">
            <w:pPr>
              <w:jc w:val="center"/>
              <w:rPr>
                <w:rFonts w:ascii="Arial Narrow" w:hAnsi="Arial Narrow"/>
                <w:bCs/>
                <w:i/>
                <w:iCs/>
                <w:sz w:val="20"/>
              </w:rPr>
            </w:pPr>
            <w:r w:rsidRPr="000B5BA1">
              <w:rPr>
                <w:rFonts w:ascii="Arial Narrow" w:hAnsi="Arial Narrow"/>
                <w:bCs/>
                <w:i/>
                <w:iCs/>
                <w:sz w:val="20"/>
              </w:rPr>
              <w:t>Low</w:t>
            </w:r>
          </w:p>
        </w:tc>
        <w:tc>
          <w:tcPr>
            <w:tcW w:w="1959" w:type="dxa"/>
            <w:shd w:val="clear" w:color="auto" w:fill="auto"/>
            <w:vAlign w:val="center"/>
          </w:tcPr>
          <w:p w:rsidR="00510952" w:rsidRPr="000B5BA1" w:rsidRDefault="00510952" w:rsidP="009703AA">
            <w:pPr>
              <w:jc w:val="center"/>
              <w:rPr>
                <w:rFonts w:ascii="Arial Narrow" w:hAnsi="Arial Narrow"/>
                <w:bCs/>
                <w:sz w:val="20"/>
              </w:rPr>
            </w:pPr>
            <w:r w:rsidRPr="000B5BA1">
              <w:rPr>
                <w:rFonts w:ascii="Arial Narrow" w:hAnsi="Arial Narrow"/>
                <w:bCs/>
                <w:sz w:val="20"/>
              </w:rPr>
              <w:t>HIV-1 positive</w:t>
            </w:r>
            <w:r>
              <w:rPr>
                <w:rFonts w:ascii="Arial Narrow" w:hAnsi="Arial Narrow"/>
                <w:bCs/>
                <w:sz w:val="20"/>
              </w:rPr>
              <w:t>, t</w:t>
            </w:r>
            <w:r w:rsidRPr="000B5BA1">
              <w:rPr>
                <w:rFonts w:ascii="Arial Narrow" w:hAnsi="Arial Narrow"/>
                <w:bCs/>
                <w:sz w:val="20"/>
              </w:rPr>
              <w:t>reatment naïve</w:t>
            </w:r>
          </w:p>
        </w:tc>
        <w:tc>
          <w:tcPr>
            <w:tcW w:w="1932" w:type="dxa"/>
            <w:shd w:val="clear" w:color="auto" w:fill="auto"/>
            <w:vAlign w:val="center"/>
          </w:tcPr>
          <w:p w:rsidR="00510952" w:rsidRPr="000B5BA1" w:rsidRDefault="00510952" w:rsidP="009703AA">
            <w:pPr>
              <w:jc w:val="center"/>
              <w:rPr>
                <w:rFonts w:ascii="Arial Narrow" w:hAnsi="Arial Narrow"/>
                <w:bCs/>
                <w:sz w:val="20"/>
              </w:rPr>
            </w:pPr>
            <w:proofErr w:type="spellStart"/>
            <w:r w:rsidRPr="000B5BA1">
              <w:rPr>
                <w:rFonts w:ascii="Arial Narrow" w:hAnsi="Arial Narrow"/>
                <w:bCs/>
                <w:sz w:val="20"/>
              </w:rPr>
              <w:t>Genvoya</w:t>
            </w:r>
            <w:proofErr w:type="spellEnd"/>
            <w:r w:rsidRPr="000B5BA1">
              <w:rPr>
                <w:rFonts w:ascii="Arial Narrow" w:hAnsi="Arial Narrow"/>
                <w:bCs/>
                <w:sz w:val="20"/>
                <w:vertAlign w:val="superscript"/>
              </w:rPr>
              <w:t>®</w:t>
            </w:r>
            <w:r w:rsidRPr="000B5BA1">
              <w:rPr>
                <w:rFonts w:ascii="Arial Narrow" w:hAnsi="Arial Narrow"/>
                <w:bCs/>
                <w:sz w:val="20"/>
              </w:rPr>
              <w:t xml:space="preserve"> versus </w:t>
            </w:r>
            <w:proofErr w:type="spellStart"/>
            <w:r w:rsidRPr="000B5BA1">
              <w:rPr>
                <w:rFonts w:ascii="Arial Narrow" w:hAnsi="Arial Narrow"/>
                <w:bCs/>
                <w:sz w:val="20"/>
              </w:rPr>
              <w:t>Stribild</w:t>
            </w:r>
            <w:proofErr w:type="spellEnd"/>
            <w:r w:rsidRPr="000B5BA1">
              <w:rPr>
                <w:rFonts w:ascii="Arial Narrow" w:hAnsi="Arial Narrow"/>
                <w:bCs/>
                <w:sz w:val="20"/>
                <w:vertAlign w:val="superscript"/>
              </w:rPr>
              <w:t>®</w:t>
            </w:r>
          </w:p>
        </w:tc>
        <w:tc>
          <w:tcPr>
            <w:tcW w:w="1337" w:type="dxa"/>
            <w:vAlign w:val="center"/>
          </w:tcPr>
          <w:p w:rsidR="00510952" w:rsidRPr="000B5BA1" w:rsidRDefault="00510952" w:rsidP="009703AA">
            <w:pPr>
              <w:jc w:val="center"/>
              <w:rPr>
                <w:rFonts w:ascii="Arial Narrow" w:hAnsi="Arial Narrow"/>
                <w:bCs/>
                <w:sz w:val="20"/>
              </w:rPr>
            </w:pPr>
            <w:r w:rsidRPr="000B5BA1">
              <w:rPr>
                <w:rFonts w:ascii="Arial Narrow" w:hAnsi="Arial Narrow"/>
                <w:sz w:val="20"/>
              </w:rPr>
              <w:t>% with HIV RNA &lt;50 copies/mL at Week 48</w:t>
            </w:r>
          </w:p>
        </w:tc>
      </w:tr>
      <w:tr w:rsidR="002905E0" w:rsidRPr="000B5BA1" w:rsidTr="002905E0">
        <w:trPr>
          <w:cantSplit/>
        </w:trPr>
        <w:tc>
          <w:tcPr>
            <w:tcW w:w="992" w:type="dxa"/>
            <w:shd w:val="clear" w:color="auto" w:fill="auto"/>
            <w:vAlign w:val="center"/>
          </w:tcPr>
          <w:p w:rsidR="00510952" w:rsidRPr="000B5BA1" w:rsidRDefault="00510952" w:rsidP="009703AA">
            <w:pPr>
              <w:jc w:val="left"/>
              <w:rPr>
                <w:rFonts w:ascii="Arial Narrow" w:hAnsi="Arial Narrow"/>
                <w:bCs/>
                <w:sz w:val="20"/>
              </w:rPr>
            </w:pPr>
            <w:r w:rsidRPr="000B5BA1">
              <w:rPr>
                <w:rFonts w:ascii="Arial Narrow" w:hAnsi="Arial Narrow"/>
                <w:bCs/>
                <w:sz w:val="20"/>
              </w:rPr>
              <w:t>Study 111</w:t>
            </w:r>
          </w:p>
        </w:tc>
        <w:tc>
          <w:tcPr>
            <w:tcW w:w="426" w:type="dxa"/>
            <w:shd w:val="clear" w:color="auto" w:fill="auto"/>
            <w:vAlign w:val="center"/>
          </w:tcPr>
          <w:p w:rsidR="00510952" w:rsidRPr="000B5BA1" w:rsidRDefault="00510952" w:rsidP="009703AA">
            <w:pPr>
              <w:jc w:val="center"/>
              <w:rPr>
                <w:rFonts w:ascii="Arial Narrow" w:hAnsi="Arial Narrow"/>
                <w:bCs/>
                <w:sz w:val="20"/>
              </w:rPr>
            </w:pPr>
            <w:r w:rsidRPr="000B5BA1">
              <w:rPr>
                <w:rFonts w:ascii="Arial Narrow" w:hAnsi="Arial Narrow"/>
                <w:bCs/>
                <w:sz w:val="20"/>
              </w:rPr>
              <w:t>872</w:t>
            </w:r>
          </w:p>
        </w:tc>
        <w:tc>
          <w:tcPr>
            <w:tcW w:w="1134" w:type="dxa"/>
            <w:shd w:val="clear" w:color="auto" w:fill="auto"/>
            <w:vAlign w:val="center"/>
          </w:tcPr>
          <w:p w:rsidR="00510952" w:rsidRDefault="00510952" w:rsidP="009703AA">
            <w:pPr>
              <w:jc w:val="center"/>
              <w:rPr>
                <w:rFonts w:ascii="Arial Narrow" w:hAnsi="Arial Narrow"/>
                <w:bCs/>
                <w:sz w:val="20"/>
              </w:rPr>
            </w:pPr>
            <w:r>
              <w:rPr>
                <w:rFonts w:ascii="Arial Narrow" w:hAnsi="Arial Narrow"/>
                <w:bCs/>
                <w:sz w:val="20"/>
              </w:rPr>
              <w:t>R, DB, MC</w:t>
            </w:r>
          </w:p>
          <w:p w:rsidR="00510952" w:rsidRDefault="00510952" w:rsidP="009703AA">
            <w:pPr>
              <w:jc w:val="center"/>
              <w:rPr>
                <w:rFonts w:ascii="Arial Narrow" w:hAnsi="Arial Narrow"/>
                <w:bCs/>
                <w:sz w:val="20"/>
              </w:rPr>
            </w:pPr>
            <w:r w:rsidRPr="000B5BA1">
              <w:rPr>
                <w:rFonts w:ascii="Arial Narrow" w:hAnsi="Arial Narrow"/>
                <w:bCs/>
                <w:sz w:val="20"/>
              </w:rPr>
              <w:t xml:space="preserve">48 and 96 </w:t>
            </w:r>
            <w:proofErr w:type="spellStart"/>
            <w:r w:rsidRPr="000B5BA1">
              <w:rPr>
                <w:rFonts w:ascii="Arial Narrow" w:hAnsi="Arial Narrow"/>
                <w:bCs/>
                <w:sz w:val="20"/>
              </w:rPr>
              <w:t>wks</w:t>
            </w:r>
            <w:proofErr w:type="spellEnd"/>
            <w:r>
              <w:rPr>
                <w:rFonts w:ascii="Arial Narrow" w:hAnsi="Arial Narrow"/>
                <w:bCs/>
                <w:sz w:val="20"/>
              </w:rPr>
              <w:t xml:space="preserve"> </w:t>
            </w:r>
          </w:p>
          <w:p w:rsidR="00510952" w:rsidRPr="000B5BA1" w:rsidRDefault="00510952" w:rsidP="009703AA">
            <w:pPr>
              <w:jc w:val="center"/>
              <w:rPr>
                <w:rFonts w:ascii="Arial Narrow" w:hAnsi="Arial Narrow"/>
                <w:bCs/>
                <w:sz w:val="20"/>
              </w:rPr>
            </w:pPr>
            <w:r>
              <w:rPr>
                <w:rFonts w:ascii="Arial Narrow" w:hAnsi="Arial Narrow"/>
                <w:bCs/>
                <w:sz w:val="20"/>
              </w:rPr>
              <w:t xml:space="preserve">(144 </w:t>
            </w:r>
            <w:proofErr w:type="spellStart"/>
            <w:r>
              <w:rPr>
                <w:rFonts w:ascii="Arial Narrow" w:hAnsi="Arial Narrow"/>
                <w:bCs/>
                <w:sz w:val="20"/>
              </w:rPr>
              <w:t>wks</w:t>
            </w:r>
            <w:proofErr w:type="spellEnd"/>
            <w:r>
              <w:rPr>
                <w:rFonts w:ascii="Arial Narrow" w:hAnsi="Arial Narrow"/>
                <w:bCs/>
                <w:sz w:val="20"/>
              </w:rPr>
              <w:t xml:space="preserve"> ongoing)</w:t>
            </w:r>
          </w:p>
        </w:tc>
        <w:tc>
          <w:tcPr>
            <w:tcW w:w="659" w:type="dxa"/>
            <w:shd w:val="clear" w:color="auto" w:fill="auto"/>
            <w:vAlign w:val="center"/>
          </w:tcPr>
          <w:p w:rsidR="00510952" w:rsidRPr="000B5BA1" w:rsidRDefault="00510952" w:rsidP="009703AA">
            <w:pPr>
              <w:jc w:val="center"/>
              <w:rPr>
                <w:rFonts w:ascii="Arial Narrow" w:hAnsi="Arial Narrow"/>
                <w:bCs/>
                <w:i/>
                <w:iCs/>
                <w:sz w:val="20"/>
              </w:rPr>
            </w:pPr>
            <w:r w:rsidRPr="000B5BA1">
              <w:rPr>
                <w:rFonts w:ascii="Arial Narrow" w:hAnsi="Arial Narrow"/>
                <w:bCs/>
                <w:i/>
                <w:iCs/>
                <w:sz w:val="20"/>
              </w:rPr>
              <w:t>Low</w:t>
            </w:r>
          </w:p>
        </w:tc>
        <w:tc>
          <w:tcPr>
            <w:tcW w:w="1959" w:type="dxa"/>
            <w:shd w:val="clear" w:color="auto" w:fill="auto"/>
            <w:vAlign w:val="center"/>
          </w:tcPr>
          <w:p w:rsidR="00510952" w:rsidRPr="000B5BA1" w:rsidRDefault="00510952" w:rsidP="009703AA">
            <w:pPr>
              <w:jc w:val="center"/>
              <w:rPr>
                <w:rFonts w:ascii="Arial Narrow" w:hAnsi="Arial Narrow"/>
                <w:bCs/>
                <w:sz w:val="20"/>
              </w:rPr>
            </w:pPr>
            <w:r w:rsidRPr="000B5BA1">
              <w:rPr>
                <w:rFonts w:ascii="Arial Narrow" w:hAnsi="Arial Narrow"/>
                <w:bCs/>
                <w:sz w:val="20"/>
              </w:rPr>
              <w:t>HIV-1 positive</w:t>
            </w:r>
            <w:r>
              <w:rPr>
                <w:rFonts w:ascii="Arial Narrow" w:hAnsi="Arial Narrow"/>
                <w:bCs/>
                <w:sz w:val="20"/>
              </w:rPr>
              <w:t>, t</w:t>
            </w:r>
            <w:r w:rsidRPr="000B5BA1">
              <w:rPr>
                <w:rFonts w:ascii="Arial Narrow" w:hAnsi="Arial Narrow"/>
                <w:bCs/>
                <w:sz w:val="20"/>
              </w:rPr>
              <w:t>reatment naïve</w:t>
            </w:r>
          </w:p>
        </w:tc>
        <w:tc>
          <w:tcPr>
            <w:tcW w:w="1932" w:type="dxa"/>
            <w:shd w:val="clear" w:color="auto" w:fill="auto"/>
            <w:vAlign w:val="center"/>
          </w:tcPr>
          <w:p w:rsidR="00510952" w:rsidRPr="000B5BA1" w:rsidRDefault="00510952" w:rsidP="009703AA">
            <w:pPr>
              <w:jc w:val="center"/>
              <w:rPr>
                <w:rFonts w:ascii="Arial Narrow" w:hAnsi="Arial Narrow"/>
                <w:bCs/>
                <w:sz w:val="20"/>
              </w:rPr>
            </w:pPr>
            <w:proofErr w:type="spellStart"/>
            <w:r w:rsidRPr="000B5BA1">
              <w:rPr>
                <w:rFonts w:ascii="Arial Narrow" w:hAnsi="Arial Narrow"/>
                <w:bCs/>
                <w:sz w:val="20"/>
              </w:rPr>
              <w:t>Genvoya</w:t>
            </w:r>
            <w:proofErr w:type="spellEnd"/>
            <w:r w:rsidRPr="000B5BA1">
              <w:rPr>
                <w:rFonts w:ascii="Arial Narrow" w:hAnsi="Arial Narrow"/>
                <w:bCs/>
                <w:sz w:val="20"/>
                <w:vertAlign w:val="superscript"/>
              </w:rPr>
              <w:t>®</w:t>
            </w:r>
            <w:r w:rsidRPr="000B5BA1">
              <w:rPr>
                <w:rFonts w:ascii="Arial Narrow" w:hAnsi="Arial Narrow"/>
                <w:bCs/>
                <w:sz w:val="20"/>
              </w:rPr>
              <w:t xml:space="preserve"> versus </w:t>
            </w:r>
            <w:proofErr w:type="spellStart"/>
            <w:r w:rsidRPr="000B5BA1">
              <w:rPr>
                <w:rFonts w:ascii="Arial Narrow" w:hAnsi="Arial Narrow"/>
                <w:bCs/>
                <w:sz w:val="20"/>
              </w:rPr>
              <w:t>Stribild</w:t>
            </w:r>
            <w:proofErr w:type="spellEnd"/>
            <w:r w:rsidRPr="000B5BA1">
              <w:rPr>
                <w:rFonts w:ascii="Arial Narrow" w:hAnsi="Arial Narrow"/>
                <w:bCs/>
                <w:sz w:val="20"/>
                <w:vertAlign w:val="superscript"/>
              </w:rPr>
              <w:t>®</w:t>
            </w:r>
          </w:p>
        </w:tc>
        <w:tc>
          <w:tcPr>
            <w:tcW w:w="1337" w:type="dxa"/>
            <w:vAlign w:val="center"/>
          </w:tcPr>
          <w:p w:rsidR="00510952" w:rsidRPr="000B5BA1" w:rsidRDefault="00510952" w:rsidP="009703AA">
            <w:pPr>
              <w:jc w:val="center"/>
              <w:rPr>
                <w:rFonts w:ascii="Arial Narrow" w:hAnsi="Arial Narrow"/>
                <w:bCs/>
                <w:sz w:val="20"/>
              </w:rPr>
            </w:pPr>
            <w:r w:rsidRPr="000B5BA1">
              <w:rPr>
                <w:rFonts w:ascii="Arial Narrow" w:hAnsi="Arial Narrow"/>
                <w:sz w:val="20"/>
              </w:rPr>
              <w:t>% with HIV RNA &lt;50 copies/mL at Week 48</w:t>
            </w:r>
          </w:p>
        </w:tc>
      </w:tr>
      <w:tr w:rsidR="00510952" w:rsidRPr="000B5BA1" w:rsidTr="00D326DA">
        <w:trPr>
          <w:cantSplit/>
        </w:trPr>
        <w:tc>
          <w:tcPr>
            <w:tcW w:w="8439" w:type="dxa"/>
            <w:gridSpan w:val="7"/>
            <w:shd w:val="clear" w:color="auto" w:fill="auto"/>
            <w:vAlign w:val="center"/>
          </w:tcPr>
          <w:p w:rsidR="00510952" w:rsidRPr="000B5BA1" w:rsidRDefault="00510952" w:rsidP="009703AA">
            <w:pPr>
              <w:jc w:val="left"/>
              <w:rPr>
                <w:rFonts w:ascii="Arial Narrow" w:hAnsi="Arial Narrow"/>
                <w:sz w:val="20"/>
              </w:rPr>
            </w:pPr>
            <w:r w:rsidRPr="000B5BA1">
              <w:rPr>
                <w:rFonts w:ascii="Arial Narrow" w:hAnsi="Arial Narrow"/>
                <w:b/>
                <w:sz w:val="20"/>
              </w:rPr>
              <w:t xml:space="preserve">Supplementary open-label </w:t>
            </w:r>
            <w:r>
              <w:rPr>
                <w:rFonts w:ascii="Arial Narrow" w:hAnsi="Arial Narrow"/>
                <w:b/>
                <w:sz w:val="20"/>
              </w:rPr>
              <w:t xml:space="preserve">cohort </w:t>
            </w:r>
            <w:r w:rsidRPr="000B5BA1">
              <w:rPr>
                <w:rFonts w:ascii="Arial Narrow" w:hAnsi="Arial Narrow"/>
                <w:b/>
                <w:sz w:val="20"/>
              </w:rPr>
              <w:t xml:space="preserve">study </w:t>
            </w:r>
          </w:p>
        </w:tc>
      </w:tr>
      <w:tr w:rsidR="002905E0" w:rsidRPr="000B5BA1" w:rsidTr="002905E0">
        <w:trPr>
          <w:cantSplit/>
        </w:trPr>
        <w:tc>
          <w:tcPr>
            <w:tcW w:w="992" w:type="dxa"/>
            <w:shd w:val="clear" w:color="auto" w:fill="auto"/>
            <w:vAlign w:val="center"/>
          </w:tcPr>
          <w:p w:rsidR="00510952" w:rsidRPr="000B5BA1" w:rsidRDefault="00510952" w:rsidP="009703AA">
            <w:pPr>
              <w:jc w:val="left"/>
              <w:rPr>
                <w:rFonts w:ascii="Arial Narrow" w:hAnsi="Arial Narrow"/>
                <w:bCs/>
                <w:sz w:val="20"/>
              </w:rPr>
            </w:pPr>
            <w:r w:rsidRPr="000B5BA1">
              <w:rPr>
                <w:rFonts w:ascii="Arial Narrow" w:hAnsi="Arial Narrow"/>
                <w:bCs/>
                <w:sz w:val="20"/>
              </w:rPr>
              <w:t>Study 112</w:t>
            </w:r>
          </w:p>
        </w:tc>
        <w:tc>
          <w:tcPr>
            <w:tcW w:w="426" w:type="dxa"/>
            <w:shd w:val="clear" w:color="auto" w:fill="auto"/>
            <w:vAlign w:val="center"/>
          </w:tcPr>
          <w:p w:rsidR="00510952" w:rsidRPr="000B5BA1" w:rsidRDefault="00510952" w:rsidP="009703AA">
            <w:pPr>
              <w:jc w:val="center"/>
              <w:rPr>
                <w:rFonts w:ascii="Arial Narrow" w:hAnsi="Arial Narrow"/>
                <w:bCs/>
                <w:sz w:val="20"/>
              </w:rPr>
            </w:pPr>
            <w:r w:rsidRPr="000B5BA1">
              <w:rPr>
                <w:rFonts w:ascii="Arial Narrow" w:hAnsi="Arial Narrow"/>
                <w:bCs/>
                <w:sz w:val="20"/>
              </w:rPr>
              <w:t>2</w:t>
            </w:r>
            <w:r>
              <w:rPr>
                <w:rFonts w:ascii="Arial Narrow" w:hAnsi="Arial Narrow"/>
                <w:bCs/>
                <w:sz w:val="20"/>
              </w:rPr>
              <w:t>52</w:t>
            </w:r>
          </w:p>
        </w:tc>
        <w:tc>
          <w:tcPr>
            <w:tcW w:w="1134" w:type="dxa"/>
            <w:shd w:val="clear" w:color="auto" w:fill="auto"/>
            <w:vAlign w:val="center"/>
          </w:tcPr>
          <w:p w:rsidR="00510952" w:rsidRDefault="00510952" w:rsidP="009703AA">
            <w:pPr>
              <w:jc w:val="center"/>
              <w:rPr>
                <w:rFonts w:ascii="Arial Narrow" w:hAnsi="Arial Narrow"/>
                <w:bCs/>
                <w:sz w:val="20"/>
              </w:rPr>
            </w:pPr>
            <w:r>
              <w:rPr>
                <w:rFonts w:ascii="Arial Narrow" w:hAnsi="Arial Narrow"/>
                <w:bCs/>
                <w:sz w:val="20"/>
              </w:rPr>
              <w:t xml:space="preserve">OL, MC, </w:t>
            </w:r>
            <w:r w:rsidRPr="000B5BA1">
              <w:rPr>
                <w:rFonts w:ascii="Arial Narrow" w:hAnsi="Arial Narrow"/>
                <w:bCs/>
                <w:sz w:val="20"/>
              </w:rPr>
              <w:t xml:space="preserve">cohort </w:t>
            </w:r>
          </w:p>
          <w:p w:rsidR="00510952" w:rsidRDefault="00510952" w:rsidP="009703AA">
            <w:pPr>
              <w:jc w:val="center"/>
              <w:rPr>
                <w:rFonts w:ascii="Arial Narrow" w:hAnsi="Arial Narrow"/>
                <w:bCs/>
                <w:sz w:val="20"/>
              </w:rPr>
            </w:pPr>
            <w:r>
              <w:rPr>
                <w:rFonts w:ascii="Arial Narrow" w:hAnsi="Arial Narrow"/>
                <w:bCs/>
                <w:sz w:val="20"/>
              </w:rPr>
              <w:t xml:space="preserve">24 </w:t>
            </w:r>
            <w:proofErr w:type="spellStart"/>
            <w:r>
              <w:rPr>
                <w:rFonts w:ascii="Arial Narrow" w:hAnsi="Arial Narrow"/>
                <w:bCs/>
                <w:sz w:val="20"/>
              </w:rPr>
              <w:t>wks</w:t>
            </w:r>
            <w:proofErr w:type="spellEnd"/>
            <w:r>
              <w:rPr>
                <w:rFonts w:ascii="Arial Narrow" w:hAnsi="Arial Narrow"/>
                <w:bCs/>
                <w:sz w:val="20"/>
              </w:rPr>
              <w:t>,</w:t>
            </w:r>
          </w:p>
          <w:p w:rsidR="00510952" w:rsidRPr="000B5BA1" w:rsidRDefault="00510952" w:rsidP="009703AA">
            <w:pPr>
              <w:jc w:val="center"/>
              <w:rPr>
                <w:rFonts w:ascii="Arial Narrow" w:hAnsi="Arial Narrow"/>
                <w:bCs/>
                <w:sz w:val="20"/>
              </w:rPr>
            </w:pPr>
            <w:r>
              <w:rPr>
                <w:rFonts w:ascii="Arial Narrow" w:hAnsi="Arial Narrow"/>
                <w:bCs/>
                <w:sz w:val="20"/>
              </w:rPr>
              <w:t xml:space="preserve">96 </w:t>
            </w:r>
            <w:proofErr w:type="spellStart"/>
            <w:r>
              <w:rPr>
                <w:rFonts w:ascii="Arial Narrow" w:hAnsi="Arial Narrow"/>
                <w:bCs/>
                <w:sz w:val="20"/>
              </w:rPr>
              <w:t>wks</w:t>
            </w:r>
            <w:proofErr w:type="spellEnd"/>
            <w:r>
              <w:rPr>
                <w:rFonts w:ascii="Arial Narrow" w:hAnsi="Arial Narrow"/>
                <w:bCs/>
                <w:sz w:val="20"/>
              </w:rPr>
              <w:t xml:space="preserve"> data from poster</w:t>
            </w:r>
          </w:p>
        </w:tc>
        <w:tc>
          <w:tcPr>
            <w:tcW w:w="659" w:type="dxa"/>
            <w:shd w:val="clear" w:color="auto" w:fill="auto"/>
            <w:vAlign w:val="center"/>
          </w:tcPr>
          <w:p w:rsidR="00510952" w:rsidRPr="000B5BA1" w:rsidRDefault="00510952" w:rsidP="009703AA">
            <w:pPr>
              <w:jc w:val="center"/>
              <w:rPr>
                <w:rFonts w:ascii="Arial Narrow" w:hAnsi="Arial Narrow"/>
                <w:bCs/>
                <w:i/>
                <w:iCs/>
                <w:sz w:val="20"/>
              </w:rPr>
            </w:pPr>
            <w:r w:rsidRPr="000B5BA1">
              <w:rPr>
                <w:rFonts w:ascii="Arial Narrow" w:hAnsi="Arial Narrow"/>
                <w:bCs/>
                <w:i/>
                <w:iCs/>
                <w:sz w:val="20"/>
              </w:rPr>
              <w:t>NA</w:t>
            </w:r>
          </w:p>
        </w:tc>
        <w:tc>
          <w:tcPr>
            <w:tcW w:w="1959" w:type="dxa"/>
            <w:shd w:val="clear" w:color="auto" w:fill="auto"/>
            <w:vAlign w:val="center"/>
          </w:tcPr>
          <w:p w:rsidR="00510952" w:rsidRPr="000B5BA1" w:rsidRDefault="00510952" w:rsidP="009703AA">
            <w:pPr>
              <w:jc w:val="center"/>
              <w:rPr>
                <w:rFonts w:ascii="Arial Narrow" w:hAnsi="Arial Narrow"/>
                <w:bCs/>
                <w:sz w:val="20"/>
              </w:rPr>
            </w:pPr>
            <w:r w:rsidRPr="000B5BA1">
              <w:rPr>
                <w:rFonts w:ascii="Arial Narrow" w:hAnsi="Arial Narrow"/>
                <w:bCs/>
                <w:sz w:val="20"/>
              </w:rPr>
              <w:t xml:space="preserve">HIV positive, </w:t>
            </w:r>
            <w:proofErr w:type="spellStart"/>
            <w:r w:rsidRPr="000B5BA1">
              <w:rPr>
                <w:rFonts w:ascii="Arial Narrow" w:hAnsi="Arial Narrow"/>
                <w:bCs/>
                <w:sz w:val="20"/>
              </w:rPr>
              <w:t>eGFR</w:t>
            </w:r>
            <w:proofErr w:type="spellEnd"/>
            <w:r w:rsidRPr="000B5BA1">
              <w:rPr>
                <w:rFonts w:ascii="Arial Narrow" w:hAnsi="Arial Narrow"/>
                <w:bCs/>
                <w:sz w:val="20"/>
              </w:rPr>
              <w:t xml:space="preserve"> 30-69 mL/min</w:t>
            </w:r>
            <w:r>
              <w:rPr>
                <w:rFonts w:ascii="Arial Narrow" w:hAnsi="Arial Narrow"/>
                <w:bCs/>
                <w:sz w:val="20"/>
              </w:rPr>
              <w:t>,</w:t>
            </w:r>
            <w:r w:rsidRPr="000B5BA1">
              <w:rPr>
                <w:rFonts w:ascii="Arial Narrow" w:hAnsi="Arial Narrow"/>
                <w:bCs/>
                <w:sz w:val="20"/>
              </w:rPr>
              <w:t xml:space="preserve"> </w:t>
            </w:r>
          </w:p>
          <w:p w:rsidR="00510952" w:rsidRPr="000B5BA1" w:rsidRDefault="00272858" w:rsidP="00272858">
            <w:pPr>
              <w:jc w:val="center"/>
              <w:rPr>
                <w:rFonts w:ascii="Arial Narrow" w:hAnsi="Arial Narrow"/>
                <w:bCs/>
                <w:sz w:val="20"/>
              </w:rPr>
            </w:pPr>
            <w:r>
              <w:rPr>
                <w:rFonts w:ascii="Arial Narrow" w:hAnsi="Arial Narrow"/>
                <w:bCs/>
                <w:sz w:val="20"/>
              </w:rPr>
              <w:t>virologically suppressed</w:t>
            </w:r>
            <w:r w:rsidRPr="000B5BA1">
              <w:rPr>
                <w:rFonts w:ascii="Arial Narrow" w:hAnsi="Arial Narrow"/>
                <w:bCs/>
                <w:sz w:val="20"/>
              </w:rPr>
              <w:t xml:space="preserve"> </w:t>
            </w:r>
            <w:r>
              <w:rPr>
                <w:rFonts w:ascii="Arial Narrow" w:hAnsi="Arial Narrow"/>
                <w:bCs/>
                <w:sz w:val="20"/>
              </w:rPr>
              <w:t>treatment-</w:t>
            </w:r>
            <w:r w:rsidR="00510952" w:rsidRPr="000B5BA1">
              <w:rPr>
                <w:rFonts w:ascii="Arial Narrow" w:hAnsi="Arial Narrow"/>
                <w:bCs/>
                <w:sz w:val="20"/>
              </w:rPr>
              <w:t>experienced</w:t>
            </w:r>
            <w:r w:rsidR="00510952">
              <w:rPr>
                <w:rFonts w:ascii="Arial Narrow" w:hAnsi="Arial Narrow"/>
                <w:bCs/>
                <w:sz w:val="20"/>
              </w:rPr>
              <w:t xml:space="preserve"> </w:t>
            </w:r>
          </w:p>
          <w:p w:rsidR="00510952" w:rsidRPr="000B5BA1" w:rsidRDefault="00510952" w:rsidP="009703AA">
            <w:pPr>
              <w:jc w:val="center"/>
              <w:rPr>
                <w:rFonts w:ascii="Arial Narrow" w:hAnsi="Arial Narrow"/>
                <w:bCs/>
                <w:sz w:val="20"/>
              </w:rPr>
            </w:pPr>
            <w:r>
              <w:rPr>
                <w:rFonts w:ascii="Arial Narrow" w:hAnsi="Arial Narrow"/>
                <w:bCs/>
                <w:sz w:val="20"/>
              </w:rPr>
              <w:t xml:space="preserve">and </w:t>
            </w:r>
            <w:r w:rsidRPr="000B5BA1">
              <w:rPr>
                <w:rFonts w:ascii="Arial Narrow" w:hAnsi="Arial Narrow"/>
                <w:bCs/>
                <w:sz w:val="20"/>
              </w:rPr>
              <w:t>treatment</w:t>
            </w:r>
            <w:r w:rsidR="00272858">
              <w:rPr>
                <w:rFonts w:ascii="Arial Narrow" w:hAnsi="Arial Narrow"/>
                <w:bCs/>
                <w:sz w:val="20"/>
              </w:rPr>
              <w:t>-</w:t>
            </w:r>
            <w:r w:rsidRPr="000B5BA1">
              <w:rPr>
                <w:rFonts w:ascii="Arial Narrow" w:hAnsi="Arial Narrow"/>
                <w:bCs/>
                <w:sz w:val="20"/>
              </w:rPr>
              <w:t xml:space="preserve">naïve </w:t>
            </w:r>
          </w:p>
        </w:tc>
        <w:tc>
          <w:tcPr>
            <w:tcW w:w="1932" w:type="dxa"/>
            <w:shd w:val="clear" w:color="auto" w:fill="auto"/>
            <w:vAlign w:val="center"/>
          </w:tcPr>
          <w:p w:rsidR="00510952" w:rsidRPr="000B5BA1" w:rsidRDefault="00510952" w:rsidP="009703AA">
            <w:pPr>
              <w:jc w:val="center"/>
              <w:rPr>
                <w:rFonts w:ascii="Arial Narrow" w:hAnsi="Arial Narrow"/>
                <w:bCs/>
                <w:sz w:val="20"/>
              </w:rPr>
            </w:pPr>
            <w:proofErr w:type="spellStart"/>
            <w:r w:rsidRPr="000B5BA1">
              <w:rPr>
                <w:rFonts w:ascii="Arial Narrow" w:hAnsi="Arial Narrow"/>
                <w:bCs/>
                <w:sz w:val="20"/>
              </w:rPr>
              <w:t>Genvoya</w:t>
            </w:r>
            <w:proofErr w:type="spellEnd"/>
            <w:r w:rsidRPr="000B5BA1">
              <w:rPr>
                <w:rFonts w:ascii="Arial Narrow" w:hAnsi="Arial Narrow"/>
                <w:bCs/>
                <w:sz w:val="20"/>
                <w:vertAlign w:val="superscript"/>
              </w:rPr>
              <w:t>®</w:t>
            </w:r>
          </w:p>
        </w:tc>
        <w:tc>
          <w:tcPr>
            <w:tcW w:w="1337" w:type="dxa"/>
            <w:vAlign w:val="center"/>
          </w:tcPr>
          <w:p w:rsidR="00422595" w:rsidRDefault="00510952" w:rsidP="009703AA">
            <w:pPr>
              <w:jc w:val="center"/>
              <w:rPr>
                <w:rFonts w:ascii="Arial Narrow" w:hAnsi="Arial Narrow"/>
                <w:sz w:val="20"/>
              </w:rPr>
            </w:pPr>
            <w:r w:rsidRPr="000B5BA1">
              <w:rPr>
                <w:rFonts w:ascii="Arial Narrow" w:hAnsi="Arial Narrow"/>
                <w:sz w:val="20"/>
              </w:rPr>
              <w:t xml:space="preserve">Change from baseline at Week 24 in </w:t>
            </w:r>
            <w:proofErr w:type="spellStart"/>
            <w:r w:rsidRPr="000B5BA1">
              <w:rPr>
                <w:rFonts w:ascii="Arial Narrow" w:hAnsi="Arial Narrow"/>
                <w:sz w:val="20"/>
              </w:rPr>
              <w:t>eGFR</w:t>
            </w:r>
            <w:r w:rsidRPr="000B5BA1">
              <w:rPr>
                <w:rFonts w:ascii="Arial Narrow" w:hAnsi="Arial Narrow"/>
                <w:sz w:val="20"/>
                <w:vertAlign w:val="superscript"/>
              </w:rPr>
              <w:t>a</w:t>
            </w:r>
            <w:proofErr w:type="spellEnd"/>
            <w:r w:rsidRPr="000B5BA1">
              <w:rPr>
                <w:rFonts w:ascii="Arial Narrow" w:hAnsi="Arial Narrow"/>
                <w:sz w:val="20"/>
              </w:rPr>
              <w:t xml:space="preserve"> </w:t>
            </w:r>
          </w:p>
          <w:p w:rsidR="00510952" w:rsidRPr="000B5BA1" w:rsidRDefault="00510952" w:rsidP="009703AA">
            <w:pPr>
              <w:jc w:val="center"/>
              <w:rPr>
                <w:rFonts w:ascii="Arial Narrow" w:hAnsi="Arial Narrow"/>
                <w:sz w:val="20"/>
              </w:rPr>
            </w:pPr>
            <w:r w:rsidRPr="000B5BA1">
              <w:rPr>
                <w:rFonts w:ascii="Arial Narrow" w:hAnsi="Arial Narrow"/>
                <w:sz w:val="20"/>
              </w:rPr>
              <w:t>% with HIV RNA &lt;50 copies/mL at Week 24</w:t>
            </w:r>
          </w:p>
        </w:tc>
      </w:tr>
    </w:tbl>
    <w:p w:rsidR="00510952" w:rsidRPr="000B5BA1" w:rsidRDefault="00510952" w:rsidP="00510952">
      <w:pPr>
        <w:ind w:firstLine="720"/>
        <w:rPr>
          <w:rFonts w:ascii="Arial Narrow" w:hAnsi="Arial Narrow"/>
          <w:sz w:val="18"/>
          <w:szCs w:val="18"/>
        </w:rPr>
      </w:pPr>
      <w:r w:rsidRPr="000B5BA1">
        <w:rPr>
          <w:rFonts w:ascii="Arial Narrow" w:hAnsi="Arial Narrow"/>
          <w:sz w:val="18"/>
          <w:szCs w:val="18"/>
        </w:rPr>
        <w:t xml:space="preserve">Source: constructed during the evaluation </w:t>
      </w:r>
    </w:p>
    <w:p w:rsidR="00510952" w:rsidRDefault="00510952" w:rsidP="00510952">
      <w:pPr>
        <w:ind w:left="720"/>
        <w:rPr>
          <w:rFonts w:ascii="Arial Narrow" w:hAnsi="Arial Narrow"/>
          <w:sz w:val="18"/>
          <w:szCs w:val="18"/>
        </w:rPr>
      </w:pPr>
      <w:r w:rsidRPr="000B5BA1">
        <w:rPr>
          <w:rFonts w:ascii="Arial Narrow" w:hAnsi="Arial Narrow"/>
          <w:sz w:val="18"/>
          <w:szCs w:val="18"/>
        </w:rPr>
        <w:t xml:space="preserve">Abbreviations: </w:t>
      </w:r>
      <w:r>
        <w:rPr>
          <w:rFonts w:ascii="Arial Narrow" w:hAnsi="Arial Narrow"/>
          <w:sz w:val="18"/>
          <w:szCs w:val="18"/>
        </w:rPr>
        <w:t xml:space="preserve">DB = </w:t>
      </w:r>
      <w:r w:rsidRPr="00AE5DA9">
        <w:rPr>
          <w:rFonts w:ascii="Arial Narrow" w:hAnsi="Arial Narrow"/>
          <w:sz w:val="18"/>
          <w:szCs w:val="18"/>
        </w:rPr>
        <w:t>double-blind</w:t>
      </w:r>
      <w:r>
        <w:rPr>
          <w:rFonts w:ascii="Arial Narrow" w:hAnsi="Arial Narrow"/>
          <w:sz w:val="18"/>
          <w:szCs w:val="18"/>
        </w:rPr>
        <w:t>; CO = cross-over;</w:t>
      </w:r>
      <w:r w:rsidRPr="000B5BA1">
        <w:rPr>
          <w:rFonts w:ascii="Arial Narrow" w:hAnsi="Arial Narrow"/>
          <w:sz w:val="18"/>
          <w:szCs w:val="18"/>
        </w:rPr>
        <w:t xml:space="preserve"> </w:t>
      </w:r>
      <w:proofErr w:type="spellStart"/>
      <w:r w:rsidRPr="000B5BA1">
        <w:rPr>
          <w:rFonts w:ascii="Arial Narrow" w:hAnsi="Arial Narrow"/>
          <w:sz w:val="18"/>
          <w:szCs w:val="18"/>
        </w:rPr>
        <w:t>eGFR</w:t>
      </w:r>
      <w:proofErr w:type="spellEnd"/>
      <w:r w:rsidRPr="000B5BA1">
        <w:rPr>
          <w:rFonts w:ascii="Arial Narrow" w:hAnsi="Arial Narrow"/>
          <w:sz w:val="18"/>
          <w:szCs w:val="18"/>
        </w:rPr>
        <w:t xml:space="preserve"> = estimated glomerular filtration rate; HIV = human immunodeficiency virus; </w:t>
      </w:r>
      <w:r>
        <w:rPr>
          <w:rFonts w:ascii="Arial Narrow" w:hAnsi="Arial Narrow"/>
          <w:sz w:val="18"/>
          <w:szCs w:val="18"/>
        </w:rPr>
        <w:t xml:space="preserve">MC = multi-centre; </w:t>
      </w:r>
      <w:r w:rsidRPr="000B5BA1">
        <w:rPr>
          <w:rFonts w:ascii="Arial Narrow" w:hAnsi="Arial Narrow"/>
          <w:sz w:val="18"/>
          <w:szCs w:val="18"/>
        </w:rPr>
        <w:t xml:space="preserve">NA = not applicable; </w:t>
      </w:r>
      <w:r>
        <w:rPr>
          <w:rFonts w:ascii="Arial Narrow" w:hAnsi="Arial Narrow"/>
          <w:sz w:val="18"/>
          <w:szCs w:val="18"/>
        </w:rPr>
        <w:t xml:space="preserve">OL = open-label; </w:t>
      </w:r>
      <w:r w:rsidRPr="00564682">
        <w:rPr>
          <w:rFonts w:ascii="Arial Narrow" w:hAnsi="Arial Narrow"/>
          <w:sz w:val="18"/>
          <w:szCs w:val="18"/>
        </w:rPr>
        <w:t>P</w:t>
      </w:r>
      <w:r>
        <w:rPr>
          <w:rFonts w:ascii="Arial Narrow" w:hAnsi="Arial Narrow"/>
          <w:sz w:val="18"/>
          <w:szCs w:val="18"/>
        </w:rPr>
        <w:t>K</w:t>
      </w:r>
      <w:r w:rsidRPr="00564682">
        <w:rPr>
          <w:rFonts w:ascii="Arial Narrow" w:hAnsi="Arial Narrow"/>
          <w:sz w:val="18"/>
          <w:szCs w:val="18"/>
        </w:rPr>
        <w:t xml:space="preserve"> = pharmacokinetic; </w:t>
      </w:r>
      <w:r>
        <w:rPr>
          <w:rFonts w:ascii="Arial Narrow" w:hAnsi="Arial Narrow"/>
          <w:sz w:val="18"/>
          <w:szCs w:val="18"/>
        </w:rPr>
        <w:t xml:space="preserve">R = randomised; </w:t>
      </w:r>
      <w:r w:rsidRPr="00564682">
        <w:rPr>
          <w:rFonts w:ascii="Arial Narrow" w:hAnsi="Arial Narrow"/>
          <w:sz w:val="18"/>
          <w:szCs w:val="18"/>
        </w:rPr>
        <w:t>RNA = ribonucleic acid</w:t>
      </w:r>
    </w:p>
    <w:p w:rsidR="00510952" w:rsidRDefault="00510952" w:rsidP="00FF36C8">
      <w:pPr>
        <w:tabs>
          <w:tab w:val="left" w:pos="900"/>
        </w:tabs>
        <w:ind w:left="900" w:hanging="180"/>
        <w:rPr>
          <w:rFonts w:ascii="Arial Narrow" w:hAnsi="Arial Narrow"/>
          <w:sz w:val="18"/>
          <w:szCs w:val="18"/>
        </w:rPr>
      </w:pPr>
      <w:proofErr w:type="gramStart"/>
      <w:r>
        <w:rPr>
          <w:rFonts w:ascii="Arial Narrow" w:hAnsi="Arial Narrow"/>
          <w:sz w:val="18"/>
          <w:szCs w:val="18"/>
          <w:vertAlign w:val="superscript"/>
        </w:rPr>
        <w:lastRenderedPageBreak/>
        <w:t>a</w:t>
      </w:r>
      <w:proofErr w:type="gramEnd"/>
      <w:r w:rsidR="00FF36C8">
        <w:rPr>
          <w:rFonts w:ascii="Arial Narrow" w:hAnsi="Arial Narrow"/>
          <w:sz w:val="18"/>
          <w:szCs w:val="18"/>
        </w:rPr>
        <w:tab/>
      </w:r>
      <w:r>
        <w:rPr>
          <w:rFonts w:ascii="Arial Narrow" w:hAnsi="Arial Narrow"/>
          <w:sz w:val="18"/>
          <w:szCs w:val="18"/>
        </w:rPr>
        <w:t xml:space="preserve">calculated using the </w:t>
      </w:r>
      <w:r w:rsidRPr="00540F29">
        <w:rPr>
          <w:rFonts w:ascii="Arial Narrow" w:hAnsi="Arial Narrow"/>
          <w:sz w:val="18"/>
          <w:szCs w:val="18"/>
        </w:rPr>
        <w:t xml:space="preserve">Cockcroft-Gault </w:t>
      </w:r>
      <w:r>
        <w:rPr>
          <w:rFonts w:ascii="Arial Narrow" w:hAnsi="Arial Narrow"/>
          <w:sz w:val="18"/>
          <w:szCs w:val="18"/>
        </w:rPr>
        <w:t xml:space="preserve">equation, </w:t>
      </w:r>
      <w:r w:rsidRPr="004567B6">
        <w:rPr>
          <w:rFonts w:ascii="Arial Narrow" w:hAnsi="Arial Narrow"/>
          <w:sz w:val="18"/>
          <w:szCs w:val="18"/>
        </w:rPr>
        <w:t>Chronic Kidney Disease Epidemiology Collaboration (CKD-EPI)</w:t>
      </w:r>
      <w:r>
        <w:rPr>
          <w:rFonts w:ascii="Arial Narrow" w:hAnsi="Arial Narrow"/>
          <w:sz w:val="18"/>
          <w:szCs w:val="18"/>
        </w:rPr>
        <w:t xml:space="preserve"> </w:t>
      </w:r>
      <w:r w:rsidRPr="004567B6">
        <w:rPr>
          <w:rFonts w:ascii="Arial Narrow" w:hAnsi="Arial Narrow"/>
          <w:sz w:val="18"/>
          <w:szCs w:val="18"/>
        </w:rPr>
        <w:t>serum cystatin C method</w:t>
      </w:r>
      <w:r>
        <w:rPr>
          <w:rFonts w:ascii="Arial Narrow" w:hAnsi="Arial Narrow"/>
          <w:sz w:val="18"/>
          <w:szCs w:val="18"/>
        </w:rPr>
        <w:t xml:space="preserve"> and </w:t>
      </w:r>
      <w:r w:rsidRPr="004567B6">
        <w:rPr>
          <w:rFonts w:ascii="Arial Narrow" w:hAnsi="Arial Narrow"/>
          <w:sz w:val="18"/>
          <w:szCs w:val="18"/>
        </w:rPr>
        <w:t>CKD-EPI serum creatinine method</w:t>
      </w:r>
      <w:r>
        <w:rPr>
          <w:rFonts w:ascii="Arial Narrow" w:hAnsi="Arial Narrow"/>
          <w:sz w:val="18"/>
          <w:szCs w:val="18"/>
        </w:rPr>
        <w:t xml:space="preserve"> respectively </w:t>
      </w:r>
    </w:p>
    <w:p w:rsidR="00510952" w:rsidRPr="004567B6" w:rsidRDefault="00510952" w:rsidP="00510952">
      <w:pPr>
        <w:ind w:left="720"/>
        <w:rPr>
          <w:rFonts w:ascii="Arial Narrow" w:hAnsi="Arial Narrow"/>
          <w:sz w:val="18"/>
          <w:szCs w:val="18"/>
        </w:rPr>
      </w:pPr>
      <w:r>
        <w:rPr>
          <w:rFonts w:ascii="Arial Narrow" w:hAnsi="Arial Narrow"/>
          <w:sz w:val="18"/>
          <w:szCs w:val="18"/>
        </w:rPr>
        <w:t xml:space="preserve">Note: </w:t>
      </w:r>
      <w:r w:rsidRPr="00FE2182">
        <w:rPr>
          <w:rFonts w:ascii="Arial Narrow" w:hAnsi="Arial Narrow"/>
          <w:sz w:val="18"/>
          <w:szCs w:val="18"/>
        </w:rPr>
        <w:t>Allowed 3</w:t>
      </w:r>
      <w:r w:rsidRPr="00FE2182">
        <w:rPr>
          <w:rFonts w:ascii="Arial Narrow" w:hAnsi="Arial Narrow"/>
          <w:sz w:val="18"/>
          <w:szCs w:val="18"/>
          <w:vertAlign w:val="superscript"/>
        </w:rPr>
        <w:t>rd</w:t>
      </w:r>
      <w:r>
        <w:rPr>
          <w:rFonts w:ascii="Arial Narrow" w:hAnsi="Arial Narrow"/>
          <w:sz w:val="18"/>
          <w:szCs w:val="18"/>
        </w:rPr>
        <w:t xml:space="preserve"> </w:t>
      </w:r>
      <w:r w:rsidRPr="00FE2182">
        <w:rPr>
          <w:rFonts w:ascii="Arial Narrow" w:hAnsi="Arial Narrow"/>
          <w:sz w:val="18"/>
          <w:szCs w:val="18"/>
        </w:rPr>
        <w:t xml:space="preserve">agents in Study 1089 were </w:t>
      </w:r>
      <w:proofErr w:type="spellStart"/>
      <w:r w:rsidRPr="00FE2182">
        <w:rPr>
          <w:rFonts w:ascii="Arial Narrow" w:hAnsi="Arial Narrow"/>
          <w:sz w:val="18"/>
          <w:szCs w:val="18"/>
        </w:rPr>
        <w:t>atazanavir</w:t>
      </w:r>
      <w:proofErr w:type="spellEnd"/>
      <w:r w:rsidRPr="00FE2182">
        <w:rPr>
          <w:rFonts w:ascii="Arial Narrow" w:hAnsi="Arial Narrow"/>
          <w:sz w:val="18"/>
          <w:szCs w:val="18"/>
        </w:rPr>
        <w:t xml:space="preserve"> + ritonavir, </w:t>
      </w:r>
      <w:proofErr w:type="spellStart"/>
      <w:r w:rsidRPr="00FE2182">
        <w:rPr>
          <w:rFonts w:ascii="Arial Narrow" w:hAnsi="Arial Narrow"/>
          <w:sz w:val="18"/>
          <w:szCs w:val="18"/>
        </w:rPr>
        <w:t>lopinavir</w:t>
      </w:r>
      <w:proofErr w:type="spellEnd"/>
      <w:r w:rsidRPr="00FE2182">
        <w:rPr>
          <w:rFonts w:ascii="Arial Narrow" w:hAnsi="Arial Narrow"/>
          <w:sz w:val="18"/>
          <w:szCs w:val="18"/>
        </w:rPr>
        <w:t xml:space="preserve"> + ritonavir, </w:t>
      </w:r>
      <w:proofErr w:type="spellStart"/>
      <w:r w:rsidRPr="00FE2182">
        <w:rPr>
          <w:rFonts w:ascii="Arial Narrow" w:hAnsi="Arial Narrow"/>
          <w:sz w:val="18"/>
          <w:szCs w:val="18"/>
        </w:rPr>
        <w:t>darunavir</w:t>
      </w:r>
      <w:proofErr w:type="spellEnd"/>
      <w:r w:rsidRPr="00FE2182">
        <w:rPr>
          <w:rFonts w:ascii="Arial Narrow" w:hAnsi="Arial Narrow"/>
          <w:sz w:val="18"/>
          <w:szCs w:val="18"/>
        </w:rPr>
        <w:t xml:space="preserve"> + ritonavir, </w:t>
      </w:r>
      <w:proofErr w:type="spellStart"/>
      <w:r w:rsidRPr="00FE2182">
        <w:rPr>
          <w:rFonts w:ascii="Arial Narrow" w:hAnsi="Arial Narrow"/>
          <w:sz w:val="18"/>
          <w:szCs w:val="18"/>
        </w:rPr>
        <w:t>efavirenz</w:t>
      </w:r>
      <w:proofErr w:type="spellEnd"/>
      <w:r w:rsidRPr="00FE2182">
        <w:rPr>
          <w:rFonts w:ascii="Arial Narrow" w:hAnsi="Arial Narrow"/>
          <w:sz w:val="18"/>
          <w:szCs w:val="18"/>
        </w:rPr>
        <w:t xml:space="preserve">, </w:t>
      </w:r>
      <w:proofErr w:type="spellStart"/>
      <w:r w:rsidRPr="00FE2182">
        <w:rPr>
          <w:rFonts w:ascii="Arial Narrow" w:hAnsi="Arial Narrow"/>
          <w:sz w:val="18"/>
          <w:szCs w:val="18"/>
        </w:rPr>
        <w:t>rilpivirine</w:t>
      </w:r>
      <w:proofErr w:type="spellEnd"/>
      <w:r w:rsidRPr="00FE2182">
        <w:rPr>
          <w:rFonts w:ascii="Arial Narrow" w:hAnsi="Arial Narrow"/>
          <w:sz w:val="18"/>
          <w:szCs w:val="18"/>
        </w:rPr>
        <w:t xml:space="preserve">, </w:t>
      </w:r>
      <w:proofErr w:type="spellStart"/>
      <w:r w:rsidRPr="00FE2182">
        <w:rPr>
          <w:rFonts w:ascii="Arial Narrow" w:hAnsi="Arial Narrow"/>
          <w:sz w:val="18"/>
          <w:szCs w:val="18"/>
        </w:rPr>
        <w:t>nevirapine</w:t>
      </w:r>
      <w:proofErr w:type="spellEnd"/>
      <w:r w:rsidRPr="00FE2182">
        <w:rPr>
          <w:rFonts w:ascii="Arial Narrow" w:hAnsi="Arial Narrow"/>
          <w:sz w:val="18"/>
          <w:szCs w:val="18"/>
        </w:rPr>
        <w:t xml:space="preserve">, </w:t>
      </w:r>
      <w:proofErr w:type="spellStart"/>
      <w:r w:rsidRPr="00FE2182">
        <w:rPr>
          <w:rFonts w:ascii="Arial Narrow" w:hAnsi="Arial Narrow"/>
          <w:sz w:val="18"/>
          <w:szCs w:val="18"/>
        </w:rPr>
        <w:t>raltegravir</w:t>
      </w:r>
      <w:proofErr w:type="spellEnd"/>
      <w:r w:rsidRPr="00FE2182">
        <w:rPr>
          <w:rFonts w:ascii="Arial Narrow" w:hAnsi="Arial Narrow"/>
          <w:sz w:val="18"/>
          <w:szCs w:val="18"/>
        </w:rPr>
        <w:t xml:space="preserve">, </w:t>
      </w:r>
      <w:proofErr w:type="spellStart"/>
      <w:r w:rsidRPr="00FE2182">
        <w:rPr>
          <w:rFonts w:ascii="Arial Narrow" w:hAnsi="Arial Narrow"/>
          <w:sz w:val="18"/>
          <w:szCs w:val="18"/>
        </w:rPr>
        <w:t>dolutegravir</w:t>
      </w:r>
      <w:proofErr w:type="spellEnd"/>
      <w:r w:rsidRPr="00FE2182">
        <w:rPr>
          <w:rFonts w:ascii="Arial Narrow" w:hAnsi="Arial Narrow"/>
          <w:sz w:val="18"/>
          <w:szCs w:val="18"/>
        </w:rPr>
        <w:t xml:space="preserve"> and </w:t>
      </w:r>
      <w:proofErr w:type="spellStart"/>
      <w:r w:rsidRPr="00FE2182">
        <w:rPr>
          <w:rFonts w:ascii="Arial Narrow" w:hAnsi="Arial Narrow"/>
          <w:sz w:val="18"/>
          <w:szCs w:val="18"/>
        </w:rPr>
        <w:t>maraviroc</w:t>
      </w:r>
      <w:proofErr w:type="spellEnd"/>
      <w:r w:rsidRPr="00FE2182">
        <w:rPr>
          <w:rFonts w:ascii="Arial Narrow" w:hAnsi="Arial Narrow"/>
          <w:sz w:val="18"/>
          <w:szCs w:val="18"/>
        </w:rPr>
        <w:t xml:space="preserve">. </w:t>
      </w:r>
      <w:proofErr w:type="spellStart"/>
      <w:r w:rsidRPr="00FA2F6C">
        <w:rPr>
          <w:rFonts w:ascii="Arial Narrow" w:hAnsi="Arial Narrow"/>
          <w:sz w:val="18"/>
          <w:szCs w:val="18"/>
        </w:rPr>
        <w:t>Descovy</w:t>
      </w:r>
      <w:proofErr w:type="spellEnd"/>
      <w:r w:rsidRPr="00FA2F6C">
        <w:rPr>
          <w:rFonts w:ascii="Arial Narrow" w:hAnsi="Arial Narrow"/>
          <w:sz w:val="18"/>
          <w:szCs w:val="18"/>
          <w:vertAlign w:val="superscript"/>
        </w:rPr>
        <w:t>®</w:t>
      </w:r>
      <w:r w:rsidRPr="00FA2F6C">
        <w:rPr>
          <w:rFonts w:ascii="Arial Narrow" w:hAnsi="Arial Narrow"/>
          <w:sz w:val="18"/>
          <w:szCs w:val="18"/>
        </w:rPr>
        <w:t xml:space="preserve"> </w:t>
      </w:r>
      <w:r>
        <w:rPr>
          <w:rFonts w:ascii="Arial Narrow" w:hAnsi="Arial Narrow"/>
          <w:sz w:val="18"/>
          <w:szCs w:val="18"/>
        </w:rPr>
        <w:t xml:space="preserve">contains </w:t>
      </w:r>
      <w:proofErr w:type="spellStart"/>
      <w:r>
        <w:rPr>
          <w:rFonts w:ascii="Arial Narrow" w:hAnsi="Arial Narrow"/>
          <w:sz w:val="18"/>
          <w:szCs w:val="18"/>
        </w:rPr>
        <w:t>e</w:t>
      </w:r>
      <w:r w:rsidRPr="00FA2F6C">
        <w:rPr>
          <w:rFonts w:ascii="Arial Narrow" w:hAnsi="Arial Narrow"/>
          <w:sz w:val="18"/>
          <w:szCs w:val="18"/>
        </w:rPr>
        <w:t>mtricitabine</w:t>
      </w:r>
      <w:proofErr w:type="spellEnd"/>
      <w:r w:rsidRPr="00FA2F6C">
        <w:rPr>
          <w:rFonts w:ascii="Arial Narrow" w:hAnsi="Arial Narrow"/>
          <w:sz w:val="18"/>
          <w:szCs w:val="18"/>
        </w:rPr>
        <w:t xml:space="preserve"> 200mg/ </w:t>
      </w:r>
      <w:proofErr w:type="spellStart"/>
      <w:r w:rsidRPr="00FA2F6C">
        <w:rPr>
          <w:rFonts w:ascii="Arial Narrow" w:hAnsi="Arial Narrow"/>
          <w:sz w:val="18"/>
          <w:szCs w:val="18"/>
        </w:rPr>
        <w:t>tenofovir</w:t>
      </w:r>
      <w:proofErr w:type="spellEnd"/>
      <w:r w:rsidRPr="00FA2F6C">
        <w:rPr>
          <w:rFonts w:ascii="Arial Narrow" w:hAnsi="Arial Narrow"/>
          <w:sz w:val="18"/>
          <w:szCs w:val="18"/>
        </w:rPr>
        <w:t xml:space="preserve"> </w:t>
      </w:r>
      <w:proofErr w:type="spellStart"/>
      <w:r w:rsidRPr="00FA2F6C">
        <w:rPr>
          <w:rFonts w:ascii="Arial Narrow" w:hAnsi="Arial Narrow"/>
          <w:sz w:val="18"/>
          <w:szCs w:val="18"/>
        </w:rPr>
        <w:t>alafenamide</w:t>
      </w:r>
      <w:proofErr w:type="spellEnd"/>
      <w:r w:rsidRPr="00FA2F6C">
        <w:rPr>
          <w:rFonts w:ascii="Arial Narrow" w:hAnsi="Arial Narrow"/>
          <w:sz w:val="18"/>
          <w:szCs w:val="18"/>
        </w:rPr>
        <w:t xml:space="preserve"> 25mg or 10mg</w:t>
      </w:r>
      <w:r>
        <w:rPr>
          <w:rFonts w:ascii="Arial Narrow" w:hAnsi="Arial Narrow"/>
          <w:sz w:val="18"/>
          <w:szCs w:val="18"/>
        </w:rPr>
        <w:t xml:space="preserve">. </w:t>
      </w:r>
      <w:proofErr w:type="spellStart"/>
      <w:r w:rsidRPr="00FA2F6C">
        <w:rPr>
          <w:rFonts w:ascii="Arial Narrow" w:hAnsi="Arial Narrow"/>
          <w:sz w:val="18"/>
          <w:szCs w:val="18"/>
        </w:rPr>
        <w:t>Truvada</w:t>
      </w:r>
      <w:proofErr w:type="spellEnd"/>
      <w:r w:rsidRPr="00FA2F6C">
        <w:rPr>
          <w:rFonts w:ascii="Arial Narrow" w:hAnsi="Arial Narrow"/>
          <w:sz w:val="18"/>
          <w:szCs w:val="18"/>
          <w:vertAlign w:val="superscript"/>
        </w:rPr>
        <w:t>®</w:t>
      </w:r>
      <w:r>
        <w:rPr>
          <w:rFonts w:ascii="Arial Narrow" w:hAnsi="Arial Narrow"/>
          <w:sz w:val="18"/>
          <w:szCs w:val="18"/>
        </w:rPr>
        <w:t xml:space="preserve"> contains </w:t>
      </w:r>
      <w:proofErr w:type="spellStart"/>
      <w:r w:rsidRPr="003421CC">
        <w:rPr>
          <w:rFonts w:ascii="Arial Narrow" w:hAnsi="Arial Narrow"/>
          <w:sz w:val="18"/>
          <w:szCs w:val="18"/>
        </w:rPr>
        <w:t>emtricitabine</w:t>
      </w:r>
      <w:proofErr w:type="spellEnd"/>
      <w:r w:rsidRPr="003421CC">
        <w:rPr>
          <w:rFonts w:ascii="Arial Narrow" w:hAnsi="Arial Narrow"/>
          <w:sz w:val="18"/>
          <w:szCs w:val="18"/>
        </w:rPr>
        <w:t xml:space="preserve"> 200mg/ </w:t>
      </w:r>
      <w:proofErr w:type="spellStart"/>
      <w:r w:rsidRPr="003421CC">
        <w:rPr>
          <w:rFonts w:ascii="Arial Narrow" w:hAnsi="Arial Narrow"/>
          <w:sz w:val="18"/>
          <w:szCs w:val="18"/>
        </w:rPr>
        <w:t>tenofovir</w:t>
      </w:r>
      <w:proofErr w:type="spellEnd"/>
      <w:r w:rsidRPr="003421CC">
        <w:rPr>
          <w:rFonts w:ascii="Arial Narrow" w:hAnsi="Arial Narrow"/>
          <w:sz w:val="18"/>
          <w:szCs w:val="18"/>
        </w:rPr>
        <w:t xml:space="preserve"> </w:t>
      </w:r>
      <w:proofErr w:type="spellStart"/>
      <w:r w:rsidRPr="003421CC">
        <w:rPr>
          <w:rFonts w:ascii="Arial Narrow" w:hAnsi="Arial Narrow"/>
          <w:sz w:val="18"/>
          <w:szCs w:val="18"/>
        </w:rPr>
        <w:t>disoproxil</w:t>
      </w:r>
      <w:proofErr w:type="spellEnd"/>
      <w:r w:rsidRPr="003421CC">
        <w:rPr>
          <w:rFonts w:ascii="Arial Narrow" w:hAnsi="Arial Narrow"/>
          <w:sz w:val="18"/>
          <w:szCs w:val="18"/>
        </w:rPr>
        <w:t xml:space="preserve"> </w:t>
      </w:r>
      <w:proofErr w:type="spellStart"/>
      <w:r w:rsidRPr="003421CC">
        <w:rPr>
          <w:rFonts w:ascii="Arial Narrow" w:hAnsi="Arial Narrow"/>
          <w:sz w:val="18"/>
          <w:szCs w:val="18"/>
        </w:rPr>
        <w:t>fumarate</w:t>
      </w:r>
      <w:proofErr w:type="spellEnd"/>
      <w:r w:rsidRPr="003421CC">
        <w:rPr>
          <w:rFonts w:ascii="Arial Narrow" w:hAnsi="Arial Narrow"/>
          <w:sz w:val="18"/>
          <w:szCs w:val="18"/>
        </w:rPr>
        <w:t xml:space="preserve"> 300mg</w:t>
      </w:r>
      <w:r>
        <w:rPr>
          <w:rFonts w:ascii="Arial Narrow" w:hAnsi="Arial Narrow"/>
          <w:sz w:val="18"/>
          <w:szCs w:val="18"/>
        </w:rPr>
        <w:t xml:space="preserve">. </w:t>
      </w:r>
      <w:proofErr w:type="spellStart"/>
      <w:r w:rsidRPr="00355C07">
        <w:rPr>
          <w:rFonts w:ascii="Arial Narrow" w:hAnsi="Arial Narrow"/>
          <w:sz w:val="18"/>
          <w:szCs w:val="18"/>
        </w:rPr>
        <w:t>Odefsey</w:t>
      </w:r>
      <w:proofErr w:type="spellEnd"/>
      <w:r w:rsidRPr="00A76F2A">
        <w:rPr>
          <w:rFonts w:ascii="Arial Narrow" w:hAnsi="Arial Narrow"/>
          <w:sz w:val="18"/>
          <w:szCs w:val="18"/>
          <w:vertAlign w:val="superscript"/>
        </w:rPr>
        <w:t>®</w:t>
      </w:r>
      <w:r w:rsidRPr="00355C07">
        <w:rPr>
          <w:rFonts w:ascii="Arial Narrow" w:hAnsi="Arial Narrow"/>
          <w:sz w:val="18"/>
          <w:szCs w:val="18"/>
        </w:rPr>
        <w:t xml:space="preserve"> contains </w:t>
      </w:r>
      <w:proofErr w:type="spellStart"/>
      <w:r w:rsidRPr="00355C07">
        <w:rPr>
          <w:rFonts w:ascii="Arial Narrow" w:hAnsi="Arial Narrow"/>
          <w:sz w:val="18"/>
          <w:szCs w:val="18"/>
        </w:rPr>
        <w:t>rilpivirine</w:t>
      </w:r>
      <w:proofErr w:type="spellEnd"/>
      <w:r w:rsidRPr="00355C07">
        <w:rPr>
          <w:rFonts w:ascii="Arial Narrow" w:hAnsi="Arial Narrow"/>
          <w:sz w:val="18"/>
          <w:szCs w:val="18"/>
        </w:rPr>
        <w:t xml:space="preserve"> 25mg/</w:t>
      </w:r>
      <w:proofErr w:type="spellStart"/>
      <w:r w:rsidRPr="00355C07">
        <w:rPr>
          <w:rFonts w:ascii="Arial Narrow" w:hAnsi="Arial Narrow"/>
          <w:sz w:val="18"/>
          <w:szCs w:val="18"/>
        </w:rPr>
        <w:t>emtricitabine</w:t>
      </w:r>
      <w:proofErr w:type="spellEnd"/>
      <w:r w:rsidRPr="00355C07">
        <w:rPr>
          <w:rFonts w:ascii="Arial Narrow" w:hAnsi="Arial Narrow"/>
          <w:sz w:val="18"/>
          <w:szCs w:val="18"/>
        </w:rPr>
        <w:t xml:space="preserve"> 200mg/</w:t>
      </w:r>
      <w:proofErr w:type="spellStart"/>
      <w:r w:rsidRPr="00355C07">
        <w:rPr>
          <w:rFonts w:ascii="Arial Narrow" w:hAnsi="Arial Narrow"/>
          <w:sz w:val="18"/>
          <w:szCs w:val="18"/>
        </w:rPr>
        <w:t>tenofovir</w:t>
      </w:r>
      <w:proofErr w:type="spellEnd"/>
      <w:r w:rsidRPr="00355C07">
        <w:rPr>
          <w:rFonts w:ascii="Arial Narrow" w:hAnsi="Arial Narrow"/>
          <w:sz w:val="18"/>
          <w:szCs w:val="18"/>
        </w:rPr>
        <w:t xml:space="preserve"> </w:t>
      </w:r>
      <w:proofErr w:type="spellStart"/>
      <w:r w:rsidRPr="00355C07">
        <w:rPr>
          <w:rFonts w:ascii="Arial Narrow" w:hAnsi="Arial Narrow"/>
          <w:sz w:val="18"/>
          <w:szCs w:val="18"/>
        </w:rPr>
        <w:t>alafenamide</w:t>
      </w:r>
      <w:proofErr w:type="spellEnd"/>
      <w:r w:rsidRPr="00355C07">
        <w:rPr>
          <w:rFonts w:ascii="Arial Narrow" w:hAnsi="Arial Narrow"/>
          <w:sz w:val="18"/>
          <w:szCs w:val="18"/>
        </w:rPr>
        <w:t xml:space="preserve"> 25mg. </w:t>
      </w:r>
      <w:proofErr w:type="spellStart"/>
      <w:r w:rsidRPr="00355C07">
        <w:rPr>
          <w:rFonts w:ascii="Arial Narrow" w:hAnsi="Arial Narrow"/>
          <w:sz w:val="18"/>
          <w:szCs w:val="18"/>
        </w:rPr>
        <w:t>Genvoya</w:t>
      </w:r>
      <w:proofErr w:type="spellEnd"/>
      <w:r w:rsidRPr="00A76F2A">
        <w:rPr>
          <w:rFonts w:ascii="Arial Narrow" w:hAnsi="Arial Narrow"/>
          <w:sz w:val="18"/>
          <w:szCs w:val="18"/>
          <w:vertAlign w:val="superscript"/>
        </w:rPr>
        <w:t>®</w:t>
      </w:r>
      <w:r w:rsidRPr="00355C07">
        <w:rPr>
          <w:rFonts w:ascii="Arial Narrow" w:hAnsi="Arial Narrow"/>
          <w:sz w:val="18"/>
          <w:szCs w:val="18"/>
        </w:rPr>
        <w:t xml:space="preserve"> contains </w:t>
      </w:r>
      <w:proofErr w:type="spellStart"/>
      <w:r w:rsidRPr="00355C07">
        <w:rPr>
          <w:rFonts w:ascii="Arial Narrow" w:hAnsi="Arial Narrow"/>
          <w:sz w:val="18"/>
          <w:szCs w:val="18"/>
        </w:rPr>
        <w:t>elvitegravir</w:t>
      </w:r>
      <w:proofErr w:type="spellEnd"/>
      <w:r w:rsidRPr="00355C07">
        <w:rPr>
          <w:rFonts w:ascii="Arial Narrow" w:hAnsi="Arial Narrow"/>
          <w:sz w:val="18"/>
          <w:szCs w:val="18"/>
        </w:rPr>
        <w:t xml:space="preserve"> 150mg/ </w:t>
      </w:r>
      <w:proofErr w:type="spellStart"/>
      <w:r w:rsidRPr="00355C07">
        <w:rPr>
          <w:rFonts w:ascii="Arial Narrow" w:hAnsi="Arial Narrow"/>
          <w:sz w:val="18"/>
          <w:szCs w:val="18"/>
        </w:rPr>
        <w:t>cobicistat</w:t>
      </w:r>
      <w:proofErr w:type="spellEnd"/>
      <w:r w:rsidRPr="00355C07">
        <w:rPr>
          <w:rFonts w:ascii="Arial Narrow" w:hAnsi="Arial Narrow"/>
          <w:sz w:val="18"/>
          <w:szCs w:val="18"/>
        </w:rPr>
        <w:t xml:space="preserve"> 150mg/ </w:t>
      </w:r>
      <w:proofErr w:type="spellStart"/>
      <w:r w:rsidRPr="00355C07">
        <w:rPr>
          <w:rFonts w:ascii="Arial Narrow" w:hAnsi="Arial Narrow"/>
          <w:sz w:val="18"/>
          <w:szCs w:val="18"/>
        </w:rPr>
        <w:t>emtricitabine</w:t>
      </w:r>
      <w:proofErr w:type="spellEnd"/>
      <w:r w:rsidRPr="00355C07">
        <w:rPr>
          <w:rFonts w:ascii="Arial Narrow" w:hAnsi="Arial Narrow"/>
          <w:sz w:val="18"/>
          <w:szCs w:val="18"/>
        </w:rPr>
        <w:t xml:space="preserve"> 200mg/ </w:t>
      </w:r>
      <w:proofErr w:type="spellStart"/>
      <w:r w:rsidRPr="00355C07">
        <w:rPr>
          <w:rFonts w:ascii="Arial Narrow" w:hAnsi="Arial Narrow"/>
          <w:sz w:val="18"/>
          <w:szCs w:val="18"/>
        </w:rPr>
        <w:t>tenofovir</w:t>
      </w:r>
      <w:proofErr w:type="spellEnd"/>
      <w:r w:rsidRPr="00355C07">
        <w:rPr>
          <w:rFonts w:ascii="Arial Narrow" w:hAnsi="Arial Narrow"/>
          <w:sz w:val="18"/>
          <w:szCs w:val="18"/>
        </w:rPr>
        <w:t xml:space="preserve"> </w:t>
      </w:r>
      <w:proofErr w:type="spellStart"/>
      <w:r w:rsidRPr="00355C07">
        <w:rPr>
          <w:rFonts w:ascii="Arial Narrow" w:hAnsi="Arial Narrow"/>
          <w:sz w:val="18"/>
          <w:szCs w:val="18"/>
        </w:rPr>
        <w:t>alafenamide</w:t>
      </w:r>
      <w:proofErr w:type="spellEnd"/>
      <w:r w:rsidRPr="00355C07">
        <w:rPr>
          <w:rFonts w:ascii="Arial Narrow" w:hAnsi="Arial Narrow"/>
          <w:sz w:val="18"/>
          <w:szCs w:val="18"/>
        </w:rPr>
        <w:t xml:space="preserve"> 10mg.</w:t>
      </w:r>
      <w:r>
        <w:rPr>
          <w:rFonts w:ascii="Arial Narrow" w:hAnsi="Arial Narrow"/>
          <w:sz w:val="18"/>
          <w:szCs w:val="18"/>
        </w:rPr>
        <w:t xml:space="preserve"> </w:t>
      </w:r>
      <w:proofErr w:type="spellStart"/>
      <w:r>
        <w:rPr>
          <w:rFonts w:ascii="Arial Narrow" w:hAnsi="Arial Narrow"/>
          <w:sz w:val="18"/>
          <w:szCs w:val="18"/>
        </w:rPr>
        <w:t>Stribild</w:t>
      </w:r>
      <w:proofErr w:type="spellEnd"/>
      <w:r w:rsidRPr="003421CC">
        <w:rPr>
          <w:rFonts w:ascii="Arial Narrow" w:hAnsi="Arial Narrow"/>
          <w:sz w:val="18"/>
          <w:szCs w:val="18"/>
          <w:vertAlign w:val="superscript"/>
        </w:rPr>
        <w:t>®</w:t>
      </w:r>
      <w:r>
        <w:rPr>
          <w:rFonts w:ascii="Arial Narrow" w:hAnsi="Arial Narrow"/>
          <w:sz w:val="18"/>
          <w:szCs w:val="18"/>
        </w:rPr>
        <w:t xml:space="preserve"> contains </w:t>
      </w:r>
      <w:proofErr w:type="spellStart"/>
      <w:r>
        <w:rPr>
          <w:rFonts w:ascii="Arial Narrow" w:hAnsi="Arial Narrow"/>
          <w:sz w:val="18"/>
          <w:szCs w:val="18"/>
        </w:rPr>
        <w:t>e</w:t>
      </w:r>
      <w:r w:rsidRPr="003421CC">
        <w:rPr>
          <w:rFonts w:ascii="Arial Narrow" w:hAnsi="Arial Narrow"/>
          <w:sz w:val="18"/>
          <w:szCs w:val="18"/>
        </w:rPr>
        <w:t>lvitegravir</w:t>
      </w:r>
      <w:proofErr w:type="spellEnd"/>
      <w:r w:rsidRPr="003421CC">
        <w:rPr>
          <w:rFonts w:ascii="Arial Narrow" w:hAnsi="Arial Narrow"/>
          <w:sz w:val="18"/>
          <w:szCs w:val="18"/>
        </w:rPr>
        <w:t xml:space="preserve"> 150mg/ </w:t>
      </w:r>
      <w:proofErr w:type="spellStart"/>
      <w:r w:rsidRPr="003421CC">
        <w:rPr>
          <w:rFonts w:ascii="Arial Narrow" w:hAnsi="Arial Narrow"/>
          <w:sz w:val="18"/>
          <w:szCs w:val="18"/>
        </w:rPr>
        <w:t>cobicistat</w:t>
      </w:r>
      <w:proofErr w:type="spellEnd"/>
      <w:r w:rsidRPr="003421CC">
        <w:rPr>
          <w:rFonts w:ascii="Arial Narrow" w:hAnsi="Arial Narrow"/>
          <w:sz w:val="18"/>
          <w:szCs w:val="18"/>
        </w:rPr>
        <w:t xml:space="preserve"> 150mg/ </w:t>
      </w:r>
      <w:proofErr w:type="spellStart"/>
      <w:r w:rsidRPr="003421CC">
        <w:rPr>
          <w:rFonts w:ascii="Arial Narrow" w:hAnsi="Arial Narrow"/>
          <w:sz w:val="18"/>
          <w:szCs w:val="18"/>
        </w:rPr>
        <w:t>emtricitabine</w:t>
      </w:r>
      <w:proofErr w:type="spellEnd"/>
      <w:r w:rsidRPr="003421CC">
        <w:rPr>
          <w:rFonts w:ascii="Arial Narrow" w:hAnsi="Arial Narrow"/>
          <w:sz w:val="18"/>
          <w:szCs w:val="18"/>
        </w:rPr>
        <w:t xml:space="preserve"> 200mg/ </w:t>
      </w:r>
      <w:proofErr w:type="spellStart"/>
      <w:r w:rsidRPr="003421CC">
        <w:rPr>
          <w:rFonts w:ascii="Arial Narrow" w:hAnsi="Arial Narrow"/>
          <w:sz w:val="18"/>
          <w:szCs w:val="18"/>
        </w:rPr>
        <w:t>tenofovir</w:t>
      </w:r>
      <w:proofErr w:type="spellEnd"/>
      <w:r w:rsidRPr="003421CC">
        <w:rPr>
          <w:rFonts w:ascii="Arial Narrow" w:hAnsi="Arial Narrow"/>
          <w:sz w:val="18"/>
          <w:szCs w:val="18"/>
        </w:rPr>
        <w:t xml:space="preserve"> </w:t>
      </w:r>
      <w:proofErr w:type="spellStart"/>
      <w:r w:rsidRPr="003421CC">
        <w:rPr>
          <w:rFonts w:ascii="Arial Narrow" w:hAnsi="Arial Narrow"/>
          <w:sz w:val="18"/>
          <w:szCs w:val="18"/>
        </w:rPr>
        <w:t>disoproxil</w:t>
      </w:r>
      <w:proofErr w:type="spellEnd"/>
      <w:r w:rsidRPr="003421CC">
        <w:rPr>
          <w:rFonts w:ascii="Arial Narrow" w:hAnsi="Arial Narrow"/>
          <w:sz w:val="18"/>
          <w:szCs w:val="18"/>
        </w:rPr>
        <w:t xml:space="preserve"> </w:t>
      </w:r>
      <w:proofErr w:type="spellStart"/>
      <w:r w:rsidRPr="003421CC">
        <w:rPr>
          <w:rFonts w:ascii="Arial Narrow" w:hAnsi="Arial Narrow"/>
          <w:sz w:val="18"/>
          <w:szCs w:val="18"/>
        </w:rPr>
        <w:t>fumarate</w:t>
      </w:r>
      <w:proofErr w:type="spellEnd"/>
      <w:r w:rsidRPr="003421CC">
        <w:rPr>
          <w:rFonts w:ascii="Arial Narrow" w:hAnsi="Arial Narrow"/>
          <w:sz w:val="18"/>
          <w:szCs w:val="18"/>
        </w:rPr>
        <w:t xml:space="preserve"> 300mg</w:t>
      </w:r>
      <w:r>
        <w:rPr>
          <w:rFonts w:ascii="Arial Narrow" w:hAnsi="Arial Narrow"/>
          <w:sz w:val="18"/>
          <w:szCs w:val="18"/>
        </w:rPr>
        <w:t>.</w:t>
      </w:r>
    </w:p>
    <w:p w:rsidR="007F1017" w:rsidRDefault="007F1017" w:rsidP="007F1017"/>
    <w:p w:rsidR="00B60939" w:rsidRPr="000D7A76" w:rsidRDefault="00B60939" w:rsidP="00495439">
      <w:pPr>
        <w:pStyle w:val="Heading3"/>
      </w:pPr>
      <w:bookmarkStart w:id="7" w:name="_Toc451425482"/>
      <w:r w:rsidRPr="000D7A76">
        <w:t>Comparative effectiveness</w:t>
      </w:r>
      <w:bookmarkEnd w:id="7"/>
    </w:p>
    <w:p w:rsidR="00B60939" w:rsidRPr="00882085" w:rsidRDefault="00B60939" w:rsidP="00B60939">
      <w:pPr>
        <w:rPr>
          <w:szCs w:val="22"/>
        </w:rPr>
      </w:pPr>
    </w:p>
    <w:p w:rsidR="00CF746C" w:rsidRPr="00FD4C76" w:rsidRDefault="00CF746C" w:rsidP="00A9380F">
      <w:pPr>
        <w:pStyle w:val="ListParagraph"/>
        <w:widowControl/>
        <w:numPr>
          <w:ilvl w:val="1"/>
          <w:numId w:val="6"/>
        </w:numPr>
        <w:rPr>
          <w:rStyle w:val="CommentReference"/>
          <w:rFonts w:ascii="Arial" w:hAnsi="Arial"/>
          <w:b w:val="0"/>
          <w:sz w:val="22"/>
          <w:szCs w:val="22"/>
        </w:rPr>
      </w:pPr>
      <w:r>
        <w:rPr>
          <w:rStyle w:val="CommentReference"/>
        </w:rPr>
        <w:t xml:space="preserve">Table </w:t>
      </w:r>
      <w:r w:rsidR="00A9380F">
        <w:rPr>
          <w:rStyle w:val="CommentReference"/>
        </w:rPr>
        <w:t>3</w:t>
      </w:r>
      <w:r>
        <w:rPr>
          <w:rStyle w:val="CommentReference"/>
        </w:rPr>
        <w:t>: Proportion of patients with HIV RNA &lt;50 copies/mL at Week 48 using the FDA snapshot algorithm (full analysis set) in treatment-experienced patients (Study 1089)</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85"/>
        <w:gridCol w:w="1914"/>
        <w:gridCol w:w="1914"/>
        <w:gridCol w:w="2532"/>
      </w:tblGrid>
      <w:tr w:rsidR="00CF746C" w:rsidRPr="004E2ADC" w:rsidTr="00B13402">
        <w:tc>
          <w:tcPr>
            <w:tcW w:w="1189" w:type="pct"/>
            <w:vMerge w:val="restart"/>
            <w:vAlign w:val="center"/>
          </w:tcPr>
          <w:p w:rsidR="00CF746C" w:rsidRPr="004E2ADC" w:rsidRDefault="00CF746C" w:rsidP="009703AA">
            <w:pPr>
              <w:keepNext/>
              <w:jc w:val="left"/>
              <w:rPr>
                <w:rFonts w:ascii="Arial Narrow" w:hAnsi="Arial Narrow"/>
                <w:sz w:val="20"/>
              </w:rPr>
            </w:pPr>
          </w:p>
        </w:tc>
        <w:tc>
          <w:tcPr>
            <w:tcW w:w="2294" w:type="pct"/>
            <w:gridSpan w:val="2"/>
            <w:vAlign w:val="center"/>
          </w:tcPr>
          <w:p w:rsidR="00CF746C" w:rsidRPr="00CA673C" w:rsidRDefault="00CF746C" w:rsidP="009703AA">
            <w:pPr>
              <w:keepNext/>
              <w:jc w:val="center"/>
              <w:rPr>
                <w:rFonts w:ascii="Arial Narrow" w:hAnsi="Arial Narrow"/>
                <w:b/>
                <w:bCs/>
                <w:sz w:val="20"/>
                <w:lang w:val="pt-PT"/>
              </w:rPr>
            </w:pPr>
            <w:r w:rsidRPr="00CA673C">
              <w:rPr>
                <w:rFonts w:ascii="Arial Narrow" w:hAnsi="Arial Narrow"/>
                <w:b/>
                <w:bCs/>
                <w:sz w:val="20"/>
                <w:lang w:val="pt-PT"/>
              </w:rPr>
              <w:t>% with HIV RNA &lt;50 copies/mL; n/N (%)</w:t>
            </w:r>
          </w:p>
        </w:tc>
        <w:tc>
          <w:tcPr>
            <w:tcW w:w="1517" w:type="pct"/>
            <w:vMerge w:val="restart"/>
            <w:vAlign w:val="center"/>
          </w:tcPr>
          <w:p w:rsidR="00CF746C" w:rsidRPr="004E2ADC" w:rsidRDefault="00CF746C" w:rsidP="009703AA">
            <w:pPr>
              <w:keepNext/>
              <w:jc w:val="center"/>
              <w:rPr>
                <w:rFonts w:ascii="Arial Narrow" w:hAnsi="Arial Narrow"/>
                <w:b/>
                <w:sz w:val="20"/>
              </w:rPr>
            </w:pPr>
            <w:r>
              <w:rPr>
                <w:rFonts w:ascii="Arial Narrow" w:hAnsi="Arial Narrow"/>
                <w:b/>
                <w:sz w:val="20"/>
              </w:rPr>
              <w:t>Difference in %</w:t>
            </w:r>
            <w:r w:rsidRPr="004E2ADC">
              <w:rPr>
                <w:rFonts w:ascii="Arial Narrow" w:hAnsi="Arial Narrow"/>
                <w:b/>
                <w:sz w:val="20"/>
              </w:rPr>
              <w:t xml:space="preserve"> (95</w:t>
            </w:r>
            <w:r>
              <w:rPr>
                <w:rFonts w:ascii="Arial Narrow" w:hAnsi="Arial Narrow"/>
                <w:b/>
                <w:sz w:val="20"/>
              </w:rPr>
              <w:t>.002</w:t>
            </w:r>
            <w:r w:rsidRPr="004E2ADC">
              <w:rPr>
                <w:rFonts w:ascii="Arial Narrow" w:hAnsi="Arial Narrow"/>
                <w:b/>
                <w:sz w:val="20"/>
              </w:rPr>
              <w:t>% CI)</w:t>
            </w:r>
            <w:r>
              <w:rPr>
                <w:rFonts w:ascii="Arial Narrow" w:hAnsi="Arial Narrow"/>
                <w:sz w:val="20"/>
                <w:vertAlign w:val="superscript"/>
              </w:rPr>
              <w:t>a</w:t>
            </w:r>
          </w:p>
        </w:tc>
      </w:tr>
      <w:tr w:rsidR="00CF746C" w:rsidRPr="004E2ADC" w:rsidTr="00B13402">
        <w:tc>
          <w:tcPr>
            <w:tcW w:w="1189" w:type="pct"/>
            <w:vMerge/>
            <w:vAlign w:val="center"/>
          </w:tcPr>
          <w:p w:rsidR="00CF746C" w:rsidRPr="004E2ADC" w:rsidRDefault="00CF746C" w:rsidP="009703AA">
            <w:pPr>
              <w:keepNext/>
              <w:jc w:val="left"/>
              <w:rPr>
                <w:rFonts w:ascii="Arial Narrow" w:hAnsi="Arial Narrow"/>
                <w:b/>
                <w:sz w:val="20"/>
              </w:rPr>
            </w:pPr>
          </w:p>
        </w:tc>
        <w:tc>
          <w:tcPr>
            <w:tcW w:w="1147" w:type="pct"/>
            <w:vAlign w:val="center"/>
          </w:tcPr>
          <w:p w:rsidR="00CF746C" w:rsidRPr="00F01A81" w:rsidRDefault="00CF746C" w:rsidP="009703AA">
            <w:pPr>
              <w:keepNext/>
              <w:ind w:right="-108"/>
              <w:jc w:val="center"/>
              <w:rPr>
                <w:rFonts w:ascii="Arial Narrow" w:hAnsi="Arial Narrow"/>
                <w:b/>
                <w:bCs/>
                <w:sz w:val="20"/>
              </w:rPr>
            </w:pPr>
            <w:proofErr w:type="spellStart"/>
            <w:r w:rsidRPr="00F01A81">
              <w:rPr>
                <w:rFonts w:ascii="Arial Narrow" w:hAnsi="Arial Narrow"/>
                <w:b/>
                <w:bCs/>
                <w:sz w:val="20"/>
              </w:rPr>
              <w:t>Descovy</w:t>
            </w:r>
            <w:proofErr w:type="spellEnd"/>
            <w:r w:rsidRPr="00A84A24">
              <w:rPr>
                <w:rFonts w:ascii="Arial Narrow" w:hAnsi="Arial Narrow"/>
                <w:b/>
                <w:bCs/>
                <w:sz w:val="20"/>
                <w:vertAlign w:val="superscript"/>
              </w:rPr>
              <w:t>®</w:t>
            </w:r>
            <w:r>
              <w:rPr>
                <w:rFonts w:ascii="Arial Narrow" w:hAnsi="Arial Narrow"/>
                <w:b/>
                <w:bCs/>
                <w:sz w:val="20"/>
              </w:rPr>
              <w:t xml:space="preserve"> </w:t>
            </w:r>
            <w:r w:rsidRPr="00F01A81">
              <w:rPr>
                <w:rFonts w:ascii="Arial Narrow" w:hAnsi="Arial Narrow"/>
                <w:b/>
                <w:bCs/>
                <w:sz w:val="20"/>
              </w:rPr>
              <w:t>+ 3</w:t>
            </w:r>
            <w:r w:rsidRPr="00F01A81">
              <w:rPr>
                <w:rFonts w:ascii="Arial Narrow" w:hAnsi="Arial Narrow"/>
                <w:b/>
                <w:bCs/>
                <w:sz w:val="20"/>
                <w:vertAlign w:val="superscript"/>
              </w:rPr>
              <w:t>rd</w:t>
            </w:r>
            <w:r w:rsidRPr="00F01A81">
              <w:rPr>
                <w:rFonts w:ascii="Arial Narrow" w:hAnsi="Arial Narrow"/>
                <w:b/>
                <w:bCs/>
                <w:sz w:val="20"/>
              </w:rPr>
              <w:t xml:space="preserve"> agent</w:t>
            </w:r>
          </w:p>
        </w:tc>
        <w:tc>
          <w:tcPr>
            <w:tcW w:w="1147" w:type="pct"/>
            <w:vAlign w:val="center"/>
          </w:tcPr>
          <w:p w:rsidR="00CF746C" w:rsidRPr="00F01A81" w:rsidRDefault="00CF746C" w:rsidP="009703AA">
            <w:pPr>
              <w:keepNext/>
              <w:jc w:val="center"/>
              <w:rPr>
                <w:rFonts w:ascii="Arial Narrow" w:hAnsi="Arial Narrow"/>
                <w:b/>
                <w:bCs/>
                <w:sz w:val="20"/>
              </w:rPr>
            </w:pPr>
            <w:proofErr w:type="spellStart"/>
            <w:r w:rsidRPr="00F01A81">
              <w:rPr>
                <w:rFonts w:ascii="Arial Narrow" w:hAnsi="Arial Narrow"/>
                <w:b/>
                <w:bCs/>
                <w:sz w:val="20"/>
              </w:rPr>
              <w:t>Truvada</w:t>
            </w:r>
            <w:proofErr w:type="spellEnd"/>
            <w:r w:rsidRPr="00A84A24">
              <w:rPr>
                <w:rFonts w:ascii="Arial Narrow" w:hAnsi="Arial Narrow"/>
                <w:b/>
                <w:bCs/>
                <w:sz w:val="20"/>
                <w:vertAlign w:val="superscript"/>
              </w:rPr>
              <w:t>®</w:t>
            </w:r>
            <w:r w:rsidRPr="00F01A81">
              <w:rPr>
                <w:rFonts w:ascii="Arial Narrow" w:hAnsi="Arial Narrow"/>
                <w:b/>
                <w:bCs/>
                <w:sz w:val="20"/>
              </w:rPr>
              <w:t xml:space="preserve"> + 3</w:t>
            </w:r>
            <w:r w:rsidRPr="00F01A81">
              <w:rPr>
                <w:rFonts w:ascii="Arial Narrow" w:hAnsi="Arial Narrow"/>
                <w:b/>
                <w:bCs/>
                <w:sz w:val="20"/>
                <w:vertAlign w:val="superscript"/>
              </w:rPr>
              <w:t>rd</w:t>
            </w:r>
            <w:r w:rsidRPr="00F01A81">
              <w:rPr>
                <w:rFonts w:ascii="Arial Narrow" w:hAnsi="Arial Narrow"/>
                <w:b/>
                <w:bCs/>
                <w:sz w:val="20"/>
              </w:rPr>
              <w:t xml:space="preserve"> agent</w:t>
            </w:r>
          </w:p>
        </w:tc>
        <w:tc>
          <w:tcPr>
            <w:tcW w:w="1517" w:type="pct"/>
            <w:vMerge/>
            <w:vAlign w:val="center"/>
          </w:tcPr>
          <w:p w:rsidR="00CF746C" w:rsidRDefault="00CF746C" w:rsidP="009703AA">
            <w:pPr>
              <w:keepNext/>
              <w:jc w:val="center"/>
              <w:rPr>
                <w:rFonts w:ascii="Arial Narrow" w:hAnsi="Arial Narrow"/>
                <w:b/>
                <w:sz w:val="20"/>
              </w:rPr>
            </w:pPr>
          </w:p>
        </w:tc>
      </w:tr>
      <w:tr w:rsidR="00CF746C" w:rsidRPr="004E2ADC" w:rsidTr="00B13402">
        <w:tc>
          <w:tcPr>
            <w:tcW w:w="1189" w:type="pct"/>
            <w:vAlign w:val="center"/>
          </w:tcPr>
          <w:p w:rsidR="00CF746C" w:rsidRPr="00B62906" w:rsidRDefault="00CF746C" w:rsidP="009703AA">
            <w:pPr>
              <w:keepNext/>
              <w:jc w:val="left"/>
              <w:rPr>
                <w:rFonts w:ascii="Arial Narrow" w:hAnsi="Arial Narrow"/>
                <w:sz w:val="20"/>
              </w:rPr>
            </w:pPr>
            <w:r w:rsidRPr="00B62906">
              <w:rPr>
                <w:rFonts w:ascii="Arial Narrow" w:hAnsi="Arial Narrow"/>
                <w:sz w:val="20"/>
              </w:rPr>
              <w:t>Overall population</w:t>
            </w:r>
          </w:p>
        </w:tc>
        <w:tc>
          <w:tcPr>
            <w:tcW w:w="1147" w:type="pct"/>
            <w:vAlign w:val="center"/>
          </w:tcPr>
          <w:p w:rsidR="00CF746C" w:rsidRPr="004E2ADC" w:rsidRDefault="00CF746C" w:rsidP="009703AA">
            <w:pPr>
              <w:keepNext/>
              <w:jc w:val="center"/>
              <w:rPr>
                <w:rFonts w:ascii="Arial Narrow" w:hAnsi="Arial Narrow"/>
                <w:sz w:val="20"/>
              </w:rPr>
            </w:pPr>
            <w:r>
              <w:rPr>
                <w:rFonts w:ascii="Arial Narrow" w:hAnsi="Arial Narrow"/>
                <w:sz w:val="20"/>
              </w:rPr>
              <w:t>314/333 (94.3)</w:t>
            </w:r>
          </w:p>
        </w:tc>
        <w:tc>
          <w:tcPr>
            <w:tcW w:w="1147" w:type="pct"/>
            <w:vAlign w:val="center"/>
          </w:tcPr>
          <w:p w:rsidR="00CF746C" w:rsidRPr="004E2ADC" w:rsidRDefault="00CF746C" w:rsidP="009703AA">
            <w:pPr>
              <w:keepNext/>
              <w:jc w:val="center"/>
              <w:rPr>
                <w:rFonts w:ascii="Arial Narrow" w:hAnsi="Arial Narrow"/>
                <w:sz w:val="20"/>
              </w:rPr>
            </w:pPr>
            <w:r>
              <w:rPr>
                <w:rFonts w:ascii="Arial Narrow" w:hAnsi="Arial Narrow"/>
                <w:sz w:val="20"/>
              </w:rPr>
              <w:t>307/330 (93.0)</w:t>
            </w:r>
          </w:p>
        </w:tc>
        <w:tc>
          <w:tcPr>
            <w:tcW w:w="1517" w:type="pct"/>
            <w:vAlign w:val="center"/>
          </w:tcPr>
          <w:p w:rsidR="00CF746C" w:rsidRPr="00365C09" w:rsidRDefault="00CF746C" w:rsidP="009703AA">
            <w:pPr>
              <w:keepNext/>
              <w:jc w:val="center"/>
              <w:rPr>
                <w:rFonts w:ascii="Arial Narrow" w:hAnsi="Arial Narrow"/>
                <w:sz w:val="20"/>
                <w:vertAlign w:val="superscript"/>
              </w:rPr>
            </w:pPr>
            <w:r>
              <w:rPr>
                <w:rFonts w:ascii="Arial Narrow" w:hAnsi="Arial Narrow"/>
                <w:sz w:val="20"/>
              </w:rPr>
              <w:t>1.3 (-2.5, 5.1)</w:t>
            </w:r>
          </w:p>
        </w:tc>
      </w:tr>
      <w:tr w:rsidR="00CF746C" w:rsidRPr="004E2ADC" w:rsidTr="00B13402">
        <w:tc>
          <w:tcPr>
            <w:tcW w:w="1189" w:type="pct"/>
            <w:vAlign w:val="center"/>
          </w:tcPr>
          <w:p w:rsidR="00CF746C" w:rsidRPr="00B62906" w:rsidRDefault="00CF746C" w:rsidP="009703AA">
            <w:pPr>
              <w:keepNext/>
              <w:jc w:val="left"/>
              <w:rPr>
                <w:rFonts w:ascii="Arial Narrow" w:hAnsi="Arial Narrow"/>
                <w:sz w:val="20"/>
              </w:rPr>
            </w:pPr>
            <w:r w:rsidRPr="00B62906">
              <w:rPr>
                <w:rFonts w:ascii="Arial Narrow" w:hAnsi="Arial Narrow"/>
                <w:i/>
                <w:iCs/>
                <w:sz w:val="20"/>
              </w:rPr>
              <w:t xml:space="preserve">Ad hoc </w:t>
            </w:r>
            <w:r w:rsidRPr="00B62906">
              <w:rPr>
                <w:rFonts w:ascii="Arial Narrow" w:hAnsi="Arial Narrow"/>
                <w:sz w:val="20"/>
              </w:rPr>
              <w:t xml:space="preserve">subgroup analysis </w:t>
            </w:r>
          </w:p>
        </w:tc>
        <w:tc>
          <w:tcPr>
            <w:tcW w:w="1147" w:type="pct"/>
            <w:vAlign w:val="center"/>
          </w:tcPr>
          <w:p w:rsidR="00CF746C" w:rsidRDefault="00CF746C" w:rsidP="009703AA">
            <w:pPr>
              <w:keepNext/>
              <w:jc w:val="center"/>
              <w:rPr>
                <w:rFonts w:ascii="Arial Narrow" w:hAnsi="Arial Narrow"/>
                <w:sz w:val="20"/>
              </w:rPr>
            </w:pPr>
          </w:p>
        </w:tc>
        <w:tc>
          <w:tcPr>
            <w:tcW w:w="1147" w:type="pct"/>
            <w:vAlign w:val="center"/>
          </w:tcPr>
          <w:p w:rsidR="00CF746C" w:rsidRDefault="00CF746C" w:rsidP="009703AA">
            <w:pPr>
              <w:keepNext/>
              <w:jc w:val="center"/>
              <w:rPr>
                <w:rFonts w:ascii="Arial Narrow" w:hAnsi="Arial Narrow"/>
                <w:sz w:val="20"/>
              </w:rPr>
            </w:pPr>
          </w:p>
        </w:tc>
        <w:tc>
          <w:tcPr>
            <w:tcW w:w="1517" w:type="pct"/>
            <w:tcBorders>
              <w:bottom w:val="nil"/>
            </w:tcBorders>
            <w:vAlign w:val="center"/>
          </w:tcPr>
          <w:p w:rsidR="00CF746C" w:rsidRPr="00267783" w:rsidRDefault="00CF746C" w:rsidP="009703AA">
            <w:pPr>
              <w:keepNext/>
              <w:jc w:val="center"/>
              <w:rPr>
                <w:rFonts w:ascii="Arial Narrow" w:hAnsi="Arial Narrow"/>
                <w:b/>
                <w:bCs/>
                <w:sz w:val="20"/>
                <w:vertAlign w:val="superscript"/>
              </w:rPr>
            </w:pPr>
            <w:r>
              <w:rPr>
                <w:rFonts w:ascii="Arial Narrow" w:hAnsi="Arial Narrow"/>
                <w:b/>
                <w:sz w:val="20"/>
              </w:rPr>
              <w:t>Difference in %</w:t>
            </w:r>
            <w:r w:rsidRPr="004E2ADC">
              <w:rPr>
                <w:rFonts w:ascii="Arial Narrow" w:hAnsi="Arial Narrow"/>
                <w:b/>
                <w:sz w:val="20"/>
              </w:rPr>
              <w:t xml:space="preserve"> (95% CI)</w:t>
            </w:r>
            <w:r>
              <w:rPr>
                <w:rFonts w:ascii="Arial Narrow" w:hAnsi="Arial Narrow"/>
                <w:b/>
                <w:sz w:val="20"/>
                <w:vertAlign w:val="superscript"/>
              </w:rPr>
              <w:t>b</w:t>
            </w:r>
          </w:p>
        </w:tc>
      </w:tr>
      <w:tr w:rsidR="00CF746C" w:rsidRPr="004E2ADC" w:rsidTr="00B13402">
        <w:tc>
          <w:tcPr>
            <w:tcW w:w="1189" w:type="pct"/>
            <w:vAlign w:val="center"/>
          </w:tcPr>
          <w:p w:rsidR="00CF746C" w:rsidRPr="00B675FF" w:rsidRDefault="00CF746C" w:rsidP="009703AA">
            <w:pPr>
              <w:keepNext/>
              <w:ind w:left="284"/>
              <w:jc w:val="left"/>
              <w:rPr>
                <w:rFonts w:ascii="Arial Narrow" w:hAnsi="Arial Narrow"/>
                <w:i/>
                <w:iCs/>
                <w:sz w:val="20"/>
              </w:rPr>
            </w:pPr>
            <w:proofErr w:type="spellStart"/>
            <w:r>
              <w:rPr>
                <w:rFonts w:ascii="Arial Narrow" w:hAnsi="Arial Narrow"/>
                <w:sz w:val="20"/>
              </w:rPr>
              <w:t>Rilpivirine</w:t>
            </w:r>
            <w:proofErr w:type="spellEnd"/>
            <w:r>
              <w:rPr>
                <w:rFonts w:ascii="Arial Narrow" w:hAnsi="Arial Narrow"/>
                <w:sz w:val="20"/>
              </w:rPr>
              <w:t xml:space="preserve"> </w:t>
            </w:r>
          </w:p>
        </w:tc>
        <w:tc>
          <w:tcPr>
            <w:tcW w:w="1147" w:type="pct"/>
            <w:vAlign w:val="center"/>
          </w:tcPr>
          <w:p w:rsidR="00CF746C" w:rsidRDefault="00CF746C" w:rsidP="009703AA">
            <w:pPr>
              <w:keepNext/>
              <w:jc w:val="center"/>
              <w:rPr>
                <w:rFonts w:ascii="Arial Narrow" w:hAnsi="Arial Narrow"/>
                <w:sz w:val="20"/>
              </w:rPr>
            </w:pPr>
            <w:r>
              <w:rPr>
                <w:rFonts w:ascii="Arial Narrow" w:hAnsi="Arial Narrow"/>
                <w:sz w:val="20"/>
              </w:rPr>
              <w:t>3/3 (100)</w:t>
            </w:r>
          </w:p>
        </w:tc>
        <w:tc>
          <w:tcPr>
            <w:tcW w:w="1147" w:type="pct"/>
            <w:vAlign w:val="center"/>
          </w:tcPr>
          <w:p w:rsidR="00CF746C" w:rsidRDefault="00CF746C" w:rsidP="009703AA">
            <w:pPr>
              <w:keepNext/>
              <w:jc w:val="center"/>
              <w:rPr>
                <w:rFonts w:ascii="Arial Narrow" w:hAnsi="Arial Narrow"/>
                <w:sz w:val="20"/>
              </w:rPr>
            </w:pPr>
            <w:r>
              <w:rPr>
                <w:rFonts w:ascii="Arial Narrow" w:hAnsi="Arial Narrow"/>
                <w:sz w:val="20"/>
              </w:rPr>
              <w:t>5/6 (83.3)</w:t>
            </w:r>
          </w:p>
        </w:tc>
        <w:tc>
          <w:tcPr>
            <w:tcW w:w="1517" w:type="pct"/>
            <w:vAlign w:val="center"/>
          </w:tcPr>
          <w:p w:rsidR="00CF746C" w:rsidRDefault="00CF746C" w:rsidP="009703AA">
            <w:pPr>
              <w:keepNext/>
              <w:jc w:val="center"/>
              <w:rPr>
                <w:rFonts w:ascii="Arial Narrow" w:hAnsi="Arial Narrow"/>
                <w:sz w:val="20"/>
              </w:rPr>
            </w:pPr>
            <w:r>
              <w:rPr>
                <w:rFonts w:ascii="Arial Narrow" w:hAnsi="Arial Narrow"/>
                <w:sz w:val="20"/>
              </w:rPr>
              <w:t>16.7 (-13.2, 46.5)</w:t>
            </w:r>
          </w:p>
        </w:tc>
      </w:tr>
      <w:tr w:rsidR="00CF746C" w:rsidRPr="004E2ADC" w:rsidTr="00B13402">
        <w:tc>
          <w:tcPr>
            <w:tcW w:w="1189" w:type="pct"/>
            <w:vAlign w:val="center"/>
          </w:tcPr>
          <w:p w:rsidR="00CF746C" w:rsidRDefault="00CF746C" w:rsidP="009703AA">
            <w:pPr>
              <w:keepNext/>
              <w:ind w:left="284"/>
              <w:jc w:val="left"/>
              <w:rPr>
                <w:rFonts w:ascii="Arial Narrow" w:hAnsi="Arial Narrow"/>
                <w:sz w:val="20"/>
              </w:rPr>
            </w:pPr>
            <w:proofErr w:type="spellStart"/>
            <w:r>
              <w:rPr>
                <w:rFonts w:ascii="Arial Narrow" w:hAnsi="Arial Narrow"/>
                <w:sz w:val="20"/>
              </w:rPr>
              <w:t>Efavirenz</w:t>
            </w:r>
            <w:proofErr w:type="spellEnd"/>
            <w:r>
              <w:rPr>
                <w:rFonts w:ascii="Arial Narrow" w:hAnsi="Arial Narrow"/>
                <w:sz w:val="20"/>
              </w:rPr>
              <w:t xml:space="preserve"> </w:t>
            </w:r>
          </w:p>
        </w:tc>
        <w:tc>
          <w:tcPr>
            <w:tcW w:w="1147" w:type="pct"/>
            <w:vAlign w:val="center"/>
          </w:tcPr>
          <w:p w:rsidR="00CF746C" w:rsidRDefault="00CF746C" w:rsidP="009703AA">
            <w:pPr>
              <w:keepNext/>
              <w:jc w:val="center"/>
              <w:rPr>
                <w:rFonts w:ascii="Arial Narrow" w:hAnsi="Arial Narrow"/>
                <w:sz w:val="20"/>
              </w:rPr>
            </w:pPr>
            <w:r>
              <w:rPr>
                <w:rFonts w:ascii="Arial Narrow" w:hAnsi="Arial Narrow"/>
                <w:sz w:val="20"/>
              </w:rPr>
              <w:t>8/8 (100)</w:t>
            </w:r>
          </w:p>
        </w:tc>
        <w:tc>
          <w:tcPr>
            <w:tcW w:w="1147" w:type="pct"/>
            <w:vAlign w:val="center"/>
          </w:tcPr>
          <w:p w:rsidR="00CF746C" w:rsidRDefault="00CF746C" w:rsidP="009703AA">
            <w:pPr>
              <w:keepNext/>
              <w:jc w:val="center"/>
              <w:rPr>
                <w:rFonts w:ascii="Arial Narrow" w:hAnsi="Arial Narrow"/>
                <w:sz w:val="20"/>
              </w:rPr>
            </w:pPr>
            <w:r>
              <w:rPr>
                <w:rFonts w:ascii="Arial Narrow" w:hAnsi="Arial Narrow"/>
                <w:sz w:val="20"/>
              </w:rPr>
              <w:t>5/6 (83.3)</w:t>
            </w:r>
          </w:p>
        </w:tc>
        <w:tc>
          <w:tcPr>
            <w:tcW w:w="1517" w:type="pct"/>
            <w:vAlign w:val="center"/>
          </w:tcPr>
          <w:p w:rsidR="00CF746C" w:rsidRDefault="00CF746C" w:rsidP="009703AA">
            <w:pPr>
              <w:keepNext/>
              <w:jc w:val="center"/>
              <w:rPr>
                <w:rFonts w:ascii="Arial Narrow" w:hAnsi="Arial Narrow"/>
                <w:sz w:val="20"/>
              </w:rPr>
            </w:pPr>
            <w:r>
              <w:rPr>
                <w:rFonts w:ascii="Arial Narrow" w:hAnsi="Arial Narrow"/>
                <w:sz w:val="20"/>
              </w:rPr>
              <w:t>16.7 (-13.2, 46.5)</w:t>
            </w:r>
          </w:p>
        </w:tc>
      </w:tr>
      <w:tr w:rsidR="00CF746C" w:rsidRPr="004E2ADC" w:rsidTr="00B13402">
        <w:tc>
          <w:tcPr>
            <w:tcW w:w="1189" w:type="pct"/>
            <w:vAlign w:val="center"/>
          </w:tcPr>
          <w:p w:rsidR="00CF746C" w:rsidRDefault="00CF746C" w:rsidP="009703AA">
            <w:pPr>
              <w:keepNext/>
              <w:ind w:left="284"/>
              <w:jc w:val="left"/>
              <w:rPr>
                <w:rFonts w:ascii="Arial Narrow" w:hAnsi="Arial Narrow"/>
                <w:sz w:val="20"/>
              </w:rPr>
            </w:pPr>
            <w:proofErr w:type="spellStart"/>
            <w:r>
              <w:rPr>
                <w:rFonts w:ascii="Arial Narrow" w:hAnsi="Arial Narrow"/>
                <w:sz w:val="20"/>
              </w:rPr>
              <w:t>Nevirapine</w:t>
            </w:r>
            <w:proofErr w:type="spellEnd"/>
            <w:r>
              <w:rPr>
                <w:rFonts w:ascii="Arial Narrow" w:hAnsi="Arial Narrow"/>
                <w:sz w:val="20"/>
              </w:rPr>
              <w:t xml:space="preserve"> </w:t>
            </w:r>
          </w:p>
        </w:tc>
        <w:tc>
          <w:tcPr>
            <w:tcW w:w="1147" w:type="pct"/>
            <w:vAlign w:val="center"/>
          </w:tcPr>
          <w:p w:rsidR="00CF746C" w:rsidRDefault="00CF746C" w:rsidP="009703AA">
            <w:pPr>
              <w:keepNext/>
              <w:jc w:val="center"/>
              <w:rPr>
                <w:rFonts w:ascii="Arial Narrow" w:hAnsi="Arial Narrow"/>
                <w:sz w:val="20"/>
              </w:rPr>
            </w:pPr>
            <w:r>
              <w:rPr>
                <w:rFonts w:ascii="Arial Narrow" w:hAnsi="Arial Narrow"/>
                <w:sz w:val="20"/>
              </w:rPr>
              <w:t>72/74 (97.3)</w:t>
            </w:r>
          </w:p>
        </w:tc>
        <w:tc>
          <w:tcPr>
            <w:tcW w:w="1147" w:type="pct"/>
            <w:vAlign w:val="center"/>
          </w:tcPr>
          <w:p w:rsidR="00CF746C" w:rsidRDefault="00CF746C" w:rsidP="009703AA">
            <w:pPr>
              <w:keepNext/>
              <w:jc w:val="center"/>
              <w:rPr>
                <w:rFonts w:ascii="Arial Narrow" w:hAnsi="Arial Narrow"/>
                <w:sz w:val="20"/>
              </w:rPr>
            </w:pPr>
            <w:r>
              <w:rPr>
                <w:rFonts w:ascii="Arial Narrow" w:hAnsi="Arial Narrow"/>
                <w:sz w:val="20"/>
              </w:rPr>
              <w:t>65/66 (98.5)</w:t>
            </w:r>
          </w:p>
        </w:tc>
        <w:tc>
          <w:tcPr>
            <w:tcW w:w="1517" w:type="pct"/>
            <w:vAlign w:val="center"/>
          </w:tcPr>
          <w:p w:rsidR="00CF746C" w:rsidRDefault="00CF746C" w:rsidP="009703AA">
            <w:pPr>
              <w:keepNext/>
              <w:jc w:val="center"/>
              <w:rPr>
                <w:rFonts w:ascii="Arial Narrow" w:hAnsi="Arial Narrow"/>
                <w:sz w:val="20"/>
              </w:rPr>
            </w:pPr>
            <w:r>
              <w:rPr>
                <w:rFonts w:ascii="Arial Narrow" w:hAnsi="Arial Narrow"/>
                <w:sz w:val="20"/>
              </w:rPr>
              <w:t>-1.2 (-5.9, 3.5)</w:t>
            </w:r>
          </w:p>
        </w:tc>
      </w:tr>
    </w:tbl>
    <w:p w:rsidR="00CF746C" w:rsidRDefault="00CF746C" w:rsidP="00CF746C">
      <w:pPr>
        <w:pStyle w:val="TableFooter"/>
        <w:ind w:firstLine="720"/>
      </w:pPr>
      <w:r w:rsidRPr="00D13A3E">
        <w:t>Source: Table</w:t>
      </w:r>
      <w:r>
        <w:t xml:space="preserve">s B-20, p64 and B-27, p70 </w:t>
      </w:r>
      <w:r w:rsidRPr="00D13A3E">
        <w:t>of the submission</w:t>
      </w:r>
      <w:r>
        <w:t xml:space="preserve">; </w:t>
      </w:r>
      <w:r w:rsidRPr="008B1835">
        <w:rPr>
          <w:i/>
          <w:iCs/>
        </w:rPr>
        <w:t>Study 1089 CSR req7544 Table 1.5, 1.7 and 1.9</w:t>
      </w:r>
    </w:p>
    <w:p w:rsidR="00CF746C" w:rsidRDefault="00CF746C" w:rsidP="00CF746C">
      <w:pPr>
        <w:pStyle w:val="TableFooter"/>
        <w:ind w:firstLine="720"/>
      </w:pPr>
      <w:r>
        <w:t xml:space="preserve">Abbreviations: HIV = human immunodeficiency virus; RD = risk difference; RNA = </w:t>
      </w:r>
      <w:r w:rsidRPr="00F5143E">
        <w:t>ribonucleic acid</w:t>
      </w:r>
    </w:p>
    <w:p w:rsidR="00CF746C" w:rsidRDefault="00CF746C" w:rsidP="000911F2">
      <w:pPr>
        <w:pStyle w:val="TableFooter"/>
        <w:tabs>
          <w:tab w:val="left" w:pos="900"/>
        </w:tabs>
        <w:ind w:left="900" w:hanging="180"/>
      </w:pPr>
      <w:r>
        <w:rPr>
          <w:vertAlign w:val="superscript"/>
        </w:rPr>
        <w:t>a</w:t>
      </w:r>
      <w:r w:rsidR="000911F2">
        <w:tab/>
      </w:r>
      <w:r>
        <w:t xml:space="preserve">Difference in percentages of </w:t>
      </w:r>
      <w:proofErr w:type="spellStart"/>
      <w:r>
        <w:t>virologic</w:t>
      </w:r>
      <w:proofErr w:type="spellEnd"/>
      <w:r>
        <w:t xml:space="preserve"> success between treatment groups and its 95.002% CI were calculated based on the </w:t>
      </w:r>
      <w:r w:rsidRPr="009335E6">
        <w:t>Mantel-</w:t>
      </w:r>
      <w:proofErr w:type="spellStart"/>
      <w:r w:rsidRPr="009335E6">
        <w:t>Haenszel</w:t>
      </w:r>
      <w:proofErr w:type="spellEnd"/>
      <w:r w:rsidRPr="009335E6">
        <w:t xml:space="preserve"> </w:t>
      </w:r>
      <w:r>
        <w:t xml:space="preserve">proportions adjusted by the third agent stratum. </w:t>
      </w:r>
    </w:p>
    <w:p w:rsidR="00CF746C" w:rsidRPr="00267783" w:rsidRDefault="00CF746C" w:rsidP="000911F2">
      <w:pPr>
        <w:pStyle w:val="TableFooter"/>
        <w:tabs>
          <w:tab w:val="left" w:pos="900"/>
        </w:tabs>
        <w:ind w:left="900" w:hanging="180"/>
      </w:pPr>
      <w:proofErr w:type="gramStart"/>
      <w:r>
        <w:rPr>
          <w:vertAlign w:val="superscript"/>
        </w:rPr>
        <w:t>b</w:t>
      </w:r>
      <w:proofErr w:type="gramEnd"/>
      <w:r w:rsidR="000911F2">
        <w:tab/>
      </w:r>
      <w:r w:rsidRPr="00267783">
        <w:t xml:space="preserve">Difference in percentages of </w:t>
      </w:r>
      <w:proofErr w:type="spellStart"/>
      <w:r w:rsidRPr="00267783">
        <w:t>virologic</w:t>
      </w:r>
      <w:proofErr w:type="spellEnd"/>
      <w:r w:rsidRPr="00267783">
        <w:t xml:space="preserve"> success between treatment groups and its 95% CI were calculated based on the normal approximation.</w:t>
      </w:r>
    </w:p>
    <w:p w:rsidR="00CF746C" w:rsidRDefault="00CF746C" w:rsidP="00CF746C">
      <w:pPr>
        <w:pStyle w:val="TableFooter"/>
        <w:ind w:left="720"/>
      </w:pPr>
      <w:r>
        <w:t xml:space="preserve">Note: </w:t>
      </w:r>
      <w:proofErr w:type="spellStart"/>
      <w:r w:rsidRPr="00FA2F6C">
        <w:rPr>
          <w:szCs w:val="18"/>
        </w:rPr>
        <w:t>Descovy</w:t>
      </w:r>
      <w:proofErr w:type="spellEnd"/>
      <w:r w:rsidRPr="00FA2F6C">
        <w:rPr>
          <w:szCs w:val="18"/>
          <w:vertAlign w:val="superscript"/>
        </w:rPr>
        <w:t>®</w:t>
      </w:r>
      <w:r w:rsidRPr="00FA2F6C">
        <w:rPr>
          <w:szCs w:val="18"/>
        </w:rPr>
        <w:t xml:space="preserve"> </w:t>
      </w:r>
      <w:r>
        <w:rPr>
          <w:szCs w:val="18"/>
        </w:rPr>
        <w:t xml:space="preserve">contains </w:t>
      </w:r>
      <w:proofErr w:type="spellStart"/>
      <w:r>
        <w:rPr>
          <w:szCs w:val="18"/>
        </w:rPr>
        <w:t>e</w:t>
      </w:r>
      <w:r w:rsidRPr="00FA2F6C">
        <w:rPr>
          <w:szCs w:val="18"/>
        </w:rPr>
        <w:t>mtricitabine</w:t>
      </w:r>
      <w:proofErr w:type="spellEnd"/>
      <w:r w:rsidRPr="00FA2F6C">
        <w:rPr>
          <w:szCs w:val="18"/>
        </w:rPr>
        <w:t xml:space="preserve"> 200mg/ </w:t>
      </w:r>
      <w:proofErr w:type="spellStart"/>
      <w:r w:rsidRPr="00FA2F6C">
        <w:rPr>
          <w:szCs w:val="18"/>
        </w:rPr>
        <w:t>tenofovir</w:t>
      </w:r>
      <w:proofErr w:type="spellEnd"/>
      <w:r w:rsidRPr="00FA2F6C">
        <w:rPr>
          <w:szCs w:val="18"/>
        </w:rPr>
        <w:t xml:space="preserve"> </w:t>
      </w:r>
      <w:proofErr w:type="spellStart"/>
      <w:r w:rsidRPr="00FA2F6C">
        <w:rPr>
          <w:szCs w:val="18"/>
        </w:rPr>
        <w:t>alafenamide</w:t>
      </w:r>
      <w:proofErr w:type="spellEnd"/>
      <w:r w:rsidRPr="00FA2F6C">
        <w:rPr>
          <w:szCs w:val="18"/>
        </w:rPr>
        <w:t xml:space="preserve"> 25mg or 10mg</w:t>
      </w:r>
      <w:r>
        <w:rPr>
          <w:szCs w:val="18"/>
        </w:rPr>
        <w:t xml:space="preserve">. </w:t>
      </w:r>
      <w:proofErr w:type="spellStart"/>
      <w:r w:rsidRPr="00FA2F6C">
        <w:rPr>
          <w:szCs w:val="18"/>
        </w:rPr>
        <w:t>Truvada</w:t>
      </w:r>
      <w:proofErr w:type="spellEnd"/>
      <w:r w:rsidRPr="00FA2F6C">
        <w:rPr>
          <w:szCs w:val="18"/>
          <w:vertAlign w:val="superscript"/>
        </w:rPr>
        <w:t>®</w:t>
      </w:r>
      <w:r>
        <w:rPr>
          <w:szCs w:val="18"/>
        </w:rPr>
        <w:t xml:space="preserve"> contains </w:t>
      </w:r>
      <w:proofErr w:type="spellStart"/>
      <w:r w:rsidRPr="003421CC">
        <w:rPr>
          <w:szCs w:val="18"/>
        </w:rPr>
        <w:t>emtricitabine</w:t>
      </w:r>
      <w:proofErr w:type="spellEnd"/>
      <w:r w:rsidRPr="003421CC">
        <w:rPr>
          <w:szCs w:val="18"/>
        </w:rPr>
        <w:t xml:space="preserve"> 200mg/ </w:t>
      </w:r>
      <w:proofErr w:type="spellStart"/>
      <w:r w:rsidRPr="003421CC">
        <w:rPr>
          <w:szCs w:val="18"/>
        </w:rPr>
        <w:t>tenofovir</w:t>
      </w:r>
      <w:proofErr w:type="spellEnd"/>
      <w:r w:rsidRPr="003421CC">
        <w:rPr>
          <w:szCs w:val="18"/>
        </w:rPr>
        <w:t xml:space="preserve"> </w:t>
      </w:r>
      <w:proofErr w:type="spellStart"/>
      <w:r w:rsidRPr="003421CC">
        <w:rPr>
          <w:szCs w:val="18"/>
        </w:rPr>
        <w:t>disoproxil</w:t>
      </w:r>
      <w:proofErr w:type="spellEnd"/>
      <w:r w:rsidRPr="003421CC">
        <w:rPr>
          <w:szCs w:val="18"/>
        </w:rPr>
        <w:t xml:space="preserve"> </w:t>
      </w:r>
      <w:proofErr w:type="spellStart"/>
      <w:r w:rsidRPr="003421CC">
        <w:rPr>
          <w:szCs w:val="18"/>
        </w:rPr>
        <w:t>fumarate</w:t>
      </w:r>
      <w:proofErr w:type="spellEnd"/>
      <w:r w:rsidRPr="003421CC">
        <w:rPr>
          <w:szCs w:val="18"/>
        </w:rPr>
        <w:t xml:space="preserve"> 300mg</w:t>
      </w:r>
      <w:r>
        <w:rPr>
          <w:szCs w:val="18"/>
        </w:rPr>
        <w:t xml:space="preserve">. </w:t>
      </w:r>
      <w:r>
        <w:t>N</w:t>
      </w:r>
      <w:r w:rsidRPr="0090643D">
        <w:t xml:space="preserve">o </w:t>
      </w:r>
      <w:proofErr w:type="spellStart"/>
      <w:r w:rsidRPr="0090643D">
        <w:t>virologic</w:t>
      </w:r>
      <w:proofErr w:type="spellEnd"/>
      <w:r w:rsidRPr="0090643D">
        <w:t xml:space="preserve"> data in Week 48 window for 2 subjects (2.7%) in the </w:t>
      </w:r>
      <w:proofErr w:type="spellStart"/>
      <w:r w:rsidRPr="00233874">
        <w:t>Descovy</w:t>
      </w:r>
      <w:proofErr w:type="spellEnd"/>
      <w:r w:rsidRPr="00233874">
        <w:rPr>
          <w:vertAlign w:val="superscript"/>
        </w:rPr>
        <w:t>®</w:t>
      </w:r>
      <w:r>
        <w:rPr>
          <w:vertAlign w:val="superscript"/>
        </w:rPr>
        <w:t xml:space="preserve"> </w:t>
      </w:r>
      <w:r w:rsidRPr="0090643D">
        <w:t>+</w:t>
      </w:r>
      <w:r w:rsidRPr="00233874">
        <w:t xml:space="preserve"> </w:t>
      </w:r>
      <w:proofErr w:type="spellStart"/>
      <w:r>
        <w:t>n</w:t>
      </w:r>
      <w:r w:rsidRPr="00233874">
        <w:t>evirapine</w:t>
      </w:r>
      <w:proofErr w:type="spellEnd"/>
      <w:r w:rsidRPr="0090643D">
        <w:t xml:space="preserve"> </w:t>
      </w:r>
      <w:r>
        <w:t>arm (</w:t>
      </w:r>
      <w:r>
        <w:rPr>
          <w:i/>
          <w:iCs/>
        </w:rPr>
        <w:t>discontinued due to AE/death and discontinued due other reasons)</w:t>
      </w:r>
      <w:r w:rsidRPr="0090643D">
        <w:t xml:space="preserve"> and 1 subject (1.5%) in the </w:t>
      </w:r>
      <w:proofErr w:type="spellStart"/>
      <w:r w:rsidRPr="0090643D">
        <w:t>Truvada</w:t>
      </w:r>
      <w:proofErr w:type="spellEnd"/>
      <w:r w:rsidRPr="00DA4CB4">
        <w:rPr>
          <w:vertAlign w:val="superscript"/>
        </w:rPr>
        <w:t>®</w:t>
      </w:r>
      <w:r>
        <w:t xml:space="preserve"> </w:t>
      </w:r>
      <w:r w:rsidRPr="0090643D">
        <w:t>+</w:t>
      </w:r>
      <w:r>
        <w:t xml:space="preserve"> </w:t>
      </w:r>
      <w:proofErr w:type="spellStart"/>
      <w:r>
        <w:t>n</w:t>
      </w:r>
      <w:r w:rsidRPr="001155CE">
        <w:t>evirapine</w:t>
      </w:r>
      <w:proofErr w:type="spellEnd"/>
      <w:r w:rsidRPr="001155CE">
        <w:t xml:space="preserve"> </w:t>
      </w:r>
      <w:r>
        <w:t>arm (</w:t>
      </w:r>
      <w:r>
        <w:rPr>
          <w:i/>
          <w:iCs/>
        </w:rPr>
        <w:t>discontinued due to other reasons)</w:t>
      </w:r>
      <w:r w:rsidRPr="0090643D">
        <w:t>.</w:t>
      </w:r>
      <w:r>
        <w:t xml:space="preserve"> One </w:t>
      </w:r>
      <w:proofErr w:type="gramStart"/>
      <w:r w:rsidRPr="00096454">
        <w:t>subject</w:t>
      </w:r>
      <w:proofErr w:type="gramEnd"/>
      <w:r>
        <w:t xml:space="preserve"> each</w:t>
      </w:r>
      <w:r w:rsidRPr="00096454">
        <w:t xml:space="preserve"> in the </w:t>
      </w:r>
      <w:proofErr w:type="spellStart"/>
      <w:r w:rsidRPr="00096454">
        <w:t>Truvada</w:t>
      </w:r>
      <w:proofErr w:type="spellEnd"/>
      <w:r w:rsidRPr="00096454">
        <w:rPr>
          <w:vertAlign w:val="superscript"/>
        </w:rPr>
        <w:t>®</w:t>
      </w:r>
      <w:r w:rsidRPr="00096454">
        <w:t xml:space="preserve"> + </w:t>
      </w:r>
      <w:proofErr w:type="spellStart"/>
      <w:r w:rsidRPr="00096454">
        <w:t>rilpivirine</w:t>
      </w:r>
      <w:proofErr w:type="spellEnd"/>
      <w:r w:rsidRPr="00096454">
        <w:t xml:space="preserve"> and </w:t>
      </w:r>
      <w:proofErr w:type="spellStart"/>
      <w:r w:rsidRPr="00096454">
        <w:t>Truvada</w:t>
      </w:r>
      <w:proofErr w:type="spellEnd"/>
      <w:r w:rsidRPr="00096454">
        <w:rPr>
          <w:vertAlign w:val="superscript"/>
        </w:rPr>
        <w:t>®</w:t>
      </w:r>
      <w:r w:rsidRPr="00096454">
        <w:t xml:space="preserve"> + </w:t>
      </w:r>
      <w:proofErr w:type="spellStart"/>
      <w:r w:rsidRPr="00096454">
        <w:t>efavirenz</w:t>
      </w:r>
      <w:proofErr w:type="spellEnd"/>
      <w:r w:rsidRPr="00096454">
        <w:t xml:space="preserve"> arms experienced virological failure at Week 48.</w:t>
      </w:r>
    </w:p>
    <w:p w:rsidR="00B60939" w:rsidRPr="00F0068E" w:rsidRDefault="00B60939" w:rsidP="00B60939">
      <w:pPr>
        <w:rPr>
          <w:szCs w:val="22"/>
        </w:rPr>
      </w:pPr>
    </w:p>
    <w:p w:rsidR="00861112" w:rsidRPr="00082954" w:rsidRDefault="006F7895" w:rsidP="00D90534">
      <w:pPr>
        <w:pStyle w:val="ListParagraph"/>
        <w:widowControl/>
        <w:numPr>
          <w:ilvl w:val="1"/>
          <w:numId w:val="6"/>
        </w:numPr>
        <w:rPr>
          <w:szCs w:val="22"/>
        </w:rPr>
      </w:pPr>
      <w:r w:rsidRPr="00082954">
        <w:rPr>
          <w:szCs w:val="22"/>
        </w:rPr>
        <w:t xml:space="preserve">For the overall population of Study 1089, the submission stated that switching to </w:t>
      </w:r>
      <w:proofErr w:type="spellStart"/>
      <w:r w:rsidRPr="00082954">
        <w:rPr>
          <w:szCs w:val="22"/>
        </w:rPr>
        <w:t>Descovy</w:t>
      </w:r>
      <w:proofErr w:type="spellEnd"/>
      <w:r w:rsidRPr="00082954">
        <w:rPr>
          <w:szCs w:val="22"/>
          <w:vertAlign w:val="superscript"/>
        </w:rPr>
        <w:t>®</w:t>
      </w:r>
      <w:r w:rsidRPr="00082954">
        <w:rPr>
          <w:szCs w:val="22"/>
        </w:rPr>
        <w:t xml:space="preserve"> plus a third agent was non-inferior to maintaining </w:t>
      </w:r>
      <w:proofErr w:type="spellStart"/>
      <w:r w:rsidRPr="00082954">
        <w:rPr>
          <w:szCs w:val="22"/>
        </w:rPr>
        <w:t>Truvada</w:t>
      </w:r>
      <w:proofErr w:type="spellEnd"/>
      <w:r w:rsidRPr="00082954">
        <w:rPr>
          <w:szCs w:val="22"/>
          <w:vertAlign w:val="superscript"/>
        </w:rPr>
        <w:t>®</w:t>
      </w:r>
      <w:r w:rsidRPr="00082954">
        <w:rPr>
          <w:szCs w:val="22"/>
        </w:rPr>
        <w:t xml:space="preserve"> plus a third agent at 48 weeks, as the lower bound of the two-sided 95.002% CI for the difference in response rate (-2.5%) was greater than the pre-specified non-inferiority margin of </w:t>
      </w:r>
      <w:r w:rsidR="005B7471" w:rsidRPr="00082954">
        <w:rPr>
          <w:szCs w:val="22"/>
        </w:rPr>
        <w:br/>
      </w:r>
      <w:r w:rsidRPr="00082954">
        <w:rPr>
          <w:szCs w:val="22"/>
        </w:rPr>
        <w:t xml:space="preserve">-10%. The per protocol </w:t>
      </w:r>
      <w:r w:rsidR="00754E30" w:rsidRPr="00082954">
        <w:rPr>
          <w:szCs w:val="22"/>
        </w:rPr>
        <w:t xml:space="preserve">(PP) </w:t>
      </w:r>
      <w:r w:rsidRPr="00082954">
        <w:rPr>
          <w:szCs w:val="22"/>
        </w:rPr>
        <w:t>analysis also supported the conclusion of non-inferiority</w:t>
      </w:r>
      <w:r w:rsidR="003B146C" w:rsidRPr="00082954">
        <w:rPr>
          <w:szCs w:val="22"/>
        </w:rPr>
        <w:t>,</w:t>
      </w:r>
      <w:r w:rsidRPr="00082954">
        <w:rPr>
          <w:szCs w:val="22"/>
        </w:rPr>
        <w:t xml:space="preserve"> as the lower bound of the 95.002% CI was also greater than the pre-specified non-inferiority</w:t>
      </w:r>
      <w:r w:rsidR="00972F64" w:rsidRPr="00082954">
        <w:rPr>
          <w:szCs w:val="22"/>
        </w:rPr>
        <w:t xml:space="preserve"> margin</w:t>
      </w:r>
      <w:r w:rsidRPr="00082954">
        <w:rPr>
          <w:szCs w:val="22"/>
        </w:rPr>
        <w:t>.</w:t>
      </w:r>
      <w:r w:rsidR="00754E30" w:rsidRPr="00082954">
        <w:rPr>
          <w:szCs w:val="22"/>
        </w:rPr>
        <w:t xml:space="preserve"> </w:t>
      </w:r>
      <w:proofErr w:type="gramStart"/>
      <w:r w:rsidR="00754E30" w:rsidRPr="00082954">
        <w:t>Both the</w:t>
      </w:r>
      <w:proofErr w:type="gramEnd"/>
      <w:r w:rsidR="00754E30" w:rsidRPr="00082954">
        <w:t xml:space="preserve"> </w:t>
      </w:r>
      <w:r w:rsidR="00D90534" w:rsidRPr="00082954">
        <w:t>full analysis set</w:t>
      </w:r>
      <w:r w:rsidR="00754E30" w:rsidRPr="00082954">
        <w:t xml:space="preserve"> and PP analyses met the pre-specified non-inferiority margin in Study 1089 of -10%; similarly both analyses also met the more stringent FDA non-inferiority threshold of -4%.</w:t>
      </w:r>
    </w:p>
    <w:p w:rsidR="00A00C09" w:rsidRPr="00082954" w:rsidRDefault="00A00C09" w:rsidP="00A00C09">
      <w:pPr>
        <w:pStyle w:val="ListParagraph"/>
        <w:widowControl/>
        <w:rPr>
          <w:szCs w:val="22"/>
        </w:rPr>
      </w:pPr>
    </w:p>
    <w:p w:rsidR="006F7895" w:rsidRPr="00082954" w:rsidRDefault="00503EF7" w:rsidP="00C84984">
      <w:pPr>
        <w:pStyle w:val="ListParagraph"/>
        <w:widowControl/>
        <w:numPr>
          <w:ilvl w:val="1"/>
          <w:numId w:val="6"/>
        </w:numPr>
        <w:rPr>
          <w:iCs/>
          <w:szCs w:val="22"/>
        </w:rPr>
      </w:pPr>
      <w:r w:rsidRPr="00082954">
        <w:rPr>
          <w:szCs w:val="22"/>
        </w:rPr>
        <w:t xml:space="preserve">The submission stated that the </w:t>
      </w:r>
      <w:proofErr w:type="spellStart"/>
      <w:r w:rsidRPr="00082954">
        <w:rPr>
          <w:szCs w:val="22"/>
        </w:rPr>
        <w:t>virologic</w:t>
      </w:r>
      <w:proofErr w:type="spellEnd"/>
      <w:r w:rsidRPr="00082954">
        <w:rPr>
          <w:szCs w:val="22"/>
        </w:rPr>
        <w:t xml:space="preserve"> success rates were high and similar between groups across all third agents, including the </w:t>
      </w:r>
      <w:proofErr w:type="spellStart"/>
      <w:r w:rsidRPr="00082954">
        <w:rPr>
          <w:szCs w:val="22"/>
        </w:rPr>
        <w:t>rilpivirine</w:t>
      </w:r>
      <w:proofErr w:type="spellEnd"/>
      <w:r w:rsidRPr="00082954">
        <w:rPr>
          <w:szCs w:val="22"/>
        </w:rPr>
        <w:t xml:space="preserve"> subgroup and all the NNRTI subgroups, demonstrating that </w:t>
      </w:r>
      <w:proofErr w:type="spellStart"/>
      <w:r w:rsidRPr="00082954">
        <w:rPr>
          <w:szCs w:val="22"/>
        </w:rPr>
        <w:t>rilpivirine</w:t>
      </w:r>
      <w:proofErr w:type="spellEnd"/>
      <w:r w:rsidRPr="00082954">
        <w:rPr>
          <w:szCs w:val="22"/>
        </w:rPr>
        <w:t xml:space="preserve"> plus </w:t>
      </w:r>
      <w:proofErr w:type="spellStart"/>
      <w:r w:rsidRPr="00082954">
        <w:rPr>
          <w:szCs w:val="22"/>
        </w:rPr>
        <w:t>emtricitabine</w:t>
      </w:r>
      <w:proofErr w:type="spellEnd"/>
      <w:r w:rsidRPr="00082954">
        <w:rPr>
          <w:szCs w:val="22"/>
        </w:rPr>
        <w:t xml:space="preserve"> plus </w:t>
      </w:r>
      <w:proofErr w:type="spellStart"/>
      <w:r w:rsidRPr="00082954">
        <w:rPr>
          <w:szCs w:val="22"/>
        </w:rPr>
        <w:t>tenofovir</w:t>
      </w:r>
      <w:proofErr w:type="spellEnd"/>
      <w:r w:rsidRPr="00082954">
        <w:rPr>
          <w:szCs w:val="22"/>
        </w:rPr>
        <w:t xml:space="preserve"> </w:t>
      </w:r>
      <w:proofErr w:type="spellStart"/>
      <w:r w:rsidRPr="00082954">
        <w:rPr>
          <w:szCs w:val="22"/>
        </w:rPr>
        <w:t>alafenamide</w:t>
      </w:r>
      <w:proofErr w:type="spellEnd"/>
      <w:r w:rsidRPr="00082954">
        <w:rPr>
          <w:szCs w:val="22"/>
        </w:rPr>
        <w:t xml:space="preserve"> yielded high clinical efficacy in this patient population. The submission also stated that the 95% CIs of the subgroups were wide due to the small patient numbers. The submission also noted that no cases of </w:t>
      </w:r>
      <w:proofErr w:type="spellStart"/>
      <w:r w:rsidRPr="00082954">
        <w:rPr>
          <w:szCs w:val="22"/>
        </w:rPr>
        <w:t>virologic</w:t>
      </w:r>
      <w:proofErr w:type="spellEnd"/>
      <w:r w:rsidRPr="00082954">
        <w:rPr>
          <w:szCs w:val="22"/>
        </w:rPr>
        <w:t xml:space="preserve"> failure were recorded in </w:t>
      </w:r>
      <w:proofErr w:type="spellStart"/>
      <w:r w:rsidRPr="00082954">
        <w:rPr>
          <w:szCs w:val="22"/>
        </w:rPr>
        <w:t>rilpivirine</w:t>
      </w:r>
      <w:proofErr w:type="spellEnd"/>
      <w:r w:rsidRPr="00082954">
        <w:rPr>
          <w:szCs w:val="22"/>
        </w:rPr>
        <w:t xml:space="preserve"> plus </w:t>
      </w:r>
      <w:proofErr w:type="spellStart"/>
      <w:r w:rsidRPr="00082954">
        <w:rPr>
          <w:szCs w:val="22"/>
        </w:rPr>
        <w:t>emtricitabine</w:t>
      </w:r>
      <w:proofErr w:type="spellEnd"/>
      <w:r w:rsidRPr="00082954">
        <w:rPr>
          <w:szCs w:val="22"/>
        </w:rPr>
        <w:t xml:space="preserve"> plus </w:t>
      </w:r>
      <w:proofErr w:type="spellStart"/>
      <w:r w:rsidRPr="00082954">
        <w:rPr>
          <w:szCs w:val="22"/>
        </w:rPr>
        <w:t>tenofovir</w:t>
      </w:r>
      <w:proofErr w:type="spellEnd"/>
      <w:r w:rsidRPr="00082954">
        <w:rPr>
          <w:szCs w:val="22"/>
        </w:rPr>
        <w:t xml:space="preserve"> </w:t>
      </w:r>
      <w:proofErr w:type="spellStart"/>
      <w:r w:rsidRPr="00082954">
        <w:rPr>
          <w:szCs w:val="22"/>
        </w:rPr>
        <w:t>alafenamide</w:t>
      </w:r>
      <w:proofErr w:type="spellEnd"/>
      <w:r w:rsidRPr="00082954">
        <w:rPr>
          <w:szCs w:val="22"/>
        </w:rPr>
        <w:t xml:space="preserve"> subgroup [</w:t>
      </w:r>
      <w:r w:rsidRPr="00082954">
        <w:rPr>
          <w:iCs/>
          <w:szCs w:val="22"/>
        </w:rPr>
        <w:t>of three patients</w:t>
      </w:r>
      <w:r w:rsidRPr="00082954">
        <w:rPr>
          <w:szCs w:val="22"/>
        </w:rPr>
        <w:t xml:space="preserve">]. </w:t>
      </w:r>
      <w:r w:rsidR="00A74F07" w:rsidRPr="00082954">
        <w:rPr>
          <w:iCs/>
          <w:szCs w:val="22"/>
        </w:rPr>
        <w:t xml:space="preserve">Overall, the clinical data from Study 1089 </w:t>
      </w:r>
      <w:r w:rsidR="00D2352C" w:rsidRPr="00082954">
        <w:rPr>
          <w:iCs/>
          <w:szCs w:val="22"/>
        </w:rPr>
        <w:t xml:space="preserve">were </w:t>
      </w:r>
      <w:r w:rsidR="00A74F07" w:rsidRPr="00082954">
        <w:rPr>
          <w:iCs/>
          <w:szCs w:val="22"/>
        </w:rPr>
        <w:t xml:space="preserve">largely non-informative to support the PBS-listing of </w:t>
      </w:r>
      <w:proofErr w:type="spellStart"/>
      <w:r w:rsidR="00A74F07" w:rsidRPr="00082954">
        <w:rPr>
          <w:iCs/>
          <w:szCs w:val="22"/>
        </w:rPr>
        <w:t>Odefsey</w:t>
      </w:r>
      <w:proofErr w:type="spellEnd"/>
      <w:r w:rsidR="00A74F07" w:rsidRPr="00082954">
        <w:rPr>
          <w:iCs/>
          <w:szCs w:val="22"/>
          <w:vertAlign w:val="superscript"/>
        </w:rPr>
        <w:t>®</w:t>
      </w:r>
      <w:r w:rsidR="00A74F07" w:rsidRPr="00082954">
        <w:rPr>
          <w:iCs/>
          <w:szCs w:val="22"/>
        </w:rPr>
        <w:t xml:space="preserve">, given the very small patients numbers on the combination of </w:t>
      </w:r>
      <w:proofErr w:type="spellStart"/>
      <w:r w:rsidR="00A74F07" w:rsidRPr="00082954">
        <w:rPr>
          <w:iCs/>
          <w:szCs w:val="22"/>
        </w:rPr>
        <w:t>rilpivirine</w:t>
      </w:r>
      <w:proofErr w:type="spellEnd"/>
      <w:r w:rsidR="00A74F07" w:rsidRPr="00082954">
        <w:rPr>
          <w:iCs/>
          <w:szCs w:val="22"/>
        </w:rPr>
        <w:t xml:space="preserve"> plus </w:t>
      </w:r>
      <w:proofErr w:type="spellStart"/>
      <w:r w:rsidR="00A74F07" w:rsidRPr="00082954">
        <w:rPr>
          <w:iCs/>
          <w:szCs w:val="22"/>
        </w:rPr>
        <w:t>emtricitabine</w:t>
      </w:r>
      <w:proofErr w:type="spellEnd"/>
      <w:r w:rsidR="00A74F07" w:rsidRPr="00082954">
        <w:rPr>
          <w:iCs/>
          <w:szCs w:val="22"/>
        </w:rPr>
        <w:t xml:space="preserve"> plus </w:t>
      </w:r>
      <w:proofErr w:type="spellStart"/>
      <w:r w:rsidR="00A74F07" w:rsidRPr="00082954">
        <w:rPr>
          <w:iCs/>
          <w:szCs w:val="22"/>
        </w:rPr>
        <w:t>tenofovir</w:t>
      </w:r>
      <w:proofErr w:type="spellEnd"/>
      <w:r w:rsidR="00A74F07" w:rsidRPr="00082954">
        <w:rPr>
          <w:iCs/>
          <w:szCs w:val="22"/>
        </w:rPr>
        <w:t xml:space="preserve"> </w:t>
      </w:r>
      <w:proofErr w:type="spellStart"/>
      <w:r w:rsidR="00A74F07" w:rsidRPr="00082954">
        <w:rPr>
          <w:iCs/>
          <w:szCs w:val="22"/>
        </w:rPr>
        <w:t>alafenamide</w:t>
      </w:r>
      <w:proofErr w:type="spellEnd"/>
      <w:r w:rsidR="00A74F07" w:rsidRPr="00082954">
        <w:rPr>
          <w:iCs/>
          <w:szCs w:val="22"/>
        </w:rPr>
        <w:t xml:space="preserve"> or </w:t>
      </w:r>
      <w:proofErr w:type="spellStart"/>
      <w:r w:rsidR="00A74F07" w:rsidRPr="00082954">
        <w:rPr>
          <w:iCs/>
          <w:szCs w:val="22"/>
        </w:rPr>
        <w:t>tenofovir</w:t>
      </w:r>
      <w:proofErr w:type="spellEnd"/>
      <w:r w:rsidR="00A74F07" w:rsidRPr="00082954">
        <w:rPr>
          <w:iCs/>
          <w:szCs w:val="22"/>
        </w:rPr>
        <w:t xml:space="preserve"> </w:t>
      </w:r>
      <w:proofErr w:type="spellStart"/>
      <w:r w:rsidR="00A74F07" w:rsidRPr="00082954">
        <w:rPr>
          <w:iCs/>
          <w:szCs w:val="22"/>
        </w:rPr>
        <w:t>disoproxil</w:t>
      </w:r>
      <w:proofErr w:type="spellEnd"/>
      <w:r w:rsidR="00A74F07" w:rsidRPr="00082954">
        <w:rPr>
          <w:iCs/>
          <w:szCs w:val="22"/>
        </w:rPr>
        <w:t xml:space="preserve"> </w:t>
      </w:r>
      <w:proofErr w:type="spellStart"/>
      <w:r w:rsidR="00A74F07" w:rsidRPr="00082954">
        <w:rPr>
          <w:iCs/>
          <w:szCs w:val="22"/>
        </w:rPr>
        <w:t>fumarate</w:t>
      </w:r>
      <w:proofErr w:type="spellEnd"/>
      <w:r w:rsidR="00A74F07" w:rsidRPr="00082954">
        <w:rPr>
          <w:iCs/>
          <w:szCs w:val="22"/>
        </w:rPr>
        <w:t xml:space="preserve">. The subgroup analysis of patients on </w:t>
      </w:r>
      <w:proofErr w:type="spellStart"/>
      <w:r w:rsidR="00A74F07" w:rsidRPr="00082954">
        <w:rPr>
          <w:iCs/>
          <w:szCs w:val="22"/>
        </w:rPr>
        <w:t>rilpivirine</w:t>
      </w:r>
      <w:proofErr w:type="spellEnd"/>
      <w:r w:rsidR="00A74F07" w:rsidRPr="00082954">
        <w:rPr>
          <w:iCs/>
          <w:szCs w:val="22"/>
        </w:rPr>
        <w:t xml:space="preserve"> as the third agent was highly likely to be underpowered for any comparison.</w:t>
      </w:r>
    </w:p>
    <w:p w:rsidR="000D6B07" w:rsidRPr="00082954" w:rsidRDefault="000D6B07" w:rsidP="000D6B07">
      <w:pPr>
        <w:pStyle w:val="ListParagraph"/>
        <w:rPr>
          <w:szCs w:val="22"/>
        </w:rPr>
      </w:pPr>
    </w:p>
    <w:p w:rsidR="0030712F" w:rsidRPr="00082954" w:rsidRDefault="001E2A8B" w:rsidP="00465CEE">
      <w:pPr>
        <w:pStyle w:val="ListParagraph"/>
        <w:widowControl/>
        <w:numPr>
          <w:ilvl w:val="1"/>
          <w:numId w:val="6"/>
        </w:numPr>
        <w:rPr>
          <w:iCs/>
          <w:szCs w:val="22"/>
        </w:rPr>
      </w:pPr>
      <w:r w:rsidRPr="00082954">
        <w:rPr>
          <w:szCs w:val="22"/>
        </w:rPr>
        <w:lastRenderedPageBreak/>
        <w:t xml:space="preserve">For </w:t>
      </w:r>
      <w:r w:rsidR="005767C0" w:rsidRPr="00082954">
        <w:rPr>
          <w:szCs w:val="22"/>
        </w:rPr>
        <w:t xml:space="preserve">cross-over single-dose </w:t>
      </w:r>
      <w:r w:rsidR="00436884" w:rsidRPr="00082954">
        <w:rPr>
          <w:szCs w:val="22"/>
        </w:rPr>
        <w:t>bioequivalence</w:t>
      </w:r>
      <w:r w:rsidR="005767C0" w:rsidRPr="00082954">
        <w:rPr>
          <w:szCs w:val="22"/>
        </w:rPr>
        <w:t xml:space="preserve"> </w:t>
      </w:r>
      <w:r w:rsidR="007D010F" w:rsidRPr="00082954">
        <w:rPr>
          <w:szCs w:val="22"/>
        </w:rPr>
        <w:t>study (</w:t>
      </w:r>
      <w:r w:rsidRPr="00082954">
        <w:rPr>
          <w:szCs w:val="22"/>
        </w:rPr>
        <w:t>Study 1159</w:t>
      </w:r>
      <w:r w:rsidR="007D010F" w:rsidRPr="00082954">
        <w:rPr>
          <w:szCs w:val="22"/>
        </w:rPr>
        <w:t>)</w:t>
      </w:r>
      <w:r w:rsidRPr="00082954">
        <w:rPr>
          <w:szCs w:val="22"/>
        </w:rPr>
        <w:t>, t</w:t>
      </w:r>
      <w:r w:rsidR="004C5210" w:rsidRPr="00082954">
        <w:rPr>
          <w:szCs w:val="22"/>
        </w:rPr>
        <w:t xml:space="preserve">he GLSM ratios and corresponding 90% CIs of </w:t>
      </w:r>
      <w:proofErr w:type="spellStart"/>
      <w:r w:rsidR="004C5210" w:rsidRPr="00082954">
        <w:rPr>
          <w:szCs w:val="22"/>
        </w:rPr>
        <w:t>AUC</w:t>
      </w:r>
      <w:r w:rsidR="004C5210" w:rsidRPr="00082954">
        <w:rPr>
          <w:szCs w:val="22"/>
          <w:vertAlign w:val="subscript"/>
        </w:rPr>
        <w:t>last</w:t>
      </w:r>
      <w:proofErr w:type="spellEnd"/>
      <w:r w:rsidR="004C5210" w:rsidRPr="00082954">
        <w:rPr>
          <w:szCs w:val="22"/>
        </w:rPr>
        <w:t xml:space="preserve">, </w:t>
      </w:r>
      <w:proofErr w:type="spellStart"/>
      <w:r w:rsidR="004C5210" w:rsidRPr="00082954">
        <w:rPr>
          <w:szCs w:val="22"/>
        </w:rPr>
        <w:t>AUC</w:t>
      </w:r>
      <w:r w:rsidR="004C5210" w:rsidRPr="00082954">
        <w:rPr>
          <w:szCs w:val="22"/>
          <w:vertAlign w:val="subscript"/>
        </w:rPr>
        <w:t>inf</w:t>
      </w:r>
      <w:proofErr w:type="spellEnd"/>
      <w:r w:rsidR="004C5210" w:rsidRPr="00082954">
        <w:rPr>
          <w:szCs w:val="22"/>
        </w:rPr>
        <w:t xml:space="preserve">, and </w:t>
      </w:r>
      <w:proofErr w:type="spellStart"/>
      <w:r w:rsidR="004C5210" w:rsidRPr="00082954">
        <w:rPr>
          <w:szCs w:val="22"/>
        </w:rPr>
        <w:t>C</w:t>
      </w:r>
      <w:r w:rsidR="004C5210" w:rsidRPr="00082954">
        <w:rPr>
          <w:szCs w:val="22"/>
          <w:vertAlign w:val="subscript"/>
        </w:rPr>
        <w:t>max</w:t>
      </w:r>
      <w:proofErr w:type="spellEnd"/>
      <w:r w:rsidR="004C5210" w:rsidRPr="00082954">
        <w:rPr>
          <w:szCs w:val="22"/>
        </w:rPr>
        <w:t xml:space="preserve"> for </w:t>
      </w:r>
      <w:proofErr w:type="spellStart"/>
      <w:r w:rsidR="004C5210" w:rsidRPr="00082954">
        <w:rPr>
          <w:szCs w:val="22"/>
        </w:rPr>
        <w:t>rilpivirine</w:t>
      </w:r>
      <w:proofErr w:type="spellEnd"/>
      <w:r w:rsidR="004C5210" w:rsidRPr="00082954">
        <w:rPr>
          <w:szCs w:val="22"/>
        </w:rPr>
        <w:t xml:space="preserve">, </w:t>
      </w:r>
      <w:proofErr w:type="spellStart"/>
      <w:r w:rsidR="004C5210" w:rsidRPr="00082954">
        <w:rPr>
          <w:szCs w:val="22"/>
        </w:rPr>
        <w:t>emtricitabine</w:t>
      </w:r>
      <w:proofErr w:type="spellEnd"/>
      <w:r w:rsidR="004C5210" w:rsidRPr="00082954">
        <w:rPr>
          <w:szCs w:val="22"/>
        </w:rPr>
        <w:t xml:space="preserve">, and </w:t>
      </w:r>
      <w:proofErr w:type="spellStart"/>
      <w:r w:rsidR="004C5210" w:rsidRPr="00082954">
        <w:rPr>
          <w:szCs w:val="22"/>
        </w:rPr>
        <w:t>tenofovir</w:t>
      </w:r>
      <w:proofErr w:type="spellEnd"/>
      <w:r w:rsidR="004C5210" w:rsidRPr="00082954">
        <w:rPr>
          <w:szCs w:val="22"/>
        </w:rPr>
        <w:t xml:space="preserve"> </w:t>
      </w:r>
      <w:proofErr w:type="spellStart"/>
      <w:r w:rsidR="004C5210" w:rsidRPr="00082954">
        <w:rPr>
          <w:szCs w:val="22"/>
        </w:rPr>
        <w:t>alafenamide</w:t>
      </w:r>
      <w:proofErr w:type="spellEnd"/>
      <w:r w:rsidR="004C5210" w:rsidRPr="00082954">
        <w:rPr>
          <w:szCs w:val="22"/>
        </w:rPr>
        <w:t xml:space="preserve"> were contained within the pre-specified bioequivalence boundary criteria of 80% to 125%. The submission concluded that:</w:t>
      </w:r>
      <w:r w:rsidRPr="00082954">
        <w:rPr>
          <w:szCs w:val="22"/>
        </w:rPr>
        <w:t xml:space="preserve"> </w:t>
      </w:r>
      <w:r w:rsidR="00BE079D" w:rsidRPr="00082954">
        <w:rPr>
          <w:szCs w:val="22"/>
        </w:rPr>
        <w:t>t</w:t>
      </w:r>
      <w:r w:rsidR="004C5210" w:rsidRPr="00082954">
        <w:rPr>
          <w:szCs w:val="22"/>
        </w:rPr>
        <w:t xml:space="preserve">he </w:t>
      </w:r>
      <w:proofErr w:type="spellStart"/>
      <w:r w:rsidR="004C5210" w:rsidRPr="00082954">
        <w:rPr>
          <w:szCs w:val="22"/>
        </w:rPr>
        <w:t>rilpivirine</w:t>
      </w:r>
      <w:proofErr w:type="spellEnd"/>
      <w:r w:rsidR="004C5210" w:rsidRPr="00082954">
        <w:rPr>
          <w:szCs w:val="22"/>
        </w:rPr>
        <w:t xml:space="preserve"> component of </w:t>
      </w:r>
      <w:proofErr w:type="spellStart"/>
      <w:r w:rsidR="004C5210" w:rsidRPr="00082954">
        <w:rPr>
          <w:szCs w:val="22"/>
        </w:rPr>
        <w:t>Odefsey</w:t>
      </w:r>
      <w:proofErr w:type="spellEnd"/>
      <w:r w:rsidR="004C5210" w:rsidRPr="00082954">
        <w:rPr>
          <w:szCs w:val="22"/>
          <w:vertAlign w:val="superscript"/>
        </w:rPr>
        <w:t>®</w:t>
      </w:r>
      <w:r w:rsidR="004C5210" w:rsidRPr="00082954">
        <w:rPr>
          <w:szCs w:val="22"/>
        </w:rPr>
        <w:t xml:space="preserve"> is bioequivalent to </w:t>
      </w:r>
      <w:proofErr w:type="spellStart"/>
      <w:r w:rsidR="004C5210" w:rsidRPr="00082954">
        <w:rPr>
          <w:szCs w:val="22"/>
        </w:rPr>
        <w:t>Edurant</w:t>
      </w:r>
      <w:proofErr w:type="spellEnd"/>
      <w:r w:rsidR="004C5210" w:rsidRPr="00082954">
        <w:rPr>
          <w:szCs w:val="22"/>
          <w:vertAlign w:val="superscript"/>
        </w:rPr>
        <w:t>®</w:t>
      </w:r>
      <w:r w:rsidR="00BE079D" w:rsidRPr="00082954">
        <w:rPr>
          <w:szCs w:val="22"/>
        </w:rPr>
        <w:t xml:space="preserve"> (</w:t>
      </w:r>
      <w:proofErr w:type="spellStart"/>
      <w:r w:rsidR="00BE079D" w:rsidRPr="00082954">
        <w:rPr>
          <w:szCs w:val="22"/>
        </w:rPr>
        <w:t>rilpivirine</w:t>
      </w:r>
      <w:proofErr w:type="spellEnd"/>
      <w:r w:rsidR="00BE079D" w:rsidRPr="00082954">
        <w:rPr>
          <w:szCs w:val="22"/>
        </w:rPr>
        <w:t xml:space="preserve"> 25mg); and t</w:t>
      </w:r>
      <w:r w:rsidR="004C5210" w:rsidRPr="00082954">
        <w:rPr>
          <w:szCs w:val="22"/>
        </w:rPr>
        <w:t xml:space="preserve">he </w:t>
      </w:r>
      <w:proofErr w:type="spellStart"/>
      <w:r w:rsidR="004C5210" w:rsidRPr="00082954">
        <w:rPr>
          <w:szCs w:val="22"/>
        </w:rPr>
        <w:t>emtricitabine</w:t>
      </w:r>
      <w:proofErr w:type="spellEnd"/>
      <w:r w:rsidR="004C5210" w:rsidRPr="00082954">
        <w:rPr>
          <w:szCs w:val="22"/>
        </w:rPr>
        <w:t xml:space="preserve"> and </w:t>
      </w:r>
      <w:proofErr w:type="spellStart"/>
      <w:r w:rsidR="004C5210" w:rsidRPr="00082954">
        <w:rPr>
          <w:szCs w:val="22"/>
        </w:rPr>
        <w:t>tenofovir</w:t>
      </w:r>
      <w:proofErr w:type="spellEnd"/>
      <w:r w:rsidR="004C5210" w:rsidRPr="00082954">
        <w:rPr>
          <w:szCs w:val="22"/>
        </w:rPr>
        <w:t xml:space="preserve"> </w:t>
      </w:r>
      <w:proofErr w:type="spellStart"/>
      <w:r w:rsidR="004C5210" w:rsidRPr="00082954">
        <w:rPr>
          <w:szCs w:val="22"/>
        </w:rPr>
        <w:t>alafenamide</w:t>
      </w:r>
      <w:proofErr w:type="spellEnd"/>
      <w:r w:rsidR="004C5210" w:rsidRPr="00082954">
        <w:rPr>
          <w:szCs w:val="22"/>
        </w:rPr>
        <w:t xml:space="preserve"> components of </w:t>
      </w:r>
      <w:proofErr w:type="spellStart"/>
      <w:r w:rsidR="004C5210" w:rsidRPr="00082954">
        <w:rPr>
          <w:szCs w:val="22"/>
        </w:rPr>
        <w:t>Odefsey</w:t>
      </w:r>
      <w:proofErr w:type="spellEnd"/>
      <w:r w:rsidR="004C5210" w:rsidRPr="00082954">
        <w:rPr>
          <w:szCs w:val="22"/>
          <w:vertAlign w:val="superscript"/>
        </w:rPr>
        <w:t>®</w:t>
      </w:r>
      <w:r w:rsidR="004C5210" w:rsidRPr="00082954">
        <w:rPr>
          <w:szCs w:val="22"/>
        </w:rPr>
        <w:t xml:space="preserve"> are bioequivalent to </w:t>
      </w:r>
      <w:proofErr w:type="spellStart"/>
      <w:r w:rsidR="004C5210" w:rsidRPr="00082954">
        <w:rPr>
          <w:szCs w:val="22"/>
        </w:rPr>
        <w:t>Genvoya</w:t>
      </w:r>
      <w:proofErr w:type="spellEnd"/>
      <w:r w:rsidR="004C5210" w:rsidRPr="00082954">
        <w:rPr>
          <w:szCs w:val="22"/>
          <w:vertAlign w:val="superscript"/>
        </w:rPr>
        <w:t>®</w:t>
      </w:r>
      <w:r w:rsidR="004C5210" w:rsidRPr="00082954">
        <w:rPr>
          <w:szCs w:val="22"/>
        </w:rPr>
        <w:t>.</w:t>
      </w:r>
      <w:r w:rsidR="00BE079D" w:rsidRPr="00082954">
        <w:rPr>
          <w:szCs w:val="22"/>
        </w:rPr>
        <w:t xml:space="preserve"> </w:t>
      </w:r>
      <w:r w:rsidR="004347AC" w:rsidRPr="00082954">
        <w:rPr>
          <w:iCs/>
        </w:rPr>
        <w:t>The results support</w:t>
      </w:r>
      <w:r w:rsidR="005F139F">
        <w:rPr>
          <w:iCs/>
        </w:rPr>
        <w:t>ed</w:t>
      </w:r>
      <w:r w:rsidR="004347AC" w:rsidRPr="00082954">
        <w:rPr>
          <w:iCs/>
        </w:rPr>
        <w:t xml:space="preserve"> these conclusions.</w:t>
      </w:r>
    </w:p>
    <w:p w:rsidR="000911F2" w:rsidRPr="00082954" w:rsidRDefault="000911F2" w:rsidP="000911F2">
      <w:pPr>
        <w:pStyle w:val="ListParagraph"/>
        <w:rPr>
          <w:iCs/>
          <w:szCs w:val="22"/>
        </w:rPr>
      </w:pPr>
    </w:p>
    <w:p w:rsidR="000911F2" w:rsidRPr="00082954" w:rsidRDefault="000911F2" w:rsidP="00465CEE">
      <w:pPr>
        <w:pStyle w:val="ListParagraph"/>
        <w:widowControl/>
        <w:numPr>
          <w:ilvl w:val="1"/>
          <w:numId w:val="6"/>
        </w:numPr>
        <w:rPr>
          <w:iCs/>
          <w:szCs w:val="22"/>
        </w:rPr>
      </w:pPr>
      <w:r w:rsidRPr="00082954">
        <w:rPr>
          <w:szCs w:val="22"/>
        </w:rPr>
        <w:t xml:space="preserve">The primary outcome in the supplementary </w:t>
      </w:r>
      <w:proofErr w:type="spellStart"/>
      <w:r w:rsidRPr="00082954">
        <w:rPr>
          <w:szCs w:val="22"/>
        </w:rPr>
        <w:t>Genvoya</w:t>
      </w:r>
      <w:proofErr w:type="spellEnd"/>
      <w:r w:rsidRPr="00082954">
        <w:rPr>
          <w:szCs w:val="22"/>
          <w:vertAlign w:val="superscript"/>
        </w:rPr>
        <w:t>®</w:t>
      </w:r>
      <w:r w:rsidRPr="00082954">
        <w:rPr>
          <w:szCs w:val="22"/>
        </w:rPr>
        <w:t xml:space="preserve"> trials/studies was also the proportion of patients with HIV RNA &lt;50 copies at 48 weeks (FDA snapshot algorithm). Results at 98 weeks was a secondary outcome (Study 104: RD=1.3%, 95%CI: -2.9, 5.5; Study 111: RD=1.7%, 95% CI: -3.3, 6.8)</w:t>
      </w:r>
      <w:proofErr w:type="gramStart"/>
      <w:r w:rsidRPr="00082954">
        <w:rPr>
          <w:szCs w:val="22"/>
        </w:rPr>
        <w:t xml:space="preserve">.  </w:t>
      </w:r>
      <w:proofErr w:type="gramEnd"/>
      <w:r w:rsidRPr="00082954">
        <w:rPr>
          <w:iCs/>
          <w:szCs w:val="22"/>
        </w:rPr>
        <w:t>In 112, 214/242 (88%) of the treatment experienced patients (“cohort 1”) had HIV RNA &lt;50 copies/mL at Week 96, down from 230/242 (95%) at Week 24.</w:t>
      </w:r>
    </w:p>
    <w:p w:rsidR="00861112" w:rsidRPr="00CC6AA6" w:rsidRDefault="00861112" w:rsidP="00B60939">
      <w:pPr>
        <w:rPr>
          <w:szCs w:val="22"/>
        </w:rPr>
      </w:pPr>
    </w:p>
    <w:p w:rsidR="00B60939" w:rsidRPr="00CC6AA6" w:rsidRDefault="00B60939" w:rsidP="00495439">
      <w:pPr>
        <w:pStyle w:val="Heading3"/>
      </w:pPr>
      <w:bookmarkStart w:id="8" w:name="_Toc451425483"/>
      <w:r w:rsidRPr="00CC6AA6">
        <w:t>Comparative harms</w:t>
      </w:r>
      <w:bookmarkEnd w:id="8"/>
    </w:p>
    <w:p w:rsidR="00B60939" w:rsidRPr="00CC6AA6" w:rsidRDefault="00B60939" w:rsidP="00B60939">
      <w:pPr>
        <w:ind w:left="720" w:hanging="720"/>
        <w:rPr>
          <w:szCs w:val="22"/>
        </w:rPr>
      </w:pPr>
    </w:p>
    <w:p w:rsidR="00215293" w:rsidRPr="00082954" w:rsidRDefault="006B77A6" w:rsidP="00B13511">
      <w:pPr>
        <w:pStyle w:val="ListParagraph"/>
        <w:widowControl/>
        <w:numPr>
          <w:ilvl w:val="1"/>
          <w:numId w:val="6"/>
        </w:numPr>
        <w:rPr>
          <w:szCs w:val="22"/>
        </w:rPr>
      </w:pPr>
      <w:r w:rsidRPr="00082954">
        <w:rPr>
          <w:szCs w:val="22"/>
        </w:rPr>
        <w:t xml:space="preserve">The submission argued that it was reasonable to consider that overall safety results from Study 1089 were broadly </w:t>
      </w:r>
      <w:proofErr w:type="spellStart"/>
      <w:r w:rsidRPr="00082954">
        <w:rPr>
          <w:szCs w:val="22"/>
        </w:rPr>
        <w:t>generalisable</w:t>
      </w:r>
      <w:proofErr w:type="spellEnd"/>
      <w:r w:rsidRPr="00082954">
        <w:rPr>
          <w:szCs w:val="22"/>
        </w:rPr>
        <w:t xml:space="preserve"> to those using </w:t>
      </w:r>
      <w:proofErr w:type="spellStart"/>
      <w:r w:rsidRPr="00082954">
        <w:rPr>
          <w:szCs w:val="22"/>
        </w:rPr>
        <w:t>rilpivirine</w:t>
      </w:r>
      <w:proofErr w:type="spellEnd"/>
      <w:r w:rsidRPr="00082954">
        <w:rPr>
          <w:szCs w:val="22"/>
        </w:rPr>
        <w:t xml:space="preserve"> as the third agent (</w:t>
      </w:r>
      <w:proofErr w:type="spellStart"/>
      <w:r w:rsidRPr="00082954">
        <w:rPr>
          <w:szCs w:val="22"/>
        </w:rPr>
        <w:t>Descovy</w:t>
      </w:r>
      <w:proofErr w:type="spellEnd"/>
      <w:r w:rsidRPr="00082954">
        <w:rPr>
          <w:szCs w:val="22"/>
          <w:vertAlign w:val="superscript"/>
        </w:rPr>
        <w:t>®</w:t>
      </w:r>
      <w:r w:rsidRPr="00082954">
        <w:rPr>
          <w:szCs w:val="22"/>
        </w:rPr>
        <w:t xml:space="preserve"> arm: 3 patients, </w:t>
      </w:r>
      <w:proofErr w:type="spellStart"/>
      <w:r w:rsidRPr="00082954">
        <w:rPr>
          <w:szCs w:val="22"/>
        </w:rPr>
        <w:t>Truvada</w:t>
      </w:r>
      <w:proofErr w:type="spellEnd"/>
      <w:r w:rsidRPr="00082954">
        <w:rPr>
          <w:szCs w:val="22"/>
          <w:vertAlign w:val="superscript"/>
        </w:rPr>
        <w:t>®</w:t>
      </w:r>
      <w:r w:rsidRPr="00082954">
        <w:rPr>
          <w:szCs w:val="22"/>
        </w:rPr>
        <w:t xml:space="preserve"> arm: 6 patients), more consistent with the comparison between </w:t>
      </w:r>
      <w:proofErr w:type="spellStart"/>
      <w:r w:rsidRPr="00082954">
        <w:rPr>
          <w:szCs w:val="22"/>
        </w:rPr>
        <w:t>Odefsey</w:t>
      </w:r>
      <w:proofErr w:type="spellEnd"/>
      <w:r w:rsidRPr="00082954">
        <w:rPr>
          <w:szCs w:val="22"/>
          <w:vertAlign w:val="superscript"/>
        </w:rPr>
        <w:t>®</w:t>
      </w:r>
      <w:r w:rsidRPr="00082954">
        <w:rPr>
          <w:szCs w:val="22"/>
        </w:rPr>
        <w:t xml:space="preserve"> and </w:t>
      </w:r>
      <w:proofErr w:type="spellStart"/>
      <w:r w:rsidRPr="00082954">
        <w:rPr>
          <w:szCs w:val="22"/>
        </w:rPr>
        <w:t>Eviplera</w:t>
      </w:r>
      <w:proofErr w:type="spellEnd"/>
      <w:r w:rsidRPr="00082954">
        <w:rPr>
          <w:szCs w:val="22"/>
          <w:vertAlign w:val="superscript"/>
        </w:rPr>
        <w:t>®</w:t>
      </w:r>
      <w:r w:rsidRPr="00082954">
        <w:rPr>
          <w:szCs w:val="22"/>
        </w:rPr>
        <w:t xml:space="preserve">. The submission noted none of these </w:t>
      </w:r>
      <w:r w:rsidR="008D1576" w:rsidRPr="00082954">
        <w:rPr>
          <w:szCs w:val="22"/>
        </w:rPr>
        <w:t>[</w:t>
      </w:r>
      <w:r w:rsidR="008D1576" w:rsidRPr="00082954">
        <w:rPr>
          <w:iCs/>
          <w:szCs w:val="22"/>
        </w:rPr>
        <w:t>nine</w:t>
      </w:r>
      <w:r w:rsidR="008D1576" w:rsidRPr="00082954">
        <w:rPr>
          <w:szCs w:val="22"/>
        </w:rPr>
        <w:t xml:space="preserve">] </w:t>
      </w:r>
      <w:r w:rsidRPr="00082954">
        <w:rPr>
          <w:szCs w:val="22"/>
        </w:rPr>
        <w:t>patients died or discontinued study drug due to adverse event.</w:t>
      </w:r>
      <w:r w:rsidR="00BC5635" w:rsidRPr="00082954">
        <w:rPr>
          <w:szCs w:val="22"/>
        </w:rPr>
        <w:t xml:space="preserve"> </w:t>
      </w:r>
    </w:p>
    <w:p w:rsidR="00215293" w:rsidRPr="00082954" w:rsidRDefault="00215293" w:rsidP="00215293">
      <w:pPr>
        <w:pStyle w:val="ListParagraph"/>
        <w:widowControl/>
        <w:rPr>
          <w:szCs w:val="22"/>
        </w:rPr>
      </w:pPr>
    </w:p>
    <w:p w:rsidR="0078481F" w:rsidRPr="00082954" w:rsidRDefault="00BC5635" w:rsidP="0005389F">
      <w:pPr>
        <w:pStyle w:val="ListParagraph"/>
        <w:widowControl/>
        <w:numPr>
          <w:ilvl w:val="1"/>
          <w:numId w:val="6"/>
        </w:numPr>
        <w:rPr>
          <w:szCs w:val="22"/>
        </w:rPr>
      </w:pPr>
      <w:r w:rsidRPr="00082954">
        <w:rPr>
          <w:iCs/>
        </w:rPr>
        <w:t xml:space="preserve">The safety data from the entire trial population (Study 1089), as well as the supplementary trials using </w:t>
      </w:r>
      <w:proofErr w:type="spellStart"/>
      <w:r w:rsidRPr="00082954">
        <w:rPr>
          <w:iCs/>
        </w:rPr>
        <w:t>Genvoya</w:t>
      </w:r>
      <w:proofErr w:type="spellEnd"/>
      <w:r w:rsidRPr="00082954">
        <w:rPr>
          <w:iCs/>
          <w:vertAlign w:val="superscript"/>
        </w:rPr>
        <w:t>®</w:t>
      </w:r>
      <w:r w:rsidRPr="00082954">
        <w:rPr>
          <w:iCs/>
        </w:rPr>
        <w:t xml:space="preserve"> (Stud</w:t>
      </w:r>
      <w:r w:rsidR="008E6158" w:rsidRPr="00082954">
        <w:rPr>
          <w:iCs/>
        </w:rPr>
        <w:t>ies</w:t>
      </w:r>
      <w:r w:rsidRPr="00082954">
        <w:rPr>
          <w:iCs/>
        </w:rPr>
        <w:t xml:space="preserve"> 104 and 111), appeared broadly informative</w:t>
      </w:r>
      <w:r w:rsidR="003958F4" w:rsidRPr="00082954">
        <w:rPr>
          <w:iCs/>
        </w:rPr>
        <w:t xml:space="preserve"> given tha</w:t>
      </w:r>
      <w:r w:rsidR="00770B49" w:rsidRPr="00082954">
        <w:rPr>
          <w:iCs/>
        </w:rPr>
        <w:t>t</w:t>
      </w:r>
      <w:r w:rsidR="003958F4" w:rsidRPr="00082954">
        <w:rPr>
          <w:iCs/>
        </w:rPr>
        <w:t xml:space="preserve"> two of the components of </w:t>
      </w:r>
      <w:proofErr w:type="spellStart"/>
      <w:r w:rsidR="003958F4" w:rsidRPr="00082954">
        <w:rPr>
          <w:iCs/>
        </w:rPr>
        <w:t>Odefsey</w:t>
      </w:r>
      <w:proofErr w:type="spellEnd"/>
      <w:r w:rsidR="003958F4" w:rsidRPr="00082954">
        <w:rPr>
          <w:iCs/>
          <w:vertAlign w:val="superscript"/>
        </w:rPr>
        <w:t>®</w:t>
      </w:r>
      <w:r w:rsidR="003958F4" w:rsidRPr="00082954">
        <w:rPr>
          <w:iCs/>
        </w:rPr>
        <w:t xml:space="preserve"> </w:t>
      </w:r>
      <w:r w:rsidR="00A2061F" w:rsidRPr="00082954">
        <w:rPr>
          <w:iCs/>
        </w:rPr>
        <w:t>(</w:t>
      </w:r>
      <w:proofErr w:type="spellStart"/>
      <w:r w:rsidR="00A2061F" w:rsidRPr="00082954">
        <w:rPr>
          <w:iCs/>
        </w:rPr>
        <w:t>emtricitabine</w:t>
      </w:r>
      <w:proofErr w:type="spellEnd"/>
      <w:r w:rsidR="00A2061F" w:rsidRPr="00082954">
        <w:rPr>
          <w:iCs/>
        </w:rPr>
        <w:t xml:space="preserve"> and </w:t>
      </w:r>
      <w:proofErr w:type="spellStart"/>
      <w:r w:rsidR="00A2061F" w:rsidRPr="00082954">
        <w:rPr>
          <w:iCs/>
        </w:rPr>
        <w:t>tenofovir</w:t>
      </w:r>
      <w:proofErr w:type="spellEnd"/>
      <w:r w:rsidR="00A2061F" w:rsidRPr="00082954">
        <w:rPr>
          <w:iCs/>
        </w:rPr>
        <w:t xml:space="preserve"> </w:t>
      </w:r>
      <w:proofErr w:type="spellStart"/>
      <w:r w:rsidR="00A2061F" w:rsidRPr="00082954">
        <w:rPr>
          <w:iCs/>
        </w:rPr>
        <w:t>alafenamide</w:t>
      </w:r>
      <w:proofErr w:type="spellEnd"/>
      <w:r w:rsidR="00A2061F" w:rsidRPr="00082954">
        <w:rPr>
          <w:iCs/>
        </w:rPr>
        <w:t xml:space="preserve">) </w:t>
      </w:r>
      <w:r w:rsidR="003958F4" w:rsidRPr="00082954">
        <w:rPr>
          <w:iCs/>
        </w:rPr>
        <w:t>were administered.</w:t>
      </w:r>
      <w:r w:rsidR="00215293" w:rsidRPr="00082954">
        <w:rPr>
          <w:iCs/>
        </w:rPr>
        <w:t xml:space="preserve"> </w:t>
      </w:r>
      <w:r w:rsidR="00340C03" w:rsidRPr="00082954">
        <w:rPr>
          <w:iCs/>
        </w:rPr>
        <w:t xml:space="preserve">However, the basis of the selection of </w:t>
      </w:r>
      <w:r w:rsidR="00310B05" w:rsidRPr="00082954">
        <w:rPr>
          <w:iCs/>
        </w:rPr>
        <w:t xml:space="preserve">supplementary </w:t>
      </w:r>
      <w:r w:rsidR="00340C03" w:rsidRPr="00082954">
        <w:rPr>
          <w:iCs/>
        </w:rPr>
        <w:t>trials</w:t>
      </w:r>
      <w:r w:rsidR="0005389F" w:rsidRPr="00082954">
        <w:rPr>
          <w:iCs/>
        </w:rPr>
        <w:t xml:space="preserve"> was unclear as there appeared to be other trials with </w:t>
      </w:r>
      <w:proofErr w:type="spellStart"/>
      <w:r w:rsidR="0005389F" w:rsidRPr="00082954">
        <w:rPr>
          <w:iCs/>
        </w:rPr>
        <w:t>tenofovir</w:t>
      </w:r>
      <w:proofErr w:type="spellEnd"/>
      <w:r w:rsidR="0005389F" w:rsidRPr="00082954">
        <w:rPr>
          <w:iCs/>
        </w:rPr>
        <w:t xml:space="preserve"> </w:t>
      </w:r>
      <w:proofErr w:type="spellStart"/>
      <w:r w:rsidR="0005389F" w:rsidRPr="00082954">
        <w:rPr>
          <w:iCs/>
        </w:rPr>
        <w:t>alafenamide</w:t>
      </w:r>
      <w:proofErr w:type="spellEnd"/>
      <w:r w:rsidR="00832C01" w:rsidRPr="00082954">
        <w:rPr>
          <w:iCs/>
        </w:rPr>
        <w:t xml:space="preserve"> being conducted or completed</w:t>
      </w:r>
      <w:r w:rsidR="0005389F" w:rsidRPr="00082954">
        <w:rPr>
          <w:iCs/>
        </w:rPr>
        <w:t>.</w:t>
      </w:r>
    </w:p>
    <w:p w:rsidR="0078481F" w:rsidRPr="00082954" w:rsidRDefault="0078481F" w:rsidP="0078481F">
      <w:pPr>
        <w:pStyle w:val="ListParagraph"/>
        <w:rPr>
          <w:iCs/>
        </w:rPr>
      </w:pPr>
    </w:p>
    <w:p w:rsidR="006B77A6" w:rsidRPr="00082954" w:rsidRDefault="0078481F" w:rsidP="008E6158">
      <w:pPr>
        <w:pStyle w:val="ListParagraph"/>
        <w:widowControl/>
        <w:numPr>
          <w:ilvl w:val="1"/>
          <w:numId w:val="6"/>
        </w:numPr>
        <w:rPr>
          <w:szCs w:val="22"/>
        </w:rPr>
      </w:pPr>
      <w:r w:rsidRPr="00082954">
        <w:rPr>
          <w:iCs/>
        </w:rPr>
        <w:t>T</w:t>
      </w:r>
      <w:r w:rsidR="00215293" w:rsidRPr="00082954">
        <w:rPr>
          <w:iCs/>
        </w:rPr>
        <w:t xml:space="preserve">he submission presented very limited safety data on </w:t>
      </w:r>
      <w:proofErr w:type="spellStart"/>
      <w:r w:rsidR="00215293" w:rsidRPr="00082954">
        <w:rPr>
          <w:iCs/>
        </w:rPr>
        <w:t>rilpivirine</w:t>
      </w:r>
      <w:proofErr w:type="spellEnd"/>
      <w:r w:rsidR="00215293" w:rsidRPr="00082954">
        <w:rPr>
          <w:iCs/>
        </w:rPr>
        <w:t>.</w:t>
      </w:r>
    </w:p>
    <w:p w:rsidR="006B77A6" w:rsidRPr="00082954" w:rsidRDefault="006B77A6" w:rsidP="00914F20">
      <w:pPr>
        <w:pStyle w:val="ListParagraph"/>
        <w:widowControl/>
        <w:rPr>
          <w:szCs w:val="22"/>
        </w:rPr>
      </w:pPr>
    </w:p>
    <w:p w:rsidR="00A340C7" w:rsidRPr="00F728C7" w:rsidRDefault="003D26D2" w:rsidP="00A340C7">
      <w:pPr>
        <w:pStyle w:val="ListParagraph"/>
        <w:widowControl/>
        <w:numPr>
          <w:ilvl w:val="1"/>
          <w:numId w:val="6"/>
        </w:numPr>
        <w:rPr>
          <w:szCs w:val="22"/>
        </w:rPr>
      </w:pPr>
      <w:r w:rsidRPr="00082954">
        <w:t>A s</w:t>
      </w:r>
      <w:r w:rsidR="00CC6AA6" w:rsidRPr="00082954">
        <w:t xml:space="preserve">imilar </w:t>
      </w:r>
      <w:r w:rsidRPr="00082954">
        <w:t xml:space="preserve">proportion </w:t>
      </w:r>
      <w:r w:rsidR="00CC6AA6" w:rsidRPr="00082954">
        <w:t xml:space="preserve">of patients experienced any treatment-emergent adverse event between arms within Studies 1089, 104 and 111; and discontinuation of study drug due to an adverse event was infrequent. Commonly reported treatment-emergent adverse events included diarrhoea, nausea, upper respiratory tract infection, </w:t>
      </w:r>
      <w:proofErr w:type="spellStart"/>
      <w:r w:rsidR="00CC6AA6" w:rsidRPr="00082954">
        <w:t>nasopharyngitis</w:t>
      </w:r>
      <w:proofErr w:type="spellEnd"/>
      <w:r w:rsidR="00CC6AA6" w:rsidRPr="00082954">
        <w:t>, headache, back pain and arthralgia.</w:t>
      </w:r>
      <w:r w:rsidR="00770B49" w:rsidRPr="00082954">
        <w:t xml:space="preserve"> </w:t>
      </w:r>
      <w:r w:rsidR="00770B49" w:rsidRPr="00082954">
        <w:rPr>
          <w:iCs/>
        </w:rPr>
        <w:t xml:space="preserve">The incidence of adverse </w:t>
      </w:r>
      <w:r w:rsidR="00770B49" w:rsidRPr="00F728C7">
        <w:rPr>
          <w:iCs/>
        </w:rPr>
        <w:t>events was higher in Studies 104 and 111 compared with Study 1089, which is consistent with treatment-naïve versus treatment-experienced populations, longer duration of follow-up in Studies 104 and 111, and may or may not be related to the different ART regimens.</w:t>
      </w:r>
    </w:p>
    <w:p w:rsidR="00770B49" w:rsidRPr="00F728C7" w:rsidRDefault="00770B49" w:rsidP="00770B49">
      <w:pPr>
        <w:pStyle w:val="ListParagraph"/>
        <w:rPr>
          <w:szCs w:val="22"/>
        </w:rPr>
      </w:pPr>
    </w:p>
    <w:p w:rsidR="00770B49" w:rsidRPr="00F728C7" w:rsidRDefault="00770B49" w:rsidP="00770B49">
      <w:pPr>
        <w:pStyle w:val="ListParagraph"/>
        <w:widowControl/>
        <w:numPr>
          <w:ilvl w:val="1"/>
          <w:numId w:val="6"/>
        </w:numPr>
        <w:rPr>
          <w:szCs w:val="22"/>
        </w:rPr>
      </w:pPr>
      <w:r w:rsidRPr="00F728C7">
        <w:t>One patient died in Study 1089 due to lymphoma, three in Study 104 due to embolic stroke, cardiac arrest and lung non-small cell carcinoma, and three patients died in Study 111 due to alcohol intoxication, myocardial infarction and recreational drug overdose; none of the deaths were considered related to the study drug.</w:t>
      </w:r>
    </w:p>
    <w:p w:rsidR="00106D33" w:rsidRPr="00F728C7" w:rsidRDefault="00106D33" w:rsidP="00106D33">
      <w:pPr>
        <w:pStyle w:val="ListParagraph"/>
        <w:widowControl/>
        <w:rPr>
          <w:szCs w:val="22"/>
        </w:rPr>
      </w:pPr>
    </w:p>
    <w:p w:rsidR="00770B49" w:rsidRPr="00D96801" w:rsidRDefault="00770B49" w:rsidP="00D96801">
      <w:pPr>
        <w:pStyle w:val="ListParagraph"/>
        <w:widowControl/>
        <w:numPr>
          <w:ilvl w:val="1"/>
          <w:numId w:val="6"/>
        </w:numPr>
        <w:rPr>
          <w:rFonts w:ascii="Times New Roman" w:hAnsi="Times New Roman" w:cs="Times New Roman"/>
          <w:sz w:val="24"/>
          <w:szCs w:val="24"/>
          <w:lang w:eastAsia="en-AU"/>
        </w:rPr>
      </w:pPr>
      <w:r w:rsidRPr="00F728C7">
        <w:t xml:space="preserve">Adverse events and laboratory abnormalities related to lipids were more commonly reported in the </w:t>
      </w:r>
      <w:proofErr w:type="spellStart"/>
      <w:r w:rsidRPr="00F728C7">
        <w:t>tenofovir</w:t>
      </w:r>
      <w:proofErr w:type="spellEnd"/>
      <w:r w:rsidRPr="00F728C7">
        <w:t xml:space="preserve"> </w:t>
      </w:r>
      <w:proofErr w:type="spellStart"/>
      <w:r w:rsidRPr="00F728C7">
        <w:t>alafenamide</w:t>
      </w:r>
      <w:proofErr w:type="spellEnd"/>
      <w:r w:rsidRPr="00F728C7">
        <w:t xml:space="preserve"> arms (</w:t>
      </w:r>
      <w:proofErr w:type="spellStart"/>
      <w:r w:rsidRPr="00F728C7">
        <w:t>Descovy</w:t>
      </w:r>
      <w:proofErr w:type="spellEnd"/>
      <w:r w:rsidRPr="00F728C7">
        <w:rPr>
          <w:vertAlign w:val="superscript"/>
        </w:rPr>
        <w:t xml:space="preserve">® </w:t>
      </w:r>
      <w:r w:rsidRPr="00F728C7">
        <w:t xml:space="preserve">and </w:t>
      </w:r>
      <w:proofErr w:type="spellStart"/>
      <w:r w:rsidRPr="00F728C7">
        <w:t>Genvoya</w:t>
      </w:r>
      <w:proofErr w:type="spellEnd"/>
      <w:r w:rsidRPr="00F728C7">
        <w:rPr>
          <w:vertAlign w:val="superscript"/>
        </w:rPr>
        <w:t>®</w:t>
      </w:r>
      <w:r w:rsidRPr="00F728C7">
        <w:t xml:space="preserve">) compared to the </w:t>
      </w:r>
      <w:proofErr w:type="spellStart"/>
      <w:r w:rsidRPr="00F728C7">
        <w:t>tenofovir</w:t>
      </w:r>
      <w:proofErr w:type="spellEnd"/>
      <w:r w:rsidRPr="00F728C7">
        <w:t xml:space="preserve"> </w:t>
      </w:r>
      <w:proofErr w:type="spellStart"/>
      <w:r w:rsidRPr="00F728C7">
        <w:t>disoproxil</w:t>
      </w:r>
      <w:proofErr w:type="spellEnd"/>
      <w:r w:rsidRPr="00F728C7">
        <w:t xml:space="preserve"> </w:t>
      </w:r>
      <w:proofErr w:type="spellStart"/>
      <w:r w:rsidRPr="00F728C7">
        <w:t>fumarate</w:t>
      </w:r>
      <w:proofErr w:type="spellEnd"/>
      <w:r w:rsidRPr="00F728C7">
        <w:t xml:space="preserve"> arms (</w:t>
      </w:r>
      <w:proofErr w:type="spellStart"/>
      <w:r w:rsidRPr="00F728C7">
        <w:t>Truvada</w:t>
      </w:r>
      <w:proofErr w:type="spellEnd"/>
      <w:r w:rsidRPr="00F728C7">
        <w:rPr>
          <w:vertAlign w:val="superscript"/>
        </w:rPr>
        <w:t>®</w:t>
      </w:r>
      <w:r w:rsidRPr="00F728C7">
        <w:t xml:space="preserve"> and </w:t>
      </w:r>
      <w:proofErr w:type="spellStart"/>
      <w:r w:rsidRPr="00F728C7">
        <w:t>Stribild</w:t>
      </w:r>
      <w:proofErr w:type="spellEnd"/>
      <w:r w:rsidRPr="00F728C7">
        <w:rPr>
          <w:vertAlign w:val="superscript"/>
        </w:rPr>
        <w:t>®</w:t>
      </w:r>
      <w:r w:rsidRPr="00F728C7">
        <w:t xml:space="preserve">) in Studies 1089, 104 and 111, however they were generally non-serious and rarely led to discontinuation. </w:t>
      </w:r>
      <w:r w:rsidRPr="00F728C7">
        <w:lastRenderedPageBreak/>
        <w:t>The submission stated that while the change in lipid profiles was statistically</w:t>
      </w:r>
      <w:r w:rsidRPr="00082954">
        <w:t xml:space="preserve"> significant with a greater increase in median values in the </w:t>
      </w:r>
      <w:proofErr w:type="spellStart"/>
      <w:r w:rsidRPr="00082954">
        <w:t>tenofovir</w:t>
      </w:r>
      <w:proofErr w:type="spellEnd"/>
      <w:r w:rsidRPr="00082954">
        <w:t xml:space="preserve"> </w:t>
      </w:r>
      <w:proofErr w:type="spellStart"/>
      <w:r w:rsidRPr="00082954">
        <w:t>alafenamide</w:t>
      </w:r>
      <w:proofErr w:type="spellEnd"/>
      <w:r w:rsidRPr="00082954">
        <w:t xml:space="preserve"> arm, the clinical relevance of this finding is unclear.</w:t>
      </w:r>
      <w:r w:rsidR="00D96801">
        <w:t xml:space="preserve"> The PBAC noted</w:t>
      </w:r>
      <w:r w:rsidR="002D6868">
        <w:t xml:space="preserve"> that</w:t>
      </w:r>
      <w:r w:rsidR="00D96801">
        <w:t xml:space="preserve"> the</w:t>
      </w:r>
      <w:r w:rsidR="002D6868">
        <w:t xml:space="preserve"> </w:t>
      </w:r>
      <w:r w:rsidR="00D96801">
        <w:t>lipid abnormalities</w:t>
      </w:r>
      <w:r w:rsidR="002D6868">
        <w:t xml:space="preserve"> may be relevant </w:t>
      </w:r>
      <w:r w:rsidR="000A5CF9">
        <w:t xml:space="preserve">as a </w:t>
      </w:r>
      <w:r w:rsidR="007A164E">
        <w:t>risk</w:t>
      </w:r>
      <w:r w:rsidR="002D6868">
        <w:t xml:space="preserve"> factor </w:t>
      </w:r>
      <w:r w:rsidR="007A164E">
        <w:t>for</w:t>
      </w:r>
      <w:r w:rsidR="00516FCA">
        <w:t xml:space="preserve"> future</w:t>
      </w:r>
      <w:r w:rsidR="002D6868">
        <w:t xml:space="preserve"> cardiac events</w:t>
      </w:r>
      <w:r w:rsidR="00D96801">
        <w:t>, but from the limited short term data provided the PBAC is u</w:t>
      </w:r>
      <w:r w:rsidR="00516FCA">
        <w:t xml:space="preserve">ncertain </w:t>
      </w:r>
      <w:r w:rsidR="00D96801">
        <w:t>as to the clinical significance of these results.</w:t>
      </w:r>
    </w:p>
    <w:p w:rsidR="00A340C7" w:rsidRPr="00082954" w:rsidRDefault="00A340C7" w:rsidP="00A340C7">
      <w:pPr>
        <w:pStyle w:val="ListParagraph"/>
        <w:rPr>
          <w:szCs w:val="22"/>
        </w:rPr>
      </w:pPr>
    </w:p>
    <w:p w:rsidR="00865DCD" w:rsidRPr="00082954" w:rsidRDefault="00865DCD" w:rsidP="007E2363">
      <w:pPr>
        <w:pStyle w:val="ListParagraph"/>
        <w:widowControl/>
        <w:numPr>
          <w:ilvl w:val="1"/>
          <w:numId w:val="6"/>
        </w:numPr>
        <w:rPr>
          <w:iCs/>
          <w:szCs w:val="22"/>
        </w:rPr>
      </w:pPr>
      <w:r w:rsidRPr="00082954">
        <w:rPr>
          <w:szCs w:val="22"/>
        </w:rPr>
        <w:t xml:space="preserve">The submission claimed </w:t>
      </w:r>
      <w:r w:rsidR="005F139F">
        <w:rPr>
          <w:szCs w:val="22"/>
        </w:rPr>
        <w:t xml:space="preserve">that </w:t>
      </w:r>
      <w:proofErr w:type="spellStart"/>
      <w:r w:rsidR="009E5D4C" w:rsidRPr="00082954">
        <w:rPr>
          <w:szCs w:val="22"/>
        </w:rPr>
        <w:t>tenofovir</w:t>
      </w:r>
      <w:proofErr w:type="spellEnd"/>
      <w:r w:rsidR="00E0395F" w:rsidRPr="00082954">
        <w:rPr>
          <w:szCs w:val="22"/>
        </w:rPr>
        <w:t xml:space="preserve"> </w:t>
      </w:r>
      <w:proofErr w:type="spellStart"/>
      <w:r w:rsidR="00E0395F" w:rsidRPr="00082954">
        <w:rPr>
          <w:szCs w:val="22"/>
        </w:rPr>
        <w:t>alafenamide</w:t>
      </w:r>
      <w:proofErr w:type="spellEnd"/>
      <w:r w:rsidR="00E0395F" w:rsidRPr="00082954">
        <w:rPr>
          <w:szCs w:val="22"/>
        </w:rPr>
        <w:t xml:space="preserve"> </w:t>
      </w:r>
      <w:r w:rsidR="005F139F">
        <w:rPr>
          <w:szCs w:val="22"/>
        </w:rPr>
        <w:t xml:space="preserve">was associated with a favourable safety profile </w:t>
      </w:r>
      <w:r w:rsidR="00E0395F" w:rsidRPr="00082954">
        <w:rPr>
          <w:szCs w:val="22"/>
        </w:rPr>
        <w:t xml:space="preserve">over </w:t>
      </w:r>
      <w:proofErr w:type="spellStart"/>
      <w:r w:rsidR="00E0395F" w:rsidRPr="00082954">
        <w:rPr>
          <w:szCs w:val="22"/>
        </w:rPr>
        <w:t>tenofovir</w:t>
      </w:r>
      <w:proofErr w:type="spellEnd"/>
      <w:r w:rsidR="00E0395F" w:rsidRPr="00082954">
        <w:rPr>
          <w:szCs w:val="22"/>
        </w:rPr>
        <w:t xml:space="preserve"> </w:t>
      </w:r>
      <w:proofErr w:type="spellStart"/>
      <w:r w:rsidR="004D5B80" w:rsidRPr="00082954">
        <w:t>disoproxil</w:t>
      </w:r>
      <w:proofErr w:type="spellEnd"/>
      <w:r w:rsidR="004D5B80" w:rsidRPr="00082954">
        <w:t xml:space="preserve"> </w:t>
      </w:r>
      <w:proofErr w:type="spellStart"/>
      <w:r w:rsidR="004D5B80" w:rsidRPr="00082954">
        <w:t>fumarate</w:t>
      </w:r>
      <w:proofErr w:type="spellEnd"/>
      <w:r w:rsidR="00D16570" w:rsidRPr="00082954">
        <w:rPr>
          <w:szCs w:val="22"/>
        </w:rPr>
        <w:t xml:space="preserve"> on </w:t>
      </w:r>
      <w:r w:rsidR="005F139F">
        <w:rPr>
          <w:szCs w:val="22"/>
        </w:rPr>
        <w:t xml:space="preserve">the basis of </w:t>
      </w:r>
      <w:r w:rsidR="00D16570" w:rsidRPr="00082954">
        <w:rPr>
          <w:szCs w:val="22"/>
        </w:rPr>
        <w:t>parameters associated with renal and bone toxicities.</w:t>
      </w:r>
      <w:r w:rsidR="007E2363" w:rsidRPr="00082954">
        <w:rPr>
          <w:szCs w:val="22"/>
        </w:rPr>
        <w:t xml:space="preserve"> </w:t>
      </w:r>
    </w:p>
    <w:p w:rsidR="00BD51C0" w:rsidRPr="00082954" w:rsidRDefault="00BD51C0" w:rsidP="00BD51C0">
      <w:pPr>
        <w:pStyle w:val="ListParagraph"/>
        <w:rPr>
          <w:iCs/>
          <w:szCs w:val="22"/>
        </w:rPr>
      </w:pPr>
    </w:p>
    <w:p w:rsidR="00BD51C0" w:rsidRPr="00082954" w:rsidRDefault="005F139F" w:rsidP="00761879">
      <w:pPr>
        <w:pStyle w:val="ListParagraph"/>
        <w:numPr>
          <w:ilvl w:val="1"/>
          <w:numId w:val="6"/>
        </w:numPr>
        <w:rPr>
          <w:iCs/>
          <w:szCs w:val="22"/>
        </w:rPr>
      </w:pPr>
      <w:r w:rsidRPr="00B70ACD">
        <w:rPr>
          <w:iCs/>
          <w:szCs w:val="22"/>
        </w:rPr>
        <w:t>At its November 2015 meeting, t</w:t>
      </w:r>
      <w:r w:rsidR="001A6B90" w:rsidRPr="00B70ACD">
        <w:rPr>
          <w:iCs/>
          <w:szCs w:val="22"/>
        </w:rPr>
        <w:t xml:space="preserve">he PBAC </w:t>
      </w:r>
      <w:r w:rsidRPr="00B70ACD">
        <w:rPr>
          <w:iCs/>
          <w:szCs w:val="22"/>
        </w:rPr>
        <w:t>recommend</w:t>
      </w:r>
      <w:r w:rsidR="001A6B90" w:rsidRPr="00B70ACD">
        <w:rPr>
          <w:iCs/>
          <w:szCs w:val="22"/>
        </w:rPr>
        <w:t xml:space="preserve">ed that </w:t>
      </w:r>
      <w:proofErr w:type="spellStart"/>
      <w:r w:rsidR="001A6B90" w:rsidRPr="00B70ACD">
        <w:rPr>
          <w:iCs/>
          <w:szCs w:val="22"/>
        </w:rPr>
        <w:t>Genvoya</w:t>
      </w:r>
      <w:proofErr w:type="spellEnd"/>
      <w:r w:rsidR="001A6B90" w:rsidRPr="00B70ACD">
        <w:rPr>
          <w:iCs/>
          <w:szCs w:val="22"/>
          <w:vertAlign w:val="superscript"/>
        </w:rPr>
        <w:t>®</w:t>
      </w:r>
      <w:r w:rsidR="001A6B90" w:rsidRPr="00B70ACD">
        <w:rPr>
          <w:iCs/>
          <w:szCs w:val="22"/>
        </w:rPr>
        <w:t xml:space="preserve"> was non-inferior to </w:t>
      </w:r>
      <w:proofErr w:type="spellStart"/>
      <w:r w:rsidR="001A6B90" w:rsidRPr="00B70ACD">
        <w:rPr>
          <w:iCs/>
          <w:szCs w:val="22"/>
        </w:rPr>
        <w:t>Stribild</w:t>
      </w:r>
      <w:proofErr w:type="spellEnd"/>
      <w:r w:rsidR="001A6B90" w:rsidRPr="00B70ACD">
        <w:rPr>
          <w:iCs/>
          <w:szCs w:val="22"/>
          <w:vertAlign w:val="superscript"/>
        </w:rPr>
        <w:t>®</w:t>
      </w:r>
      <w:r w:rsidR="00FD1F13" w:rsidRPr="00B70ACD">
        <w:rPr>
          <w:iCs/>
          <w:szCs w:val="22"/>
        </w:rPr>
        <w:t xml:space="preserve"> </w:t>
      </w:r>
      <w:r w:rsidR="00A428F7" w:rsidRPr="00B70ACD">
        <w:rPr>
          <w:iCs/>
          <w:szCs w:val="22"/>
        </w:rPr>
        <w:t xml:space="preserve">in terms of </w:t>
      </w:r>
      <w:r w:rsidR="001A6B90" w:rsidRPr="00B70ACD">
        <w:rPr>
          <w:iCs/>
          <w:szCs w:val="22"/>
        </w:rPr>
        <w:t>comparative efficacy and safety</w:t>
      </w:r>
      <w:r w:rsidR="00B70ACD">
        <w:rPr>
          <w:iCs/>
          <w:szCs w:val="22"/>
        </w:rPr>
        <w:t xml:space="preserve"> on the basis of 48 weeks of safety data.</w:t>
      </w:r>
      <w:r w:rsidR="001A6B90" w:rsidRPr="00B70ACD">
        <w:rPr>
          <w:iCs/>
          <w:szCs w:val="22"/>
        </w:rPr>
        <w:t xml:space="preserve"> </w:t>
      </w:r>
      <w:r w:rsidR="001A6B90" w:rsidRPr="00082954">
        <w:rPr>
          <w:iCs/>
          <w:szCs w:val="22"/>
        </w:rPr>
        <w:t xml:space="preserve">The additional 96 week safety data </w:t>
      </w:r>
      <w:r w:rsidR="000D51FB" w:rsidRPr="00082954">
        <w:rPr>
          <w:iCs/>
          <w:szCs w:val="22"/>
        </w:rPr>
        <w:t>from Stud</w:t>
      </w:r>
      <w:r w:rsidR="004272E9" w:rsidRPr="00082954">
        <w:rPr>
          <w:iCs/>
          <w:szCs w:val="22"/>
        </w:rPr>
        <w:t>ies</w:t>
      </w:r>
      <w:r w:rsidR="000D51FB" w:rsidRPr="00082954">
        <w:rPr>
          <w:iCs/>
          <w:szCs w:val="22"/>
        </w:rPr>
        <w:t xml:space="preserve"> 104 and 1</w:t>
      </w:r>
      <w:r w:rsidR="004272E9" w:rsidRPr="00082954">
        <w:rPr>
          <w:iCs/>
          <w:szCs w:val="22"/>
        </w:rPr>
        <w:t>11</w:t>
      </w:r>
      <w:r w:rsidR="000D51FB" w:rsidRPr="00082954">
        <w:rPr>
          <w:iCs/>
          <w:szCs w:val="22"/>
        </w:rPr>
        <w:t xml:space="preserve"> </w:t>
      </w:r>
      <w:r w:rsidR="00B70ACD">
        <w:rPr>
          <w:iCs/>
          <w:szCs w:val="22"/>
        </w:rPr>
        <w:t xml:space="preserve">provided in this submission </w:t>
      </w:r>
      <w:r w:rsidR="001A6B90" w:rsidRPr="00082954">
        <w:rPr>
          <w:iCs/>
          <w:szCs w:val="22"/>
        </w:rPr>
        <w:t xml:space="preserve">still </w:t>
      </w:r>
      <w:r w:rsidR="000D51FB" w:rsidRPr="00082954">
        <w:rPr>
          <w:iCs/>
          <w:szCs w:val="22"/>
        </w:rPr>
        <w:t xml:space="preserve">mostly </w:t>
      </w:r>
      <w:r w:rsidR="001A6B90" w:rsidRPr="00082954">
        <w:rPr>
          <w:iCs/>
          <w:szCs w:val="22"/>
        </w:rPr>
        <w:t>relate</w:t>
      </w:r>
      <w:r>
        <w:rPr>
          <w:iCs/>
          <w:szCs w:val="22"/>
        </w:rPr>
        <w:t>d</w:t>
      </w:r>
      <w:r w:rsidR="001A6B90" w:rsidRPr="00082954">
        <w:rPr>
          <w:iCs/>
          <w:szCs w:val="22"/>
        </w:rPr>
        <w:t xml:space="preserve"> to surrogate markers of renal impairment and osteoporosis/</w:t>
      </w:r>
      <w:r w:rsidR="007A4BA0" w:rsidRPr="00082954">
        <w:rPr>
          <w:iCs/>
          <w:szCs w:val="22"/>
        </w:rPr>
        <w:t xml:space="preserve"> </w:t>
      </w:r>
      <w:r w:rsidR="001A6B90" w:rsidRPr="00082954">
        <w:rPr>
          <w:iCs/>
          <w:szCs w:val="22"/>
        </w:rPr>
        <w:t xml:space="preserve">osteopenia. </w:t>
      </w:r>
      <w:r w:rsidR="000D51FB" w:rsidRPr="00082954">
        <w:rPr>
          <w:iCs/>
          <w:szCs w:val="22"/>
        </w:rPr>
        <w:t xml:space="preserve">While there were some data on renal events and </w:t>
      </w:r>
      <w:r w:rsidR="0000182C" w:rsidRPr="00082954">
        <w:rPr>
          <w:iCs/>
          <w:szCs w:val="22"/>
        </w:rPr>
        <w:t>fractures, the low event rate</w:t>
      </w:r>
      <w:r w:rsidR="00E32BB7" w:rsidRPr="00082954">
        <w:rPr>
          <w:iCs/>
          <w:szCs w:val="22"/>
        </w:rPr>
        <w:t>s</w:t>
      </w:r>
      <w:r w:rsidR="0000182C" w:rsidRPr="00082954">
        <w:rPr>
          <w:iCs/>
          <w:szCs w:val="22"/>
        </w:rPr>
        <w:t xml:space="preserve"> </w:t>
      </w:r>
      <w:r w:rsidR="009335D2" w:rsidRPr="00082954">
        <w:rPr>
          <w:iCs/>
          <w:szCs w:val="22"/>
        </w:rPr>
        <w:t xml:space="preserve">precluded meaningful analyses. </w:t>
      </w:r>
      <w:r w:rsidR="001A6B90" w:rsidRPr="00082954">
        <w:rPr>
          <w:iCs/>
          <w:szCs w:val="22"/>
        </w:rPr>
        <w:t xml:space="preserve">The submission did not adequately address the uncertainty of patient relevant safety benefits of </w:t>
      </w:r>
      <w:proofErr w:type="spellStart"/>
      <w:r w:rsidR="001A6B90" w:rsidRPr="00082954">
        <w:rPr>
          <w:iCs/>
          <w:szCs w:val="22"/>
        </w:rPr>
        <w:t>Genvoya</w:t>
      </w:r>
      <w:proofErr w:type="spellEnd"/>
      <w:r w:rsidR="001A6B90" w:rsidRPr="00082954">
        <w:rPr>
          <w:iCs/>
          <w:szCs w:val="22"/>
          <w:vertAlign w:val="superscript"/>
        </w:rPr>
        <w:t>®</w:t>
      </w:r>
      <w:r w:rsidR="001A6B90" w:rsidRPr="00082954">
        <w:rPr>
          <w:iCs/>
          <w:szCs w:val="22"/>
        </w:rPr>
        <w:t xml:space="preserve"> over </w:t>
      </w:r>
      <w:proofErr w:type="spellStart"/>
      <w:proofErr w:type="gramStart"/>
      <w:r w:rsidR="001A6B90" w:rsidRPr="00082954">
        <w:rPr>
          <w:iCs/>
          <w:szCs w:val="22"/>
        </w:rPr>
        <w:t>Stribild</w:t>
      </w:r>
      <w:proofErr w:type="spellEnd"/>
      <w:r w:rsidR="001A6B90" w:rsidRPr="00082954">
        <w:rPr>
          <w:iCs/>
          <w:szCs w:val="22"/>
          <w:vertAlign w:val="superscript"/>
        </w:rPr>
        <w:t>®</w:t>
      </w:r>
      <w:r w:rsidR="001A6B90" w:rsidRPr="00082954">
        <w:rPr>
          <w:iCs/>
          <w:szCs w:val="22"/>
        </w:rPr>
        <w:t>,</w:t>
      </w:r>
      <w:proofErr w:type="gramEnd"/>
      <w:r w:rsidR="001A6B90" w:rsidRPr="00082954">
        <w:rPr>
          <w:iCs/>
          <w:szCs w:val="22"/>
        </w:rPr>
        <w:t xml:space="preserve"> and by inference </w:t>
      </w:r>
      <w:proofErr w:type="spellStart"/>
      <w:r w:rsidR="001A6B90" w:rsidRPr="00082954">
        <w:rPr>
          <w:iCs/>
          <w:szCs w:val="22"/>
        </w:rPr>
        <w:t>tenofovir</w:t>
      </w:r>
      <w:proofErr w:type="spellEnd"/>
      <w:r w:rsidR="001A6B90" w:rsidRPr="00082954">
        <w:rPr>
          <w:iCs/>
          <w:szCs w:val="22"/>
        </w:rPr>
        <w:t xml:space="preserve"> </w:t>
      </w:r>
      <w:proofErr w:type="spellStart"/>
      <w:r w:rsidR="001A6B90" w:rsidRPr="00082954">
        <w:rPr>
          <w:iCs/>
          <w:szCs w:val="22"/>
        </w:rPr>
        <w:t>alafenamide</w:t>
      </w:r>
      <w:proofErr w:type="spellEnd"/>
      <w:r w:rsidR="001A6B90" w:rsidRPr="00082954">
        <w:rPr>
          <w:iCs/>
          <w:szCs w:val="22"/>
        </w:rPr>
        <w:t xml:space="preserve"> over </w:t>
      </w:r>
      <w:proofErr w:type="spellStart"/>
      <w:r w:rsidR="001A6B90" w:rsidRPr="00082954">
        <w:rPr>
          <w:iCs/>
          <w:szCs w:val="22"/>
        </w:rPr>
        <w:t>tenofovir</w:t>
      </w:r>
      <w:proofErr w:type="spellEnd"/>
      <w:r w:rsidR="001A6B90" w:rsidRPr="00082954">
        <w:rPr>
          <w:iCs/>
          <w:szCs w:val="22"/>
        </w:rPr>
        <w:t xml:space="preserve"> </w:t>
      </w:r>
      <w:proofErr w:type="spellStart"/>
      <w:r w:rsidR="001A6B90" w:rsidRPr="00082954">
        <w:rPr>
          <w:iCs/>
          <w:szCs w:val="22"/>
        </w:rPr>
        <w:t>disoproxil</w:t>
      </w:r>
      <w:proofErr w:type="spellEnd"/>
      <w:r w:rsidR="001A6B90" w:rsidRPr="00082954">
        <w:rPr>
          <w:iCs/>
          <w:szCs w:val="22"/>
        </w:rPr>
        <w:t xml:space="preserve"> </w:t>
      </w:r>
      <w:proofErr w:type="spellStart"/>
      <w:r w:rsidR="001A6B90" w:rsidRPr="00082954">
        <w:rPr>
          <w:iCs/>
          <w:szCs w:val="22"/>
        </w:rPr>
        <w:t>fumarate</w:t>
      </w:r>
      <w:proofErr w:type="spellEnd"/>
      <w:r w:rsidR="001A6B90" w:rsidRPr="00082954">
        <w:rPr>
          <w:iCs/>
          <w:szCs w:val="22"/>
        </w:rPr>
        <w:t xml:space="preserve">, which is then applied to the comparison of </w:t>
      </w:r>
      <w:proofErr w:type="spellStart"/>
      <w:r w:rsidR="001A6B90" w:rsidRPr="00082954">
        <w:rPr>
          <w:iCs/>
          <w:szCs w:val="22"/>
        </w:rPr>
        <w:t>Odefsey</w:t>
      </w:r>
      <w:proofErr w:type="spellEnd"/>
      <w:r w:rsidR="001A6B90" w:rsidRPr="00082954">
        <w:rPr>
          <w:iCs/>
          <w:szCs w:val="22"/>
          <w:vertAlign w:val="superscript"/>
        </w:rPr>
        <w:t>®</w:t>
      </w:r>
      <w:r w:rsidR="001A6B90" w:rsidRPr="00082954">
        <w:rPr>
          <w:iCs/>
          <w:szCs w:val="22"/>
        </w:rPr>
        <w:t xml:space="preserve"> versus </w:t>
      </w:r>
      <w:proofErr w:type="spellStart"/>
      <w:r w:rsidR="001A6B90" w:rsidRPr="00082954">
        <w:rPr>
          <w:iCs/>
          <w:szCs w:val="22"/>
        </w:rPr>
        <w:t>Eviplera</w:t>
      </w:r>
      <w:proofErr w:type="spellEnd"/>
      <w:r w:rsidR="001A6B90" w:rsidRPr="00082954">
        <w:rPr>
          <w:iCs/>
          <w:szCs w:val="22"/>
          <w:vertAlign w:val="superscript"/>
        </w:rPr>
        <w:t>®</w:t>
      </w:r>
      <w:r w:rsidR="001A6B90" w:rsidRPr="00082954">
        <w:rPr>
          <w:iCs/>
          <w:szCs w:val="22"/>
        </w:rPr>
        <w:t xml:space="preserve">. </w:t>
      </w:r>
    </w:p>
    <w:p w:rsidR="00761879" w:rsidRPr="00B70ACD" w:rsidRDefault="00761879" w:rsidP="005A3BD5">
      <w:pPr>
        <w:pStyle w:val="ListParagraph"/>
        <w:rPr>
          <w:iCs/>
          <w:szCs w:val="22"/>
        </w:rPr>
      </w:pPr>
    </w:p>
    <w:p w:rsidR="002D0428" w:rsidRPr="00082954" w:rsidRDefault="002D0428" w:rsidP="002D0428">
      <w:pPr>
        <w:pStyle w:val="ListParagraph"/>
        <w:numPr>
          <w:ilvl w:val="1"/>
          <w:numId w:val="6"/>
        </w:numPr>
        <w:rPr>
          <w:iCs/>
          <w:szCs w:val="22"/>
        </w:rPr>
      </w:pPr>
      <w:r w:rsidRPr="00082954">
        <w:rPr>
          <w:iCs/>
          <w:szCs w:val="22"/>
        </w:rPr>
        <w:t>The submission did not provide evidence of comparative safety versus non-</w:t>
      </w:r>
      <w:proofErr w:type="spellStart"/>
      <w:r w:rsidRPr="00082954">
        <w:rPr>
          <w:iCs/>
          <w:szCs w:val="22"/>
        </w:rPr>
        <w:t>tenofovir</w:t>
      </w:r>
      <w:proofErr w:type="spellEnd"/>
      <w:r w:rsidRPr="00082954">
        <w:rPr>
          <w:iCs/>
          <w:szCs w:val="22"/>
        </w:rPr>
        <w:t xml:space="preserve"> </w:t>
      </w:r>
      <w:proofErr w:type="spellStart"/>
      <w:r w:rsidRPr="00082954">
        <w:rPr>
          <w:iCs/>
          <w:szCs w:val="22"/>
        </w:rPr>
        <w:t>disoproxil</w:t>
      </w:r>
      <w:proofErr w:type="spellEnd"/>
      <w:r w:rsidRPr="00082954">
        <w:rPr>
          <w:iCs/>
          <w:szCs w:val="22"/>
        </w:rPr>
        <w:t xml:space="preserve"> </w:t>
      </w:r>
      <w:proofErr w:type="spellStart"/>
      <w:r w:rsidRPr="00082954">
        <w:rPr>
          <w:iCs/>
          <w:szCs w:val="22"/>
        </w:rPr>
        <w:t>fumarate</w:t>
      </w:r>
      <w:proofErr w:type="spellEnd"/>
      <w:r w:rsidRPr="00082954">
        <w:rPr>
          <w:iCs/>
          <w:szCs w:val="22"/>
        </w:rPr>
        <w:t xml:space="preserve"> containing highly active antiretroviral therapies. </w:t>
      </w:r>
    </w:p>
    <w:p w:rsidR="00CA1992" w:rsidRPr="00082954" w:rsidRDefault="00CA1992" w:rsidP="00CA1992">
      <w:pPr>
        <w:rPr>
          <w:iCs/>
          <w:szCs w:val="22"/>
        </w:rPr>
      </w:pPr>
    </w:p>
    <w:p w:rsidR="00761879" w:rsidRPr="00082954" w:rsidRDefault="00761879" w:rsidP="00761879">
      <w:pPr>
        <w:pStyle w:val="ListParagraph"/>
        <w:numPr>
          <w:ilvl w:val="1"/>
          <w:numId w:val="6"/>
        </w:numPr>
        <w:rPr>
          <w:iCs/>
          <w:szCs w:val="22"/>
        </w:rPr>
      </w:pPr>
      <w:r w:rsidRPr="00082954">
        <w:rPr>
          <w:iCs/>
          <w:szCs w:val="22"/>
        </w:rPr>
        <w:t xml:space="preserve">There were limited long-term safety data of ARTs regimens containing </w:t>
      </w:r>
      <w:proofErr w:type="spellStart"/>
      <w:r w:rsidRPr="00082954">
        <w:rPr>
          <w:iCs/>
          <w:szCs w:val="22"/>
        </w:rPr>
        <w:t>tenofovir</w:t>
      </w:r>
      <w:proofErr w:type="spellEnd"/>
      <w:r w:rsidRPr="00082954">
        <w:rPr>
          <w:iCs/>
          <w:szCs w:val="22"/>
        </w:rPr>
        <w:t xml:space="preserve"> </w:t>
      </w:r>
      <w:proofErr w:type="spellStart"/>
      <w:r w:rsidRPr="00082954">
        <w:rPr>
          <w:iCs/>
          <w:szCs w:val="22"/>
        </w:rPr>
        <w:t>alafenamide</w:t>
      </w:r>
      <w:proofErr w:type="spellEnd"/>
      <w:r w:rsidRPr="00082954">
        <w:rPr>
          <w:iCs/>
          <w:szCs w:val="22"/>
        </w:rPr>
        <w:t>.</w:t>
      </w:r>
    </w:p>
    <w:p w:rsidR="00B60939" w:rsidRDefault="00B60939" w:rsidP="007F1017">
      <w:pPr>
        <w:pStyle w:val="ListParagraph"/>
        <w:ind w:left="0"/>
        <w:rPr>
          <w:szCs w:val="22"/>
        </w:rPr>
      </w:pPr>
    </w:p>
    <w:p w:rsidR="00B60939" w:rsidRPr="002C2775" w:rsidRDefault="00B60939" w:rsidP="00495439">
      <w:pPr>
        <w:pStyle w:val="Heading3"/>
      </w:pPr>
      <w:bookmarkStart w:id="9" w:name="_Toc451425484"/>
      <w:r w:rsidRPr="002C2775">
        <w:t>Clinical claim</w:t>
      </w:r>
      <w:bookmarkEnd w:id="9"/>
    </w:p>
    <w:p w:rsidR="00B60939" w:rsidRPr="00882085" w:rsidRDefault="00B60939" w:rsidP="00B60939">
      <w:pPr>
        <w:ind w:left="720" w:hanging="720"/>
        <w:rPr>
          <w:szCs w:val="22"/>
        </w:rPr>
      </w:pPr>
    </w:p>
    <w:p w:rsidR="00B60939" w:rsidRPr="00585BB3" w:rsidRDefault="00C33FAA" w:rsidP="006E6FD7">
      <w:pPr>
        <w:pStyle w:val="ListParagraph"/>
        <w:widowControl/>
        <w:numPr>
          <w:ilvl w:val="1"/>
          <w:numId w:val="6"/>
        </w:numPr>
        <w:rPr>
          <w:szCs w:val="22"/>
        </w:rPr>
      </w:pPr>
      <w:r w:rsidRPr="00082954">
        <w:t xml:space="preserve">The submission described </w:t>
      </w:r>
      <w:proofErr w:type="spellStart"/>
      <w:r w:rsidRPr="00082954">
        <w:t>Odefsey</w:t>
      </w:r>
      <w:proofErr w:type="spellEnd"/>
      <w:r w:rsidRPr="00082954">
        <w:rPr>
          <w:vertAlign w:val="superscript"/>
        </w:rPr>
        <w:t xml:space="preserve">® </w:t>
      </w:r>
      <w:r w:rsidRPr="00082954">
        <w:t xml:space="preserve">as non-inferior in terms of comparative efficacy and non-inferior in terms of comparative safety versus </w:t>
      </w:r>
      <w:proofErr w:type="spellStart"/>
      <w:r w:rsidRPr="00082954">
        <w:t>Eviplera</w:t>
      </w:r>
      <w:proofErr w:type="spellEnd"/>
      <w:r w:rsidRPr="00082954">
        <w:rPr>
          <w:vertAlign w:val="superscript"/>
        </w:rPr>
        <w:t>®</w:t>
      </w:r>
      <w:r w:rsidRPr="00082954">
        <w:t xml:space="preserve">, with a favourable safety profile. </w:t>
      </w:r>
    </w:p>
    <w:p w:rsidR="004F24D6" w:rsidRDefault="004F24D6" w:rsidP="00495439">
      <w:pPr>
        <w:pStyle w:val="PBACHeading1"/>
        <w:numPr>
          <w:ilvl w:val="0"/>
          <w:numId w:val="0"/>
        </w:numPr>
        <w:ind w:left="720"/>
      </w:pPr>
      <w:bookmarkStart w:id="10" w:name="_Toc451425485"/>
    </w:p>
    <w:p w:rsidR="005F139F" w:rsidRPr="005F139F" w:rsidRDefault="005F139F" w:rsidP="005F139F">
      <w:pPr>
        <w:pStyle w:val="ListParagraph"/>
        <w:widowControl/>
        <w:numPr>
          <w:ilvl w:val="1"/>
          <w:numId w:val="6"/>
        </w:numPr>
        <w:jc w:val="left"/>
        <w:rPr>
          <w:bCs/>
        </w:rPr>
      </w:pPr>
      <w:r w:rsidRPr="005F139F">
        <w:rPr>
          <w:bCs/>
          <w:szCs w:val="22"/>
        </w:rPr>
        <w:t>The PBAC considered that the claim of non-inferior comparative effectiveness was reasonable.</w:t>
      </w:r>
    </w:p>
    <w:p w:rsidR="005F139F" w:rsidRPr="005F139F" w:rsidRDefault="005F139F" w:rsidP="005F139F">
      <w:pPr>
        <w:pStyle w:val="ListParagraph"/>
        <w:rPr>
          <w:szCs w:val="22"/>
        </w:rPr>
      </w:pPr>
    </w:p>
    <w:p w:rsidR="00A03A25" w:rsidRPr="005F139F" w:rsidRDefault="00A03A25" w:rsidP="00A03A25">
      <w:pPr>
        <w:pStyle w:val="ListParagraph"/>
        <w:widowControl/>
        <w:numPr>
          <w:ilvl w:val="1"/>
          <w:numId w:val="6"/>
        </w:numPr>
      </w:pPr>
      <w:r w:rsidRPr="00521DD0">
        <w:rPr>
          <w:szCs w:val="22"/>
        </w:rPr>
        <w:t>The PBAC considered that the claim of</w:t>
      </w:r>
      <w:r w:rsidR="00F728C7">
        <w:rPr>
          <w:szCs w:val="22"/>
        </w:rPr>
        <w:t xml:space="preserve"> a</w:t>
      </w:r>
      <w:r w:rsidRPr="00521DD0">
        <w:rPr>
          <w:szCs w:val="22"/>
        </w:rPr>
        <w:t xml:space="preserve"> “favourable” safety </w:t>
      </w:r>
      <w:r w:rsidR="00F728C7">
        <w:rPr>
          <w:szCs w:val="22"/>
        </w:rPr>
        <w:t xml:space="preserve">profile </w:t>
      </w:r>
      <w:r w:rsidRPr="00521DD0">
        <w:rPr>
          <w:szCs w:val="22"/>
        </w:rPr>
        <w:t xml:space="preserve">was not adequately supported by the data. </w:t>
      </w:r>
      <w:r w:rsidR="00B24A6D" w:rsidRPr="00521DD0">
        <w:rPr>
          <w:szCs w:val="22"/>
        </w:rPr>
        <w:t>In forming</w:t>
      </w:r>
      <w:r w:rsidRPr="00521DD0">
        <w:rPr>
          <w:szCs w:val="22"/>
        </w:rPr>
        <w:t xml:space="preserve"> its view, the PBAC recalled </w:t>
      </w:r>
      <w:r w:rsidR="00DF2D12" w:rsidRPr="00521DD0">
        <w:rPr>
          <w:szCs w:val="22"/>
        </w:rPr>
        <w:t>its</w:t>
      </w:r>
      <w:r w:rsidRPr="00521DD0">
        <w:rPr>
          <w:szCs w:val="22"/>
        </w:rPr>
        <w:t xml:space="preserve"> recommendation at its meeting of November 2015 to list </w:t>
      </w:r>
      <w:proofErr w:type="spellStart"/>
      <w:r w:rsidRPr="00521DD0">
        <w:rPr>
          <w:szCs w:val="22"/>
        </w:rPr>
        <w:t>Genvoya</w:t>
      </w:r>
      <w:proofErr w:type="spellEnd"/>
      <w:r w:rsidRPr="00521DD0">
        <w:rPr>
          <w:szCs w:val="22"/>
        </w:rPr>
        <w:t xml:space="preserve">® and noted that </w:t>
      </w:r>
      <w:r w:rsidR="005F139F" w:rsidRPr="00521DD0">
        <w:rPr>
          <w:szCs w:val="22"/>
        </w:rPr>
        <w:t xml:space="preserve">at that time </w:t>
      </w:r>
      <w:r w:rsidRPr="00521DD0">
        <w:rPr>
          <w:szCs w:val="22"/>
        </w:rPr>
        <w:t>it had considered 48 weeks of safety data</w:t>
      </w:r>
      <w:r w:rsidR="00B24A6D" w:rsidRPr="00521DD0">
        <w:rPr>
          <w:szCs w:val="22"/>
        </w:rPr>
        <w:t xml:space="preserve">. The </w:t>
      </w:r>
      <w:proofErr w:type="spellStart"/>
      <w:r w:rsidR="00B24A6D" w:rsidRPr="00521DD0">
        <w:rPr>
          <w:szCs w:val="22"/>
        </w:rPr>
        <w:t>Odef</w:t>
      </w:r>
      <w:r w:rsidRPr="00521DD0">
        <w:rPr>
          <w:szCs w:val="22"/>
        </w:rPr>
        <w:t>sey</w:t>
      </w:r>
      <w:proofErr w:type="spellEnd"/>
      <w:r w:rsidRPr="00521DD0">
        <w:rPr>
          <w:szCs w:val="22"/>
        </w:rPr>
        <w:t>® submission includes the same data plus an additional 48 weeks of longer term safety data (total of 96 weeks)</w:t>
      </w:r>
      <w:r w:rsidR="00B70ACD" w:rsidRPr="00521DD0">
        <w:rPr>
          <w:szCs w:val="22"/>
        </w:rPr>
        <w:t xml:space="preserve">. However PBAC remained of the view </w:t>
      </w:r>
      <w:r w:rsidR="00B70ACD">
        <w:rPr>
          <w:szCs w:val="22"/>
        </w:rPr>
        <w:t xml:space="preserve">that </w:t>
      </w:r>
      <w:r w:rsidRPr="005F139F">
        <w:rPr>
          <w:szCs w:val="22"/>
        </w:rPr>
        <w:t xml:space="preserve">it was difficult to discern any clinically meaningful safety advantage/s </w:t>
      </w:r>
      <w:proofErr w:type="spellStart"/>
      <w:r w:rsidRPr="005F139F">
        <w:rPr>
          <w:szCs w:val="22"/>
        </w:rPr>
        <w:t>Genvoya</w:t>
      </w:r>
      <w:proofErr w:type="spellEnd"/>
      <w:r w:rsidRPr="005F139F">
        <w:rPr>
          <w:szCs w:val="22"/>
        </w:rPr>
        <w:t xml:space="preserve">® had over </w:t>
      </w:r>
      <w:proofErr w:type="spellStart"/>
      <w:r w:rsidRPr="005F139F">
        <w:rPr>
          <w:szCs w:val="22"/>
        </w:rPr>
        <w:t>Stribild</w:t>
      </w:r>
      <w:proofErr w:type="spellEnd"/>
      <w:r w:rsidRPr="005F139F">
        <w:rPr>
          <w:szCs w:val="22"/>
        </w:rPr>
        <w:t xml:space="preserve">® and </w:t>
      </w:r>
      <w:r w:rsidRPr="005F139F">
        <w:rPr>
          <w:iCs/>
          <w:szCs w:val="22"/>
        </w:rPr>
        <w:t xml:space="preserve">by inference </w:t>
      </w:r>
      <w:proofErr w:type="spellStart"/>
      <w:r w:rsidRPr="005F139F">
        <w:rPr>
          <w:iCs/>
          <w:szCs w:val="22"/>
        </w:rPr>
        <w:t>tenofovir</w:t>
      </w:r>
      <w:proofErr w:type="spellEnd"/>
      <w:r w:rsidRPr="005F139F">
        <w:rPr>
          <w:iCs/>
          <w:szCs w:val="22"/>
        </w:rPr>
        <w:t xml:space="preserve"> </w:t>
      </w:r>
      <w:proofErr w:type="spellStart"/>
      <w:r w:rsidRPr="005F139F">
        <w:rPr>
          <w:iCs/>
          <w:szCs w:val="22"/>
        </w:rPr>
        <w:t>alafenamide</w:t>
      </w:r>
      <w:proofErr w:type="spellEnd"/>
      <w:r w:rsidRPr="005F139F">
        <w:rPr>
          <w:iCs/>
          <w:szCs w:val="22"/>
        </w:rPr>
        <w:t xml:space="preserve"> over </w:t>
      </w:r>
      <w:proofErr w:type="spellStart"/>
      <w:r w:rsidRPr="005F139F">
        <w:rPr>
          <w:iCs/>
          <w:szCs w:val="22"/>
        </w:rPr>
        <w:t>tenofovir</w:t>
      </w:r>
      <w:proofErr w:type="spellEnd"/>
      <w:r w:rsidRPr="005F139F">
        <w:rPr>
          <w:iCs/>
          <w:szCs w:val="22"/>
        </w:rPr>
        <w:t xml:space="preserve"> </w:t>
      </w:r>
      <w:proofErr w:type="spellStart"/>
      <w:r w:rsidRPr="005F139F">
        <w:rPr>
          <w:iCs/>
          <w:szCs w:val="22"/>
        </w:rPr>
        <w:t>disoproxil</w:t>
      </w:r>
      <w:proofErr w:type="spellEnd"/>
      <w:r w:rsidRPr="005F139F">
        <w:rPr>
          <w:iCs/>
          <w:szCs w:val="22"/>
        </w:rPr>
        <w:t xml:space="preserve"> </w:t>
      </w:r>
      <w:proofErr w:type="spellStart"/>
      <w:r w:rsidRPr="005F139F">
        <w:rPr>
          <w:iCs/>
          <w:szCs w:val="22"/>
        </w:rPr>
        <w:t>fumarate</w:t>
      </w:r>
      <w:proofErr w:type="spellEnd"/>
      <w:r w:rsidRPr="005F139F">
        <w:rPr>
          <w:szCs w:val="22"/>
        </w:rPr>
        <w:t xml:space="preserve">. </w:t>
      </w:r>
    </w:p>
    <w:p w:rsidR="001E7016" w:rsidRPr="001E7016" w:rsidRDefault="001E7016" w:rsidP="001E7016"/>
    <w:p w:rsidR="00B60939" w:rsidRPr="00DD77D3" w:rsidRDefault="00B60939" w:rsidP="00495439">
      <w:pPr>
        <w:pStyle w:val="Heading3"/>
      </w:pPr>
      <w:r w:rsidRPr="002C2775">
        <w:t xml:space="preserve">Economic </w:t>
      </w:r>
      <w:r w:rsidRPr="00DD77D3">
        <w:t>analysis</w:t>
      </w:r>
      <w:bookmarkEnd w:id="10"/>
      <w:r w:rsidR="00491B3A" w:rsidRPr="00DD77D3">
        <w:t xml:space="preserve"> </w:t>
      </w:r>
    </w:p>
    <w:p w:rsidR="00B60939" w:rsidRPr="00DB1490" w:rsidRDefault="00B60939" w:rsidP="00B60939">
      <w:pPr>
        <w:ind w:left="720" w:hanging="720"/>
        <w:rPr>
          <w:szCs w:val="22"/>
        </w:rPr>
      </w:pPr>
    </w:p>
    <w:p w:rsidR="00B60939" w:rsidRPr="00082954" w:rsidRDefault="00FF5A10" w:rsidP="006E6FD7">
      <w:pPr>
        <w:pStyle w:val="ListParagraph"/>
        <w:numPr>
          <w:ilvl w:val="1"/>
          <w:numId w:val="6"/>
        </w:numPr>
      </w:pPr>
      <w:r w:rsidRPr="00082954">
        <w:t xml:space="preserve">The submission presented a cost-minimisation analysis. </w:t>
      </w:r>
    </w:p>
    <w:p w:rsidR="00275C5A" w:rsidRPr="00082954" w:rsidRDefault="00275C5A" w:rsidP="00275C5A">
      <w:pPr>
        <w:widowControl/>
        <w:rPr>
          <w:szCs w:val="22"/>
        </w:rPr>
      </w:pPr>
    </w:p>
    <w:p w:rsidR="00FF5A10" w:rsidRPr="00082954" w:rsidRDefault="00EC60A7" w:rsidP="00F728C7">
      <w:pPr>
        <w:pStyle w:val="ListParagraph"/>
        <w:widowControl/>
        <w:numPr>
          <w:ilvl w:val="1"/>
          <w:numId w:val="6"/>
        </w:numPr>
      </w:pPr>
      <w:r w:rsidRPr="00082954">
        <w:lastRenderedPageBreak/>
        <w:t>The submission stat</w:t>
      </w:r>
      <w:r w:rsidR="00D96B8D" w:rsidRPr="00082954">
        <w:t xml:space="preserve">ed that </w:t>
      </w:r>
      <w:r w:rsidR="00F728C7">
        <w:t xml:space="preserve">one </w:t>
      </w:r>
      <w:proofErr w:type="spellStart"/>
      <w:r w:rsidRPr="00082954">
        <w:t>Odefsey</w:t>
      </w:r>
      <w:proofErr w:type="spellEnd"/>
      <w:r w:rsidRPr="00082954">
        <w:rPr>
          <w:vertAlign w:val="superscript"/>
        </w:rPr>
        <w:t>®</w:t>
      </w:r>
      <w:r w:rsidRPr="00082954">
        <w:t xml:space="preserve"> </w:t>
      </w:r>
      <w:r w:rsidR="00F728C7">
        <w:t>tablet (</w:t>
      </w:r>
      <w:proofErr w:type="spellStart"/>
      <w:r w:rsidR="00F728C7" w:rsidRPr="00F728C7">
        <w:t>rilpivirine</w:t>
      </w:r>
      <w:proofErr w:type="spellEnd"/>
      <w:r w:rsidR="00F728C7" w:rsidRPr="00F728C7">
        <w:t xml:space="preserve"> 25mg + </w:t>
      </w:r>
      <w:proofErr w:type="spellStart"/>
      <w:r w:rsidR="00F728C7" w:rsidRPr="00F728C7">
        <w:t>emtricitabine</w:t>
      </w:r>
      <w:proofErr w:type="spellEnd"/>
      <w:r w:rsidR="00F728C7" w:rsidRPr="00F728C7">
        <w:t xml:space="preserve"> 200mg + </w:t>
      </w:r>
      <w:proofErr w:type="spellStart"/>
      <w:r w:rsidR="00F728C7" w:rsidRPr="00F728C7">
        <w:t>tenofovir</w:t>
      </w:r>
      <w:proofErr w:type="spellEnd"/>
      <w:r w:rsidR="00F728C7" w:rsidRPr="00F728C7">
        <w:t xml:space="preserve"> </w:t>
      </w:r>
      <w:proofErr w:type="spellStart"/>
      <w:r w:rsidR="00F728C7" w:rsidRPr="00F728C7">
        <w:t>alafenamide</w:t>
      </w:r>
      <w:proofErr w:type="spellEnd"/>
      <w:r w:rsidR="00F728C7" w:rsidRPr="00F728C7">
        <w:t xml:space="preserve"> 25mg) </w:t>
      </w:r>
      <w:r w:rsidR="00F728C7">
        <w:t>and</w:t>
      </w:r>
      <w:r w:rsidR="00F728C7" w:rsidRPr="00F728C7">
        <w:t xml:space="preserve"> </w:t>
      </w:r>
      <w:r w:rsidR="00F728C7">
        <w:t xml:space="preserve">one </w:t>
      </w:r>
      <w:proofErr w:type="spellStart"/>
      <w:r w:rsidR="00F728C7" w:rsidRPr="00F728C7">
        <w:t>Eviplera</w:t>
      </w:r>
      <w:proofErr w:type="spellEnd"/>
      <w:r w:rsidR="00F728C7" w:rsidRPr="00F728C7">
        <w:t xml:space="preserve">® </w:t>
      </w:r>
      <w:r w:rsidR="00F728C7">
        <w:t xml:space="preserve">tablet </w:t>
      </w:r>
      <w:r w:rsidR="00F728C7" w:rsidRPr="00F728C7">
        <w:t>(</w:t>
      </w:r>
      <w:proofErr w:type="spellStart"/>
      <w:r w:rsidR="00F728C7" w:rsidRPr="00F728C7">
        <w:t>tenofovir</w:t>
      </w:r>
      <w:proofErr w:type="spellEnd"/>
      <w:r w:rsidR="00F728C7" w:rsidRPr="00F728C7">
        <w:t xml:space="preserve"> </w:t>
      </w:r>
      <w:proofErr w:type="spellStart"/>
      <w:r w:rsidR="00F728C7" w:rsidRPr="00F728C7">
        <w:t>disoproxil</w:t>
      </w:r>
      <w:proofErr w:type="spellEnd"/>
      <w:r w:rsidR="00F728C7" w:rsidRPr="00F728C7">
        <w:t xml:space="preserve"> </w:t>
      </w:r>
      <w:proofErr w:type="spellStart"/>
      <w:r w:rsidR="00F728C7" w:rsidRPr="00F728C7">
        <w:t>fumarate</w:t>
      </w:r>
      <w:proofErr w:type="spellEnd"/>
      <w:r w:rsidR="00F728C7" w:rsidRPr="00F728C7">
        <w:t xml:space="preserve"> 300 mg + </w:t>
      </w:r>
      <w:proofErr w:type="spellStart"/>
      <w:r w:rsidR="00F728C7" w:rsidRPr="00F728C7">
        <w:t>emtricitabine</w:t>
      </w:r>
      <w:proofErr w:type="spellEnd"/>
      <w:r w:rsidR="00F728C7" w:rsidRPr="00F728C7">
        <w:t xml:space="preserve"> 200 mg + </w:t>
      </w:r>
      <w:proofErr w:type="spellStart"/>
      <w:r w:rsidR="00F728C7" w:rsidRPr="00F728C7">
        <w:t>rilpivirine</w:t>
      </w:r>
      <w:proofErr w:type="spellEnd"/>
      <w:r w:rsidR="00F728C7" w:rsidRPr="00F728C7">
        <w:t xml:space="preserve"> 25 mg</w:t>
      </w:r>
      <w:r w:rsidR="005637FC" w:rsidRPr="00082954">
        <w:t>)</w:t>
      </w:r>
      <w:r w:rsidR="00F728C7">
        <w:t xml:space="preserve"> once daily </w:t>
      </w:r>
      <w:r w:rsidRPr="00082954">
        <w:t xml:space="preserve">are </w:t>
      </w:r>
      <w:proofErr w:type="spellStart"/>
      <w:r w:rsidRPr="00082954">
        <w:t>equi</w:t>
      </w:r>
      <w:proofErr w:type="spellEnd"/>
      <w:r w:rsidRPr="00082954">
        <w:t xml:space="preserve">-effective. </w:t>
      </w:r>
      <w:r w:rsidR="00111AAD">
        <w:t xml:space="preserve">The PBAC accepted these </w:t>
      </w:r>
      <w:proofErr w:type="spellStart"/>
      <w:r w:rsidR="00111AAD">
        <w:t>equi</w:t>
      </w:r>
      <w:proofErr w:type="spellEnd"/>
      <w:r w:rsidR="00111AAD">
        <w:t>-effective doses.</w:t>
      </w:r>
    </w:p>
    <w:p w:rsidR="003C32E3" w:rsidRPr="00082954" w:rsidRDefault="003C32E3" w:rsidP="003C32E3">
      <w:pPr>
        <w:widowControl/>
      </w:pPr>
    </w:p>
    <w:p w:rsidR="00F26B37" w:rsidRPr="00082954" w:rsidRDefault="002F131D" w:rsidP="006E6FD7">
      <w:pPr>
        <w:pStyle w:val="ListParagraph"/>
        <w:widowControl/>
        <w:numPr>
          <w:ilvl w:val="1"/>
          <w:numId w:val="6"/>
        </w:numPr>
      </w:pPr>
      <w:r w:rsidRPr="00082954">
        <w:t xml:space="preserve">The basis for the </w:t>
      </w:r>
      <w:proofErr w:type="spellStart"/>
      <w:r w:rsidRPr="00082954">
        <w:t>equi</w:t>
      </w:r>
      <w:proofErr w:type="spellEnd"/>
      <w:r w:rsidRPr="00082954">
        <w:t xml:space="preserve">-effective doses were: the </w:t>
      </w:r>
      <w:proofErr w:type="spellStart"/>
      <w:r w:rsidRPr="00082954">
        <w:t>emtricitabine</w:t>
      </w:r>
      <w:proofErr w:type="spellEnd"/>
      <w:r w:rsidRPr="00082954">
        <w:t xml:space="preserve"> and </w:t>
      </w:r>
      <w:proofErr w:type="spellStart"/>
      <w:r w:rsidRPr="00082954">
        <w:t>tenofovir</w:t>
      </w:r>
      <w:proofErr w:type="spellEnd"/>
      <w:r w:rsidRPr="00082954">
        <w:t xml:space="preserve"> </w:t>
      </w:r>
      <w:proofErr w:type="spellStart"/>
      <w:r w:rsidRPr="00082954">
        <w:t>alafenamide</w:t>
      </w:r>
      <w:proofErr w:type="spellEnd"/>
      <w:r w:rsidRPr="00082954">
        <w:t xml:space="preserve"> components of </w:t>
      </w:r>
      <w:proofErr w:type="spellStart"/>
      <w:r w:rsidRPr="00082954">
        <w:t>Odefsey</w:t>
      </w:r>
      <w:proofErr w:type="spellEnd"/>
      <w:r w:rsidRPr="00082954">
        <w:rPr>
          <w:vertAlign w:val="superscript"/>
        </w:rPr>
        <w:t>®</w:t>
      </w:r>
      <w:r w:rsidRPr="00082954">
        <w:t xml:space="preserve"> are bioequivalent to those components obtained from </w:t>
      </w:r>
      <w:proofErr w:type="spellStart"/>
      <w:r w:rsidRPr="00082954">
        <w:t>Genvoya</w:t>
      </w:r>
      <w:proofErr w:type="spellEnd"/>
      <w:r w:rsidRPr="00082954">
        <w:rPr>
          <w:vertAlign w:val="superscript"/>
        </w:rPr>
        <w:t>®</w:t>
      </w:r>
      <w:r w:rsidRPr="00082954">
        <w:t xml:space="preserve"> and the </w:t>
      </w:r>
      <w:proofErr w:type="spellStart"/>
      <w:r w:rsidRPr="00082954">
        <w:t>rilpivirine</w:t>
      </w:r>
      <w:proofErr w:type="spellEnd"/>
      <w:r w:rsidRPr="00082954">
        <w:t xml:space="preserve"> component of </w:t>
      </w:r>
      <w:proofErr w:type="spellStart"/>
      <w:r w:rsidRPr="00082954">
        <w:t>Odefsey</w:t>
      </w:r>
      <w:proofErr w:type="spellEnd"/>
      <w:r w:rsidRPr="00082954">
        <w:rPr>
          <w:vertAlign w:val="superscript"/>
        </w:rPr>
        <w:t>®</w:t>
      </w:r>
      <w:r w:rsidRPr="00082954">
        <w:t xml:space="preserve"> i</w:t>
      </w:r>
      <w:r w:rsidR="00C25805" w:rsidRPr="00082954">
        <w:t xml:space="preserve">s bioequivalent to </w:t>
      </w:r>
      <w:proofErr w:type="spellStart"/>
      <w:r w:rsidR="00C25805" w:rsidRPr="00082954">
        <w:t>rilpivirine</w:t>
      </w:r>
      <w:proofErr w:type="spellEnd"/>
      <w:r w:rsidR="00C25805" w:rsidRPr="00082954">
        <w:t xml:space="preserve"> </w:t>
      </w:r>
      <w:r w:rsidRPr="00082954">
        <w:t xml:space="preserve">as </w:t>
      </w:r>
      <w:proofErr w:type="spellStart"/>
      <w:r w:rsidRPr="00082954">
        <w:t>Edurant</w:t>
      </w:r>
      <w:proofErr w:type="spellEnd"/>
      <w:r w:rsidRPr="00082954">
        <w:rPr>
          <w:vertAlign w:val="superscript"/>
        </w:rPr>
        <w:t>®</w:t>
      </w:r>
      <w:r w:rsidRPr="00082954">
        <w:t xml:space="preserve">; and the doses of </w:t>
      </w:r>
      <w:proofErr w:type="spellStart"/>
      <w:r w:rsidRPr="00082954">
        <w:t>Eviplera</w:t>
      </w:r>
      <w:proofErr w:type="spellEnd"/>
      <w:r w:rsidRPr="00082954">
        <w:rPr>
          <w:vertAlign w:val="superscript"/>
        </w:rPr>
        <w:t>®</w:t>
      </w:r>
      <w:r w:rsidRPr="00082954">
        <w:t xml:space="preserve"> and </w:t>
      </w:r>
      <w:proofErr w:type="spellStart"/>
      <w:r w:rsidRPr="00082954">
        <w:t>Odefsey</w:t>
      </w:r>
      <w:proofErr w:type="spellEnd"/>
      <w:r w:rsidRPr="00082954">
        <w:rPr>
          <w:vertAlign w:val="superscript"/>
        </w:rPr>
        <w:t>®</w:t>
      </w:r>
      <w:r w:rsidRPr="00082954">
        <w:t xml:space="preserve"> were consistent with dosing regimens outlined in their respective Product Information documents.</w:t>
      </w:r>
    </w:p>
    <w:p w:rsidR="00F65782" w:rsidRPr="00082954" w:rsidRDefault="00F26B37" w:rsidP="00F26B37">
      <w:pPr>
        <w:widowControl/>
      </w:pPr>
      <w:r w:rsidRPr="00082954">
        <w:t xml:space="preserve"> </w:t>
      </w:r>
    </w:p>
    <w:p w:rsidR="00F65782" w:rsidRPr="00082954" w:rsidRDefault="00F65782" w:rsidP="006E6FD7">
      <w:pPr>
        <w:pStyle w:val="ListParagraph"/>
        <w:widowControl/>
        <w:numPr>
          <w:ilvl w:val="1"/>
          <w:numId w:val="6"/>
        </w:numPr>
      </w:pPr>
      <w:r w:rsidRPr="00082954">
        <w:t xml:space="preserve">The submission presented a cost-minimisation analysis based on drug cost only. No differences were assumed in the utilisation of other healthcare resources. </w:t>
      </w:r>
    </w:p>
    <w:p w:rsidR="00F65782" w:rsidRDefault="00F65782" w:rsidP="00F65782"/>
    <w:p w:rsidR="00F65782" w:rsidRPr="00E276F6" w:rsidRDefault="00F65782" w:rsidP="009C12CF">
      <w:pPr>
        <w:ind w:left="720"/>
        <w:rPr>
          <w:rFonts w:ascii="Arial Narrow" w:hAnsi="Arial Narrow"/>
          <w:b/>
          <w:bCs/>
          <w:sz w:val="20"/>
        </w:rPr>
      </w:pPr>
      <w:r>
        <w:rPr>
          <w:rFonts w:ascii="Arial Narrow" w:hAnsi="Arial Narrow"/>
          <w:b/>
          <w:bCs/>
          <w:sz w:val="20"/>
          <w:szCs w:val="16"/>
        </w:rPr>
        <w:t>Table</w:t>
      </w:r>
      <w:r w:rsidR="009C12CF">
        <w:rPr>
          <w:rFonts w:ascii="Arial Narrow" w:hAnsi="Arial Narrow"/>
          <w:b/>
          <w:bCs/>
          <w:sz w:val="20"/>
          <w:szCs w:val="16"/>
        </w:rPr>
        <w:t xml:space="preserve"> 4</w:t>
      </w:r>
      <w:r>
        <w:rPr>
          <w:rFonts w:ascii="Arial Narrow" w:hAnsi="Arial Narrow"/>
          <w:b/>
          <w:bCs/>
          <w:sz w:val="20"/>
          <w:szCs w:val="16"/>
        </w:rPr>
        <w:t xml:space="preserve">: Cost-minimisation analysis </w:t>
      </w:r>
      <w:r>
        <w:rPr>
          <w:rFonts w:ascii="Arial Narrow" w:hAnsi="Arial Narrow"/>
          <w:b/>
          <w:bCs/>
          <w:sz w:val="20"/>
        </w:rPr>
        <w:t>(Highly Specialised Drug Program - Community Access)</w:t>
      </w:r>
    </w:p>
    <w:tbl>
      <w:tblPr>
        <w:tblStyle w:val="TableGrid"/>
        <w:tblW w:w="0" w:type="auto"/>
        <w:tblInd w:w="737" w:type="dxa"/>
        <w:tblCellMar>
          <w:left w:w="28" w:type="dxa"/>
          <w:right w:w="28" w:type="dxa"/>
        </w:tblCellMar>
        <w:tblLook w:val="04A0" w:firstRow="1" w:lastRow="0" w:firstColumn="1" w:lastColumn="0" w:noHBand="0" w:noVBand="1"/>
        <w:tblCaption w:val="Table 4: Cost-minimisation analysis (Highly Specialised Drug Program - Community Access)"/>
      </w:tblPr>
      <w:tblGrid>
        <w:gridCol w:w="851"/>
        <w:gridCol w:w="918"/>
        <w:gridCol w:w="966"/>
        <w:gridCol w:w="882"/>
        <w:gridCol w:w="714"/>
        <w:gridCol w:w="456"/>
        <w:gridCol w:w="850"/>
        <w:gridCol w:w="851"/>
        <w:gridCol w:w="940"/>
        <w:gridCol w:w="885"/>
      </w:tblGrid>
      <w:tr w:rsidR="00F65782" w:rsidRPr="0056706B" w:rsidTr="00272C13">
        <w:trPr>
          <w:cantSplit/>
          <w:tblHeader/>
        </w:trPr>
        <w:tc>
          <w:tcPr>
            <w:tcW w:w="851" w:type="dxa"/>
          </w:tcPr>
          <w:p w:rsidR="00F65782" w:rsidRPr="0056706B" w:rsidRDefault="00F65782" w:rsidP="009703AA">
            <w:pPr>
              <w:rPr>
                <w:rFonts w:ascii="Arial Narrow" w:hAnsi="Arial Narrow"/>
                <w:sz w:val="20"/>
              </w:rPr>
            </w:pPr>
          </w:p>
        </w:tc>
        <w:tc>
          <w:tcPr>
            <w:tcW w:w="918" w:type="dxa"/>
            <w:vAlign w:val="center"/>
          </w:tcPr>
          <w:p w:rsidR="00F65782" w:rsidRPr="0056706B" w:rsidRDefault="00F65782" w:rsidP="009703AA">
            <w:pPr>
              <w:jc w:val="center"/>
              <w:rPr>
                <w:rFonts w:ascii="Arial Narrow" w:hAnsi="Arial Narrow"/>
                <w:b/>
                <w:bCs/>
                <w:sz w:val="20"/>
              </w:rPr>
            </w:pPr>
            <w:r w:rsidRPr="0056706B">
              <w:rPr>
                <w:rFonts w:ascii="Arial Narrow" w:hAnsi="Arial Narrow"/>
                <w:b/>
                <w:bCs/>
                <w:sz w:val="20"/>
              </w:rPr>
              <w:t>Unit</w:t>
            </w:r>
          </w:p>
        </w:tc>
        <w:tc>
          <w:tcPr>
            <w:tcW w:w="966" w:type="dxa"/>
          </w:tcPr>
          <w:p w:rsidR="00F65782" w:rsidRPr="0056706B" w:rsidRDefault="00F65782" w:rsidP="009703AA">
            <w:pPr>
              <w:jc w:val="center"/>
              <w:rPr>
                <w:rFonts w:ascii="Arial Narrow" w:hAnsi="Arial Narrow"/>
                <w:b/>
                <w:bCs/>
                <w:sz w:val="20"/>
              </w:rPr>
            </w:pPr>
            <w:r w:rsidRPr="0056706B">
              <w:rPr>
                <w:rFonts w:ascii="Arial Narrow" w:hAnsi="Arial Narrow"/>
                <w:b/>
                <w:bCs/>
                <w:sz w:val="20"/>
              </w:rPr>
              <w:t>AEMP/unit</w:t>
            </w:r>
          </w:p>
          <w:p w:rsidR="00F65782" w:rsidRPr="0056706B" w:rsidRDefault="00F65782" w:rsidP="009703AA">
            <w:pPr>
              <w:jc w:val="center"/>
              <w:rPr>
                <w:rFonts w:ascii="Arial Narrow" w:hAnsi="Arial Narrow"/>
                <w:b/>
                <w:bCs/>
                <w:sz w:val="20"/>
              </w:rPr>
            </w:pPr>
            <w:r w:rsidRPr="0056706B">
              <w:rPr>
                <w:rFonts w:ascii="Arial Narrow" w:hAnsi="Arial Narrow"/>
                <w:b/>
                <w:bCs/>
                <w:sz w:val="20"/>
              </w:rPr>
              <w:t>(April 2016)</w:t>
            </w:r>
          </w:p>
        </w:tc>
        <w:tc>
          <w:tcPr>
            <w:tcW w:w="882" w:type="dxa"/>
          </w:tcPr>
          <w:p w:rsidR="00F65782" w:rsidRPr="0056706B" w:rsidRDefault="00F65782" w:rsidP="009703AA">
            <w:pPr>
              <w:jc w:val="center"/>
              <w:rPr>
                <w:rFonts w:ascii="Arial Narrow" w:hAnsi="Arial Narrow"/>
                <w:b/>
                <w:bCs/>
                <w:sz w:val="20"/>
              </w:rPr>
            </w:pPr>
            <w:r w:rsidRPr="0056706B">
              <w:rPr>
                <w:rFonts w:ascii="Arial Narrow" w:hAnsi="Arial Narrow"/>
                <w:b/>
                <w:bCs/>
                <w:sz w:val="20"/>
              </w:rPr>
              <w:t>Wholesale mark-up</w:t>
            </w:r>
          </w:p>
        </w:tc>
        <w:tc>
          <w:tcPr>
            <w:tcW w:w="714" w:type="dxa"/>
            <w:vAlign w:val="center"/>
          </w:tcPr>
          <w:p w:rsidR="00F65782" w:rsidRPr="0056706B" w:rsidRDefault="00F65782" w:rsidP="009703AA">
            <w:pPr>
              <w:jc w:val="center"/>
              <w:rPr>
                <w:rFonts w:ascii="Arial Narrow" w:hAnsi="Arial Narrow"/>
                <w:b/>
                <w:bCs/>
                <w:sz w:val="20"/>
              </w:rPr>
            </w:pPr>
            <w:proofErr w:type="spellStart"/>
            <w:r w:rsidRPr="0056706B">
              <w:rPr>
                <w:rFonts w:ascii="Arial Narrow" w:hAnsi="Arial Narrow"/>
                <w:b/>
                <w:bCs/>
                <w:sz w:val="20"/>
              </w:rPr>
              <w:t>PtP</w:t>
            </w:r>
            <w:proofErr w:type="spellEnd"/>
            <w:r w:rsidRPr="0056706B">
              <w:rPr>
                <w:rFonts w:ascii="Arial Narrow" w:hAnsi="Arial Narrow"/>
                <w:b/>
                <w:bCs/>
                <w:sz w:val="20"/>
              </w:rPr>
              <w:t>/unit</w:t>
            </w:r>
          </w:p>
        </w:tc>
        <w:tc>
          <w:tcPr>
            <w:tcW w:w="456" w:type="dxa"/>
            <w:vAlign w:val="center"/>
          </w:tcPr>
          <w:p w:rsidR="00F65782" w:rsidRPr="0056706B" w:rsidRDefault="00F65782" w:rsidP="009703AA">
            <w:pPr>
              <w:jc w:val="center"/>
              <w:rPr>
                <w:rFonts w:ascii="Arial Narrow" w:hAnsi="Arial Narrow"/>
                <w:b/>
                <w:bCs/>
                <w:sz w:val="20"/>
              </w:rPr>
            </w:pPr>
            <w:r w:rsidRPr="0056706B">
              <w:rPr>
                <w:rFonts w:ascii="Arial Narrow" w:hAnsi="Arial Narrow"/>
                <w:b/>
                <w:bCs/>
                <w:sz w:val="20"/>
              </w:rPr>
              <w:t xml:space="preserve">Max </w:t>
            </w:r>
            <w:proofErr w:type="spellStart"/>
            <w:r w:rsidRPr="0056706B">
              <w:rPr>
                <w:rFonts w:ascii="Arial Narrow" w:hAnsi="Arial Narrow"/>
                <w:b/>
                <w:bCs/>
                <w:sz w:val="20"/>
              </w:rPr>
              <w:t>Qty</w:t>
            </w:r>
            <w:proofErr w:type="spellEnd"/>
          </w:p>
        </w:tc>
        <w:tc>
          <w:tcPr>
            <w:tcW w:w="850" w:type="dxa"/>
            <w:vAlign w:val="center"/>
          </w:tcPr>
          <w:p w:rsidR="00F65782" w:rsidRPr="0056706B" w:rsidRDefault="00F65782" w:rsidP="009703AA">
            <w:pPr>
              <w:jc w:val="center"/>
              <w:rPr>
                <w:rFonts w:ascii="Arial Narrow" w:hAnsi="Arial Narrow"/>
                <w:b/>
                <w:bCs/>
                <w:sz w:val="20"/>
              </w:rPr>
            </w:pPr>
            <w:proofErr w:type="spellStart"/>
            <w:r w:rsidRPr="0056706B">
              <w:rPr>
                <w:rFonts w:ascii="Arial Narrow" w:hAnsi="Arial Narrow"/>
                <w:b/>
                <w:bCs/>
                <w:sz w:val="20"/>
              </w:rPr>
              <w:t>PtP</w:t>
            </w:r>
            <w:proofErr w:type="spellEnd"/>
            <w:r w:rsidRPr="0056706B">
              <w:rPr>
                <w:rFonts w:ascii="Arial Narrow" w:hAnsi="Arial Narrow"/>
                <w:b/>
                <w:bCs/>
                <w:sz w:val="20"/>
              </w:rPr>
              <w:t xml:space="preserve">/ </w:t>
            </w:r>
          </w:p>
          <w:p w:rsidR="00F65782" w:rsidRPr="0056706B" w:rsidRDefault="00F65782" w:rsidP="009703AA">
            <w:pPr>
              <w:jc w:val="center"/>
              <w:rPr>
                <w:rFonts w:ascii="Arial Narrow" w:hAnsi="Arial Narrow"/>
                <w:b/>
                <w:bCs/>
                <w:sz w:val="20"/>
              </w:rPr>
            </w:pPr>
            <w:r w:rsidRPr="0056706B">
              <w:rPr>
                <w:rFonts w:ascii="Arial Narrow" w:hAnsi="Arial Narrow"/>
                <w:b/>
                <w:bCs/>
                <w:sz w:val="20"/>
              </w:rPr>
              <w:t xml:space="preserve">Max </w:t>
            </w:r>
            <w:proofErr w:type="spellStart"/>
            <w:r w:rsidRPr="0056706B">
              <w:rPr>
                <w:rFonts w:ascii="Arial Narrow" w:hAnsi="Arial Narrow"/>
                <w:b/>
                <w:bCs/>
                <w:sz w:val="20"/>
              </w:rPr>
              <w:t>Qty</w:t>
            </w:r>
            <w:proofErr w:type="spellEnd"/>
          </w:p>
        </w:tc>
        <w:tc>
          <w:tcPr>
            <w:tcW w:w="851" w:type="dxa"/>
            <w:vAlign w:val="center"/>
          </w:tcPr>
          <w:p w:rsidR="00F65782" w:rsidRPr="0056706B" w:rsidRDefault="00F65782" w:rsidP="009703AA">
            <w:pPr>
              <w:jc w:val="center"/>
              <w:rPr>
                <w:rFonts w:ascii="Arial Narrow" w:hAnsi="Arial Narrow"/>
                <w:b/>
                <w:bCs/>
                <w:sz w:val="20"/>
              </w:rPr>
            </w:pPr>
            <w:r w:rsidRPr="0056706B">
              <w:rPr>
                <w:rFonts w:ascii="Arial Narrow" w:hAnsi="Arial Narrow"/>
                <w:b/>
                <w:bCs/>
                <w:sz w:val="20"/>
              </w:rPr>
              <w:t>Pharmacy mark-up</w:t>
            </w:r>
          </w:p>
        </w:tc>
        <w:tc>
          <w:tcPr>
            <w:tcW w:w="940" w:type="dxa"/>
            <w:vAlign w:val="center"/>
          </w:tcPr>
          <w:p w:rsidR="00F65782" w:rsidRPr="0056706B" w:rsidRDefault="00F65782" w:rsidP="009703AA">
            <w:pPr>
              <w:jc w:val="center"/>
              <w:rPr>
                <w:rFonts w:ascii="Arial Narrow" w:hAnsi="Arial Narrow"/>
                <w:b/>
                <w:bCs/>
                <w:sz w:val="20"/>
              </w:rPr>
            </w:pPr>
            <w:r w:rsidRPr="0056706B">
              <w:rPr>
                <w:rFonts w:ascii="Arial Narrow" w:hAnsi="Arial Narrow"/>
                <w:b/>
                <w:bCs/>
                <w:sz w:val="20"/>
              </w:rPr>
              <w:t>Dispensing fee</w:t>
            </w:r>
          </w:p>
        </w:tc>
        <w:tc>
          <w:tcPr>
            <w:tcW w:w="885" w:type="dxa"/>
            <w:vAlign w:val="center"/>
          </w:tcPr>
          <w:p w:rsidR="00F65782" w:rsidRPr="0056706B" w:rsidRDefault="00F65782" w:rsidP="009703AA">
            <w:pPr>
              <w:jc w:val="center"/>
              <w:rPr>
                <w:rFonts w:ascii="Arial Narrow" w:hAnsi="Arial Narrow"/>
                <w:b/>
                <w:bCs/>
                <w:sz w:val="20"/>
              </w:rPr>
            </w:pPr>
            <w:r w:rsidRPr="0056706B">
              <w:rPr>
                <w:rFonts w:ascii="Arial Narrow" w:hAnsi="Arial Narrow"/>
                <w:b/>
                <w:bCs/>
                <w:sz w:val="20"/>
              </w:rPr>
              <w:t>DPMQ</w:t>
            </w:r>
          </w:p>
        </w:tc>
      </w:tr>
      <w:tr w:rsidR="00F65782" w:rsidRPr="0056706B" w:rsidTr="00272C13">
        <w:trPr>
          <w:cantSplit/>
        </w:trPr>
        <w:tc>
          <w:tcPr>
            <w:tcW w:w="851" w:type="dxa"/>
            <w:vAlign w:val="center"/>
          </w:tcPr>
          <w:p w:rsidR="00F65782" w:rsidRPr="0056706B" w:rsidRDefault="00F65782" w:rsidP="009703AA">
            <w:pPr>
              <w:jc w:val="left"/>
              <w:rPr>
                <w:rFonts w:ascii="Arial Narrow" w:hAnsi="Arial Narrow"/>
                <w:sz w:val="20"/>
              </w:rPr>
            </w:pPr>
            <w:proofErr w:type="spellStart"/>
            <w:r w:rsidRPr="0056706B">
              <w:rPr>
                <w:rFonts w:ascii="Arial Narrow" w:hAnsi="Arial Narrow"/>
                <w:sz w:val="20"/>
              </w:rPr>
              <w:t>Odefsey</w:t>
            </w:r>
            <w:proofErr w:type="spellEnd"/>
            <w:r w:rsidRPr="0056706B">
              <w:rPr>
                <w:rFonts w:ascii="Arial Narrow" w:hAnsi="Arial Narrow"/>
                <w:sz w:val="20"/>
                <w:vertAlign w:val="superscript"/>
              </w:rPr>
              <w:t>®</w:t>
            </w:r>
          </w:p>
        </w:tc>
        <w:tc>
          <w:tcPr>
            <w:tcW w:w="918" w:type="dxa"/>
            <w:vAlign w:val="center"/>
          </w:tcPr>
          <w:p w:rsidR="00F65782" w:rsidRPr="0056706B" w:rsidRDefault="00F65782" w:rsidP="009703AA">
            <w:pPr>
              <w:jc w:val="center"/>
              <w:rPr>
                <w:rFonts w:ascii="Arial Narrow" w:hAnsi="Arial Narrow"/>
                <w:sz w:val="20"/>
              </w:rPr>
            </w:pPr>
            <w:r w:rsidRPr="0056706B">
              <w:rPr>
                <w:rFonts w:ascii="Arial Narrow" w:hAnsi="Arial Narrow"/>
                <w:sz w:val="20"/>
              </w:rPr>
              <w:t xml:space="preserve">1 box </w:t>
            </w:r>
          </w:p>
          <w:p w:rsidR="00F65782" w:rsidRPr="0056706B" w:rsidRDefault="00F65782" w:rsidP="009703AA">
            <w:pPr>
              <w:jc w:val="center"/>
              <w:rPr>
                <w:rFonts w:ascii="Arial Narrow" w:hAnsi="Arial Narrow"/>
                <w:sz w:val="20"/>
              </w:rPr>
            </w:pPr>
            <w:r w:rsidRPr="0056706B">
              <w:rPr>
                <w:rFonts w:ascii="Arial Narrow" w:hAnsi="Arial Narrow"/>
                <w:sz w:val="20"/>
              </w:rPr>
              <w:t>(30 tablets)</w:t>
            </w:r>
          </w:p>
        </w:tc>
        <w:tc>
          <w:tcPr>
            <w:tcW w:w="966" w:type="dxa"/>
            <w:vAlign w:val="center"/>
          </w:tcPr>
          <w:p w:rsidR="00F65782" w:rsidRPr="0056706B" w:rsidRDefault="00F65782" w:rsidP="009703AA">
            <w:pPr>
              <w:jc w:val="center"/>
              <w:rPr>
                <w:rFonts w:ascii="Arial Narrow" w:hAnsi="Arial Narrow"/>
                <w:sz w:val="20"/>
              </w:rPr>
            </w:pPr>
            <w:r w:rsidRPr="0056706B">
              <w:rPr>
                <w:rFonts w:ascii="Arial Narrow" w:hAnsi="Arial Narrow"/>
                <w:sz w:val="20"/>
              </w:rPr>
              <w:t>$</w:t>
            </w:r>
            <w:r w:rsidRPr="00893CC0">
              <w:rPr>
                <w:rFonts w:ascii="Arial Narrow" w:hAnsi="Arial Narrow"/>
                <w:sz w:val="20"/>
              </w:rPr>
              <w:t>998.43</w:t>
            </w:r>
          </w:p>
        </w:tc>
        <w:tc>
          <w:tcPr>
            <w:tcW w:w="882" w:type="dxa"/>
            <w:vAlign w:val="center"/>
          </w:tcPr>
          <w:p w:rsidR="00F65782" w:rsidRPr="0056706B" w:rsidRDefault="00F65782" w:rsidP="009703AA">
            <w:pPr>
              <w:jc w:val="center"/>
              <w:rPr>
                <w:rFonts w:ascii="Arial Narrow" w:hAnsi="Arial Narrow"/>
                <w:sz w:val="20"/>
              </w:rPr>
            </w:pPr>
            <w:r w:rsidRPr="0056706B">
              <w:rPr>
                <w:rFonts w:ascii="Arial Narrow" w:hAnsi="Arial Narrow"/>
                <w:sz w:val="20"/>
              </w:rPr>
              <w:t>-</w:t>
            </w:r>
          </w:p>
        </w:tc>
        <w:tc>
          <w:tcPr>
            <w:tcW w:w="714" w:type="dxa"/>
            <w:vAlign w:val="center"/>
          </w:tcPr>
          <w:p w:rsidR="00F65782" w:rsidRPr="0056706B" w:rsidRDefault="00F65782" w:rsidP="009703AA">
            <w:pPr>
              <w:jc w:val="center"/>
              <w:rPr>
                <w:rFonts w:ascii="Arial Narrow" w:hAnsi="Arial Narrow"/>
                <w:sz w:val="20"/>
              </w:rPr>
            </w:pPr>
            <w:r w:rsidRPr="0056706B">
              <w:rPr>
                <w:rFonts w:ascii="Arial Narrow" w:hAnsi="Arial Narrow"/>
                <w:sz w:val="20"/>
              </w:rPr>
              <w:t>$</w:t>
            </w:r>
            <w:r w:rsidRPr="00893CC0">
              <w:rPr>
                <w:rFonts w:ascii="Arial Narrow" w:hAnsi="Arial Narrow"/>
                <w:sz w:val="20"/>
              </w:rPr>
              <w:t>998.43</w:t>
            </w:r>
          </w:p>
        </w:tc>
        <w:tc>
          <w:tcPr>
            <w:tcW w:w="456" w:type="dxa"/>
            <w:vAlign w:val="center"/>
          </w:tcPr>
          <w:p w:rsidR="00F65782" w:rsidRPr="0056706B" w:rsidRDefault="00F65782" w:rsidP="009703AA">
            <w:pPr>
              <w:jc w:val="center"/>
              <w:rPr>
                <w:rFonts w:ascii="Arial Narrow" w:hAnsi="Arial Narrow"/>
                <w:sz w:val="20"/>
              </w:rPr>
            </w:pPr>
            <w:r w:rsidRPr="0056706B">
              <w:rPr>
                <w:rFonts w:ascii="Arial Narrow" w:hAnsi="Arial Narrow"/>
                <w:sz w:val="20"/>
              </w:rPr>
              <w:t>2</w:t>
            </w:r>
          </w:p>
        </w:tc>
        <w:tc>
          <w:tcPr>
            <w:tcW w:w="850" w:type="dxa"/>
            <w:vAlign w:val="center"/>
          </w:tcPr>
          <w:p w:rsidR="00F65782" w:rsidRPr="0056706B" w:rsidRDefault="00F65782" w:rsidP="009703AA">
            <w:pPr>
              <w:jc w:val="center"/>
              <w:rPr>
                <w:rFonts w:ascii="Arial Narrow" w:hAnsi="Arial Narrow"/>
                <w:sz w:val="20"/>
              </w:rPr>
            </w:pPr>
            <w:r w:rsidRPr="0056706B">
              <w:rPr>
                <w:rFonts w:ascii="Arial Narrow" w:hAnsi="Arial Narrow"/>
                <w:sz w:val="20"/>
              </w:rPr>
              <w:t>$</w:t>
            </w:r>
            <w:r w:rsidRPr="00893CC0">
              <w:rPr>
                <w:rFonts w:ascii="Arial Narrow" w:hAnsi="Arial Narrow"/>
                <w:sz w:val="20"/>
              </w:rPr>
              <w:t>1,996.86</w:t>
            </w:r>
          </w:p>
        </w:tc>
        <w:tc>
          <w:tcPr>
            <w:tcW w:w="851" w:type="dxa"/>
            <w:vAlign w:val="center"/>
          </w:tcPr>
          <w:p w:rsidR="00F65782" w:rsidRPr="0056706B" w:rsidRDefault="00F65782" w:rsidP="009703AA">
            <w:pPr>
              <w:jc w:val="center"/>
              <w:rPr>
                <w:rFonts w:ascii="Arial Narrow" w:hAnsi="Arial Narrow"/>
                <w:sz w:val="20"/>
              </w:rPr>
            </w:pPr>
            <w:r w:rsidRPr="0056706B">
              <w:rPr>
                <w:rFonts w:ascii="Arial Narrow" w:hAnsi="Arial Narrow"/>
                <w:sz w:val="20"/>
              </w:rPr>
              <w:t>$</w:t>
            </w:r>
            <w:r w:rsidRPr="00AD3D6E">
              <w:rPr>
                <w:rFonts w:ascii="Arial Narrow" w:hAnsi="Arial Narrow"/>
                <w:sz w:val="20"/>
              </w:rPr>
              <w:t>40.00</w:t>
            </w:r>
          </w:p>
        </w:tc>
        <w:tc>
          <w:tcPr>
            <w:tcW w:w="940" w:type="dxa"/>
            <w:vAlign w:val="center"/>
          </w:tcPr>
          <w:p w:rsidR="00F65782" w:rsidRPr="0056706B" w:rsidRDefault="00F65782" w:rsidP="009703AA">
            <w:pPr>
              <w:jc w:val="center"/>
              <w:rPr>
                <w:rFonts w:ascii="Arial Narrow" w:hAnsi="Arial Narrow"/>
                <w:sz w:val="20"/>
              </w:rPr>
            </w:pPr>
            <w:r w:rsidRPr="0056706B">
              <w:rPr>
                <w:rFonts w:ascii="Arial Narrow" w:hAnsi="Arial Narrow"/>
                <w:sz w:val="20"/>
              </w:rPr>
              <w:t>$</w:t>
            </w:r>
            <w:r w:rsidRPr="00AD3D6E">
              <w:rPr>
                <w:rFonts w:ascii="Arial Narrow" w:hAnsi="Arial Narrow"/>
                <w:sz w:val="20"/>
              </w:rPr>
              <w:t>6.93</w:t>
            </w:r>
          </w:p>
        </w:tc>
        <w:tc>
          <w:tcPr>
            <w:tcW w:w="885" w:type="dxa"/>
            <w:vAlign w:val="center"/>
          </w:tcPr>
          <w:p w:rsidR="00F65782" w:rsidRPr="0056706B" w:rsidRDefault="00F65782" w:rsidP="009703AA">
            <w:pPr>
              <w:jc w:val="center"/>
              <w:rPr>
                <w:rFonts w:ascii="Arial Narrow" w:hAnsi="Arial Narrow"/>
                <w:sz w:val="20"/>
              </w:rPr>
            </w:pPr>
            <w:r w:rsidRPr="0056706B">
              <w:rPr>
                <w:rFonts w:ascii="Arial Narrow" w:hAnsi="Arial Narrow"/>
                <w:sz w:val="20"/>
              </w:rPr>
              <w:t>$</w:t>
            </w:r>
            <w:r w:rsidRPr="00893CC0">
              <w:rPr>
                <w:rFonts w:ascii="Arial Narrow" w:hAnsi="Arial Narrow"/>
                <w:sz w:val="20"/>
              </w:rPr>
              <w:t>2,043.79</w:t>
            </w:r>
          </w:p>
        </w:tc>
      </w:tr>
      <w:tr w:rsidR="00F65782" w:rsidRPr="0056706B" w:rsidTr="00272C13">
        <w:trPr>
          <w:cantSplit/>
        </w:trPr>
        <w:tc>
          <w:tcPr>
            <w:tcW w:w="851" w:type="dxa"/>
            <w:vAlign w:val="center"/>
          </w:tcPr>
          <w:p w:rsidR="00F65782" w:rsidRPr="0056706B" w:rsidRDefault="00F65782" w:rsidP="009703AA">
            <w:pPr>
              <w:jc w:val="left"/>
              <w:rPr>
                <w:rFonts w:ascii="Arial Narrow" w:hAnsi="Arial Narrow"/>
                <w:sz w:val="20"/>
              </w:rPr>
            </w:pPr>
            <w:proofErr w:type="spellStart"/>
            <w:r w:rsidRPr="0056706B">
              <w:rPr>
                <w:rFonts w:ascii="Arial Narrow" w:hAnsi="Arial Narrow"/>
                <w:sz w:val="20"/>
              </w:rPr>
              <w:t>Eviplera</w:t>
            </w:r>
            <w:proofErr w:type="spellEnd"/>
            <w:r w:rsidRPr="0056706B">
              <w:rPr>
                <w:rFonts w:ascii="Arial Narrow" w:hAnsi="Arial Narrow"/>
                <w:sz w:val="20"/>
                <w:vertAlign w:val="superscript"/>
              </w:rPr>
              <w:t>®</w:t>
            </w:r>
          </w:p>
        </w:tc>
        <w:tc>
          <w:tcPr>
            <w:tcW w:w="918" w:type="dxa"/>
            <w:vAlign w:val="center"/>
          </w:tcPr>
          <w:p w:rsidR="00F65782" w:rsidRPr="0056706B" w:rsidRDefault="00F65782" w:rsidP="009703AA">
            <w:pPr>
              <w:jc w:val="center"/>
              <w:rPr>
                <w:rFonts w:ascii="Arial Narrow" w:hAnsi="Arial Narrow"/>
                <w:sz w:val="20"/>
              </w:rPr>
            </w:pPr>
            <w:r w:rsidRPr="0056706B">
              <w:rPr>
                <w:rFonts w:ascii="Arial Narrow" w:hAnsi="Arial Narrow"/>
                <w:sz w:val="20"/>
              </w:rPr>
              <w:t xml:space="preserve">1 box </w:t>
            </w:r>
          </w:p>
          <w:p w:rsidR="00F65782" w:rsidRPr="0056706B" w:rsidRDefault="00F65782" w:rsidP="009703AA">
            <w:pPr>
              <w:jc w:val="center"/>
              <w:rPr>
                <w:rFonts w:ascii="Arial Narrow" w:hAnsi="Arial Narrow"/>
                <w:sz w:val="20"/>
              </w:rPr>
            </w:pPr>
            <w:r w:rsidRPr="0056706B">
              <w:rPr>
                <w:rFonts w:ascii="Arial Narrow" w:hAnsi="Arial Narrow"/>
                <w:sz w:val="20"/>
              </w:rPr>
              <w:t>(30 tablets)</w:t>
            </w:r>
          </w:p>
        </w:tc>
        <w:tc>
          <w:tcPr>
            <w:tcW w:w="966" w:type="dxa"/>
            <w:vAlign w:val="center"/>
          </w:tcPr>
          <w:p w:rsidR="00F65782" w:rsidRPr="0056706B" w:rsidRDefault="00F65782" w:rsidP="009703AA">
            <w:pPr>
              <w:jc w:val="center"/>
              <w:rPr>
                <w:rFonts w:ascii="Arial Narrow" w:hAnsi="Arial Narrow"/>
                <w:sz w:val="20"/>
              </w:rPr>
            </w:pPr>
            <w:r w:rsidRPr="0056706B">
              <w:rPr>
                <w:rFonts w:ascii="Arial Narrow" w:hAnsi="Arial Narrow"/>
                <w:sz w:val="20"/>
              </w:rPr>
              <w:t>$</w:t>
            </w:r>
            <w:r w:rsidRPr="00AD3D6E">
              <w:rPr>
                <w:rFonts w:ascii="Arial Narrow" w:hAnsi="Arial Narrow"/>
                <w:sz w:val="20"/>
              </w:rPr>
              <w:t>998.43</w:t>
            </w:r>
          </w:p>
        </w:tc>
        <w:tc>
          <w:tcPr>
            <w:tcW w:w="882" w:type="dxa"/>
            <w:vAlign w:val="center"/>
          </w:tcPr>
          <w:p w:rsidR="00F65782" w:rsidRPr="0056706B" w:rsidRDefault="00F65782" w:rsidP="009703AA">
            <w:pPr>
              <w:jc w:val="center"/>
              <w:rPr>
                <w:rFonts w:ascii="Arial Narrow" w:hAnsi="Arial Narrow"/>
                <w:sz w:val="20"/>
              </w:rPr>
            </w:pPr>
            <w:r w:rsidRPr="0056706B">
              <w:rPr>
                <w:rFonts w:ascii="Arial Narrow" w:hAnsi="Arial Narrow"/>
                <w:sz w:val="20"/>
              </w:rPr>
              <w:t>-</w:t>
            </w:r>
          </w:p>
        </w:tc>
        <w:tc>
          <w:tcPr>
            <w:tcW w:w="714" w:type="dxa"/>
            <w:vAlign w:val="center"/>
          </w:tcPr>
          <w:p w:rsidR="00F65782" w:rsidRPr="0056706B" w:rsidRDefault="00F65782" w:rsidP="009703AA">
            <w:pPr>
              <w:jc w:val="center"/>
              <w:rPr>
                <w:rFonts w:ascii="Arial Narrow" w:hAnsi="Arial Narrow"/>
                <w:sz w:val="20"/>
              </w:rPr>
            </w:pPr>
            <w:r w:rsidRPr="0056706B">
              <w:rPr>
                <w:rFonts w:ascii="Arial Narrow" w:hAnsi="Arial Narrow"/>
                <w:sz w:val="20"/>
              </w:rPr>
              <w:t>$</w:t>
            </w:r>
            <w:r w:rsidRPr="00AD3D6E">
              <w:rPr>
                <w:rFonts w:ascii="Arial Narrow" w:hAnsi="Arial Narrow"/>
                <w:sz w:val="20"/>
              </w:rPr>
              <w:t>998.43</w:t>
            </w:r>
          </w:p>
        </w:tc>
        <w:tc>
          <w:tcPr>
            <w:tcW w:w="456" w:type="dxa"/>
            <w:vAlign w:val="center"/>
          </w:tcPr>
          <w:p w:rsidR="00F65782" w:rsidRPr="0056706B" w:rsidRDefault="00F65782" w:rsidP="009703AA">
            <w:pPr>
              <w:jc w:val="center"/>
              <w:rPr>
                <w:rFonts w:ascii="Arial Narrow" w:hAnsi="Arial Narrow"/>
                <w:sz w:val="20"/>
              </w:rPr>
            </w:pPr>
            <w:r w:rsidRPr="0056706B">
              <w:rPr>
                <w:rFonts w:ascii="Arial Narrow" w:hAnsi="Arial Narrow"/>
                <w:sz w:val="20"/>
              </w:rPr>
              <w:t>2</w:t>
            </w:r>
          </w:p>
        </w:tc>
        <w:tc>
          <w:tcPr>
            <w:tcW w:w="850" w:type="dxa"/>
            <w:vAlign w:val="center"/>
          </w:tcPr>
          <w:p w:rsidR="00F65782" w:rsidRPr="0056706B" w:rsidRDefault="00F65782" w:rsidP="009703AA">
            <w:pPr>
              <w:jc w:val="center"/>
              <w:rPr>
                <w:rFonts w:ascii="Arial Narrow" w:hAnsi="Arial Narrow"/>
                <w:sz w:val="20"/>
              </w:rPr>
            </w:pPr>
            <w:r w:rsidRPr="0056706B">
              <w:rPr>
                <w:rFonts w:ascii="Arial Narrow" w:hAnsi="Arial Narrow"/>
                <w:sz w:val="20"/>
              </w:rPr>
              <w:t>$</w:t>
            </w:r>
            <w:r w:rsidRPr="00AD3D6E">
              <w:rPr>
                <w:rFonts w:ascii="Arial Narrow" w:hAnsi="Arial Narrow"/>
                <w:sz w:val="20"/>
              </w:rPr>
              <w:t>1,996.86</w:t>
            </w:r>
          </w:p>
        </w:tc>
        <w:tc>
          <w:tcPr>
            <w:tcW w:w="851" w:type="dxa"/>
            <w:vAlign w:val="center"/>
          </w:tcPr>
          <w:p w:rsidR="00F65782" w:rsidRPr="0056706B" w:rsidRDefault="00F65782" w:rsidP="009703AA">
            <w:pPr>
              <w:jc w:val="center"/>
              <w:rPr>
                <w:rFonts w:ascii="Arial Narrow" w:hAnsi="Arial Narrow"/>
                <w:sz w:val="20"/>
              </w:rPr>
            </w:pPr>
            <w:r w:rsidRPr="0056706B">
              <w:rPr>
                <w:rFonts w:ascii="Arial Narrow" w:hAnsi="Arial Narrow"/>
                <w:sz w:val="20"/>
              </w:rPr>
              <w:t>$</w:t>
            </w:r>
            <w:r w:rsidRPr="00AD3D6E">
              <w:rPr>
                <w:rFonts w:ascii="Arial Narrow" w:hAnsi="Arial Narrow"/>
                <w:sz w:val="20"/>
              </w:rPr>
              <w:t>40.00</w:t>
            </w:r>
          </w:p>
        </w:tc>
        <w:tc>
          <w:tcPr>
            <w:tcW w:w="940" w:type="dxa"/>
            <w:vAlign w:val="center"/>
          </w:tcPr>
          <w:p w:rsidR="00F65782" w:rsidRPr="0056706B" w:rsidRDefault="00F65782" w:rsidP="009703AA">
            <w:pPr>
              <w:jc w:val="center"/>
              <w:rPr>
                <w:rFonts w:ascii="Arial Narrow" w:hAnsi="Arial Narrow"/>
                <w:sz w:val="20"/>
              </w:rPr>
            </w:pPr>
            <w:r w:rsidRPr="0056706B">
              <w:rPr>
                <w:rFonts w:ascii="Arial Narrow" w:hAnsi="Arial Narrow"/>
                <w:sz w:val="20"/>
              </w:rPr>
              <w:t>$</w:t>
            </w:r>
            <w:r w:rsidRPr="00AD3D6E">
              <w:rPr>
                <w:rFonts w:ascii="Arial Narrow" w:hAnsi="Arial Narrow"/>
                <w:sz w:val="20"/>
              </w:rPr>
              <w:t>6.93</w:t>
            </w:r>
          </w:p>
        </w:tc>
        <w:tc>
          <w:tcPr>
            <w:tcW w:w="885" w:type="dxa"/>
            <w:vAlign w:val="center"/>
          </w:tcPr>
          <w:p w:rsidR="00F65782" w:rsidRPr="0056706B" w:rsidRDefault="00F65782" w:rsidP="009703AA">
            <w:pPr>
              <w:jc w:val="center"/>
              <w:rPr>
                <w:rFonts w:ascii="Arial Narrow" w:hAnsi="Arial Narrow"/>
                <w:sz w:val="20"/>
              </w:rPr>
            </w:pPr>
            <w:r w:rsidRPr="0056706B">
              <w:rPr>
                <w:rFonts w:ascii="Arial Narrow" w:hAnsi="Arial Narrow"/>
                <w:sz w:val="20"/>
              </w:rPr>
              <w:t>$2,043.79</w:t>
            </w:r>
          </w:p>
        </w:tc>
      </w:tr>
    </w:tbl>
    <w:p w:rsidR="00F65782" w:rsidRPr="008E3925" w:rsidRDefault="00F65782" w:rsidP="00475338">
      <w:pPr>
        <w:widowControl/>
        <w:ind w:firstLine="720"/>
        <w:rPr>
          <w:rFonts w:ascii="Arial Narrow" w:hAnsi="Arial Narrow"/>
          <w:sz w:val="18"/>
          <w:szCs w:val="18"/>
        </w:rPr>
      </w:pPr>
      <w:r w:rsidRPr="008E3925">
        <w:rPr>
          <w:rFonts w:ascii="Arial Narrow" w:hAnsi="Arial Narrow"/>
          <w:sz w:val="18"/>
          <w:szCs w:val="18"/>
        </w:rPr>
        <w:t>Source: Adapted from Table D-1, p 133 of the submission</w:t>
      </w:r>
    </w:p>
    <w:p w:rsidR="00F65782" w:rsidRPr="008E3925" w:rsidRDefault="00F65782" w:rsidP="00475338">
      <w:pPr>
        <w:widowControl/>
        <w:ind w:left="720"/>
        <w:rPr>
          <w:rFonts w:ascii="Arial Narrow" w:hAnsi="Arial Narrow"/>
          <w:sz w:val="18"/>
          <w:szCs w:val="18"/>
        </w:rPr>
      </w:pPr>
      <w:r w:rsidRPr="008E3925">
        <w:rPr>
          <w:rFonts w:ascii="Arial Narrow" w:hAnsi="Arial Narrow"/>
          <w:sz w:val="18"/>
          <w:szCs w:val="18"/>
        </w:rPr>
        <w:t xml:space="preserve">Abbreviations: AEMP = approved ex-manufacturer price; DPMQ = Dispensed Price for Maximum Quantity; max </w:t>
      </w:r>
      <w:proofErr w:type="spellStart"/>
      <w:r w:rsidRPr="008E3925">
        <w:rPr>
          <w:rFonts w:ascii="Arial Narrow" w:hAnsi="Arial Narrow"/>
          <w:sz w:val="18"/>
          <w:szCs w:val="18"/>
        </w:rPr>
        <w:t>qty</w:t>
      </w:r>
      <w:proofErr w:type="spellEnd"/>
      <w:r w:rsidRPr="008E3925">
        <w:rPr>
          <w:rFonts w:ascii="Arial Narrow" w:hAnsi="Arial Narrow"/>
          <w:sz w:val="18"/>
          <w:szCs w:val="18"/>
        </w:rPr>
        <w:t xml:space="preserve"> = maximum quantity; </w:t>
      </w:r>
      <w:proofErr w:type="spellStart"/>
      <w:r w:rsidRPr="008E3925">
        <w:rPr>
          <w:rFonts w:ascii="Arial Narrow" w:hAnsi="Arial Narrow"/>
          <w:sz w:val="18"/>
          <w:szCs w:val="18"/>
        </w:rPr>
        <w:t>PtP</w:t>
      </w:r>
      <w:proofErr w:type="spellEnd"/>
      <w:r w:rsidRPr="008E3925">
        <w:rPr>
          <w:rFonts w:ascii="Arial Narrow" w:hAnsi="Arial Narrow"/>
          <w:sz w:val="18"/>
          <w:szCs w:val="18"/>
        </w:rPr>
        <w:t xml:space="preserve"> = price to pharmacist</w:t>
      </w:r>
    </w:p>
    <w:p w:rsidR="00E40200" w:rsidRPr="00A0446D" w:rsidRDefault="00E40200" w:rsidP="00E40200">
      <w:pPr>
        <w:pStyle w:val="ListParagraph"/>
        <w:widowControl/>
        <w:rPr>
          <w:szCs w:val="22"/>
        </w:rPr>
      </w:pPr>
    </w:p>
    <w:p w:rsidR="00C25D9C" w:rsidRPr="00A0446D" w:rsidRDefault="00823B17" w:rsidP="00495439">
      <w:pPr>
        <w:pStyle w:val="Heading3"/>
      </w:pPr>
      <w:bookmarkStart w:id="11" w:name="_Toc451425486"/>
      <w:r w:rsidRPr="00A0446D">
        <w:t>Drug cost/patient/</w:t>
      </w:r>
      <w:r w:rsidR="00C25D9C" w:rsidRPr="00A0446D">
        <w:t>year: $</w:t>
      </w:r>
      <w:r w:rsidR="000A6A27" w:rsidRPr="00BA1CCE">
        <w:t>12,4</w:t>
      </w:r>
      <w:r w:rsidR="00770B49" w:rsidRPr="00BA1CCE">
        <w:t>33.05</w:t>
      </w:r>
      <w:bookmarkEnd w:id="11"/>
    </w:p>
    <w:p w:rsidR="00C25D9C" w:rsidRPr="00A0446D" w:rsidRDefault="00C25D9C" w:rsidP="00C25D9C">
      <w:pPr>
        <w:widowControl/>
        <w:rPr>
          <w:szCs w:val="22"/>
        </w:rPr>
      </w:pPr>
    </w:p>
    <w:p w:rsidR="00A86E8B" w:rsidRPr="00082954" w:rsidRDefault="009A6D45" w:rsidP="00C911BD">
      <w:pPr>
        <w:pStyle w:val="ListParagraph"/>
        <w:widowControl/>
        <w:numPr>
          <w:ilvl w:val="1"/>
          <w:numId w:val="6"/>
        </w:numPr>
        <w:rPr>
          <w:szCs w:val="22"/>
        </w:rPr>
      </w:pPr>
      <w:r w:rsidRPr="00082954">
        <w:rPr>
          <w:iCs/>
          <w:szCs w:val="22"/>
        </w:rPr>
        <w:t xml:space="preserve">The drug cost per patient per year of both </w:t>
      </w:r>
      <w:proofErr w:type="spellStart"/>
      <w:r w:rsidRPr="00082954">
        <w:rPr>
          <w:iCs/>
        </w:rPr>
        <w:t>Odefsey</w:t>
      </w:r>
      <w:proofErr w:type="spellEnd"/>
      <w:r w:rsidRPr="00082954">
        <w:rPr>
          <w:iCs/>
          <w:vertAlign w:val="superscript"/>
        </w:rPr>
        <w:t>®</w:t>
      </w:r>
      <w:r w:rsidRPr="00082954">
        <w:rPr>
          <w:iCs/>
        </w:rPr>
        <w:t xml:space="preserve"> and </w:t>
      </w:r>
      <w:proofErr w:type="spellStart"/>
      <w:r w:rsidRPr="00082954">
        <w:rPr>
          <w:iCs/>
        </w:rPr>
        <w:t>Eviplera</w:t>
      </w:r>
      <w:proofErr w:type="spellEnd"/>
      <w:r w:rsidRPr="00082954">
        <w:rPr>
          <w:iCs/>
          <w:vertAlign w:val="superscript"/>
        </w:rPr>
        <w:t>®</w:t>
      </w:r>
      <w:r w:rsidRPr="00082954">
        <w:rPr>
          <w:iCs/>
        </w:rPr>
        <w:t xml:space="preserve"> was </w:t>
      </w:r>
      <w:r w:rsidR="00BF22AD" w:rsidRPr="00082954">
        <w:rPr>
          <w:iCs/>
        </w:rPr>
        <w:t xml:space="preserve">calculated as </w:t>
      </w:r>
      <w:r w:rsidRPr="00082954">
        <w:rPr>
          <w:iCs/>
        </w:rPr>
        <w:t>$</w:t>
      </w:r>
      <w:r w:rsidRPr="00BA1CCE">
        <w:rPr>
          <w:iCs/>
        </w:rPr>
        <w:t>12,4</w:t>
      </w:r>
      <w:r w:rsidR="00770B49" w:rsidRPr="00BA1CCE">
        <w:rPr>
          <w:iCs/>
        </w:rPr>
        <w:t>33.05</w:t>
      </w:r>
      <w:r w:rsidRPr="00082954">
        <w:rPr>
          <w:iCs/>
        </w:rPr>
        <w:t xml:space="preserve">. </w:t>
      </w:r>
      <w:r w:rsidR="00DC4186" w:rsidRPr="00082954">
        <w:rPr>
          <w:iCs/>
          <w:szCs w:val="22"/>
        </w:rPr>
        <w:t>T</w:t>
      </w:r>
      <w:r w:rsidR="00410708" w:rsidRPr="00082954">
        <w:rPr>
          <w:iCs/>
          <w:szCs w:val="22"/>
        </w:rPr>
        <w:t xml:space="preserve">reatment </w:t>
      </w:r>
      <w:r w:rsidR="00DC4186" w:rsidRPr="00082954">
        <w:rPr>
          <w:iCs/>
          <w:szCs w:val="22"/>
        </w:rPr>
        <w:t xml:space="preserve">with ARTs, including </w:t>
      </w:r>
      <w:proofErr w:type="spellStart"/>
      <w:r w:rsidR="00AF4109" w:rsidRPr="00082954">
        <w:rPr>
          <w:iCs/>
        </w:rPr>
        <w:t>Odefsey</w:t>
      </w:r>
      <w:proofErr w:type="spellEnd"/>
      <w:r w:rsidR="00AF4109" w:rsidRPr="00082954">
        <w:rPr>
          <w:iCs/>
          <w:vertAlign w:val="superscript"/>
        </w:rPr>
        <w:t>®</w:t>
      </w:r>
      <w:r w:rsidR="00AF4109" w:rsidRPr="00082954">
        <w:rPr>
          <w:iCs/>
        </w:rPr>
        <w:t xml:space="preserve"> and </w:t>
      </w:r>
      <w:proofErr w:type="spellStart"/>
      <w:r w:rsidR="00AF4109" w:rsidRPr="00082954">
        <w:rPr>
          <w:iCs/>
        </w:rPr>
        <w:t>Eviplera</w:t>
      </w:r>
      <w:proofErr w:type="spellEnd"/>
      <w:r w:rsidR="00AF4109" w:rsidRPr="00082954">
        <w:rPr>
          <w:iCs/>
          <w:vertAlign w:val="superscript"/>
        </w:rPr>
        <w:t>®</w:t>
      </w:r>
      <w:r w:rsidR="00AF4109" w:rsidRPr="00082954">
        <w:rPr>
          <w:iCs/>
        </w:rPr>
        <w:t xml:space="preserve">, </w:t>
      </w:r>
      <w:r w:rsidR="00410708" w:rsidRPr="00082954">
        <w:rPr>
          <w:iCs/>
          <w:szCs w:val="22"/>
        </w:rPr>
        <w:t>is ongoing</w:t>
      </w:r>
      <w:r w:rsidR="009A04E1" w:rsidRPr="00082954">
        <w:rPr>
          <w:iCs/>
          <w:szCs w:val="22"/>
        </w:rPr>
        <w:t xml:space="preserve">. The </w:t>
      </w:r>
      <w:r w:rsidR="00BB1869" w:rsidRPr="00082954">
        <w:rPr>
          <w:iCs/>
          <w:szCs w:val="22"/>
        </w:rPr>
        <w:t xml:space="preserve">drug cost per patient per year was calculated assuming </w:t>
      </w:r>
      <w:r w:rsidR="00D92BC0" w:rsidRPr="00BA1CCE">
        <w:rPr>
          <w:iCs/>
          <w:szCs w:val="22"/>
        </w:rPr>
        <w:t>6.08</w:t>
      </w:r>
      <w:r w:rsidR="00770B49" w:rsidRPr="00BA1CCE">
        <w:rPr>
          <w:iCs/>
          <w:szCs w:val="22"/>
        </w:rPr>
        <w:t>3</w:t>
      </w:r>
      <w:r w:rsidR="00770B49" w:rsidRPr="00082954">
        <w:rPr>
          <w:iCs/>
          <w:szCs w:val="22"/>
        </w:rPr>
        <w:t xml:space="preserve"> (=365/</w:t>
      </w:r>
      <w:r w:rsidR="00770B49" w:rsidRPr="00BA1CCE">
        <w:rPr>
          <w:iCs/>
          <w:szCs w:val="22"/>
        </w:rPr>
        <w:t>60</w:t>
      </w:r>
      <w:r w:rsidR="00770B49" w:rsidRPr="00082954">
        <w:rPr>
          <w:iCs/>
          <w:szCs w:val="22"/>
        </w:rPr>
        <w:t>)</w:t>
      </w:r>
      <w:r w:rsidR="00B82E3D" w:rsidRPr="00082954">
        <w:rPr>
          <w:iCs/>
          <w:szCs w:val="22"/>
        </w:rPr>
        <w:t xml:space="preserve"> services per year and a </w:t>
      </w:r>
      <w:r w:rsidR="00EF0FF8" w:rsidRPr="00082954">
        <w:rPr>
          <w:iCs/>
          <w:szCs w:val="22"/>
        </w:rPr>
        <w:t>dispensed price for maximum quantity of $</w:t>
      </w:r>
      <w:r w:rsidR="00EF0FF8" w:rsidRPr="009C4AFB">
        <w:rPr>
          <w:iCs/>
          <w:szCs w:val="22"/>
        </w:rPr>
        <w:t>2,043.79</w:t>
      </w:r>
      <w:r w:rsidR="00EF0FF8" w:rsidRPr="00082954">
        <w:rPr>
          <w:iCs/>
          <w:szCs w:val="22"/>
        </w:rPr>
        <w:t xml:space="preserve"> per 60 tablets</w:t>
      </w:r>
      <w:r w:rsidR="00EF0FF8" w:rsidRPr="00082954">
        <w:rPr>
          <w:szCs w:val="22"/>
        </w:rPr>
        <w:t>.</w:t>
      </w:r>
      <w:r w:rsidR="001939FD" w:rsidRPr="00082954">
        <w:rPr>
          <w:szCs w:val="22"/>
        </w:rPr>
        <w:t xml:space="preserve"> </w:t>
      </w:r>
    </w:p>
    <w:p w:rsidR="000D7A76" w:rsidRDefault="000D7A76">
      <w:pPr>
        <w:widowControl/>
        <w:jc w:val="left"/>
      </w:pPr>
      <w:r>
        <w:br w:type="page"/>
      </w:r>
    </w:p>
    <w:p w:rsidR="00CA1992" w:rsidRDefault="00CA1992" w:rsidP="004F24D6"/>
    <w:p w:rsidR="00B60939" w:rsidRPr="00A0446D" w:rsidRDefault="00B60939" w:rsidP="00495439">
      <w:pPr>
        <w:pStyle w:val="Heading3"/>
      </w:pPr>
      <w:bookmarkStart w:id="12" w:name="_Toc451425487"/>
      <w:r w:rsidRPr="00A0446D">
        <w:t>Estimated PBS usage &amp; financial implications</w:t>
      </w:r>
      <w:bookmarkEnd w:id="12"/>
    </w:p>
    <w:p w:rsidR="00B60939" w:rsidRPr="00882085" w:rsidRDefault="00B60939" w:rsidP="00B60939">
      <w:pPr>
        <w:ind w:left="720" w:hanging="720"/>
        <w:rPr>
          <w:b/>
          <w:i/>
          <w:szCs w:val="22"/>
        </w:rPr>
      </w:pPr>
    </w:p>
    <w:p w:rsidR="004F24D6" w:rsidRPr="00082954" w:rsidRDefault="00A15025" w:rsidP="002837AF">
      <w:pPr>
        <w:pStyle w:val="ListParagraph"/>
        <w:widowControl/>
        <w:rPr>
          <w:szCs w:val="22"/>
        </w:rPr>
      </w:pPr>
      <w:r w:rsidRPr="00082954">
        <w:t xml:space="preserve">This submission </w:t>
      </w:r>
      <w:r w:rsidR="00770B49" w:rsidRPr="00082954">
        <w:t>was</w:t>
      </w:r>
      <w:r w:rsidRPr="00082954">
        <w:t xml:space="preserve"> </w:t>
      </w:r>
      <w:r w:rsidR="00C25D9C" w:rsidRPr="00082954">
        <w:t>not considered by DUSC</w:t>
      </w:r>
      <w:proofErr w:type="gramStart"/>
      <w:r w:rsidR="00C25D9C" w:rsidRPr="00082954">
        <w:t xml:space="preserve">. </w:t>
      </w:r>
      <w:r w:rsidR="00F728C7">
        <w:t xml:space="preserve"> </w:t>
      </w:r>
      <w:proofErr w:type="gramEnd"/>
      <w:r w:rsidRPr="00082954">
        <w:t xml:space="preserve">The submission used a market share approach, assuming pack-for-pack substitution of </w:t>
      </w:r>
      <w:proofErr w:type="spellStart"/>
      <w:r w:rsidRPr="00082954">
        <w:t>Odefsey</w:t>
      </w:r>
      <w:proofErr w:type="spellEnd"/>
      <w:r w:rsidRPr="00082954">
        <w:rPr>
          <w:vertAlign w:val="superscript"/>
        </w:rPr>
        <w:t>®</w:t>
      </w:r>
      <w:r w:rsidRPr="00082954">
        <w:t xml:space="preserve"> for </w:t>
      </w:r>
      <w:proofErr w:type="spellStart"/>
      <w:r w:rsidRPr="00082954">
        <w:t>Eviplera</w:t>
      </w:r>
      <w:proofErr w:type="spellEnd"/>
      <w:r w:rsidRPr="00082954">
        <w:rPr>
          <w:vertAlign w:val="superscript"/>
        </w:rPr>
        <w:t>®</w:t>
      </w:r>
      <w:r w:rsidR="008A28E7" w:rsidRPr="00082954">
        <w:t xml:space="preserve"> from </w:t>
      </w:r>
      <w:r w:rsidR="008D381B" w:rsidRPr="00082954">
        <w:t>its</w:t>
      </w:r>
      <w:r w:rsidR="008A28E7" w:rsidRPr="00082954">
        <w:t xml:space="preserve"> projected market. </w:t>
      </w:r>
      <w:r w:rsidR="003567C5" w:rsidRPr="00082954">
        <w:t xml:space="preserve">The submission assumed that there was no additional growth </w:t>
      </w:r>
      <w:r w:rsidR="00997A91" w:rsidRPr="00082954">
        <w:t>of</w:t>
      </w:r>
      <w:r w:rsidR="003567C5" w:rsidRPr="00082954">
        <w:t xml:space="preserve"> the </w:t>
      </w:r>
      <w:proofErr w:type="spellStart"/>
      <w:r w:rsidR="003567C5" w:rsidRPr="00082954">
        <w:t>Eviplera</w:t>
      </w:r>
      <w:proofErr w:type="spellEnd"/>
      <w:r w:rsidR="003567C5" w:rsidRPr="00082954">
        <w:rPr>
          <w:vertAlign w:val="superscript"/>
        </w:rPr>
        <w:t>®</w:t>
      </w:r>
      <w:r w:rsidR="003567C5" w:rsidRPr="00082954">
        <w:t xml:space="preserve"> market due to the PBS-listing of </w:t>
      </w:r>
      <w:proofErr w:type="spellStart"/>
      <w:r w:rsidR="001D1172" w:rsidRPr="00082954">
        <w:t>Odefsey</w:t>
      </w:r>
      <w:proofErr w:type="spellEnd"/>
      <w:r w:rsidR="001D1172" w:rsidRPr="00082954">
        <w:rPr>
          <w:vertAlign w:val="superscript"/>
        </w:rPr>
        <w:t>®</w:t>
      </w:r>
      <w:r w:rsidR="004018F9" w:rsidRPr="00082954">
        <w:t>.</w:t>
      </w:r>
    </w:p>
    <w:p w:rsidR="004F24D6" w:rsidRDefault="004F24D6" w:rsidP="00A15025">
      <w:pPr>
        <w:pStyle w:val="ListParagraph"/>
        <w:widowControl/>
        <w:rPr>
          <w:szCs w:val="22"/>
        </w:rPr>
      </w:pPr>
    </w:p>
    <w:p w:rsidR="00C25D9C" w:rsidRDefault="00C25D9C" w:rsidP="00291E30">
      <w:pPr>
        <w:ind w:firstLine="709"/>
        <w:rPr>
          <w:rStyle w:val="CommentReference"/>
        </w:rPr>
      </w:pPr>
      <w:r w:rsidRPr="001222FC">
        <w:rPr>
          <w:rStyle w:val="CommentReference"/>
        </w:rPr>
        <w:t xml:space="preserve">Table </w:t>
      </w:r>
      <w:r w:rsidR="00291E30">
        <w:rPr>
          <w:rStyle w:val="CommentReference"/>
        </w:rPr>
        <w:t>5</w:t>
      </w:r>
      <w:r w:rsidRPr="001222FC">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215"/>
        <w:gridCol w:w="1215"/>
        <w:gridCol w:w="1215"/>
        <w:gridCol w:w="1215"/>
        <w:gridCol w:w="1217"/>
      </w:tblGrid>
      <w:tr w:rsidR="00C25D9C" w:rsidRPr="00474E31" w:rsidTr="00130D5B">
        <w:trPr>
          <w:tblHeader/>
        </w:trPr>
        <w:tc>
          <w:tcPr>
            <w:tcW w:w="1359" w:type="pct"/>
            <w:shd w:val="clear" w:color="auto" w:fill="auto"/>
            <w:vAlign w:val="center"/>
          </w:tcPr>
          <w:p w:rsidR="00C25D9C" w:rsidRPr="00474E31" w:rsidRDefault="00C25D9C" w:rsidP="00B8649C">
            <w:pPr>
              <w:tabs>
                <w:tab w:val="left" w:pos="142"/>
              </w:tabs>
              <w:jc w:val="left"/>
              <w:rPr>
                <w:rFonts w:ascii="Arial Narrow" w:hAnsi="Arial Narrow"/>
                <w:b/>
                <w:sz w:val="20"/>
              </w:rPr>
            </w:pPr>
          </w:p>
        </w:tc>
        <w:tc>
          <w:tcPr>
            <w:tcW w:w="728" w:type="pct"/>
            <w:shd w:val="clear" w:color="auto" w:fill="auto"/>
            <w:vAlign w:val="center"/>
          </w:tcPr>
          <w:p w:rsidR="00C25D9C" w:rsidRPr="00474E31" w:rsidRDefault="00C25D9C" w:rsidP="00B8649C">
            <w:pPr>
              <w:jc w:val="center"/>
              <w:rPr>
                <w:rFonts w:ascii="Arial Narrow" w:hAnsi="Arial Narrow"/>
                <w:b/>
                <w:sz w:val="20"/>
              </w:rPr>
            </w:pPr>
            <w:r w:rsidRPr="00474E31">
              <w:rPr>
                <w:rFonts w:ascii="Arial Narrow" w:hAnsi="Arial Narrow"/>
                <w:b/>
                <w:sz w:val="20"/>
              </w:rPr>
              <w:t>Year 1</w:t>
            </w:r>
          </w:p>
        </w:tc>
        <w:tc>
          <w:tcPr>
            <w:tcW w:w="728" w:type="pct"/>
            <w:shd w:val="clear" w:color="auto" w:fill="auto"/>
            <w:vAlign w:val="center"/>
          </w:tcPr>
          <w:p w:rsidR="00C25D9C" w:rsidRPr="00474E31" w:rsidRDefault="00C25D9C" w:rsidP="00B8649C">
            <w:pPr>
              <w:jc w:val="center"/>
              <w:rPr>
                <w:rFonts w:ascii="Arial Narrow" w:hAnsi="Arial Narrow"/>
                <w:b/>
                <w:sz w:val="20"/>
              </w:rPr>
            </w:pPr>
            <w:r w:rsidRPr="00474E31">
              <w:rPr>
                <w:rFonts w:ascii="Arial Narrow" w:hAnsi="Arial Narrow"/>
                <w:b/>
                <w:sz w:val="20"/>
              </w:rPr>
              <w:t>Year 2</w:t>
            </w:r>
          </w:p>
        </w:tc>
        <w:tc>
          <w:tcPr>
            <w:tcW w:w="728" w:type="pct"/>
            <w:shd w:val="clear" w:color="auto" w:fill="auto"/>
            <w:vAlign w:val="center"/>
          </w:tcPr>
          <w:p w:rsidR="00C25D9C" w:rsidRPr="00474E31" w:rsidRDefault="00C25D9C" w:rsidP="00B8649C">
            <w:pPr>
              <w:jc w:val="center"/>
              <w:rPr>
                <w:rFonts w:ascii="Arial Narrow" w:hAnsi="Arial Narrow"/>
                <w:b/>
                <w:sz w:val="20"/>
              </w:rPr>
            </w:pPr>
            <w:r w:rsidRPr="00474E31">
              <w:rPr>
                <w:rFonts w:ascii="Arial Narrow" w:hAnsi="Arial Narrow"/>
                <w:b/>
                <w:sz w:val="20"/>
              </w:rPr>
              <w:t>Year 3</w:t>
            </w:r>
          </w:p>
        </w:tc>
        <w:tc>
          <w:tcPr>
            <w:tcW w:w="728" w:type="pct"/>
            <w:shd w:val="clear" w:color="auto" w:fill="auto"/>
            <w:vAlign w:val="center"/>
          </w:tcPr>
          <w:p w:rsidR="00C25D9C" w:rsidRPr="00474E31" w:rsidRDefault="00C25D9C" w:rsidP="00B8649C">
            <w:pPr>
              <w:jc w:val="center"/>
              <w:rPr>
                <w:rFonts w:ascii="Arial Narrow" w:hAnsi="Arial Narrow"/>
                <w:b/>
                <w:sz w:val="20"/>
              </w:rPr>
            </w:pPr>
            <w:r w:rsidRPr="00474E31">
              <w:rPr>
                <w:rFonts w:ascii="Arial Narrow" w:hAnsi="Arial Narrow"/>
                <w:b/>
                <w:sz w:val="20"/>
              </w:rPr>
              <w:t>Year 4</w:t>
            </w:r>
          </w:p>
        </w:tc>
        <w:tc>
          <w:tcPr>
            <w:tcW w:w="729" w:type="pct"/>
            <w:shd w:val="clear" w:color="auto" w:fill="auto"/>
            <w:vAlign w:val="center"/>
          </w:tcPr>
          <w:p w:rsidR="00C25D9C" w:rsidRPr="00474E31" w:rsidRDefault="00C25D9C" w:rsidP="00B8649C">
            <w:pPr>
              <w:jc w:val="center"/>
              <w:rPr>
                <w:rFonts w:ascii="Arial Narrow" w:hAnsi="Arial Narrow"/>
                <w:b/>
                <w:sz w:val="20"/>
              </w:rPr>
            </w:pPr>
            <w:r w:rsidRPr="00474E31">
              <w:rPr>
                <w:rFonts w:ascii="Arial Narrow" w:hAnsi="Arial Narrow"/>
                <w:b/>
                <w:sz w:val="20"/>
              </w:rPr>
              <w:t>Year 5</w:t>
            </w:r>
          </w:p>
        </w:tc>
      </w:tr>
      <w:tr w:rsidR="00C25D9C" w:rsidRPr="00474E31" w:rsidTr="005D044D">
        <w:tc>
          <w:tcPr>
            <w:tcW w:w="5000" w:type="pct"/>
            <w:gridSpan w:val="6"/>
            <w:shd w:val="clear" w:color="auto" w:fill="auto"/>
            <w:vAlign w:val="center"/>
          </w:tcPr>
          <w:p w:rsidR="00C25D9C" w:rsidRPr="00474E31" w:rsidRDefault="00C25D9C" w:rsidP="00B8649C">
            <w:pPr>
              <w:jc w:val="left"/>
              <w:rPr>
                <w:rFonts w:ascii="Arial Narrow" w:hAnsi="Arial Narrow"/>
                <w:b/>
                <w:bCs/>
                <w:color w:val="000000"/>
                <w:sz w:val="20"/>
              </w:rPr>
            </w:pPr>
            <w:r w:rsidRPr="00474E31">
              <w:rPr>
                <w:rFonts w:ascii="Arial Narrow" w:hAnsi="Arial Narrow"/>
                <w:b/>
                <w:bCs/>
                <w:color w:val="000000"/>
                <w:sz w:val="20"/>
              </w:rPr>
              <w:t>Estimated extent of use</w:t>
            </w:r>
          </w:p>
        </w:tc>
      </w:tr>
      <w:tr w:rsidR="008C01D3" w:rsidRPr="00474E31" w:rsidTr="00130D5B">
        <w:tc>
          <w:tcPr>
            <w:tcW w:w="1359" w:type="pct"/>
            <w:shd w:val="clear" w:color="auto" w:fill="auto"/>
            <w:vAlign w:val="center"/>
          </w:tcPr>
          <w:p w:rsidR="008C01D3" w:rsidRPr="00474E31" w:rsidRDefault="001836A2" w:rsidP="008C01D3">
            <w:pPr>
              <w:tabs>
                <w:tab w:val="left" w:pos="142"/>
              </w:tabs>
              <w:jc w:val="left"/>
              <w:rPr>
                <w:rFonts w:ascii="Arial Narrow" w:hAnsi="Arial Narrow"/>
                <w:sz w:val="20"/>
              </w:rPr>
            </w:pPr>
            <w:r w:rsidRPr="00474E31">
              <w:rPr>
                <w:rFonts w:ascii="Arial Narrow" w:hAnsi="Arial Narrow"/>
                <w:sz w:val="20"/>
                <w:lang w:eastAsia="en-AU"/>
              </w:rPr>
              <w:t>N</w:t>
            </w:r>
            <w:r w:rsidR="008C01D3" w:rsidRPr="00474E31">
              <w:rPr>
                <w:rFonts w:ascii="Arial Narrow" w:hAnsi="Arial Narrow"/>
                <w:sz w:val="20"/>
                <w:lang w:eastAsia="en-AU"/>
              </w:rPr>
              <w:t xml:space="preserve">umber of </w:t>
            </w:r>
            <w:proofErr w:type="spellStart"/>
            <w:r w:rsidR="008C01D3" w:rsidRPr="00474E31">
              <w:rPr>
                <w:rFonts w:ascii="Arial Narrow" w:hAnsi="Arial Narrow"/>
                <w:sz w:val="20"/>
                <w:lang w:eastAsia="en-AU"/>
              </w:rPr>
              <w:t>Eviplera</w:t>
            </w:r>
            <w:proofErr w:type="spellEnd"/>
            <w:r w:rsidR="008C01D3" w:rsidRPr="00474E31">
              <w:rPr>
                <w:rFonts w:ascii="Arial Narrow" w:hAnsi="Arial Narrow"/>
                <w:sz w:val="20"/>
                <w:vertAlign w:val="superscript"/>
                <w:lang w:eastAsia="en-AU"/>
              </w:rPr>
              <w:t>®</w:t>
            </w:r>
            <w:r w:rsidR="008C01D3" w:rsidRPr="00474E31">
              <w:rPr>
                <w:rFonts w:ascii="Arial Narrow" w:hAnsi="Arial Narrow"/>
                <w:sz w:val="20"/>
                <w:lang w:eastAsia="en-AU"/>
              </w:rPr>
              <w:t xml:space="preserve"> services</w:t>
            </w:r>
          </w:p>
        </w:tc>
        <w:tc>
          <w:tcPr>
            <w:tcW w:w="728" w:type="pct"/>
            <w:shd w:val="clear" w:color="auto" w:fill="auto"/>
            <w:vAlign w:val="center"/>
          </w:tcPr>
          <w:p w:rsidR="008C01D3" w:rsidRPr="005604AC" w:rsidRDefault="005604AC" w:rsidP="008C01D3">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8" w:type="pct"/>
            <w:shd w:val="clear" w:color="auto" w:fill="auto"/>
            <w:vAlign w:val="center"/>
          </w:tcPr>
          <w:p w:rsidR="008C01D3" w:rsidRPr="005604AC" w:rsidRDefault="005604AC" w:rsidP="008C01D3">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8" w:type="pct"/>
            <w:shd w:val="clear" w:color="auto" w:fill="auto"/>
            <w:vAlign w:val="center"/>
          </w:tcPr>
          <w:p w:rsidR="008C01D3" w:rsidRPr="005604AC" w:rsidRDefault="005604AC" w:rsidP="008C01D3">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8" w:type="pct"/>
            <w:shd w:val="clear" w:color="auto" w:fill="auto"/>
            <w:vAlign w:val="center"/>
          </w:tcPr>
          <w:p w:rsidR="008C01D3" w:rsidRPr="005604AC" w:rsidRDefault="005604AC" w:rsidP="008C01D3">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9" w:type="pct"/>
            <w:shd w:val="clear" w:color="auto" w:fill="auto"/>
            <w:vAlign w:val="center"/>
          </w:tcPr>
          <w:p w:rsidR="008C01D3" w:rsidRPr="005604AC" w:rsidRDefault="005604AC" w:rsidP="008C01D3">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064648" w:rsidRPr="00474E31" w:rsidTr="00130D5B">
        <w:tc>
          <w:tcPr>
            <w:tcW w:w="1359" w:type="pct"/>
            <w:shd w:val="clear" w:color="auto" w:fill="auto"/>
            <w:vAlign w:val="center"/>
          </w:tcPr>
          <w:p w:rsidR="00064648" w:rsidRPr="00474E31" w:rsidRDefault="00064648" w:rsidP="00064648">
            <w:pPr>
              <w:tabs>
                <w:tab w:val="left" w:pos="142"/>
              </w:tabs>
              <w:jc w:val="left"/>
              <w:rPr>
                <w:rFonts w:ascii="Arial Narrow" w:hAnsi="Arial Narrow"/>
                <w:sz w:val="20"/>
              </w:rPr>
            </w:pPr>
            <w:proofErr w:type="spellStart"/>
            <w:r w:rsidRPr="00474E31">
              <w:rPr>
                <w:rFonts w:ascii="Arial Narrow" w:hAnsi="Arial Narrow"/>
                <w:sz w:val="20"/>
              </w:rPr>
              <w:t>Odefsey</w:t>
            </w:r>
            <w:proofErr w:type="spellEnd"/>
            <w:r w:rsidRPr="00474E31">
              <w:rPr>
                <w:rFonts w:ascii="Arial Narrow" w:hAnsi="Arial Narrow"/>
                <w:sz w:val="20"/>
                <w:vertAlign w:val="superscript"/>
              </w:rPr>
              <w:t>®</w:t>
            </w:r>
            <w:r w:rsidRPr="00474E31">
              <w:rPr>
                <w:rFonts w:ascii="Arial Narrow" w:hAnsi="Arial Narrow"/>
                <w:sz w:val="20"/>
              </w:rPr>
              <w:t xml:space="preserve"> market share</w:t>
            </w:r>
          </w:p>
        </w:tc>
        <w:tc>
          <w:tcPr>
            <w:tcW w:w="728" w:type="pct"/>
            <w:shd w:val="clear" w:color="auto" w:fill="auto"/>
            <w:vAlign w:val="center"/>
          </w:tcPr>
          <w:p w:rsidR="00064648" w:rsidRPr="00474E31" w:rsidRDefault="00064648" w:rsidP="00064648">
            <w:pPr>
              <w:jc w:val="center"/>
              <w:rPr>
                <w:rFonts w:ascii="Arial Narrow" w:hAnsi="Arial Narrow"/>
                <w:bCs/>
                <w:color w:val="000000"/>
                <w:sz w:val="20"/>
              </w:rPr>
            </w:pPr>
            <w:r w:rsidRPr="00AD6C1D">
              <w:rPr>
                <w:rFonts w:ascii="Arial Narrow" w:hAnsi="Arial Narrow"/>
                <w:sz w:val="20"/>
                <w:lang w:eastAsia="en-AU"/>
              </w:rPr>
              <w:t>50</w:t>
            </w:r>
            <w:r w:rsidRPr="00474E31">
              <w:rPr>
                <w:rFonts w:ascii="Arial Narrow" w:hAnsi="Arial Narrow"/>
                <w:sz w:val="20"/>
                <w:lang w:eastAsia="en-AU"/>
              </w:rPr>
              <w:t>%</w:t>
            </w:r>
          </w:p>
        </w:tc>
        <w:tc>
          <w:tcPr>
            <w:tcW w:w="728" w:type="pct"/>
            <w:shd w:val="clear" w:color="auto" w:fill="auto"/>
            <w:vAlign w:val="center"/>
          </w:tcPr>
          <w:p w:rsidR="00064648" w:rsidRPr="00474E31" w:rsidRDefault="00064648" w:rsidP="00064648">
            <w:pPr>
              <w:jc w:val="center"/>
              <w:rPr>
                <w:rFonts w:ascii="Arial Narrow" w:hAnsi="Arial Narrow"/>
                <w:bCs/>
                <w:color w:val="000000"/>
                <w:sz w:val="20"/>
              </w:rPr>
            </w:pPr>
            <w:r w:rsidRPr="00AD6C1D">
              <w:rPr>
                <w:rFonts w:ascii="Arial Narrow" w:hAnsi="Arial Narrow"/>
                <w:sz w:val="20"/>
                <w:lang w:eastAsia="en-AU"/>
              </w:rPr>
              <w:t>75</w:t>
            </w:r>
            <w:r w:rsidRPr="00474E31">
              <w:rPr>
                <w:rFonts w:ascii="Arial Narrow" w:hAnsi="Arial Narrow"/>
                <w:sz w:val="20"/>
                <w:lang w:eastAsia="en-AU"/>
              </w:rPr>
              <w:t>%</w:t>
            </w:r>
          </w:p>
        </w:tc>
        <w:tc>
          <w:tcPr>
            <w:tcW w:w="728" w:type="pct"/>
            <w:shd w:val="clear" w:color="auto" w:fill="auto"/>
            <w:vAlign w:val="center"/>
          </w:tcPr>
          <w:p w:rsidR="00064648" w:rsidRPr="00474E31" w:rsidRDefault="00064648" w:rsidP="00064648">
            <w:pPr>
              <w:jc w:val="center"/>
              <w:rPr>
                <w:rFonts w:ascii="Arial Narrow" w:hAnsi="Arial Narrow"/>
                <w:bCs/>
                <w:color w:val="000000"/>
                <w:sz w:val="20"/>
              </w:rPr>
            </w:pPr>
            <w:r w:rsidRPr="00AD6C1D">
              <w:rPr>
                <w:rFonts w:ascii="Arial Narrow" w:hAnsi="Arial Narrow"/>
                <w:sz w:val="20"/>
                <w:lang w:eastAsia="en-AU"/>
              </w:rPr>
              <w:t>85</w:t>
            </w:r>
            <w:r w:rsidRPr="00474E31">
              <w:rPr>
                <w:rFonts w:ascii="Arial Narrow" w:hAnsi="Arial Narrow"/>
                <w:sz w:val="20"/>
                <w:lang w:eastAsia="en-AU"/>
              </w:rPr>
              <w:t>%</w:t>
            </w:r>
          </w:p>
        </w:tc>
        <w:tc>
          <w:tcPr>
            <w:tcW w:w="728" w:type="pct"/>
            <w:shd w:val="clear" w:color="auto" w:fill="auto"/>
            <w:vAlign w:val="center"/>
          </w:tcPr>
          <w:p w:rsidR="00064648" w:rsidRPr="00474E31" w:rsidRDefault="00064648" w:rsidP="00064648">
            <w:pPr>
              <w:jc w:val="center"/>
              <w:rPr>
                <w:rFonts w:ascii="Arial Narrow" w:hAnsi="Arial Narrow"/>
                <w:bCs/>
                <w:color w:val="000000"/>
                <w:sz w:val="20"/>
              </w:rPr>
            </w:pPr>
            <w:r w:rsidRPr="00AD6C1D">
              <w:rPr>
                <w:rFonts w:ascii="Arial Narrow" w:hAnsi="Arial Narrow"/>
                <w:sz w:val="20"/>
                <w:lang w:eastAsia="en-AU"/>
              </w:rPr>
              <w:t>85</w:t>
            </w:r>
            <w:r w:rsidRPr="00474E31">
              <w:rPr>
                <w:rFonts w:ascii="Arial Narrow" w:hAnsi="Arial Narrow"/>
                <w:sz w:val="20"/>
                <w:lang w:eastAsia="en-AU"/>
              </w:rPr>
              <w:t>%</w:t>
            </w:r>
          </w:p>
        </w:tc>
        <w:tc>
          <w:tcPr>
            <w:tcW w:w="729" w:type="pct"/>
            <w:shd w:val="clear" w:color="auto" w:fill="auto"/>
            <w:vAlign w:val="center"/>
          </w:tcPr>
          <w:p w:rsidR="00064648" w:rsidRPr="00474E31" w:rsidRDefault="00064648" w:rsidP="00064648">
            <w:pPr>
              <w:jc w:val="center"/>
              <w:rPr>
                <w:rFonts w:ascii="Arial Narrow" w:hAnsi="Arial Narrow"/>
                <w:bCs/>
                <w:color w:val="000000"/>
                <w:sz w:val="20"/>
              </w:rPr>
            </w:pPr>
            <w:r w:rsidRPr="00AD6C1D">
              <w:rPr>
                <w:rFonts w:ascii="Arial Narrow" w:hAnsi="Arial Narrow"/>
                <w:sz w:val="20"/>
                <w:lang w:eastAsia="en-AU"/>
              </w:rPr>
              <w:t>85</w:t>
            </w:r>
            <w:r w:rsidRPr="00474E31">
              <w:rPr>
                <w:rFonts w:ascii="Arial Narrow" w:hAnsi="Arial Narrow"/>
                <w:sz w:val="20"/>
                <w:lang w:eastAsia="en-AU"/>
              </w:rPr>
              <w:t>%</w:t>
            </w:r>
          </w:p>
        </w:tc>
      </w:tr>
      <w:tr w:rsidR="00E070C6" w:rsidRPr="00474E31" w:rsidTr="009703AA">
        <w:tc>
          <w:tcPr>
            <w:tcW w:w="1359" w:type="pct"/>
            <w:shd w:val="clear" w:color="auto" w:fill="auto"/>
            <w:vAlign w:val="center"/>
          </w:tcPr>
          <w:p w:rsidR="00E070C6" w:rsidRPr="00130D5B" w:rsidRDefault="00E070C6" w:rsidP="00E070C6">
            <w:pPr>
              <w:tabs>
                <w:tab w:val="left" w:pos="142"/>
              </w:tabs>
              <w:jc w:val="left"/>
              <w:rPr>
                <w:rFonts w:ascii="Arial Narrow" w:hAnsi="Arial Narrow"/>
                <w:i/>
                <w:iCs/>
                <w:sz w:val="20"/>
              </w:rPr>
            </w:pPr>
            <w:r w:rsidRPr="00130D5B">
              <w:rPr>
                <w:rFonts w:ascii="Arial Narrow" w:hAnsi="Arial Narrow"/>
                <w:i/>
                <w:iCs/>
                <w:sz w:val="20"/>
                <w:lang w:eastAsia="en-AU"/>
              </w:rPr>
              <w:t xml:space="preserve">Number of </w:t>
            </w:r>
            <w:proofErr w:type="spellStart"/>
            <w:r w:rsidRPr="00130D5B">
              <w:rPr>
                <w:rFonts w:ascii="Arial Narrow" w:hAnsi="Arial Narrow"/>
                <w:i/>
                <w:iCs/>
                <w:sz w:val="20"/>
              </w:rPr>
              <w:t>Odefsey</w:t>
            </w:r>
            <w:proofErr w:type="spellEnd"/>
            <w:r w:rsidRPr="00130D5B">
              <w:rPr>
                <w:rFonts w:ascii="Arial Narrow" w:hAnsi="Arial Narrow"/>
                <w:i/>
                <w:iCs/>
                <w:sz w:val="20"/>
                <w:vertAlign w:val="superscript"/>
              </w:rPr>
              <w:t>®</w:t>
            </w:r>
            <w:r w:rsidRPr="00130D5B">
              <w:rPr>
                <w:rFonts w:ascii="Arial Narrow" w:hAnsi="Arial Narrow"/>
                <w:i/>
                <w:iCs/>
                <w:sz w:val="20"/>
              </w:rPr>
              <w:t xml:space="preserve"> services</w:t>
            </w:r>
          </w:p>
        </w:tc>
        <w:tc>
          <w:tcPr>
            <w:tcW w:w="728" w:type="pct"/>
            <w:shd w:val="clear" w:color="auto" w:fill="auto"/>
            <w:vAlign w:val="bottom"/>
          </w:tcPr>
          <w:p w:rsidR="00E070C6" w:rsidRPr="005604AC" w:rsidRDefault="005604AC" w:rsidP="00E070C6">
            <w:pPr>
              <w:jc w:val="center"/>
              <w:rPr>
                <w:rFonts w:ascii="Arial Narrow" w:hAnsi="Arial Narrow"/>
                <w:i/>
                <w:iCs/>
                <w:sz w:val="20"/>
                <w:highlight w:val="black"/>
                <w:lang w:eastAsia="en-AU"/>
              </w:rPr>
            </w:pPr>
            <w:r>
              <w:rPr>
                <w:rFonts w:ascii="Arial Narrow" w:hAnsi="Arial Narrow"/>
                <w:i/>
                <w:iCs/>
                <w:noProof/>
                <w:color w:val="000000"/>
                <w:sz w:val="20"/>
                <w:highlight w:val="black"/>
              </w:rPr>
              <w:t>'''''''''''''''</w:t>
            </w:r>
          </w:p>
        </w:tc>
        <w:tc>
          <w:tcPr>
            <w:tcW w:w="728" w:type="pct"/>
            <w:shd w:val="clear" w:color="auto" w:fill="auto"/>
            <w:vAlign w:val="bottom"/>
          </w:tcPr>
          <w:p w:rsidR="00E070C6" w:rsidRPr="005604AC" w:rsidRDefault="005604AC" w:rsidP="00E070C6">
            <w:pPr>
              <w:jc w:val="center"/>
              <w:rPr>
                <w:rFonts w:ascii="Arial Narrow" w:hAnsi="Arial Narrow"/>
                <w:i/>
                <w:iCs/>
                <w:sz w:val="20"/>
                <w:highlight w:val="black"/>
                <w:lang w:eastAsia="en-AU"/>
              </w:rPr>
            </w:pPr>
            <w:r>
              <w:rPr>
                <w:rFonts w:ascii="Arial Narrow" w:hAnsi="Arial Narrow"/>
                <w:i/>
                <w:iCs/>
                <w:noProof/>
                <w:color w:val="000000"/>
                <w:sz w:val="20"/>
                <w:highlight w:val="black"/>
              </w:rPr>
              <w:t>'''''''''''''''</w:t>
            </w:r>
          </w:p>
        </w:tc>
        <w:tc>
          <w:tcPr>
            <w:tcW w:w="728" w:type="pct"/>
            <w:shd w:val="clear" w:color="auto" w:fill="auto"/>
            <w:vAlign w:val="bottom"/>
          </w:tcPr>
          <w:p w:rsidR="00E070C6" w:rsidRPr="005604AC" w:rsidRDefault="005604AC" w:rsidP="00E070C6">
            <w:pPr>
              <w:jc w:val="center"/>
              <w:rPr>
                <w:rFonts w:ascii="Arial Narrow" w:hAnsi="Arial Narrow"/>
                <w:i/>
                <w:iCs/>
                <w:sz w:val="20"/>
                <w:highlight w:val="black"/>
                <w:lang w:eastAsia="en-AU"/>
              </w:rPr>
            </w:pPr>
            <w:r>
              <w:rPr>
                <w:rFonts w:ascii="Arial Narrow" w:hAnsi="Arial Narrow"/>
                <w:i/>
                <w:iCs/>
                <w:noProof/>
                <w:color w:val="000000"/>
                <w:sz w:val="20"/>
                <w:highlight w:val="black"/>
              </w:rPr>
              <w:t>''''''''''''''''</w:t>
            </w:r>
          </w:p>
        </w:tc>
        <w:tc>
          <w:tcPr>
            <w:tcW w:w="728" w:type="pct"/>
            <w:shd w:val="clear" w:color="auto" w:fill="auto"/>
            <w:vAlign w:val="bottom"/>
          </w:tcPr>
          <w:p w:rsidR="00E070C6" w:rsidRPr="005604AC" w:rsidRDefault="005604AC" w:rsidP="00E070C6">
            <w:pPr>
              <w:jc w:val="center"/>
              <w:rPr>
                <w:rFonts w:ascii="Arial Narrow" w:hAnsi="Arial Narrow"/>
                <w:i/>
                <w:iCs/>
                <w:sz w:val="20"/>
                <w:highlight w:val="black"/>
                <w:lang w:eastAsia="en-AU"/>
              </w:rPr>
            </w:pPr>
            <w:r>
              <w:rPr>
                <w:rFonts w:ascii="Arial Narrow" w:hAnsi="Arial Narrow"/>
                <w:i/>
                <w:iCs/>
                <w:noProof/>
                <w:color w:val="000000"/>
                <w:sz w:val="20"/>
                <w:highlight w:val="black"/>
              </w:rPr>
              <w:t>'''''''''''''''</w:t>
            </w:r>
          </w:p>
        </w:tc>
        <w:tc>
          <w:tcPr>
            <w:tcW w:w="729" w:type="pct"/>
            <w:shd w:val="clear" w:color="auto" w:fill="auto"/>
            <w:vAlign w:val="bottom"/>
          </w:tcPr>
          <w:p w:rsidR="00E070C6" w:rsidRPr="005604AC" w:rsidRDefault="005604AC" w:rsidP="00E070C6">
            <w:pPr>
              <w:jc w:val="center"/>
              <w:rPr>
                <w:rFonts w:ascii="Arial Narrow" w:hAnsi="Arial Narrow"/>
                <w:i/>
                <w:iCs/>
                <w:sz w:val="20"/>
                <w:highlight w:val="black"/>
                <w:lang w:eastAsia="en-AU"/>
              </w:rPr>
            </w:pPr>
            <w:r>
              <w:rPr>
                <w:rFonts w:ascii="Arial Narrow" w:hAnsi="Arial Narrow"/>
                <w:i/>
                <w:iCs/>
                <w:noProof/>
                <w:color w:val="000000"/>
                <w:sz w:val="20"/>
                <w:highlight w:val="black"/>
              </w:rPr>
              <w:t>''''''''''''''''</w:t>
            </w:r>
          </w:p>
        </w:tc>
      </w:tr>
      <w:tr w:rsidR="00130D5B" w:rsidRPr="00474E31" w:rsidTr="00130D5B">
        <w:tc>
          <w:tcPr>
            <w:tcW w:w="1359" w:type="pct"/>
            <w:shd w:val="clear" w:color="auto" w:fill="auto"/>
            <w:vAlign w:val="center"/>
          </w:tcPr>
          <w:p w:rsidR="00130D5B" w:rsidRPr="00474E31" w:rsidRDefault="00130D5B" w:rsidP="00130D5B">
            <w:pPr>
              <w:tabs>
                <w:tab w:val="left" w:pos="142"/>
              </w:tabs>
              <w:jc w:val="left"/>
              <w:rPr>
                <w:rFonts w:ascii="Arial Narrow" w:hAnsi="Arial Narrow"/>
                <w:sz w:val="20"/>
              </w:rPr>
            </w:pPr>
            <w:r w:rsidRPr="00474E31">
              <w:rPr>
                <w:rFonts w:ascii="Arial Narrow" w:hAnsi="Arial Narrow"/>
                <w:sz w:val="20"/>
                <w:lang w:eastAsia="en-AU"/>
              </w:rPr>
              <w:t xml:space="preserve">Number of </w:t>
            </w:r>
            <w:proofErr w:type="spellStart"/>
            <w:r w:rsidRPr="00474E31">
              <w:rPr>
                <w:rFonts w:ascii="Arial Narrow" w:hAnsi="Arial Narrow"/>
                <w:sz w:val="20"/>
              </w:rPr>
              <w:t>Odefsey</w:t>
            </w:r>
            <w:proofErr w:type="spellEnd"/>
            <w:r w:rsidRPr="00474E31">
              <w:rPr>
                <w:rFonts w:ascii="Arial Narrow" w:hAnsi="Arial Narrow"/>
                <w:sz w:val="20"/>
                <w:vertAlign w:val="superscript"/>
              </w:rPr>
              <w:t>®</w:t>
            </w:r>
            <w:r w:rsidRPr="00474E31">
              <w:rPr>
                <w:rFonts w:ascii="Arial Narrow" w:hAnsi="Arial Narrow"/>
                <w:sz w:val="20"/>
                <w:lang w:eastAsia="en-AU"/>
              </w:rPr>
              <w:t xml:space="preserve"> packs </w:t>
            </w:r>
          </w:p>
        </w:tc>
        <w:tc>
          <w:tcPr>
            <w:tcW w:w="728" w:type="pct"/>
            <w:shd w:val="clear" w:color="auto" w:fill="auto"/>
            <w:vAlign w:val="center"/>
          </w:tcPr>
          <w:p w:rsidR="00130D5B" w:rsidRPr="005604AC" w:rsidRDefault="005604AC" w:rsidP="00130D5B">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8" w:type="pct"/>
            <w:shd w:val="clear" w:color="auto" w:fill="auto"/>
            <w:vAlign w:val="center"/>
          </w:tcPr>
          <w:p w:rsidR="00130D5B" w:rsidRPr="005604AC" w:rsidRDefault="005604AC" w:rsidP="00130D5B">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8" w:type="pct"/>
            <w:shd w:val="clear" w:color="auto" w:fill="auto"/>
            <w:vAlign w:val="center"/>
          </w:tcPr>
          <w:p w:rsidR="00130D5B" w:rsidRPr="005604AC" w:rsidRDefault="005604AC" w:rsidP="00130D5B">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8" w:type="pct"/>
            <w:shd w:val="clear" w:color="auto" w:fill="auto"/>
            <w:vAlign w:val="center"/>
          </w:tcPr>
          <w:p w:rsidR="00130D5B" w:rsidRPr="005604AC" w:rsidRDefault="005604AC" w:rsidP="00130D5B">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9" w:type="pct"/>
            <w:shd w:val="clear" w:color="auto" w:fill="auto"/>
            <w:vAlign w:val="center"/>
          </w:tcPr>
          <w:p w:rsidR="00130D5B" w:rsidRPr="005604AC" w:rsidRDefault="005604AC" w:rsidP="00130D5B">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130D5B" w:rsidRPr="00474E31" w:rsidTr="005D044D">
        <w:tc>
          <w:tcPr>
            <w:tcW w:w="5000" w:type="pct"/>
            <w:gridSpan w:val="6"/>
            <w:shd w:val="clear" w:color="auto" w:fill="auto"/>
            <w:vAlign w:val="center"/>
          </w:tcPr>
          <w:p w:rsidR="00130D5B" w:rsidRPr="00474E31" w:rsidRDefault="00130D5B" w:rsidP="00130D5B">
            <w:pPr>
              <w:jc w:val="left"/>
              <w:rPr>
                <w:rFonts w:ascii="Arial Narrow" w:hAnsi="Arial Narrow"/>
                <w:b/>
                <w:bCs/>
                <w:color w:val="000000"/>
                <w:sz w:val="20"/>
              </w:rPr>
            </w:pPr>
            <w:r w:rsidRPr="00474E31">
              <w:rPr>
                <w:rFonts w:ascii="Arial Narrow" w:hAnsi="Arial Narrow"/>
                <w:b/>
                <w:bCs/>
                <w:color w:val="000000"/>
                <w:sz w:val="20"/>
              </w:rPr>
              <w:t>Estimated net cost to PBS/RPBS/MBS</w:t>
            </w:r>
          </w:p>
        </w:tc>
      </w:tr>
      <w:tr w:rsidR="00130D5B" w:rsidRPr="00474E31" w:rsidTr="00130D5B">
        <w:tc>
          <w:tcPr>
            <w:tcW w:w="1359" w:type="pct"/>
            <w:shd w:val="clear" w:color="auto" w:fill="auto"/>
            <w:vAlign w:val="center"/>
          </w:tcPr>
          <w:p w:rsidR="00130D5B" w:rsidRPr="00474E31" w:rsidRDefault="00130D5B" w:rsidP="00130D5B">
            <w:pPr>
              <w:tabs>
                <w:tab w:val="left" w:pos="142"/>
              </w:tabs>
              <w:jc w:val="left"/>
              <w:rPr>
                <w:rFonts w:ascii="Arial Narrow" w:hAnsi="Arial Narrow"/>
                <w:sz w:val="20"/>
              </w:rPr>
            </w:pPr>
            <w:r w:rsidRPr="00474E31">
              <w:rPr>
                <w:rFonts w:ascii="Arial Narrow" w:hAnsi="Arial Narrow"/>
                <w:sz w:val="20"/>
              </w:rPr>
              <w:t>Net cost to PBS/RPBS</w:t>
            </w:r>
          </w:p>
        </w:tc>
        <w:tc>
          <w:tcPr>
            <w:tcW w:w="728" w:type="pct"/>
            <w:shd w:val="clear" w:color="auto" w:fill="auto"/>
            <w:vAlign w:val="center"/>
          </w:tcPr>
          <w:p w:rsidR="00130D5B" w:rsidRPr="00474E31" w:rsidRDefault="00130D5B" w:rsidP="00130D5B">
            <w:pPr>
              <w:jc w:val="center"/>
              <w:rPr>
                <w:rFonts w:ascii="Arial Narrow" w:hAnsi="Arial Narrow"/>
                <w:bCs/>
                <w:color w:val="000000"/>
                <w:sz w:val="20"/>
              </w:rPr>
            </w:pPr>
            <w:r w:rsidRPr="00F00C8F">
              <w:rPr>
                <w:rFonts w:ascii="Arial Narrow" w:hAnsi="Arial Narrow"/>
                <w:i/>
                <w:iCs/>
                <w:sz w:val="20"/>
              </w:rPr>
              <w:t>$</w:t>
            </w:r>
            <w:r w:rsidR="005604AC">
              <w:rPr>
                <w:rFonts w:ascii="Arial Narrow" w:hAnsi="Arial Narrow"/>
                <w:i/>
                <w:iCs/>
                <w:noProof/>
                <w:color w:val="000000"/>
                <w:sz w:val="20"/>
                <w:highlight w:val="black"/>
              </w:rPr>
              <w:t>'''''''''''''''''''''''''</w:t>
            </w:r>
          </w:p>
        </w:tc>
        <w:tc>
          <w:tcPr>
            <w:tcW w:w="728" w:type="pct"/>
            <w:shd w:val="clear" w:color="auto" w:fill="auto"/>
            <w:vAlign w:val="center"/>
          </w:tcPr>
          <w:p w:rsidR="00130D5B" w:rsidRPr="00474E31" w:rsidRDefault="00130D5B" w:rsidP="00130D5B">
            <w:pPr>
              <w:jc w:val="center"/>
              <w:rPr>
                <w:rFonts w:ascii="Arial Narrow" w:hAnsi="Arial Narrow"/>
                <w:bCs/>
                <w:color w:val="000000"/>
                <w:sz w:val="20"/>
              </w:rPr>
            </w:pPr>
            <w:r w:rsidRPr="00D77E07">
              <w:rPr>
                <w:rFonts w:ascii="Arial Narrow" w:hAnsi="Arial Narrow"/>
                <w:i/>
                <w:iCs/>
                <w:sz w:val="20"/>
              </w:rPr>
              <w:t>$</w:t>
            </w:r>
            <w:r w:rsidR="005604AC">
              <w:rPr>
                <w:rFonts w:ascii="Arial Narrow" w:hAnsi="Arial Narrow"/>
                <w:i/>
                <w:iCs/>
                <w:noProof/>
                <w:color w:val="000000"/>
                <w:sz w:val="20"/>
                <w:highlight w:val="black"/>
              </w:rPr>
              <w:t>'''''''''''''''''''''''''''''</w:t>
            </w:r>
          </w:p>
        </w:tc>
        <w:tc>
          <w:tcPr>
            <w:tcW w:w="728" w:type="pct"/>
            <w:shd w:val="clear" w:color="auto" w:fill="auto"/>
            <w:vAlign w:val="center"/>
          </w:tcPr>
          <w:p w:rsidR="00130D5B" w:rsidRPr="00474E31" w:rsidRDefault="00130D5B" w:rsidP="00130D5B">
            <w:pPr>
              <w:jc w:val="center"/>
              <w:rPr>
                <w:rFonts w:ascii="Arial Narrow" w:hAnsi="Arial Narrow"/>
                <w:bCs/>
                <w:color w:val="000000"/>
                <w:sz w:val="20"/>
              </w:rPr>
            </w:pPr>
            <w:r w:rsidRPr="00D77E07">
              <w:rPr>
                <w:rFonts w:ascii="Arial Narrow" w:hAnsi="Arial Narrow"/>
                <w:i/>
                <w:iCs/>
                <w:sz w:val="20"/>
              </w:rPr>
              <w:t>$</w:t>
            </w:r>
            <w:r w:rsidR="005604AC">
              <w:rPr>
                <w:rFonts w:ascii="Arial Narrow" w:hAnsi="Arial Narrow"/>
                <w:i/>
                <w:iCs/>
                <w:noProof/>
                <w:color w:val="000000"/>
                <w:sz w:val="20"/>
                <w:highlight w:val="black"/>
              </w:rPr>
              <w:t>'''''''''''''''''''''''''''''</w:t>
            </w:r>
          </w:p>
        </w:tc>
        <w:tc>
          <w:tcPr>
            <w:tcW w:w="728" w:type="pct"/>
            <w:shd w:val="clear" w:color="auto" w:fill="auto"/>
            <w:vAlign w:val="center"/>
          </w:tcPr>
          <w:p w:rsidR="00130D5B" w:rsidRPr="00474E31" w:rsidRDefault="00130D5B" w:rsidP="00130D5B">
            <w:pPr>
              <w:jc w:val="center"/>
              <w:rPr>
                <w:rFonts w:ascii="Arial Narrow" w:hAnsi="Arial Narrow"/>
                <w:bCs/>
                <w:color w:val="000000"/>
                <w:sz w:val="20"/>
              </w:rPr>
            </w:pPr>
            <w:r w:rsidRPr="00D77E07">
              <w:rPr>
                <w:rFonts w:ascii="Arial Narrow" w:hAnsi="Arial Narrow"/>
                <w:i/>
                <w:iCs/>
                <w:sz w:val="20"/>
              </w:rPr>
              <w:t>$</w:t>
            </w:r>
            <w:r w:rsidR="005604AC">
              <w:rPr>
                <w:rFonts w:ascii="Arial Narrow" w:hAnsi="Arial Narrow"/>
                <w:i/>
                <w:iCs/>
                <w:noProof/>
                <w:color w:val="000000"/>
                <w:sz w:val="20"/>
                <w:highlight w:val="black"/>
              </w:rPr>
              <w:t>'''''''''''''''''''''''''''</w:t>
            </w:r>
          </w:p>
        </w:tc>
        <w:tc>
          <w:tcPr>
            <w:tcW w:w="729" w:type="pct"/>
            <w:shd w:val="clear" w:color="auto" w:fill="auto"/>
            <w:vAlign w:val="center"/>
          </w:tcPr>
          <w:p w:rsidR="00130D5B" w:rsidRPr="00474E31" w:rsidRDefault="00130D5B" w:rsidP="00130D5B">
            <w:pPr>
              <w:jc w:val="center"/>
              <w:rPr>
                <w:rFonts w:ascii="Arial Narrow" w:hAnsi="Arial Narrow"/>
                <w:bCs/>
                <w:color w:val="000000"/>
                <w:sz w:val="20"/>
              </w:rPr>
            </w:pPr>
            <w:r w:rsidRPr="00D77E07">
              <w:rPr>
                <w:rFonts w:ascii="Arial Narrow" w:hAnsi="Arial Narrow"/>
                <w:i/>
                <w:iCs/>
                <w:sz w:val="20"/>
              </w:rPr>
              <w:t>$</w:t>
            </w:r>
            <w:r w:rsidR="005604AC">
              <w:rPr>
                <w:rFonts w:ascii="Arial Narrow" w:hAnsi="Arial Narrow"/>
                <w:i/>
                <w:iCs/>
                <w:noProof/>
                <w:color w:val="000000"/>
                <w:sz w:val="20"/>
                <w:highlight w:val="black"/>
              </w:rPr>
              <w:t>'''''''''''''''''''''''''''</w:t>
            </w:r>
          </w:p>
        </w:tc>
      </w:tr>
      <w:tr w:rsidR="00130D5B" w:rsidRPr="00474E31" w:rsidTr="00130D5B">
        <w:tc>
          <w:tcPr>
            <w:tcW w:w="1359" w:type="pct"/>
            <w:shd w:val="clear" w:color="auto" w:fill="auto"/>
            <w:vAlign w:val="center"/>
          </w:tcPr>
          <w:p w:rsidR="00130D5B" w:rsidRPr="00474E31" w:rsidRDefault="00130D5B" w:rsidP="00130D5B">
            <w:pPr>
              <w:tabs>
                <w:tab w:val="left" w:pos="142"/>
              </w:tabs>
              <w:jc w:val="left"/>
              <w:rPr>
                <w:rFonts w:ascii="Arial Narrow" w:hAnsi="Arial Narrow"/>
                <w:sz w:val="20"/>
              </w:rPr>
            </w:pPr>
            <w:r>
              <w:rPr>
                <w:rFonts w:ascii="Arial Narrow" w:hAnsi="Arial Narrow"/>
                <w:sz w:val="20"/>
              </w:rPr>
              <w:t>Net cost-</w:t>
            </w:r>
            <w:r w:rsidRPr="00773CFB">
              <w:rPr>
                <w:rFonts w:ascii="Arial Narrow" w:hAnsi="Arial Narrow"/>
                <w:sz w:val="20"/>
                <w:u w:val="single"/>
              </w:rPr>
              <w:t>offset</w:t>
            </w:r>
            <w:r>
              <w:rPr>
                <w:rFonts w:ascii="Arial Narrow" w:hAnsi="Arial Narrow"/>
                <w:sz w:val="20"/>
              </w:rPr>
              <w:t xml:space="preserve"> from </w:t>
            </w:r>
            <w:proofErr w:type="spellStart"/>
            <w:r w:rsidRPr="00474E31">
              <w:rPr>
                <w:rFonts w:ascii="Arial Narrow" w:hAnsi="Arial Narrow"/>
                <w:sz w:val="20"/>
                <w:lang w:eastAsia="en-AU"/>
              </w:rPr>
              <w:t>Eviplera</w:t>
            </w:r>
            <w:proofErr w:type="spellEnd"/>
            <w:r w:rsidRPr="00474E31">
              <w:rPr>
                <w:rFonts w:ascii="Arial Narrow" w:hAnsi="Arial Narrow"/>
                <w:sz w:val="20"/>
                <w:vertAlign w:val="superscript"/>
                <w:lang w:eastAsia="en-AU"/>
              </w:rPr>
              <w:t>®</w:t>
            </w:r>
          </w:p>
        </w:tc>
        <w:tc>
          <w:tcPr>
            <w:tcW w:w="728" w:type="pct"/>
            <w:shd w:val="clear" w:color="auto" w:fill="auto"/>
            <w:vAlign w:val="center"/>
          </w:tcPr>
          <w:p w:rsidR="00130D5B" w:rsidRPr="00474E31" w:rsidRDefault="00130D5B" w:rsidP="00130D5B">
            <w:pPr>
              <w:jc w:val="center"/>
              <w:rPr>
                <w:rFonts w:ascii="Arial Narrow" w:hAnsi="Arial Narrow"/>
                <w:bCs/>
                <w:color w:val="000000"/>
                <w:sz w:val="20"/>
              </w:rPr>
            </w:pPr>
            <w:r w:rsidRPr="00F00C8F">
              <w:rPr>
                <w:rFonts w:ascii="Arial Narrow" w:hAnsi="Arial Narrow"/>
                <w:i/>
                <w:iCs/>
                <w:sz w:val="20"/>
              </w:rPr>
              <w:t>$</w:t>
            </w:r>
            <w:r w:rsidR="005604AC">
              <w:rPr>
                <w:rFonts w:ascii="Arial Narrow" w:hAnsi="Arial Narrow"/>
                <w:i/>
                <w:iCs/>
                <w:noProof/>
                <w:color w:val="000000"/>
                <w:sz w:val="20"/>
                <w:highlight w:val="black"/>
              </w:rPr>
              <w:t>'''''''''''''''''''''''''</w:t>
            </w:r>
          </w:p>
        </w:tc>
        <w:tc>
          <w:tcPr>
            <w:tcW w:w="728" w:type="pct"/>
            <w:shd w:val="clear" w:color="auto" w:fill="auto"/>
            <w:vAlign w:val="center"/>
          </w:tcPr>
          <w:p w:rsidR="00130D5B" w:rsidRPr="00474E31" w:rsidRDefault="00130D5B" w:rsidP="00130D5B">
            <w:pPr>
              <w:jc w:val="center"/>
              <w:rPr>
                <w:rFonts w:ascii="Arial Narrow" w:hAnsi="Arial Narrow"/>
                <w:bCs/>
                <w:color w:val="000000"/>
                <w:sz w:val="20"/>
              </w:rPr>
            </w:pPr>
            <w:r w:rsidRPr="00D77E07">
              <w:rPr>
                <w:rFonts w:ascii="Arial Narrow" w:hAnsi="Arial Narrow"/>
                <w:i/>
                <w:iCs/>
                <w:sz w:val="20"/>
              </w:rPr>
              <w:t>$</w:t>
            </w:r>
            <w:r w:rsidR="005604AC">
              <w:rPr>
                <w:rFonts w:ascii="Arial Narrow" w:hAnsi="Arial Narrow"/>
                <w:i/>
                <w:iCs/>
                <w:noProof/>
                <w:color w:val="000000"/>
                <w:sz w:val="20"/>
                <w:highlight w:val="black"/>
              </w:rPr>
              <w:t>''''''''''''''''''''''''''</w:t>
            </w:r>
          </w:p>
        </w:tc>
        <w:tc>
          <w:tcPr>
            <w:tcW w:w="728" w:type="pct"/>
            <w:shd w:val="clear" w:color="auto" w:fill="auto"/>
            <w:vAlign w:val="center"/>
          </w:tcPr>
          <w:p w:rsidR="00130D5B" w:rsidRPr="00474E31" w:rsidRDefault="00130D5B" w:rsidP="00130D5B">
            <w:pPr>
              <w:jc w:val="center"/>
              <w:rPr>
                <w:rFonts w:ascii="Arial Narrow" w:hAnsi="Arial Narrow"/>
                <w:bCs/>
                <w:color w:val="000000"/>
                <w:sz w:val="20"/>
              </w:rPr>
            </w:pPr>
            <w:r w:rsidRPr="00D77E07">
              <w:rPr>
                <w:rFonts w:ascii="Arial Narrow" w:hAnsi="Arial Narrow"/>
                <w:i/>
                <w:iCs/>
                <w:sz w:val="20"/>
              </w:rPr>
              <w:t>$</w:t>
            </w:r>
            <w:r w:rsidR="005604AC">
              <w:rPr>
                <w:rFonts w:ascii="Arial Narrow" w:hAnsi="Arial Narrow"/>
                <w:i/>
                <w:iCs/>
                <w:noProof/>
                <w:color w:val="000000"/>
                <w:sz w:val="20"/>
                <w:highlight w:val="black"/>
              </w:rPr>
              <w:t>''''''''''''''''''''''''''''</w:t>
            </w:r>
          </w:p>
        </w:tc>
        <w:tc>
          <w:tcPr>
            <w:tcW w:w="728" w:type="pct"/>
            <w:shd w:val="clear" w:color="auto" w:fill="auto"/>
            <w:vAlign w:val="center"/>
          </w:tcPr>
          <w:p w:rsidR="00130D5B" w:rsidRPr="00474E31" w:rsidRDefault="00130D5B" w:rsidP="00130D5B">
            <w:pPr>
              <w:jc w:val="center"/>
              <w:rPr>
                <w:rFonts w:ascii="Arial Narrow" w:hAnsi="Arial Narrow"/>
                <w:bCs/>
                <w:color w:val="000000"/>
                <w:sz w:val="20"/>
              </w:rPr>
            </w:pPr>
            <w:r w:rsidRPr="00D77E07">
              <w:rPr>
                <w:rFonts w:ascii="Arial Narrow" w:hAnsi="Arial Narrow"/>
                <w:i/>
                <w:iCs/>
                <w:sz w:val="20"/>
              </w:rPr>
              <w:t>$</w:t>
            </w:r>
            <w:r w:rsidR="005604AC">
              <w:rPr>
                <w:rFonts w:ascii="Arial Narrow" w:hAnsi="Arial Narrow"/>
                <w:i/>
                <w:iCs/>
                <w:noProof/>
                <w:color w:val="000000"/>
                <w:sz w:val="20"/>
                <w:highlight w:val="black"/>
              </w:rPr>
              <w:t>''''''''''''''''''''''''''</w:t>
            </w:r>
          </w:p>
        </w:tc>
        <w:tc>
          <w:tcPr>
            <w:tcW w:w="729" w:type="pct"/>
            <w:shd w:val="clear" w:color="auto" w:fill="auto"/>
            <w:vAlign w:val="center"/>
          </w:tcPr>
          <w:p w:rsidR="00130D5B" w:rsidRPr="00474E31" w:rsidRDefault="00130D5B" w:rsidP="00130D5B">
            <w:pPr>
              <w:jc w:val="center"/>
              <w:rPr>
                <w:rFonts w:ascii="Arial Narrow" w:hAnsi="Arial Narrow"/>
                <w:bCs/>
                <w:color w:val="000000"/>
                <w:sz w:val="20"/>
              </w:rPr>
            </w:pPr>
            <w:r w:rsidRPr="00D77E07">
              <w:rPr>
                <w:rFonts w:ascii="Arial Narrow" w:hAnsi="Arial Narrow"/>
                <w:i/>
                <w:iCs/>
                <w:sz w:val="20"/>
              </w:rPr>
              <w:t>$</w:t>
            </w:r>
            <w:r w:rsidR="005604AC">
              <w:rPr>
                <w:rFonts w:ascii="Arial Narrow" w:hAnsi="Arial Narrow"/>
                <w:i/>
                <w:iCs/>
                <w:noProof/>
                <w:color w:val="000000"/>
                <w:sz w:val="20"/>
                <w:highlight w:val="black"/>
              </w:rPr>
              <w:t>''''''''''''''''''''''''''</w:t>
            </w:r>
          </w:p>
        </w:tc>
      </w:tr>
      <w:tr w:rsidR="00130D5B" w:rsidRPr="00474E31" w:rsidTr="00130D5B">
        <w:tc>
          <w:tcPr>
            <w:tcW w:w="1359" w:type="pct"/>
            <w:shd w:val="clear" w:color="auto" w:fill="auto"/>
            <w:vAlign w:val="center"/>
          </w:tcPr>
          <w:p w:rsidR="00130D5B" w:rsidRPr="00474E31" w:rsidRDefault="00130D5B" w:rsidP="00130D5B">
            <w:pPr>
              <w:tabs>
                <w:tab w:val="left" w:pos="142"/>
              </w:tabs>
              <w:jc w:val="left"/>
              <w:rPr>
                <w:rFonts w:ascii="Arial Narrow" w:hAnsi="Arial Narrow"/>
                <w:sz w:val="20"/>
              </w:rPr>
            </w:pPr>
            <w:r w:rsidRPr="00474E31">
              <w:rPr>
                <w:rFonts w:ascii="Arial Narrow" w:hAnsi="Arial Narrow"/>
                <w:sz w:val="20"/>
              </w:rPr>
              <w:t>Net cost to MBS</w:t>
            </w:r>
          </w:p>
        </w:tc>
        <w:tc>
          <w:tcPr>
            <w:tcW w:w="728" w:type="pct"/>
            <w:shd w:val="clear" w:color="auto" w:fill="auto"/>
            <w:vAlign w:val="center"/>
          </w:tcPr>
          <w:p w:rsidR="00130D5B" w:rsidRPr="00474E31" w:rsidRDefault="00130D5B" w:rsidP="00130D5B">
            <w:pPr>
              <w:jc w:val="center"/>
              <w:rPr>
                <w:rFonts w:ascii="Arial Narrow" w:hAnsi="Arial Narrow"/>
                <w:bCs/>
                <w:color w:val="000000"/>
                <w:sz w:val="20"/>
              </w:rPr>
            </w:pPr>
            <w:r w:rsidRPr="00474E31">
              <w:rPr>
                <w:rFonts w:ascii="Arial Narrow" w:hAnsi="Arial Narrow"/>
                <w:bCs/>
                <w:color w:val="000000"/>
                <w:sz w:val="20"/>
              </w:rPr>
              <w:t>$</w:t>
            </w:r>
            <w:r w:rsidRPr="00BA1CCE">
              <w:rPr>
                <w:rFonts w:ascii="Arial Narrow" w:hAnsi="Arial Narrow"/>
                <w:bCs/>
                <w:color w:val="000000"/>
                <w:sz w:val="20"/>
              </w:rPr>
              <w:t>0</w:t>
            </w:r>
          </w:p>
        </w:tc>
        <w:tc>
          <w:tcPr>
            <w:tcW w:w="728" w:type="pct"/>
            <w:shd w:val="clear" w:color="auto" w:fill="auto"/>
            <w:vAlign w:val="center"/>
          </w:tcPr>
          <w:p w:rsidR="00130D5B" w:rsidRPr="00474E31" w:rsidRDefault="00130D5B" w:rsidP="00130D5B">
            <w:pPr>
              <w:jc w:val="center"/>
              <w:rPr>
                <w:rFonts w:ascii="Arial Narrow" w:hAnsi="Arial Narrow"/>
                <w:bCs/>
                <w:color w:val="000000"/>
                <w:sz w:val="20"/>
              </w:rPr>
            </w:pPr>
            <w:r w:rsidRPr="00474E31">
              <w:rPr>
                <w:rFonts w:ascii="Arial Narrow" w:hAnsi="Arial Narrow"/>
                <w:bCs/>
                <w:color w:val="000000"/>
                <w:sz w:val="20"/>
              </w:rPr>
              <w:t>$</w:t>
            </w:r>
            <w:r w:rsidRPr="00BA1CCE">
              <w:rPr>
                <w:rFonts w:ascii="Arial Narrow" w:hAnsi="Arial Narrow"/>
                <w:bCs/>
                <w:color w:val="000000"/>
                <w:sz w:val="20"/>
              </w:rPr>
              <w:t>0</w:t>
            </w:r>
          </w:p>
        </w:tc>
        <w:tc>
          <w:tcPr>
            <w:tcW w:w="728" w:type="pct"/>
            <w:shd w:val="clear" w:color="auto" w:fill="auto"/>
            <w:vAlign w:val="center"/>
          </w:tcPr>
          <w:p w:rsidR="00130D5B" w:rsidRPr="00474E31" w:rsidRDefault="00130D5B" w:rsidP="00130D5B">
            <w:pPr>
              <w:jc w:val="center"/>
              <w:rPr>
                <w:rFonts w:ascii="Arial Narrow" w:hAnsi="Arial Narrow"/>
                <w:bCs/>
                <w:color w:val="000000"/>
                <w:sz w:val="20"/>
              </w:rPr>
            </w:pPr>
            <w:r w:rsidRPr="00474E31">
              <w:rPr>
                <w:rFonts w:ascii="Arial Narrow" w:hAnsi="Arial Narrow"/>
                <w:bCs/>
                <w:color w:val="000000"/>
                <w:sz w:val="20"/>
              </w:rPr>
              <w:t>$</w:t>
            </w:r>
            <w:r w:rsidRPr="00BA1CCE">
              <w:rPr>
                <w:rFonts w:ascii="Arial Narrow" w:hAnsi="Arial Narrow"/>
                <w:bCs/>
                <w:color w:val="000000"/>
                <w:sz w:val="20"/>
              </w:rPr>
              <w:t>0</w:t>
            </w:r>
          </w:p>
        </w:tc>
        <w:tc>
          <w:tcPr>
            <w:tcW w:w="728" w:type="pct"/>
            <w:shd w:val="clear" w:color="auto" w:fill="auto"/>
            <w:vAlign w:val="center"/>
          </w:tcPr>
          <w:p w:rsidR="00130D5B" w:rsidRPr="00474E31" w:rsidRDefault="00130D5B" w:rsidP="00130D5B">
            <w:pPr>
              <w:jc w:val="center"/>
              <w:rPr>
                <w:rFonts w:ascii="Arial Narrow" w:hAnsi="Arial Narrow"/>
                <w:bCs/>
                <w:color w:val="000000"/>
                <w:sz w:val="20"/>
              </w:rPr>
            </w:pPr>
            <w:r w:rsidRPr="00474E31">
              <w:rPr>
                <w:rFonts w:ascii="Arial Narrow" w:hAnsi="Arial Narrow"/>
                <w:bCs/>
                <w:color w:val="000000"/>
                <w:sz w:val="20"/>
              </w:rPr>
              <w:t>$</w:t>
            </w:r>
            <w:r w:rsidRPr="00BA1CCE">
              <w:rPr>
                <w:rFonts w:ascii="Arial Narrow" w:hAnsi="Arial Narrow"/>
                <w:bCs/>
                <w:color w:val="000000"/>
                <w:sz w:val="20"/>
              </w:rPr>
              <w:t>0</w:t>
            </w:r>
          </w:p>
        </w:tc>
        <w:tc>
          <w:tcPr>
            <w:tcW w:w="729" w:type="pct"/>
            <w:shd w:val="clear" w:color="auto" w:fill="auto"/>
            <w:vAlign w:val="center"/>
          </w:tcPr>
          <w:p w:rsidR="00130D5B" w:rsidRPr="00474E31" w:rsidRDefault="00130D5B" w:rsidP="00130D5B">
            <w:pPr>
              <w:jc w:val="center"/>
              <w:rPr>
                <w:rFonts w:ascii="Arial Narrow" w:hAnsi="Arial Narrow"/>
                <w:bCs/>
                <w:color w:val="000000"/>
                <w:sz w:val="20"/>
              </w:rPr>
            </w:pPr>
            <w:r w:rsidRPr="00474E31">
              <w:rPr>
                <w:rFonts w:ascii="Arial Narrow" w:hAnsi="Arial Narrow"/>
                <w:bCs/>
                <w:color w:val="000000"/>
                <w:sz w:val="20"/>
              </w:rPr>
              <w:t>$</w:t>
            </w:r>
            <w:r w:rsidRPr="00BA1CCE">
              <w:rPr>
                <w:rFonts w:ascii="Arial Narrow" w:hAnsi="Arial Narrow"/>
                <w:bCs/>
                <w:color w:val="000000"/>
                <w:sz w:val="20"/>
              </w:rPr>
              <w:t>0</w:t>
            </w:r>
          </w:p>
        </w:tc>
      </w:tr>
      <w:tr w:rsidR="00130D5B" w:rsidRPr="00474E31" w:rsidTr="005D044D">
        <w:tc>
          <w:tcPr>
            <w:tcW w:w="5000" w:type="pct"/>
            <w:gridSpan w:val="6"/>
            <w:shd w:val="clear" w:color="auto" w:fill="auto"/>
            <w:vAlign w:val="center"/>
          </w:tcPr>
          <w:p w:rsidR="00130D5B" w:rsidRPr="00474E31" w:rsidRDefault="00130D5B" w:rsidP="00130D5B">
            <w:pPr>
              <w:jc w:val="left"/>
              <w:rPr>
                <w:rFonts w:ascii="Arial Narrow" w:hAnsi="Arial Narrow"/>
                <w:b/>
                <w:color w:val="000000"/>
                <w:sz w:val="20"/>
              </w:rPr>
            </w:pPr>
            <w:r w:rsidRPr="00474E31">
              <w:rPr>
                <w:rFonts w:ascii="Arial Narrow" w:hAnsi="Arial Narrow"/>
                <w:b/>
                <w:color w:val="000000"/>
                <w:sz w:val="20"/>
              </w:rPr>
              <w:t>Estimated total net cost</w:t>
            </w:r>
          </w:p>
        </w:tc>
      </w:tr>
      <w:tr w:rsidR="00130D5B" w:rsidRPr="00474E31" w:rsidTr="00130D5B">
        <w:tc>
          <w:tcPr>
            <w:tcW w:w="1359" w:type="pct"/>
            <w:shd w:val="clear" w:color="auto" w:fill="auto"/>
            <w:vAlign w:val="center"/>
          </w:tcPr>
          <w:p w:rsidR="00130D5B" w:rsidRPr="00474E31" w:rsidRDefault="00130D5B" w:rsidP="00130D5B">
            <w:pPr>
              <w:tabs>
                <w:tab w:val="left" w:pos="142"/>
              </w:tabs>
              <w:jc w:val="left"/>
              <w:rPr>
                <w:rFonts w:ascii="Arial Narrow" w:hAnsi="Arial Narrow"/>
                <w:b/>
                <w:sz w:val="20"/>
              </w:rPr>
            </w:pPr>
            <w:r w:rsidRPr="00474E31">
              <w:rPr>
                <w:rFonts w:ascii="Arial Narrow" w:hAnsi="Arial Narrow"/>
                <w:b/>
                <w:bCs/>
                <w:color w:val="000000"/>
                <w:sz w:val="20"/>
              </w:rPr>
              <w:t>Net cost to PBS/RPBS/MBS</w:t>
            </w:r>
          </w:p>
        </w:tc>
        <w:tc>
          <w:tcPr>
            <w:tcW w:w="728" w:type="pct"/>
            <w:shd w:val="clear" w:color="auto" w:fill="auto"/>
            <w:vAlign w:val="center"/>
          </w:tcPr>
          <w:p w:rsidR="00130D5B" w:rsidRPr="00474E31" w:rsidRDefault="00130D5B" w:rsidP="00130D5B">
            <w:pPr>
              <w:jc w:val="center"/>
              <w:rPr>
                <w:rFonts w:ascii="Arial Narrow" w:hAnsi="Arial Narrow"/>
                <w:color w:val="000000"/>
                <w:sz w:val="20"/>
              </w:rPr>
            </w:pPr>
            <w:r w:rsidRPr="00474E31">
              <w:rPr>
                <w:rFonts w:ascii="Arial Narrow" w:hAnsi="Arial Narrow"/>
                <w:b/>
                <w:bCs/>
                <w:sz w:val="20"/>
              </w:rPr>
              <w:t>$</w:t>
            </w:r>
            <w:r w:rsidRPr="00BA1CCE">
              <w:rPr>
                <w:rFonts w:ascii="Arial Narrow" w:hAnsi="Arial Narrow"/>
                <w:b/>
                <w:bCs/>
                <w:sz w:val="20"/>
              </w:rPr>
              <w:t>0</w:t>
            </w:r>
          </w:p>
        </w:tc>
        <w:tc>
          <w:tcPr>
            <w:tcW w:w="728" w:type="pct"/>
            <w:shd w:val="clear" w:color="auto" w:fill="auto"/>
            <w:vAlign w:val="center"/>
          </w:tcPr>
          <w:p w:rsidR="00130D5B" w:rsidRPr="00474E31" w:rsidRDefault="00130D5B" w:rsidP="00130D5B">
            <w:pPr>
              <w:jc w:val="center"/>
              <w:rPr>
                <w:rFonts w:ascii="Arial Narrow" w:hAnsi="Arial Narrow"/>
                <w:color w:val="000000"/>
                <w:sz w:val="20"/>
              </w:rPr>
            </w:pPr>
            <w:r w:rsidRPr="00474E31">
              <w:rPr>
                <w:rFonts w:ascii="Arial Narrow" w:hAnsi="Arial Narrow"/>
                <w:b/>
                <w:bCs/>
                <w:sz w:val="20"/>
              </w:rPr>
              <w:t>$</w:t>
            </w:r>
            <w:r w:rsidRPr="00BA1CCE">
              <w:rPr>
                <w:rFonts w:ascii="Arial Narrow" w:hAnsi="Arial Narrow"/>
                <w:b/>
                <w:bCs/>
                <w:sz w:val="20"/>
              </w:rPr>
              <w:t>0</w:t>
            </w:r>
          </w:p>
        </w:tc>
        <w:tc>
          <w:tcPr>
            <w:tcW w:w="728" w:type="pct"/>
            <w:shd w:val="clear" w:color="auto" w:fill="auto"/>
            <w:vAlign w:val="center"/>
          </w:tcPr>
          <w:p w:rsidR="00130D5B" w:rsidRPr="00474E31" w:rsidRDefault="00130D5B" w:rsidP="00130D5B">
            <w:pPr>
              <w:jc w:val="center"/>
              <w:rPr>
                <w:rFonts w:ascii="Arial Narrow" w:hAnsi="Arial Narrow"/>
                <w:color w:val="000000"/>
                <w:sz w:val="20"/>
              </w:rPr>
            </w:pPr>
            <w:r w:rsidRPr="00474E31">
              <w:rPr>
                <w:rFonts w:ascii="Arial Narrow" w:hAnsi="Arial Narrow"/>
                <w:b/>
                <w:bCs/>
                <w:sz w:val="20"/>
              </w:rPr>
              <w:t>$</w:t>
            </w:r>
            <w:r w:rsidRPr="00BA1CCE">
              <w:rPr>
                <w:rFonts w:ascii="Arial Narrow" w:hAnsi="Arial Narrow"/>
                <w:b/>
                <w:bCs/>
                <w:sz w:val="20"/>
              </w:rPr>
              <w:t>0</w:t>
            </w:r>
          </w:p>
        </w:tc>
        <w:tc>
          <w:tcPr>
            <w:tcW w:w="728" w:type="pct"/>
            <w:shd w:val="clear" w:color="auto" w:fill="auto"/>
            <w:vAlign w:val="center"/>
          </w:tcPr>
          <w:p w:rsidR="00130D5B" w:rsidRPr="00474E31" w:rsidRDefault="00130D5B" w:rsidP="00130D5B">
            <w:pPr>
              <w:jc w:val="center"/>
              <w:rPr>
                <w:rFonts w:ascii="Arial Narrow" w:hAnsi="Arial Narrow"/>
                <w:color w:val="000000"/>
                <w:sz w:val="20"/>
              </w:rPr>
            </w:pPr>
            <w:r w:rsidRPr="00474E31">
              <w:rPr>
                <w:rFonts w:ascii="Arial Narrow" w:hAnsi="Arial Narrow"/>
                <w:b/>
                <w:bCs/>
                <w:sz w:val="20"/>
              </w:rPr>
              <w:t>$</w:t>
            </w:r>
            <w:r w:rsidRPr="00BA1CCE">
              <w:rPr>
                <w:rFonts w:ascii="Arial Narrow" w:hAnsi="Arial Narrow"/>
                <w:b/>
                <w:bCs/>
                <w:sz w:val="20"/>
              </w:rPr>
              <w:t>0</w:t>
            </w:r>
          </w:p>
        </w:tc>
        <w:tc>
          <w:tcPr>
            <w:tcW w:w="729" w:type="pct"/>
            <w:shd w:val="clear" w:color="auto" w:fill="auto"/>
            <w:vAlign w:val="center"/>
          </w:tcPr>
          <w:p w:rsidR="00130D5B" w:rsidRPr="00474E31" w:rsidRDefault="00130D5B" w:rsidP="00130D5B">
            <w:pPr>
              <w:jc w:val="center"/>
              <w:rPr>
                <w:rFonts w:ascii="Arial Narrow" w:hAnsi="Arial Narrow"/>
                <w:color w:val="000000"/>
                <w:sz w:val="20"/>
              </w:rPr>
            </w:pPr>
            <w:r w:rsidRPr="00474E31">
              <w:rPr>
                <w:rFonts w:ascii="Arial Narrow" w:hAnsi="Arial Narrow"/>
                <w:b/>
                <w:bCs/>
                <w:sz w:val="20"/>
              </w:rPr>
              <w:t>$</w:t>
            </w:r>
            <w:r w:rsidRPr="00BA1CCE">
              <w:rPr>
                <w:rFonts w:ascii="Arial Narrow" w:hAnsi="Arial Narrow"/>
                <w:b/>
                <w:bCs/>
                <w:sz w:val="20"/>
              </w:rPr>
              <w:t>0</w:t>
            </w:r>
          </w:p>
        </w:tc>
      </w:tr>
    </w:tbl>
    <w:p w:rsidR="00B06E10" w:rsidRPr="000E3593" w:rsidRDefault="00B06E10" w:rsidP="00B06E10">
      <w:pPr>
        <w:ind w:firstLine="720"/>
        <w:rPr>
          <w:rFonts w:ascii="Arial Narrow" w:hAnsi="Arial Narrow"/>
          <w:sz w:val="18"/>
          <w:szCs w:val="18"/>
        </w:rPr>
      </w:pPr>
      <w:r w:rsidRPr="000E3593">
        <w:rPr>
          <w:rFonts w:ascii="Arial Narrow" w:hAnsi="Arial Narrow"/>
          <w:sz w:val="18"/>
          <w:szCs w:val="18"/>
        </w:rPr>
        <w:t>Source: Tables E-3 to E-4, pp139-141 of the submission</w:t>
      </w:r>
    </w:p>
    <w:p w:rsidR="00B06E10" w:rsidRPr="000E3593" w:rsidRDefault="00B06E10" w:rsidP="00B06E10">
      <w:pPr>
        <w:ind w:left="720"/>
        <w:rPr>
          <w:rFonts w:ascii="Arial Narrow" w:hAnsi="Arial Narrow"/>
          <w:i/>
          <w:iCs/>
          <w:sz w:val="18"/>
          <w:szCs w:val="18"/>
        </w:rPr>
      </w:pPr>
      <w:r w:rsidRPr="000E3593">
        <w:rPr>
          <w:rFonts w:ascii="Arial Narrow" w:hAnsi="Arial Narrow"/>
          <w:i/>
          <w:iCs/>
          <w:sz w:val="18"/>
          <w:szCs w:val="18"/>
        </w:rPr>
        <w:t>Note: An apparent arithmetic error was a</w:t>
      </w:r>
      <w:r w:rsidR="006E2F23">
        <w:rPr>
          <w:rFonts w:ascii="Arial Narrow" w:hAnsi="Arial Narrow"/>
          <w:i/>
          <w:iCs/>
          <w:sz w:val="18"/>
          <w:szCs w:val="18"/>
        </w:rPr>
        <w:t>mended during the evaluation (D</w:t>
      </w:r>
      <w:r w:rsidRPr="000E3593">
        <w:rPr>
          <w:rFonts w:ascii="Arial Narrow" w:hAnsi="Arial Narrow"/>
          <w:i/>
          <w:iCs/>
          <w:sz w:val="18"/>
          <w:szCs w:val="18"/>
        </w:rPr>
        <w:t>P</w:t>
      </w:r>
      <w:r w:rsidR="006E2F23">
        <w:rPr>
          <w:rFonts w:ascii="Arial Narrow" w:hAnsi="Arial Narrow"/>
          <w:i/>
          <w:iCs/>
          <w:sz w:val="18"/>
          <w:szCs w:val="18"/>
        </w:rPr>
        <w:t>M</w:t>
      </w:r>
      <w:r w:rsidRPr="000E3593">
        <w:rPr>
          <w:rFonts w:ascii="Arial Narrow" w:hAnsi="Arial Narrow"/>
          <w:i/>
          <w:iCs/>
          <w:sz w:val="18"/>
          <w:szCs w:val="18"/>
        </w:rPr>
        <w:t>Q of $</w:t>
      </w:r>
      <w:r w:rsidRPr="00BA1CCE">
        <w:rPr>
          <w:rFonts w:ascii="Arial Narrow" w:hAnsi="Arial Narrow"/>
          <w:i/>
          <w:iCs/>
          <w:sz w:val="18"/>
          <w:szCs w:val="18"/>
        </w:rPr>
        <w:t>2,016.63</w:t>
      </w:r>
      <w:r w:rsidRPr="000E3593">
        <w:rPr>
          <w:rFonts w:ascii="Arial Narrow" w:hAnsi="Arial Narrow"/>
          <w:i/>
          <w:iCs/>
          <w:sz w:val="18"/>
          <w:szCs w:val="18"/>
        </w:rPr>
        <w:t xml:space="preserve"> instead of $</w:t>
      </w:r>
      <w:r w:rsidRPr="009C4AFB">
        <w:rPr>
          <w:rFonts w:ascii="Arial Narrow" w:hAnsi="Arial Narrow"/>
          <w:i/>
          <w:iCs/>
          <w:sz w:val="18"/>
          <w:szCs w:val="18"/>
        </w:rPr>
        <w:t>2,043.79</w:t>
      </w:r>
      <w:r w:rsidRPr="000E3593">
        <w:rPr>
          <w:rFonts w:ascii="Arial Narrow" w:hAnsi="Arial Narrow"/>
          <w:i/>
          <w:iCs/>
          <w:sz w:val="18"/>
          <w:szCs w:val="18"/>
        </w:rPr>
        <w:t xml:space="preserve"> was applied for both </w:t>
      </w:r>
      <w:proofErr w:type="spellStart"/>
      <w:r w:rsidRPr="000E3593">
        <w:rPr>
          <w:rFonts w:ascii="Arial Narrow" w:hAnsi="Arial Narrow"/>
          <w:i/>
          <w:iCs/>
          <w:sz w:val="18"/>
          <w:szCs w:val="18"/>
        </w:rPr>
        <w:t>Odefsey</w:t>
      </w:r>
      <w:proofErr w:type="spellEnd"/>
      <w:r w:rsidRPr="000E3593">
        <w:rPr>
          <w:rFonts w:ascii="Arial Narrow" w:hAnsi="Arial Narrow"/>
          <w:i/>
          <w:iCs/>
          <w:sz w:val="18"/>
          <w:szCs w:val="18"/>
          <w:vertAlign w:val="superscript"/>
        </w:rPr>
        <w:t>®</w:t>
      </w:r>
      <w:r w:rsidRPr="000E3593">
        <w:rPr>
          <w:rFonts w:ascii="Arial Narrow" w:hAnsi="Arial Narrow"/>
          <w:i/>
          <w:iCs/>
          <w:sz w:val="18"/>
          <w:szCs w:val="18"/>
        </w:rPr>
        <w:t xml:space="preserve"> and </w:t>
      </w:r>
      <w:proofErr w:type="spellStart"/>
      <w:r w:rsidRPr="000E3593">
        <w:rPr>
          <w:rFonts w:ascii="Arial Narrow" w:hAnsi="Arial Narrow"/>
          <w:i/>
          <w:iCs/>
          <w:sz w:val="18"/>
          <w:szCs w:val="18"/>
          <w:lang w:eastAsia="en-AU"/>
        </w:rPr>
        <w:t>Eviplera</w:t>
      </w:r>
      <w:proofErr w:type="spellEnd"/>
      <w:r w:rsidRPr="000E3593">
        <w:rPr>
          <w:rFonts w:ascii="Arial Narrow" w:hAnsi="Arial Narrow"/>
          <w:i/>
          <w:iCs/>
          <w:sz w:val="18"/>
          <w:szCs w:val="18"/>
          <w:vertAlign w:val="superscript"/>
          <w:lang w:eastAsia="en-AU"/>
        </w:rPr>
        <w:t>®</w:t>
      </w:r>
      <w:r w:rsidRPr="000E3593">
        <w:rPr>
          <w:rFonts w:ascii="Arial Narrow" w:hAnsi="Arial Narrow"/>
          <w:i/>
          <w:iCs/>
          <w:sz w:val="18"/>
          <w:szCs w:val="18"/>
        </w:rPr>
        <w:t>).</w:t>
      </w:r>
      <w:r w:rsidR="00C30905">
        <w:rPr>
          <w:rFonts w:ascii="Arial Narrow" w:hAnsi="Arial Narrow"/>
          <w:i/>
          <w:iCs/>
          <w:sz w:val="18"/>
          <w:szCs w:val="18"/>
        </w:rPr>
        <w:t xml:space="preserve"> The submission did not round the numbers of packs/services to the closest whole number.</w:t>
      </w:r>
    </w:p>
    <w:p w:rsidR="00431879" w:rsidRDefault="00431879" w:rsidP="00C25D9C">
      <w:pPr>
        <w:widowControl/>
        <w:rPr>
          <w:szCs w:val="22"/>
        </w:rPr>
      </w:pPr>
    </w:p>
    <w:p w:rsidR="003765B3" w:rsidRDefault="003765B3" w:rsidP="00C25D9C">
      <w:pPr>
        <w:widowControl/>
        <w:rPr>
          <w:szCs w:val="22"/>
        </w:rPr>
      </w:pPr>
      <w:r>
        <w:rPr>
          <w:szCs w:val="22"/>
        </w:rPr>
        <w:t xml:space="preserve">The redacted table shows that, at Year 5, the estimated number of </w:t>
      </w:r>
      <w:proofErr w:type="spellStart"/>
      <w:r>
        <w:rPr>
          <w:szCs w:val="22"/>
        </w:rPr>
        <w:t>Evilplera</w:t>
      </w:r>
      <w:proofErr w:type="spellEnd"/>
      <w:r>
        <w:rPr>
          <w:szCs w:val="22"/>
        </w:rPr>
        <w:t xml:space="preserve"> and </w:t>
      </w:r>
      <w:proofErr w:type="spellStart"/>
      <w:r>
        <w:rPr>
          <w:szCs w:val="22"/>
        </w:rPr>
        <w:t>Descovy</w:t>
      </w:r>
      <w:proofErr w:type="spellEnd"/>
      <w:r>
        <w:rPr>
          <w:szCs w:val="22"/>
        </w:rPr>
        <w:t xml:space="preserve"> services was 10,000 – 50,000.</w:t>
      </w:r>
    </w:p>
    <w:p w:rsidR="003765B3" w:rsidRPr="00C25D9C" w:rsidRDefault="003765B3" w:rsidP="00C25D9C">
      <w:pPr>
        <w:widowControl/>
        <w:rPr>
          <w:szCs w:val="22"/>
        </w:rPr>
      </w:pPr>
    </w:p>
    <w:p w:rsidR="007E2C2F" w:rsidRPr="00082954" w:rsidRDefault="0005352A" w:rsidP="007E2C2F">
      <w:pPr>
        <w:pStyle w:val="ListParagraph"/>
        <w:widowControl/>
        <w:numPr>
          <w:ilvl w:val="1"/>
          <w:numId w:val="6"/>
        </w:numPr>
        <w:rPr>
          <w:iCs/>
          <w:szCs w:val="22"/>
        </w:rPr>
      </w:pPr>
      <w:r w:rsidRPr="00082954">
        <w:rPr>
          <w:szCs w:val="22"/>
        </w:rPr>
        <w:t xml:space="preserve">The submission estimated that the listing of </w:t>
      </w:r>
      <w:proofErr w:type="spellStart"/>
      <w:r w:rsidRPr="00082954">
        <w:rPr>
          <w:szCs w:val="22"/>
        </w:rPr>
        <w:t>Odefsey</w:t>
      </w:r>
      <w:proofErr w:type="spellEnd"/>
      <w:r w:rsidRPr="00082954">
        <w:rPr>
          <w:szCs w:val="22"/>
          <w:vertAlign w:val="superscript"/>
        </w:rPr>
        <w:t>®</w:t>
      </w:r>
      <w:r w:rsidRPr="00082954">
        <w:rPr>
          <w:szCs w:val="22"/>
        </w:rPr>
        <w:t xml:space="preserve"> would be cost neutral for the government due to the identical price and pack-for-pack substitution of </w:t>
      </w:r>
      <w:proofErr w:type="spellStart"/>
      <w:r w:rsidRPr="00082954">
        <w:rPr>
          <w:szCs w:val="22"/>
        </w:rPr>
        <w:t>Odefsey</w:t>
      </w:r>
      <w:proofErr w:type="spellEnd"/>
      <w:r w:rsidRPr="00082954">
        <w:rPr>
          <w:szCs w:val="22"/>
          <w:vertAlign w:val="superscript"/>
        </w:rPr>
        <w:t>®</w:t>
      </w:r>
      <w:r w:rsidRPr="00082954">
        <w:rPr>
          <w:szCs w:val="22"/>
        </w:rPr>
        <w:t xml:space="preserve"> for </w:t>
      </w:r>
      <w:proofErr w:type="spellStart"/>
      <w:r w:rsidRPr="00082954">
        <w:rPr>
          <w:szCs w:val="22"/>
        </w:rPr>
        <w:t>Eviplera</w:t>
      </w:r>
      <w:proofErr w:type="spellEnd"/>
      <w:r w:rsidRPr="00082954">
        <w:rPr>
          <w:szCs w:val="22"/>
          <w:vertAlign w:val="superscript"/>
        </w:rPr>
        <w:t>®</w:t>
      </w:r>
      <w:r w:rsidRPr="00082954">
        <w:rPr>
          <w:szCs w:val="22"/>
        </w:rPr>
        <w:t>.</w:t>
      </w:r>
      <w:r w:rsidR="000E147B" w:rsidRPr="00082954">
        <w:rPr>
          <w:szCs w:val="22"/>
        </w:rPr>
        <w:t xml:space="preserve"> </w:t>
      </w:r>
    </w:p>
    <w:p w:rsidR="007E2C2F" w:rsidRPr="00082954" w:rsidRDefault="007E2C2F" w:rsidP="00E070C6">
      <w:pPr>
        <w:pStyle w:val="ListParagraph"/>
        <w:widowControl/>
        <w:rPr>
          <w:szCs w:val="22"/>
        </w:rPr>
      </w:pPr>
    </w:p>
    <w:p w:rsidR="00973EE2" w:rsidRPr="00082954" w:rsidRDefault="00973EE2" w:rsidP="006E6FD7">
      <w:pPr>
        <w:pStyle w:val="ListParagraph"/>
        <w:widowControl/>
        <w:numPr>
          <w:ilvl w:val="1"/>
          <w:numId w:val="6"/>
        </w:numPr>
        <w:rPr>
          <w:iCs/>
          <w:szCs w:val="22"/>
        </w:rPr>
      </w:pPr>
      <w:r w:rsidRPr="00082954">
        <w:rPr>
          <w:iCs/>
          <w:szCs w:val="22"/>
        </w:rPr>
        <w:t>The key areas of uncertainties in the estimates include:</w:t>
      </w:r>
    </w:p>
    <w:p w:rsidR="00973EE2" w:rsidRPr="00082954" w:rsidRDefault="00973EE2" w:rsidP="0052611C">
      <w:pPr>
        <w:pStyle w:val="ListParagraph"/>
        <w:widowControl/>
        <w:numPr>
          <w:ilvl w:val="0"/>
          <w:numId w:val="26"/>
        </w:numPr>
        <w:rPr>
          <w:iCs/>
          <w:szCs w:val="22"/>
        </w:rPr>
      </w:pPr>
      <w:r w:rsidRPr="00082954">
        <w:rPr>
          <w:iCs/>
          <w:szCs w:val="22"/>
        </w:rPr>
        <w:t xml:space="preserve">The submission failed to consider uptake from products apart from </w:t>
      </w:r>
      <w:proofErr w:type="spellStart"/>
      <w:r w:rsidRPr="00082954">
        <w:rPr>
          <w:iCs/>
          <w:szCs w:val="22"/>
        </w:rPr>
        <w:t>Eviplera</w:t>
      </w:r>
      <w:proofErr w:type="spellEnd"/>
      <w:r w:rsidRPr="00082954">
        <w:rPr>
          <w:iCs/>
          <w:szCs w:val="22"/>
          <w:vertAlign w:val="superscript"/>
        </w:rPr>
        <w:t>®</w:t>
      </w:r>
      <w:r w:rsidRPr="00082954">
        <w:rPr>
          <w:iCs/>
          <w:szCs w:val="22"/>
        </w:rPr>
        <w:t xml:space="preserve">, and therefore may have underestimated the potential market for </w:t>
      </w:r>
      <w:proofErr w:type="spellStart"/>
      <w:r w:rsidRPr="00082954">
        <w:rPr>
          <w:iCs/>
          <w:szCs w:val="22"/>
        </w:rPr>
        <w:t>Odefsey</w:t>
      </w:r>
      <w:proofErr w:type="spellEnd"/>
      <w:r w:rsidRPr="00082954">
        <w:rPr>
          <w:iCs/>
          <w:szCs w:val="22"/>
          <w:vertAlign w:val="superscript"/>
        </w:rPr>
        <w:t>®</w:t>
      </w:r>
      <w:r w:rsidRPr="00082954">
        <w:rPr>
          <w:iCs/>
          <w:szCs w:val="22"/>
        </w:rPr>
        <w:t xml:space="preserve">. </w:t>
      </w:r>
    </w:p>
    <w:p w:rsidR="0005352A" w:rsidRPr="00082954" w:rsidRDefault="00973EE2" w:rsidP="006E6FD7">
      <w:pPr>
        <w:pStyle w:val="ListParagraph"/>
        <w:widowControl/>
        <w:numPr>
          <w:ilvl w:val="0"/>
          <w:numId w:val="26"/>
        </w:numPr>
        <w:rPr>
          <w:iCs/>
          <w:szCs w:val="22"/>
        </w:rPr>
      </w:pPr>
      <w:r w:rsidRPr="00082954">
        <w:rPr>
          <w:iCs/>
          <w:szCs w:val="22"/>
        </w:rPr>
        <w:t xml:space="preserve">There were concerns that the projected </w:t>
      </w:r>
      <w:proofErr w:type="spellStart"/>
      <w:r w:rsidRPr="00082954">
        <w:rPr>
          <w:iCs/>
          <w:szCs w:val="22"/>
        </w:rPr>
        <w:t>Eviplera</w:t>
      </w:r>
      <w:proofErr w:type="spellEnd"/>
      <w:r w:rsidRPr="00082954">
        <w:rPr>
          <w:iCs/>
          <w:szCs w:val="22"/>
          <w:vertAlign w:val="superscript"/>
        </w:rPr>
        <w:t>®</w:t>
      </w:r>
      <w:r w:rsidRPr="00082954">
        <w:rPr>
          <w:iCs/>
          <w:szCs w:val="22"/>
        </w:rPr>
        <w:t xml:space="preserve"> market was an overestimate based on the comparison of predicted </w:t>
      </w:r>
      <w:r w:rsidR="00EE3C73" w:rsidRPr="00082954">
        <w:rPr>
          <w:iCs/>
          <w:szCs w:val="22"/>
        </w:rPr>
        <w:t xml:space="preserve">data </w:t>
      </w:r>
      <w:r w:rsidRPr="00082954">
        <w:rPr>
          <w:iCs/>
          <w:szCs w:val="22"/>
        </w:rPr>
        <w:t xml:space="preserve">versus </w:t>
      </w:r>
      <w:r w:rsidR="00EE3C73" w:rsidRPr="00082954">
        <w:rPr>
          <w:iCs/>
          <w:szCs w:val="22"/>
        </w:rPr>
        <w:t xml:space="preserve">available </w:t>
      </w:r>
      <w:r w:rsidRPr="00082954">
        <w:rPr>
          <w:iCs/>
          <w:szCs w:val="22"/>
        </w:rPr>
        <w:t>actual data.</w:t>
      </w:r>
    </w:p>
    <w:p w:rsidR="00F728C7" w:rsidRDefault="00F728C7" w:rsidP="00495439">
      <w:pPr>
        <w:pStyle w:val="PBACHeading1"/>
        <w:numPr>
          <w:ilvl w:val="0"/>
          <w:numId w:val="0"/>
        </w:numPr>
        <w:ind w:left="720"/>
      </w:pPr>
      <w:bookmarkStart w:id="13" w:name="_Toc451425488"/>
    </w:p>
    <w:p w:rsidR="00576972" w:rsidRPr="002C2775" w:rsidRDefault="00576972" w:rsidP="00495439">
      <w:pPr>
        <w:pStyle w:val="Heading3"/>
      </w:pPr>
      <w:r w:rsidRPr="002C2775">
        <w:t>Quality Use of Medicines</w:t>
      </w:r>
      <w:bookmarkEnd w:id="13"/>
    </w:p>
    <w:p w:rsidR="00576972" w:rsidRPr="00576972" w:rsidRDefault="00576972" w:rsidP="00576972">
      <w:pPr>
        <w:widowControl/>
        <w:rPr>
          <w:szCs w:val="22"/>
        </w:rPr>
      </w:pPr>
    </w:p>
    <w:p w:rsidR="00576972" w:rsidRPr="00082954" w:rsidRDefault="003949C7" w:rsidP="006E6FD7">
      <w:pPr>
        <w:pStyle w:val="ListParagraph"/>
        <w:widowControl/>
        <w:numPr>
          <w:ilvl w:val="1"/>
          <w:numId w:val="6"/>
        </w:numPr>
        <w:rPr>
          <w:szCs w:val="22"/>
        </w:rPr>
      </w:pPr>
      <w:r w:rsidRPr="00082954">
        <w:t>The submission claimed that benefit of the lessened impact of therapy on parameters associated with renal and bone toxicities meets an important unmet need for the optimisation of long-term treatment in an aging cohort of HIV infected individuals who now have a life-expectancy close to that observed in the general population, and are therefore exposed to antiretroviral drugs for long periods of time.</w:t>
      </w:r>
      <w:r w:rsidR="00C422AB" w:rsidRPr="00082954">
        <w:t xml:space="preserve"> </w:t>
      </w:r>
      <w:r w:rsidR="00C422AB" w:rsidRPr="00082954">
        <w:rPr>
          <w:iCs/>
        </w:rPr>
        <w:t>However, the data provided in the submission relate to surrogate markers for renal impairment and osteoporosis or osteopenia over a relatively short duration, not long-term patient relevant outcomes (e.g. renal failure and fractures).</w:t>
      </w:r>
    </w:p>
    <w:p w:rsidR="00FD31D7" w:rsidRPr="00FD31D7" w:rsidRDefault="00FD31D7" w:rsidP="00FD31D7"/>
    <w:p w:rsidR="005604AC" w:rsidRDefault="005604AC">
      <w:pPr>
        <w:widowControl/>
        <w:jc w:val="left"/>
        <w:rPr>
          <w:b/>
        </w:rPr>
      </w:pPr>
      <w:bookmarkStart w:id="14" w:name="_Toc430081398"/>
      <w:r>
        <w:br w:type="page"/>
      </w:r>
    </w:p>
    <w:p w:rsidR="001A4AEB" w:rsidRPr="00EF6F2C" w:rsidRDefault="00FD31D7" w:rsidP="00495439">
      <w:pPr>
        <w:pStyle w:val="PBACHeading1"/>
        <w:numPr>
          <w:ilvl w:val="0"/>
          <w:numId w:val="0"/>
        </w:numPr>
        <w:ind w:left="720" w:hanging="720"/>
      </w:pPr>
      <w:r>
        <w:lastRenderedPageBreak/>
        <w:t>R</w:t>
      </w:r>
      <w:r w:rsidR="001A4AEB" w:rsidRPr="00EF6F2C">
        <w:t>equest under Subsection 101(4AC)</w:t>
      </w:r>
      <w:bookmarkEnd w:id="14"/>
      <w:r w:rsidR="001A4AEB" w:rsidRPr="00EF6F2C">
        <w:t xml:space="preserve"> of the </w:t>
      </w:r>
      <w:r w:rsidR="001A4AEB" w:rsidRPr="00FD31D7">
        <w:rPr>
          <w:i/>
        </w:rPr>
        <w:t>National Health Act 1953</w:t>
      </w:r>
    </w:p>
    <w:p w:rsidR="006F4F59" w:rsidRPr="005B35A6" w:rsidRDefault="006F4F59" w:rsidP="00111AAD"/>
    <w:p w:rsidR="00784D58" w:rsidRPr="00673F01" w:rsidRDefault="00784D58" w:rsidP="00784D58">
      <w:pPr>
        <w:pStyle w:val="ListParagraph"/>
        <w:widowControl/>
        <w:numPr>
          <w:ilvl w:val="1"/>
          <w:numId w:val="6"/>
        </w:numPr>
        <w:rPr>
          <w:szCs w:val="22"/>
        </w:rPr>
      </w:pPr>
      <w:r w:rsidRPr="00F43587">
        <w:rPr>
          <w:szCs w:val="22"/>
        </w:rPr>
        <w:t xml:space="preserve">The submission </w:t>
      </w:r>
      <w:r>
        <w:rPr>
          <w:szCs w:val="22"/>
        </w:rPr>
        <w:t>requested</w:t>
      </w:r>
      <w:r w:rsidRPr="00F43587">
        <w:rPr>
          <w:szCs w:val="22"/>
        </w:rPr>
        <w:t xml:space="preserve"> that the PBAC advi</w:t>
      </w:r>
      <w:r w:rsidR="000B605D">
        <w:rPr>
          <w:szCs w:val="22"/>
        </w:rPr>
        <w:t>s</w:t>
      </w:r>
      <w:r w:rsidRPr="00F43587">
        <w:rPr>
          <w:szCs w:val="22"/>
        </w:rPr>
        <w:t>e the Minister under Subse</w:t>
      </w:r>
      <w:r w:rsidRPr="00EF319D">
        <w:rPr>
          <w:szCs w:val="22"/>
        </w:rPr>
        <w:t xml:space="preserve">ction 101(4AC) of the </w:t>
      </w:r>
      <w:r w:rsidR="00FD31D7">
        <w:rPr>
          <w:szCs w:val="22"/>
        </w:rPr>
        <w:t>Act</w:t>
      </w:r>
      <w:r w:rsidRPr="00EF319D">
        <w:rPr>
          <w:szCs w:val="22"/>
        </w:rPr>
        <w:t xml:space="preserve"> to list </w:t>
      </w:r>
      <w:proofErr w:type="spellStart"/>
      <w:r>
        <w:rPr>
          <w:szCs w:val="22"/>
        </w:rPr>
        <w:t>t</w:t>
      </w:r>
      <w:r w:rsidRPr="00EF6F2C">
        <w:rPr>
          <w:szCs w:val="22"/>
        </w:rPr>
        <w:t>enofovir</w:t>
      </w:r>
      <w:proofErr w:type="spellEnd"/>
      <w:r w:rsidRPr="00EF6F2C">
        <w:rPr>
          <w:szCs w:val="22"/>
        </w:rPr>
        <w:t xml:space="preserve"> </w:t>
      </w:r>
      <w:proofErr w:type="spellStart"/>
      <w:r w:rsidRPr="00EF6F2C">
        <w:rPr>
          <w:szCs w:val="22"/>
        </w:rPr>
        <w:t>alafenamide</w:t>
      </w:r>
      <w:proofErr w:type="spellEnd"/>
      <w:r>
        <w:rPr>
          <w:szCs w:val="22"/>
        </w:rPr>
        <w:t>/</w:t>
      </w:r>
      <w:proofErr w:type="spellStart"/>
      <w:r>
        <w:rPr>
          <w:szCs w:val="22"/>
        </w:rPr>
        <w:t>emtricitabine</w:t>
      </w:r>
      <w:proofErr w:type="spellEnd"/>
      <w:r>
        <w:rPr>
          <w:szCs w:val="22"/>
        </w:rPr>
        <w:t>/</w:t>
      </w:r>
      <w:proofErr w:type="spellStart"/>
      <w:r>
        <w:rPr>
          <w:szCs w:val="22"/>
        </w:rPr>
        <w:t>rilpivirine</w:t>
      </w:r>
      <w:proofErr w:type="spellEnd"/>
      <w:r w:rsidRPr="00EF6F2C">
        <w:rPr>
          <w:szCs w:val="22"/>
        </w:rPr>
        <w:t xml:space="preserve"> FDC such that the price of </w:t>
      </w:r>
      <w:proofErr w:type="spellStart"/>
      <w:r w:rsidRPr="00EF6F2C">
        <w:rPr>
          <w:szCs w:val="22"/>
        </w:rPr>
        <w:t>tenofovir</w:t>
      </w:r>
      <w:proofErr w:type="spellEnd"/>
      <w:r w:rsidRPr="00EF6F2C">
        <w:rPr>
          <w:szCs w:val="22"/>
        </w:rPr>
        <w:t xml:space="preserve"> </w:t>
      </w:r>
      <w:proofErr w:type="spellStart"/>
      <w:r w:rsidRPr="00EF6F2C">
        <w:rPr>
          <w:szCs w:val="22"/>
        </w:rPr>
        <w:t>alafenamide</w:t>
      </w:r>
      <w:proofErr w:type="spellEnd"/>
      <w:r>
        <w:rPr>
          <w:szCs w:val="22"/>
        </w:rPr>
        <w:t>/</w:t>
      </w:r>
      <w:proofErr w:type="spellStart"/>
      <w:r w:rsidRPr="004A602B">
        <w:t>emtricitabine</w:t>
      </w:r>
      <w:proofErr w:type="spellEnd"/>
      <w:r>
        <w:t>/</w:t>
      </w:r>
      <w:proofErr w:type="spellStart"/>
      <w:r>
        <w:t>rilpivirine</w:t>
      </w:r>
      <w:proofErr w:type="spellEnd"/>
      <w:r w:rsidRPr="00EF6F2C">
        <w:rPr>
          <w:szCs w:val="22"/>
        </w:rPr>
        <w:t xml:space="preserve"> FDC be maintained in the event of any future reductions in the price of </w:t>
      </w:r>
      <w:r w:rsidRPr="00754170">
        <w:rPr>
          <w:szCs w:val="22"/>
        </w:rPr>
        <w:t>genericised components of the FDC</w:t>
      </w:r>
      <w:r w:rsidRPr="00673F01">
        <w:rPr>
          <w:szCs w:val="22"/>
        </w:rPr>
        <w:t>.</w:t>
      </w:r>
    </w:p>
    <w:p w:rsidR="00784D58" w:rsidRDefault="00784D58" w:rsidP="00784D58">
      <w:pPr>
        <w:pStyle w:val="ListParagraph"/>
        <w:widowControl/>
        <w:rPr>
          <w:szCs w:val="22"/>
        </w:rPr>
      </w:pPr>
    </w:p>
    <w:p w:rsidR="00784D58" w:rsidRDefault="00784D58" w:rsidP="00784D58">
      <w:pPr>
        <w:pStyle w:val="BodyText"/>
        <w:ind w:firstLine="720"/>
        <w:rPr>
          <w:b/>
          <w:iCs/>
        </w:rPr>
      </w:pPr>
      <w:r>
        <w:t xml:space="preserve">Section </w:t>
      </w:r>
      <w:r>
        <w:rPr>
          <w:iCs/>
        </w:rPr>
        <w:t>101(4AC) of the Act states that:</w:t>
      </w:r>
    </w:p>
    <w:p w:rsidR="00784D58" w:rsidRDefault="00784D58" w:rsidP="00784D58">
      <w:pPr>
        <w:pStyle w:val="BodyText"/>
        <w:ind w:left="993"/>
        <w:rPr>
          <w:b/>
          <w:i/>
        </w:rPr>
      </w:pPr>
      <w:r>
        <w:rPr>
          <w:i/>
        </w:rPr>
        <w:t>If the Committee is satisfied that the therapy involving a combination item provides, for some patients:</w:t>
      </w:r>
    </w:p>
    <w:p w:rsidR="00784D58" w:rsidRDefault="00784D58" w:rsidP="00784D58">
      <w:pPr>
        <w:pStyle w:val="BodyText"/>
        <w:numPr>
          <w:ilvl w:val="0"/>
          <w:numId w:val="38"/>
        </w:numPr>
        <w:tabs>
          <w:tab w:val="left" w:pos="1418"/>
        </w:tabs>
        <w:snapToGrid w:val="0"/>
        <w:ind w:left="993" w:firstLine="0"/>
        <w:rPr>
          <w:b/>
          <w:i/>
        </w:rPr>
      </w:pPr>
      <w:r>
        <w:rPr>
          <w:i/>
        </w:rPr>
        <w:t>a significant improvement in patient compliance with the therapy; or</w:t>
      </w:r>
    </w:p>
    <w:p w:rsidR="00784D58" w:rsidRDefault="00784D58" w:rsidP="00784D58">
      <w:pPr>
        <w:pStyle w:val="BodyText"/>
        <w:numPr>
          <w:ilvl w:val="0"/>
          <w:numId w:val="38"/>
        </w:numPr>
        <w:tabs>
          <w:tab w:val="left" w:pos="1418"/>
        </w:tabs>
        <w:snapToGrid w:val="0"/>
        <w:ind w:left="993" w:firstLine="0"/>
        <w:rPr>
          <w:b/>
          <w:i/>
        </w:rPr>
      </w:pPr>
      <w:r>
        <w:rPr>
          <w:i/>
        </w:rPr>
        <w:t>a significant improvement in efficacy or reduction in toxicity;</w:t>
      </w:r>
    </w:p>
    <w:p w:rsidR="00784D58" w:rsidRDefault="00784D58" w:rsidP="00784D58">
      <w:pPr>
        <w:pStyle w:val="BodyText"/>
        <w:ind w:left="993"/>
        <w:rPr>
          <w:b/>
          <w:i/>
        </w:rPr>
      </w:pPr>
      <w:proofErr w:type="gramStart"/>
      <w:r>
        <w:rPr>
          <w:i/>
        </w:rPr>
        <w:t>over</w:t>
      </w:r>
      <w:proofErr w:type="gramEnd"/>
      <w:r>
        <w:rPr>
          <w:i/>
        </w:rPr>
        <w:t xml:space="preserve"> alternative therapies, then the Committee must advise the Minister accordingly.</w:t>
      </w:r>
    </w:p>
    <w:p w:rsidR="007C7535" w:rsidRPr="00082954" w:rsidRDefault="007C7535" w:rsidP="00111AAD">
      <w:pPr>
        <w:pStyle w:val="ListParagraph"/>
        <w:widowControl/>
        <w:rPr>
          <w:szCs w:val="22"/>
        </w:rPr>
      </w:pPr>
    </w:p>
    <w:p w:rsidR="000A7EC6" w:rsidRPr="00343389" w:rsidRDefault="0061262E" w:rsidP="00A24669">
      <w:pPr>
        <w:pStyle w:val="ListParagraph"/>
        <w:widowControl/>
        <w:numPr>
          <w:ilvl w:val="1"/>
          <w:numId w:val="6"/>
        </w:numPr>
        <w:rPr>
          <w:szCs w:val="22"/>
        </w:rPr>
      </w:pPr>
      <w:r w:rsidRPr="00343389">
        <w:rPr>
          <w:szCs w:val="22"/>
        </w:rPr>
        <w:t xml:space="preserve">The submission claimed that </w:t>
      </w:r>
      <w:proofErr w:type="spellStart"/>
      <w:r w:rsidRPr="00343389">
        <w:rPr>
          <w:szCs w:val="22"/>
        </w:rPr>
        <w:t>Odefsey</w:t>
      </w:r>
      <w:proofErr w:type="spellEnd"/>
      <w:r w:rsidRPr="00343389">
        <w:rPr>
          <w:szCs w:val="22"/>
          <w:vertAlign w:val="superscript"/>
        </w:rPr>
        <w:t>®</w:t>
      </w:r>
      <w:r w:rsidR="00AB1917" w:rsidRPr="00343389">
        <w:rPr>
          <w:szCs w:val="22"/>
        </w:rPr>
        <w:t xml:space="preserve"> </w:t>
      </w:r>
      <w:r w:rsidR="00C10BF4" w:rsidRPr="00343389">
        <w:rPr>
          <w:szCs w:val="22"/>
        </w:rPr>
        <w:t>significantly improved compliance</w:t>
      </w:r>
      <w:r w:rsidR="00A24669" w:rsidRPr="00A24669">
        <w:rPr>
          <w:szCs w:val="22"/>
        </w:rPr>
        <w:t>, significantly improved efficacy</w:t>
      </w:r>
      <w:r w:rsidR="00EB7ADB" w:rsidRPr="00343389">
        <w:rPr>
          <w:szCs w:val="22"/>
        </w:rPr>
        <w:t xml:space="preserve"> and </w:t>
      </w:r>
      <w:r w:rsidR="00AB1917" w:rsidRPr="00343389">
        <w:rPr>
          <w:szCs w:val="22"/>
        </w:rPr>
        <w:t>significantly reduced toxicity</w:t>
      </w:r>
      <w:r w:rsidRPr="00343389">
        <w:rPr>
          <w:szCs w:val="22"/>
        </w:rPr>
        <w:t xml:space="preserve"> </w:t>
      </w:r>
      <w:r w:rsidR="00AB1917" w:rsidRPr="00343389">
        <w:rPr>
          <w:szCs w:val="22"/>
        </w:rPr>
        <w:t>for some patients compared to the nominated alternative multi-tablet regimens.</w:t>
      </w:r>
      <w:r w:rsidR="00F02008" w:rsidRPr="00343389">
        <w:rPr>
          <w:szCs w:val="22"/>
        </w:rPr>
        <w:t xml:space="preserve"> </w:t>
      </w:r>
    </w:p>
    <w:p w:rsidR="00343389" w:rsidRPr="00343389" w:rsidRDefault="00343389" w:rsidP="00343389">
      <w:pPr>
        <w:pStyle w:val="ListParagraph"/>
        <w:widowControl/>
        <w:rPr>
          <w:szCs w:val="22"/>
        </w:rPr>
      </w:pPr>
    </w:p>
    <w:p w:rsidR="001D6CF8" w:rsidRPr="00082954" w:rsidRDefault="00754FF7" w:rsidP="001D6CF8">
      <w:pPr>
        <w:pStyle w:val="ListParagraph"/>
        <w:widowControl/>
        <w:numPr>
          <w:ilvl w:val="1"/>
          <w:numId w:val="6"/>
        </w:numPr>
        <w:rPr>
          <w:szCs w:val="22"/>
        </w:rPr>
      </w:pPr>
      <w:r w:rsidRPr="00082954">
        <w:rPr>
          <w:iCs/>
        </w:rPr>
        <w:t xml:space="preserve">The submission did not make </w:t>
      </w:r>
      <w:r w:rsidR="00BD6A9B" w:rsidRPr="00082954">
        <w:rPr>
          <w:iCs/>
        </w:rPr>
        <w:t xml:space="preserve">clear </w:t>
      </w:r>
      <w:r w:rsidRPr="00082954">
        <w:rPr>
          <w:iCs/>
        </w:rPr>
        <w:t>claim</w:t>
      </w:r>
      <w:r w:rsidR="0018533A" w:rsidRPr="00082954">
        <w:rPr>
          <w:iCs/>
        </w:rPr>
        <w:t>s</w:t>
      </w:r>
      <w:r w:rsidRPr="00082954">
        <w:rPr>
          <w:iCs/>
        </w:rPr>
        <w:t xml:space="preserve"> versus other single-tablet regimens (including the nominated comparator of </w:t>
      </w:r>
      <w:proofErr w:type="spellStart"/>
      <w:r w:rsidRPr="00082954">
        <w:rPr>
          <w:iCs/>
        </w:rPr>
        <w:t>Eviplera</w:t>
      </w:r>
      <w:proofErr w:type="spellEnd"/>
      <w:r w:rsidRPr="00082954">
        <w:rPr>
          <w:iCs/>
          <w:vertAlign w:val="superscript"/>
        </w:rPr>
        <w:t>®</w:t>
      </w:r>
      <w:r w:rsidRPr="00082954">
        <w:rPr>
          <w:iCs/>
        </w:rPr>
        <w:t>), which were potential alternative therapies.</w:t>
      </w:r>
      <w:r w:rsidR="00950178" w:rsidRPr="00082954">
        <w:rPr>
          <w:iCs/>
        </w:rPr>
        <w:t xml:space="preserve"> The PBAC </w:t>
      </w:r>
      <w:r w:rsidR="00343389">
        <w:rPr>
          <w:iCs/>
        </w:rPr>
        <w:t xml:space="preserve">noted it </w:t>
      </w:r>
      <w:r w:rsidR="00950178" w:rsidRPr="00082954">
        <w:rPr>
          <w:iCs/>
        </w:rPr>
        <w:t>had previously considered other combination products as alternative therapies when providing advice under subsection 101(4AC) of the Act</w:t>
      </w:r>
      <w:r w:rsidR="00343389">
        <w:rPr>
          <w:iCs/>
        </w:rPr>
        <w:t xml:space="preserve"> </w:t>
      </w:r>
      <w:r w:rsidR="00950178" w:rsidRPr="00082954">
        <w:rPr>
          <w:iCs/>
        </w:rPr>
        <w:t xml:space="preserve">(PBAC Public Summary for </w:t>
      </w:r>
      <w:proofErr w:type="spellStart"/>
      <w:r w:rsidR="00950178" w:rsidRPr="00082954">
        <w:rPr>
          <w:iCs/>
        </w:rPr>
        <w:t>Vytorin</w:t>
      </w:r>
      <w:proofErr w:type="spellEnd"/>
      <w:r w:rsidR="00950178" w:rsidRPr="00082954">
        <w:rPr>
          <w:iCs/>
          <w:vertAlign w:val="superscript"/>
        </w:rPr>
        <w:t>®</w:t>
      </w:r>
      <w:r w:rsidR="00950178" w:rsidRPr="00082954">
        <w:rPr>
          <w:iCs/>
        </w:rPr>
        <w:t xml:space="preserve"> November 2014).</w:t>
      </w:r>
    </w:p>
    <w:p w:rsidR="001D6CF8" w:rsidRPr="00082954" w:rsidRDefault="001D6CF8" w:rsidP="001D6CF8">
      <w:pPr>
        <w:pStyle w:val="ListParagraph"/>
        <w:rPr>
          <w:szCs w:val="22"/>
        </w:rPr>
      </w:pPr>
    </w:p>
    <w:p w:rsidR="00AB3B1B" w:rsidRPr="00082954" w:rsidRDefault="001D6CF8" w:rsidP="003A39DC">
      <w:pPr>
        <w:pStyle w:val="ListParagraph"/>
        <w:widowControl/>
        <w:numPr>
          <w:ilvl w:val="1"/>
          <w:numId w:val="6"/>
        </w:numPr>
        <w:rPr>
          <w:iCs/>
          <w:szCs w:val="22"/>
        </w:rPr>
      </w:pPr>
      <w:r w:rsidRPr="00082954">
        <w:rPr>
          <w:szCs w:val="22"/>
        </w:rPr>
        <w:t xml:space="preserve">The submission </w:t>
      </w:r>
      <w:r w:rsidR="001A4AEB">
        <w:rPr>
          <w:szCs w:val="22"/>
        </w:rPr>
        <w:t>claim</w:t>
      </w:r>
      <w:r w:rsidRPr="00082954">
        <w:rPr>
          <w:szCs w:val="22"/>
        </w:rPr>
        <w:t xml:space="preserve">ed that the safety benefits of </w:t>
      </w:r>
      <w:proofErr w:type="spellStart"/>
      <w:r w:rsidRPr="00082954">
        <w:rPr>
          <w:szCs w:val="22"/>
        </w:rPr>
        <w:t>tenofovir</w:t>
      </w:r>
      <w:proofErr w:type="spellEnd"/>
      <w:r w:rsidRPr="00082954">
        <w:rPr>
          <w:szCs w:val="22"/>
        </w:rPr>
        <w:t xml:space="preserve"> </w:t>
      </w:r>
      <w:proofErr w:type="spellStart"/>
      <w:r w:rsidRPr="00082954">
        <w:rPr>
          <w:szCs w:val="22"/>
        </w:rPr>
        <w:t>alafenamide</w:t>
      </w:r>
      <w:proofErr w:type="spellEnd"/>
      <w:r w:rsidRPr="00082954">
        <w:rPr>
          <w:szCs w:val="22"/>
        </w:rPr>
        <w:t xml:space="preserve"> over </w:t>
      </w:r>
      <w:proofErr w:type="spellStart"/>
      <w:r w:rsidRPr="00082954">
        <w:rPr>
          <w:szCs w:val="22"/>
        </w:rPr>
        <w:t>tenofovir</w:t>
      </w:r>
      <w:proofErr w:type="spellEnd"/>
      <w:r w:rsidRPr="00082954">
        <w:rPr>
          <w:szCs w:val="22"/>
        </w:rPr>
        <w:t xml:space="preserve"> </w:t>
      </w:r>
      <w:proofErr w:type="spellStart"/>
      <w:r w:rsidRPr="00082954">
        <w:rPr>
          <w:szCs w:val="22"/>
        </w:rPr>
        <w:t>disoproxil</w:t>
      </w:r>
      <w:proofErr w:type="spellEnd"/>
      <w:r w:rsidRPr="00082954">
        <w:rPr>
          <w:szCs w:val="22"/>
        </w:rPr>
        <w:t xml:space="preserve"> </w:t>
      </w:r>
      <w:proofErr w:type="spellStart"/>
      <w:r w:rsidRPr="00082954">
        <w:rPr>
          <w:szCs w:val="22"/>
        </w:rPr>
        <w:t>fumarate</w:t>
      </w:r>
      <w:proofErr w:type="spellEnd"/>
      <w:r w:rsidRPr="00082954">
        <w:rPr>
          <w:szCs w:val="22"/>
        </w:rPr>
        <w:t xml:space="preserve"> w</w:t>
      </w:r>
      <w:r w:rsidR="00343389">
        <w:rPr>
          <w:szCs w:val="22"/>
        </w:rPr>
        <w:t>ere</w:t>
      </w:r>
      <w:r w:rsidRPr="00082954">
        <w:rPr>
          <w:szCs w:val="22"/>
        </w:rPr>
        <w:t xml:space="preserve"> due to the lower systemic </w:t>
      </w:r>
      <w:proofErr w:type="spellStart"/>
      <w:r w:rsidRPr="00082954">
        <w:rPr>
          <w:szCs w:val="22"/>
        </w:rPr>
        <w:t>tenofovir</w:t>
      </w:r>
      <w:proofErr w:type="spellEnd"/>
      <w:r w:rsidRPr="00082954">
        <w:rPr>
          <w:szCs w:val="22"/>
        </w:rPr>
        <w:t xml:space="preserve"> exposure associated with </w:t>
      </w:r>
      <w:proofErr w:type="spellStart"/>
      <w:r w:rsidRPr="00082954">
        <w:rPr>
          <w:szCs w:val="22"/>
        </w:rPr>
        <w:t>tenofovir</w:t>
      </w:r>
      <w:proofErr w:type="spellEnd"/>
      <w:r w:rsidRPr="00082954">
        <w:rPr>
          <w:szCs w:val="22"/>
        </w:rPr>
        <w:t xml:space="preserve"> </w:t>
      </w:r>
      <w:proofErr w:type="spellStart"/>
      <w:r w:rsidRPr="00082954">
        <w:rPr>
          <w:szCs w:val="22"/>
        </w:rPr>
        <w:t>alafenamide</w:t>
      </w:r>
      <w:proofErr w:type="spellEnd"/>
      <w:r w:rsidRPr="00082954">
        <w:rPr>
          <w:szCs w:val="22"/>
        </w:rPr>
        <w:t xml:space="preserve"> (stated as 90% less than </w:t>
      </w:r>
      <w:proofErr w:type="spellStart"/>
      <w:r w:rsidRPr="00082954">
        <w:rPr>
          <w:szCs w:val="22"/>
        </w:rPr>
        <w:t>tenofovir</w:t>
      </w:r>
      <w:proofErr w:type="spellEnd"/>
      <w:r w:rsidRPr="00082954">
        <w:rPr>
          <w:szCs w:val="22"/>
        </w:rPr>
        <w:t xml:space="preserve"> </w:t>
      </w:r>
      <w:proofErr w:type="spellStart"/>
      <w:r w:rsidRPr="00082954">
        <w:rPr>
          <w:szCs w:val="22"/>
        </w:rPr>
        <w:t>disoproxil</w:t>
      </w:r>
      <w:proofErr w:type="spellEnd"/>
      <w:r w:rsidRPr="00082954">
        <w:rPr>
          <w:szCs w:val="22"/>
        </w:rPr>
        <w:t xml:space="preserve"> </w:t>
      </w:r>
      <w:proofErr w:type="spellStart"/>
      <w:r w:rsidRPr="00082954">
        <w:rPr>
          <w:szCs w:val="22"/>
        </w:rPr>
        <w:t>fumarate</w:t>
      </w:r>
      <w:proofErr w:type="spellEnd"/>
      <w:r w:rsidRPr="00082954">
        <w:rPr>
          <w:szCs w:val="22"/>
        </w:rPr>
        <w:t>).</w:t>
      </w:r>
      <w:r w:rsidR="009B4EDD" w:rsidRPr="00082954">
        <w:rPr>
          <w:szCs w:val="22"/>
        </w:rPr>
        <w:t xml:space="preserve"> </w:t>
      </w:r>
      <w:r w:rsidR="003A39DC" w:rsidRPr="00082954">
        <w:rPr>
          <w:iCs/>
          <w:szCs w:val="22"/>
        </w:rPr>
        <w:t>The</w:t>
      </w:r>
      <w:r w:rsidR="00AB7128">
        <w:rPr>
          <w:iCs/>
          <w:szCs w:val="22"/>
        </w:rPr>
        <w:t xml:space="preserve"> PBAC agreed with the ESC that the</w:t>
      </w:r>
      <w:r w:rsidR="003A39DC" w:rsidRPr="00082954">
        <w:rPr>
          <w:iCs/>
          <w:szCs w:val="22"/>
        </w:rPr>
        <w:t xml:space="preserve"> 96 week safety data from the supplementary trials (Studies 104 and 111) provided by the submission still related to surrogate markers of renal impairment and osteoporosis/osteopenia.</w:t>
      </w:r>
      <w:r w:rsidR="003A39DC" w:rsidRPr="00082954">
        <w:rPr>
          <w:szCs w:val="22"/>
        </w:rPr>
        <w:t xml:space="preserve"> </w:t>
      </w:r>
      <w:r w:rsidR="001E1E5F" w:rsidRPr="00082954">
        <w:rPr>
          <w:iCs/>
          <w:szCs w:val="22"/>
        </w:rPr>
        <w:t>The</w:t>
      </w:r>
      <w:r w:rsidR="009B4EDD" w:rsidRPr="00082954">
        <w:rPr>
          <w:iCs/>
          <w:szCs w:val="22"/>
        </w:rPr>
        <w:t xml:space="preserve"> submission did not adequately address the uncertainty of patient relevant safety benefits of </w:t>
      </w:r>
      <w:proofErr w:type="spellStart"/>
      <w:r w:rsidR="009B4EDD" w:rsidRPr="00082954">
        <w:rPr>
          <w:iCs/>
          <w:szCs w:val="22"/>
        </w:rPr>
        <w:t>Genvoya</w:t>
      </w:r>
      <w:proofErr w:type="spellEnd"/>
      <w:r w:rsidR="009B4EDD" w:rsidRPr="00082954">
        <w:rPr>
          <w:iCs/>
          <w:szCs w:val="22"/>
          <w:vertAlign w:val="superscript"/>
        </w:rPr>
        <w:t>®</w:t>
      </w:r>
      <w:r w:rsidR="009B4EDD" w:rsidRPr="00082954">
        <w:rPr>
          <w:iCs/>
          <w:szCs w:val="22"/>
        </w:rPr>
        <w:t xml:space="preserve"> over </w:t>
      </w:r>
      <w:proofErr w:type="spellStart"/>
      <w:r w:rsidR="009B4EDD" w:rsidRPr="00082954">
        <w:rPr>
          <w:iCs/>
          <w:szCs w:val="22"/>
        </w:rPr>
        <w:t>Stribild</w:t>
      </w:r>
      <w:proofErr w:type="spellEnd"/>
      <w:r w:rsidR="009B4EDD" w:rsidRPr="00082954">
        <w:rPr>
          <w:iCs/>
          <w:szCs w:val="22"/>
          <w:vertAlign w:val="superscript"/>
        </w:rPr>
        <w:t>®</w:t>
      </w:r>
      <w:r w:rsidR="009B4EDD" w:rsidRPr="00082954">
        <w:rPr>
          <w:iCs/>
          <w:szCs w:val="22"/>
        </w:rPr>
        <w:t xml:space="preserve"> or </w:t>
      </w:r>
      <w:proofErr w:type="spellStart"/>
      <w:r w:rsidR="009B4EDD" w:rsidRPr="00082954">
        <w:rPr>
          <w:iCs/>
          <w:szCs w:val="22"/>
        </w:rPr>
        <w:t>Descovy</w:t>
      </w:r>
      <w:proofErr w:type="spellEnd"/>
      <w:r w:rsidR="009B4EDD" w:rsidRPr="00082954">
        <w:rPr>
          <w:iCs/>
          <w:szCs w:val="22"/>
          <w:vertAlign w:val="superscript"/>
        </w:rPr>
        <w:t>®</w:t>
      </w:r>
      <w:r w:rsidR="009B4EDD" w:rsidRPr="00082954">
        <w:rPr>
          <w:iCs/>
          <w:szCs w:val="22"/>
        </w:rPr>
        <w:t xml:space="preserve"> over </w:t>
      </w:r>
      <w:proofErr w:type="spellStart"/>
      <w:proofErr w:type="gramStart"/>
      <w:r w:rsidR="009B4EDD" w:rsidRPr="00082954">
        <w:rPr>
          <w:iCs/>
          <w:szCs w:val="22"/>
        </w:rPr>
        <w:t>Truvada</w:t>
      </w:r>
      <w:proofErr w:type="spellEnd"/>
      <w:r w:rsidR="009B4EDD" w:rsidRPr="00082954">
        <w:rPr>
          <w:iCs/>
          <w:szCs w:val="22"/>
          <w:vertAlign w:val="superscript"/>
        </w:rPr>
        <w:t>®</w:t>
      </w:r>
      <w:r w:rsidR="009B4EDD" w:rsidRPr="00082954">
        <w:rPr>
          <w:iCs/>
          <w:szCs w:val="22"/>
        </w:rPr>
        <w:t>,</w:t>
      </w:r>
      <w:proofErr w:type="gramEnd"/>
      <w:r w:rsidR="009B4EDD" w:rsidRPr="00082954">
        <w:rPr>
          <w:iCs/>
          <w:szCs w:val="22"/>
        </w:rPr>
        <w:t xml:space="preserve"> and by inference </w:t>
      </w:r>
      <w:proofErr w:type="spellStart"/>
      <w:r w:rsidR="009B4EDD" w:rsidRPr="00082954">
        <w:rPr>
          <w:iCs/>
          <w:szCs w:val="22"/>
        </w:rPr>
        <w:t>tenofovir</w:t>
      </w:r>
      <w:proofErr w:type="spellEnd"/>
      <w:r w:rsidR="009B4EDD" w:rsidRPr="00082954">
        <w:rPr>
          <w:iCs/>
          <w:szCs w:val="22"/>
        </w:rPr>
        <w:t xml:space="preserve"> </w:t>
      </w:r>
      <w:proofErr w:type="spellStart"/>
      <w:r w:rsidR="009B4EDD" w:rsidRPr="00082954">
        <w:rPr>
          <w:iCs/>
          <w:szCs w:val="22"/>
        </w:rPr>
        <w:t>alafenamide</w:t>
      </w:r>
      <w:proofErr w:type="spellEnd"/>
      <w:r w:rsidR="009B4EDD" w:rsidRPr="00082954">
        <w:rPr>
          <w:iCs/>
          <w:szCs w:val="22"/>
        </w:rPr>
        <w:t xml:space="preserve"> over </w:t>
      </w:r>
      <w:proofErr w:type="spellStart"/>
      <w:r w:rsidR="009B4EDD" w:rsidRPr="00082954">
        <w:rPr>
          <w:iCs/>
          <w:szCs w:val="22"/>
        </w:rPr>
        <w:t>tenofovir</w:t>
      </w:r>
      <w:proofErr w:type="spellEnd"/>
      <w:r w:rsidR="009B4EDD" w:rsidRPr="00082954">
        <w:rPr>
          <w:iCs/>
          <w:szCs w:val="22"/>
        </w:rPr>
        <w:t xml:space="preserve"> </w:t>
      </w:r>
      <w:proofErr w:type="spellStart"/>
      <w:r w:rsidR="009B4EDD" w:rsidRPr="00082954">
        <w:rPr>
          <w:iCs/>
          <w:szCs w:val="22"/>
        </w:rPr>
        <w:t>disoproxil</w:t>
      </w:r>
      <w:proofErr w:type="spellEnd"/>
      <w:r w:rsidR="009B4EDD" w:rsidRPr="00082954">
        <w:rPr>
          <w:iCs/>
          <w:szCs w:val="22"/>
        </w:rPr>
        <w:t xml:space="preserve"> </w:t>
      </w:r>
      <w:proofErr w:type="spellStart"/>
      <w:r w:rsidR="009B4EDD" w:rsidRPr="00082954">
        <w:rPr>
          <w:iCs/>
          <w:szCs w:val="22"/>
        </w:rPr>
        <w:t>fumarate</w:t>
      </w:r>
      <w:proofErr w:type="spellEnd"/>
      <w:r w:rsidR="009B4EDD" w:rsidRPr="00082954">
        <w:rPr>
          <w:iCs/>
          <w:szCs w:val="22"/>
        </w:rPr>
        <w:t>. The submission did not provide evidence of comparative safety versus non-</w:t>
      </w:r>
      <w:proofErr w:type="spellStart"/>
      <w:r w:rsidR="009B4EDD" w:rsidRPr="00082954">
        <w:rPr>
          <w:iCs/>
          <w:szCs w:val="22"/>
        </w:rPr>
        <w:t>tenofovir</w:t>
      </w:r>
      <w:proofErr w:type="spellEnd"/>
      <w:r w:rsidR="009B4EDD" w:rsidRPr="00082954">
        <w:rPr>
          <w:iCs/>
          <w:szCs w:val="22"/>
        </w:rPr>
        <w:t xml:space="preserve"> </w:t>
      </w:r>
      <w:proofErr w:type="spellStart"/>
      <w:r w:rsidR="009B4EDD" w:rsidRPr="00082954">
        <w:rPr>
          <w:iCs/>
          <w:szCs w:val="22"/>
        </w:rPr>
        <w:t>disoproxil</w:t>
      </w:r>
      <w:proofErr w:type="spellEnd"/>
      <w:r w:rsidR="009B4EDD" w:rsidRPr="00082954">
        <w:rPr>
          <w:iCs/>
          <w:szCs w:val="22"/>
        </w:rPr>
        <w:t xml:space="preserve"> </w:t>
      </w:r>
      <w:proofErr w:type="spellStart"/>
      <w:r w:rsidR="009B4EDD" w:rsidRPr="00082954">
        <w:rPr>
          <w:iCs/>
          <w:szCs w:val="22"/>
        </w:rPr>
        <w:t>fumarate</w:t>
      </w:r>
      <w:proofErr w:type="spellEnd"/>
      <w:r w:rsidR="009B4EDD" w:rsidRPr="00082954">
        <w:rPr>
          <w:iCs/>
          <w:szCs w:val="22"/>
        </w:rPr>
        <w:t xml:space="preserve"> containing ART regimens (including regimens containing a </w:t>
      </w:r>
      <w:proofErr w:type="spellStart"/>
      <w:r w:rsidR="009B4EDD" w:rsidRPr="00082954">
        <w:rPr>
          <w:iCs/>
          <w:szCs w:val="22"/>
        </w:rPr>
        <w:t>Kivexa</w:t>
      </w:r>
      <w:proofErr w:type="spellEnd"/>
      <w:r w:rsidR="009B4EDD" w:rsidRPr="00082954">
        <w:rPr>
          <w:iCs/>
          <w:szCs w:val="22"/>
          <w:vertAlign w:val="superscript"/>
        </w:rPr>
        <w:t>®</w:t>
      </w:r>
      <w:r w:rsidR="009B4EDD" w:rsidRPr="00082954">
        <w:rPr>
          <w:iCs/>
          <w:szCs w:val="22"/>
        </w:rPr>
        <w:t xml:space="preserve"> backbone, which was nominated as one of the alternative therapies).</w:t>
      </w:r>
    </w:p>
    <w:p w:rsidR="001D6CF8" w:rsidRPr="00082954" w:rsidRDefault="001D6CF8" w:rsidP="00AB3B1B">
      <w:pPr>
        <w:pStyle w:val="ListParagraph"/>
        <w:rPr>
          <w:szCs w:val="22"/>
        </w:rPr>
      </w:pPr>
    </w:p>
    <w:p w:rsidR="000B2ED9" w:rsidRPr="00082954" w:rsidRDefault="00CF181F" w:rsidP="00E50D16">
      <w:pPr>
        <w:pStyle w:val="ListParagraph"/>
        <w:widowControl/>
        <w:numPr>
          <w:ilvl w:val="1"/>
          <w:numId w:val="6"/>
        </w:numPr>
        <w:rPr>
          <w:szCs w:val="22"/>
        </w:rPr>
      </w:pPr>
      <w:r w:rsidRPr="00082954">
        <w:rPr>
          <w:szCs w:val="22"/>
        </w:rPr>
        <w:t xml:space="preserve">The submission also identified a literature review and meta-analysis by Clay </w:t>
      </w:r>
      <w:r w:rsidRPr="00082954">
        <w:rPr>
          <w:iCs/>
          <w:szCs w:val="22"/>
        </w:rPr>
        <w:t>et al</w:t>
      </w:r>
      <w:r w:rsidRPr="00082954">
        <w:rPr>
          <w:szCs w:val="22"/>
        </w:rPr>
        <w:t xml:space="preserve"> (2015) comparing single-tablet regimens versus multi-tablet regimens in the treatment of HIV infection as key evidence to support its claims of improved benefit in terms of efficacy, safety, and compliance.</w:t>
      </w:r>
      <w:r w:rsidR="00C24C7A" w:rsidRPr="00082954">
        <w:rPr>
          <w:szCs w:val="22"/>
        </w:rPr>
        <w:t xml:space="preserve"> </w:t>
      </w:r>
      <w:r w:rsidR="009B3305" w:rsidRPr="00082954">
        <w:rPr>
          <w:szCs w:val="22"/>
        </w:rPr>
        <w:t xml:space="preserve">Based on the results from Clay </w:t>
      </w:r>
      <w:r w:rsidR="009B3305" w:rsidRPr="00082954">
        <w:rPr>
          <w:iCs/>
          <w:szCs w:val="22"/>
        </w:rPr>
        <w:t xml:space="preserve">et al </w:t>
      </w:r>
      <w:r w:rsidR="009B3305" w:rsidRPr="00082954">
        <w:rPr>
          <w:szCs w:val="22"/>
        </w:rPr>
        <w:t xml:space="preserve"> (2015), the submission claimed that </w:t>
      </w:r>
      <w:r w:rsidR="003F4C16" w:rsidRPr="00082954">
        <w:rPr>
          <w:szCs w:val="22"/>
        </w:rPr>
        <w:t xml:space="preserve">patients on </w:t>
      </w:r>
      <w:r w:rsidR="00F17461" w:rsidRPr="00082954">
        <w:rPr>
          <w:szCs w:val="22"/>
        </w:rPr>
        <w:t xml:space="preserve">single-tablet regimens </w:t>
      </w:r>
      <w:r w:rsidR="006836D0" w:rsidRPr="00082954">
        <w:rPr>
          <w:szCs w:val="22"/>
        </w:rPr>
        <w:t xml:space="preserve">had significantly better viral load suppression, </w:t>
      </w:r>
      <w:r w:rsidR="003D3AF8" w:rsidRPr="00082954">
        <w:rPr>
          <w:szCs w:val="22"/>
        </w:rPr>
        <w:t xml:space="preserve">fewer Grade 3 and 4 laboratory abnormalities, </w:t>
      </w:r>
      <w:r w:rsidR="003F4C16" w:rsidRPr="00082954">
        <w:rPr>
          <w:szCs w:val="22"/>
        </w:rPr>
        <w:t xml:space="preserve">better adherence, and reduced health resource </w:t>
      </w:r>
      <w:r w:rsidR="00750335" w:rsidRPr="00082954">
        <w:rPr>
          <w:szCs w:val="22"/>
        </w:rPr>
        <w:t>utilisation</w:t>
      </w:r>
      <w:r w:rsidR="003F4C16" w:rsidRPr="00082954">
        <w:rPr>
          <w:szCs w:val="22"/>
        </w:rPr>
        <w:t xml:space="preserve"> and costs compared to those on </w:t>
      </w:r>
      <w:r w:rsidR="00C329C6" w:rsidRPr="00082954">
        <w:rPr>
          <w:szCs w:val="22"/>
        </w:rPr>
        <w:t>multi-tablet regimens.</w:t>
      </w:r>
      <w:r w:rsidR="003F4C16" w:rsidRPr="00082954">
        <w:rPr>
          <w:szCs w:val="22"/>
        </w:rPr>
        <w:t xml:space="preserve"> </w:t>
      </w:r>
      <w:r w:rsidR="00AB7128">
        <w:rPr>
          <w:szCs w:val="22"/>
        </w:rPr>
        <w:t>The PBAC agreed with the ESC that n</w:t>
      </w:r>
      <w:r w:rsidR="00680CCA" w:rsidRPr="00082954">
        <w:rPr>
          <w:iCs/>
        </w:rPr>
        <w:t xml:space="preserve">one of the multi-tablet regimens were consistent with the ART regimen of </w:t>
      </w:r>
      <w:proofErr w:type="spellStart"/>
      <w:r w:rsidR="00680CCA" w:rsidRPr="00082954">
        <w:rPr>
          <w:iCs/>
        </w:rPr>
        <w:t>Odefsey</w:t>
      </w:r>
      <w:proofErr w:type="spellEnd"/>
      <w:r w:rsidR="00680CCA" w:rsidRPr="00082954">
        <w:rPr>
          <w:iCs/>
          <w:vertAlign w:val="superscript"/>
        </w:rPr>
        <w:t>®</w:t>
      </w:r>
      <w:r w:rsidR="00680CCA" w:rsidRPr="00082954">
        <w:rPr>
          <w:iCs/>
        </w:rPr>
        <w:t xml:space="preserve">. The extent of use of multi-tablet regimens with </w:t>
      </w:r>
      <w:proofErr w:type="spellStart"/>
      <w:r w:rsidR="00680CCA" w:rsidRPr="00082954">
        <w:rPr>
          <w:iCs/>
        </w:rPr>
        <w:t>Kivexa</w:t>
      </w:r>
      <w:proofErr w:type="spellEnd"/>
      <w:r w:rsidR="00680CCA" w:rsidRPr="00082954">
        <w:rPr>
          <w:iCs/>
          <w:vertAlign w:val="superscript"/>
        </w:rPr>
        <w:t>®</w:t>
      </w:r>
      <w:r w:rsidR="00680CCA" w:rsidRPr="00082954">
        <w:rPr>
          <w:iCs/>
        </w:rPr>
        <w:t xml:space="preserve"> and </w:t>
      </w:r>
      <w:proofErr w:type="spellStart"/>
      <w:r w:rsidR="00680CCA" w:rsidRPr="00082954">
        <w:t>Truvada</w:t>
      </w:r>
      <w:proofErr w:type="spellEnd"/>
      <w:r w:rsidR="00680CCA" w:rsidRPr="00082954">
        <w:rPr>
          <w:vertAlign w:val="superscript"/>
        </w:rPr>
        <w:t>®</w:t>
      </w:r>
      <w:r w:rsidR="00680CCA" w:rsidRPr="00082954">
        <w:rPr>
          <w:iCs/>
        </w:rPr>
        <w:t xml:space="preserve"> backbones (the nominated alternative comparator) was unclear. </w:t>
      </w:r>
      <w:r w:rsidR="00C24C7A" w:rsidRPr="00082954">
        <w:rPr>
          <w:iCs/>
          <w:szCs w:val="22"/>
        </w:rPr>
        <w:t xml:space="preserve">There were a number of concerns </w:t>
      </w:r>
      <w:r w:rsidR="009B3305" w:rsidRPr="00082954">
        <w:rPr>
          <w:iCs/>
          <w:szCs w:val="22"/>
        </w:rPr>
        <w:t xml:space="preserve">relating to the </w:t>
      </w:r>
      <w:r w:rsidR="006B0739" w:rsidRPr="00082954">
        <w:rPr>
          <w:iCs/>
          <w:szCs w:val="22"/>
        </w:rPr>
        <w:t xml:space="preserve">methodology and the results of </w:t>
      </w:r>
      <w:r w:rsidR="00C02EE8" w:rsidRPr="00082954">
        <w:rPr>
          <w:iCs/>
          <w:szCs w:val="22"/>
        </w:rPr>
        <w:t>Clay et al (2015)</w:t>
      </w:r>
      <w:r w:rsidR="00BD29EB" w:rsidRPr="00082954">
        <w:rPr>
          <w:iCs/>
          <w:szCs w:val="22"/>
        </w:rPr>
        <w:t xml:space="preserve">, which included </w:t>
      </w:r>
      <w:r w:rsidR="002529D6" w:rsidRPr="00082954">
        <w:rPr>
          <w:iCs/>
          <w:szCs w:val="22"/>
        </w:rPr>
        <w:t xml:space="preserve">the exclusion of a large number of studies on the basis of </w:t>
      </w:r>
      <w:r w:rsidR="00317474" w:rsidRPr="00082954">
        <w:rPr>
          <w:iCs/>
          <w:szCs w:val="22"/>
        </w:rPr>
        <w:t>the lack of ‘</w:t>
      </w:r>
      <w:r w:rsidR="002529D6" w:rsidRPr="00082954">
        <w:rPr>
          <w:iCs/>
          <w:szCs w:val="22"/>
        </w:rPr>
        <w:t>analysable</w:t>
      </w:r>
      <w:r w:rsidR="00317474" w:rsidRPr="00082954">
        <w:rPr>
          <w:iCs/>
          <w:szCs w:val="22"/>
        </w:rPr>
        <w:t>’</w:t>
      </w:r>
      <w:r w:rsidR="002529D6" w:rsidRPr="00082954">
        <w:rPr>
          <w:iCs/>
          <w:szCs w:val="22"/>
        </w:rPr>
        <w:t xml:space="preserve"> data, </w:t>
      </w:r>
      <w:r w:rsidR="00D10277" w:rsidRPr="00082954">
        <w:rPr>
          <w:iCs/>
          <w:szCs w:val="22"/>
        </w:rPr>
        <w:lastRenderedPageBreak/>
        <w:t xml:space="preserve">the lack of consideration of </w:t>
      </w:r>
      <w:r w:rsidR="00B94B0C" w:rsidRPr="00082954">
        <w:rPr>
          <w:iCs/>
          <w:szCs w:val="22"/>
        </w:rPr>
        <w:t xml:space="preserve">other differences between the </w:t>
      </w:r>
      <w:r w:rsidR="00A41C55" w:rsidRPr="00082954">
        <w:rPr>
          <w:iCs/>
          <w:szCs w:val="22"/>
        </w:rPr>
        <w:t xml:space="preserve">treatment arms apart from the numbers of tablets (e.g. differences in the </w:t>
      </w:r>
      <w:r w:rsidR="00EF6315" w:rsidRPr="00082954">
        <w:rPr>
          <w:iCs/>
          <w:szCs w:val="22"/>
        </w:rPr>
        <w:t>ARTs</w:t>
      </w:r>
      <w:r w:rsidR="001752A7" w:rsidRPr="00082954">
        <w:rPr>
          <w:iCs/>
          <w:szCs w:val="22"/>
        </w:rPr>
        <w:t xml:space="preserve"> in the regimens</w:t>
      </w:r>
      <w:r w:rsidR="00EF6315" w:rsidRPr="00082954">
        <w:rPr>
          <w:iCs/>
          <w:szCs w:val="22"/>
        </w:rPr>
        <w:t>)</w:t>
      </w:r>
      <w:r w:rsidR="002D39E1" w:rsidRPr="00082954">
        <w:rPr>
          <w:iCs/>
          <w:szCs w:val="22"/>
        </w:rPr>
        <w:t>, the accuracy of the data extraction</w:t>
      </w:r>
      <w:r w:rsidR="004711DE" w:rsidRPr="00082954">
        <w:rPr>
          <w:iCs/>
          <w:szCs w:val="22"/>
        </w:rPr>
        <w:t xml:space="preserve"> by the authors</w:t>
      </w:r>
      <w:r w:rsidR="00963C87" w:rsidRPr="00082954">
        <w:rPr>
          <w:iCs/>
          <w:szCs w:val="22"/>
        </w:rPr>
        <w:t xml:space="preserve">, </w:t>
      </w:r>
      <w:r w:rsidR="009A537D" w:rsidRPr="00082954">
        <w:rPr>
          <w:iCs/>
          <w:szCs w:val="22"/>
        </w:rPr>
        <w:t xml:space="preserve">and </w:t>
      </w:r>
      <w:r w:rsidR="00D61496" w:rsidRPr="00082954">
        <w:rPr>
          <w:iCs/>
          <w:szCs w:val="22"/>
        </w:rPr>
        <w:t xml:space="preserve">the pooling of non-comparable </w:t>
      </w:r>
      <w:r w:rsidR="00D265A0" w:rsidRPr="00082954">
        <w:rPr>
          <w:iCs/>
          <w:szCs w:val="22"/>
        </w:rPr>
        <w:t xml:space="preserve">adherence </w:t>
      </w:r>
      <w:r w:rsidR="00D61496" w:rsidRPr="00082954">
        <w:rPr>
          <w:iCs/>
          <w:szCs w:val="22"/>
        </w:rPr>
        <w:t>outcomes</w:t>
      </w:r>
      <w:r w:rsidR="00BA1F67" w:rsidRPr="00082954">
        <w:rPr>
          <w:iCs/>
          <w:szCs w:val="22"/>
        </w:rPr>
        <w:t xml:space="preserve">. </w:t>
      </w:r>
      <w:r w:rsidR="00A82EA1" w:rsidRPr="00082954">
        <w:rPr>
          <w:iCs/>
        </w:rPr>
        <w:t xml:space="preserve">The submission appeared to overstate the </w:t>
      </w:r>
      <w:r w:rsidR="00282706" w:rsidRPr="00082954">
        <w:rPr>
          <w:iCs/>
        </w:rPr>
        <w:t xml:space="preserve">economic </w:t>
      </w:r>
      <w:r w:rsidR="00A82EA1" w:rsidRPr="00082954">
        <w:rPr>
          <w:iCs/>
        </w:rPr>
        <w:t>findings of Clay at el (2015), as the authors concluded that the analyses discovered potentially reduced treatment and healthcare resource use and costs</w:t>
      </w:r>
      <w:r w:rsidR="004D697E" w:rsidRPr="00082954">
        <w:rPr>
          <w:iCs/>
        </w:rPr>
        <w:t xml:space="preserve"> (of which there were concerns that the results were not systematically reviewed)</w:t>
      </w:r>
      <w:r w:rsidR="00A82EA1" w:rsidRPr="00082954">
        <w:rPr>
          <w:iCs/>
        </w:rPr>
        <w:t>.</w:t>
      </w:r>
      <w:r w:rsidR="00636509" w:rsidRPr="00082954">
        <w:rPr>
          <w:iCs/>
        </w:rPr>
        <w:t xml:space="preserve"> Overall, Clay et al</w:t>
      </w:r>
      <w:r w:rsidR="00636509" w:rsidRPr="00082954">
        <w:t xml:space="preserve"> </w:t>
      </w:r>
      <w:r w:rsidR="00636509" w:rsidRPr="00082954">
        <w:rPr>
          <w:iCs/>
        </w:rPr>
        <w:t xml:space="preserve">(2015) did not provide adequate evidence to support the submission’s claim that that </w:t>
      </w:r>
      <w:proofErr w:type="spellStart"/>
      <w:r w:rsidR="00636509" w:rsidRPr="00082954">
        <w:rPr>
          <w:iCs/>
        </w:rPr>
        <w:t>Odefsey</w:t>
      </w:r>
      <w:proofErr w:type="spellEnd"/>
      <w:r w:rsidR="00636509" w:rsidRPr="00082954">
        <w:rPr>
          <w:iCs/>
          <w:vertAlign w:val="superscript"/>
        </w:rPr>
        <w:t>®</w:t>
      </w:r>
      <w:r w:rsidR="00636509" w:rsidRPr="00082954">
        <w:rPr>
          <w:iCs/>
        </w:rPr>
        <w:t xml:space="preserve"> is associated with a significant improvement in toxicity, compliance and efficacy for some patients versus multi-tablet regimens with </w:t>
      </w:r>
      <w:proofErr w:type="spellStart"/>
      <w:r w:rsidR="00636509" w:rsidRPr="00082954">
        <w:rPr>
          <w:iCs/>
        </w:rPr>
        <w:t>Kivexa</w:t>
      </w:r>
      <w:proofErr w:type="spellEnd"/>
      <w:r w:rsidR="00636509" w:rsidRPr="00082954">
        <w:rPr>
          <w:iCs/>
          <w:vertAlign w:val="superscript"/>
        </w:rPr>
        <w:t>®</w:t>
      </w:r>
      <w:r w:rsidR="00636509" w:rsidRPr="00082954">
        <w:rPr>
          <w:iCs/>
        </w:rPr>
        <w:t xml:space="preserve"> or </w:t>
      </w:r>
      <w:proofErr w:type="spellStart"/>
      <w:r w:rsidR="00636509" w:rsidRPr="00082954">
        <w:rPr>
          <w:iCs/>
        </w:rPr>
        <w:t>Truvada</w:t>
      </w:r>
      <w:proofErr w:type="spellEnd"/>
      <w:r w:rsidR="00636509" w:rsidRPr="00082954">
        <w:rPr>
          <w:iCs/>
          <w:vertAlign w:val="superscript"/>
        </w:rPr>
        <w:t>®</w:t>
      </w:r>
      <w:r w:rsidR="00636509" w:rsidRPr="00082954">
        <w:rPr>
          <w:iCs/>
        </w:rPr>
        <w:t xml:space="preserve"> backbones.</w:t>
      </w:r>
    </w:p>
    <w:p w:rsidR="001D354A" w:rsidRPr="00082954" w:rsidRDefault="001D354A" w:rsidP="001D354A">
      <w:pPr>
        <w:pStyle w:val="ListParagraph"/>
        <w:widowControl/>
        <w:rPr>
          <w:szCs w:val="22"/>
        </w:rPr>
      </w:pPr>
    </w:p>
    <w:p w:rsidR="00343389" w:rsidRPr="00343389" w:rsidRDefault="000B2ED9" w:rsidP="00343389">
      <w:pPr>
        <w:pStyle w:val="ListParagraph"/>
        <w:widowControl/>
        <w:numPr>
          <w:ilvl w:val="1"/>
          <w:numId w:val="6"/>
        </w:numPr>
        <w:rPr>
          <w:szCs w:val="22"/>
        </w:rPr>
      </w:pPr>
      <w:r w:rsidRPr="00082954">
        <w:t xml:space="preserve">The submission specifically identified a subgroup of patients for whom </w:t>
      </w:r>
      <w:proofErr w:type="spellStart"/>
      <w:r w:rsidRPr="00082954">
        <w:t>Odefsey</w:t>
      </w:r>
      <w:proofErr w:type="spellEnd"/>
      <w:r w:rsidRPr="00343389">
        <w:rPr>
          <w:vertAlign w:val="superscript"/>
        </w:rPr>
        <w:t>®</w:t>
      </w:r>
      <w:r w:rsidRPr="00082954">
        <w:t xml:space="preserve"> may offer compliance advantages: patients with renal impairment (</w:t>
      </w:r>
      <w:proofErr w:type="spellStart"/>
      <w:r w:rsidRPr="00082954">
        <w:t>eGFR</w:t>
      </w:r>
      <w:proofErr w:type="spellEnd"/>
      <w:r w:rsidRPr="00082954">
        <w:t xml:space="preserve"> &lt;50mL/min) and with HLA-B*5701 genotype, for whom the submission claimed </w:t>
      </w:r>
      <w:proofErr w:type="gramStart"/>
      <w:r w:rsidRPr="00082954">
        <w:t>that</w:t>
      </w:r>
      <w:proofErr w:type="gramEnd"/>
      <w:r w:rsidRPr="00082954">
        <w:t xml:space="preserve"> a complex regimen of individual ARTs that either dose-adjusted or have dose interval adjustment is required.</w:t>
      </w:r>
      <w:r w:rsidRPr="00343389">
        <w:rPr>
          <w:iCs/>
        </w:rPr>
        <w:t xml:space="preserve"> The submission did not estimate </w:t>
      </w:r>
      <w:r w:rsidR="00BF3983" w:rsidRPr="00343389">
        <w:rPr>
          <w:iCs/>
        </w:rPr>
        <w:t>the</w:t>
      </w:r>
      <w:r w:rsidRPr="00343389">
        <w:rPr>
          <w:iCs/>
        </w:rPr>
        <w:t xml:space="preserve"> </w:t>
      </w:r>
      <w:r w:rsidR="00840CC5" w:rsidRPr="00343389">
        <w:rPr>
          <w:iCs/>
        </w:rPr>
        <w:t xml:space="preserve">size of this </w:t>
      </w:r>
      <w:r w:rsidRPr="00343389">
        <w:rPr>
          <w:iCs/>
        </w:rPr>
        <w:t xml:space="preserve">subset of patients, but had noted that </w:t>
      </w:r>
      <w:r w:rsidRPr="006D4E1F">
        <w:rPr>
          <w:iCs/>
        </w:rPr>
        <w:t>5</w:t>
      </w:r>
      <w:r w:rsidRPr="00343389">
        <w:rPr>
          <w:iCs/>
        </w:rPr>
        <w:t xml:space="preserve">% of exposed patients (or </w:t>
      </w:r>
      <w:r w:rsidRPr="006D4E1F">
        <w:rPr>
          <w:iCs/>
        </w:rPr>
        <w:t>8</w:t>
      </w:r>
      <w:r w:rsidRPr="00343389">
        <w:rPr>
          <w:iCs/>
        </w:rPr>
        <w:t xml:space="preserve">% of Caucasians) have the HLA-B*5701 allele. However, </w:t>
      </w:r>
      <w:proofErr w:type="spellStart"/>
      <w:r w:rsidRPr="00343389">
        <w:rPr>
          <w:iCs/>
        </w:rPr>
        <w:t>Genvoya</w:t>
      </w:r>
      <w:proofErr w:type="spellEnd"/>
      <w:r w:rsidRPr="00343389">
        <w:rPr>
          <w:iCs/>
          <w:vertAlign w:val="superscript"/>
        </w:rPr>
        <w:t>®</w:t>
      </w:r>
      <w:r w:rsidR="00285075" w:rsidRPr="00343389">
        <w:rPr>
          <w:iCs/>
        </w:rPr>
        <w:t>, which is administere</w:t>
      </w:r>
      <w:r w:rsidR="009F32EA" w:rsidRPr="00343389">
        <w:rPr>
          <w:iCs/>
        </w:rPr>
        <w:t>d as one</w:t>
      </w:r>
      <w:r w:rsidR="00285075" w:rsidRPr="00343389">
        <w:rPr>
          <w:iCs/>
        </w:rPr>
        <w:t xml:space="preserve"> tablet daily, </w:t>
      </w:r>
      <w:r w:rsidRPr="00343389">
        <w:rPr>
          <w:iCs/>
        </w:rPr>
        <w:t xml:space="preserve">may be </w:t>
      </w:r>
      <w:r w:rsidR="00B11550" w:rsidRPr="00343389">
        <w:rPr>
          <w:iCs/>
        </w:rPr>
        <w:t xml:space="preserve">an </w:t>
      </w:r>
      <w:r w:rsidRPr="00343389">
        <w:rPr>
          <w:iCs/>
        </w:rPr>
        <w:t>appropriate therapy for this subset of patients.</w:t>
      </w:r>
    </w:p>
    <w:p w:rsidR="00343389" w:rsidRPr="00343389" w:rsidRDefault="00343389" w:rsidP="00343389">
      <w:pPr>
        <w:pStyle w:val="ListParagraph"/>
        <w:rPr>
          <w:szCs w:val="22"/>
        </w:rPr>
      </w:pPr>
    </w:p>
    <w:p w:rsidR="00343389" w:rsidRPr="00343389" w:rsidRDefault="00343389" w:rsidP="00343389">
      <w:pPr>
        <w:pStyle w:val="ListParagraph"/>
        <w:widowControl/>
        <w:numPr>
          <w:ilvl w:val="1"/>
          <w:numId w:val="6"/>
        </w:numPr>
        <w:rPr>
          <w:szCs w:val="22"/>
        </w:rPr>
      </w:pPr>
      <w:r>
        <w:rPr>
          <w:szCs w:val="22"/>
        </w:rPr>
        <w:t>Overall, t</w:t>
      </w:r>
      <w:r w:rsidRPr="00343389">
        <w:rPr>
          <w:szCs w:val="22"/>
        </w:rPr>
        <w:t>he PBAC considered there remained uncertainty that changes in surrogate outcomes of bone and renal safety at Week 96 are sufficient to support the claimed significant reduction in toxicity in some patients over a lifetime. The PBAC also considered there was no evidence to support the claim of significantly improved compliance</w:t>
      </w:r>
      <w:r w:rsidR="00A24669">
        <w:rPr>
          <w:szCs w:val="22"/>
        </w:rPr>
        <w:t xml:space="preserve"> or efficacy</w:t>
      </w:r>
      <w:r w:rsidR="00A24669" w:rsidRPr="00343389">
        <w:rPr>
          <w:szCs w:val="22"/>
        </w:rPr>
        <w:t xml:space="preserve"> </w:t>
      </w:r>
      <w:r w:rsidRPr="00343389">
        <w:rPr>
          <w:szCs w:val="22"/>
        </w:rPr>
        <w:t>and that single table</w:t>
      </w:r>
      <w:r w:rsidR="000B605D">
        <w:rPr>
          <w:szCs w:val="22"/>
        </w:rPr>
        <w:t>t</w:t>
      </w:r>
      <w:r w:rsidRPr="00343389">
        <w:rPr>
          <w:szCs w:val="22"/>
        </w:rPr>
        <w:t xml:space="preserve"> fixed dose combination regimens are also equally </w:t>
      </w:r>
      <w:proofErr w:type="spellStart"/>
      <w:r w:rsidRPr="00343389">
        <w:rPr>
          <w:szCs w:val="22"/>
        </w:rPr>
        <w:t>legimate</w:t>
      </w:r>
      <w:proofErr w:type="spellEnd"/>
      <w:r w:rsidRPr="00343389">
        <w:rPr>
          <w:szCs w:val="22"/>
        </w:rPr>
        <w:t xml:space="preserve"> choices as alternative therapies.</w:t>
      </w:r>
    </w:p>
    <w:p w:rsidR="00585BB3" w:rsidRPr="00585BB3" w:rsidRDefault="00585BB3" w:rsidP="00585BB3">
      <w:pPr>
        <w:pStyle w:val="ListParagraph"/>
        <w:rPr>
          <w:szCs w:val="22"/>
        </w:rPr>
      </w:pPr>
    </w:p>
    <w:p w:rsidR="00585BB3" w:rsidRPr="001A4AEB" w:rsidRDefault="00585BB3" w:rsidP="00585BB3">
      <w:pPr>
        <w:ind w:firstLine="720"/>
        <w:rPr>
          <w:bCs/>
          <w:szCs w:val="22"/>
        </w:rPr>
      </w:pPr>
      <w:r w:rsidRPr="001A4AEB">
        <w:rPr>
          <w:bCs/>
          <w:i/>
          <w:szCs w:val="22"/>
        </w:rPr>
        <w:t>For more detail on PBAC’s view, see section 7 “PBAC outcome”</w:t>
      </w:r>
    </w:p>
    <w:p w:rsidR="00585BB3" w:rsidRDefault="00585BB3" w:rsidP="00397431">
      <w:pPr>
        <w:widowControl/>
        <w:rPr>
          <w:szCs w:val="22"/>
        </w:rPr>
      </w:pPr>
    </w:p>
    <w:p w:rsidR="00F378BB" w:rsidRPr="001A4AEB" w:rsidRDefault="00F378BB" w:rsidP="00397431">
      <w:pPr>
        <w:widowControl/>
        <w:rPr>
          <w:szCs w:val="22"/>
        </w:rPr>
      </w:pPr>
    </w:p>
    <w:p w:rsidR="00397431" w:rsidRPr="001A4AEB" w:rsidRDefault="00397431" w:rsidP="00397431">
      <w:pPr>
        <w:numPr>
          <w:ilvl w:val="0"/>
          <w:numId w:val="6"/>
        </w:numPr>
        <w:rPr>
          <w:b/>
          <w:bCs/>
        </w:rPr>
      </w:pPr>
      <w:r w:rsidRPr="001A4AEB">
        <w:rPr>
          <w:b/>
          <w:bCs/>
        </w:rPr>
        <w:t>PBAC Outcome</w:t>
      </w:r>
    </w:p>
    <w:p w:rsidR="004A602B" w:rsidRPr="0069654D" w:rsidRDefault="004A602B" w:rsidP="004A602B">
      <w:pPr>
        <w:ind w:left="720"/>
        <w:rPr>
          <w:b/>
          <w:bCs/>
          <w:highlight w:val="yellow"/>
        </w:rPr>
      </w:pPr>
    </w:p>
    <w:p w:rsidR="004A602B" w:rsidRPr="0071460C" w:rsidRDefault="004A602B" w:rsidP="004C4E01">
      <w:pPr>
        <w:numPr>
          <w:ilvl w:val="1"/>
          <w:numId w:val="6"/>
        </w:numPr>
        <w:rPr>
          <w:bCs/>
          <w:lang w:val="en-GB"/>
        </w:rPr>
      </w:pPr>
      <w:r w:rsidRPr="0071460C">
        <w:rPr>
          <w:bCs/>
          <w:lang w:val="en-GB"/>
        </w:rPr>
        <w:t xml:space="preserve">The PBAC deferred </w:t>
      </w:r>
      <w:r w:rsidR="002F1FE1" w:rsidRPr="0071460C">
        <w:rPr>
          <w:bCs/>
          <w:lang w:val="en-GB"/>
        </w:rPr>
        <w:t>making a recommendation</w:t>
      </w:r>
      <w:r w:rsidRPr="0071460C">
        <w:rPr>
          <w:bCs/>
          <w:lang w:val="en-GB"/>
        </w:rPr>
        <w:t xml:space="preserve"> on whether </w:t>
      </w:r>
      <w:proofErr w:type="spellStart"/>
      <w:r w:rsidR="004C4E01" w:rsidRPr="0071460C">
        <w:rPr>
          <w:bCs/>
          <w:lang w:val="en-GB"/>
        </w:rPr>
        <w:t>tenofovir</w:t>
      </w:r>
      <w:proofErr w:type="spellEnd"/>
      <w:r w:rsidR="004C4E01" w:rsidRPr="0071460C">
        <w:rPr>
          <w:bCs/>
          <w:lang w:val="en-GB"/>
        </w:rPr>
        <w:t xml:space="preserve"> </w:t>
      </w:r>
      <w:proofErr w:type="spellStart"/>
      <w:r w:rsidR="004C4E01" w:rsidRPr="0071460C">
        <w:rPr>
          <w:bCs/>
          <w:lang w:val="en-GB"/>
        </w:rPr>
        <w:t>alafenamide</w:t>
      </w:r>
      <w:proofErr w:type="spellEnd"/>
      <w:r w:rsidR="004C4E01" w:rsidRPr="0071460C">
        <w:rPr>
          <w:bCs/>
          <w:lang w:val="en-GB"/>
        </w:rPr>
        <w:t xml:space="preserve"> with </w:t>
      </w:r>
      <w:proofErr w:type="spellStart"/>
      <w:r w:rsidR="004C4E01" w:rsidRPr="0071460C">
        <w:rPr>
          <w:bCs/>
          <w:lang w:val="en-GB"/>
        </w:rPr>
        <w:t>emtricitabine</w:t>
      </w:r>
      <w:proofErr w:type="spellEnd"/>
      <w:r w:rsidR="004C4E01" w:rsidRPr="0071460C">
        <w:rPr>
          <w:bCs/>
          <w:lang w:val="en-GB"/>
        </w:rPr>
        <w:t xml:space="preserve"> and</w:t>
      </w:r>
      <w:r w:rsidRPr="0071460C">
        <w:rPr>
          <w:bCs/>
          <w:lang w:val="en-GB"/>
        </w:rPr>
        <w:t xml:space="preserve"> </w:t>
      </w:r>
      <w:proofErr w:type="spellStart"/>
      <w:r w:rsidRPr="0071460C">
        <w:rPr>
          <w:bCs/>
          <w:lang w:val="en-GB"/>
        </w:rPr>
        <w:t>rilpivirine</w:t>
      </w:r>
      <w:proofErr w:type="spellEnd"/>
      <w:r w:rsidRPr="0071460C">
        <w:rPr>
          <w:bCs/>
          <w:lang w:val="en-GB"/>
        </w:rPr>
        <w:t xml:space="preserve"> should be listed in the Pharmaceutical Benefits Schedule for the treatment of HIV infection.</w:t>
      </w:r>
    </w:p>
    <w:p w:rsidR="00FA0F9D" w:rsidRPr="0071460C" w:rsidRDefault="00FA0F9D" w:rsidP="00FA0F9D">
      <w:pPr>
        <w:ind w:left="720"/>
        <w:rPr>
          <w:bCs/>
          <w:lang w:val="en-GB"/>
        </w:rPr>
      </w:pPr>
    </w:p>
    <w:p w:rsidR="00FA0F9D" w:rsidRDefault="00FA0F9D" w:rsidP="00CE1164">
      <w:pPr>
        <w:numPr>
          <w:ilvl w:val="1"/>
          <w:numId w:val="6"/>
        </w:numPr>
        <w:rPr>
          <w:bCs/>
          <w:lang w:val="en-GB"/>
        </w:rPr>
      </w:pPr>
      <w:r w:rsidRPr="0071460C">
        <w:rPr>
          <w:bCs/>
          <w:lang w:val="en-GB"/>
        </w:rPr>
        <w:t>The PBAC</w:t>
      </w:r>
      <w:r w:rsidR="002F1FE1" w:rsidRPr="0071460C">
        <w:rPr>
          <w:bCs/>
          <w:lang w:val="en-GB"/>
        </w:rPr>
        <w:t xml:space="preserve"> deferred making a recommendation</w:t>
      </w:r>
      <w:r w:rsidR="00431D59" w:rsidRPr="0071460C">
        <w:rPr>
          <w:bCs/>
          <w:lang w:val="en-GB"/>
        </w:rPr>
        <w:t xml:space="preserve">, noting that before doing so it wishes to hear the Department’s views on matters relevant to the question of </w:t>
      </w:r>
      <w:r w:rsidR="00CE1164" w:rsidRPr="0071460C">
        <w:rPr>
          <w:bCs/>
          <w:lang w:val="en-GB"/>
        </w:rPr>
        <w:t xml:space="preserve">whether </w:t>
      </w:r>
      <w:proofErr w:type="spellStart"/>
      <w:r w:rsidR="00CE1164" w:rsidRPr="0071460C">
        <w:rPr>
          <w:bCs/>
          <w:lang w:val="en-GB"/>
        </w:rPr>
        <w:t>tenofovir</w:t>
      </w:r>
      <w:proofErr w:type="spellEnd"/>
      <w:r w:rsidR="00CE1164" w:rsidRPr="0071460C">
        <w:rPr>
          <w:bCs/>
          <w:lang w:val="en-GB"/>
        </w:rPr>
        <w:t xml:space="preserve"> </w:t>
      </w:r>
      <w:proofErr w:type="spellStart"/>
      <w:r w:rsidR="00CE1164" w:rsidRPr="0071460C">
        <w:rPr>
          <w:bCs/>
          <w:lang w:val="en-GB"/>
        </w:rPr>
        <w:t>disoproxil</w:t>
      </w:r>
      <w:proofErr w:type="spellEnd"/>
      <w:r w:rsidR="00CE1164" w:rsidRPr="0071460C">
        <w:rPr>
          <w:bCs/>
          <w:lang w:val="en-GB"/>
        </w:rPr>
        <w:t xml:space="preserve"> and </w:t>
      </w:r>
      <w:proofErr w:type="spellStart"/>
      <w:r w:rsidR="00CE1164" w:rsidRPr="0071460C">
        <w:rPr>
          <w:bCs/>
          <w:lang w:val="en-GB"/>
        </w:rPr>
        <w:t>tenofovir</w:t>
      </w:r>
      <w:proofErr w:type="spellEnd"/>
      <w:r w:rsidR="00CE1164" w:rsidRPr="0071460C">
        <w:rPr>
          <w:bCs/>
          <w:lang w:val="en-GB"/>
        </w:rPr>
        <w:t xml:space="preserve"> </w:t>
      </w:r>
      <w:proofErr w:type="spellStart"/>
      <w:r w:rsidR="00CE1164" w:rsidRPr="0071460C">
        <w:rPr>
          <w:bCs/>
          <w:lang w:val="en-GB"/>
        </w:rPr>
        <w:t>alafenamide</w:t>
      </w:r>
      <w:proofErr w:type="spellEnd"/>
      <w:r w:rsidR="00CE1164" w:rsidRPr="0071460C">
        <w:rPr>
          <w:bCs/>
          <w:lang w:val="en-GB"/>
        </w:rPr>
        <w:t xml:space="preserve"> should be declared as different drugs for the purposes of the </w:t>
      </w:r>
      <w:r w:rsidR="002F1FE1" w:rsidRPr="0071460C">
        <w:rPr>
          <w:bCs/>
          <w:lang w:val="en-GB"/>
        </w:rPr>
        <w:t>Act</w:t>
      </w:r>
      <w:r w:rsidR="00CE1164" w:rsidRPr="0071460C">
        <w:rPr>
          <w:bCs/>
          <w:lang w:val="en-GB"/>
        </w:rPr>
        <w:t xml:space="preserve">, rather than as </w:t>
      </w:r>
      <w:proofErr w:type="spellStart"/>
      <w:r w:rsidR="00CE1164" w:rsidRPr="0071460C">
        <w:rPr>
          <w:bCs/>
          <w:lang w:val="en-GB"/>
        </w:rPr>
        <w:t>tenofovir</w:t>
      </w:r>
      <w:proofErr w:type="spellEnd"/>
      <w:r w:rsidR="00CE1164" w:rsidRPr="0071460C">
        <w:rPr>
          <w:bCs/>
          <w:lang w:val="en-GB"/>
        </w:rPr>
        <w:t xml:space="preserve">, as currently.  </w:t>
      </w:r>
      <w:r w:rsidR="00431D59" w:rsidRPr="0071460C">
        <w:rPr>
          <w:bCs/>
          <w:lang w:val="en-GB"/>
        </w:rPr>
        <w:t xml:space="preserve">The PBAC noted that the Department is </w:t>
      </w:r>
      <w:proofErr w:type="gramStart"/>
      <w:r w:rsidR="00431D59" w:rsidRPr="0071460C">
        <w:rPr>
          <w:bCs/>
          <w:lang w:val="en-GB"/>
        </w:rPr>
        <w:t>progressing</w:t>
      </w:r>
      <w:proofErr w:type="gramEnd"/>
      <w:r w:rsidR="00431D59" w:rsidRPr="0071460C">
        <w:rPr>
          <w:bCs/>
          <w:lang w:val="en-GB"/>
        </w:rPr>
        <w:t xml:space="preserve"> its view about th</w:t>
      </w:r>
      <w:r w:rsidR="001B090D" w:rsidRPr="0071460C">
        <w:rPr>
          <w:bCs/>
          <w:lang w:val="en-GB"/>
        </w:rPr>
        <w:t>ose</w:t>
      </w:r>
      <w:r w:rsidR="00431D59" w:rsidRPr="0071460C">
        <w:rPr>
          <w:bCs/>
          <w:lang w:val="en-GB"/>
        </w:rPr>
        <w:t xml:space="preserve"> matters, </w:t>
      </w:r>
      <w:r w:rsidR="00EB49BF">
        <w:rPr>
          <w:bCs/>
          <w:lang w:val="en-GB"/>
        </w:rPr>
        <w:t xml:space="preserve">and </w:t>
      </w:r>
      <w:r w:rsidR="00431D59" w:rsidRPr="0071460C">
        <w:rPr>
          <w:bCs/>
          <w:lang w:val="en-GB"/>
        </w:rPr>
        <w:t xml:space="preserve">that they are matters with implications beyond </w:t>
      </w:r>
      <w:proofErr w:type="spellStart"/>
      <w:r w:rsidR="00D96577" w:rsidRPr="0071460C">
        <w:rPr>
          <w:bCs/>
          <w:lang w:val="en-GB"/>
        </w:rPr>
        <w:t>Odefsey</w:t>
      </w:r>
      <w:proofErr w:type="spellEnd"/>
      <w:r w:rsidR="00431D59" w:rsidRPr="0071460C">
        <w:rPr>
          <w:bCs/>
          <w:lang w:val="en-GB"/>
        </w:rPr>
        <w:t>®</w:t>
      </w:r>
      <w:r w:rsidR="00DA0CFA" w:rsidRPr="0071460C">
        <w:rPr>
          <w:bCs/>
          <w:lang w:val="en-GB"/>
        </w:rPr>
        <w:t xml:space="preserve">, </w:t>
      </w:r>
      <w:proofErr w:type="spellStart"/>
      <w:r w:rsidR="00DA0CFA" w:rsidRPr="0071460C">
        <w:rPr>
          <w:bCs/>
          <w:lang w:val="en-GB"/>
        </w:rPr>
        <w:t>Eviplera</w:t>
      </w:r>
      <w:proofErr w:type="spellEnd"/>
      <w:r w:rsidR="00DA0CFA" w:rsidRPr="0071460C">
        <w:rPr>
          <w:bCs/>
          <w:lang w:val="en-GB"/>
        </w:rPr>
        <w:t>®</w:t>
      </w:r>
      <w:r w:rsidR="00431D59" w:rsidRPr="0071460C">
        <w:rPr>
          <w:bCs/>
          <w:lang w:val="en-GB"/>
        </w:rPr>
        <w:t xml:space="preserve"> and related products</w:t>
      </w:r>
      <w:r w:rsidR="00EB49BF">
        <w:rPr>
          <w:bCs/>
          <w:lang w:val="en-GB"/>
        </w:rPr>
        <w:t>.</w:t>
      </w:r>
      <w:r w:rsidR="00431D59" w:rsidRPr="0071460C">
        <w:rPr>
          <w:bCs/>
          <w:lang w:val="en-GB"/>
        </w:rPr>
        <w:t xml:space="preserve"> </w:t>
      </w:r>
      <w:r w:rsidR="002F1FE1" w:rsidRPr="0071460C">
        <w:rPr>
          <w:bCs/>
          <w:lang w:val="en-GB"/>
        </w:rPr>
        <w:t xml:space="preserve">The PBAC </w:t>
      </w:r>
      <w:r w:rsidR="00E90B4A" w:rsidRPr="0071460C">
        <w:rPr>
          <w:bCs/>
          <w:lang w:val="en-GB"/>
        </w:rPr>
        <w:t xml:space="preserve">requested the Department </w:t>
      </w:r>
      <w:r w:rsidR="00431D59" w:rsidRPr="0071460C">
        <w:rPr>
          <w:bCs/>
          <w:lang w:val="en-GB"/>
        </w:rPr>
        <w:t xml:space="preserve">provide </w:t>
      </w:r>
      <w:r w:rsidR="00EB49BF">
        <w:rPr>
          <w:bCs/>
          <w:lang w:val="en-GB"/>
        </w:rPr>
        <w:t>its</w:t>
      </w:r>
      <w:bookmarkStart w:id="15" w:name="_GoBack"/>
      <w:bookmarkEnd w:id="15"/>
      <w:r w:rsidR="00431D59" w:rsidRPr="0071460C">
        <w:rPr>
          <w:bCs/>
          <w:lang w:val="en-GB"/>
        </w:rPr>
        <w:t xml:space="preserve"> views about those matters </w:t>
      </w:r>
      <w:r w:rsidR="00E90B4A" w:rsidRPr="0071460C">
        <w:rPr>
          <w:bCs/>
          <w:lang w:val="en-GB"/>
        </w:rPr>
        <w:t>to the next regular meeting of the</w:t>
      </w:r>
      <w:r w:rsidR="00431D59" w:rsidRPr="0071460C">
        <w:rPr>
          <w:bCs/>
          <w:lang w:val="en-GB"/>
        </w:rPr>
        <w:t xml:space="preserve"> PBAC, so that the listing of </w:t>
      </w:r>
      <w:proofErr w:type="spellStart"/>
      <w:r w:rsidR="00D96577" w:rsidRPr="0071460C">
        <w:rPr>
          <w:bCs/>
          <w:lang w:val="en-GB"/>
        </w:rPr>
        <w:t>Odefsey</w:t>
      </w:r>
      <w:proofErr w:type="spellEnd"/>
      <w:r w:rsidR="00431D59" w:rsidRPr="0071460C">
        <w:rPr>
          <w:bCs/>
          <w:lang w:val="en-GB"/>
        </w:rPr>
        <w:t>® ca</w:t>
      </w:r>
      <w:r w:rsidR="00431D59" w:rsidRPr="006715D9">
        <w:rPr>
          <w:bCs/>
          <w:lang w:val="en-GB"/>
        </w:rPr>
        <w:t>n be further considered in light of those views, and the position put by the Sponsor in its submission</w:t>
      </w:r>
      <w:r w:rsidR="00E90B4A">
        <w:rPr>
          <w:bCs/>
          <w:lang w:val="en-GB"/>
        </w:rPr>
        <w:t xml:space="preserve">. </w:t>
      </w:r>
    </w:p>
    <w:p w:rsidR="00AB7128" w:rsidRDefault="00AB7128" w:rsidP="00AB7128">
      <w:pPr>
        <w:pStyle w:val="ListParagraph"/>
      </w:pPr>
    </w:p>
    <w:p w:rsidR="002D6868" w:rsidRDefault="002D6868" w:rsidP="00FD31D7">
      <w:pPr>
        <w:pStyle w:val="ListParagraph"/>
        <w:widowControl/>
        <w:numPr>
          <w:ilvl w:val="1"/>
          <w:numId w:val="6"/>
        </w:numPr>
      </w:pPr>
      <w:r>
        <w:t xml:space="preserve">The PBAC </w:t>
      </w:r>
      <w:r w:rsidR="00E90B4A">
        <w:t>formed the view that</w:t>
      </w:r>
      <w:r>
        <w:t xml:space="preserve"> </w:t>
      </w:r>
      <w:proofErr w:type="spellStart"/>
      <w:r>
        <w:t>Odefsey</w:t>
      </w:r>
      <w:proofErr w:type="spellEnd"/>
      <w:r>
        <w:t xml:space="preserve">® </w:t>
      </w:r>
      <w:r w:rsidR="00E20C5C">
        <w:t>(</w:t>
      </w:r>
      <w:proofErr w:type="spellStart"/>
      <w:r w:rsidR="00E20C5C" w:rsidRPr="00E20C5C">
        <w:t>rilpivirine</w:t>
      </w:r>
      <w:proofErr w:type="spellEnd"/>
      <w:r w:rsidR="00E20C5C" w:rsidRPr="00E20C5C">
        <w:t xml:space="preserve"> 25mg + </w:t>
      </w:r>
      <w:proofErr w:type="spellStart"/>
      <w:r w:rsidR="00E20C5C" w:rsidRPr="00E20C5C">
        <w:t>emtricitabine</w:t>
      </w:r>
      <w:proofErr w:type="spellEnd"/>
      <w:r w:rsidR="00E20C5C" w:rsidRPr="00E20C5C">
        <w:t xml:space="preserve"> 200mg + </w:t>
      </w:r>
      <w:proofErr w:type="spellStart"/>
      <w:r w:rsidR="00E20C5C" w:rsidRPr="00E20C5C">
        <w:t>tenofovir</w:t>
      </w:r>
      <w:proofErr w:type="spellEnd"/>
      <w:r w:rsidR="00E20C5C" w:rsidRPr="00E20C5C">
        <w:t xml:space="preserve"> </w:t>
      </w:r>
      <w:proofErr w:type="spellStart"/>
      <w:r w:rsidR="00E20C5C" w:rsidRPr="00E20C5C">
        <w:t>alafenamide</w:t>
      </w:r>
      <w:proofErr w:type="spellEnd"/>
      <w:r w:rsidR="00E20C5C" w:rsidRPr="00E20C5C">
        <w:t xml:space="preserve"> 25mg tablet</w:t>
      </w:r>
      <w:r w:rsidR="00E20C5C">
        <w:t>)</w:t>
      </w:r>
      <w:r w:rsidR="00E90B4A">
        <w:t xml:space="preserve"> is non inferior </w:t>
      </w:r>
      <w:proofErr w:type="spellStart"/>
      <w:r>
        <w:t>Eviplera</w:t>
      </w:r>
      <w:proofErr w:type="spellEnd"/>
      <w:r w:rsidRPr="00FD7C28">
        <w:rPr>
          <w:vertAlign w:val="superscript"/>
        </w:rPr>
        <w:t>®</w:t>
      </w:r>
      <w:r w:rsidR="00FD31D7">
        <w:t xml:space="preserve"> (</w:t>
      </w:r>
      <w:proofErr w:type="spellStart"/>
      <w:r w:rsidR="00FD31D7" w:rsidRPr="00FD31D7">
        <w:t>tenofovir</w:t>
      </w:r>
      <w:proofErr w:type="spellEnd"/>
      <w:r w:rsidR="00FD31D7" w:rsidRPr="00FD31D7">
        <w:t xml:space="preserve"> </w:t>
      </w:r>
      <w:proofErr w:type="spellStart"/>
      <w:r w:rsidR="00FD31D7" w:rsidRPr="00FD31D7">
        <w:t>disoproxil</w:t>
      </w:r>
      <w:proofErr w:type="spellEnd"/>
      <w:r w:rsidR="00FD31D7" w:rsidRPr="00FD31D7">
        <w:t xml:space="preserve"> </w:t>
      </w:r>
      <w:proofErr w:type="spellStart"/>
      <w:r w:rsidR="00FD31D7" w:rsidRPr="00FD31D7">
        <w:t>fumarate</w:t>
      </w:r>
      <w:proofErr w:type="spellEnd"/>
      <w:r w:rsidR="00FD31D7" w:rsidRPr="00FD31D7">
        <w:t xml:space="preserve"> 300 mg + </w:t>
      </w:r>
      <w:proofErr w:type="spellStart"/>
      <w:r w:rsidR="00FD31D7" w:rsidRPr="00FD31D7">
        <w:t>emtricitabine</w:t>
      </w:r>
      <w:proofErr w:type="spellEnd"/>
      <w:r w:rsidR="00FD31D7" w:rsidRPr="00FD31D7">
        <w:t xml:space="preserve"> 200 mg + </w:t>
      </w:r>
      <w:proofErr w:type="spellStart"/>
      <w:r w:rsidR="00FD31D7" w:rsidRPr="00FD31D7">
        <w:t>rilpivirine</w:t>
      </w:r>
      <w:proofErr w:type="spellEnd"/>
      <w:r w:rsidR="00FD31D7" w:rsidRPr="00FD31D7">
        <w:t xml:space="preserve"> 25 mg tablet</w:t>
      </w:r>
      <w:r w:rsidR="00FD31D7">
        <w:t xml:space="preserve">) in terms of </w:t>
      </w:r>
      <w:r w:rsidR="00FD31D7">
        <w:lastRenderedPageBreak/>
        <w:t>effectiveness and safety</w:t>
      </w:r>
      <w:proofErr w:type="gramStart"/>
      <w:r>
        <w:t xml:space="preserve">.  </w:t>
      </w:r>
      <w:proofErr w:type="gramEnd"/>
      <w:r>
        <w:t xml:space="preserve">The </w:t>
      </w:r>
      <w:proofErr w:type="spellStart"/>
      <w:r>
        <w:t>equi</w:t>
      </w:r>
      <w:proofErr w:type="spellEnd"/>
      <w:r>
        <w:t>-effective doses are</w:t>
      </w:r>
      <w:r w:rsidR="00FD31D7">
        <w:t xml:space="preserve"> one tablet of </w:t>
      </w:r>
      <w:proofErr w:type="spellStart"/>
      <w:r w:rsidR="00FD31D7">
        <w:t>Odefsey</w:t>
      </w:r>
      <w:proofErr w:type="spellEnd"/>
      <w:r w:rsidR="00FD31D7">
        <w:t xml:space="preserve"> is equivalent to one tablet of </w:t>
      </w:r>
      <w:proofErr w:type="spellStart"/>
      <w:r w:rsidR="00FD31D7">
        <w:t>Eviplera</w:t>
      </w:r>
      <w:proofErr w:type="spellEnd"/>
      <w:r w:rsidR="00FD31D7">
        <w:t>.</w:t>
      </w:r>
    </w:p>
    <w:p w:rsidR="00F15706" w:rsidRDefault="00F15706" w:rsidP="00F15706">
      <w:pPr>
        <w:pStyle w:val="ListParagraph"/>
        <w:rPr>
          <w:bCs/>
          <w:lang w:val="en-GB"/>
        </w:rPr>
      </w:pPr>
    </w:p>
    <w:p w:rsidR="00F15706" w:rsidRPr="00FD31D7" w:rsidRDefault="00C837F4" w:rsidP="00F15706">
      <w:pPr>
        <w:numPr>
          <w:ilvl w:val="1"/>
          <w:numId w:val="6"/>
        </w:numPr>
        <w:rPr>
          <w:bCs/>
          <w:lang w:val="en-GB"/>
        </w:rPr>
      </w:pPr>
      <w:r w:rsidRPr="00FD31D7">
        <w:rPr>
          <w:bCs/>
          <w:lang w:val="en-GB"/>
        </w:rPr>
        <w:t xml:space="preserve">The PBAC noted that the primary trial (Study 1089) reported the proportion of patients with HIV ribonucleic acid (RNA) &lt; 50 copies/mL as the clinically relevant outcome.  The PBAC also noted that in terms of safety, a similar proportion of patients experienced any treatment-emergent adverse event between arms within Studies 1089, 104 and 111.  </w:t>
      </w:r>
      <w:r w:rsidR="00F15706" w:rsidRPr="00FD31D7">
        <w:rPr>
          <w:bCs/>
          <w:lang w:val="en-GB"/>
        </w:rPr>
        <w:t>The PBAC</w:t>
      </w:r>
      <w:r w:rsidR="002D6868" w:rsidRPr="00FD31D7">
        <w:rPr>
          <w:bCs/>
          <w:lang w:val="en-GB"/>
        </w:rPr>
        <w:t xml:space="preserve"> noted that </w:t>
      </w:r>
      <w:r w:rsidR="00351232" w:rsidRPr="00FD31D7">
        <w:rPr>
          <w:bCs/>
          <w:lang w:val="en-GB"/>
        </w:rPr>
        <w:t xml:space="preserve">this data was informative, albeit </w:t>
      </w:r>
      <w:r w:rsidR="002D6868" w:rsidRPr="00FD31D7">
        <w:rPr>
          <w:bCs/>
          <w:lang w:val="en-GB"/>
        </w:rPr>
        <w:t xml:space="preserve">the number of patients in the </w:t>
      </w:r>
      <w:proofErr w:type="spellStart"/>
      <w:r w:rsidR="002D6868" w:rsidRPr="00FD31D7">
        <w:rPr>
          <w:bCs/>
          <w:lang w:val="en-GB"/>
        </w:rPr>
        <w:t>rilpivirine</w:t>
      </w:r>
      <w:proofErr w:type="spellEnd"/>
      <w:r w:rsidR="002D6868" w:rsidRPr="00FD31D7">
        <w:rPr>
          <w:bCs/>
          <w:lang w:val="en-GB"/>
        </w:rPr>
        <w:t xml:space="preserve"> </w:t>
      </w:r>
      <w:r w:rsidR="00351232" w:rsidRPr="00FD31D7">
        <w:rPr>
          <w:bCs/>
          <w:lang w:val="en-GB"/>
        </w:rPr>
        <w:t xml:space="preserve">subgroup was small. </w:t>
      </w:r>
    </w:p>
    <w:p w:rsidR="004A602B" w:rsidRPr="00EF6F2C" w:rsidRDefault="004A602B" w:rsidP="004A602B">
      <w:pPr>
        <w:pStyle w:val="PBACHeading1"/>
        <w:numPr>
          <w:ilvl w:val="0"/>
          <w:numId w:val="0"/>
        </w:numPr>
      </w:pPr>
    </w:p>
    <w:p w:rsidR="00C837F4" w:rsidRDefault="00C837F4" w:rsidP="00C837F4">
      <w:pPr>
        <w:pStyle w:val="ListParagraph"/>
        <w:widowControl/>
        <w:numPr>
          <w:ilvl w:val="1"/>
          <w:numId w:val="6"/>
        </w:numPr>
        <w:rPr>
          <w:bCs/>
          <w:lang w:val="en-GB"/>
        </w:rPr>
      </w:pPr>
      <w:r w:rsidRPr="00FD31D7">
        <w:rPr>
          <w:bCs/>
          <w:lang w:val="en-GB"/>
        </w:rPr>
        <w:t xml:space="preserve">The PBAC considered the sponsor’s request to have the restrictions for </w:t>
      </w:r>
      <w:r w:rsidRPr="00FD31D7">
        <w:rPr>
          <w:bCs/>
        </w:rPr>
        <w:t>recently listed single tablet regimen antiretroviral treatments</w:t>
      </w:r>
      <w:r w:rsidRPr="00FD31D7">
        <w:rPr>
          <w:bCs/>
          <w:i/>
        </w:rPr>
        <w:t xml:space="preserve"> </w:t>
      </w:r>
      <w:r w:rsidRPr="00FD31D7">
        <w:rPr>
          <w:bCs/>
          <w:lang w:val="en-GB"/>
        </w:rPr>
        <w:t xml:space="preserve">also apply to a listing of </w:t>
      </w:r>
      <w:proofErr w:type="spellStart"/>
      <w:r w:rsidRPr="00FD31D7">
        <w:rPr>
          <w:bCs/>
          <w:lang w:val="en-GB"/>
        </w:rPr>
        <w:t>Odefsey</w:t>
      </w:r>
      <w:proofErr w:type="spellEnd"/>
      <w:r w:rsidRPr="00FD31D7">
        <w:rPr>
          <w:bCs/>
          <w:lang w:val="en-GB"/>
        </w:rPr>
        <w:t>® to be appropriate.</w:t>
      </w:r>
    </w:p>
    <w:p w:rsidR="004E4049" w:rsidRPr="004E4049" w:rsidRDefault="004E4049" w:rsidP="004E4049">
      <w:pPr>
        <w:widowControl/>
        <w:rPr>
          <w:bCs/>
          <w:lang w:val="en-GB"/>
        </w:rPr>
      </w:pPr>
    </w:p>
    <w:p w:rsidR="00A03A25" w:rsidRPr="00FD31D7" w:rsidRDefault="00A03A25" w:rsidP="00A03A25">
      <w:pPr>
        <w:pStyle w:val="ListParagraph"/>
        <w:widowControl/>
        <w:numPr>
          <w:ilvl w:val="1"/>
          <w:numId w:val="6"/>
        </w:numPr>
        <w:rPr>
          <w:bCs/>
          <w:lang w:val="en-GB"/>
        </w:rPr>
      </w:pPr>
      <w:r w:rsidRPr="00FD31D7">
        <w:rPr>
          <w:bCs/>
        </w:rPr>
        <w:t xml:space="preserve">The PBAC </w:t>
      </w:r>
      <w:r w:rsidR="00431D59">
        <w:rPr>
          <w:bCs/>
        </w:rPr>
        <w:t>formed the view</w:t>
      </w:r>
      <w:r w:rsidR="00431D59" w:rsidRPr="00FD31D7">
        <w:rPr>
          <w:bCs/>
        </w:rPr>
        <w:t xml:space="preserve"> </w:t>
      </w:r>
      <w:r w:rsidRPr="00FD31D7">
        <w:rPr>
          <w:bCs/>
        </w:rPr>
        <w:t xml:space="preserve">that the Early Supply Rule should apply to </w:t>
      </w:r>
      <w:proofErr w:type="spellStart"/>
      <w:r w:rsidRPr="00FD31D7">
        <w:rPr>
          <w:bCs/>
        </w:rPr>
        <w:t>Odefsey</w:t>
      </w:r>
      <w:proofErr w:type="spellEnd"/>
      <w:r w:rsidRPr="00FD31D7">
        <w:rPr>
          <w:bCs/>
        </w:rPr>
        <w:t>®, as recommended for all HIV treatments at the November 2015 meeting.</w:t>
      </w:r>
    </w:p>
    <w:p w:rsidR="00A03A25" w:rsidRPr="00FD31D7" w:rsidRDefault="00A03A25" w:rsidP="00A03A25">
      <w:pPr>
        <w:rPr>
          <w:bCs/>
          <w:lang w:val="en-GB"/>
        </w:rPr>
      </w:pPr>
    </w:p>
    <w:p w:rsidR="00A03A25" w:rsidRDefault="00A03A25" w:rsidP="00F378BB">
      <w:pPr>
        <w:widowControl/>
        <w:rPr>
          <w:b/>
        </w:rPr>
      </w:pPr>
      <w:r w:rsidRPr="00F378BB">
        <w:rPr>
          <w:b/>
        </w:rPr>
        <w:t>Advice to the Minister under subsection 101(4AC) of the Act</w:t>
      </w:r>
    </w:p>
    <w:p w:rsidR="00F378BB" w:rsidRPr="00F378BB" w:rsidRDefault="00F378BB" w:rsidP="00F378BB">
      <w:pPr>
        <w:widowControl/>
        <w:rPr>
          <w:b/>
        </w:rPr>
      </w:pPr>
    </w:p>
    <w:p w:rsidR="00F02008" w:rsidRPr="00FD31D7" w:rsidRDefault="00A03A25" w:rsidP="00F378BB">
      <w:pPr>
        <w:pStyle w:val="ListParagraph"/>
        <w:widowControl/>
        <w:numPr>
          <w:ilvl w:val="1"/>
          <w:numId w:val="6"/>
        </w:numPr>
      </w:pPr>
      <w:r w:rsidRPr="00FD31D7">
        <w:t xml:space="preserve">The PBAC noted the submission requested that the PBAC advise the Minister under subsection 101(4AC) of the Act. Based on the reasons provided in </w:t>
      </w:r>
      <w:r w:rsidRPr="00AD4BEE">
        <w:t>paragraph</w:t>
      </w:r>
      <w:r w:rsidR="00362D2D" w:rsidRPr="00AD4BEE">
        <w:t>s</w:t>
      </w:r>
      <w:r w:rsidRPr="00AD4BEE">
        <w:t xml:space="preserve"> 6.</w:t>
      </w:r>
      <w:r w:rsidR="00362D2D" w:rsidRPr="00AD4BEE">
        <w:t>3</w:t>
      </w:r>
      <w:r w:rsidR="00002626" w:rsidRPr="00AD4BEE">
        <w:t>6</w:t>
      </w:r>
      <w:r w:rsidR="00362D2D" w:rsidRPr="00AD4BEE">
        <w:t>-6.</w:t>
      </w:r>
      <w:r w:rsidR="001A42A8" w:rsidRPr="00AD4BEE">
        <w:t>4</w:t>
      </w:r>
      <w:r w:rsidR="00002626" w:rsidRPr="00AD4BEE">
        <w:t>0</w:t>
      </w:r>
      <w:r w:rsidRPr="00AD4BEE">
        <w:t>,</w:t>
      </w:r>
      <w:r w:rsidRPr="00FD31D7">
        <w:t xml:space="preserve"> the PBAC decided it was not satisfied as required by subsection 101(4AC) and therefore will not provide advice to the Minister under that section.</w:t>
      </w:r>
      <w:r w:rsidR="00F02008" w:rsidRPr="00FD31D7">
        <w:t xml:space="preserve"> </w:t>
      </w:r>
    </w:p>
    <w:p w:rsidR="00F020AF" w:rsidRPr="00FD31D7" w:rsidRDefault="00F020AF" w:rsidP="00FD31D7">
      <w:pPr>
        <w:pStyle w:val="ListParagraph"/>
        <w:widowControl/>
        <w:ind w:left="709"/>
        <w:rPr>
          <w:bCs/>
          <w:lang w:val="en-GB"/>
        </w:rPr>
      </w:pPr>
    </w:p>
    <w:p w:rsidR="00397431" w:rsidRPr="00343389" w:rsidRDefault="00397431" w:rsidP="00397431">
      <w:pPr>
        <w:rPr>
          <w:b/>
          <w:bCs/>
          <w:lang w:val="en-GB"/>
        </w:rPr>
      </w:pPr>
      <w:r w:rsidRPr="00343389">
        <w:rPr>
          <w:b/>
          <w:bCs/>
          <w:lang w:val="en-GB"/>
        </w:rPr>
        <w:t>Outcome:</w:t>
      </w:r>
    </w:p>
    <w:p w:rsidR="002F50FF" w:rsidRDefault="00397431" w:rsidP="00397431">
      <w:pPr>
        <w:rPr>
          <w:bCs/>
          <w:lang w:val="en-GB"/>
        </w:rPr>
      </w:pPr>
      <w:r w:rsidRPr="00343389">
        <w:rPr>
          <w:bCs/>
          <w:lang w:val="en-GB"/>
        </w:rPr>
        <w:t xml:space="preserve">Deferred </w:t>
      </w:r>
    </w:p>
    <w:p w:rsidR="002F50FF" w:rsidRDefault="002F50FF" w:rsidP="00397431">
      <w:pPr>
        <w:rPr>
          <w:bCs/>
          <w:lang w:val="en-GB"/>
        </w:rPr>
      </w:pPr>
    </w:p>
    <w:p w:rsidR="002F50FF" w:rsidRPr="00485DD3" w:rsidRDefault="002F50FF" w:rsidP="00495439">
      <w:pPr>
        <w:pStyle w:val="Heading2"/>
      </w:pPr>
      <w:r w:rsidRPr="00485DD3">
        <w:t>Context for Decision</w:t>
      </w:r>
    </w:p>
    <w:p w:rsidR="002F50FF" w:rsidRDefault="002F50FF" w:rsidP="002F50FF"/>
    <w:p w:rsidR="002F50FF" w:rsidRDefault="002F50FF" w:rsidP="002F50FF">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F50FF" w:rsidRDefault="002F50FF" w:rsidP="002F50FF"/>
    <w:p w:rsidR="002F50FF" w:rsidRDefault="002F50FF" w:rsidP="002F50FF"/>
    <w:p w:rsidR="002F50FF" w:rsidRPr="00485DD3" w:rsidRDefault="002F50FF" w:rsidP="00495439">
      <w:pPr>
        <w:pStyle w:val="Heading2"/>
      </w:pPr>
      <w:r w:rsidRPr="00485DD3">
        <w:t>Sponsor’s Comment</w:t>
      </w:r>
    </w:p>
    <w:p w:rsidR="002F50FF" w:rsidRDefault="002F50FF" w:rsidP="002F50FF">
      <w:pPr>
        <w:rPr>
          <w:bCs/>
          <w:highlight w:val="yellow"/>
          <w:lang w:val="en-GB"/>
        </w:rPr>
      </w:pPr>
    </w:p>
    <w:p w:rsidR="00397431" w:rsidRPr="00343389" w:rsidRDefault="002F50FF" w:rsidP="00495439">
      <w:pPr>
        <w:spacing w:after="120"/>
        <w:ind w:left="709"/>
        <w:rPr>
          <w:bCs/>
          <w:lang w:val="en-GB"/>
        </w:rPr>
      </w:pPr>
      <w:r w:rsidRPr="003035CC">
        <w:rPr>
          <w:bCs/>
        </w:rPr>
        <w:t>The sponsor had no comment.</w:t>
      </w:r>
    </w:p>
    <w:p w:rsidR="00397431" w:rsidRDefault="00397431" w:rsidP="00397431">
      <w:pPr>
        <w:rPr>
          <w:b/>
          <w:bCs/>
        </w:rPr>
      </w:pPr>
    </w:p>
    <w:p w:rsidR="00397431" w:rsidRPr="00397431" w:rsidRDefault="00397431" w:rsidP="00397431">
      <w:pPr>
        <w:widowControl/>
        <w:rPr>
          <w:szCs w:val="22"/>
        </w:rPr>
      </w:pPr>
    </w:p>
    <w:sectPr w:rsidR="00397431" w:rsidRPr="00397431" w:rsidSect="00E10CD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2E73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4AC" w:rsidRDefault="005604AC" w:rsidP="00124A51">
      <w:r>
        <w:separator/>
      </w:r>
    </w:p>
  </w:endnote>
  <w:endnote w:type="continuationSeparator" w:id="0">
    <w:p w:rsidR="005604AC" w:rsidRDefault="005604AC"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AC" w:rsidRDefault="005604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61221"/>
      <w:docPartObj>
        <w:docPartGallery w:val="Page Numbers (Bottom of Page)"/>
        <w:docPartUnique/>
      </w:docPartObj>
    </w:sdtPr>
    <w:sdtEndPr>
      <w:rPr>
        <w:noProof/>
      </w:rPr>
    </w:sdtEndPr>
    <w:sdtContent>
      <w:p w:rsidR="004E5FC7" w:rsidRDefault="004E5FC7">
        <w:pPr>
          <w:pStyle w:val="Footer"/>
          <w:jc w:val="center"/>
        </w:pPr>
        <w:r>
          <w:fldChar w:fldCharType="begin"/>
        </w:r>
        <w:r>
          <w:instrText xml:space="preserve"> PAGE   \* MERGEFORMAT </w:instrText>
        </w:r>
        <w:r>
          <w:fldChar w:fldCharType="separate"/>
        </w:r>
        <w:r w:rsidR="00EB49BF">
          <w:rPr>
            <w:noProof/>
          </w:rPr>
          <w:t>13</w:t>
        </w:r>
        <w:r>
          <w:rPr>
            <w:noProof/>
          </w:rPr>
          <w:fldChar w:fldCharType="end"/>
        </w:r>
      </w:p>
    </w:sdtContent>
  </w:sdt>
  <w:p w:rsidR="004E5FC7" w:rsidRPr="00334179" w:rsidRDefault="004E5FC7" w:rsidP="00334179">
    <w:pPr>
      <w:pStyle w:val="Footer"/>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AC" w:rsidRDefault="00560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4AC" w:rsidRDefault="005604AC" w:rsidP="00124A51">
      <w:r>
        <w:separator/>
      </w:r>
    </w:p>
  </w:footnote>
  <w:footnote w:type="continuationSeparator" w:id="0">
    <w:p w:rsidR="005604AC" w:rsidRDefault="005604AC"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AC" w:rsidRDefault="005604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C7" w:rsidRPr="00585BB3" w:rsidRDefault="004E5FC7" w:rsidP="00585BB3">
    <w:pPr>
      <w:pStyle w:val="Header"/>
      <w:jc w:val="center"/>
      <w:rPr>
        <w:i/>
      </w:rPr>
    </w:pPr>
    <w:r w:rsidRPr="00E10CFE">
      <w:rPr>
        <w:i/>
      </w:rPr>
      <w:t xml:space="preserve">Public Summary Document </w:t>
    </w:r>
    <w:r w:rsidRPr="00585BB3">
      <w:rPr>
        <w:i/>
      </w:rPr>
      <w:t xml:space="preserve">– </w:t>
    </w:r>
    <w:r>
      <w:rPr>
        <w:i/>
      </w:rPr>
      <w:t>July</w:t>
    </w:r>
    <w:r w:rsidRPr="00585BB3">
      <w:rPr>
        <w:i/>
      </w:rPr>
      <w:t xml:space="preserve"> </w:t>
    </w:r>
    <w:r>
      <w:rPr>
        <w:i/>
      </w:rPr>
      <w:t>2016</w:t>
    </w:r>
    <w:r w:rsidRPr="00585BB3">
      <w:rPr>
        <w:i/>
      </w:rPr>
      <w:t xml:space="preserve"> PBAC Meeting</w:t>
    </w:r>
  </w:p>
  <w:p w:rsidR="004E5FC7" w:rsidRPr="00844822" w:rsidRDefault="004E5FC7" w:rsidP="008448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AC" w:rsidRDefault="005604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95244FE"/>
    <w:multiLevelType w:val="hybridMultilevel"/>
    <w:tmpl w:val="2858FE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96227E3"/>
    <w:multiLevelType w:val="hybridMultilevel"/>
    <w:tmpl w:val="CCCEA68E"/>
    <w:lvl w:ilvl="0" w:tplc="3F062656">
      <w:start w:val="17"/>
      <w:numFmt w:val="bullet"/>
      <w:lvlText w:val="-"/>
      <w:lvlJc w:val="left"/>
      <w:pPr>
        <w:ind w:left="720" w:hanging="360"/>
      </w:pPr>
      <w:rPr>
        <w:rFonts w:ascii="Candara" w:eastAsiaTheme="majorEastAsia" w:hAnsi="Candar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EF33B3"/>
    <w:multiLevelType w:val="hybridMultilevel"/>
    <w:tmpl w:val="306040C0"/>
    <w:lvl w:ilvl="0" w:tplc="6964B668">
      <w:start w:val="1"/>
      <w:numFmt w:val="decimal"/>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nsid w:val="201E6053"/>
    <w:multiLevelType w:val="hybridMultilevel"/>
    <w:tmpl w:val="180AA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BB6CF3"/>
    <w:multiLevelType w:val="hybridMultilevel"/>
    <w:tmpl w:val="EC306C30"/>
    <w:lvl w:ilvl="0" w:tplc="FCF4AD2E">
      <w:numFmt w:val="bullet"/>
      <w:lvlText w:val="-"/>
      <w:lvlJc w:val="left"/>
      <w:pPr>
        <w:ind w:left="720" w:hanging="360"/>
      </w:pPr>
      <w:rPr>
        <w:rFonts w:ascii="Arial" w:eastAsia="Times New Roman" w:hAnsi="Arial" w:cs="Arial" w:hint="default"/>
      </w:rPr>
    </w:lvl>
    <w:lvl w:ilvl="1" w:tplc="FFFFFFFF">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85041AE"/>
    <w:multiLevelType w:val="hybridMultilevel"/>
    <w:tmpl w:val="C6183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9">
    <w:nsid w:val="2B092BF2"/>
    <w:multiLevelType w:val="hybridMultilevel"/>
    <w:tmpl w:val="2AC64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B993D9F"/>
    <w:multiLevelType w:val="hybridMultilevel"/>
    <w:tmpl w:val="83CA8018"/>
    <w:lvl w:ilvl="0" w:tplc="AF64404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CE517BD"/>
    <w:multiLevelType w:val="hybridMultilevel"/>
    <w:tmpl w:val="C21406EA"/>
    <w:lvl w:ilvl="0" w:tplc="FCF4AD2E">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F5F187C"/>
    <w:multiLevelType w:val="hybridMultilevel"/>
    <w:tmpl w:val="145ED5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846072C"/>
    <w:multiLevelType w:val="hybridMultilevel"/>
    <w:tmpl w:val="53625466"/>
    <w:lvl w:ilvl="0" w:tplc="332C7780">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3B7C34E2"/>
    <w:multiLevelType w:val="hybridMultilevel"/>
    <w:tmpl w:val="F1780F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CE31B5D"/>
    <w:multiLevelType w:val="hybridMultilevel"/>
    <w:tmpl w:val="E3E0B64A"/>
    <w:lvl w:ilvl="0" w:tplc="3F062656">
      <w:start w:val="17"/>
      <w:numFmt w:val="bullet"/>
      <w:lvlText w:val="-"/>
      <w:lvlJc w:val="left"/>
      <w:pPr>
        <w:ind w:left="720" w:hanging="360"/>
      </w:pPr>
      <w:rPr>
        <w:rFonts w:ascii="Candara" w:eastAsiaTheme="majorEastAsia" w:hAnsi="Candar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7">
    <w:nsid w:val="401C2461"/>
    <w:multiLevelType w:val="hybridMultilevel"/>
    <w:tmpl w:val="8BEC3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6783D58"/>
    <w:multiLevelType w:val="hybridMultilevel"/>
    <w:tmpl w:val="3D847CD0"/>
    <w:lvl w:ilvl="0" w:tplc="3F062656">
      <w:start w:val="17"/>
      <w:numFmt w:val="bullet"/>
      <w:lvlText w:val="-"/>
      <w:lvlJc w:val="left"/>
      <w:pPr>
        <w:ind w:left="720" w:hanging="360"/>
      </w:pPr>
      <w:rPr>
        <w:rFonts w:ascii="Candara" w:eastAsiaTheme="majorEastAsia" w:hAnsi="Candar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67E183D"/>
    <w:multiLevelType w:val="hybridMultilevel"/>
    <w:tmpl w:val="296A19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93776F2"/>
    <w:multiLevelType w:val="hybridMultilevel"/>
    <w:tmpl w:val="F89C3D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nsid w:val="49BC6FA9"/>
    <w:multiLevelType w:val="hybridMultilevel"/>
    <w:tmpl w:val="E102B2BC"/>
    <w:lvl w:ilvl="0" w:tplc="3F062656">
      <w:start w:val="17"/>
      <w:numFmt w:val="bullet"/>
      <w:lvlText w:val="-"/>
      <w:lvlJc w:val="left"/>
      <w:pPr>
        <w:ind w:left="720" w:hanging="360"/>
      </w:pPr>
      <w:rPr>
        <w:rFonts w:ascii="Candara" w:eastAsiaTheme="majorEastAsia" w:hAnsi="Candar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B0C53CF"/>
    <w:multiLevelType w:val="hybridMultilevel"/>
    <w:tmpl w:val="CD108C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4D686156"/>
    <w:multiLevelType w:val="hybridMultilevel"/>
    <w:tmpl w:val="D13ECF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8767558"/>
    <w:multiLevelType w:val="hybridMultilevel"/>
    <w:tmpl w:val="E3F6D18C"/>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54C6EE5"/>
    <w:multiLevelType w:val="hybridMultilevel"/>
    <w:tmpl w:val="16D66A22"/>
    <w:lvl w:ilvl="0" w:tplc="3F062656">
      <w:start w:val="17"/>
      <w:numFmt w:val="bullet"/>
      <w:lvlText w:val="-"/>
      <w:lvlJc w:val="left"/>
      <w:pPr>
        <w:ind w:left="720" w:hanging="360"/>
      </w:pPr>
      <w:rPr>
        <w:rFonts w:ascii="Candara" w:eastAsiaTheme="majorEastAsia" w:hAnsi="Candar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9A53AB0"/>
    <w:multiLevelType w:val="hybridMultilevel"/>
    <w:tmpl w:val="7BEC7A74"/>
    <w:lvl w:ilvl="0" w:tplc="3F062656">
      <w:start w:val="17"/>
      <w:numFmt w:val="bullet"/>
      <w:lvlText w:val="-"/>
      <w:lvlJc w:val="left"/>
      <w:pPr>
        <w:ind w:left="720" w:hanging="360"/>
      </w:pPr>
      <w:rPr>
        <w:rFonts w:ascii="Candara" w:eastAsiaTheme="majorEastAsia" w:hAnsi="Candar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F294E1D"/>
    <w:multiLevelType w:val="hybridMultilevel"/>
    <w:tmpl w:val="D7149C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6F8060ED"/>
    <w:multiLevelType w:val="hybridMultilevel"/>
    <w:tmpl w:val="4C9A2B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nsid w:val="6FB36B93"/>
    <w:multiLevelType w:val="hybridMultilevel"/>
    <w:tmpl w:val="589CDF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64034D8"/>
    <w:multiLevelType w:val="hybridMultilevel"/>
    <w:tmpl w:val="FB884A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nsid w:val="766D798B"/>
    <w:multiLevelType w:val="hybridMultilevel"/>
    <w:tmpl w:val="21147D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nsid w:val="784D033C"/>
    <w:multiLevelType w:val="multilevel"/>
    <w:tmpl w:val="E85C9A5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i w:val="0"/>
        <w:i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16"/>
  </w:num>
  <w:num w:numId="3">
    <w:abstractNumId w:val="8"/>
  </w:num>
  <w:num w:numId="4">
    <w:abstractNumId w:val="21"/>
  </w:num>
  <w:num w:numId="5">
    <w:abstractNumId w:val="14"/>
  </w:num>
  <w:num w:numId="6">
    <w:abstractNumId w:val="36"/>
  </w:num>
  <w:num w:numId="7">
    <w:abstractNumId w:val="23"/>
  </w:num>
  <w:num w:numId="8">
    <w:abstractNumId w:val="31"/>
  </w:num>
  <w:num w:numId="9">
    <w:abstractNumId w:val="24"/>
  </w:num>
  <w:num w:numId="10">
    <w:abstractNumId w:val="33"/>
  </w:num>
  <w:num w:numId="11">
    <w:abstractNumId w:val="17"/>
  </w:num>
  <w:num w:numId="12">
    <w:abstractNumId w:val="19"/>
  </w:num>
  <w:num w:numId="13">
    <w:abstractNumId w:val="10"/>
  </w:num>
  <w:num w:numId="14">
    <w:abstractNumId w:val="2"/>
  </w:num>
  <w:num w:numId="15">
    <w:abstractNumId w:val="22"/>
  </w:num>
  <w:num w:numId="16">
    <w:abstractNumId w:val="11"/>
  </w:num>
  <w:num w:numId="17">
    <w:abstractNumId w:val="28"/>
  </w:num>
  <w:num w:numId="18">
    <w:abstractNumId w:val="9"/>
  </w:num>
  <w:num w:numId="19">
    <w:abstractNumId w:val="30"/>
  </w:num>
  <w:num w:numId="20">
    <w:abstractNumId w:val="18"/>
  </w:num>
  <w:num w:numId="21">
    <w:abstractNumId w:val="15"/>
  </w:num>
  <w:num w:numId="22">
    <w:abstractNumId w:val="6"/>
  </w:num>
  <w:num w:numId="23">
    <w:abstractNumId w:val="20"/>
  </w:num>
  <w:num w:numId="24">
    <w:abstractNumId w:val="29"/>
  </w:num>
  <w:num w:numId="25">
    <w:abstractNumId w:val="34"/>
  </w:num>
  <w:num w:numId="26">
    <w:abstractNumId w:val="1"/>
  </w:num>
  <w:num w:numId="27">
    <w:abstractNumId w:val="32"/>
  </w:num>
  <w:num w:numId="28">
    <w:abstractNumId w:val="5"/>
  </w:num>
  <w:num w:numId="29">
    <w:abstractNumId w:val="26"/>
  </w:num>
  <w:num w:numId="30">
    <w:abstractNumId w:val="35"/>
  </w:num>
  <w:num w:numId="31">
    <w:abstractNumId w:val="4"/>
  </w:num>
  <w:num w:numId="32">
    <w:abstractNumId w:val="12"/>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
  </w:num>
  <w:num w:numId="36">
    <w:abstractNumId w:val="0"/>
  </w:num>
  <w:num w:numId="37">
    <w:abstractNumId w:val="7"/>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rs Chambers Westgarth">
    <w15:presenceInfo w15:providerId="None" w15:userId="Corrs Chambers Westga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activeWritingStyle w:appName="MSWord" w:lang="en-AU"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221"/>
    <w:rsid w:val="0000050D"/>
    <w:rsid w:val="00000790"/>
    <w:rsid w:val="00000B9C"/>
    <w:rsid w:val="0000110B"/>
    <w:rsid w:val="00001335"/>
    <w:rsid w:val="000013C4"/>
    <w:rsid w:val="000016FB"/>
    <w:rsid w:val="00001770"/>
    <w:rsid w:val="0000180B"/>
    <w:rsid w:val="0000181E"/>
    <w:rsid w:val="0000182C"/>
    <w:rsid w:val="00002081"/>
    <w:rsid w:val="000022AB"/>
    <w:rsid w:val="00002479"/>
    <w:rsid w:val="00002626"/>
    <w:rsid w:val="000027F9"/>
    <w:rsid w:val="00002925"/>
    <w:rsid w:val="00002EBC"/>
    <w:rsid w:val="00003097"/>
    <w:rsid w:val="000031AD"/>
    <w:rsid w:val="00003381"/>
    <w:rsid w:val="00003499"/>
    <w:rsid w:val="000035BF"/>
    <w:rsid w:val="00003A95"/>
    <w:rsid w:val="000046AF"/>
    <w:rsid w:val="00004DCA"/>
    <w:rsid w:val="00004FE9"/>
    <w:rsid w:val="0000508A"/>
    <w:rsid w:val="000051D8"/>
    <w:rsid w:val="00005206"/>
    <w:rsid w:val="00005376"/>
    <w:rsid w:val="000056F3"/>
    <w:rsid w:val="00005B81"/>
    <w:rsid w:val="00005BE9"/>
    <w:rsid w:val="00005E6C"/>
    <w:rsid w:val="00005FD1"/>
    <w:rsid w:val="00006564"/>
    <w:rsid w:val="0000675D"/>
    <w:rsid w:val="0000687F"/>
    <w:rsid w:val="00006BC9"/>
    <w:rsid w:val="00006BED"/>
    <w:rsid w:val="00006FA7"/>
    <w:rsid w:val="00007370"/>
    <w:rsid w:val="000075EB"/>
    <w:rsid w:val="0000798E"/>
    <w:rsid w:val="00007B68"/>
    <w:rsid w:val="00007BDD"/>
    <w:rsid w:val="00007C8A"/>
    <w:rsid w:val="00010899"/>
    <w:rsid w:val="000108A6"/>
    <w:rsid w:val="00010BAD"/>
    <w:rsid w:val="00010CB6"/>
    <w:rsid w:val="00010FA8"/>
    <w:rsid w:val="00010FEF"/>
    <w:rsid w:val="00011211"/>
    <w:rsid w:val="000115D2"/>
    <w:rsid w:val="000118ED"/>
    <w:rsid w:val="00011C10"/>
    <w:rsid w:val="000120BD"/>
    <w:rsid w:val="000122D2"/>
    <w:rsid w:val="00012732"/>
    <w:rsid w:val="00012B7B"/>
    <w:rsid w:val="00012D7F"/>
    <w:rsid w:val="00012DBF"/>
    <w:rsid w:val="00012E83"/>
    <w:rsid w:val="00013247"/>
    <w:rsid w:val="0001366B"/>
    <w:rsid w:val="00013A8F"/>
    <w:rsid w:val="00013BD0"/>
    <w:rsid w:val="00013DE1"/>
    <w:rsid w:val="000142B0"/>
    <w:rsid w:val="000144B2"/>
    <w:rsid w:val="00014708"/>
    <w:rsid w:val="0001496F"/>
    <w:rsid w:val="00014A02"/>
    <w:rsid w:val="00014BE1"/>
    <w:rsid w:val="00014DB8"/>
    <w:rsid w:val="00015213"/>
    <w:rsid w:val="000155AC"/>
    <w:rsid w:val="00015603"/>
    <w:rsid w:val="000156B4"/>
    <w:rsid w:val="000156C1"/>
    <w:rsid w:val="0001571E"/>
    <w:rsid w:val="00015886"/>
    <w:rsid w:val="00015C4E"/>
    <w:rsid w:val="00015D4E"/>
    <w:rsid w:val="000161C0"/>
    <w:rsid w:val="00016256"/>
    <w:rsid w:val="000162EF"/>
    <w:rsid w:val="000163ED"/>
    <w:rsid w:val="00016791"/>
    <w:rsid w:val="00016908"/>
    <w:rsid w:val="00016B8D"/>
    <w:rsid w:val="00016EA4"/>
    <w:rsid w:val="00016EC2"/>
    <w:rsid w:val="000174D5"/>
    <w:rsid w:val="0001755B"/>
    <w:rsid w:val="00017635"/>
    <w:rsid w:val="000178B6"/>
    <w:rsid w:val="0001796C"/>
    <w:rsid w:val="00017B12"/>
    <w:rsid w:val="000204CA"/>
    <w:rsid w:val="0002071B"/>
    <w:rsid w:val="0002078B"/>
    <w:rsid w:val="000208B7"/>
    <w:rsid w:val="00020A68"/>
    <w:rsid w:val="00020BCC"/>
    <w:rsid w:val="00020DF8"/>
    <w:rsid w:val="0002107F"/>
    <w:rsid w:val="00021094"/>
    <w:rsid w:val="00021200"/>
    <w:rsid w:val="000212AE"/>
    <w:rsid w:val="000216E2"/>
    <w:rsid w:val="00021A66"/>
    <w:rsid w:val="00021BDF"/>
    <w:rsid w:val="0002225F"/>
    <w:rsid w:val="0002230B"/>
    <w:rsid w:val="0002238C"/>
    <w:rsid w:val="00022593"/>
    <w:rsid w:val="0002272F"/>
    <w:rsid w:val="0002277D"/>
    <w:rsid w:val="000227D5"/>
    <w:rsid w:val="00022BFB"/>
    <w:rsid w:val="00022C9D"/>
    <w:rsid w:val="00023159"/>
    <w:rsid w:val="00023256"/>
    <w:rsid w:val="0002349E"/>
    <w:rsid w:val="00023538"/>
    <w:rsid w:val="00023763"/>
    <w:rsid w:val="00023B44"/>
    <w:rsid w:val="00023C23"/>
    <w:rsid w:val="00024026"/>
    <w:rsid w:val="000241BF"/>
    <w:rsid w:val="000241C9"/>
    <w:rsid w:val="000241FD"/>
    <w:rsid w:val="000244C2"/>
    <w:rsid w:val="00024814"/>
    <w:rsid w:val="00024890"/>
    <w:rsid w:val="00024940"/>
    <w:rsid w:val="00024BC3"/>
    <w:rsid w:val="00025160"/>
    <w:rsid w:val="000251B0"/>
    <w:rsid w:val="0002524F"/>
    <w:rsid w:val="00025417"/>
    <w:rsid w:val="000254C9"/>
    <w:rsid w:val="000257AB"/>
    <w:rsid w:val="000257DB"/>
    <w:rsid w:val="00025A76"/>
    <w:rsid w:val="00025C93"/>
    <w:rsid w:val="00025F5D"/>
    <w:rsid w:val="00026D15"/>
    <w:rsid w:val="0002702B"/>
    <w:rsid w:val="00027194"/>
    <w:rsid w:val="000271ED"/>
    <w:rsid w:val="000272BF"/>
    <w:rsid w:val="000274C4"/>
    <w:rsid w:val="000274C9"/>
    <w:rsid w:val="0002756A"/>
    <w:rsid w:val="00027800"/>
    <w:rsid w:val="000278F8"/>
    <w:rsid w:val="0002793D"/>
    <w:rsid w:val="00027A09"/>
    <w:rsid w:val="000304B3"/>
    <w:rsid w:val="000304F3"/>
    <w:rsid w:val="000305F0"/>
    <w:rsid w:val="000306E1"/>
    <w:rsid w:val="0003070F"/>
    <w:rsid w:val="000308FF"/>
    <w:rsid w:val="00030ADA"/>
    <w:rsid w:val="00030C4A"/>
    <w:rsid w:val="00030F23"/>
    <w:rsid w:val="000316B9"/>
    <w:rsid w:val="000316E5"/>
    <w:rsid w:val="000316E6"/>
    <w:rsid w:val="00031C2E"/>
    <w:rsid w:val="00031F6D"/>
    <w:rsid w:val="00031F82"/>
    <w:rsid w:val="00031F93"/>
    <w:rsid w:val="000321F3"/>
    <w:rsid w:val="00032267"/>
    <w:rsid w:val="0003228A"/>
    <w:rsid w:val="00032382"/>
    <w:rsid w:val="000323CD"/>
    <w:rsid w:val="00032435"/>
    <w:rsid w:val="0003249A"/>
    <w:rsid w:val="000324D0"/>
    <w:rsid w:val="000327BE"/>
    <w:rsid w:val="00032A02"/>
    <w:rsid w:val="00032A70"/>
    <w:rsid w:val="00032E55"/>
    <w:rsid w:val="00033586"/>
    <w:rsid w:val="00033BFA"/>
    <w:rsid w:val="00033FDB"/>
    <w:rsid w:val="000340A7"/>
    <w:rsid w:val="00034447"/>
    <w:rsid w:val="000347CA"/>
    <w:rsid w:val="00034902"/>
    <w:rsid w:val="00034B65"/>
    <w:rsid w:val="00034F07"/>
    <w:rsid w:val="00035110"/>
    <w:rsid w:val="000351E1"/>
    <w:rsid w:val="00035317"/>
    <w:rsid w:val="0003571E"/>
    <w:rsid w:val="00036757"/>
    <w:rsid w:val="000368CB"/>
    <w:rsid w:val="00036B56"/>
    <w:rsid w:val="00037310"/>
    <w:rsid w:val="00037335"/>
    <w:rsid w:val="000376CA"/>
    <w:rsid w:val="00037EC2"/>
    <w:rsid w:val="00037EFA"/>
    <w:rsid w:val="000401BB"/>
    <w:rsid w:val="000407CB"/>
    <w:rsid w:val="00040895"/>
    <w:rsid w:val="0004089B"/>
    <w:rsid w:val="00040B13"/>
    <w:rsid w:val="00040EF7"/>
    <w:rsid w:val="00041076"/>
    <w:rsid w:val="000410B6"/>
    <w:rsid w:val="00041151"/>
    <w:rsid w:val="00041232"/>
    <w:rsid w:val="00041577"/>
    <w:rsid w:val="00041618"/>
    <w:rsid w:val="00041FB2"/>
    <w:rsid w:val="0004207A"/>
    <w:rsid w:val="000422C5"/>
    <w:rsid w:val="0004238B"/>
    <w:rsid w:val="00042467"/>
    <w:rsid w:val="000424E3"/>
    <w:rsid w:val="000427AD"/>
    <w:rsid w:val="00042CDB"/>
    <w:rsid w:val="000430D6"/>
    <w:rsid w:val="0004348A"/>
    <w:rsid w:val="000435BF"/>
    <w:rsid w:val="00043726"/>
    <w:rsid w:val="00043875"/>
    <w:rsid w:val="00043C37"/>
    <w:rsid w:val="00043DD4"/>
    <w:rsid w:val="000440F2"/>
    <w:rsid w:val="00044285"/>
    <w:rsid w:val="00044344"/>
    <w:rsid w:val="0004458D"/>
    <w:rsid w:val="0004470C"/>
    <w:rsid w:val="000447A1"/>
    <w:rsid w:val="000448A1"/>
    <w:rsid w:val="00044A8E"/>
    <w:rsid w:val="00044C4C"/>
    <w:rsid w:val="00044ED1"/>
    <w:rsid w:val="00044FC2"/>
    <w:rsid w:val="0004567C"/>
    <w:rsid w:val="00045A11"/>
    <w:rsid w:val="00045B19"/>
    <w:rsid w:val="00045D4D"/>
    <w:rsid w:val="00046355"/>
    <w:rsid w:val="00046945"/>
    <w:rsid w:val="0004694F"/>
    <w:rsid w:val="000469D8"/>
    <w:rsid w:val="00046FD1"/>
    <w:rsid w:val="00047038"/>
    <w:rsid w:val="00047197"/>
    <w:rsid w:val="00047204"/>
    <w:rsid w:val="0004731E"/>
    <w:rsid w:val="000475E4"/>
    <w:rsid w:val="000476E8"/>
    <w:rsid w:val="000477B9"/>
    <w:rsid w:val="0005010A"/>
    <w:rsid w:val="0005021F"/>
    <w:rsid w:val="000502D1"/>
    <w:rsid w:val="00050779"/>
    <w:rsid w:val="00050B04"/>
    <w:rsid w:val="00050D9E"/>
    <w:rsid w:val="00050DE3"/>
    <w:rsid w:val="000510C6"/>
    <w:rsid w:val="00051242"/>
    <w:rsid w:val="00051309"/>
    <w:rsid w:val="00051471"/>
    <w:rsid w:val="00051ABB"/>
    <w:rsid w:val="00051B34"/>
    <w:rsid w:val="00051B63"/>
    <w:rsid w:val="00051DB8"/>
    <w:rsid w:val="00051F85"/>
    <w:rsid w:val="000520E8"/>
    <w:rsid w:val="00052261"/>
    <w:rsid w:val="000522FE"/>
    <w:rsid w:val="0005255A"/>
    <w:rsid w:val="00052AC5"/>
    <w:rsid w:val="000534D8"/>
    <w:rsid w:val="0005352A"/>
    <w:rsid w:val="00053880"/>
    <w:rsid w:val="0005389F"/>
    <w:rsid w:val="00053A1B"/>
    <w:rsid w:val="000545AC"/>
    <w:rsid w:val="000546D7"/>
    <w:rsid w:val="000548F2"/>
    <w:rsid w:val="00054A66"/>
    <w:rsid w:val="00054C55"/>
    <w:rsid w:val="00054E9D"/>
    <w:rsid w:val="00055329"/>
    <w:rsid w:val="00055382"/>
    <w:rsid w:val="0005554C"/>
    <w:rsid w:val="00055B55"/>
    <w:rsid w:val="00055E0C"/>
    <w:rsid w:val="0005663C"/>
    <w:rsid w:val="000568FB"/>
    <w:rsid w:val="0005698D"/>
    <w:rsid w:val="00056C41"/>
    <w:rsid w:val="000570E2"/>
    <w:rsid w:val="000575B5"/>
    <w:rsid w:val="0005796D"/>
    <w:rsid w:val="00057D56"/>
    <w:rsid w:val="00057D6F"/>
    <w:rsid w:val="00057F7D"/>
    <w:rsid w:val="0006026E"/>
    <w:rsid w:val="00060285"/>
    <w:rsid w:val="000602ED"/>
    <w:rsid w:val="0006038B"/>
    <w:rsid w:val="000603AB"/>
    <w:rsid w:val="000604C2"/>
    <w:rsid w:val="00060B10"/>
    <w:rsid w:val="00060E43"/>
    <w:rsid w:val="0006109B"/>
    <w:rsid w:val="000610B5"/>
    <w:rsid w:val="000610E6"/>
    <w:rsid w:val="0006137B"/>
    <w:rsid w:val="00061538"/>
    <w:rsid w:val="000615F6"/>
    <w:rsid w:val="00061A04"/>
    <w:rsid w:val="00061C15"/>
    <w:rsid w:val="00061E80"/>
    <w:rsid w:val="000621F9"/>
    <w:rsid w:val="00062834"/>
    <w:rsid w:val="00062DA9"/>
    <w:rsid w:val="00062E69"/>
    <w:rsid w:val="00062F1C"/>
    <w:rsid w:val="00062FF5"/>
    <w:rsid w:val="000631B7"/>
    <w:rsid w:val="000634DC"/>
    <w:rsid w:val="000635A2"/>
    <w:rsid w:val="00063D2D"/>
    <w:rsid w:val="000642C5"/>
    <w:rsid w:val="0006445A"/>
    <w:rsid w:val="00064648"/>
    <w:rsid w:val="00064BF2"/>
    <w:rsid w:val="00064C08"/>
    <w:rsid w:val="00064D66"/>
    <w:rsid w:val="00065058"/>
    <w:rsid w:val="0006514F"/>
    <w:rsid w:val="0006540F"/>
    <w:rsid w:val="000654A9"/>
    <w:rsid w:val="00065C10"/>
    <w:rsid w:val="00065DF5"/>
    <w:rsid w:val="0006618A"/>
    <w:rsid w:val="00066305"/>
    <w:rsid w:val="000664A0"/>
    <w:rsid w:val="00066533"/>
    <w:rsid w:val="00066817"/>
    <w:rsid w:val="00066820"/>
    <w:rsid w:val="000671AA"/>
    <w:rsid w:val="00067292"/>
    <w:rsid w:val="00067A35"/>
    <w:rsid w:val="00067D02"/>
    <w:rsid w:val="00067E12"/>
    <w:rsid w:val="00070123"/>
    <w:rsid w:val="00070177"/>
    <w:rsid w:val="0007018C"/>
    <w:rsid w:val="000702D4"/>
    <w:rsid w:val="000703F4"/>
    <w:rsid w:val="000705C3"/>
    <w:rsid w:val="00070F45"/>
    <w:rsid w:val="000710F2"/>
    <w:rsid w:val="0007114A"/>
    <w:rsid w:val="00071248"/>
    <w:rsid w:val="000717AF"/>
    <w:rsid w:val="00071973"/>
    <w:rsid w:val="00071EBD"/>
    <w:rsid w:val="0007205E"/>
    <w:rsid w:val="000720B9"/>
    <w:rsid w:val="000725C1"/>
    <w:rsid w:val="000726F4"/>
    <w:rsid w:val="000728FC"/>
    <w:rsid w:val="00072C4E"/>
    <w:rsid w:val="00072E9B"/>
    <w:rsid w:val="00072F50"/>
    <w:rsid w:val="0007319A"/>
    <w:rsid w:val="000731B3"/>
    <w:rsid w:val="000736A5"/>
    <w:rsid w:val="0007398E"/>
    <w:rsid w:val="00073A4F"/>
    <w:rsid w:val="00073C5B"/>
    <w:rsid w:val="00073CC8"/>
    <w:rsid w:val="00074383"/>
    <w:rsid w:val="0007455D"/>
    <w:rsid w:val="000745DB"/>
    <w:rsid w:val="000753F5"/>
    <w:rsid w:val="00075751"/>
    <w:rsid w:val="00075778"/>
    <w:rsid w:val="000758BD"/>
    <w:rsid w:val="00075ADD"/>
    <w:rsid w:val="00075CC2"/>
    <w:rsid w:val="000760A2"/>
    <w:rsid w:val="0007635E"/>
    <w:rsid w:val="000763DD"/>
    <w:rsid w:val="00076681"/>
    <w:rsid w:val="00076790"/>
    <w:rsid w:val="00076A66"/>
    <w:rsid w:val="00076A9F"/>
    <w:rsid w:val="00076AFA"/>
    <w:rsid w:val="00076C60"/>
    <w:rsid w:val="00077631"/>
    <w:rsid w:val="00077757"/>
    <w:rsid w:val="00077CD4"/>
    <w:rsid w:val="00077EDD"/>
    <w:rsid w:val="00077F48"/>
    <w:rsid w:val="000800B3"/>
    <w:rsid w:val="000801CD"/>
    <w:rsid w:val="00080256"/>
    <w:rsid w:val="000805D0"/>
    <w:rsid w:val="0008066D"/>
    <w:rsid w:val="00080783"/>
    <w:rsid w:val="00080884"/>
    <w:rsid w:val="00080C19"/>
    <w:rsid w:val="00080FF7"/>
    <w:rsid w:val="00081216"/>
    <w:rsid w:val="000812CA"/>
    <w:rsid w:val="0008150A"/>
    <w:rsid w:val="00081787"/>
    <w:rsid w:val="0008182F"/>
    <w:rsid w:val="00081D0D"/>
    <w:rsid w:val="000823C3"/>
    <w:rsid w:val="0008273C"/>
    <w:rsid w:val="00082875"/>
    <w:rsid w:val="00082954"/>
    <w:rsid w:val="00082A06"/>
    <w:rsid w:val="00082A58"/>
    <w:rsid w:val="00082BE2"/>
    <w:rsid w:val="00082C81"/>
    <w:rsid w:val="00082E5D"/>
    <w:rsid w:val="0008309E"/>
    <w:rsid w:val="000830B7"/>
    <w:rsid w:val="000830D8"/>
    <w:rsid w:val="000833BB"/>
    <w:rsid w:val="000834B8"/>
    <w:rsid w:val="00083719"/>
    <w:rsid w:val="00083888"/>
    <w:rsid w:val="000838A3"/>
    <w:rsid w:val="000838E3"/>
    <w:rsid w:val="00083E92"/>
    <w:rsid w:val="00083EA9"/>
    <w:rsid w:val="000842AB"/>
    <w:rsid w:val="00084414"/>
    <w:rsid w:val="000844A6"/>
    <w:rsid w:val="000845B1"/>
    <w:rsid w:val="00084660"/>
    <w:rsid w:val="00084730"/>
    <w:rsid w:val="0008479E"/>
    <w:rsid w:val="00084E0A"/>
    <w:rsid w:val="000850DD"/>
    <w:rsid w:val="000853FA"/>
    <w:rsid w:val="000855E9"/>
    <w:rsid w:val="00085845"/>
    <w:rsid w:val="00085A97"/>
    <w:rsid w:val="00085CD0"/>
    <w:rsid w:val="00085E0B"/>
    <w:rsid w:val="00085E81"/>
    <w:rsid w:val="00085F07"/>
    <w:rsid w:val="000862B3"/>
    <w:rsid w:val="00086325"/>
    <w:rsid w:val="0008639B"/>
    <w:rsid w:val="000866AD"/>
    <w:rsid w:val="000866B5"/>
    <w:rsid w:val="000867FE"/>
    <w:rsid w:val="0008688D"/>
    <w:rsid w:val="00086B09"/>
    <w:rsid w:val="00087293"/>
    <w:rsid w:val="00087866"/>
    <w:rsid w:val="00087882"/>
    <w:rsid w:val="00087897"/>
    <w:rsid w:val="00087F5B"/>
    <w:rsid w:val="0009003C"/>
    <w:rsid w:val="00090313"/>
    <w:rsid w:val="00090607"/>
    <w:rsid w:val="00090C7E"/>
    <w:rsid w:val="00090E98"/>
    <w:rsid w:val="0009100D"/>
    <w:rsid w:val="000911DE"/>
    <w:rsid w:val="000911F0"/>
    <w:rsid w:val="000911F2"/>
    <w:rsid w:val="000913CB"/>
    <w:rsid w:val="000914CD"/>
    <w:rsid w:val="00091524"/>
    <w:rsid w:val="00091558"/>
    <w:rsid w:val="00091651"/>
    <w:rsid w:val="0009176F"/>
    <w:rsid w:val="00091946"/>
    <w:rsid w:val="00091AF2"/>
    <w:rsid w:val="00091BCA"/>
    <w:rsid w:val="00091C46"/>
    <w:rsid w:val="0009283B"/>
    <w:rsid w:val="0009320B"/>
    <w:rsid w:val="0009346F"/>
    <w:rsid w:val="0009367D"/>
    <w:rsid w:val="00093AB6"/>
    <w:rsid w:val="00093BD3"/>
    <w:rsid w:val="00093F09"/>
    <w:rsid w:val="00093FAF"/>
    <w:rsid w:val="00093FE3"/>
    <w:rsid w:val="000942D8"/>
    <w:rsid w:val="000945B6"/>
    <w:rsid w:val="00094661"/>
    <w:rsid w:val="00094A60"/>
    <w:rsid w:val="00094CB1"/>
    <w:rsid w:val="00094FAF"/>
    <w:rsid w:val="00095063"/>
    <w:rsid w:val="000950FC"/>
    <w:rsid w:val="000953FA"/>
    <w:rsid w:val="00095564"/>
    <w:rsid w:val="00095834"/>
    <w:rsid w:val="00095F66"/>
    <w:rsid w:val="00096053"/>
    <w:rsid w:val="000961F0"/>
    <w:rsid w:val="00096391"/>
    <w:rsid w:val="00096454"/>
    <w:rsid w:val="000964F9"/>
    <w:rsid w:val="000966BE"/>
    <w:rsid w:val="0009684C"/>
    <w:rsid w:val="000969A1"/>
    <w:rsid w:val="00096D2F"/>
    <w:rsid w:val="00096D5A"/>
    <w:rsid w:val="0009721C"/>
    <w:rsid w:val="0009751D"/>
    <w:rsid w:val="000978EF"/>
    <w:rsid w:val="00097AD6"/>
    <w:rsid w:val="00097D08"/>
    <w:rsid w:val="00097DA8"/>
    <w:rsid w:val="000A0483"/>
    <w:rsid w:val="000A04DC"/>
    <w:rsid w:val="000A05C6"/>
    <w:rsid w:val="000A084C"/>
    <w:rsid w:val="000A097A"/>
    <w:rsid w:val="000A0C26"/>
    <w:rsid w:val="000A15A0"/>
    <w:rsid w:val="000A1A36"/>
    <w:rsid w:val="000A1AD0"/>
    <w:rsid w:val="000A1CD3"/>
    <w:rsid w:val="000A1DC7"/>
    <w:rsid w:val="000A1E9B"/>
    <w:rsid w:val="000A211D"/>
    <w:rsid w:val="000A24D9"/>
    <w:rsid w:val="000A2849"/>
    <w:rsid w:val="000A2EB7"/>
    <w:rsid w:val="000A3018"/>
    <w:rsid w:val="000A328A"/>
    <w:rsid w:val="000A36B1"/>
    <w:rsid w:val="000A38C4"/>
    <w:rsid w:val="000A3B1B"/>
    <w:rsid w:val="000A4203"/>
    <w:rsid w:val="000A42E9"/>
    <w:rsid w:val="000A46F5"/>
    <w:rsid w:val="000A59F5"/>
    <w:rsid w:val="000A5CF9"/>
    <w:rsid w:val="000A5F21"/>
    <w:rsid w:val="000A5F7C"/>
    <w:rsid w:val="000A6529"/>
    <w:rsid w:val="000A6769"/>
    <w:rsid w:val="000A6989"/>
    <w:rsid w:val="000A6A27"/>
    <w:rsid w:val="000A6A40"/>
    <w:rsid w:val="000A6ADF"/>
    <w:rsid w:val="000A6B69"/>
    <w:rsid w:val="000A6C2B"/>
    <w:rsid w:val="000A7017"/>
    <w:rsid w:val="000A7120"/>
    <w:rsid w:val="000A719A"/>
    <w:rsid w:val="000A7488"/>
    <w:rsid w:val="000A74B1"/>
    <w:rsid w:val="000A74BA"/>
    <w:rsid w:val="000A764F"/>
    <w:rsid w:val="000A76DD"/>
    <w:rsid w:val="000A7853"/>
    <w:rsid w:val="000A7A15"/>
    <w:rsid w:val="000A7B28"/>
    <w:rsid w:val="000A7BB0"/>
    <w:rsid w:val="000A7E13"/>
    <w:rsid w:val="000A7EC6"/>
    <w:rsid w:val="000A7F04"/>
    <w:rsid w:val="000B029A"/>
    <w:rsid w:val="000B039D"/>
    <w:rsid w:val="000B0511"/>
    <w:rsid w:val="000B05DF"/>
    <w:rsid w:val="000B0A2F"/>
    <w:rsid w:val="000B100D"/>
    <w:rsid w:val="000B1476"/>
    <w:rsid w:val="000B156C"/>
    <w:rsid w:val="000B16B9"/>
    <w:rsid w:val="000B1AB5"/>
    <w:rsid w:val="000B1C1C"/>
    <w:rsid w:val="000B1F21"/>
    <w:rsid w:val="000B201C"/>
    <w:rsid w:val="000B28D6"/>
    <w:rsid w:val="000B2ED9"/>
    <w:rsid w:val="000B2F45"/>
    <w:rsid w:val="000B2F62"/>
    <w:rsid w:val="000B301E"/>
    <w:rsid w:val="000B305D"/>
    <w:rsid w:val="000B3067"/>
    <w:rsid w:val="000B3111"/>
    <w:rsid w:val="000B329F"/>
    <w:rsid w:val="000B32DB"/>
    <w:rsid w:val="000B364F"/>
    <w:rsid w:val="000B4178"/>
    <w:rsid w:val="000B41B9"/>
    <w:rsid w:val="000B4565"/>
    <w:rsid w:val="000B45C7"/>
    <w:rsid w:val="000B4679"/>
    <w:rsid w:val="000B46C2"/>
    <w:rsid w:val="000B471F"/>
    <w:rsid w:val="000B495F"/>
    <w:rsid w:val="000B4A77"/>
    <w:rsid w:val="000B4C47"/>
    <w:rsid w:val="000B4CCB"/>
    <w:rsid w:val="000B4E28"/>
    <w:rsid w:val="000B4FA3"/>
    <w:rsid w:val="000B535E"/>
    <w:rsid w:val="000B5379"/>
    <w:rsid w:val="000B5866"/>
    <w:rsid w:val="000B5BA1"/>
    <w:rsid w:val="000B5CF5"/>
    <w:rsid w:val="000B5D4A"/>
    <w:rsid w:val="000B605D"/>
    <w:rsid w:val="000B62B6"/>
    <w:rsid w:val="000B6362"/>
    <w:rsid w:val="000B657C"/>
    <w:rsid w:val="000B6664"/>
    <w:rsid w:val="000B688F"/>
    <w:rsid w:val="000B6A21"/>
    <w:rsid w:val="000B6DD9"/>
    <w:rsid w:val="000B6E5C"/>
    <w:rsid w:val="000B7190"/>
    <w:rsid w:val="000B754A"/>
    <w:rsid w:val="000B75CE"/>
    <w:rsid w:val="000B76F4"/>
    <w:rsid w:val="000B7EDF"/>
    <w:rsid w:val="000C047D"/>
    <w:rsid w:val="000C09C5"/>
    <w:rsid w:val="000C0AD4"/>
    <w:rsid w:val="000C1278"/>
    <w:rsid w:val="000C1AED"/>
    <w:rsid w:val="000C1E1D"/>
    <w:rsid w:val="000C1EF5"/>
    <w:rsid w:val="000C21AB"/>
    <w:rsid w:val="000C242E"/>
    <w:rsid w:val="000C2767"/>
    <w:rsid w:val="000C2F7D"/>
    <w:rsid w:val="000C30AD"/>
    <w:rsid w:val="000C34D0"/>
    <w:rsid w:val="000C37E6"/>
    <w:rsid w:val="000C3BE2"/>
    <w:rsid w:val="000C3ED0"/>
    <w:rsid w:val="000C3F8C"/>
    <w:rsid w:val="000C3FC1"/>
    <w:rsid w:val="000C4098"/>
    <w:rsid w:val="000C4166"/>
    <w:rsid w:val="000C43E9"/>
    <w:rsid w:val="000C46D5"/>
    <w:rsid w:val="000C4835"/>
    <w:rsid w:val="000C4ACC"/>
    <w:rsid w:val="000C5031"/>
    <w:rsid w:val="000C576D"/>
    <w:rsid w:val="000C645C"/>
    <w:rsid w:val="000C692D"/>
    <w:rsid w:val="000C6935"/>
    <w:rsid w:val="000C6E0B"/>
    <w:rsid w:val="000C6FE1"/>
    <w:rsid w:val="000C7092"/>
    <w:rsid w:val="000C709D"/>
    <w:rsid w:val="000C7298"/>
    <w:rsid w:val="000C752F"/>
    <w:rsid w:val="000C764B"/>
    <w:rsid w:val="000C77A9"/>
    <w:rsid w:val="000C7898"/>
    <w:rsid w:val="000C7B00"/>
    <w:rsid w:val="000D0028"/>
    <w:rsid w:val="000D036E"/>
    <w:rsid w:val="000D03B0"/>
    <w:rsid w:val="000D08C3"/>
    <w:rsid w:val="000D091C"/>
    <w:rsid w:val="000D0D04"/>
    <w:rsid w:val="000D11AB"/>
    <w:rsid w:val="000D11B2"/>
    <w:rsid w:val="000D13BE"/>
    <w:rsid w:val="000D1578"/>
    <w:rsid w:val="000D1671"/>
    <w:rsid w:val="000D17A5"/>
    <w:rsid w:val="000D1990"/>
    <w:rsid w:val="000D1BFC"/>
    <w:rsid w:val="000D1D5E"/>
    <w:rsid w:val="000D2228"/>
    <w:rsid w:val="000D227F"/>
    <w:rsid w:val="000D2331"/>
    <w:rsid w:val="000D23C3"/>
    <w:rsid w:val="000D240B"/>
    <w:rsid w:val="000D2623"/>
    <w:rsid w:val="000D29EF"/>
    <w:rsid w:val="000D2B1A"/>
    <w:rsid w:val="000D322B"/>
    <w:rsid w:val="000D3251"/>
    <w:rsid w:val="000D339D"/>
    <w:rsid w:val="000D3443"/>
    <w:rsid w:val="000D36ED"/>
    <w:rsid w:val="000D3BA4"/>
    <w:rsid w:val="000D4025"/>
    <w:rsid w:val="000D440F"/>
    <w:rsid w:val="000D4432"/>
    <w:rsid w:val="000D45E7"/>
    <w:rsid w:val="000D4753"/>
    <w:rsid w:val="000D4BD3"/>
    <w:rsid w:val="000D4C1B"/>
    <w:rsid w:val="000D51FB"/>
    <w:rsid w:val="000D5596"/>
    <w:rsid w:val="000D595A"/>
    <w:rsid w:val="000D5A3D"/>
    <w:rsid w:val="000D5A70"/>
    <w:rsid w:val="000D5C9A"/>
    <w:rsid w:val="000D64A0"/>
    <w:rsid w:val="000D68D8"/>
    <w:rsid w:val="000D6A1F"/>
    <w:rsid w:val="000D6B05"/>
    <w:rsid w:val="000D6B07"/>
    <w:rsid w:val="000D6B51"/>
    <w:rsid w:val="000D6D52"/>
    <w:rsid w:val="000D74C1"/>
    <w:rsid w:val="000D7943"/>
    <w:rsid w:val="000D7A76"/>
    <w:rsid w:val="000D7F93"/>
    <w:rsid w:val="000D7FAD"/>
    <w:rsid w:val="000E0697"/>
    <w:rsid w:val="000E0A9E"/>
    <w:rsid w:val="000E1181"/>
    <w:rsid w:val="000E147B"/>
    <w:rsid w:val="000E178A"/>
    <w:rsid w:val="000E17C3"/>
    <w:rsid w:val="000E18AA"/>
    <w:rsid w:val="000E1EED"/>
    <w:rsid w:val="000E2891"/>
    <w:rsid w:val="000E292D"/>
    <w:rsid w:val="000E29AB"/>
    <w:rsid w:val="000E2BE6"/>
    <w:rsid w:val="000E3337"/>
    <w:rsid w:val="000E3561"/>
    <w:rsid w:val="000E3593"/>
    <w:rsid w:val="000E35D5"/>
    <w:rsid w:val="000E3709"/>
    <w:rsid w:val="000E3761"/>
    <w:rsid w:val="000E389A"/>
    <w:rsid w:val="000E416E"/>
    <w:rsid w:val="000E4378"/>
    <w:rsid w:val="000E46C1"/>
    <w:rsid w:val="000E492C"/>
    <w:rsid w:val="000E4BAE"/>
    <w:rsid w:val="000E4CBF"/>
    <w:rsid w:val="000E52B5"/>
    <w:rsid w:val="000E55F7"/>
    <w:rsid w:val="000E56AC"/>
    <w:rsid w:val="000E57B9"/>
    <w:rsid w:val="000E5928"/>
    <w:rsid w:val="000E63FD"/>
    <w:rsid w:val="000E64BD"/>
    <w:rsid w:val="000E6BCE"/>
    <w:rsid w:val="000E7329"/>
    <w:rsid w:val="000E745C"/>
    <w:rsid w:val="000E77B4"/>
    <w:rsid w:val="000E7DA2"/>
    <w:rsid w:val="000F0287"/>
    <w:rsid w:val="000F03E8"/>
    <w:rsid w:val="000F0F46"/>
    <w:rsid w:val="000F0FD5"/>
    <w:rsid w:val="000F106C"/>
    <w:rsid w:val="000F13B0"/>
    <w:rsid w:val="000F1440"/>
    <w:rsid w:val="000F14F9"/>
    <w:rsid w:val="000F1E4C"/>
    <w:rsid w:val="000F1EA7"/>
    <w:rsid w:val="000F1FE2"/>
    <w:rsid w:val="000F2088"/>
    <w:rsid w:val="000F2613"/>
    <w:rsid w:val="000F2728"/>
    <w:rsid w:val="000F2B35"/>
    <w:rsid w:val="000F2BA4"/>
    <w:rsid w:val="000F349F"/>
    <w:rsid w:val="000F366A"/>
    <w:rsid w:val="000F38AE"/>
    <w:rsid w:val="000F3A7B"/>
    <w:rsid w:val="000F3AE1"/>
    <w:rsid w:val="000F3C45"/>
    <w:rsid w:val="000F4020"/>
    <w:rsid w:val="000F4136"/>
    <w:rsid w:val="000F41AE"/>
    <w:rsid w:val="000F4358"/>
    <w:rsid w:val="000F45B6"/>
    <w:rsid w:val="000F45EA"/>
    <w:rsid w:val="000F47D9"/>
    <w:rsid w:val="000F48C2"/>
    <w:rsid w:val="000F499A"/>
    <w:rsid w:val="000F4BB8"/>
    <w:rsid w:val="000F4C42"/>
    <w:rsid w:val="000F57F6"/>
    <w:rsid w:val="000F5E3D"/>
    <w:rsid w:val="000F661C"/>
    <w:rsid w:val="000F66EE"/>
    <w:rsid w:val="000F67C8"/>
    <w:rsid w:val="000F685E"/>
    <w:rsid w:val="000F6868"/>
    <w:rsid w:val="000F689A"/>
    <w:rsid w:val="000F6902"/>
    <w:rsid w:val="000F696B"/>
    <w:rsid w:val="000F6B3B"/>
    <w:rsid w:val="000F6FA8"/>
    <w:rsid w:val="000F7127"/>
    <w:rsid w:val="000F713A"/>
    <w:rsid w:val="000F713E"/>
    <w:rsid w:val="000F714D"/>
    <w:rsid w:val="000F7850"/>
    <w:rsid w:val="000F7B05"/>
    <w:rsid w:val="000F7E8B"/>
    <w:rsid w:val="000F7ED1"/>
    <w:rsid w:val="00100950"/>
    <w:rsid w:val="001009AF"/>
    <w:rsid w:val="001009F4"/>
    <w:rsid w:val="00100B54"/>
    <w:rsid w:val="00100E97"/>
    <w:rsid w:val="00100F8A"/>
    <w:rsid w:val="00101130"/>
    <w:rsid w:val="001013E9"/>
    <w:rsid w:val="00101B74"/>
    <w:rsid w:val="00101E84"/>
    <w:rsid w:val="0010219D"/>
    <w:rsid w:val="00102E1B"/>
    <w:rsid w:val="00103015"/>
    <w:rsid w:val="0010304F"/>
    <w:rsid w:val="0010354B"/>
    <w:rsid w:val="001038E6"/>
    <w:rsid w:val="00103BFD"/>
    <w:rsid w:val="0010408E"/>
    <w:rsid w:val="001043D0"/>
    <w:rsid w:val="001043D8"/>
    <w:rsid w:val="001043EA"/>
    <w:rsid w:val="00104467"/>
    <w:rsid w:val="00104505"/>
    <w:rsid w:val="00104584"/>
    <w:rsid w:val="001046BA"/>
    <w:rsid w:val="001048D3"/>
    <w:rsid w:val="00104BEF"/>
    <w:rsid w:val="001052D5"/>
    <w:rsid w:val="00105772"/>
    <w:rsid w:val="00105B49"/>
    <w:rsid w:val="00105D07"/>
    <w:rsid w:val="00105D82"/>
    <w:rsid w:val="00105E3C"/>
    <w:rsid w:val="00106021"/>
    <w:rsid w:val="001062F8"/>
    <w:rsid w:val="0010649A"/>
    <w:rsid w:val="0010661E"/>
    <w:rsid w:val="00106623"/>
    <w:rsid w:val="0010674A"/>
    <w:rsid w:val="0010680E"/>
    <w:rsid w:val="00106812"/>
    <w:rsid w:val="00106D33"/>
    <w:rsid w:val="00106E45"/>
    <w:rsid w:val="0010730E"/>
    <w:rsid w:val="0010735B"/>
    <w:rsid w:val="001073FF"/>
    <w:rsid w:val="00107523"/>
    <w:rsid w:val="00107692"/>
    <w:rsid w:val="001079A0"/>
    <w:rsid w:val="00107D66"/>
    <w:rsid w:val="00107D72"/>
    <w:rsid w:val="0011032E"/>
    <w:rsid w:val="0011106C"/>
    <w:rsid w:val="00111145"/>
    <w:rsid w:val="001115A1"/>
    <w:rsid w:val="001117E6"/>
    <w:rsid w:val="00111AAD"/>
    <w:rsid w:val="00111B07"/>
    <w:rsid w:val="00111BCF"/>
    <w:rsid w:val="00112871"/>
    <w:rsid w:val="001128CD"/>
    <w:rsid w:val="00112A0A"/>
    <w:rsid w:val="00112B11"/>
    <w:rsid w:val="0011304B"/>
    <w:rsid w:val="001131CE"/>
    <w:rsid w:val="0011335F"/>
    <w:rsid w:val="0011348B"/>
    <w:rsid w:val="00113703"/>
    <w:rsid w:val="00113814"/>
    <w:rsid w:val="0011405E"/>
    <w:rsid w:val="00114070"/>
    <w:rsid w:val="0011452E"/>
    <w:rsid w:val="0011482B"/>
    <w:rsid w:val="00114B53"/>
    <w:rsid w:val="001150B8"/>
    <w:rsid w:val="00115287"/>
    <w:rsid w:val="001155CE"/>
    <w:rsid w:val="001156F3"/>
    <w:rsid w:val="00115C61"/>
    <w:rsid w:val="00115DCB"/>
    <w:rsid w:val="00115DE5"/>
    <w:rsid w:val="00115E4F"/>
    <w:rsid w:val="00115E6C"/>
    <w:rsid w:val="00116731"/>
    <w:rsid w:val="00116E71"/>
    <w:rsid w:val="001172D6"/>
    <w:rsid w:val="00117406"/>
    <w:rsid w:val="00117687"/>
    <w:rsid w:val="001177B2"/>
    <w:rsid w:val="0011781C"/>
    <w:rsid w:val="00117A64"/>
    <w:rsid w:val="00117BC8"/>
    <w:rsid w:val="00117BFC"/>
    <w:rsid w:val="00117CDE"/>
    <w:rsid w:val="00117E21"/>
    <w:rsid w:val="00117E5D"/>
    <w:rsid w:val="00117EE1"/>
    <w:rsid w:val="001201F9"/>
    <w:rsid w:val="001205D4"/>
    <w:rsid w:val="0012081A"/>
    <w:rsid w:val="0012093F"/>
    <w:rsid w:val="00120972"/>
    <w:rsid w:val="00120A1A"/>
    <w:rsid w:val="00120AFB"/>
    <w:rsid w:val="00120FFD"/>
    <w:rsid w:val="00121429"/>
    <w:rsid w:val="0012155E"/>
    <w:rsid w:val="00121799"/>
    <w:rsid w:val="001217F1"/>
    <w:rsid w:val="00121AD6"/>
    <w:rsid w:val="00121CFC"/>
    <w:rsid w:val="00121EDB"/>
    <w:rsid w:val="00121EFA"/>
    <w:rsid w:val="00121F56"/>
    <w:rsid w:val="00122156"/>
    <w:rsid w:val="001221A8"/>
    <w:rsid w:val="001222FC"/>
    <w:rsid w:val="001224B8"/>
    <w:rsid w:val="00122501"/>
    <w:rsid w:val="00122710"/>
    <w:rsid w:val="00122A70"/>
    <w:rsid w:val="001231E1"/>
    <w:rsid w:val="00123431"/>
    <w:rsid w:val="00123589"/>
    <w:rsid w:val="00123662"/>
    <w:rsid w:val="001239CF"/>
    <w:rsid w:val="00123A01"/>
    <w:rsid w:val="00123DF1"/>
    <w:rsid w:val="00123F77"/>
    <w:rsid w:val="00124027"/>
    <w:rsid w:val="0012456E"/>
    <w:rsid w:val="00124677"/>
    <w:rsid w:val="001248F1"/>
    <w:rsid w:val="00124A51"/>
    <w:rsid w:val="00124ABF"/>
    <w:rsid w:val="00125113"/>
    <w:rsid w:val="00125222"/>
    <w:rsid w:val="00125276"/>
    <w:rsid w:val="001254DD"/>
    <w:rsid w:val="00125784"/>
    <w:rsid w:val="00125BA2"/>
    <w:rsid w:val="00125CFE"/>
    <w:rsid w:val="00126204"/>
    <w:rsid w:val="001264AA"/>
    <w:rsid w:val="00126612"/>
    <w:rsid w:val="00126621"/>
    <w:rsid w:val="0012675D"/>
    <w:rsid w:val="00126E3F"/>
    <w:rsid w:val="0012708B"/>
    <w:rsid w:val="0012724E"/>
    <w:rsid w:val="0012740F"/>
    <w:rsid w:val="00127676"/>
    <w:rsid w:val="001277DE"/>
    <w:rsid w:val="00127A5F"/>
    <w:rsid w:val="00127B4A"/>
    <w:rsid w:val="00127C73"/>
    <w:rsid w:val="00127CFF"/>
    <w:rsid w:val="001301E9"/>
    <w:rsid w:val="001303D5"/>
    <w:rsid w:val="00130BBC"/>
    <w:rsid w:val="00130CE3"/>
    <w:rsid w:val="00130D5B"/>
    <w:rsid w:val="00130D77"/>
    <w:rsid w:val="001312E9"/>
    <w:rsid w:val="001317E2"/>
    <w:rsid w:val="00131824"/>
    <w:rsid w:val="00131C9E"/>
    <w:rsid w:val="00132774"/>
    <w:rsid w:val="00132B98"/>
    <w:rsid w:val="00132E33"/>
    <w:rsid w:val="00133029"/>
    <w:rsid w:val="00133041"/>
    <w:rsid w:val="001333E3"/>
    <w:rsid w:val="00133606"/>
    <w:rsid w:val="00133AA8"/>
    <w:rsid w:val="00133CF2"/>
    <w:rsid w:val="001341D5"/>
    <w:rsid w:val="001343DA"/>
    <w:rsid w:val="00134559"/>
    <w:rsid w:val="001345CD"/>
    <w:rsid w:val="00134789"/>
    <w:rsid w:val="0013486D"/>
    <w:rsid w:val="00134A83"/>
    <w:rsid w:val="00134AD1"/>
    <w:rsid w:val="00134C53"/>
    <w:rsid w:val="00134D6E"/>
    <w:rsid w:val="0013502F"/>
    <w:rsid w:val="001351AD"/>
    <w:rsid w:val="00135294"/>
    <w:rsid w:val="001352FD"/>
    <w:rsid w:val="00135E7B"/>
    <w:rsid w:val="00135E99"/>
    <w:rsid w:val="001360F1"/>
    <w:rsid w:val="001364F0"/>
    <w:rsid w:val="0013672E"/>
    <w:rsid w:val="00136889"/>
    <w:rsid w:val="001369F6"/>
    <w:rsid w:val="00136D3C"/>
    <w:rsid w:val="00136FF9"/>
    <w:rsid w:val="001375EA"/>
    <w:rsid w:val="00137645"/>
    <w:rsid w:val="00137747"/>
    <w:rsid w:val="00137853"/>
    <w:rsid w:val="00137934"/>
    <w:rsid w:val="00137AC0"/>
    <w:rsid w:val="00137C82"/>
    <w:rsid w:val="0014015A"/>
    <w:rsid w:val="00140207"/>
    <w:rsid w:val="00140333"/>
    <w:rsid w:val="001404DE"/>
    <w:rsid w:val="001405AF"/>
    <w:rsid w:val="001406AA"/>
    <w:rsid w:val="001407D9"/>
    <w:rsid w:val="001408CC"/>
    <w:rsid w:val="00140E99"/>
    <w:rsid w:val="00141159"/>
    <w:rsid w:val="00141ECF"/>
    <w:rsid w:val="00141F06"/>
    <w:rsid w:val="001420A6"/>
    <w:rsid w:val="001420B7"/>
    <w:rsid w:val="0014278D"/>
    <w:rsid w:val="001428DF"/>
    <w:rsid w:val="00142CB8"/>
    <w:rsid w:val="00143376"/>
    <w:rsid w:val="001434AD"/>
    <w:rsid w:val="001438A7"/>
    <w:rsid w:val="00143C7C"/>
    <w:rsid w:val="00143D4C"/>
    <w:rsid w:val="0014426E"/>
    <w:rsid w:val="00144372"/>
    <w:rsid w:val="00144602"/>
    <w:rsid w:val="00144688"/>
    <w:rsid w:val="00144A15"/>
    <w:rsid w:val="001450CA"/>
    <w:rsid w:val="00145134"/>
    <w:rsid w:val="00145170"/>
    <w:rsid w:val="00145366"/>
    <w:rsid w:val="00145540"/>
    <w:rsid w:val="00145687"/>
    <w:rsid w:val="001456B0"/>
    <w:rsid w:val="0014570A"/>
    <w:rsid w:val="00145968"/>
    <w:rsid w:val="00145AD0"/>
    <w:rsid w:val="00145DE5"/>
    <w:rsid w:val="00145E0A"/>
    <w:rsid w:val="00145ECE"/>
    <w:rsid w:val="00146635"/>
    <w:rsid w:val="00146705"/>
    <w:rsid w:val="001468A1"/>
    <w:rsid w:val="00146D1D"/>
    <w:rsid w:val="00146D78"/>
    <w:rsid w:val="00146F49"/>
    <w:rsid w:val="001473A6"/>
    <w:rsid w:val="00147461"/>
    <w:rsid w:val="001475E5"/>
    <w:rsid w:val="00147743"/>
    <w:rsid w:val="0014776B"/>
    <w:rsid w:val="001478D7"/>
    <w:rsid w:val="00147D4E"/>
    <w:rsid w:val="00147D72"/>
    <w:rsid w:val="00147F04"/>
    <w:rsid w:val="00147F8F"/>
    <w:rsid w:val="00147FAC"/>
    <w:rsid w:val="00147FBF"/>
    <w:rsid w:val="001505A5"/>
    <w:rsid w:val="00150BF0"/>
    <w:rsid w:val="00150C8B"/>
    <w:rsid w:val="00150DB2"/>
    <w:rsid w:val="00150E4C"/>
    <w:rsid w:val="00150E5E"/>
    <w:rsid w:val="00151194"/>
    <w:rsid w:val="00151761"/>
    <w:rsid w:val="00151BDE"/>
    <w:rsid w:val="00152076"/>
    <w:rsid w:val="00152283"/>
    <w:rsid w:val="0015232E"/>
    <w:rsid w:val="001523C5"/>
    <w:rsid w:val="00152783"/>
    <w:rsid w:val="00152CB9"/>
    <w:rsid w:val="0015357E"/>
    <w:rsid w:val="0015362F"/>
    <w:rsid w:val="00153774"/>
    <w:rsid w:val="00153875"/>
    <w:rsid w:val="00153921"/>
    <w:rsid w:val="00153D17"/>
    <w:rsid w:val="001544E3"/>
    <w:rsid w:val="001545CB"/>
    <w:rsid w:val="00154946"/>
    <w:rsid w:val="00154EB0"/>
    <w:rsid w:val="00155216"/>
    <w:rsid w:val="00155287"/>
    <w:rsid w:val="00155298"/>
    <w:rsid w:val="001555ED"/>
    <w:rsid w:val="00155634"/>
    <w:rsid w:val="00155B2C"/>
    <w:rsid w:val="00155D5B"/>
    <w:rsid w:val="0015600E"/>
    <w:rsid w:val="001567B5"/>
    <w:rsid w:val="001567E7"/>
    <w:rsid w:val="00156964"/>
    <w:rsid w:val="00156C64"/>
    <w:rsid w:val="00156CFE"/>
    <w:rsid w:val="00157130"/>
    <w:rsid w:val="00157365"/>
    <w:rsid w:val="001573CB"/>
    <w:rsid w:val="0015744F"/>
    <w:rsid w:val="0015785F"/>
    <w:rsid w:val="00160063"/>
    <w:rsid w:val="001601D6"/>
    <w:rsid w:val="001602C6"/>
    <w:rsid w:val="001602FA"/>
    <w:rsid w:val="001605B3"/>
    <w:rsid w:val="001605CE"/>
    <w:rsid w:val="001606F3"/>
    <w:rsid w:val="001609F3"/>
    <w:rsid w:val="00160B40"/>
    <w:rsid w:val="00160F02"/>
    <w:rsid w:val="00161137"/>
    <w:rsid w:val="001613CD"/>
    <w:rsid w:val="00161899"/>
    <w:rsid w:val="00161AAC"/>
    <w:rsid w:val="00161ACB"/>
    <w:rsid w:val="00161CFD"/>
    <w:rsid w:val="00161F41"/>
    <w:rsid w:val="0016215C"/>
    <w:rsid w:val="00162893"/>
    <w:rsid w:val="00162913"/>
    <w:rsid w:val="0016293E"/>
    <w:rsid w:val="00162A74"/>
    <w:rsid w:val="00162B54"/>
    <w:rsid w:val="00162F08"/>
    <w:rsid w:val="00163028"/>
    <w:rsid w:val="001630FB"/>
    <w:rsid w:val="00163294"/>
    <w:rsid w:val="001637D0"/>
    <w:rsid w:val="00163B71"/>
    <w:rsid w:val="00163BD4"/>
    <w:rsid w:val="00163D1A"/>
    <w:rsid w:val="00163DFD"/>
    <w:rsid w:val="00163E94"/>
    <w:rsid w:val="00163EFF"/>
    <w:rsid w:val="0016407A"/>
    <w:rsid w:val="00164127"/>
    <w:rsid w:val="0016466F"/>
    <w:rsid w:val="0016470F"/>
    <w:rsid w:val="001648AA"/>
    <w:rsid w:val="00164D7B"/>
    <w:rsid w:val="0016516C"/>
    <w:rsid w:val="001654EB"/>
    <w:rsid w:val="00165512"/>
    <w:rsid w:val="00165625"/>
    <w:rsid w:val="0016571A"/>
    <w:rsid w:val="0016577E"/>
    <w:rsid w:val="00165783"/>
    <w:rsid w:val="00165A55"/>
    <w:rsid w:val="00165AE4"/>
    <w:rsid w:val="00165C58"/>
    <w:rsid w:val="00165E85"/>
    <w:rsid w:val="00165FA0"/>
    <w:rsid w:val="001660BE"/>
    <w:rsid w:val="00166182"/>
    <w:rsid w:val="001661C9"/>
    <w:rsid w:val="001661FB"/>
    <w:rsid w:val="00166214"/>
    <w:rsid w:val="001662F0"/>
    <w:rsid w:val="001663F6"/>
    <w:rsid w:val="0016667B"/>
    <w:rsid w:val="00166783"/>
    <w:rsid w:val="001669EE"/>
    <w:rsid w:val="00166BCD"/>
    <w:rsid w:val="00166F04"/>
    <w:rsid w:val="0016753E"/>
    <w:rsid w:val="00167645"/>
    <w:rsid w:val="00167658"/>
    <w:rsid w:val="0016774C"/>
    <w:rsid w:val="00167CC3"/>
    <w:rsid w:val="00167D3D"/>
    <w:rsid w:val="0017093F"/>
    <w:rsid w:val="00170BE0"/>
    <w:rsid w:val="00170C50"/>
    <w:rsid w:val="00170C9F"/>
    <w:rsid w:val="00170CC2"/>
    <w:rsid w:val="00170D25"/>
    <w:rsid w:val="00170F34"/>
    <w:rsid w:val="00170FAB"/>
    <w:rsid w:val="0017104E"/>
    <w:rsid w:val="001713F9"/>
    <w:rsid w:val="00171725"/>
    <w:rsid w:val="00171BEE"/>
    <w:rsid w:val="00171C12"/>
    <w:rsid w:val="00171CB7"/>
    <w:rsid w:val="00171E2B"/>
    <w:rsid w:val="0017209E"/>
    <w:rsid w:val="00172254"/>
    <w:rsid w:val="001722A1"/>
    <w:rsid w:val="001723E0"/>
    <w:rsid w:val="0017284D"/>
    <w:rsid w:val="00172A37"/>
    <w:rsid w:val="00172BA2"/>
    <w:rsid w:val="00172CD8"/>
    <w:rsid w:val="00172CE0"/>
    <w:rsid w:val="00172F4D"/>
    <w:rsid w:val="00172FAA"/>
    <w:rsid w:val="00173754"/>
    <w:rsid w:val="001738B4"/>
    <w:rsid w:val="0017398E"/>
    <w:rsid w:val="00173FC2"/>
    <w:rsid w:val="00174031"/>
    <w:rsid w:val="001741C7"/>
    <w:rsid w:val="0017482E"/>
    <w:rsid w:val="00174B0E"/>
    <w:rsid w:val="00174B37"/>
    <w:rsid w:val="0017500E"/>
    <w:rsid w:val="00175063"/>
    <w:rsid w:val="001752A7"/>
    <w:rsid w:val="001758A5"/>
    <w:rsid w:val="001758E0"/>
    <w:rsid w:val="00176226"/>
    <w:rsid w:val="00176387"/>
    <w:rsid w:val="001763C2"/>
    <w:rsid w:val="0017641D"/>
    <w:rsid w:val="00176465"/>
    <w:rsid w:val="00176943"/>
    <w:rsid w:val="00176BE3"/>
    <w:rsid w:val="00177364"/>
    <w:rsid w:val="0017739E"/>
    <w:rsid w:val="00177693"/>
    <w:rsid w:val="00177923"/>
    <w:rsid w:val="0017795F"/>
    <w:rsid w:val="001779BB"/>
    <w:rsid w:val="0018054F"/>
    <w:rsid w:val="0018056D"/>
    <w:rsid w:val="00180B95"/>
    <w:rsid w:val="00180EF4"/>
    <w:rsid w:val="00181007"/>
    <w:rsid w:val="00181635"/>
    <w:rsid w:val="001816E2"/>
    <w:rsid w:val="00181917"/>
    <w:rsid w:val="00181A84"/>
    <w:rsid w:val="00181AAC"/>
    <w:rsid w:val="0018204B"/>
    <w:rsid w:val="001822E0"/>
    <w:rsid w:val="00182566"/>
    <w:rsid w:val="00182616"/>
    <w:rsid w:val="0018268D"/>
    <w:rsid w:val="001829E3"/>
    <w:rsid w:val="00182CD0"/>
    <w:rsid w:val="00182D04"/>
    <w:rsid w:val="00182E92"/>
    <w:rsid w:val="00183250"/>
    <w:rsid w:val="001835DD"/>
    <w:rsid w:val="001836A2"/>
    <w:rsid w:val="001836C4"/>
    <w:rsid w:val="001843B4"/>
    <w:rsid w:val="00184482"/>
    <w:rsid w:val="00184BBE"/>
    <w:rsid w:val="00185061"/>
    <w:rsid w:val="00185282"/>
    <w:rsid w:val="0018533A"/>
    <w:rsid w:val="001853EB"/>
    <w:rsid w:val="0018542F"/>
    <w:rsid w:val="0018594C"/>
    <w:rsid w:val="00185A8D"/>
    <w:rsid w:val="00185C06"/>
    <w:rsid w:val="00185DD2"/>
    <w:rsid w:val="00185EA4"/>
    <w:rsid w:val="00185FBC"/>
    <w:rsid w:val="00186AD1"/>
    <w:rsid w:val="00187129"/>
    <w:rsid w:val="0018752F"/>
    <w:rsid w:val="0018764F"/>
    <w:rsid w:val="001876E9"/>
    <w:rsid w:val="001877B1"/>
    <w:rsid w:val="00187CEB"/>
    <w:rsid w:val="00187DA9"/>
    <w:rsid w:val="0019012F"/>
    <w:rsid w:val="00190338"/>
    <w:rsid w:val="001903CB"/>
    <w:rsid w:val="001906A7"/>
    <w:rsid w:val="00190A06"/>
    <w:rsid w:val="00190C0B"/>
    <w:rsid w:val="00190C25"/>
    <w:rsid w:val="00190D31"/>
    <w:rsid w:val="00191004"/>
    <w:rsid w:val="0019128E"/>
    <w:rsid w:val="001914D7"/>
    <w:rsid w:val="00191792"/>
    <w:rsid w:val="00191802"/>
    <w:rsid w:val="00191809"/>
    <w:rsid w:val="00191FBF"/>
    <w:rsid w:val="0019227C"/>
    <w:rsid w:val="001924CF"/>
    <w:rsid w:val="00192B84"/>
    <w:rsid w:val="00192CF3"/>
    <w:rsid w:val="00192D73"/>
    <w:rsid w:val="00193791"/>
    <w:rsid w:val="001938FF"/>
    <w:rsid w:val="00193973"/>
    <w:rsid w:val="00193988"/>
    <w:rsid w:val="001939FD"/>
    <w:rsid w:val="00193A46"/>
    <w:rsid w:val="00193A7E"/>
    <w:rsid w:val="00193AE7"/>
    <w:rsid w:val="00193BC5"/>
    <w:rsid w:val="00193BE2"/>
    <w:rsid w:val="00193CB7"/>
    <w:rsid w:val="00193F87"/>
    <w:rsid w:val="00193FBC"/>
    <w:rsid w:val="001940F0"/>
    <w:rsid w:val="001942CA"/>
    <w:rsid w:val="00194565"/>
    <w:rsid w:val="0019494A"/>
    <w:rsid w:val="00194AFC"/>
    <w:rsid w:val="00194C24"/>
    <w:rsid w:val="00195016"/>
    <w:rsid w:val="001950B6"/>
    <w:rsid w:val="00195122"/>
    <w:rsid w:val="00195222"/>
    <w:rsid w:val="0019560D"/>
    <w:rsid w:val="00196152"/>
    <w:rsid w:val="001963EF"/>
    <w:rsid w:val="00196406"/>
    <w:rsid w:val="001966D8"/>
    <w:rsid w:val="0019675F"/>
    <w:rsid w:val="00196D9B"/>
    <w:rsid w:val="00196ECE"/>
    <w:rsid w:val="0019717B"/>
    <w:rsid w:val="001973EE"/>
    <w:rsid w:val="0019747B"/>
    <w:rsid w:val="001975D8"/>
    <w:rsid w:val="00197A57"/>
    <w:rsid w:val="00197CEF"/>
    <w:rsid w:val="00197D2C"/>
    <w:rsid w:val="00197EF2"/>
    <w:rsid w:val="001A0223"/>
    <w:rsid w:val="001A04FD"/>
    <w:rsid w:val="001A0577"/>
    <w:rsid w:val="001A05EB"/>
    <w:rsid w:val="001A0710"/>
    <w:rsid w:val="001A0ADB"/>
    <w:rsid w:val="001A0C31"/>
    <w:rsid w:val="001A0D1A"/>
    <w:rsid w:val="001A1034"/>
    <w:rsid w:val="001A1146"/>
    <w:rsid w:val="001A13C2"/>
    <w:rsid w:val="001A19B2"/>
    <w:rsid w:val="001A1F34"/>
    <w:rsid w:val="001A2196"/>
    <w:rsid w:val="001A250A"/>
    <w:rsid w:val="001A2737"/>
    <w:rsid w:val="001A2CD6"/>
    <w:rsid w:val="001A304C"/>
    <w:rsid w:val="001A3446"/>
    <w:rsid w:val="001A3592"/>
    <w:rsid w:val="001A36E1"/>
    <w:rsid w:val="001A379E"/>
    <w:rsid w:val="001A3B19"/>
    <w:rsid w:val="001A3C1B"/>
    <w:rsid w:val="001A3E75"/>
    <w:rsid w:val="001A3EFD"/>
    <w:rsid w:val="001A42A8"/>
    <w:rsid w:val="001A47C3"/>
    <w:rsid w:val="001A4AEB"/>
    <w:rsid w:val="001A4CDE"/>
    <w:rsid w:val="001A4D23"/>
    <w:rsid w:val="001A4F1C"/>
    <w:rsid w:val="001A5291"/>
    <w:rsid w:val="001A542C"/>
    <w:rsid w:val="001A6220"/>
    <w:rsid w:val="001A6247"/>
    <w:rsid w:val="001A63CF"/>
    <w:rsid w:val="001A643B"/>
    <w:rsid w:val="001A655C"/>
    <w:rsid w:val="001A66C3"/>
    <w:rsid w:val="001A6788"/>
    <w:rsid w:val="001A68A1"/>
    <w:rsid w:val="001A6B90"/>
    <w:rsid w:val="001A6D52"/>
    <w:rsid w:val="001A6DDA"/>
    <w:rsid w:val="001A7295"/>
    <w:rsid w:val="001A7794"/>
    <w:rsid w:val="001A7828"/>
    <w:rsid w:val="001A7B23"/>
    <w:rsid w:val="001B00E5"/>
    <w:rsid w:val="001B019C"/>
    <w:rsid w:val="001B047B"/>
    <w:rsid w:val="001B04B2"/>
    <w:rsid w:val="001B090D"/>
    <w:rsid w:val="001B0F5D"/>
    <w:rsid w:val="001B119A"/>
    <w:rsid w:val="001B12B7"/>
    <w:rsid w:val="001B146D"/>
    <w:rsid w:val="001B151F"/>
    <w:rsid w:val="001B158D"/>
    <w:rsid w:val="001B1820"/>
    <w:rsid w:val="001B1A5F"/>
    <w:rsid w:val="001B2026"/>
    <w:rsid w:val="001B22F9"/>
    <w:rsid w:val="001B2840"/>
    <w:rsid w:val="001B2AAB"/>
    <w:rsid w:val="001B2B2D"/>
    <w:rsid w:val="001B2F83"/>
    <w:rsid w:val="001B3443"/>
    <w:rsid w:val="001B3535"/>
    <w:rsid w:val="001B3743"/>
    <w:rsid w:val="001B3BCE"/>
    <w:rsid w:val="001B3D92"/>
    <w:rsid w:val="001B400F"/>
    <w:rsid w:val="001B4144"/>
    <w:rsid w:val="001B41F7"/>
    <w:rsid w:val="001B459B"/>
    <w:rsid w:val="001B47D0"/>
    <w:rsid w:val="001B49B1"/>
    <w:rsid w:val="001B4B91"/>
    <w:rsid w:val="001B4D5D"/>
    <w:rsid w:val="001B5B78"/>
    <w:rsid w:val="001B5C0A"/>
    <w:rsid w:val="001B5C90"/>
    <w:rsid w:val="001B5DAD"/>
    <w:rsid w:val="001B6428"/>
    <w:rsid w:val="001B6495"/>
    <w:rsid w:val="001B677C"/>
    <w:rsid w:val="001B689E"/>
    <w:rsid w:val="001B6C8B"/>
    <w:rsid w:val="001B7123"/>
    <w:rsid w:val="001B7165"/>
    <w:rsid w:val="001B73E6"/>
    <w:rsid w:val="001B74D0"/>
    <w:rsid w:val="001B76AF"/>
    <w:rsid w:val="001B7AE7"/>
    <w:rsid w:val="001B7BA9"/>
    <w:rsid w:val="001B7D0B"/>
    <w:rsid w:val="001C0096"/>
    <w:rsid w:val="001C04A2"/>
    <w:rsid w:val="001C0663"/>
    <w:rsid w:val="001C06D8"/>
    <w:rsid w:val="001C0723"/>
    <w:rsid w:val="001C09B7"/>
    <w:rsid w:val="001C09D8"/>
    <w:rsid w:val="001C1524"/>
    <w:rsid w:val="001C1948"/>
    <w:rsid w:val="001C1BD7"/>
    <w:rsid w:val="001C1CF4"/>
    <w:rsid w:val="001C1D1A"/>
    <w:rsid w:val="001C2064"/>
    <w:rsid w:val="001C22FE"/>
    <w:rsid w:val="001C24A6"/>
    <w:rsid w:val="001C25CC"/>
    <w:rsid w:val="001C2C88"/>
    <w:rsid w:val="001C2C92"/>
    <w:rsid w:val="001C3052"/>
    <w:rsid w:val="001C3457"/>
    <w:rsid w:val="001C363C"/>
    <w:rsid w:val="001C38A5"/>
    <w:rsid w:val="001C3A46"/>
    <w:rsid w:val="001C3CC7"/>
    <w:rsid w:val="001C3DFA"/>
    <w:rsid w:val="001C3FE5"/>
    <w:rsid w:val="001C40BE"/>
    <w:rsid w:val="001C42CC"/>
    <w:rsid w:val="001C44DC"/>
    <w:rsid w:val="001C472B"/>
    <w:rsid w:val="001C48F2"/>
    <w:rsid w:val="001C502E"/>
    <w:rsid w:val="001C506D"/>
    <w:rsid w:val="001C509A"/>
    <w:rsid w:val="001C50C1"/>
    <w:rsid w:val="001C5179"/>
    <w:rsid w:val="001C526B"/>
    <w:rsid w:val="001C53CE"/>
    <w:rsid w:val="001C5BAF"/>
    <w:rsid w:val="001C5CF9"/>
    <w:rsid w:val="001C6225"/>
    <w:rsid w:val="001C660C"/>
    <w:rsid w:val="001C69AE"/>
    <w:rsid w:val="001C6C4E"/>
    <w:rsid w:val="001C6C90"/>
    <w:rsid w:val="001C6D34"/>
    <w:rsid w:val="001C6E66"/>
    <w:rsid w:val="001C71A6"/>
    <w:rsid w:val="001C7289"/>
    <w:rsid w:val="001C7626"/>
    <w:rsid w:val="001C777F"/>
    <w:rsid w:val="001C78F7"/>
    <w:rsid w:val="001C7D6F"/>
    <w:rsid w:val="001D0573"/>
    <w:rsid w:val="001D05BC"/>
    <w:rsid w:val="001D060E"/>
    <w:rsid w:val="001D0A22"/>
    <w:rsid w:val="001D0B52"/>
    <w:rsid w:val="001D0B99"/>
    <w:rsid w:val="001D0D51"/>
    <w:rsid w:val="001D0E3A"/>
    <w:rsid w:val="001D1172"/>
    <w:rsid w:val="001D1327"/>
    <w:rsid w:val="001D13D5"/>
    <w:rsid w:val="001D1484"/>
    <w:rsid w:val="001D15ED"/>
    <w:rsid w:val="001D19E1"/>
    <w:rsid w:val="001D1B20"/>
    <w:rsid w:val="001D1BAE"/>
    <w:rsid w:val="001D1C0D"/>
    <w:rsid w:val="001D1C5A"/>
    <w:rsid w:val="001D2201"/>
    <w:rsid w:val="001D2424"/>
    <w:rsid w:val="001D25BC"/>
    <w:rsid w:val="001D2A11"/>
    <w:rsid w:val="001D2BAF"/>
    <w:rsid w:val="001D3205"/>
    <w:rsid w:val="001D32B3"/>
    <w:rsid w:val="001D334B"/>
    <w:rsid w:val="001D354A"/>
    <w:rsid w:val="001D3851"/>
    <w:rsid w:val="001D3B3E"/>
    <w:rsid w:val="001D3C10"/>
    <w:rsid w:val="001D3EC3"/>
    <w:rsid w:val="001D3F58"/>
    <w:rsid w:val="001D4024"/>
    <w:rsid w:val="001D4112"/>
    <w:rsid w:val="001D42C3"/>
    <w:rsid w:val="001D44AB"/>
    <w:rsid w:val="001D4507"/>
    <w:rsid w:val="001D4643"/>
    <w:rsid w:val="001D48D5"/>
    <w:rsid w:val="001D49FB"/>
    <w:rsid w:val="001D4A27"/>
    <w:rsid w:val="001D4B41"/>
    <w:rsid w:val="001D4CF6"/>
    <w:rsid w:val="001D4CFF"/>
    <w:rsid w:val="001D522F"/>
    <w:rsid w:val="001D53C5"/>
    <w:rsid w:val="001D5A7F"/>
    <w:rsid w:val="001D5A88"/>
    <w:rsid w:val="001D5BFF"/>
    <w:rsid w:val="001D5EE5"/>
    <w:rsid w:val="001D613A"/>
    <w:rsid w:val="001D6707"/>
    <w:rsid w:val="001D670D"/>
    <w:rsid w:val="001D67E8"/>
    <w:rsid w:val="001D6C5F"/>
    <w:rsid w:val="001D6CF8"/>
    <w:rsid w:val="001D6D70"/>
    <w:rsid w:val="001D6F91"/>
    <w:rsid w:val="001D708B"/>
    <w:rsid w:val="001D76B6"/>
    <w:rsid w:val="001D773F"/>
    <w:rsid w:val="001D791E"/>
    <w:rsid w:val="001D7CC9"/>
    <w:rsid w:val="001E0151"/>
    <w:rsid w:val="001E021C"/>
    <w:rsid w:val="001E02C7"/>
    <w:rsid w:val="001E088A"/>
    <w:rsid w:val="001E096C"/>
    <w:rsid w:val="001E0B37"/>
    <w:rsid w:val="001E0DFB"/>
    <w:rsid w:val="001E0E7A"/>
    <w:rsid w:val="001E1058"/>
    <w:rsid w:val="001E1074"/>
    <w:rsid w:val="001E140C"/>
    <w:rsid w:val="001E193F"/>
    <w:rsid w:val="001E1B0B"/>
    <w:rsid w:val="001E1E5F"/>
    <w:rsid w:val="001E2198"/>
    <w:rsid w:val="001E238E"/>
    <w:rsid w:val="001E2488"/>
    <w:rsid w:val="001E255F"/>
    <w:rsid w:val="001E2776"/>
    <w:rsid w:val="001E27A9"/>
    <w:rsid w:val="001E27DF"/>
    <w:rsid w:val="001E2865"/>
    <w:rsid w:val="001E2878"/>
    <w:rsid w:val="001E2A8B"/>
    <w:rsid w:val="001E2B1E"/>
    <w:rsid w:val="001E2EB8"/>
    <w:rsid w:val="001E30EB"/>
    <w:rsid w:val="001E341D"/>
    <w:rsid w:val="001E369C"/>
    <w:rsid w:val="001E39D3"/>
    <w:rsid w:val="001E4748"/>
    <w:rsid w:val="001E4863"/>
    <w:rsid w:val="001E49A9"/>
    <w:rsid w:val="001E4B97"/>
    <w:rsid w:val="001E4D3A"/>
    <w:rsid w:val="001E4E2D"/>
    <w:rsid w:val="001E502A"/>
    <w:rsid w:val="001E51CB"/>
    <w:rsid w:val="001E5209"/>
    <w:rsid w:val="001E52EB"/>
    <w:rsid w:val="001E5577"/>
    <w:rsid w:val="001E56CF"/>
    <w:rsid w:val="001E56EC"/>
    <w:rsid w:val="001E5B59"/>
    <w:rsid w:val="001E5C64"/>
    <w:rsid w:val="001E607C"/>
    <w:rsid w:val="001E64F1"/>
    <w:rsid w:val="001E652F"/>
    <w:rsid w:val="001E657A"/>
    <w:rsid w:val="001E659E"/>
    <w:rsid w:val="001E66C1"/>
    <w:rsid w:val="001E697C"/>
    <w:rsid w:val="001E6C28"/>
    <w:rsid w:val="001E6D76"/>
    <w:rsid w:val="001E7016"/>
    <w:rsid w:val="001E740C"/>
    <w:rsid w:val="001E745D"/>
    <w:rsid w:val="001E759E"/>
    <w:rsid w:val="001E770E"/>
    <w:rsid w:val="001E78D4"/>
    <w:rsid w:val="001E7A97"/>
    <w:rsid w:val="001E7ACA"/>
    <w:rsid w:val="001E7C2E"/>
    <w:rsid w:val="001E7F7B"/>
    <w:rsid w:val="001F061F"/>
    <w:rsid w:val="001F0808"/>
    <w:rsid w:val="001F08A8"/>
    <w:rsid w:val="001F1235"/>
    <w:rsid w:val="001F12DB"/>
    <w:rsid w:val="001F1CB3"/>
    <w:rsid w:val="001F20A9"/>
    <w:rsid w:val="001F20FE"/>
    <w:rsid w:val="001F24EA"/>
    <w:rsid w:val="001F2600"/>
    <w:rsid w:val="001F261B"/>
    <w:rsid w:val="001F2B2F"/>
    <w:rsid w:val="001F2FC3"/>
    <w:rsid w:val="001F34B3"/>
    <w:rsid w:val="001F3AB0"/>
    <w:rsid w:val="001F3B6D"/>
    <w:rsid w:val="001F3D07"/>
    <w:rsid w:val="001F3DBA"/>
    <w:rsid w:val="001F44FC"/>
    <w:rsid w:val="001F461E"/>
    <w:rsid w:val="001F465C"/>
    <w:rsid w:val="001F46A4"/>
    <w:rsid w:val="001F51F5"/>
    <w:rsid w:val="001F5637"/>
    <w:rsid w:val="001F566F"/>
    <w:rsid w:val="001F5976"/>
    <w:rsid w:val="001F6325"/>
    <w:rsid w:val="001F63E0"/>
    <w:rsid w:val="001F734F"/>
    <w:rsid w:val="001F7361"/>
    <w:rsid w:val="001F7455"/>
    <w:rsid w:val="001F7515"/>
    <w:rsid w:val="001F7814"/>
    <w:rsid w:val="001F7C7E"/>
    <w:rsid w:val="002003A2"/>
    <w:rsid w:val="0020044C"/>
    <w:rsid w:val="0020089B"/>
    <w:rsid w:val="00200E22"/>
    <w:rsid w:val="00201053"/>
    <w:rsid w:val="002016FE"/>
    <w:rsid w:val="002018B4"/>
    <w:rsid w:val="00201BD1"/>
    <w:rsid w:val="00202183"/>
    <w:rsid w:val="002024E7"/>
    <w:rsid w:val="0020254F"/>
    <w:rsid w:val="00202EDE"/>
    <w:rsid w:val="00203094"/>
    <w:rsid w:val="002031C9"/>
    <w:rsid w:val="0020322A"/>
    <w:rsid w:val="0020354B"/>
    <w:rsid w:val="002035E3"/>
    <w:rsid w:val="0020385F"/>
    <w:rsid w:val="00203892"/>
    <w:rsid w:val="00203AB0"/>
    <w:rsid w:val="00203B7E"/>
    <w:rsid w:val="00203CA9"/>
    <w:rsid w:val="00203D11"/>
    <w:rsid w:val="00203DFE"/>
    <w:rsid w:val="002042A2"/>
    <w:rsid w:val="00204838"/>
    <w:rsid w:val="00204A4B"/>
    <w:rsid w:val="00204FC2"/>
    <w:rsid w:val="00205085"/>
    <w:rsid w:val="00205E9C"/>
    <w:rsid w:val="00205ECF"/>
    <w:rsid w:val="00205F84"/>
    <w:rsid w:val="002060FD"/>
    <w:rsid w:val="002063A8"/>
    <w:rsid w:val="00206582"/>
    <w:rsid w:val="0020671F"/>
    <w:rsid w:val="002067BD"/>
    <w:rsid w:val="0020686B"/>
    <w:rsid w:val="00206D1D"/>
    <w:rsid w:val="00206F5C"/>
    <w:rsid w:val="00207021"/>
    <w:rsid w:val="002072B4"/>
    <w:rsid w:val="0020754C"/>
    <w:rsid w:val="002076EC"/>
    <w:rsid w:val="00207D00"/>
    <w:rsid w:val="00207DF7"/>
    <w:rsid w:val="00207FB7"/>
    <w:rsid w:val="002101EC"/>
    <w:rsid w:val="00210539"/>
    <w:rsid w:val="002105AF"/>
    <w:rsid w:val="002105C1"/>
    <w:rsid w:val="0021081D"/>
    <w:rsid w:val="00210DE8"/>
    <w:rsid w:val="00211299"/>
    <w:rsid w:val="00211390"/>
    <w:rsid w:val="002114E3"/>
    <w:rsid w:val="00211648"/>
    <w:rsid w:val="00211822"/>
    <w:rsid w:val="00211ABA"/>
    <w:rsid w:val="00211B30"/>
    <w:rsid w:val="00211B35"/>
    <w:rsid w:val="00211E60"/>
    <w:rsid w:val="00211EC2"/>
    <w:rsid w:val="00211FB7"/>
    <w:rsid w:val="00212190"/>
    <w:rsid w:val="0021277C"/>
    <w:rsid w:val="00212830"/>
    <w:rsid w:val="00212846"/>
    <w:rsid w:val="00212BB9"/>
    <w:rsid w:val="00212DF4"/>
    <w:rsid w:val="00213137"/>
    <w:rsid w:val="00213207"/>
    <w:rsid w:val="002133DF"/>
    <w:rsid w:val="002134B4"/>
    <w:rsid w:val="00213593"/>
    <w:rsid w:val="00213737"/>
    <w:rsid w:val="00213BAD"/>
    <w:rsid w:val="00213CBB"/>
    <w:rsid w:val="00213F84"/>
    <w:rsid w:val="0021416D"/>
    <w:rsid w:val="0021435A"/>
    <w:rsid w:val="0021470B"/>
    <w:rsid w:val="002147C7"/>
    <w:rsid w:val="002149A9"/>
    <w:rsid w:val="00214AAB"/>
    <w:rsid w:val="00215293"/>
    <w:rsid w:val="002152BE"/>
    <w:rsid w:val="002157D9"/>
    <w:rsid w:val="002158E6"/>
    <w:rsid w:val="00215902"/>
    <w:rsid w:val="00215A5E"/>
    <w:rsid w:val="00215B85"/>
    <w:rsid w:val="00215C58"/>
    <w:rsid w:val="00215D36"/>
    <w:rsid w:val="00215FCC"/>
    <w:rsid w:val="0021608E"/>
    <w:rsid w:val="0021628B"/>
    <w:rsid w:val="00216497"/>
    <w:rsid w:val="00216657"/>
    <w:rsid w:val="002168DE"/>
    <w:rsid w:val="002169E4"/>
    <w:rsid w:val="00216AC6"/>
    <w:rsid w:val="0021710F"/>
    <w:rsid w:val="002171DC"/>
    <w:rsid w:val="0021738D"/>
    <w:rsid w:val="00217858"/>
    <w:rsid w:val="00217A56"/>
    <w:rsid w:val="00220538"/>
    <w:rsid w:val="00220930"/>
    <w:rsid w:val="00220C63"/>
    <w:rsid w:val="00220C6B"/>
    <w:rsid w:val="00220E27"/>
    <w:rsid w:val="00220F6D"/>
    <w:rsid w:val="00221106"/>
    <w:rsid w:val="00221E07"/>
    <w:rsid w:val="00221FC7"/>
    <w:rsid w:val="00221FF5"/>
    <w:rsid w:val="00222109"/>
    <w:rsid w:val="00222167"/>
    <w:rsid w:val="00222614"/>
    <w:rsid w:val="002227D8"/>
    <w:rsid w:val="002229FF"/>
    <w:rsid w:val="00222DA0"/>
    <w:rsid w:val="00222EF8"/>
    <w:rsid w:val="0022303E"/>
    <w:rsid w:val="002233A9"/>
    <w:rsid w:val="0022350A"/>
    <w:rsid w:val="00223B49"/>
    <w:rsid w:val="00223BE8"/>
    <w:rsid w:val="00223E26"/>
    <w:rsid w:val="002246F2"/>
    <w:rsid w:val="00224BD2"/>
    <w:rsid w:val="00224C2E"/>
    <w:rsid w:val="00224DD4"/>
    <w:rsid w:val="002252BF"/>
    <w:rsid w:val="002253C9"/>
    <w:rsid w:val="002253E3"/>
    <w:rsid w:val="002259B4"/>
    <w:rsid w:val="00225DB2"/>
    <w:rsid w:val="00225DF3"/>
    <w:rsid w:val="00225E8C"/>
    <w:rsid w:val="00226564"/>
    <w:rsid w:val="0022668B"/>
    <w:rsid w:val="00226B24"/>
    <w:rsid w:val="00226B80"/>
    <w:rsid w:val="00226C30"/>
    <w:rsid w:val="00226C91"/>
    <w:rsid w:val="00226D4A"/>
    <w:rsid w:val="00226FDD"/>
    <w:rsid w:val="00227273"/>
    <w:rsid w:val="002274AB"/>
    <w:rsid w:val="0022767C"/>
    <w:rsid w:val="0022777F"/>
    <w:rsid w:val="00227983"/>
    <w:rsid w:val="00227AA8"/>
    <w:rsid w:val="00227ABA"/>
    <w:rsid w:val="0023028D"/>
    <w:rsid w:val="00230439"/>
    <w:rsid w:val="002309CC"/>
    <w:rsid w:val="002309F1"/>
    <w:rsid w:val="00230B76"/>
    <w:rsid w:val="00230CCB"/>
    <w:rsid w:val="00230D2D"/>
    <w:rsid w:val="00230E39"/>
    <w:rsid w:val="002310D0"/>
    <w:rsid w:val="002312AC"/>
    <w:rsid w:val="00231528"/>
    <w:rsid w:val="002315EB"/>
    <w:rsid w:val="00231723"/>
    <w:rsid w:val="00231A37"/>
    <w:rsid w:val="00231CB9"/>
    <w:rsid w:val="00231CC8"/>
    <w:rsid w:val="00231E32"/>
    <w:rsid w:val="00231F04"/>
    <w:rsid w:val="00231F99"/>
    <w:rsid w:val="002321B1"/>
    <w:rsid w:val="00232447"/>
    <w:rsid w:val="002324BA"/>
    <w:rsid w:val="002325F4"/>
    <w:rsid w:val="002326F6"/>
    <w:rsid w:val="00232830"/>
    <w:rsid w:val="00232D1B"/>
    <w:rsid w:val="00232F91"/>
    <w:rsid w:val="002331C7"/>
    <w:rsid w:val="0023321E"/>
    <w:rsid w:val="002332E0"/>
    <w:rsid w:val="00233874"/>
    <w:rsid w:val="00233A75"/>
    <w:rsid w:val="00233B8B"/>
    <w:rsid w:val="002340F2"/>
    <w:rsid w:val="00234226"/>
    <w:rsid w:val="0023424C"/>
    <w:rsid w:val="002343F6"/>
    <w:rsid w:val="0023484D"/>
    <w:rsid w:val="002348F9"/>
    <w:rsid w:val="0023497A"/>
    <w:rsid w:val="00234A1E"/>
    <w:rsid w:val="00234A22"/>
    <w:rsid w:val="00234B8A"/>
    <w:rsid w:val="002351E6"/>
    <w:rsid w:val="002356B8"/>
    <w:rsid w:val="00235DFA"/>
    <w:rsid w:val="00235FA7"/>
    <w:rsid w:val="00236166"/>
    <w:rsid w:val="00236187"/>
    <w:rsid w:val="00236209"/>
    <w:rsid w:val="0023650A"/>
    <w:rsid w:val="00236654"/>
    <w:rsid w:val="002369F6"/>
    <w:rsid w:val="00236AE8"/>
    <w:rsid w:val="00237489"/>
    <w:rsid w:val="002375C3"/>
    <w:rsid w:val="002376BF"/>
    <w:rsid w:val="002377E0"/>
    <w:rsid w:val="00237AC5"/>
    <w:rsid w:val="00237D64"/>
    <w:rsid w:val="00237EED"/>
    <w:rsid w:val="00240370"/>
    <w:rsid w:val="00240947"/>
    <w:rsid w:val="00240C73"/>
    <w:rsid w:val="00240EB5"/>
    <w:rsid w:val="002410CC"/>
    <w:rsid w:val="002411EB"/>
    <w:rsid w:val="00241297"/>
    <w:rsid w:val="00241974"/>
    <w:rsid w:val="00241989"/>
    <w:rsid w:val="00241BF8"/>
    <w:rsid w:val="00241F61"/>
    <w:rsid w:val="00242094"/>
    <w:rsid w:val="002422C2"/>
    <w:rsid w:val="0024236C"/>
    <w:rsid w:val="002423A2"/>
    <w:rsid w:val="00242732"/>
    <w:rsid w:val="00242EF2"/>
    <w:rsid w:val="00242F28"/>
    <w:rsid w:val="002432FA"/>
    <w:rsid w:val="0024377E"/>
    <w:rsid w:val="00243993"/>
    <w:rsid w:val="00243E68"/>
    <w:rsid w:val="00243E8E"/>
    <w:rsid w:val="00243EE0"/>
    <w:rsid w:val="00244056"/>
    <w:rsid w:val="002441CF"/>
    <w:rsid w:val="00244338"/>
    <w:rsid w:val="002445C8"/>
    <w:rsid w:val="00244788"/>
    <w:rsid w:val="0024488B"/>
    <w:rsid w:val="00244996"/>
    <w:rsid w:val="00244AE0"/>
    <w:rsid w:val="002450B6"/>
    <w:rsid w:val="00245886"/>
    <w:rsid w:val="00245B3A"/>
    <w:rsid w:val="00245BE9"/>
    <w:rsid w:val="00245EF4"/>
    <w:rsid w:val="00246565"/>
    <w:rsid w:val="002467D9"/>
    <w:rsid w:val="002467DD"/>
    <w:rsid w:val="002469DE"/>
    <w:rsid w:val="00246CC5"/>
    <w:rsid w:val="00246EFB"/>
    <w:rsid w:val="002470D2"/>
    <w:rsid w:val="00247417"/>
    <w:rsid w:val="00247F34"/>
    <w:rsid w:val="002501F5"/>
    <w:rsid w:val="00250607"/>
    <w:rsid w:val="0025065E"/>
    <w:rsid w:val="0025076A"/>
    <w:rsid w:val="00250CCB"/>
    <w:rsid w:val="00250D89"/>
    <w:rsid w:val="00251158"/>
    <w:rsid w:val="002511E0"/>
    <w:rsid w:val="002514F9"/>
    <w:rsid w:val="002516D2"/>
    <w:rsid w:val="0025182A"/>
    <w:rsid w:val="002518EF"/>
    <w:rsid w:val="00251AAA"/>
    <w:rsid w:val="00251C8A"/>
    <w:rsid w:val="002521F7"/>
    <w:rsid w:val="0025225A"/>
    <w:rsid w:val="0025247B"/>
    <w:rsid w:val="002529D6"/>
    <w:rsid w:val="00252CEF"/>
    <w:rsid w:val="00252D18"/>
    <w:rsid w:val="00252DE1"/>
    <w:rsid w:val="00252F6E"/>
    <w:rsid w:val="0025326B"/>
    <w:rsid w:val="00253457"/>
    <w:rsid w:val="00253814"/>
    <w:rsid w:val="00254078"/>
    <w:rsid w:val="002546EF"/>
    <w:rsid w:val="0025473D"/>
    <w:rsid w:val="00254759"/>
    <w:rsid w:val="002548E8"/>
    <w:rsid w:val="00254DCF"/>
    <w:rsid w:val="00254DD6"/>
    <w:rsid w:val="00254E60"/>
    <w:rsid w:val="00254EBB"/>
    <w:rsid w:val="00254FE4"/>
    <w:rsid w:val="002550AE"/>
    <w:rsid w:val="002552BC"/>
    <w:rsid w:val="0025534B"/>
    <w:rsid w:val="00255816"/>
    <w:rsid w:val="00255988"/>
    <w:rsid w:val="00255BB7"/>
    <w:rsid w:val="00255D0F"/>
    <w:rsid w:val="00255F94"/>
    <w:rsid w:val="00256056"/>
    <w:rsid w:val="00256196"/>
    <w:rsid w:val="00256B9F"/>
    <w:rsid w:val="00256EE0"/>
    <w:rsid w:val="00256FCA"/>
    <w:rsid w:val="002571FA"/>
    <w:rsid w:val="0025733D"/>
    <w:rsid w:val="002575B1"/>
    <w:rsid w:val="0025770A"/>
    <w:rsid w:val="00257AA2"/>
    <w:rsid w:val="00257DBA"/>
    <w:rsid w:val="00257F8B"/>
    <w:rsid w:val="00260173"/>
    <w:rsid w:val="00260737"/>
    <w:rsid w:val="00260ACE"/>
    <w:rsid w:val="00260E2A"/>
    <w:rsid w:val="00260FF4"/>
    <w:rsid w:val="002613D3"/>
    <w:rsid w:val="00261419"/>
    <w:rsid w:val="00261512"/>
    <w:rsid w:val="00261790"/>
    <w:rsid w:val="002618FD"/>
    <w:rsid w:val="00261E89"/>
    <w:rsid w:val="00261F9F"/>
    <w:rsid w:val="002627D8"/>
    <w:rsid w:val="002628CB"/>
    <w:rsid w:val="00262A87"/>
    <w:rsid w:val="00262CED"/>
    <w:rsid w:val="00262D6C"/>
    <w:rsid w:val="002637BD"/>
    <w:rsid w:val="00263A23"/>
    <w:rsid w:val="00263EEA"/>
    <w:rsid w:val="0026412F"/>
    <w:rsid w:val="00264273"/>
    <w:rsid w:val="002642CB"/>
    <w:rsid w:val="0026441E"/>
    <w:rsid w:val="0026444E"/>
    <w:rsid w:val="002644F8"/>
    <w:rsid w:val="0026463D"/>
    <w:rsid w:val="00264A84"/>
    <w:rsid w:val="00264D34"/>
    <w:rsid w:val="00264E27"/>
    <w:rsid w:val="00264EC4"/>
    <w:rsid w:val="00265576"/>
    <w:rsid w:val="00265ED8"/>
    <w:rsid w:val="00265F07"/>
    <w:rsid w:val="002666E2"/>
    <w:rsid w:val="0026680D"/>
    <w:rsid w:val="00266962"/>
    <w:rsid w:val="00266A99"/>
    <w:rsid w:val="00266CC7"/>
    <w:rsid w:val="0026718C"/>
    <w:rsid w:val="002671DA"/>
    <w:rsid w:val="00267233"/>
    <w:rsid w:val="002673CF"/>
    <w:rsid w:val="0026756E"/>
    <w:rsid w:val="002675F8"/>
    <w:rsid w:val="00267662"/>
    <w:rsid w:val="00267783"/>
    <w:rsid w:val="00267D73"/>
    <w:rsid w:val="00270246"/>
    <w:rsid w:val="002702C9"/>
    <w:rsid w:val="0027032D"/>
    <w:rsid w:val="0027039A"/>
    <w:rsid w:val="00270A32"/>
    <w:rsid w:val="00270BF0"/>
    <w:rsid w:val="00270C45"/>
    <w:rsid w:val="00270FB0"/>
    <w:rsid w:val="0027161D"/>
    <w:rsid w:val="00271745"/>
    <w:rsid w:val="00271AA3"/>
    <w:rsid w:val="00271FFC"/>
    <w:rsid w:val="002723C8"/>
    <w:rsid w:val="0027273E"/>
    <w:rsid w:val="00272858"/>
    <w:rsid w:val="00272C13"/>
    <w:rsid w:val="00272ED3"/>
    <w:rsid w:val="00272EEA"/>
    <w:rsid w:val="002731A5"/>
    <w:rsid w:val="00273217"/>
    <w:rsid w:val="00273343"/>
    <w:rsid w:val="00273403"/>
    <w:rsid w:val="002739BC"/>
    <w:rsid w:val="00273DD4"/>
    <w:rsid w:val="002741CF"/>
    <w:rsid w:val="002744DA"/>
    <w:rsid w:val="00274529"/>
    <w:rsid w:val="002746C1"/>
    <w:rsid w:val="00274915"/>
    <w:rsid w:val="00274B0A"/>
    <w:rsid w:val="002750C1"/>
    <w:rsid w:val="0027561A"/>
    <w:rsid w:val="00275659"/>
    <w:rsid w:val="0027579B"/>
    <w:rsid w:val="00275873"/>
    <w:rsid w:val="00275880"/>
    <w:rsid w:val="00275954"/>
    <w:rsid w:val="00275988"/>
    <w:rsid w:val="00275C5A"/>
    <w:rsid w:val="00275E5F"/>
    <w:rsid w:val="00276093"/>
    <w:rsid w:val="002766A7"/>
    <w:rsid w:val="00276D05"/>
    <w:rsid w:val="00276E20"/>
    <w:rsid w:val="0027709A"/>
    <w:rsid w:val="00277821"/>
    <w:rsid w:val="00277829"/>
    <w:rsid w:val="00277A1D"/>
    <w:rsid w:val="00277F1C"/>
    <w:rsid w:val="002803EF"/>
    <w:rsid w:val="00280447"/>
    <w:rsid w:val="002804B0"/>
    <w:rsid w:val="002806A4"/>
    <w:rsid w:val="002806C8"/>
    <w:rsid w:val="00280A0E"/>
    <w:rsid w:val="00280A4F"/>
    <w:rsid w:val="00280B66"/>
    <w:rsid w:val="00280B9D"/>
    <w:rsid w:val="00280BA6"/>
    <w:rsid w:val="00280E15"/>
    <w:rsid w:val="00281014"/>
    <w:rsid w:val="00281061"/>
    <w:rsid w:val="00281091"/>
    <w:rsid w:val="002810AC"/>
    <w:rsid w:val="00281208"/>
    <w:rsid w:val="00281467"/>
    <w:rsid w:val="0028176C"/>
    <w:rsid w:val="00281A10"/>
    <w:rsid w:val="00281BCB"/>
    <w:rsid w:val="00281E3C"/>
    <w:rsid w:val="00281E6E"/>
    <w:rsid w:val="00281F09"/>
    <w:rsid w:val="00281F72"/>
    <w:rsid w:val="00282044"/>
    <w:rsid w:val="002825F1"/>
    <w:rsid w:val="00282706"/>
    <w:rsid w:val="00282AAF"/>
    <w:rsid w:val="00282B9E"/>
    <w:rsid w:val="00282DD8"/>
    <w:rsid w:val="00282DF9"/>
    <w:rsid w:val="00282F20"/>
    <w:rsid w:val="0028302C"/>
    <w:rsid w:val="002830B2"/>
    <w:rsid w:val="002830FA"/>
    <w:rsid w:val="0028312F"/>
    <w:rsid w:val="002833D0"/>
    <w:rsid w:val="0028367D"/>
    <w:rsid w:val="002836BC"/>
    <w:rsid w:val="002836F8"/>
    <w:rsid w:val="002837AF"/>
    <w:rsid w:val="00283885"/>
    <w:rsid w:val="00283A89"/>
    <w:rsid w:val="00283C2C"/>
    <w:rsid w:val="002840FD"/>
    <w:rsid w:val="002843ED"/>
    <w:rsid w:val="002844F1"/>
    <w:rsid w:val="0028460B"/>
    <w:rsid w:val="0028483D"/>
    <w:rsid w:val="00285075"/>
    <w:rsid w:val="002850F7"/>
    <w:rsid w:val="00285244"/>
    <w:rsid w:val="002856FD"/>
    <w:rsid w:val="002857D5"/>
    <w:rsid w:val="00285CFB"/>
    <w:rsid w:val="00285E03"/>
    <w:rsid w:val="0028616C"/>
    <w:rsid w:val="002864B9"/>
    <w:rsid w:val="00286562"/>
    <w:rsid w:val="002865A0"/>
    <w:rsid w:val="00286741"/>
    <w:rsid w:val="0028679B"/>
    <w:rsid w:val="00286A31"/>
    <w:rsid w:val="00286B39"/>
    <w:rsid w:val="00286FD2"/>
    <w:rsid w:val="002870D4"/>
    <w:rsid w:val="0028732D"/>
    <w:rsid w:val="00287761"/>
    <w:rsid w:val="00287A7B"/>
    <w:rsid w:val="00287BF7"/>
    <w:rsid w:val="0029027E"/>
    <w:rsid w:val="002905E0"/>
    <w:rsid w:val="00290AAD"/>
    <w:rsid w:val="00290BAE"/>
    <w:rsid w:val="00291231"/>
    <w:rsid w:val="002915FA"/>
    <w:rsid w:val="0029164C"/>
    <w:rsid w:val="0029175A"/>
    <w:rsid w:val="00291B57"/>
    <w:rsid w:val="00291CF2"/>
    <w:rsid w:val="00291E30"/>
    <w:rsid w:val="00291E67"/>
    <w:rsid w:val="00291F09"/>
    <w:rsid w:val="00291F56"/>
    <w:rsid w:val="00292170"/>
    <w:rsid w:val="00292184"/>
    <w:rsid w:val="002924F2"/>
    <w:rsid w:val="00292C9F"/>
    <w:rsid w:val="00293111"/>
    <w:rsid w:val="002931DE"/>
    <w:rsid w:val="00293250"/>
    <w:rsid w:val="00293294"/>
    <w:rsid w:val="0029364D"/>
    <w:rsid w:val="00293833"/>
    <w:rsid w:val="00293A80"/>
    <w:rsid w:val="00293B46"/>
    <w:rsid w:val="00293CC4"/>
    <w:rsid w:val="00293D18"/>
    <w:rsid w:val="00294011"/>
    <w:rsid w:val="0029403B"/>
    <w:rsid w:val="002943CE"/>
    <w:rsid w:val="0029460B"/>
    <w:rsid w:val="002946B5"/>
    <w:rsid w:val="00294AB4"/>
    <w:rsid w:val="00294C85"/>
    <w:rsid w:val="00294FEE"/>
    <w:rsid w:val="0029501D"/>
    <w:rsid w:val="0029535F"/>
    <w:rsid w:val="002957C5"/>
    <w:rsid w:val="00295B36"/>
    <w:rsid w:val="00295CA8"/>
    <w:rsid w:val="002960D1"/>
    <w:rsid w:val="0029624F"/>
    <w:rsid w:val="0029626C"/>
    <w:rsid w:val="002963B3"/>
    <w:rsid w:val="00296800"/>
    <w:rsid w:val="00296913"/>
    <w:rsid w:val="00297171"/>
    <w:rsid w:val="002971C0"/>
    <w:rsid w:val="00297231"/>
    <w:rsid w:val="002974E2"/>
    <w:rsid w:val="002976BD"/>
    <w:rsid w:val="00297789"/>
    <w:rsid w:val="002979FF"/>
    <w:rsid w:val="002A0279"/>
    <w:rsid w:val="002A05D1"/>
    <w:rsid w:val="002A079A"/>
    <w:rsid w:val="002A07AB"/>
    <w:rsid w:val="002A07D5"/>
    <w:rsid w:val="002A0AA7"/>
    <w:rsid w:val="002A122B"/>
    <w:rsid w:val="002A1414"/>
    <w:rsid w:val="002A14AB"/>
    <w:rsid w:val="002A1646"/>
    <w:rsid w:val="002A16AA"/>
    <w:rsid w:val="002A191D"/>
    <w:rsid w:val="002A1A75"/>
    <w:rsid w:val="002A1DC0"/>
    <w:rsid w:val="002A1E42"/>
    <w:rsid w:val="002A1E85"/>
    <w:rsid w:val="002A200F"/>
    <w:rsid w:val="002A21F2"/>
    <w:rsid w:val="002A2215"/>
    <w:rsid w:val="002A2349"/>
    <w:rsid w:val="002A2863"/>
    <w:rsid w:val="002A2CD4"/>
    <w:rsid w:val="002A2D5E"/>
    <w:rsid w:val="002A3524"/>
    <w:rsid w:val="002A3D62"/>
    <w:rsid w:val="002A4276"/>
    <w:rsid w:val="002A4408"/>
    <w:rsid w:val="002A4982"/>
    <w:rsid w:val="002A4990"/>
    <w:rsid w:val="002A4F4F"/>
    <w:rsid w:val="002A5109"/>
    <w:rsid w:val="002A52A9"/>
    <w:rsid w:val="002A52D8"/>
    <w:rsid w:val="002A53D5"/>
    <w:rsid w:val="002A55B0"/>
    <w:rsid w:val="002A58B7"/>
    <w:rsid w:val="002A5A50"/>
    <w:rsid w:val="002A6104"/>
    <w:rsid w:val="002A656E"/>
    <w:rsid w:val="002A682C"/>
    <w:rsid w:val="002A6913"/>
    <w:rsid w:val="002A6BCE"/>
    <w:rsid w:val="002A7065"/>
    <w:rsid w:val="002A7623"/>
    <w:rsid w:val="002A7720"/>
    <w:rsid w:val="002A77E7"/>
    <w:rsid w:val="002A7C4B"/>
    <w:rsid w:val="002A7C59"/>
    <w:rsid w:val="002A7C7D"/>
    <w:rsid w:val="002B047C"/>
    <w:rsid w:val="002B0753"/>
    <w:rsid w:val="002B0A10"/>
    <w:rsid w:val="002B0A34"/>
    <w:rsid w:val="002B0C31"/>
    <w:rsid w:val="002B0E1B"/>
    <w:rsid w:val="002B0FBE"/>
    <w:rsid w:val="002B1C1F"/>
    <w:rsid w:val="002B1C87"/>
    <w:rsid w:val="002B1D13"/>
    <w:rsid w:val="002B1FE8"/>
    <w:rsid w:val="002B24AE"/>
    <w:rsid w:val="002B2536"/>
    <w:rsid w:val="002B28FB"/>
    <w:rsid w:val="002B2976"/>
    <w:rsid w:val="002B2D5A"/>
    <w:rsid w:val="002B2DD1"/>
    <w:rsid w:val="002B2F30"/>
    <w:rsid w:val="002B3133"/>
    <w:rsid w:val="002B3294"/>
    <w:rsid w:val="002B37FC"/>
    <w:rsid w:val="002B38EC"/>
    <w:rsid w:val="002B3AED"/>
    <w:rsid w:val="002B3CF5"/>
    <w:rsid w:val="002B3E58"/>
    <w:rsid w:val="002B432F"/>
    <w:rsid w:val="002B47B3"/>
    <w:rsid w:val="002B48D5"/>
    <w:rsid w:val="002B4B81"/>
    <w:rsid w:val="002B4D21"/>
    <w:rsid w:val="002B4EE3"/>
    <w:rsid w:val="002B4F78"/>
    <w:rsid w:val="002B5344"/>
    <w:rsid w:val="002B5611"/>
    <w:rsid w:val="002B5CFD"/>
    <w:rsid w:val="002B6182"/>
    <w:rsid w:val="002B682B"/>
    <w:rsid w:val="002B6C70"/>
    <w:rsid w:val="002B6CCE"/>
    <w:rsid w:val="002B6E37"/>
    <w:rsid w:val="002B6F1F"/>
    <w:rsid w:val="002B6F6C"/>
    <w:rsid w:val="002B7060"/>
    <w:rsid w:val="002B7234"/>
    <w:rsid w:val="002B7278"/>
    <w:rsid w:val="002B733E"/>
    <w:rsid w:val="002B7852"/>
    <w:rsid w:val="002B7C81"/>
    <w:rsid w:val="002B7CF8"/>
    <w:rsid w:val="002B7D83"/>
    <w:rsid w:val="002C01E0"/>
    <w:rsid w:val="002C02C0"/>
    <w:rsid w:val="002C1312"/>
    <w:rsid w:val="002C1849"/>
    <w:rsid w:val="002C1D0D"/>
    <w:rsid w:val="002C1EA5"/>
    <w:rsid w:val="002C243F"/>
    <w:rsid w:val="002C25E8"/>
    <w:rsid w:val="002C2744"/>
    <w:rsid w:val="002C2775"/>
    <w:rsid w:val="002C27C1"/>
    <w:rsid w:val="002C2BEE"/>
    <w:rsid w:val="002C3944"/>
    <w:rsid w:val="002C39D8"/>
    <w:rsid w:val="002C3A2E"/>
    <w:rsid w:val="002C3ED4"/>
    <w:rsid w:val="002C3F70"/>
    <w:rsid w:val="002C413C"/>
    <w:rsid w:val="002C4580"/>
    <w:rsid w:val="002C45F9"/>
    <w:rsid w:val="002C4786"/>
    <w:rsid w:val="002C483F"/>
    <w:rsid w:val="002C48A7"/>
    <w:rsid w:val="002C524C"/>
    <w:rsid w:val="002C59F3"/>
    <w:rsid w:val="002C5A75"/>
    <w:rsid w:val="002C5D92"/>
    <w:rsid w:val="002C5EA0"/>
    <w:rsid w:val="002C6156"/>
    <w:rsid w:val="002C6342"/>
    <w:rsid w:val="002C6428"/>
    <w:rsid w:val="002C6472"/>
    <w:rsid w:val="002C656D"/>
    <w:rsid w:val="002C6610"/>
    <w:rsid w:val="002C6684"/>
    <w:rsid w:val="002C67E9"/>
    <w:rsid w:val="002C68A9"/>
    <w:rsid w:val="002C6CD3"/>
    <w:rsid w:val="002C74EF"/>
    <w:rsid w:val="002C7534"/>
    <w:rsid w:val="002C7D2D"/>
    <w:rsid w:val="002C7DFD"/>
    <w:rsid w:val="002D0428"/>
    <w:rsid w:val="002D0830"/>
    <w:rsid w:val="002D0ACB"/>
    <w:rsid w:val="002D0BAD"/>
    <w:rsid w:val="002D1364"/>
    <w:rsid w:val="002D179E"/>
    <w:rsid w:val="002D17BD"/>
    <w:rsid w:val="002D2581"/>
    <w:rsid w:val="002D2A77"/>
    <w:rsid w:val="002D2A85"/>
    <w:rsid w:val="002D2AAA"/>
    <w:rsid w:val="002D2F0E"/>
    <w:rsid w:val="002D32A7"/>
    <w:rsid w:val="002D334B"/>
    <w:rsid w:val="002D3516"/>
    <w:rsid w:val="002D37EE"/>
    <w:rsid w:val="002D39E1"/>
    <w:rsid w:val="002D3D40"/>
    <w:rsid w:val="002D3E5D"/>
    <w:rsid w:val="002D3EA0"/>
    <w:rsid w:val="002D46A8"/>
    <w:rsid w:val="002D46D2"/>
    <w:rsid w:val="002D4AA0"/>
    <w:rsid w:val="002D4BF2"/>
    <w:rsid w:val="002D4C2D"/>
    <w:rsid w:val="002D4CFB"/>
    <w:rsid w:val="002D5654"/>
    <w:rsid w:val="002D5BF0"/>
    <w:rsid w:val="002D5C51"/>
    <w:rsid w:val="002D5D41"/>
    <w:rsid w:val="002D5E86"/>
    <w:rsid w:val="002D663B"/>
    <w:rsid w:val="002D67BB"/>
    <w:rsid w:val="002D6868"/>
    <w:rsid w:val="002D6A73"/>
    <w:rsid w:val="002D6C8E"/>
    <w:rsid w:val="002D6D13"/>
    <w:rsid w:val="002D6E74"/>
    <w:rsid w:val="002D6EF4"/>
    <w:rsid w:val="002D728D"/>
    <w:rsid w:val="002D7376"/>
    <w:rsid w:val="002D74CB"/>
    <w:rsid w:val="002D755F"/>
    <w:rsid w:val="002D75E5"/>
    <w:rsid w:val="002D7C4B"/>
    <w:rsid w:val="002D7CC9"/>
    <w:rsid w:val="002E0559"/>
    <w:rsid w:val="002E07B9"/>
    <w:rsid w:val="002E0A60"/>
    <w:rsid w:val="002E0EF7"/>
    <w:rsid w:val="002E1060"/>
    <w:rsid w:val="002E109B"/>
    <w:rsid w:val="002E1101"/>
    <w:rsid w:val="002E115B"/>
    <w:rsid w:val="002E1175"/>
    <w:rsid w:val="002E12D0"/>
    <w:rsid w:val="002E17BD"/>
    <w:rsid w:val="002E1ACE"/>
    <w:rsid w:val="002E1B7C"/>
    <w:rsid w:val="002E1EE0"/>
    <w:rsid w:val="002E1F06"/>
    <w:rsid w:val="002E2523"/>
    <w:rsid w:val="002E2635"/>
    <w:rsid w:val="002E2D67"/>
    <w:rsid w:val="002E32E4"/>
    <w:rsid w:val="002E3549"/>
    <w:rsid w:val="002E3765"/>
    <w:rsid w:val="002E377F"/>
    <w:rsid w:val="002E3973"/>
    <w:rsid w:val="002E3D03"/>
    <w:rsid w:val="002E3E6C"/>
    <w:rsid w:val="002E47E6"/>
    <w:rsid w:val="002E4955"/>
    <w:rsid w:val="002E4976"/>
    <w:rsid w:val="002E4A3E"/>
    <w:rsid w:val="002E4C38"/>
    <w:rsid w:val="002E4D55"/>
    <w:rsid w:val="002E5693"/>
    <w:rsid w:val="002E5706"/>
    <w:rsid w:val="002E5A29"/>
    <w:rsid w:val="002E5E1F"/>
    <w:rsid w:val="002E5FC5"/>
    <w:rsid w:val="002E6065"/>
    <w:rsid w:val="002E6203"/>
    <w:rsid w:val="002E63DF"/>
    <w:rsid w:val="002E6983"/>
    <w:rsid w:val="002E6D8D"/>
    <w:rsid w:val="002E705B"/>
    <w:rsid w:val="002E7433"/>
    <w:rsid w:val="002E7454"/>
    <w:rsid w:val="002E784D"/>
    <w:rsid w:val="002E78E6"/>
    <w:rsid w:val="002E799B"/>
    <w:rsid w:val="002E7EF7"/>
    <w:rsid w:val="002E7F83"/>
    <w:rsid w:val="002F00A4"/>
    <w:rsid w:val="002F07A2"/>
    <w:rsid w:val="002F0B5D"/>
    <w:rsid w:val="002F0BF8"/>
    <w:rsid w:val="002F0DB0"/>
    <w:rsid w:val="002F131D"/>
    <w:rsid w:val="002F1384"/>
    <w:rsid w:val="002F13E1"/>
    <w:rsid w:val="002F1CAD"/>
    <w:rsid w:val="002F1D20"/>
    <w:rsid w:val="002F1FA5"/>
    <w:rsid w:val="002F1FE1"/>
    <w:rsid w:val="002F2218"/>
    <w:rsid w:val="002F2430"/>
    <w:rsid w:val="002F2953"/>
    <w:rsid w:val="002F2991"/>
    <w:rsid w:val="002F29F9"/>
    <w:rsid w:val="002F2B90"/>
    <w:rsid w:val="002F2CF2"/>
    <w:rsid w:val="002F2E07"/>
    <w:rsid w:val="002F3BE6"/>
    <w:rsid w:val="002F3DF9"/>
    <w:rsid w:val="002F4086"/>
    <w:rsid w:val="002F413F"/>
    <w:rsid w:val="002F4963"/>
    <w:rsid w:val="002F4D2F"/>
    <w:rsid w:val="002F4D62"/>
    <w:rsid w:val="002F4F3D"/>
    <w:rsid w:val="002F50FF"/>
    <w:rsid w:val="002F538A"/>
    <w:rsid w:val="002F57D4"/>
    <w:rsid w:val="002F5DD4"/>
    <w:rsid w:val="002F66DB"/>
    <w:rsid w:val="002F68CD"/>
    <w:rsid w:val="002F6DD7"/>
    <w:rsid w:val="002F72A2"/>
    <w:rsid w:val="002F73A3"/>
    <w:rsid w:val="002F747B"/>
    <w:rsid w:val="002F779F"/>
    <w:rsid w:val="002F7888"/>
    <w:rsid w:val="002F7948"/>
    <w:rsid w:val="002F7CE0"/>
    <w:rsid w:val="002F7EA9"/>
    <w:rsid w:val="0030005D"/>
    <w:rsid w:val="003000CF"/>
    <w:rsid w:val="00300672"/>
    <w:rsid w:val="00300AAD"/>
    <w:rsid w:val="00301017"/>
    <w:rsid w:val="00301073"/>
    <w:rsid w:val="003011B1"/>
    <w:rsid w:val="00301393"/>
    <w:rsid w:val="0030193C"/>
    <w:rsid w:val="0030193D"/>
    <w:rsid w:val="00301DB9"/>
    <w:rsid w:val="00302008"/>
    <w:rsid w:val="003020A3"/>
    <w:rsid w:val="00302106"/>
    <w:rsid w:val="003024DB"/>
    <w:rsid w:val="003025A1"/>
    <w:rsid w:val="00302679"/>
    <w:rsid w:val="00302716"/>
    <w:rsid w:val="003029F2"/>
    <w:rsid w:val="00302AF1"/>
    <w:rsid w:val="00302B7E"/>
    <w:rsid w:val="00302E01"/>
    <w:rsid w:val="003030EF"/>
    <w:rsid w:val="0030312C"/>
    <w:rsid w:val="00303372"/>
    <w:rsid w:val="003033A8"/>
    <w:rsid w:val="00303439"/>
    <w:rsid w:val="003036F8"/>
    <w:rsid w:val="00303B0F"/>
    <w:rsid w:val="00303DEF"/>
    <w:rsid w:val="00304360"/>
    <w:rsid w:val="0030441C"/>
    <w:rsid w:val="00304532"/>
    <w:rsid w:val="00304697"/>
    <w:rsid w:val="00304A87"/>
    <w:rsid w:val="00304C0E"/>
    <w:rsid w:val="00304D77"/>
    <w:rsid w:val="0030596F"/>
    <w:rsid w:val="00305EEF"/>
    <w:rsid w:val="003062A4"/>
    <w:rsid w:val="003069EB"/>
    <w:rsid w:val="00306C90"/>
    <w:rsid w:val="0030712F"/>
    <w:rsid w:val="0030727F"/>
    <w:rsid w:val="003073E5"/>
    <w:rsid w:val="003074E6"/>
    <w:rsid w:val="003074EE"/>
    <w:rsid w:val="0030786C"/>
    <w:rsid w:val="0030799F"/>
    <w:rsid w:val="003079A8"/>
    <w:rsid w:val="003079DC"/>
    <w:rsid w:val="00310319"/>
    <w:rsid w:val="0031031A"/>
    <w:rsid w:val="00310685"/>
    <w:rsid w:val="00310981"/>
    <w:rsid w:val="00310B05"/>
    <w:rsid w:val="00310BB9"/>
    <w:rsid w:val="00310C2D"/>
    <w:rsid w:val="00310D05"/>
    <w:rsid w:val="00310EC9"/>
    <w:rsid w:val="003110AB"/>
    <w:rsid w:val="003112C3"/>
    <w:rsid w:val="003113EC"/>
    <w:rsid w:val="003115A6"/>
    <w:rsid w:val="0031170C"/>
    <w:rsid w:val="0031177D"/>
    <w:rsid w:val="00311919"/>
    <w:rsid w:val="003119E4"/>
    <w:rsid w:val="00311B34"/>
    <w:rsid w:val="00311C48"/>
    <w:rsid w:val="0031200F"/>
    <w:rsid w:val="0031210F"/>
    <w:rsid w:val="0031292B"/>
    <w:rsid w:val="00312BC4"/>
    <w:rsid w:val="00312D59"/>
    <w:rsid w:val="003133AA"/>
    <w:rsid w:val="00313436"/>
    <w:rsid w:val="003137DD"/>
    <w:rsid w:val="003139D0"/>
    <w:rsid w:val="003143B0"/>
    <w:rsid w:val="003143BD"/>
    <w:rsid w:val="00314784"/>
    <w:rsid w:val="003147B9"/>
    <w:rsid w:val="0031480C"/>
    <w:rsid w:val="003148CD"/>
    <w:rsid w:val="003148D6"/>
    <w:rsid w:val="00314DD9"/>
    <w:rsid w:val="00315162"/>
    <w:rsid w:val="003152A9"/>
    <w:rsid w:val="0031542D"/>
    <w:rsid w:val="00315498"/>
    <w:rsid w:val="003154E2"/>
    <w:rsid w:val="00315D62"/>
    <w:rsid w:val="003160E6"/>
    <w:rsid w:val="00316285"/>
    <w:rsid w:val="00316578"/>
    <w:rsid w:val="00316768"/>
    <w:rsid w:val="00316964"/>
    <w:rsid w:val="00316DFA"/>
    <w:rsid w:val="00316EA3"/>
    <w:rsid w:val="00317474"/>
    <w:rsid w:val="00317556"/>
    <w:rsid w:val="0031783E"/>
    <w:rsid w:val="0031790F"/>
    <w:rsid w:val="00317A33"/>
    <w:rsid w:val="00317A55"/>
    <w:rsid w:val="00317CCA"/>
    <w:rsid w:val="00317D16"/>
    <w:rsid w:val="00317F76"/>
    <w:rsid w:val="003202D8"/>
    <w:rsid w:val="003202FE"/>
    <w:rsid w:val="0032037E"/>
    <w:rsid w:val="003205BE"/>
    <w:rsid w:val="00320828"/>
    <w:rsid w:val="003209F7"/>
    <w:rsid w:val="00321358"/>
    <w:rsid w:val="00321414"/>
    <w:rsid w:val="003219FD"/>
    <w:rsid w:val="00321C36"/>
    <w:rsid w:val="003222EC"/>
    <w:rsid w:val="00322745"/>
    <w:rsid w:val="0032287D"/>
    <w:rsid w:val="00322E95"/>
    <w:rsid w:val="00323671"/>
    <w:rsid w:val="00323CC3"/>
    <w:rsid w:val="00323D89"/>
    <w:rsid w:val="00323E36"/>
    <w:rsid w:val="003240E2"/>
    <w:rsid w:val="00324435"/>
    <w:rsid w:val="003244A1"/>
    <w:rsid w:val="00324518"/>
    <w:rsid w:val="003246E4"/>
    <w:rsid w:val="00324844"/>
    <w:rsid w:val="00324BBD"/>
    <w:rsid w:val="003253F9"/>
    <w:rsid w:val="00325469"/>
    <w:rsid w:val="00325473"/>
    <w:rsid w:val="003254E2"/>
    <w:rsid w:val="00325590"/>
    <w:rsid w:val="003256CA"/>
    <w:rsid w:val="00326098"/>
    <w:rsid w:val="003261AC"/>
    <w:rsid w:val="00326460"/>
    <w:rsid w:val="00326552"/>
    <w:rsid w:val="00326555"/>
    <w:rsid w:val="00326A97"/>
    <w:rsid w:val="00326F15"/>
    <w:rsid w:val="00326F27"/>
    <w:rsid w:val="0032731F"/>
    <w:rsid w:val="0032776C"/>
    <w:rsid w:val="00327CE5"/>
    <w:rsid w:val="00327CF4"/>
    <w:rsid w:val="00330065"/>
    <w:rsid w:val="00330181"/>
    <w:rsid w:val="00330379"/>
    <w:rsid w:val="003303F5"/>
    <w:rsid w:val="0033045B"/>
    <w:rsid w:val="003305EA"/>
    <w:rsid w:val="0033083B"/>
    <w:rsid w:val="003308F2"/>
    <w:rsid w:val="00330922"/>
    <w:rsid w:val="00330989"/>
    <w:rsid w:val="0033099E"/>
    <w:rsid w:val="003309D8"/>
    <w:rsid w:val="00330B4D"/>
    <w:rsid w:val="00330C7E"/>
    <w:rsid w:val="00330E4D"/>
    <w:rsid w:val="00330F80"/>
    <w:rsid w:val="0033140E"/>
    <w:rsid w:val="00331475"/>
    <w:rsid w:val="00331487"/>
    <w:rsid w:val="00331A26"/>
    <w:rsid w:val="00331B6F"/>
    <w:rsid w:val="00331DEF"/>
    <w:rsid w:val="00332116"/>
    <w:rsid w:val="003321B8"/>
    <w:rsid w:val="003323BE"/>
    <w:rsid w:val="003326BB"/>
    <w:rsid w:val="00332D9F"/>
    <w:rsid w:val="00332ECA"/>
    <w:rsid w:val="00332FAA"/>
    <w:rsid w:val="00332FFF"/>
    <w:rsid w:val="00333080"/>
    <w:rsid w:val="00333512"/>
    <w:rsid w:val="003336FD"/>
    <w:rsid w:val="00333A44"/>
    <w:rsid w:val="00333BB9"/>
    <w:rsid w:val="00333E75"/>
    <w:rsid w:val="00333F21"/>
    <w:rsid w:val="00334179"/>
    <w:rsid w:val="00334442"/>
    <w:rsid w:val="0033489E"/>
    <w:rsid w:val="00334D91"/>
    <w:rsid w:val="00335104"/>
    <w:rsid w:val="00335368"/>
    <w:rsid w:val="00335408"/>
    <w:rsid w:val="00335523"/>
    <w:rsid w:val="0033587F"/>
    <w:rsid w:val="003359CF"/>
    <w:rsid w:val="00335D80"/>
    <w:rsid w:val="003361A3"/>
    <w:rsid w:val="003364CA"/>
    <w:rsid w:val="0033669C"/>
    <w:rsid w:val="003366B1"/>
    <w:rsid w:val="003366C9"/>
    <w:rsid w:val="00336731"/>
    <w:rsid w:val="0033682E"/>
    <w:rsid w:val="00336943"/>
    <w:rsid w:val="00336A2F"/>
    <w:rsid w:val="003370CF"/>
    <w:rsid w:val="003371B0"/>
    <w:rsid w:val="0033779B"/>
    <w:rsid w:val="00337952"/>
    <w:rsid w:val="00340079"/>
    <w:rsid w:val="00340569"/>
    <w:rsid w:val="003408A7"/>
    <w:rsid w:val="00340C00"/>
    <w:rsid w:val="00340C03"/>
    <w:rsid w:val="00340C19"/>
    <w:rsid w:val="00340D99"/>
    <w:rsid w:val="003410F9"/>
    <w:rsid w:val="00341244"/>
    <w:rsid w:val="0034132C"/>
    <w:rsid w:val="0034165E"/>
    <w:rsid w:val="003421CC"/>
    <w:rsid w:val="0034281F"/>
    <w:rsid w:val="00342A70"/>
    <w:rsid w:val="00342AB0"/>
    <w:rsid w:val="00342DBC"/>
    <w:rsid w:val="00343115"/>
    <w:rsid w:val="003431EA"/>
    <w:rsid w:val="00343389"/>
    <w:rsid w:val="00343462"/>
    <w:rsid w:val="00343615"/>
    <w:rsid w:val="0034363F"/>
    <w:rsid w:val="00343732"/>
    <w:rsid w:val="00343932"/>
    <w:rsid w:val="00343A67"/>
    <w:rsid w:val="00343ABA"/>
    <w:rsid w:val="00343C53"/>
    <w:rsid w:val="00343CF6"/>
    <w:rsid w:val="0034407B"/>
    <w:rsid w:val="003440C7"/>
    <w:rsid w:val="00344392"/>
    <w:rsid w:val="003443F4"/>
    <w:rsid w:val="00344487"/>
    <w:rsid w:val="00344A0F"/>
    <w:rsid w:val="00344FE4"/>
    <w:rsid w:val="00345077"/>
    <w:rsid w:val="003455E9"/>
    <w:rsid w:val="00345982"/>
    <w:rsid w:val="00345985"/>
    <w:rsid w:val="00345BC7"/>
    <w:rsid w:val="00346058"/>
    <w:rsid w:val="00346108"/>
    <w:rsid w:val="0034651E"/>
    <w:rsid w:val="00346AA1"/>
    <w:rsid w:val="00346BB2"/>
    <w:rsid w:val="0034715B"/>
    <w:rsid w:val="00347162"/>
    <w:rsid w:val="0034776C"/>
    <w:rsid w:val="00347DA3"/>
    <w:rsid w:val="00347DC2"/>
    <w:rsid w:val="00350222"/>
    <w:rsid w:val="00350443"/>
    <w:rsid w:val="003505F7"/>
    <w:rsid w:val="00350654"/>
    <w:rsid w:val="00350B72"/>
    <w:rsid w:val="00350C3E"/>
    <w:rsid w:val="00350D16"/>
    <w:rsid w:val="00350D52"/>
    <w:rsid w:val="00351232"/>
    <w:rsid w:val="00351377"/>
    <w:rsid w:val="0035189F"/>
    <w:rsid w:val="00351B04"/>
    <w:rsid w:val="00351CA0"/>
    <w:rsid w:val="003524B9"/>
    <w:rsid w:val="003525D8"/>
    <w:rsid w:val="003528F1"/>
    <w:rsid w:val="00352A2A"/>
    <w:rsid w:val="00352C18"/>
    <w:rsid w:val="00352EFA"/>
    <w:rsid w:val="00352F7F"/>
    <w:rsid w:val="003535E9"/>
    <w:rsid w:val="00353A37"/>
    <w:rsid w:val="00353B87"/>
    <w:rsid w:val="00354214"/>
    <w:rsid w:val="00354319"/>
    <w:rsid w:val="0035448D"/>
    <w:rsid w:val="003547FB"/>
    <w:rsid w:val="00354A31"/>
    <w:rsid w:val="00354BBF"/>
    <w:rsid w:val="00354BEA"/>
    <w:rsid w:val="00354C67"/>
    <w:rsid w:val="00354E8E"/>
    <w:rsid w:val="0035512C"/>
    <w:rsid w:val="00355398"/>
    <w:rsid w:val="00355478"/>
    <w:rsid w:val="003557CE"/>
    <w:rsid w:val="00355A3A"/>
    <w:rsid w:val="00355B77"/>
    <w:rsid w:val="00355C07"/>
    <w:rsid w:val="00355F78"/>
    <w:rsid w:val="0035615B"/>
    <w:rsid w:val="003561C9"/>
    <w:rsid w:val="0035620E"/>
    <w:rsid w:val="00356228"/>
    <w:rsid w:val="003562E6"/>
    <w:rsid w:val="00356512"/>
    <w:rsid w:val="00356636"/>
    <w:rsid w:val="003567C5"/>
    <w:rsid w:val="003569FE"/>
    <w:rsid w:val="00356F9D"/>
    <w:rsid w:val="003574D3"/>
    <w:rsid w:val="003576B5"/>
    <w:rsid w:val="0035770F"/>
    <w:rsid w:val="00357AA6"/>
    <w:rsid w:val="0036021A"/>
    <w:rsid w:val="003603B6"/>
    <w:rsid w:val="00360565"/>
    <w:rsid w:val="0036087A"/>
    <w:rsid w:val="00360890"/>
    <w:rsid w:val="0036112F"/>
    <w:rsid w:val="003611A2"/>
    <w:rsid w:val="00361537"/>
    <w:rsid w:val="0036162C"/>
    <w:rsid w:val="003616AE"/>
    <w:rsid w:val="00361764"/>
    <w:rsid w:val="00361BC1"/>
    <w:rsid w:val="00361CC1"/>
    <w:rsid w:val="00361D4E"/>
    <w:rsid w:val="0036212C"/>
    <w:rsid w:val="00362142"/>
    <w:rsid w:val="003625E3"/>
    <w:rsid w:val="003626BB"/>
    <w:rsid w:val="00362719"/>
    <w:rsid w:val="00362ADC"/>
    <w:rsid w:val="00362D12"/>
    <w:rsid w:val="00362D2D"/>
    <w:rsid w:val="00362DB6"/>
    <w:rsid w:val="00362EAA"/>
    <w:rsid w:val="003632D4"/>
    <w:rsid w:val="00363370"/>
    <w:rsid w:val="00363454"/>
    <w:rsid w:val="00363463"/>
    <w:rsid w:val="00363991"/>
    <w:rsid w:val="00363A93"/>
    <w:rsid w:val="00363A9D"/>
    <w:rsid w:val="00363D5E"/>
    <w:rsid w:val="00363DA0"/>
    <w:rsid w:val="00364242"/>
    <w:rsid w:val="003643AC"/>
    <w:rsid w:val="0036468A"/>
    <w:rsid w:val="00364922"/>
    <w:rsid w:val="00364D7E"/>
    <w:rsid w:val="00364E41"/>
    <w:rsid w:val="003651AD"/>
    <w:rsid w:val="00365242"/>
    <w:rsid w:val="00365C09"/>
    <w:rsid w:val="00365E09"/>
    <w:rsid w:val="0036604B"/>
    <w:rsid w:val="00366319"/>
    <w:rsid w:val="003663FC"/>
    <w:rsid w:val="00366478"/>
    <w:rsid w:val="003667E9"/>
    <w:rsid w:val="00366835"/>
    <w:rsid w:val="00366903"/>
    <w:rsid w:val="00366AC9"/>
    <w:rsid w:val="0036723B"/>
    <w:rsid w:val="0036742B"/>
    <w:rsid w:val="00367434"/>
    <w:rsid w:val="00367A82"/>
    <w:rsid w:val="003700CE"/>
    <w:rsid w:val="003702E2"/>
    <w:rsid w:val="0037053A"/>
    <w:rsid w:val="00370B3D"/>
    <w:rsid w:val="00370BCA"/>
    <w:rsid w:val="00370C84"/>
    <w:rsid w:val="00370CDA"/>
    <w:rsid w:val="00370D39"/>
    <w:rsid w:val="00370E23"/>
    <w:rsid w:val="00371074"/>
    <w:rsid w:val="0037178A"/>
    <w:rsid w:val="00371C05"/>
    <w:rsid w:val="003721B6"/>
    <w:rsid w:val="00372966"/>
    <w:rsid w:val="00372B2E"/>
    <w:rsid w:val="00372CF0"/>
    <w:rsid w:val="00372D3D"/>
    <w:rsid w:val="00373041"/>
    <w:rsid w:val="003732B5"/>
    <w:rsid w:val="003732DD"/>
    <w:rsid w:val="003735CD"/>
    <w:rsid w:val="003739AA"/>
    <w:rsid w:val="00373BFD"/>
    <w:rsid w:val="00373CB5"/>
    <w:rsid w:val="00373E1C"/>
    <w:rsid w:val="00373E72"/>
    <w:rsid w:val="003740FA"/>
    <w:rsid w:val="003742DA"/>
    <w:rsid w:val="00374306"/>
    <w:rsid w:val="0037438B"/>
    <w:rsid w:val="0037468B"/>
    <w:rsid w:val="00374715"/>
    <w:rsid w:val="00374B43"/>
    <w:rsid w:val="00374DFA"/>
    <w:rsid w:val="00374FE6"/>
    <w:rsid w:val="00375269"/>
    <w:rsid w:val="00375982"/>
    <w:rsid w:val="00375AD1"/>
    <w:rsid w:val="00376037"/>
    <w:rsid w:val="0037604A"/>
    <w:rsid w:val="003763DD"/>
    <w:rsid w:val="00376433"/>
    <w:rsid w:val="003765B3"/>
    <w:rsid w:val="003766E3"/>
    <w:rsid w:val="003769FF"/>
    <w:rsid w:val="00376DB9"/>
    <w:rsid w:val="0037729D"/>
    <w:rsid w:val="0037753E"/>
    <w:rsid w:val="00377544"/>
    <w:rsid w:val="003776DD"/>
    <w:rsid w:val="00377B24"/>
    <w:rsid w:val="00377F3A"/>
    <w:rsid w:val="003803EB"/>
    <w:rsid w:val="003809E8"/>
    <w:rsid w:val="00380C91"/>
    <w:rsid w:val="00380DED"/>
    <w:rsid w:val="00381054"/>
    <w:rsid w:val="003812E2"/>
    <w:rsid w:val="003813E8"/>
    <w:rsid w:val="003815DC"/>
    <w:rsid w:val="00381A19"/>
    <w:rsid w:val="00381BEB"/>
    <w:rsid w:val="00381C28"/>
    <w:rsid w:val="00381C46"/>
    <w:rsid w:val="00382067"/>
    <w:rsid w:val="003820DB"/>
    <w:rsid w:val="0038260C"/>
    <w:rsid w:val="00382720"/>
    <w:rsid w:val="00382942"/>
    <w:rsid w:val="00382C50"/>
    <w:rsid w:val="0038365C"/>
    <w:rsid w:val="003837B1"/>
    <w:rsid w:val="00383829"/>
    <w:rsid w:val="00383C80"/>
    <w:rsid w:val="00383CB0"/>
    <w:rsid w:val="00383E00"/>
    <w:rsid w:val="00383EE6"/>
    <w:rsid w:val="00384205"/>
    <w:rsid w:val="0038429F"/>
    <w:rsid w:val="003844DA"/>
    <w:rsid w:val="003847D3"/>
    <w:rsid w:val="00384BB6"/>
    <w:rsid w:val="00384D77"/>
    <w:rsid w:val="0038524C"/>
    <w:rsid w:val="00385262"/>
    <w:rsid w:val="00385AFE"/>
    <w:rsid w:val="00385B29"/>
    <w:rsid w:val="00385CC7"/>
    <w:rsid w:val="00385CD7"/>
    <w:rsid w:val="00386079"/>
    <w:rsid w:val="0038619D"/>
    <w:rsid w:val="00386303"/>
    <w:rsid w:val="00386427"/>
    <w:rsid w:val="00386A0B"/>
    <w:rsid w:val="00386CBE"/>
    <w:rsid w:val="00386D46"/>
    <w:rsid w:val="003870AF"/>
    <w:rsid w:val="00387290"/>
    <w:rsid w:val="003873D9"/>
    <w:rsid w:val="0038760D"/>
    <w:rsid w:val="00387E86"/>
    <w:rsid w:val="003900B7"/>
    <w:rsid w:val="00390262"/>
    <w:rsid w:val="003902DA"/>
    <w:rsid w:val="00390376"/>
    <w:rsid w:val="00390714"/>
    <w:rsid w:val="00390860"/>
    <w:rsid w:val="00391112"/>
    <w:rsid w:val="003911BF"/>
    <w:rsid w:val="00391431"/>
    <w:rsid w:val="003914CA"/>
    <w:rsid w:val="0039184B"/>
    <w:rsid w:val="00391A58"/>
    <w:rsid w:val="00391AC4"/>
    <w:rsid w:val="00391D2D"/>
    <w:rsid w:val="00391DC4"/>
    <w:rsid w:val="00391DD6"/>
    <w:rsid w:val="003922F7"/>
    <w:rsid w:val="00392341"/>
    <w:rsid w:val="0039241A"/>
    <w:rsid w:val="0039245F"/>
    <w:rsid w:val="00392767"/>
    <w:rsid w:val="00392A91"/>
    <w:rsid w:val="00392AC0"/>
    <w:rsid w:val="00392C15"/>
    <w:rsid w:val="00392C2B"/>
    <w:rsid w:val="00392D45"/>
    <w:rsid w:val="003930CA"/>
    <w:rsid w:val="00393556"/>
    <w:rsid w:val="00393807"/>
    <w:rsid w:val="003938CF"/>
    <w:rsid w:val="00393997"/>
    <w:rsid w:val="00393BDE"/>
    <w:rsid w:val="00393D54"/>
    <w:rsid w:val="0039448B"/>
    <w:rsid w:val="00394635"/>
    <w:rsid w:val="003947F2"/>
    <w:rsid w:val="003949C7"/>
    <w:rsid w:val="00395701"/>
    <w:rsid w:val="003958F4"/>
    <w:rsid w:val="00395F7F"/>
    <w:rsid w:val="00396570"/>
    <w:rsid w:val="00396772"/>
    <w:rsid w:val="0039698A"/>
    <w:rsid w:val="003969A5"/>
    <w:rsid w:val="003969F8"/>
    <w:rsid w:val="00396A67"/>
    <w:rsid w:val="00396ACA"/>
    <w:rsid w:val="00396C8B"/>
    <w:rsid w:val="00396CAE"/>
    <w:rsid w:val="00396E6A"/>
    <w:rsid w:val="00396FD0"/>
    <w:rsid w:val="0039702C"/>
    <w:rsid w:val="00397431"/>
    <w:rsid w:val="00397533"/>
    <w:rsid w:val="0039772C"/>
    <w:rsid w:val="00397BD0"/>
    <w:rsid w:val="00397DB0"/>
    <w:rsid w:val="00397DE5"/>
    <w:rsid w:val="003A010A"/>
    <w:rsid w:val="003A0118"/>
    <w:rsid w:val="003A0497"/>
    <w:rsid w:val="003A09C0"/>
    <w:rsid w:val="003A09E9"/>
    <w:rsid w:val="003A0D5A"/>
    <w:rsid w:val="003A0ECB"/>
    <w:rsid w:val="003A1089"/>
    <w:rsid w:val="003A1224"/>
    <w:rsid w:val="003A122D"/>
    <w:rsid w:val="003A134C"/>
    <w:rsid w:val="003A13D3"/>
    <w:rsid w:val="003A1405"/>
    <w:rsid w:val="003A17FA"/>
    <w:rsid w:val="003A180A"/>
    <w:rsid w:val="003A1982"/>
    <w:rsid w:val="003A1A5B"/>
    <w:rsid w:val="003A1A7A"/>
    <w:rsid w:val="003A1A80"/>
    <w:rsid w:val="003A1A9D"/>
    <w:rsid w:val="003A1FB2"/>
    <w:rsid w:val="003A2346"/>
    <w:rsid w:val="003A2454"/>
    <w:rsid w:val="003A2584"/>
    <w:rsid w:val="003A26C2"/>
    <w:rsid w:val="003A28EE"/>
    <w:rsid w:val="003A2922"/>
    <w:rsid w:val="003A2AB7"/>
    <w:rsid w:val="003A2E10"/>
    <w:rsid w:val="003A319C"/>
    <w:rsid w:val="003A3731"/>
    <w:rsid w:val="003A386E"/>
    <w:rsid w:val="003A39DC"/>
    <w:rsid w:val="003A3C97"/>
    <w:rsid w:val="003A3F59"/>
    <w:rsid w:val="003A40C0"/>
    <w:rsid w:val="003A4910"/>
    <w:rsid w:val="003A4B9C"/>
    <w:rsid w:val="003A5559"/>
    <w:rsid w:val="003A5709"/>
    <w:rsid w:val="003A5883"/>
    <w:rsid w:val="003A5902"/>
    <w:rsid w:val="003A5C0E"/>
    <w:rsid w:val="003A5EB7"/>
    <w:rsid w:val="003A610B"/>
    <w:rsid w:val="003A63ED"/>
    <w:rsid w:val="003A64A3"/>
    <w:rsid w:val="003A65DA"/>
    <w:rsid w:val="003A66EE"/>
    <w:rsid w:val="003A6AF7"/>
    <w:rsid w:val="003A6BA0"/>
    <w:rsid w:val="003A6C00"/>
    <w:rsid w:val="003A6FF4"/>
    <w:rsid w:val="003A701B"/>
    <w:rsid w:val="003A720B"/>
    <w:rsid w:val="003A72A8"/>
    <w:rsid w:val="003A7D30"/>
    <w:rsid w:val="003A7D32"/>
    <w:rsid w:val="003B01C7"/>
    <w:rsid w:val="003B0687"/>
    <w:rsid w:val="003B0876"/>
    <w:rsid w:val="003B09FA"/>
    <w:rsid w:val="003B0B4E"/>
    <w:rsid w:val="003B1325"/>
    <w:rsid w:val="003B146C"/>
    <w:rsid w:val="003B2346"/>
    <w:rsid w:val="003B2A00"/>
    <w:rsid w:val="003B2B45"/>
    <w:rsid w:val="003B32EC"/>
    <w:rsid w:val="003B35E0"/>
    <w:rsid w:val="003B3671"/>
    <w:rsid w:val="003B396A"/>
    <w:rsid w:val="003B397B"/>
    <w:rsid w:val="003B3A54"/>
    <w:rsid w:val="003B3AA0"/>
    <w:rsid w:val="003B3E3C"/>
    <w:rsid w:val="003B3E8F"/>
    <w:rsid w:val="003B3F4E"/>
    <w:rsid w:val="003B4350"/>
    <w:rsid w:val="003B4983"/>
    <w:rsid w:val="003B4C67"/>
    <w:rsid w:val="003B4EFD"/>
    <w:rsid w:val="003B5259"/>
    <w:rsid w:val="003B5287"/>
    <w:rsid w:val="003B554D"/>
    <w:rsid w:val="003B5840"/>
    <w:rsid w:val="003B58A2"/>
    <w:rsid w:val="003B5A7D"/>
    <w:rsid w:val="003B5B94"/>
    <w:rsid w:val="003B6467"/>
    <w:rsid w:val="003B6812"/>
    <w:rsid w:val="003B6AC8"/>
    <w:rsid w:val="003B6CCC"/>
    <w:rsid w:val="003B724F"/>
    <w:rsid w:val="003B74F2"/>
    <w:rsid w:val="003B7BA7"/>
    <w:rsid w:val="003B7BC0"/>
    <w:rsid w:val="003C036B"/>
    <w:rsid w:val="003C03FE"/>
    <w:rsid w:val="003C08A5"/>
    <w:rsid w:val="003C0918"/>
    <w:rsid w:val="003C1060"/>
    <w:rsid w:val="003C11C1"/>
    <w:rsid w:val="003C1739"/>
    <w:rsid w:val="003C1923"/>
    <w:rsid w:val="003C1AB0"/>
    <w:rsid w:val="003C1DD6"/>
    <w:rsid w:val="003C23F6"/>
    <w:rsid w:val="003C252F"/>
    <w:rsid w:val="003C2848"/>
    <w:rsid w:val="003C2852"/>
    <w:rsid w:val="003C28EE"/>
    <w:rsid w:val="003C2CEF"/>
    <w:rsid w:val="003C2D31"/>
    <w:rsid w:val="003C3067"/>
    <w:rsid w:val="003C3129"/>
    <w:rsid w:val="003C32E3"/>
    <w:rsid w:val="003C33CC"/>
    <w:rsid w:val="003C36C2"/>
    <w:rsid w:val="003C3F02"/>
    <w:rsid w:val="003C40E8"/>
    <w:rsid w:val="003C41C9"/>
    <w:rsid w:val="003C41E7"/>
    <w:rsid w:val="003C4514"/>
    <w:rsid w:val="003C4623"/>
    <w:rsid w:val="003C4D67"/>
    <w:rsid w:val="003C4E43"/>
    <w:rsid w:val="003C4FF9"/>
    <w:rsid w:val="003C5076"/>
    <w:rsid w:val="003C512A"/>
    <w:rsid w:val="003C5174"/>
    <w:rsid w:val="003C5A3C"/>
    <w:rsid w:val="003C5F92"/>
    <w:rsid w:val="003C5FA5"/>
    <w:rsid w:val="003C60AE"/>
    <w:rsid w:val="003C6315"/>
    <w:rsid w:val="003C635E"/>
    <w:rsid w:val="003C65AA"/>
    <w:rsid w:val="003C6B87"/>
    <w:rsid w:val="003C6BD4"/>
    <w:rsid w:val="003C6D8C"/>
    <w:rsid w:val="003C6E06"/>
    <w:rsid w:val="003C6E33"/>
    <w:rsid w:val="003C6F82"/>
    <w:rsid w:val="003C7055"/>
    <w:rsid w:val="003C7241"/>
    <w:rsid w:val="003C74E5"/>
    <w:rsid w:val="003C78EF"/>
    <w:rsid w:val="003C79FC"/>
    <w:rsid w:val="003C7CFD"/>
    <w:rsid w:val="003C7D29"/>
    <w:rsid w:val="003C7DF7"/>
    <w:rsid w:val="003D00C5"/>
    <w:rsid w:val="003D042A"/>
    <w:rsid w:val="003D06FE"/>
    <w:rsid w:val="003D09D3"/>
    <w:rsid w:val="003D0A16"/>
    <w:rsid w:val="003D0E8A"/>
    <w:rsid w:val="003D0EEA"/>
    <w:rsid w:val="003D1057"/>
    <w:rsid w:val="003D110E"/>
    <w:rsid w:val="003D117D"/>
    <w:rsid w:val="003D141F"/>
    <w:rsid w:val="003D15F2"/>
    <w:rsid w:val="003D1828"/>
    <w:rsid w:val="003D18FF"/>
    <w:rsid w:val="003D1942"/>
    <w:rsid w:val="003D1AA0"/>
    <w:rsid w:val="003D1F98"/>
    <w:rsid w:val="003D2422"/>
    <w:rsid w:val="003D2533"/>
    <w:rsid w:val="003D26D2"/>
    <w:rsid w:val="003D2DFE"/>
    <w:rsid w:val="003D2E66"/>
    <w:rsid w:val="003D3174"/>
    <w:rsid w:val="003D34C1"/>
    <w:rsid w:val="003D38E5"/>
    <w:rsid w:val="003D391D"/>
    <w:rsid w:val="003D3A23"/>
    <w:rsid w:val="003D3AF8"/>
    <w:rsid w:val="003D3D9F"/>
    <w:rsid w:val="003D3E75"/>
    <w:rsid w:val="003D3E95"/>
    <w:rsid w:val="003D3E97"/>
    <w:rsid w:val="003D3F93"/>
    <w:rsid w:val="003D3FC7"/>
    <w:rsid w:val="003D3FEC"/>
    <w:rsid w:val="003D427A"/>
    <w:rsid w:val="003D4568"/>
    <w:rsid w:val="003D456A"/>
    <w:rsid w:val="003D489C"/>
    <w:rsid w:val="003D4B0C"/>
    <w:rsid w:val="003D4B84"/>
    <w:rsid w:val="003D4BB6"/>
    <w:rsid w:val="003D4F54"/>
    <w:rsid w:val="003D505D"/>
    <w:rsid w:val="003D5B0D"/>
    <w:rsid w:val="003D5D79"/>
    <w:rsid w:val="003D625E"/>
    <w:rsid w:val="003D626D"/>
    <w:rsid w:val="003D646C"/>
    <w:rsid w:val="003D6579"/>
    <w:rsid w:val="003D6882"/>
    <w:rsid w:val="003D6955"/>
    <w:rsid w:val="003D6A65"/>
    <w:rsid w:val="003D6BC7"/>
    <w:rsid w:val="003D6CF4"/>
    <w:rsid w:val="003D6CFB"/>
    <w:rsid w:val="003D6D71"/>
    <w:rsid w:val="003D6FE0"/>
    <w:rsid w:val="003D71C3"/>
    <w:rsid w:val="003D72D1"/>
    <w:rsid w:val="003D7365"/>
    <w:rsid w:val="003D736D"/>
    <w:rsid w:val="003D7672"/>
    <w:rsid w:val="003D7B1D"/>
    <w:rsid w:val="003D7E0D"/>
    <w:rsid w:val="003E0042"/>
    <w:rsid w:val="003E045A"/>
    <w:rsid w:val="003E0794"/>
    <w:rsid w:val="003E0B0F"/>
    <w:rsid w:val="003E0DD5"/>
    <w:rsid w:val="003E167F"/>
    <w:rsid w:val="003E1710"/>
    <w:rsid w:val="003E17C0"/>
    <w:rsid w:val="003E18FC"/>
    <w:rsid w:val="003E19A6"/>
    <w:rsid w:val="003E1A88"/>
    <w:rsid w:val="003E1FE0"/>
    <w:rsid w:val="003E21B5"/>
    <w:rsid w:val="003E23EF"/>
    <w:rsid w:val="003E2584"/>
    <w:rsid w:val="003E2B8D"/>
    <w:rsid w:val="003E2C19"/>
    <w:rsid w:val="003E2C6C"/>
    <w:rsid w:val="003E2DFC"/>
    <w:rsid w:val="003E2F9F"/>
    <w:rsid w:val="003E3310"/>
    <w:rsid w:val="003E3800"/>
    <w:rsid w:val="003E3C61"/>
    <w:rsid w:val="003E3E07"/>
    <w:rsid w:val="003E3E0C"/>
    <w:rsid w:val="003E4033"/>
    <w:rsid w:val="003E447E"/>
    <w:rsid w:val="003E471C"/>
    <w:rsid w:val="003E4942"/>
    <w:rsid w:val="003E4C9C"/>
    <w:rsid w:val="003E4D13"/>
    <w:rsid w:val="003E4EC0"/>
    <w:rsid w:val="003E51D0"/>
    <w:rsid w:val="003E53A1"/>
    <w:rsid w:val="003E53A3"/>
    <w:rsid w:val="003E5ED8"/>
    <w:rsid w:val="003E5FD7"/>
    <w:rsid w:val="003E61E2"/>
    <w:rsid w:val="003E6369"/>
    <w:rsid w:val="003E6546"/>
    <w:rsid w:val="003E65CE"/>
    <w:rsid w:val="003E6B8F"/>
    <w:rsid w:val="003E6E7D"/>
    <w:rsid w:val="003E73C8"/>
    <w:rsid w:val="003E77DC"/>
    <w:rsid w:val="003E7B34"/>
    <w:rsid w:val="003E7B96"/>
    <w:rsid w:val="003E7FE8"/>
    <w:rsid w:val="003F0577"/>
    <w:rsid w:val="003F0D10"/>
    <w:rsid w:val="003F0D8A"/>
    <w:rsid w:val="003F10C0"/>
    <w:rsid w:val="003F1349"/>
    <w:rsid w:val="003F143C"/>
    <w:rsid w:val="003F1660"/>
    <w:rsid w:val="003F16D1"/>
    <w:rsid w:val="003F17E7"/>
    <w:rsid w:val="003F184A"/>
    <w:rsid w:val="003F1C1E"/>
    <w:rsid w:val="003F1DF8"/>
    <w:rsid w:val="003F1F4A"/>
    <w:rsid w:val="003F1FE0"/>
    <w:rsid w:val="003F22A2"/>
    <w:rsid w:val="003F27CC"/>
    <w:rsid w:val="003F281D"/>
    <w:rsid w:val="003F28BE"/>
    <w:rsid w:val="003F2AA5"/>
    <w:rsid w:val="003F334E"/>
    <w:rsid w:val="003F34FD"/>
    <w:rsid w:val="003F36CA"/>
    <w:rsid w:val="003F3967"/>
    <w:rsid w:val="003F3C1E"/>
    <w:rsid w:val="003F404C"/>
    <w:rsid w:val="003F4053"/>
    <w:rsid w:val="003F411D"/>
    <w:rsid w:val="003F4156"/>
    <w:rsid w:val="003F4431"/>
    <w:rsid w:val="003F4699"/>
    <w:rsid w:val="003F46A4"/>
    <w:rsid w:val="003F4832"/>
    <w:rsid w:val="003F495D"/>
    <w:rsid w:val="003F4AD6"/>
    <w:rsid w:val="003F4AEE"/>
    <w:rsid w:val="003F4C16"/>
    <w:rsid w:val="003F51B6"/>
    <w:rsid w:val="003F5509"/>
    <w:rsid w:val="003F58D2"/>
    <w:rsid w:val="003F58FF"/>
    <w:rsid w:val="003F5AC0"/>
    <w:rsid w:val="003F5CC7"/>
    <w:rsid w:val="003F6212"/>
    <w:rsid w:val="003F671F"/>
    <w:rsid w:val="003F677D"/>
    <w:rsid w:val="003F6CCF"/>
    <w:rsid w:val="003F7070"/>
    <w:rsid w:val="003F72F3"/>
    <w:rsid w:val="003F76E0"/>
    <w:rsid w:val="003F7754"/>
    <w:rsid w:val="003F77F8"/>
    <w:rsid w:val="003F7BA8"/>
    <w:rsid w:val="00400536"/>
    <w:rsid w:val="004007A5"/>
    <w:rsid w:val="0040093F"/>
    <w:rsid w:val="00400CF3"/>
    <w:rsid w:val="00400D20"/>
    <w:rsid w:val="00401014"/>
    <w:rsid w:val="00401387"/>
    <w:rsid w:val="0040167D"/>
    <w:rsid w:val="004016E0"/>
    <w:rsid w:val="004018F9"/>
    <w:rsid w:val="0040192A"/>
    <w:rsid w:val="004019C8"/>
    <w:rsid w:val="00401B9D"/>
    <w:rsid w:val="00401CA7"/>
    <w:rsid w:val="00401DF8"/>
    <w:rsid w:val="00401FA8"/>
    <w:rsid w:val="0040238E"/>
    <w:rsid w:val="004023E0"/>
    <w:rsid w:val="0040241B"/>
    <w:rsid w:val="00402660"/>
    <w:rsid w:val="004026FE"/>
    <w:rsid w:val="004029F5"/>
    <w:rsid w:val="00402AA7"/>
    <w:rsid w:val="00402BDB"/>
    <w:rsid w:val="00402C95"/>
    <w:rsid w:val="00402DD7"/>
    <w:rsid w:val="00402F5B"/>
    <w:rsid w:val="0040324C"/>
    <w:rsid w:val="00403457"/>
    <w:rsid w:val="00403508"/>
    <w:rsid w:val="00403AB8"/>
    <w:rsid w:val="004041CF"/>
    <w:rsid w:val="00404256"/>
    <w:rsid w:val="0040496E"/>
    <w:rsid w:val="00404B28"/>
    <w:rsid w:val="00404F3E"/>
    <w:rsid w:val="004051FE"/>
    <w:rsid w:val="004056D9"/>
    <w:rsid w:val="004057F3"/>
    <w:rsid w:val="004058AA"/>
    <w:rsid w:val="00405BB9"/>
    <w:rsid w:val="00405E68"/>
    <w:rsid w:val="00405EE6"/>
    <w:rsid w:val="00406448"/>
    <w:rsid w:val="00406507"/>
    <w:rsid w:val="004066DB"/>
    <w:rsid w:val="004071E9"/>
    <w:rsid w:val="0040737A"/>
    <w:rsid w:val="004074A1"/>
    <w:rsid w:val="00407828"/>
    <w:rsid w:val="0040793A"/>
    <w:rsid w:val="00407C7A"/>
    <w:rsid w:val="00410041"/>
    <w:rsid w:val="00410065"/>
    <w:rsid w:val="004103CE"/>
    <w:rsid w:val="004104CE"/>
    <w:rsid w:val="00410656"/>
    <w:rsid w:val="00410708"/>
    <w:rsid w:val="004107D1"/>
    <w:rsid w:val="004109DF"/>
    <w:rsid w:val="00410EC7"/>
    <w:rsid w:val="00410F22"/>
    <w:rsid w:val="004110B8"/>
    <w:rsid w:val="004112EB"/>
    <w:rsid w:val="00411414"/>
    <w:rsid w:val="004114C9"/>
    <w:rsid w:val="00411766"/>
    <w:rsid w:val="004118FB"/>
    <w:rsid w:val="00411F14"/>
    <w:rsid w:val="00411F8B"/>
    <w:rsid w:val="00412355"/>
    <w:rsid w:val="00412356"/>
    <w:rsid w:val="00412448"/>
    <w:rsid w:val="00412836"/>
    <w:rsid w:val="0041311A"/>
    <w:rsid w:val="00413202"/>
    <w:rsid w:val="0041322A"/>
    <w:rsid w:val="00413674"/>
    <w:rsid w:val="0041388A"/>
    <w:rsid w:val="00413CB4"/>
    <w:rsid w:val="00413F4C"/>
    <w:rsid w:val="00414476"/>
    <w:rsid w:val="0041477C"/>
    <w:rsid w:val="004147F6"/>
    <w:rsid w:val="004149B1"/>
    <w:rsid w:val="00414C7F"/>
    <w:rsid w:val="00414D9C"/>
    <w:rsid w:val="00415245"/>
    <w:rsid w:val="004155BB"/>
    <w:rsid w:val="004156A4"/>
    <w:rsid w:val="004159C0"/>
    <w:rsid w:val="004164E3"/>
    <w:rsid w:val="00416A88"/>
    <w:rsid w:val="00416E88"/>
    <w:rsid w:val="0041737F"/>
    <w:rsid w:val="00417548"/>
    <w:rsid w:val="004176F8"/>
    <w:rsid w:val="00417747"/>
    <w:rsid w:val="00417817"/>
    <w:rsid w:val="00417826"/>
    <w:rsid w:val="0041791A"/>
    <w:rsid w:val="00417A78"/>
    <w:rsid w:val="004201DF"/>
    <w:rsid w:val="004202D4"/>
    <w:rsid w:val="00420B45"/>
    <w:rsid w:val="00420B9F"/>
    <w:rsid w:val="00420D0E"/>
    <w:rsid w:val="00420EE0"/>
    <w:rsid w:val="004211E6"/>
    <w:rsid w:val="00421350"/>
    <w:rsid w:val="004217CC"/>
    <w:rsid w:val="00421E55"/>
    <w:rsid w:val="00422141"/>
    <w:rsid w:val="00422169"/>
    <w:rsid w:val="00422318"/>
    <w:rsid w:val="00422595"/>
    <w:rsid w:val="00422599"/>
    <w:rsid w:val="00422774"/>
    <w:rsid w:val="0042278D"/>
    <w:rsid w:val="0042299E"/>
    <w:rsid w:val="00422AE3"/>
    <w:rsid w:val="0042341B"/>
    <w:rsid w:val="0042346C"/>
    <w:rsid w:val="00423536"/>
    <w:rsid w:val="00423672"/>
    <w:rsid w:val="004237BC"/>
    <w:rsid w:val="00423894"/>
    <w:rsid w:val="00423A4C"/>
    <w:rsid w:val="00423ABC"/>
    <w:rsid w:val="00423D97"/>
    <w:rsid w:val="00423E76"/>
    <w:rsid w:val="00423F76"/>
    <w:rsid w:val="00424185"/>
    <w:rsid w:val="00424617"/>
    <w:rsid w:val="0042471A"/>
    <w:rsid w:val="00424915"/>
    <w:rsid w:val="00424CB5"/>
    <w:rsid w:val="00425219"/>
    <w:rsid w:val="00425375"/>
    <w:rsid w:val="0042558A"/>
    <w:rsid w:val="004256CC"/>
    <w:rsid w:val="00425A80"/>
    <w:rsid w:val="00425C7A"/>
    <w:rsid w:val="0042613B"/>
    <w:rsid w:val="004263FF"/>
    <w:rsid w:val="004265A5"/>
    <w:rsid w:val="004267D6"/>
    <w:rsid w:val="0042718B"/>
    <w:rsid w:val="004272E9"/>
    <w:rsid w:val="00427398"/>
    <w:rsid w:val="004274D4"/>
    <w:rsid w:val="00427511"/>
    <w:rsid w:val="00427594"/>
    <w:rsid w:val="004276B7"/>
    <w:rsid w:val="004279F4"/>
    <w:rsid w:val="00427A07"/>
    <w:rsid w:val="00427B85"/>
    <w:rsid w:val="00427C57"/>
    <w:rsid w:val="00430036"/>
    <w:rsid w:val="00430390"/>
    <w:rsid w:val="00430395"/>
    <w:rsid w:val="00430616"/>
    <w:rsid w:val="00430851"/>
    <w:rsid w:val="00430856"/>
    <w:rsid w:val="00430B83"/>
    <w:rsid w:val="00431246"/>
    <w:rsid w:val="00431879"/>
    <w:rsid w:val="004319EF"/>
    <w:rsid w:val="004319F8"/>
    <w:rsid w:val="00431AEF"/>
    <w:rsid w:val="00431B61"/>
    <w:rsid w:val="00431D59"/>
    <w:rsid w:val="00431EEE"/>
    <w:rsid w:val="004321AF"/>
    <w:rsid w:val="0043234A"/>
    <w:rsid w:val="004324B0"/>
    <w:rsid w:val="00432926"/>
    <w:rsid w:val="00432939"/>
    <w:rsid w:val="00432AC8"/>
    <w:rsid w:val="00432C12"/>
    <w:rsid w:val="00432CE7"/>
    <w:rsid w:val="00433027"/>
    <w:rsid w:val="00433044"/>
    <w:rsid w:val="0043314A"/>
    <w:rsid w:val="00433169"/>
    <w:rsid w:val="0043355B"/>
    <w:rsid w:val="004336D8"/>
    <w:rsid w:val="004338C6"/>
    <w:rsid w:val="004338CE"/>
    <w:rsid w:val="00433915"/>
    <w:rsid w:val="00433A88"/>
    <w:rsid w:val="00434092"/>
    <w:rsid w:val="0043428F"/>
    <w:rsid w:val="004346B2"/>
    <w:rsid w:val="004347AC"/>
    <w:rsid w:val="0043481B"/>
    <w:rsid w:val="00434992"/>
    <w:rsid w:val="00434AA1"/>
    <w:rsid w:val="00434BAD"/>
    <w:rsid w:val="00435340"/>
    <w:rsid w:val="00435412"/>
    <w:rsid w:val="00435526"/>
    <w:rsid w:val="004355F9"/>
    <w:rsid w:val="00435918"/>
    <w:rsid w:val="00435AB3"/>
    <w:rsid w:val="00435AB6"/>
    <w:rsid w:val="00435DDB"/>
    <w:rsid w:val="00435FAE"/>
    <w:rsid w:val="00435FEC"/>
    <w:rsid w:val="0043611B"/>
    <w:rsid w:val="004362EC"/>
    <w:rsid w:val="004365DF"/>
    <w:rsid w:val="004365E7"/>
    <w:rsid w:val="00436814"/>
    <w:rsid w:val="00436884"/>
    <w:rsid w:val="00436AD7"/>
    <w:rsid w:val="00436B43"/>
    <w:rsid w:val="00436CB0"/>
    <w:rsid w:val="00437343"/>
    <w:rsid w:val="004373AB"/>
    <w:rsid w:val="00437693"/>
    <w:rsid w:val="00437852"/>
    <w:rsid w:val="0043790F"/>
    <w:rsid w:val="00437FD7"/>
    <w:rsid w:val="00440171"/>
    <w:rsid w:val="004401AA"/>
    <w:rsid w:val="004403BF"/>
    <w:rsid w:val="004403C6"/>
    <w:rsid w:val="00440517"/>
    <w:rsid w:val="0044079A"/>
    <w:rsid w:val="00440823"/>
    <w:rsid w:val="00440A89"/>
    <w:rsid w:val="00440D12"/>
    <w:rsid w:val="00440E81"/>
    <w:rsid w:val="00441003"/>
    <w:rsid w:val="0044147B"/>
    <w:rsid w:val="00441D10"/>
    <w:rsid w:val="00441DF3"/>
    <w:rsid w:val="00441F7A"/>
    <w:rsid w:val="004425BF"/>
    <w:rsid w:val="00442695"/>
    <w:rsid w:val="004427B4"/>
    <w:rsid w:val="00442A3E"/>
    <w:rsid w:val="00442B9D"/>
    <w:rsid w:val="00442C5F"/>
    <w:rsid w:val="00442CBC"/>
    <w:rsid w:val="00442D1A"/>
    <w:rsid w:val="00442F11"/>
    <w:rsid w:val="00443250"/>
    <w:rsid w:val="0044349E"/>
    <w:rsid w:val="00443990"/>
    <w:rsid w:val="00443C11"/>
    <w:rsid w:val="0044406C"/>
    <w:rsid w:val="00444130"/>
    <w:rsid w:val="004443A7"/>
    <w:rsid w:val="00444499"/>
    <w:rsid w:val="004449A7"/>
    <w:rsid w:val="00444C31"/>
    <w:rsid w:val="00444D7F"/>
    <w:rsid w:val="00444F65"/>
    <w:rsid w:val="004454A1"/>
    <w:rsid w:val="004454C9"/>
    <w:rsid w:val="00445BB8"/>
    <w:rsid w:val="00445EB6"/>
    <w:rsid w:val="00445FA5"/>
    <w:rsid w:val="00446020"/>
    <w:rsid w:val="004461D5"/>
    <w:rsid w:val="004464EB"/>
    <w:rsid w:val="00446905"/>
    <w:rsid w:val="00446BF4"/>
    <w:rsid w:val="0044738F"/>
    <w:rsid w:val="00447646"/>
    <w:rsid w:val="004478B8"/>
    <w:rsid w:val="00447F98"/>
    <w:rsid w:val="004503B3"/>
    <w:rsid w:val="004503D0"/>
    <w:rsid w:val="0045073A"/>
    <w:rsid w:val="00450824"/>
    <w:rsid w:val="00450C91"/>
    <w:rsid w:val="00450D85"/>
    <w:rsid w:val="00450DD5"/>
    <w:rsid w:val="00450DFA"/>
    <w:rsid w:val="004511A9"/>
    <w:rsid w:val="0045143B"/>
    <w:rsid w:val="00451545"/>
    <w:rsid w:val="00451559"/>
    <w:rsid w:val="0045168D"/>
    <w:rsid w:val="0045188A"/>
    <w:rsid w:val="004518CA"/>
    <w:rsid w:val="0045199B"/>
    <w:rsid w:val="00451AAD"/>
    <w:rsid w:val="00451C69"/>
    <w:rsid w:val="00451DD3"/>
    <w:rsid w:val="0045208D"/>
    <w:rsid w:val="0045243E"/>
    <w:rsid w:val="00452FE8"/>
    <w:rsid w:val="00453119"/>
    <w:rsid w:val="004531D7"/>
    <w:rsid w:val="00453221"/>
    <w:rsid w:val="00453316"/>
    <w:rsid w:val="00453318"/>
    <w:rsid w:val="0045361E"/>
    <w:rsid w:val="004537EC"/>
    <w:rsid w:val="00453AFD"/>
    <w:rsid w:val="00453DE9"/>
    <w:rsid w:val="00453ED0"/>
    <w:rsid w:val="00453F3E"/>
    <w:rsid w:val="0045425A"/>
    <w:rsid w:val="00454556"/>
    <w:rsid w:val="004546AE"/>
    <w:rsid w:val="00454724"/>
    <w:rsid w:val="004547EF"/>
    <w:rsid w:val="00454861"/>
    <w:rsid w:val="00454AAE"/>
    <w:rsid w:val="00454D7F"/>
    <w:rsid w:val="00455103"/>
    <w:rsid w:val="004553D0"/>
    <w:rsid w:val="004559FA"/>
    <w:rsid w:val="00455A09"/>
    <w:rsid w:val="00455D45"/>
    <w:rsid w:val="00455DCE"/>
    <w:rsid w:val="00456375"/>
    <w:rsid w:val="0045658E"/>
    <w:rsid w:val="0045663D"/>
    <w:rsid w:val="004566D2"/>
    <w:rsid w:val="004567B6"/>
    <w:rsid w:val="00456931"/>
    <w:rsid w:val="0045697D"/>
    <w:rsid w:val="00456AE1"/>
    <w:rsid w:val="00456C4C"/>
    <w:rsid w:val="00456E87"/>
    <w:rsid w:val="0045738B"/>
    <w:rsid w:val="004573C1"/>
    <w:rsid w:val="004573EB"/>
    <w:rsid w:val="004601D4"/>
    <w:rsid w:val="00460253"/>
    <w:rsid w:val="00460594"/>
    <w:rsid w:val="004605B5"/>
    <w:rsid w:val="00460716"/>
    <w:rsid w:val="0046078C"/>
    <w:rsid w:val="004607FF"/>
    <w:rsid w:val="00460B49"/>
    <w:rsid w:val="00461071"/>
    <w:rsid w:val="004615B2"/>
    <w:rsid w:val="00461803"/>
    <w:rsid w:val="004618D6"/>
    <w:rsid w:val="00461AC3"/>
    <w:rsid w:val="00461CB8"/>
    <w:rsid w:val="00461ED0"/>
    <w:rsid w:val="004624C3"/>
    <w:rsid w:val="00462DC0"/>
    <w:rsid w:val="00462F2A"/>
    <w:rsid w:val="00463113"/>
    <w:rsid w:val="00463254"/>
    <w:rsid w:val="004635C1"/>
    <w:rsid w:val="004639FC"/>
    <w:rsid w:val="00463C63"/>
    <w:rsid w:val="00463DD7"/>
    <w:rsid w:val="00464019"/>
    <w:rsid w:val="00464595"/>
    <w:rsid w:val="0046474D"/>
    <w:rsid w:val="0046487D"/>
    <w:rsid w:val="00464F73"/>
    <w:rsid w:val="00465027"/>
    <w:rsid w:val="004652E8"/>
    <w:rsid w:val="0046536D"/>
    <w:rsid w:val="00465783"/>
    <w:rsid w:val="00465A7E"/>
    <w:rsid w:val="00465B63"/>
    <w:rsid w:val="00465CEE"/>
    <w:rsid w:val="00465F22"/>
    <w:rsid w:val="00465F5E"/>
    <w:rsid w:val="00465F62"/>
    <w:rsid w:val="004660B7"/>
    <w:rsid w:val="00466141"/>
    <w:rsid w:val="004661B9"/>
    <w:rsid w:val="004661CF"/>
    <w:rsid w:val="004662D2"/>
    <w:rsid w:val="0046646F"/>
    <w:rsid w:val="004665C7"/>
    <w:rsid w:val="00466739"/>
    <w:rsid w:val="00466D4E"/>
    <w:rsid w:val="004672AC"/>
    <w:rsid w:val="0046781C"/>
    <w:rsid w:val="00467A3B"/>
    <w:rsid w:val="00467C4D"/>
    <w:rsid w:val="0047016E"/>
    <w:rsid w:val="0047044F"/>
    <w:rsid w:val="0047063B"/>
    <w:rsid w:val="00470BD7"/>
    <w:rsid w:val="00470CB8"/>
    <w:rsid w:val="004711DE"/>
    <w:rsid w:val="004714B5"/>
    <w:rsid w:val="00471820"/>
    <w:rsid w:val="004718B6"/>
    <w:rsid w:val="00471B49"/>
    <w:rsid w:val="004720B4"/>
    <w:rsid w:val="0047232E"/>
    <w:rsid w:val="0047233B"/>
    <w:rsid w:val="00472675"/>
    <w:rsid w:val="004726AB"/>
    <w:rsid w:val="0047284C"/>
    <w:rsid w:val="00472894"/>
    <w:rsid w:val="00472B02"/>
    <w:rsid w:val="00472B6D"/>
    <w:rsid w:val="00472C43"/>
    <w:rsid w:val="00472CC9"/>
    <w:rsid w:val="00472D80"/>
    <w:rsid w:val="004731F9"/>
    <w:rsid w:val="0047324D"/>
    <w:rsid w:val="004734C9"/>
    <w:rsid w:val="004734E9"/>
    <w:rsid w:val="004737D7"/>
    <w:rsid w:val="00473934"/>
    <w:rsid w:val="00473938"/>
    <w:rsid w:val="00473F9A"/>
    <w:rsid w:val="004740F8"/>
    <w:rsid w:val="0047421B"/>
    <w:rsid w:val="0047431A"/>
    <w:rsid w:val="004746ED"/>
    <w:rsid w:val="00474C7C"/>
    <w:rsid w:val="00474E31"/>
    <w:rsid w:val="00474FF6"/>
    <w:rsid w:val="004750EA"/>
    <w:rsid w:val="0047516D"/>
    <w:rsid w:val="00475338"/>
    <w:rsid w:val="0047542D"/>
    <w:rsid w:val="004755A0"/>
    <w:rsid w:val="00475A73"/>
    <w:rsid w:val="00475BC6"/>
    <w:rsid w:val="00475C68"/>
    <w:rsid w:val="004761BA"/>
    <w:rsid w:val="00476462"/>
    <w:rsid w:val="00476498"/>
    <w:rsid w:val="00476558"/>
    <w:rsid w:val="00476583"/>
    <w:rsid w:val="004765F3"/>
    <w:rsid w:val="00476CDE"/>
    <w:rsid w:val="004770D2"/>
    <w:rsid w:val="004770E1"/>
    <w:rsid w:val="0047741A"/>
    <w:rsid w:val="00477867"/>
    <w:rsid w:val="00477ED0"/>
    <w:rsid w:val="00480CAB"/>
    <w:rsid w:val="00480D22"/>
    <w:rsid w:val="00480D8E"/>
    <w:rsid w:val="00480EF0"/>
    <w:rsid w:val="0048120D"/>
    <w:rsid w:val="004812B4"/>
    <w:rsid w:val="004812F7"/>
    <w:rsid w:val="0048157A"/>
    <w:rsid w:val="0048188F"/>
    <w:rsid w:val="00481A4F"/>
    <w:rsid w:val="00481A83"/>
    <w:rsid w:val="00481E8B"/>
    <w:rsid w:val="0048216D"/>
    <w:rsid w:val="00482480"/>
    <w:rsid w:val="0048271C"/>
    <w:rsid w:val="004828D8"/>
    <w:rsid w:val="00482952"/>
    <w:rsid w:val="0048304C"/>
    <w:rsid w:val="00483277"/>
    <w:rsid w:val="00483551"/>
    <w:rsid w:val="00483928"/>
    <w:rsid w:val="00483A9A"/>
    <w:rsid w:val="00483FD6"/>
    <w:rsid w:val="004840B6"/>
    <w:rsid w:val="0048460D"/>
    <w:rsid w:val="00484676"/>
    <w:rsid w:val="00484750"/>
    <w:rsid w:val="00484CAC"/>
    <w:rsid w:val="00485404"/>
    <w:rsid w:val="004854DB"/>
    <w:rsid w:val="00485632"/>
    <w:rsid w:val="00485AE1"/>
    <w:rsid w:val="00485DF5"/>
    <w:rsid w:val="00485FD2"/>
    <w:rsid w:val="004863CA"/>
    <w:rsid w:val="004867E2"/>
    <w:rsid w:val="004869F3"/>
    <w:rsid w:val="00486BD1"/>
    <w:rsid w:val="00486CED"/>
    <w:rsid w:val="00486DAE"/>
    <w:rsid w:val="00486E9A"/>
    <w:rsid w:val="0048714F"/>
    <w:rsid w:val="0048716E"/>
    <w:rsid w:val="0048756C"/>
    <w:rsid w:val="00487652"/>
    <w:rsid w:val="004876A2"/>
    <w:rsid w:val="004876BB"/>
    <w:rsid w:val="004876C7"/>
    <w:rsid w:val="00487E00"/>
    <w:rsid w:val="004900E6"/>
    <w:rsid w:val="00490170"/>
    <w:rsid w:val="004901BE"/>
    <w:rsid w:val="00490231"/>
    <w:rsid w:val="0049057A"/>
    <w:rsid w:val="00490850"/>
    <w:rsid w:val="00490984"/>
    <w:rsid w:val="00490A82"/>
    <w:rsid w:val="00490B28"/>
    <w:rsid w:val="00490D3D"/>
    <w:rsid w:val="004912DB"/>
    <w:rsid w:val="00491956"/>
    <w:rsid w:val="00491B3A"/>
    <w:rsid w:val="00491CEC"/>
    <w:rsid w:val="00491EC1"/>
    <w:rsid w:val="00492039"/>
    <w:rsid w:val="0049206B"/>
    <w:rsid w:val="0049214A"/>
    <w:rsid w:val="00492284"/>
    <w:rsid w:val="0049250A"/>
    <w:rsid w:val="00492585"/>
    <w:rsid w:val="004927BD"/>
    <w:rsid w:val="00492903"/>
    <w:rsid w:val="00492CFD"/>
    <w:rsid w:val="00492ECE"/>
    <w:rsid w:val="00493112"/>
    <w:rsid w:val="00493337"/>
    <w:rsid w:val="004933C5"/>
    <w:rsid w:val="004934F5"/>
    <w:rsid w:val="00493563"/>
    <w:rsid w:val="00493572"/>
    <w:rsid w:val="00493C18"/>
    <w:rsid w:val="00493CAB"/>
    <w:rsid w:val="00493F1B"/>
    <w:rsid w:val="00494140"/>
    <w:rsid w:val="004948B2"/>
    <w:rsid w:val="004948BB"/>
    <w:rsid w:val="00494CBF"/>
    <w:rsid w:val="00494F73"/>
    <w:rsid w:val="004951F5"/>
    <w:rsid w:val="0049523A"/>
    <w:rsid w:val="00495275"/>
    <w:rsid w:val="00495439"/>
    <w:rsid w:val="004959F8"/>
    <w:rsid w:val="00495AE6"/>
    <w:rsid w:val="00495B3C"/>
    <w:rsid w:val="00495D66"/>
    <w:rsid w:val="004962D2"/>
    <w:rsid w:val="004964AD"/>
    <w:rsid w:val="004967F0"/>
    <w:rsid w:val="00496CC8"/>
    <w:rsid w:val="00497221"/>
    <w:rsid w:val="00497301"/>
    <w:rsid w:val="0049738E"/>
    <w:rsid w:val="004973B4"/>
    <w:rsid w:val="0049742E"/>
    <w:rsid w:val="00497459"/>
    <w:rsid w:val="00497519"/>
    <w:rsid w:val="0049751B"/>
    <w:rsid w:val="004975A0"/>
    <w:rsid w:val="00497680"/>
    <w:rsid w:val="00497944"/>
    <w:rsid w:val="004979E0"/>
    <w:rsid w:val="00497B32"/>
    <w:rsid w:val="00497E77"/>
    <w:rsid w:val="004A0097"/>
    <w:rsid w:val="004A0332"/>
    <w:rsid w:val="004A07A8"/>
    <w:rsid w:val="004A082B"/>
    <w:rsid w:val="004A09A3"/>
    <w:rsid w:val="004A0B9D"/>
    <w:rsid w:val="004A0BD9"/>
    <w:rsid w:val="004A0C26"/>
    <w:rsid w:val="004A0CE9"/>
    <w:rsid w:val="004A0D17"/>
    <w:rsid w:val="004A0D83"/>
    <w:rsid w:val="004A0DA1"/>
    <w:rsid w:val="004A1131"/>
    <w:rsid w:val="004A114A"/>
    <w:rsid w:val="004A1177"/>
    <w:rsid w:val="004A11AB"/>
    <w:rsid w:val="004A173A"/>
    <w:rsid w:val="004A1842"/>
    <w:rsid w:val="004A1947"/>
    <w:rsid w:val="004A1B7C"/>
    <w:rsid w:val="004A1E2C"/>
    <w:rsid w:val="004A1FF1"/>
    <w:rsid w:val="004A2074"/>
    <w:rsid w:val="004A2B08"/>
    <w:rsid w:val="004A2B19"/>
    <w:rsid w:val="004A2CED"/>
    <w:rsid w:val="004A2CFC"/>
    <w:rsid w:val="004A2F49"/>
    <w:rsid w:val="004A3DF6"/>
    <w:rsid w:val="004A4019"/>
    <w:rsid w:val="004A4086"/>
    <w:rsid w:val="004A4159"/>
    <w:rsid w:val="004A419E"/>
    <w:rsid w:val="004A49DF"/>
    <w:rsid w:val="004A4A9B"/>
    <w:rsid w:val="004A4AA6"/>
    <w:rsid w:val="004A4C32"/>
    <w:rsid w:val="004A4E95"/>
    <w:rsid w:val="004A53DD"/>
    <w:rsid w:val="004A54F0"/>
    <w:rsid w:val="004A5D6D"/>
    <w:rsid w:val="004A602B"/>
    <w:rsid w:val="004A6597"/>
    <w:rsid w:val="004A669B"/>
    <w:rsid w:val="004A6F76"/>
    <w:rsid w:val="004A708B"/>
    <w:rsid w:val="004A7111"/>
    <w:rsid w:val="004A727A"/>
    <w:rsid w:val="004A7B07"/>
    <w:rsid w:val="004B025A"/>
    <w:rsid w:val="004B08E1"/>
    <w:rsid w:val="004B0AD6"/>
    <w:rsid w:val="004B0AFB"/>
    <w:rsid w:val="004B0C03"/>
    <w:rsid w:val="004B12F1"/>
    <w:rsid w:val="004B157C"/>
    <w:rsid w:val="004B1590"/>
    <w:rsid w:val="004B1691"/>
    <w:rsid w:val="004B16B8"/>
    <w:rsid w:val="004B1978"/>
    <w:rsid w:val="004B1CB4"/>
    <w:rsid w:val="004B1DDF"/>
    <w:rsid w:val="004B2186"/>
    <w:rsid w:val="004B27A3"/>
    <w:rsid w:val="004B290D"/>
    <w:rsid w:val="004B29E5"/>
    <w:rsid w:val="004B2CB0"/>
    <w:rsid w:val="004B2F18"/>
    <w:rsid w:val="004B3164"/>
    <w:rsid w:val="004B316D"/>
    <w:rsid w:val="004B325A"/>
    <w:rsid w:val="004B32A1"/>
    <w:rsid w:val="004B3346"/>
    <w:rsid w:val="004B3757"/>
    <w:rsid w:val="004B3993"/>
    <w:rsid w:val="004B3A87"/>
    <w:rsid w:val="004B3DDB"/>
    <w:rsid w:val="004B41EB"/>
    <w:rsid w:val="004B439B"/>
    <w:rsid w:val="004B44BC"/>
    <w:rsid w:val="004B44FD"/>
    <w:rsid w:val="004B4745"/>
    <w:rsid w:val="004B494E"/>
    <w:rsid w:val="004B4F33"/>
    <w:rsid w:val="004B5039"/>
    <w:rsid w:val="004B5565"/>
    <w:rsid w:val="004B58D7"/>
    <w:rsid w:val="004B58DF"/>
    <w:rsid w:val="004B59D4"/>
    <w:rsid w:val="004B5A70"/>
    <w:rsid w:val="004B5A9E"/>
    <w:rsid w:val="004B5BAB"/>
    <w:rsid w:val="004B5CFC"/>
    <w:rsid w:val="004B619C"/>
    <w:rsid w:val="004B6406"/>
    <w:rsid w:val="004B65A8"/>
    <w:rsid w:val="004B6682"/>
    <w:rsid w:val="004B6BCE"/>
    <w:rsid w:val="004B76F0"/>
    <w:rsid w:val="004B7911"/>
    <w:rsid w:val="004B7BD3"/>
    <w:rsid w:val="004C0408"/>
    <w:rsid w:val="004C053A"/>
    <w:rsid w:val="004C076B"/>
    <w:rsid w:val="004C0792"/>
    <w:rsid w:val="004C0980"/>
    <w:rsid w:val="004C0B31"/>
    <w:rsid w:val="004C0DBD"/>
    <w:rsid w:val="004C0EC2"/>
    <w:rsid w:val="004C13AE"/>
    <w:rsid w:val="004C1ADF"/>
    <w:rsid w:val="004C1CC4"/>
    <w:rsid w:val="004C1DCE"/>
    <w:rsid w:val="004C1DDF"/>
    <w:rsid w:val="004C1F69"/>
    <w:rsid w:val="004C2077"/>
    <w:rsid w:val="004C23D6"/>
    <w:rsid w:val="004C26C0"/>
    <w:rsid w:val="004C28B5"/>
    <w:rsid w:val="004C2A3E"/>
    <w:rsid w:val="004C2D34"/>
    <w:rsid w:val="004C2D6E"/>
    <w:rsid w:val="004C2EE1"/>
    <w:rsid w:val="004C301D"/>
    <w:rsid w:val="004C31B0"/>
    <w:rsid w:val="004C32E2"/>
    <w:rsid w:val="004C353E"/>
    <w:rsid w:val="004C3662"/>
    <w:rsid w:val="004C3F1C"/>
    <w:rsid w:val="004C3F86"/>
    <w:rsid w:val="004C437C"/>
    <w:rsid w:val="004C45F4"/>
    <w:rsid w:val="004C462B"/>
    <w:rsid w:val="004C4819"/>
    <w:rsid w:val="004C4962"/>
    <w:rsid w:val="004C4AED"/>
    <w:rsid w:val="004C4C24"/>
    <w:rsid w:val="004C4E01"/>
    <w:rsid w:val="004C4E2A"/>
    <w:rsid w:val="004C4E44"/>
    <w:rsid w:val="004C4F29"/>
    <w:rsid w:val="004C503C"/>
    <w:rsid w:val="004C5210"/>
    <w:rsid w:val="004C5240"/>
    <w:rsid w:val="004C5325"/>
    <w:rsid w:val="004C56AC"/>
    <w:rsid w:val="004C594B"/>
    <w:rsid w:val="004C6239"/>
    <w:rsid w:val="004C63C9"/>
    <w:rsid w:val="004C6532"/>
    <w:rsid w:val="004C6913"/>
    <w:rsid w:val="004C72BB"/>
    <w:rsid w:val="004C7903"/>
    <w:rsid w:val="004C7910"/>
    <w:rsid w:val="004C7C6A"/>
    <w:rsid w:val="004C7D8A"/>
    <w:rsid w:val="004D048E"/>
    <w:rsid w:val="004D0532"/>
    <w:rsid w:val="004D059B"/>
    <w:rsid w:val="004D0662"/>
    <w:rsid w:val="004D0818"/>
    <w:rsid w:val="004D0BBA"/>
    <w:rsid w:val="004D107F"/>
    <w:rsid w:val="004D11A5"/>
    <w:rsid w:val="004D11E1"/>
    <w:rsid w:val="004D1797"/>
    <w:rsid w:val="004D1798"/>
    <w:rsid w:val="004D1910"/>
    <w:rsid w:val="004D1AC8"/>
    <w:rsid w:val="004D1B42"/>
    <w:rsid w:val="004D1D20"/>
    <w:rsid w:val="004D1D38"/>
    <w:rsid w:val="004D28BA"/>
    <w:rsid w:val="004D2E5C"/>
    <w:rsid w:val="004D30FC"/>
    <w:rsid w:val="004D32AB"/>
    <w:rsid w:val="004D3794"/>
    <w:rsid w:val="004D3B3F"/>
    <w:rsid w:val="004D3BD8"/>
    <w:rsid w:val="004D3D8E"/>
    <w:rsid w:val="004D3F14"/>
    <w:rsid w:val="004D3F41"/>
    <w:rsid w:val="004D4A03"/>
    <w:rsid w:val="004D4E5E"/>
    <w:rsid w:val="004D5371"/>
    <w:rsid w:val="004D54AF"/>
    <w:rsid w:val="004D573A"/>
    <w:rsid w:val="004D5955"/>
    <w:rsid w:val="004D5A19"/>
    <w:rsid w:val="004D5B80"/>
    <w:rsid w:val="004D5FA4"/>
    <w:rsid w:val="004D605C"/>
    <w:rsid w:val="004D650B"/>
    <w:rsid w:val="004D65A7"/>
    <w:rsid w:val="004D671C"/>
    <w:rsid w:val="004D67A1"/>
    <w:rsid w:val="004D697E"/>
    <w:rsid w:val="004D6FC1"/>
    <w:rsid w:val="004D70AC"/>
    <w:rsid w:val="004D7139"/>
    <w:rsid w:val="004D750E"/>
    <w:rsid w:val="004D7587"/>
    <w:rsid w:val="004D7B14"/>
    <w:rsid w:val="004E0000"/>
    <w:rsid w:val="004E0057"/>
    <w:rsid w:val="004E005B"/>
    <w:rsid w:val="004E0252"/>
    <w:rsid w:val="004E02E6"/>
    <w:rsid w:val="004E0471"/>
    <w:rsid w:val="004E0486"/>
    <w:rsid w:val="004E054D"/>
    <w:rsid w:val="004E06D0"/>
    <w:rsid w:val="004E0CB4"/>
    <w:rsid w:val="004E0E8D"/>
    <w:rsid w:val="004E0EB8"/>
    <w:rsid w:val="004E1128"/>
    <w:rsid w:val="004E1548"/>
    <w:rsid w:val="004E197C"/>
    <w:rsid w:val="004E197F"/>
    <w:rsid w:val="004E1995"/>
    <w:rsid w:val="004E201E"/>
    <w:rsid w:val="004E2031"/>
    <w:rsid w:val="004E2408"/>
    <w:rsid w:val="004E29B7"/>
    <w:rsid w:val="004E2A6B"/>
    <w:rsid w:val="004E2AB2"/>
    <w:rsid w:val="004E2ADC"/>
    <w:rsid w:val="004E2DE5"/>
    <w:rsid w:val="004E2FD2"/>
    <w:rsid w:val="004E395C"/>
    <w:rsid w:val="004E3D64"/>
    <w:rsid w:val="004E3E05"/>
    <w:rsid w:val="004E3E08"/>
    <w:rsid w:val="004E4015"/>
    <w:rsid w:val="004E4049"/>
    <w:rsid w:val="004E40EC"/>
    <w:rsid w:val="004E4133"/>
    <w:rsid w:val="004E41DF"/>
    <w:rsid w:val="004E4322"/>
    <w:rsid w:val="004E43B2"/>
    <w:rsid w:val="004E43DF"/>
    <w:rsid w:val="004E44F9"/>
    <w:rsid w:val="004E4EDD"/>
    <w:rsid w:val="004E4F7C"/>
    <w:rsid w:val="004E57BF"/>
    <w:rsid w:val="004E57D4"/>
    <w:rsid w:val="004E5B61"/>
    <w:rsid w:val="004E5D5F"/>
    <w:rsid w:val="004E5F69"/>
    <w:rsid w:val="004E5FC7"/>
    <w:rsid w:val="004E626A"/>
    <w:rsid w:val="004E6359"/>
    <w:rsid w:val="004E648E"/>
    <w:rsid w:val="004E66AB"/>
    <w:rsid w:val="004E674B"/>
    <w:rsid w:val="004E68AC"/>
    <w:rsid w:val="004E6A1B"/>
    <w:rsid w:val="004E7567"/>
    <w:rsid w:val="004E76AF"/>
    <w:rsid w:val="004E77C2"/>
    <w:rsid w:val="004E795C"/>
    <w:rsid w:val="004E7AC9"/>
    <w:rsid w:val="004E7BC8"/>
    <w:rsid w:val="004E7CEC"/>
    <w:rsid w:val="004E7DC8"/>
    <w:rsid w:val="004E7E11"/>
    <w:rsid w:val="004F070E"/>
    <w:rsid w:val="004F07CC"/>
    <w:rsid w:val="004F0A4F"/>
    <w:rsid w:val="004F0B1C"/>
    <w:rsid w:val="004F0B1D"/>
    <w:rsid w:val="004F1238"/>
    <w:rsid w:val="004F141B"/>
    <w:rsid w:val="004F1511"/>
    <w:rsid w:val="004F171D"/>
    <w:rsid w:val="004F1876"/>
    <w:rsid w:val="004F1CC4"/>
    <w:rsid w:val="004F1D02"/>
    <w:rsid w:val="004F1E2C"/>
    <w:rsid w:val="004F2496"/>
    <w:rsid w:val="004F24D6"/>
    <w:rsid w:val="004F2679"/>
    <w:rsid w:val="004F2724"/>
    <w:rsid w:val="004F277F"/>
    <w:rsid w:val="004F2E3A"/>
    <w:rsid w:val="004F3073"/>
    <w:rsid w:val="004F31D6"/>
    <w:rsid w:val="004F343C"/>
    <w:rsid w:val="004F3549"/>
    <w:rsid w:val="004F3568"/>
    <w:rsid w:val="004F3EBB"/>
    <w:rsid w:val="004F4650"/>
    <w:rsid w:val="004F4835"/>
    <w:rsid w:val="004F4917"/>
    <w:rsid w:val="004F4B34"/>
    <w:rsid w:val="004F5127"/>
    <w:rsid w:val="004F51F7"/>
    <w:rsid w:val="004F548E"/>
    <w:rsid w:val="004F676A"/>
    <w:rsid w:val="004F67C3"/>
    <w:rsid w:val="004F6B1C"/>
    <w:rsid w:val="004F6CA4"/>
    <w:rsid w:val="004F6D3A"/>
    <w:rsid w:val="004F6DBC"/>
    <w:rsid w:val="004F6ECE"/>
    <w:rsid w:val="004F71C9"/>
    <w:rsid w:val="004F7865"/>
    <w:rsid w:val="004F7DA7"/>
    <w:rsid w:val="0050038D"/>
    <w:rsid w:val="005006D1"/>
    <w:rsid w:val="00500994"/>
    <w:rsid w:val="00500A1E"/>
    <w:rsid w:val="00500D85"/>
    <w:rsid w:val="005013BC"/>
    <w:rsid w:val="00501930"/>
    <w:rsid w:val="00501A65"/>
    <w:rsid w:val="00501D5F"/>
    <w:rsid w:val="00501DFB"/>
    <w:rsid w:val="00501E92"/>
    <w:rsid w:val="005022AC"/>
    <w:rsid w:val="00502754"/>
    <w:rsid w:val="005027B0"/>
    <w:rsid w:val="00502999"/>
    <w:rsid w:val="0050303F"/>
    <w:rsid w:val="005033AF"/>
    <w:rsid w:val="00503760"/>
    <w:rsid w:val="005039FC"/>
    <w:rsid w:val="00503EF7"/>
    <w:rsid w:val="00504484"/>
    <w:rsid w:val="005045D8"/>
    <w:rsid w:val="00504659"/>
    <w:rsid w:val="00504935"/>
    <w:rsid w:val="00504989"/>
    <w:rsid w:val="005049D0"/>
    <w:rsid w:val="00504B57"/>
    <w:rsid w:val="00504F9A"/>
    <w:rsid w:val="00505318"/>
    <w:rsid w:val="00505A19"/>
    <w:rsid w:val="00505BC7"/>
    <w:rsid w:val="00505FD1"/>
    <w:rsid w:val="0050600F"/>
    <w:rsid w:val="0050607F"/>
    <w:rsid w:val="005063D3"/>
    <w:rsid w:val="0050646B"/>
    <w:rsid w:val="00506502"/>
    <w:rsid w:val="0050653A"/>
    <w:rsid w:val="00506928"/>
    <w:rsid w:val="00506A71"/>
    <w:rsid w:val="00506B77"/>
    <w:rsid w:val="00506BCB"/>
    <w:rsid w:val="005073C6"/>
    <w:rsid w:val="005075DA"/>
    <w:rsid w:val="005076E9"/>
    <w:rsid w:val="00507C4F"/>
    <w:rsid w:val="0051037B"/>
    <w:rsid w:val="0051053C"/>
    <w:rsid w:val="00510553"/>
    <w:rsid w:val="00510952"/>
    <w:rsid w:val="00510AF7"/>
    <w:rsid w:val="00510E5B"/>
    <w:rsid w:val="00511120"/>
    <w:rsid w:val="00511348"/>
    <w:rsid w:val="00511BDC"/>
    <w:rsid w:val="00511D56"/>
    <w:rsid w:val="00511F0B"/>
    <w:rsid w:val="00512523"/>
    <w:rsid w:val="00512761"/>
    <w:rsid w:val="005132E0"/>
    <w:rsid w:val="00513404"/>
    <w:rsid w:val="00513A68"/>
    <w:rsid w:val="005140DA"/>
    <w:rsid w:val="00514321"/>
    <w:rsid w:val="0051448B"/>
    <w:rsid w:val="005147E3"/>
    <w:rsid w:val="00514D72"/>
    <w:rsid w:val="00515164"/>
    <w:rsid w:val="0051524A"/>
    <w:rsid w:val="005152B5"/>
    <w:rsid w:val="005154FA"/>
    <w:rsid w:val="00515650"/>
    <w:rsid w:val="005159BC"/>
    <w:rsid w:val="00515BFB"/>
    <w:rsid w:val="00516123"/>
    <w:rsid w:val="00516218"/>
    <w:rsid w:val="005167C2"/>
    <w:rsid w:val="00516BEE"/>
    <w:rsid w:val="00516EF8"/>
    <w:rsid w:val="00516FB2"/>
    <w:rsid w:val="00516FCA"/>
    <w:rsid w:val="00516FEB"/>
    <w:rsid w:val="00517283"/>
    <w:rsid w:val="00517385"/>
    <w:rsid w:val="0051754B"/>
    <w:rsid w:val="00517AE1"/>
    <w:rsid w:val="00517AED"/>
    <w:rsid w:val="00517D46"/>
    <w:rsid w:val="00517D96"/>
    <w:rsid w:val="00517FF3"/>
    <w:rsid w:val="005209D9"/>
    <w:rsid w:val="00521305"/>
    <w:rsid w:val="00521319"/>
    <w:rsid w:val="00521D38"/>
    <w:rsid w:val="00521DD0"/>
    <w:rsid w:val="0052264A"/>
    <w:rsid w:val="00522943"/>
    <w:rsid w:val="00522969"/>
    <w:rsid w:val="00522B52"/>
    <w:rsid w:val="00522C87"/>
    <w:rsid w:val="00523148"/>
    <w:rsid w:val="00523629"/>
    <w:rsid w:val="00523BCB"/>
    <w:rsid w:val="00523C23"/>
    <w:rsid w:val="00523C28"/>
    <w:rsid w:val="00524011"/>
    <w:rsid w:val="005240DD"/>
    <w:rsid w:val="005241E9"/>
    <w:rsid w:val="00524479"/>
    <w:rsid w:val="00524824"/>
    <w:rsid w:val="00524840"/>
    <w:rsid w:val="0052491E"/>
    <w:rsid w:val="00524988"/>
    <w:rsid w:val="00524A30"/>
    <w:rsid w:val="00524CA1"/>
    <w:rsid w:val="0052514F"/>
    <w:rsid w:val="005253F2"/>
    <w:rsid w:val="005256AC"/>
    <w:rsid w:val="005257E0"/>
    <w:rsid w:val="00525918"/>
    <w:rsid w:val="00525B13"/>
    <w:rsid w:val="00525C47"/>
    <w:rsid w:val="0052611C"/>
    <w:rsid w:val="00526939"/>
    <w:rsid w:val="005269E1"/>
    <w:rsid w:val="00526E04"/>
    <w:rsid w:val="00526EA8"/>
    <w:rsid w:val="00527233"/>
    <w:rsid w:val="00527653"/>
    <w:rsid w:val="005278E4"/>
    <w:rsid w:val="00527A56"/>
    <w:rsid w:val="00527AF6"/>
    <w:rsid w:val="00527E64"/>
    <w:rsid w:val="00530377"/>
    <w:rsid w:val="00530BFD"/>
    <w:rsid w:val="00530CDF"/>
    <w:rsid w:val="00531023"/>
    <w:rsid w:val="005310BF"/>
    <w:rsid w:val="005311C8"/>
    <w:rsid w:val="00531BE6"/>
    <w:rsid w:val="00531C6A"/>
    <w:rsid w:val="00531E85"/>
    <w:rsid w:val="00532005"/>
    <w:rsid w:val="0053205B"/>
    <w:rsid w:val="005325FC"/>
    <w:rsid w:val="00532984"/>
    <w:rsid w:val="00532D81"/>
    <w:rsid w:val="005331D9"/>
    <w:rsid w:val="005332E0"/>
    <w:rsid w:val="00533B2D"/>
    <w:rsid w:val="00533B4D"/>
    <w:rsid w:val="00533BC3"/>
    <w:rsid w:val="00533F29"/>
    <w:rsid w:val="00534475"/>
    <w:rsid w:val="00534B96"/>
    <w:rsid w:val="00534EE7"/>
    <w:rsid w:val="005351FE"/>
    <w:rsid w:val="0053546A"/>
    <w:rsid w:val="005354C1"/>
    <w:rsid w:val="005357F7"/>
    <w:rsid w:val="0053582D"/>
    <w:rsid w:val="00535A60"/>
    <w:rsid w:val="00535B99"/>
    <w:rsid w:val="00535BB4"/>
    <w:rsid w:val="00535D11"/>
    <w:rsid w:val="00536652"/>
    <w:rsid w:val="005366F3"/>
    <w:rsid w:val="00536875"/>
    <w:rsid w:val="0053689D"/>
    <w:rsid w:val="0053696C"/>
    <w:rsid w:val="00536A41"/>
    <w:rsid w:val="00536E17"/>
    <w:rsid w:val="005374A1"/>
    <w:rsid w:val="005379C4"/>
    <w:rsid w:val="00537C4A"/>
    <w:rsid w:val="00537CB3"/>
    <w:rsid w:val="00537CC8"/>
    <w:rsid w:val="0054034E"/>
    <w:rsid w:val="00540859"/>
    <w:rsid w:val="005408C8"/>
    <w:rsid w:val="00540D6E"/>
    <w:rsid w:val="00540D87"/>
    <w:rsid w:val="00540F29"/>
    <w:rsid w:val="00541211"/>
    <w:rsid w:val="005412D9"/>
    <w:rsid w:val="00541360"/>
    <w:rsid w:val="0054154A"/>
    <w:rsid w:val="005419D9"/>
    <w:rsid w:val="005421F9"/>
    <w:rsid w:val="00542273"/>
    <w:rsid w:val="00542302"/>
    <w:rsid w:val="0054248E"/>
    <w:rsid w:val="00542574"/>
    <w:rsid w:val="00542694"/>
    <w:rsid w:val="00542EA6"/>
    <w:rsid w:val="00542F4B"/>
    <w:rsid w:val="00543073"/>
    <w:rsid w:val="005432DB"/>
    <w:rsid w:val="0054333A"/>
    <w:rsid w:val="00543461"/>
    <w:rsid w:val="00543589"/>
    <w:rsid w:val="005436D4"/>
    <w:rsid w:val="005439AD"/>
    <w:rsid w:val="00543D35"/>
    <w:rsid w:val="00543D57"/>
    <w:rsid w:val="00543E4B"/>
    <w:rsid w:val="00543E79"/>
    <w:rsid w:val="00543EE4"/>
    <w:rsid w:val="00544050"/>
    <w:rsid w:val="00544546"/>
    <w:rsid w:val="005445BB"/>
    <w:rsid w:val="005446F9"/>
    <w:rsid w:val="0054484D"/>
    <w:rsid w:val="0054492E"/>
    <w:rsid w:val="00544EF0"/>
    <w:rsid w:val="005456E2"/>
    <w:rsid w:val="0054588E"/>
    <w:rsid w:val="00545903"/>
    <w:rsid w:val="005459A0"/>
    <w:rsid w:val="00545ABF"/>
    <w:rsid w:val="00545D19"/>
    <w:rsid w:val="00545F9B"/>
    <w:rsid w:val="00546128"/>
    <w:rsid w:val="00546337"/>
    <w:rsid w:val="00546352"/>
    <w:rsid w:val="0054665C"/>
    <w:rsid w:val="005467F1"/>
    <w:rsid w:val="00546B56"/>
    <w:rsid w:val="00546E92"/>
    <w:rsid w:val="00546EF6"/>
    <w:rsid w:val="00546F24"/>
    <w:rsid w:val="00546FB7"/>
    <w:rsid w:val="00547212"/>
    <w:rsid w:val="0054723A"/>
    <w:rsid w:val="005472CF"/>
    <w:rsid w:val="005478A7"/>
    <w:rsid w:val="005478F0"/>
    <w:rsid w:val="00547CA3"/>
    <w:rsid w:val="005500BA"/>
    <w:rsid w:val="00550917"/>
    <w:rsid w:val="00550A1F"/>
    <w:rsid w:val="0055108D"/>
    <w:rsid w:val="005512C8"/>
    <w:rsid w:val="005513C1"/>
    <w:rsid w:val="00551414"/>
    <w:rsid w:val="00551832"/>
    <w:rsid w:val="00551B6A"/>
    <w:rsid w:val="00551BDA"/>
    <w:rsid w:val="00551D04"/>
    <w:rsid w:val="00551FA4"/>
    <w:rsid w:val="005523AA"/>
    <w:rsid w:val="00552464"/>
    <w:rsid w:val="00552592"/>
    <w:rsid w:val="00552BD3"/>
    <w:rsid w:val="00553078"/>
    <w:rsid w:val="0055317D"/>
    <w:rsid w:val="005532BB"/>
    <w:rsid w:val="005534BD"/>
    <w:rsid w:val="0055373E"/>
    <w:rsid w:val="00553B67"/>
    <w:rsid w:val="00553CED"/>
    <w:rsid w:val="00554160"/>
    <w:rsid w:val="005541EA"/>
    <w:rsid w:val="00554901"/>
    <w:rsid w:val="00554BDC"/>
    <w:rsid w:val="00554C58"/>
    <w:rsid w:val="00554F50"/>
    <w:rsid w:val="00555109"/>
    <w:rsid w:val="00555356"/>
    <w:rsid w:val="005555C9"/>
    <w:rsid w:val="005557CD"/>
    <w:rsid w:val="00555885"/>
    <w:rsid w:val="00555892"/>
    <w:rsid w:val="00555943"/>
    <w:rsid w:val="00555D69"/>
    <w:rsid w:val="00555FC8"/>
    <w:rsid w:val="005562ED"/>
    <w:rsid w:val="00556DD4"/>
    <w:rsid w:val="0055719D"/>
    <w:rsid w:val="005578B7"/>
    <w:rsid w:val="005579E4"/>
    <w:rsid w:val="005579E5"/>
    <w:rsid w:val="00557AB1"/>
    <w:rsid w:val="00557FAD"/>
    <w:rsid w:val="005603F3"/>
    <w:rsid w:val="00560493"/>
    <w:rsid w:val="005604AC"/>
    <w:rsid w:val="00560BF6"/>
    <w:rsid w:val="00560C0C"/>
    <w:rsid w:val="005612B5"/>
    <w:rsid w:val="00561518"/>
    <w:rsid w:val="00561983"/>
    <w:rsid w:val="00561DDE"/>
    <w:rsid w:val="00562073"/>
    <w:rsid w:val="005621DF"/>
    <w:rsid w:val="005626BD"/>
    <w:rsid w:val="005627A0"/>
    <w:rsid w:val="00562F25"/>
    <w:rsid w:val="005632ED"/>
    <w:rsid w:val="005637FC"/>
    <w:rsid w:val="00563A82"/>
    <w:rsid w:val="00563C01"/>
    <w:rsid w:val="00564391"/>
    <w:rsid w:val="005644CB"/>
    <w:rsid w:val="00564682"/>
    <w:rsid w:val="005647F1"/>
    <w:rsid w:val="0056480E"/>
    <w:rsid w:val="00564967"/>
    <w:rsid w:val="00564A31"/>
    <w:rsid w:val="00564A9A"/>
    <w:rsid w:val="00564D99"/>
    <w:rsid w:val="00565155"/>
    <w:rsid w:val="00565254"/>
    <w:rsid w:val="00565A1B"/>
    <w:rsid w:val="00565C14"/>
    <w:rsid w:val="00565E26"/>
    <w:rsid w:val="00565E64"/>
    <w:rsid w:val="00566459"/>
    <w:rsid w:val="0056696F"/>
    <w:rsid w:val="00566A1B"/>
    <w:rsid w:val="0056706B"/>
    <w:rsid w:val="005673FA"/>
    <w:rsid w:val="00567884"/>
    <w:rsid w:val="00567A60"/>
    <w:rsid w:val="00567DA8"/>
    <w:rsid w:val="00570035"/>
    <w:rsid w:val="005700EB"/>
    <w:rsid w:val="00570219"/>
    <w:rsid w:val="00570916"/>
    <w:rsid w:val="005709FC"/>
    <w:rsid w:val="00570AAE"/>
    <w:rsid w:val="00570E3D"/>
    <w:rsid w:val="00570F4F"/>
    <w:rsid w:val="00570FA9"/>
    <w:rsid w:val="005712EB"/>
    <w:rsid w:val="005713F7"/>
    <w:rsid w:val="005714EC"/>
    <w:rsid w:val="00571936"/>
    <w:rsid w:val="00571957"/>
    <w:rsid w:val="005719DF"/>
    <w:rsid w:val="00571B07"/>
    <w:rsid w:val="00571F27"/>
    <w:rsid w:val="005723E2"/>
    <w:rsid w:val="0057242B"/>
    <w:rsid w:val="00572A51"/>
    <w:rsid w:val="00572D58"/>
    <w:rsid w:val="00572F9D"/>
    <w:rsid w:val="00573245"/>
    <w:rsid w:val="0057362F"/>
    <w:rsid w:val="005736B3"/>
    <w:rsid w:val="005740F8"/>
    <w:rsid w:val="00574937"/>
    <w:rsid w:val="00574C9F"/>
    <w:rsid w:val="00574CD0"/>
    <w:rsid w:val="00574E70"/>
    <w:rsid w:val="0057558B"/>
    <w:rsid w:val="00575601"/>
    <w:rsid w:val="00575925"/>
    <w:rsid w:val="00575ABC"/>
    <w:rsid w:val="00575BF5"/>
    <w:rsid w:val="00575D8D"/>
    <w:rsid w:val="00575E06"/>
    <w:rsid w:val="00576327"/>
    <w:rsid w:val="00576348"/>
    <w:rsid w:val="00576573"/>
    <w:rsid w:val="005767C0"/>
    <w:rsid w:val="00576835"/>
    <w:rsid w:val="00576972"/>
    <w:rsid w:val="00577232"/>
    <w:rsid w:val="00577780"/>
    <w:rsid w:val="00577C86"/>
    <w:rsid w:val="00580088"/>
    <w:rsid w:val="0058060F"/>
    <w:rsid w:val="00580680"/>
    <w:rsid w:val="0058075F"/>
    <w:rsid w:val="00580801"/>
    <w:rsid w:val="0058093A"/>
    <w:rsid w:val="00580E5F"/>
    <w:rsid w:val="00580F6A"/>
    <w:rsid w:val="00580FBE"/>
    <w:rsid w:val="00581237"/>
    <w:rsid w:val="005815F9"/>
    <w:rsid w:val="005816D1"/>
    <w:rsid w:val="005819C1"/>
    <w:rsid w:val="00581B1C"/>
    <w:rsid w:val="00581D4E"/>
    <w:rsid w:val="00581E6E"/>
    <w:rsid w:val="00581F90"/>
    <w:rsid w:val="00582535"/>
    <w:rsid w:val="0058261C"/>
    <w:rsid w:val="005828E4"/>
    <w:rsid w:val="00582B90"/>
    <w:rsid w:val="0058319F"/>
    <w:rsid w:val="0058332F"/>
    <w:rsid w:val="005834CC"/>
    <w:rsid w:val="00583699"/>
    <w:rsid w:val="00583CA3"/>
    <w:rsid w:val="00583FE5"/>
    <w:rsid w:val="00584222"/>
    <w:rsid w:val="0058452C"/>
    <w:rsid w:val="0058477A"/>
    <w:rsid w:val="005847B0"/>
    <w:rsid w:val="00585425"/>
    <w:rsid w:val="00585A6B"/>
    <w:rsid w:val="00585BB3"/>
    <w:rsid w:val="00586120"/>
    <w:rsid w:val="00586130"/>
    <w:rsid w:val="005863CE"/>
    <w:rsid w:val="005865DE"/>
    <w:rsid w:val="00586887"/>
    <w:rsid w:val="00586ACB"/>
    <w:rsid w:val="00586D32"/>
    <w:rsid w:val="0058707F"/>
    <w:rsid w:val="0058725A"/>
    <w:rsid w:val="00587A49"/>
    <w:rsid w:val="00587A81"/>
    <w:rsid w:val="00587F0F"/>
    <w:rsid w:val="00590088"/>
    <w:rsid w:val="00590446"/>
    <w:rsid w:val="00590655"/>
    <w:rsid w:val="0059120B"/>
    <w:rsid w:val="00591663"/>
    <w:rsid w:val="0059199D"/>
    <w:rsid w:val="005919F3"/>
    <w:rsid w:val="00591A6E"/>
    <w:rsid w:val="00591B8A"/>
    <w:rsid w:val="00591DD7"/>
    <w:rsid w:val="0059276E"/>
    <w:rsid w:val="0059293C"/>
    <w:rsid w:val="00592B94"/>
    <w:rsid w:val="00592BC5"/>
    <w:rsid w:val="005932E8"/>
    <w:rsid w:val="0059340A"/>
    <w:rsid w:val="005935EB"/>
    <w:rsid w:val="00593B4A"/>
    <w:rsid w:val="00593C24"/>
    <w:rsid w:val="005940FA"/>
    <w:rsid w:val="00594753"/>
    <w:rsid w:val="00594CCF"/>
    <w:rsid w:val="00594FDF"/>
    <w:rsid w:val="0059554D"/>
    <w:rsid w:val="00595C47"/>
    <w:rsid w:val="00595CB1"/>
    <w:rsid w:val="00595D02"/>
    <w:rsid w:val="00595E21"/>
    <w:rsid w:val="00595E74"/>
    <w:rsid w:val="00596A0F"/>
    <w:rsid w:val="00596C13"/>
    <w:rsid w:val="00596D50"/>
    <w:rsid w:val="005972D8"/>
    <w:rsid w:val="00597452"/>
    <w:rsid w:val="00597699"/>
    <w:rsid w:val="00597824"/>
    <w:rsid w:val="005978E6"/>
    <w:rsid w:val="00597934"/>
    <w:rsid w:val="005979E9"/>
    <w:rsid w:val="00597D0F"/>
    <w:rsid w:val="005A03F8"/>
    <w:rsid w:val="005A0C4E"/>
    <w:rsid w:val="005A1011"/>
    <w:rsid w:val="005A15B5"/>
    <w:rsid w:val="005A17BF"/>
    <w:rsid w:val="005A1A28"/>
    <w:rsid w:val="005A1F6F"/>
    <w:rsid w:val="005A21C3"/>
    <w:rsid w:val="005A23C2"/>
    <w:rsid w:val="005A278B"/>
    <w:rsid w:val="005A2ADA"/>
    <w:rsid w:val="005A2C52"/>
    <w:rsid w:val="005A2E26"/>
    <w:rsid w:val="005A2EA8"/>
    <w:rsid w:val="005A2F39"/>
    <w:rsid w:val="005A2F79"/>
    <w:rsid w:val="005A2FE8"/>
    <w:rsid w:val="005A331B"/>
    <w:rsid w:val="005A3813"/>
    <w:rsid w:val="005A3BD5"/>
    <w:rsid w:val="005A3D9F"/>
    <w:rsid w:val="005A406B"/>
    <w:rsid w:val="005A41B9"/>
    <w:rsid w:val="005A42AF"/>
    <w:rsid w:val="005A4687"/>
    <w:rsid w:val="005A4A5A"/>
    <w:rsid w:val="005A4A9A"/>
    <w:rsid w:val="005A4CE6"/>
    <w:rsid w:val="005A525D"/>
    <w:rsid w:val="005A5397"/>
    <w:rsid w:val="005A5ABA"/>
    <w:rsid w:val="005A5F23"/>
    <w:rsid w:val="005A63E1"/>
    <w:rsid w:val="005A64F0"/>
    <w:rsid w:val="005A6BB1"/>
    <w:rsid w:val="005A6E8E"/>
    <w:rsid w:val="005A7115"/>
    <w:rsid w:val="005A712C"/>
    <w:rsid w:val="005A73ED"/>
    <w:rsid w:val="005A7405"/>
    <w:rsid w:val="005A7440"/>
    <w:rsid w:val="005A7486"/>
    <w:rsid w:val="005A755D"/>
    <w:rsid w:val="005A7854"/>
    <w:rsid w:val="005A7AB8"/>
    <w:rsid w:val="005B002B"/>
    <w:rsid w:val="005B00F2"/>
    <w:rsid w:val="005B0287"/>
    <w:rsid w:val="005B054B"/>
    <w:rsid w:val="005B0581"/>
    <w:rsid w:val="005B06F7"/>
    <w:rsid w:val="005B0B0C"/>
    <w:rsid w:val="005B0C96"/>
    <w:rsid w:val="005B122D"/>
    <w:rsid w:val="005B1531"/>
    <w:rsid w:val="005B16D3"/>
    <w:rsid w:val="005B1ADE"/>
    <w:rsid w:val="005B1B00"/>
    <w:rsid w:val="005B1B59"/>
    <w:rsid w:val="005B1C8A"/>
    <w:rsid w:val="005B1FC6"/>
    <w:rsid w:val="005B223E"/>
    <w:rsid w:val="005B2415"/>
    <w:rsid w:val="005B25C5"/>
    <w:rsid w:val="005B25D1"/>
    <w:rsid w:val="005B2E3B"/>
    <w:rsid w:val="005B30F7"/>
    <w:rsid w:val="005B31CA"/>
    <w:rsid w:val="005B35A6"/>
    <w:rsid w:val="005B3909"/>
    <w:rsid w:val="005B3A81"/>
    <w:rsid w:val="005B3D63"/>
    <w:rsid w:val="005B3DD4"/>
    <w:rsid w:val="005B45C1"/>
    <w:rsid w:val="005B4B78"/>
    <w:rsid w:val="005B4F04"/>
    <w:rsid w:val="005B4F39"/>
    <w:rsid w:val="005B559B"/>
    <w:rsid w:val="005B5857"/>
    <w:rsid w:val="005B5D07"/>
    <w:rsid w:val="005B5E06"/>
    <w:rsid w:val="005B5E6A"/>
    <w:rsid w:val="005B6055"/>
    <w:rsid w:val="005B614E"/>
    <w:rsid w:val="005B6382"/>
    <w:rsid w:val="005B6BF9"/>
    <w:rsid w:val="005B7046"/>
    <w:rsid w:val="005B7406"/>
    <w:rsid w:val="005B7471"/>
    <w:rsid w:val="005C029D"/>
    <w:rsid w:val="005C052B"/>
    <w:rsid w:val="005C05C0"/>
    <w:rsid w:val="005C0720"/>
    <w:rsid w:val="005C0884"/>
    <w:rsid w:val="005C0A87"/>
    <w:rsid w:val="005C0F45"/>
    <w:rsid w:val="005C0FB2"/>
    <w:rsid w:val="005C11BB"/>
    <w:rsid w:val="005C11D8"/>
    <w:rsid w:val="005C1548"/>
    <w:rsid w:val="005C1587"/>
    <w:rsid w:val="005C17A4"/>
    <w:rsid w:val="005C18CD"/>
    <w:rsid w:val="005C197E"/>
    <w:rsid w:val="005C1B83"/>
    <w:rsid w:val="005C2038"/>
    <w:rsid w:val="005C20EB"/>
    <w:rsid w:val="005C226D"/>
    <w:rsid w:val="005C240E"/>
    <w:rsid w:val="005C247D"/>
    <w:rsid w:val="005C25FC"/>
    <w:rsid w:val="005C26E0"/>
    <w:rsid w:val="005C27D7"/>
    <w:rsid w:val="005C29A6"/>
    <w:rsid w:val="005C2C14"/>
    <w:rsid w:val="005C2DE4"/>
    <w:rsid w:val="005C3320"/>
    <w:rsid w:val="005C345C"/>
    <w:rsid w:val="005C346B"/>
    <w:rsid w:val="005C3518"/>
    <w:rsid w:val="005C3635"/>
    <w:rsid w:val="005C377A"/>
    <w:rsid w:val="005C3ADA"/>
    <w:rsid w:val="005C3B5F"/>
    <w:rsid w:val="005C3E01"/>
    <w:rsid w:val="005C403C"/>
    <w:rsid w:val="005C4079"/>
    <w:rsid w:val="005C45E9"/>
    <w:rsid w:val="005C4626"/>
    <w:rsid w:val="005C4799"/>
    <w:rsid w:val="005C4859"/>
    <w:rsid w:val="005C4E1F"/>
    <w:rsid w:val="005C5160"/>
    <w:rsid w:val="005C58CC"/>
    <w:rsid w:val="005C59DC"/>
    <w:rsid w:val="005C5A97"/>
    <w:rsid w:val="005C5FE2"/>
    <w:rsid w:val="005C61B0"/>
    <w:rsid w:val="005C61B2"/>
    <w:rsid w:val="005C67BE"/>
    <w:rsid w:val="005C688B"/>
    <w:rsid w:val="005C69E3"/>
    <w:rsid w:val="005C6AE4"/>
    <w:rsid w:val="005C6FCF"/>
    <w:rsid w:val="005C71A1"/>
    <w:rsid w:val="005C7546"/>
    <w:rsid w:val="005C7670"/>
    <w:rsid w:val="005C7767"/>
    <w:rsid w:val="005C7A63"/>
    <w:rsid w:val="005C7FC1"/>
    <w:rsid w:val="005D044D"/>
    <w:rsid w:val="005D04D6"/>
    <w:rsid w:val="005D08F1"/>
    <w:rsid w:val="005D0F2A"/>
    <w:rsid w:val="005D0F5C"/>
    <w:rsid w:val="005D13AB"/>
    <w:rsid w:val="005D1793"/>
    <w:rsid w:val="005D18AD"/>
    <w:rsid w:val="005D1994"/>
    <w:rsid w:val="005D1C55"/>
    <w:rsid w:val="005D1EAE"/>
    <w:rsid w:val="005D21C5"/>
    <w:rsid w:val="005D2671"/>
    <w:rsid w:val="005D2694"/>
    <w:rsid w:val="005D27FE"/>
    <w:rsid w:val="005D2897"/>
    <w:rsid w:val="005D2B61"/>
    <w:rsid w:val="005D2B9B"/>
    <w:rsid w:val="005D2D5E"/>
    <w:rsid w:val="005D35C7"/>
    <w:rsid w:val="005D3691"/>
    <w:rsid w:val="005D39D6"/>
    <w:rsid w:val="005D3A8D"/>
    <w:rsid w:val="005D3D1B"/>
    <w:rsid w:val="005D3FC0"/>
    <w:rsid w:val="005D46A6"/>
    <w:rsid w:val="005D4B43"/>
    <w:rsid w:val="005D4C82"/>
    <w:rsid w:val="005D4CAC"/>
    <w:rsid w:val="005D4CD6"/>
    <w:rsid w:val="005D4DC3"/>
    <w:rsid w:val="005D57E4"/>
    <w:rsid w:val="005D61E1"/>
    <w:rsid w:val="005D6294"/>
    <w:rsid w:val="005D6390"/>
    <w:rsid w:val="005D63C1"/>
    <w:rsid w:val="005D6523"/>
    <w:rsid w:val="005D66A5"/>
    <w:rsid w:val="005D67A3"/>
    <w:rsid w:val="005D6BDD"/>
    <w:rsid w:val="005D6D3D"/>
    <w:rsid w:val="005D6E9E"/>
    <w:rsid w:val="005D70F6"/>
    <w:rsid w:val="005D727A"/>
    <w:rsid w:val="005D774B"/>
    <w:rsid w:val="005D7919"/>
    <w:rsid w:val="005D793B"/>
    <w:rsid w:val="005D7BD8"/>
    <w:rsid w:val="005D7BF3"/>
    <w:rsid w:val="005D7C89"/>
    <w:rsid w:val="005D7D2A"/>
    <w:rsid w:val="005D7F18"/>
    <w:rsid w:val="005D7F79"/>
    <w:rsid w:val="005E0245"/>
    <w:rsid w:val="005E0484"/>
    <w:rsid w:val="005E0773"/>
    <w:rsid w:val="005E0EA3"/>
    <w:rsid w:val="005E0FAA"/>
    <w:rsid w:val="005E1195"/>
    <w:rsid w:val="005E19E1"/>
    <w:rsid w:val="005E25CA"/>
    <w:rsid w:val="005E260E"/>
    <w:rsid w:val="005E2658"/>
    <w:rsid w:val="005E2BCD"/>
    <w:rsid w:val="005E3246"/>
    <w:rsid w:val="005E33D2"/>
    <w:rsid w:val="005E3810"/>
    <w:rsid w:val="005E391E"/>
    <w:rsid w:val="005E3C6D"/>
    <w:rsid w:val="005E40B3"/>
    <w:rsid w:val="005E4362"/>
    <w:rsid w:val="005E4519"/>
    <w:rsid w:val="005E491F"/>
    <w:rsid w:val="005E49BC"/>
    <w:rsid w:val="005E4B0D"/>
    <w:rsid w:val="005E4B39"/>
    <w:rsid w:val="005E4E65"/>
    <w:rsid w:val="005E520C"/>
    <w:rsid w:val="005E556B"/>
    <w:rsid w:val="005E5915"/>
    <w:rsid w:val="005E5C27"/>
    <w:rsid w:val="005E5FD0"/>
    <w:rsid w:val="005E60E9"/>
    <w:rsid w:val="005E63AF"/>
    <w:rsid w:val="005E64C5"/>
    <w:rsid w:val="005E64CF"/>
    <w:rsid w:val="005E65D3"/>
    <w:rsid w:val="005E65E1"/>
    <w:rsid w:val="005E6A49"/>
    <w:rsid w:val="005E6B05"/>
    <w:rsid w:val="005E6D53"/>
    <w:rsid w:val="005E6E99"/>
    <w:rsid w:val="005E73C0"/>
    <w:rsid w:val="005E740E"/>
    <w:rsid w:val="005E743B"/>
    <w:rsid w:val="005E7A11"/>
    <w:rsid w:val="005E7BD5"/>
    <w:rsid w:val="005E7EB3"/>
    <w:rsid w:val="005F0076"/>
    <w:rsid w:val="005F00A7"/>
    <w:rsid w:val="005F0183"/>
    <w:rsid w:val="005F021B"/>
    <w:rsid w:val="005F02B5"/>
    <w:rsid w:val="005F02B7"/>
    <w:rsid w:val="005F0489"/>
    <w:rsid w:val="005F0647"/>
    <w:rsid w:val="005F0C54"/>
    <w:rsid w:val="005F0E82"/>
    <w:rsid w:val="005F0FF3"/>
    <w:rsid w:val="005F1124"/>
    <w:rsid w:val="005F1185"/>
    <w:rsid w:val="005F131F"/>
    <w:rsid w:val="005F1323"/>
    <w:rsid w:val="005F139F"/>
    <w:rsid w:val="005F158A"/>
    <w:rsid w:val="005F1AE1"/>
    <w:rsid w:val="005F1B54"/>
    <w:rsid w:val="005F20CB"/>
    <w:rsid w:val="005F2239"/>
    <w:rsid w:val="005F22AF"/>
    <w:rsid w:val="005F24E6"/>
    <w:rsid w:val="005F26B2"/>
    <w:rsid w:val="005F2706"/>
    <w:rsid w:val="005F2B7D"/>
    <w:rsid w:val="005F2BE1"/>
    <w:rsid w:val="005F3023"/>
    <w:rsid w:val="005F36FD"/>
    <w:rsid w:val="005F3C49"/>
    <w:rsid w:val="005F3CE7"/>
    <w:rsid w:val="005F46AD"/>
    <w:rsid w:val="005F47FA"/>
    <w:rsid w:val="005F491F"/>
    <w:rsid w:val="005F4A2E"/>
    <w:rsid w:val="005F4B51"/>
    <w:rsid w:val="005F4CFD"/>
    <w:rsid w:val="005F4ECF"/>
    <w:rsid w:val="005F4FB3"/>
    <w:rsid w:val="005F5545"/>
    <w:rsid w:val="005F55DC"/>
    <w:rsid w:val="005F5B29"/>
    <w:rsid w:val="005F5C23"/>
    <w:rsid w:val="005F5D2F"/>
    <w:rsid w:val="005F5FAE"/>
    <w:rsid w:val="005F66CE"/>
    <w:rsid w:val="005F6722"/>
    <w:rsid w:val="005F6A8F"/>
    <w:rsid w:val="005F6BE2"/>
    <w:rsid w:val="005F6CE4"/>
    <w:rsid w:val="005F6E5C"/>
    <w:rsid w:val="005F6EAD"/>
    <w:rsid w:val="005F6FB1"/>
    <w:rsid w:val="005F709D"/>
    <w:rsid w:val="005F70B7"/>
    <w:rsid w:val="005F731F"/>
    <w:rsid w:val="005F7414"/>
    <w:rsid w:val="005F76C3"/>
    <w:rsid w:val="005F79D4"/>
    <w:rsid w:val="005F7C9B"/>
    <w:rsid w:val="0060001B"/>
    <w:rsid w:val="00600BF3"/>
    <w:rsid w:val="006011DE"/>
    <w:rsid w:val="00601813"/>
    <w:rsid w:val="00601BF8"/>
    <w:rsid w:val="00601D25"/>
    <w:rsid w:val="00601E92"/>
    <w:rsid w:val="00601FA4"/>
    <w:rsid w:val="00602230"/>
    <w:rsid w:val="006023D9"/>
    <w:rsid w:val="0060250D"/>
    <w:rsid w:val="006028B4"/>
    <w:rsid w:val="006028EB"/>
    <w:rsid w:val="00602A09"/>
    <w:rsid w:val="00602DC6"/>
    <w:rsid w:val="00602F47"/>
    <w:rsid w:val="00603023"/>
    <w:rsid w:val="0060310C"/>
    <w:rsid w:val="00603180"/>
    <w:rsid w:val="006031AD"/>
    <w:rsid w:val="00603298"/>
    <w:rsid w:val="00603543"/>
    <w:rsid w:val="00603C5D"/>
    <w:rsid w:val="00603D31"/>
    <w:rsid w:val="00603DCA"/>
    <w:rsid w:val="006049C4"/>
    <w:rsid w:val="006049C8"/>
    <w:rsid w:val="00604A23"/>
    <w:rsid w:val="00604A82"/>
    <w:rsid w:val="00604AB6"/>
    <w:rsid w:val="006058EB"/>
    <w:rsid w:val="00605B8E"/>
    <w:rsid w:val="0060666C"/>
    <w:rsid w:val="00606916"/>
    <w:rsid w:val="0060693A"/>
    <w:rsid w:val="00607465"/>
    <w:rsid w:val="00607642"/>
    <w:rsid w:val="00607669"/>
    <w:rsid w:val="00607767"/>
    <w:rsid w:val="006077B1"/>
    <w:rsid w:val="00607A19"/>
    <w:rsid w:val="00607EB0"/>
    <w:rsid w:val="00607F74"/>
    <w:rsid w:val="00610221"/>
    <w:rsid w:val="006103E1"/>
    <w:rsid w:val="0061044B"/>
    <w:rsid w:val="0061060C"/>
    <w:rsid w:val="00610BC1"/>
    <w:rsid w:val="00610E47"/>
    <w:rsid w:val="00611319"/>
    <w:rsid w:val="006116D6"/>
    <w:rsid w:val="00611A19"/>
    <w:rsid w:val="00611A55"/>
    <w:rsid w:val="00611B5D"/>
    <w:rsid w:val="00611C00"/>
    <w:rsid w:val="006124D9"/>
    <w:rsid w:val="0061262E"/>
    <w:rsid w:val="00612641"/>
    <w:rsid w:val="006126F2"/>
    <w:rsid w:val="006127F8"/>
    <w:rsid w:val="00612D22"/>
    <w:rsid w:val="00612D8F"/>
    <w:rsid w:val="00612EB7"/>
    <w:rsid w:val="00612F7E"/>
    <w:rsid w:val="00612F97"/>
    <w:rsid w:val="006130B1"/>
    <w:rsid w:val="006133E8"/>
    <w:rsid w:val="0061366F"/>
    <w:rsid w:val="006136C7"/>
    <w:rsid w:val="00613901"/>
    <w:rsid w:val="00613B7F"/>
    <w:rsid w:val="006143B3"/>
    <w:rsid w:val="00614461"/>
    <w:rsid w:val="006144D2"/>
    <w:rsid w:val="006146A2"/>
    <w:rsid w:val="00614709"/>
    <w:rsid w:val="00614AD5"/>
    <w:rsid w:val="00614E54"/>
    <w:rsid w:val="00615218"/>
    <w:rsid w:val="006154A5"/>
    <w:rsid w:val="006159F3"/>
    <w:rsid w:val="00615D68"/>
    <w:rsid w:val="00615D82"/>
    <w:rsid w:val="006165A5"/>
    <w:rsid w:val="00616724"/>
    <w:rsid w:val="006167E1"/>
    <w:rsid w:val="00616802"/>
    <w:rsid w:val="00616A66"/>
    <w:rsid w:val="00617032"/>
    <w:rsid w:val="006170FA"/>
    <w:rsid w:val="006172C7"/>
    <w:rsid w:val="00617660"/>
    <w:rsid w:val="006177E5"/>
    <w:rsid w:val="00617C32"/>
    <w:rsid w:val="00617E12"/>
    <w:rsid w:val="0062002D"/>
    <w:rsid w:val="006201A5"/>
    <w:rsid w:val="00620371"/>
    <w:rsid w:val="00620426"/>
    <w:rsid w:val="006205BC"/>
    <w:rsid w:val="006206E0"/>
    <w:rsid w:val="006208ED"/>
    <w:rsid w:val="00620938"/>
    <w:rsid w:val="00620CE3"/>
    <w:rsid w:val="006213E1"/>
    <w:rsid w:val="00621477"/>
    <w:rsid w:val="00621538"/>
    <w:rsid w:val="0062185A"/>
    <w:rsid w:val="00621A3F"/>
    <w:rsid w:val="00621B5B"/>
    <w:rsid w:val="00621B89"/>
    <w:rsid w:val="00621C19"/>
    <w:rsid w:val="00621EFC"/>
    <w:rsid w:val="00621F48"/>
    <w:rsid w:val="00621FA7"/>
    <w:rsid w:val="00622336"/>
    <w:rsid w:val="0062256C"/>
    <w:rsid w:val="006225E2"/>
    <w:rsid w:val="0062266E"/>
    <w:rsid w:val="00622EEE"/>
    <w:rsid w:val="00622FA4"/>
    <w:rsid w:val="00623044"/>
    <w:rsid w:val="0062313B"/>
    <w:rsid w:val="00623654"/>
    <w:rsid w:val="00623A21"/>
    <w:rsid w:val="00623CC4"/>
    <w:rsid w:val="00624479"/>
    <w:rsid w:val="00624B06"/>
    <w:rsid w:val="00624C15"/>
    <w:rsid w:val="00624C48"/>
    <w:rsid w:val="00624D16"/>
    <w:rsid w:val="0062513D"/>
    <w:rsid w:val="006257AA"/>
    <w:rsid w:val="006257EF"/>
    <w:rsid w:val="00625C8B"/>
    <w:rsid w:val="00625E02"/>
    <w:rsid w:val="00625E51"/>
    <w:rsid w:val="006260C0"/>
    <w:rsid w:val="00626304"/>
    <w:rsid w:val="00626349"/>
    <w:rsid w:val="006265FD"/>
    <w:rsid w:val="0062675D"/>
    <w:rsid w:val="0062695B"/>
    <w:rsid w:val="00626BF9"/>
    <w:rsid w:val="006270CF"/>
    <w:rsid w:val="006271CA"/>
    <w:rsid w:val="0062725D"/>
    <w:rsid w:val="006272CA"/>
    <w:rsid w:val="006273D4"/>
    <w:rsid w:val="0062799D"/>
    <w:rsid w:val="006279A3"/>
    <w:rsid w:val="00627AD6"/>
    <w:rsid w:val="00627C3E"/>
    <w:rsid w:val="00627F45"/>
    <w:rsid w:val="00627FA5"/>
    <w:rsid w:val="006301A6"/>
    <w:rsid w:val="00630323"/>
    <w:rsid w:val="0063070C"/>
    <w:rsid w:val="00630780"/>
    <w:rsid w:val="00630784"/>
    <w:rsid w:val="00630FC8"/>
    <w:rsid w:val="00630FEC"/>
    <w:rsid w:val="00631130"/>
    <w:rsid w:val="00631254"/>
    <w:rsid w:val="00631364"/>
    <w:rsid w:val="00631477"/>
    <w:rsid w:val="0063169F"/>
    <w:rsid w:val="00631A5A"/>
    <w:rsid w:val="00631CC1"/>
    <w:rsid w:val="00631D6B"/>
    <w:rsid w:val="00631FBE"/>
    <w:rsid w:val="0063206E"/>
    <w:rsid w:val="00632124"/>
    <w:rsid w:val="006321FB"/>
    <w:rsid w:val="00632434"/>
    <w:rsid w:val="00632469"/>
    <w:rsid w:val="00632496"/>
    <w:rsid w:val="00632752"/>
    <w:rsid w:val="00632E35"/>
    <w:rsid w:val="00633293"/>
    <w:rsid w:val="00633433"/>
    <w:rsid w:val="00633568"/>
    <w:rsid w:val="00633974"/>
    <w:rsid w:val="006339A7"/>
    <w:rsid w:val="00633BE5"/>
    <w:rsid w:val="00633E94"/>
    <w:rsid w:val="006341BA"/>
    <w:rsid w:val="006346B6"/>
    <w:rsid w:val="0063479F"/>
    <w:rsid w:val="006348DC"/>
    <w:rsid w:val="006349AF"/>
    <w:rsid w:val="00634D1B"/>
    <w:rsid w:val="006350B3"/>
    <w:rsid w:val="00635250"/>
    <w:rsid w:val="0063533A"/>
    <w:rsid w:val="00635733"/>
    <w:rsid w:val="006357F3"/>
    <w:rsid w:val="00635DA4"/>
    <w:rsid w:val="0063600E"/>
    <w:rsid w:val="00636442"/>
    <w:rsid w:val="006364A1"/>
    <w:rsid w:val="00636509"/>
    <w:rsid w:val="006366AA"/>
    <w:rsid w:val="0063680C"/>
    <w:rsid w:val="00637A64"/>
    <w:rsid w:val="00637BFD"/>
    <w:rsid w:val="00637CC5"/>
    <w:rsid w:val="006408EC"/>
    <w:rsid w:val="0064095F"/>
    <w:rsid w:val="006409D6"/>
    <w:rsid w:val="00640A33"/>
    <w:rsid w:val="00641023"/>
    <w:rsid w:val="006410D9"/>
    <w:rsid w:val="006411EB"/>
    <w:rsid w:val="006413ED"/>
    <w:rsid w:val="00641A8D"/>
    <w:rsid w:val="00641B04"/>
    <w:rsid w:val="0064224A"/>
    <w:rsid w:val="006423EA"/>
    <w:rsid w:val="00642423"/>
    <w:rsid w:val="00642588"/>
    <w:rsid w:val="006425FC"/>
    <w:rsid w:val="006426DA"/>
    <w:rsid w:val="00642914"/>
    <w:rsid w:val="006429C9"/>
    <w:rsid w:val="00642D4B"/>
    <w:rsid w:val="00642EBA"/>
    <w:rsid w:val="00643450"/>
    <w:rsid w:val="00643A14"/>
    <w:rsid w:val="00643C04"/>
    <w:rsid w:val="00643CD8"/>
    <w:rsid w:val="0064406B"/>
    <w:rsid w:val="00644080"/>
    <w:rsid w:val="006441BF"/>
    <w:rsid w:val="00644294"/>
    <w:rsid w:val="006444D6"/>
    <w:rsid w:val="00644601"/>
    <w:rsid w:val="00644822"/>
    <w:rsid w:val="00644A26"/>
    <w:rsid w:val="0064541D"/>
    <w:rsid w:val="006458A7"/>
    <w:rsid w:val="0064598A"/>
    <w:rsid w:val="00645B97"/>
    <w:rsid w:val="00645F98"/>
    <w:rsid w:val="006460C1"/>
    <w:rsid w:val="006467BC"/>
    <w:rsid w:val="00646A27"/>
    <w:rsid w:val="00646BC3"/>
    <w:rsid w:val="00647038"/>
    <w:rsid w:val="006471CC"/>
    <w:rsid w:val="00647800"/>
    <w:rsid w:val="00647873"/>
    <w:rsid w:val="00647A31"/>
    <w:rsid w:val="00647B33"/>
    <w:rsid w:val="00647CB0"/>
    <w:rsid w:val="00647D9D"/>
    <w:rsid w:val="00650211"/>
    <w:rsid w:val="00650541"/>
    <w:rsid w:val="006505E8"/>
    <w:rsid w:val="0065079F"/>
    <w:rsid w:val="006509FB"/>
    <w:rsid w:val="00650E09"/>
    <w:rsid w:val="00650EF7"/>
    <w:rsid w:val="00651177"/>
    <w:rsid w:val="006515A4"/>
    <w:rsid w:val="006518F5"/>
    <w:rsid w:val="0065190C"/>
    <w:rsid w:val="00651CF8"/>
    <w:rsid w:val="0065215B"/>
    <w:rsid w:val="0065263C"/>
    <w:rsid w:val="00652E04"/>
    <w:rsid w:val="00652EAA"/>
    <w:rsid w:val="00653105"/>
    <w:rsid w:val="00653132"/>
    <w:rsid w:val="00653BF6"/>
    <w:rsid w:val="00654200"/>
    <w:rsid w:val="006543D3"/>
    <w:rsid w:val="006546A9"/>
    <w:rsid w:val="006546E7"/>
    <w:rsid w:val="00654902"/>
    <w:rsid w:val="00654DFC"/>
    <w:rsid w:val="00654E39"/>
    <w:rsid w:val="00654F74"/>
    <w:rsid w:val="006551DA"/>
    <w:rsid w:val="00655399"/>
    <w:rsid w:val="0065546F"/>
    <w:rsid w:val="00655522"/>
    <w:rsid w:val="006558C1"/>
    <w:rsid w:val="00655948"/>
    <w:rsid w:val="006559A5"/>
    <w:rsid w:val="00655A09"/>
    <w:rsid w:val="00655C3A"/>
    <w:rsid w:val="00655DAE"/>
    <w:rsid w:val="00655EBB"/>
    <w:rsid w:val="00655FE1"/>
    <w:rsid w:val="00656200"/>
    <w:rsid w:val="00656AC7"/>
    <w:rsid w:val="00656FCF"/>
    <w:rsid w:val="0065756D"/>
    <w:rsid w:val="0065771C"/>
    <w:rsid w:val="00657892"/>
    <w:rsid w:val="00657982"/>
    <w:rsid w:val="00657F84"/>
    <w:rsid w:val="00660042"/>
    <w:rsid w:val="00660201"/>
    <w:rsid w:val="00660826"/>
    <w:rsid w:val="00660847"/>
    <w:rsid w:val="006611F6"/>
    <w:rsid w:val="00661556"/>
    <w:rsid w:val="006615C2"/>
    <w:rsid w:val="006617C2"/>
    <w:rsid w:val="00661D20"/>
    <w:rsid w:val="00661FE5"/>
    <w:rsid w:val="00662963"/>
    <w:rsid w:val="0066298E"/>
    <w:rsid w:val="00662D76"/>
    <w:rsid w:val="0066323D"/>
    <w:rsid w:val="0066327B"/>
    <w:rsid w:val="006633B5"/>
    <w:rsid w:val="00663517"/>
    <w:rsid w:val="00663AC4"/>
    <w:rsid w:val="0066418E"/>
    <w:rsid w:val="00664443"/>
    <w:rsid w:val="00664A0A"/>
    <w:rsid w:val="00665831"/>
    <w:rsid w:val="00665875"/>
    <w:rsid w:val="00665A5A"/>
    <w:rsid w:val="00665E5F"/>
    <w:rsid w:val="006664BC"/>
    <w:rsid w:val="006667FA"/>
    <w:rsid w:val="00666A3F"/>
    <w:rsid w:val="00666BA2"/>
    <w:rsid w:val="00666D3F"/>
    <w:rsid w:val="00666EE6"/>
    <w:rsid w:val="0066706B"/>
    <w:rsid w:val="00667373"/>
    <w:rsid w:val="0066757B"/>
    <w:rsid w:val="0066790A"/>
    <w:rsid w:val="00670314"/>
    <w:rsid w:val="0067035C"/>
    <w:rsid w:val="00670373"/>
    <w:rsid w:val="0067040F"/>
    <w:rsid w:val="00670B0E"/>
    <w:rsid w:val="00670B9A"/>
    <w:rsid w:val="00670C27"/>
    <w:rsid w:val="00670DFE"/>
    <w:rsid w:val="00671074"/>
    <w:rsid w:val="006710E6"/>
    <w:rsid w:val="0067168E"/>
    <w:rsid w:val="006716E8"/>
    <w:rsid w:val="006718D7"/>
    <w:rsid w:val="00671B62"/>
    <w:rsid w:val="00671C02"/>
    <w:rsid w:val="00671C25"/>
    <w:rsid w:val="0067202E"/>
    <w:rsid w:val="006721CF"/>
    <w:rsid w:val="006725DA"/>
    <w:rsid w:val="006727DE"/>
    <w:rsid w:val="00672B21"/>
    <w:rsid w:val="00672EA4"/>
    <w:rsid w:val="00672EBA"/>
    <w:rsid w:val="0067308F"/>
    <w:rsid w:val="00673825"/>
    <w:rsid w:val="00673968"/>
    <w:rsid w:val="00673D75"/>
    <w:rsid w:val="006741D4"/>
    <w:rsid w:val="006741DF"/>
    <w:rsid w:val="00674243"/>
    <w:rsid w:val="0067447F"/>
    <w:rsid w:val="0067458D"/>
    <w:rsid w:val="006745F9"/>
    <w:rsid w:val="00674917"/>
    <w:rsid w:val="00674BA1"/>
    <w:rsid w:val="00674E42"/>
    <w:rsid w:val="00674EA1"/>
    <w:rsid w:val="00674F3A"/>
    <w:rsid w:val="00675BD2"/>
    <w:rsid w:val="00675FA5"/>
    <w:rsid w:val="006762E0"/>
    <w:rsid w:val="00676921"/>
    <w:rsid w:val="00676E4D"/>
    <w:rsid w:val="00676E9A"/>
    <w:rsid w:val="006772F7"/>
    <w:rsid w:val="00677338"/>
    <w:rsid w:val="00677B88"/>
    <w:rsid w:val="00677CBE"/>
    <w:rsid w:val="0068034D"/>
    <w:rsid w:val="00680638"/>
    <w:rsid w:val="0068071D"/>
    <w:rsid w:val="00680AE1"/>
    <w:rsid w:val="00680C00"/>
    <w:rsid w:val="00680C64"/>
    <w:rsid w:val="00680C81"/>
    <w:rsid w:val="00680CCA"/>
    <w:rsid w:val="00680E56"/>
    <w:rsid w:val="0068109D"/>
    <w:rsid w:val="006810B5"/>
    <w:rsid w:val="006810D0"/>
    <w:rsid w:val="006810EE"/>
    <w:rsid w:val="00681659"/>
    <w:rsid w:val="00681E6A"/>
    <w:rsid w:val="00682112"/>
    <w:rsid w:val="00682113"/>
    <w:rsid w:val="00682189"/>
    <w:rsid w:val="006823DD"/>
    <w:rsid w:val="0068256C"/>
    <w:rsid w:val="006825F3"/>
    <w:rsid w:val="00682645"/>
    <w:rsid w:val="00682772"/>
    <w:rsid w:val="0068279F"/>
    <w:rsid w:val="00682861"/>
    <w:rsid w:val="0068291F"/>
    <w:rsid w:val="00682D65"/>
    <w:rsid w:val="0068310B"/>
    <w:rsid w:val="0068316F"/>
    <w:rsid w:val="0068338F"/>
    <w:rsid w:val="006833B4"/>
    <w:rsid w:val="006833F1"/>
    <w:rsid w:val="006836D0"/>
    <w:rsid w:val="00683788"/>
    <w:rsid w:val="00683AE7"/>
    <w:rsid w:val="00683E67"/>
    <w:rsid w:val="00683F8B"/>
    <w:rsid w:val="00684154"/>
    <w:rsid w:val="0068419F"/>
    <w:rsid w:val="0068491A"/>
    <w:rsid w:val="00684AD9"/>
    <w:rsid w:val="00684E7E"/>
    <w:rsid w:val="00684EED"/>
    <w:rsid w:val="00685127"/>
    <w:rsid w:val="00685501"/>
    <w:rsid w:val="006855CC"/>
    <w:rsid w:val="0068565C"/>
    <w:rsid w:val="00685D5A"/>
    <w:rsid w:val="00686329"/>
    <w:rsid w:val="00686375"/>
    <w:rsid w:val="00686D99"/>
    <w:rsid w:val="006870A2"/>
    <w:rsid w:val="006872BA"/>
    <w:rsid w:val="006873CF"/>
    <w:rsid w:val="00687557"/>
    <w:rsid w:val="006877EA"/>
    <w:rsid w:val="006900A1"/>
    <w:rsid w:val="0069049D"/>
    <w:rsid w:val="00690A57"/>
    <w:rsid w:val="00690C46"/>
    <w:rsid w:val="00690FBA"/>
    <w:rsid w:val="00690FE2"/>
    <w:rsid w:val="006910D0"/>
    <w:rsid w:val="006917D7"/>
    <w:rsid w:val="006919C7"/>
    <w:rsid w:val="0069214E"/>
    <w:rsid w:val="006921CD"/>
    <w:rsid w:val="00692456"/>
    <w:rsid w:val="006924C7"/>
    <w:rsid w:val="006925AE"/>
    <w:rsid w:val="00692892"/>
    <w:rsid w:val="00692BBC"/>
    <w:rsid w:val="006936C8"/>
    <w:rsid w:val="00693834"/>
    <w:rsid w:val="006938A7"/>
    <w:rsid w:val="006941FA"/>
    <w:rsid w:val="006942D3"/>
    <w:rsid w:val="00694879"/>
    <w:rsid w:val="00694955"/>
    <w:rsid w:val="00694966"/>
    <w:rsid w:val="00694A51"/>
    <w:rsid w:val="00694B4A"/>
    <w:rsid w:val="00694D79"/>
    <w:rsid w:val="00694F44"/>
    <w:rsid w:val="00695133"/>
    <w:rsid w:val="0069553B"/>
    <w:rsid w:val="00695696"/>
    <w:rsid w:val="006956B3"/>
    <w:rsid w:val="006956E7"/>
    <w:rsid w:val="006956F1"/>
    <w:rsid w:val="00695A53"/>
    <w:rsid w:val="00695A78"/>
    <w:rsid w:val="00695F75"/>
    <w:rsid w:val="0069629C"/>
    <w:rsid w:val="00696466"/>
    <w:rsid w:val="00696731"/>
    <w:rsid w:val="00696907"/>
    <w:rsid w:val="00696C98"/>
    <w:rsid w:val="006972B2"/>
    <w:rsid w:val="00697316"/>
    <w:rsid w:val="0069758E"/>
    <w:rsid w:val="006978D1"/>
    <w:rsid w:val="00697C9C"/>
    <w:rsid w:val="00697DE6"/>
    <w:rsid w:val="006A030C"/>
    <w:rsid w:val="006A0378"/>
    <w:rsid w:val="006A03CE"/>
    <w:rsid w:val="006A0580"/>
    <w:rsid w:val="006A0588"/>
    <w:rsid w:val="006A0627"/>
    <w:rsid w:val="006A094A"/>
    <w:rsid w:val="006A0A96"/>
    <w:rsid w:val="006A0B72"/>
    <w:rsid w:val="006A0B8A"/>
    <w:rsid w:val="006A0C5F"/>
    <w:rsid w:val="006A10EF"/>
    <w:rsid w:val="006A111C"/>
    <w:rsid w:val="006A13D3"/>
    <w:rsid w:val="006A1613"/>
    <w:rsid w:val="006A1900"/>
    <w:rsid w:val="006A1A83"/>
    <w:rsid w:val="006A1C3C"/>
    <w:rsid w:val="006A2154"/>
    <w:rsid w:val="006A219E"/>
    <w:rsid w:val="006A2604"/>
    <w:rsid w:val="006A276B"/>
    <w:rsid w:val="006A28C3"/>
    <w:rsid w:val="006A2997"/>
    <w:rsid w:val="006A2B84"/>
    <w:rsid w:val="006A2C58"/>
    <w:rsid w:val="006A3496"/>
    <w:rsid w:val="006A3736"/>
    <w:rsid w:val="006A3B5B"/>
    <w:rsid w:val="006A3BDA"/>
    <w:rsid w:val="006A3CD7"/>
    <w:rsid w:val="006A464C"/>
    <w:rsid w:val="006A4918"/>
    <w:rsid w:val="006A4AA4"/>
    <w:rsid w:val="006A4B4E"/>
    <w:rsid w:val="006A4D3B"/>
    <w:rsid w:val="006A4EAD"/>
    <w:rsid w:val="006A52DD"/>
    <w:rsid w:val="006A53D4"/>
    <w:rsid w:val="006A541F"/>
    <w:rsid w:val="006A54D0"/>
    <w:rsid w:val="006A5883"/>
    <w:rsid w:val="006A5AB6"/>
    <w:rsid w:val="006A5EFA"/>
    <w:rsid w:val="006A612F"/>
    <w:rsid w:val="006A6274"/>
    <w:rsid w:val="006A6448"/>
    <w:rsid w:val="006A6649"/>
    <w:rsid w:val="006A6A34"/>
    <w:rsid w:val="006A6A9F"/>
    <w:rsid w:val="006A6AF5"/>
    <w:rsid w:val="006A6C72"/>
    <w:rsid w:val="006A6DA9"/>
    <w:rsid w:val="006A7168"/>
    <w:rsid w:val="006A75FD"/>
    <w:rsid w:val="006A7A0D"/>
    <w:rsid w:val="006A7B8B"/>
    <w:rsid w:val="006A7E5E"/>
    <w:rsid w:val="006B0092"/>
    <w:rsid w:val="006B024A"/>
    <w:rsid w:val="006B0739"/>
    <w:rsid w:val="006B07D7"/>
    <w:rsid w:val="006B085C"/>
    <w:rsid w:val="006B098B"/>
    <w:rsid w:val="006B103E"/>
    <w:rsid w:val="006B1190"/>
    <w:rsid w:val="006B16A4"/>
    <w:rsid w:val="006B16C5"/>
    <w:rsid w:val="006B1BAF"/>
    <w:rsid w:val="006B1E56"/>
    <w:rsid w:val="006B1E9A"/>
    <w:rsid w:val="006B28BC"/>
    <w:rsid w:val="006B29CC"/>
    <w:rsid w:val="006B2D22"/>
    <w:rsid w:val="006B306C"/>
    <w:rsid w:val="006B349E"/>
    <w:rsid w:val="006B3526"/>
    <w:rsid w:val="006B3E00"/>
    <w:rsid w:val="006B3F19"/>
    <w:rsid w:val="006B4301"/>
    <w:rsid w:val="006B43E5"/>
    <w:rsid w:val="006B441C"/>
    <w:rsid w:val="006B4525"/>
    <w:rsid w:val="006B4569"/>
    <w:rsid w:val="006B4652"/>
    <w:rsid w:val="006B4659"/>
    <w:rsid w:val="006B48D8"/>
    <w:rsid w:val="006B496C"/>
    <w:rsid w:val="006B4A50"/>
    <w:rsid w:val="006B4BFF"/>
    <w:rsid w:val="006B4D50"/>
    <w:rsid w:val="006B4E97"/>
    <w:rsid w:val="006B4F9D"/>
    <w:rsid w:val="006B5777"/>
    <w:rsid w:val="006B58E2"/>
    <w:rsid w:val="006B592A"/>
    <w:rsid w:val="006B5A02"/>
    <w:rsid w:val="006B5B16"/>
    <w:rsid w:val="006B5C2D"/>
    <w:rsid w:val="006B6455"/>
    <w:rsid w:val="006B676F"/>
    <w:rsid w:val="006B67C2"/>
    <w:rsid w:val="006B687F"/>
    <w:rsid w:val="006B6ACF"/>
    <w:rsid w:val="006B6AE3"/>
    <w:rsid w:val="006B6C97"/>
    <w:rsid w:val="006B6F4A"/>
    <w:rsid w:val="006B7063"/>
    <w:rsid w:val="006B7696"/>
    <w:rsid w:val="006B77A6"/>
    <w:rsid w:val="006B77F7"/>
    <w:rsid w:val="006B7E32"/>
    <w:rsid w:val="006B7EBB"/>
    <w:rsid w:val="006B7F5D"/>
    <w:rsid w:val="006C00BA"/>
    <w:rsid w:val="006C0517"/>
    <w:rsid w:val="006C073E"/>
    <w:rsid w:val="006C0829"/>
    <w:rsid w:val="006C0B78"/>
    <w:rsid w:val="006C0E5E"/>
    <w:rsid w:val="006C12CA"/>
    <w:rsid w:val="006C1491"/>
    <w:rsid w:val="006C17EC"/>
    <w:rsid w:val="006C1B54"/>
    <w:rsid w:val="006C1D4F"/>
    <w:rsid w:val="006C1DEE"/>
    <w:rsid w:val="006C2076"/>
    <w:rsid w:val="006C20C5"/>
    <w:rsid w:val="006C223D"/>
    <w:rsid w:val="006C24ED"/>
    <w:rsid w:val="006C26A2"/>
    <w:rsid w:val="006C26E3"/>
    <w:rsid w:val="006C2A53"/>
    <w:rsid w:val="006C2A8E"/>
    <w:rsid w:val="006C2AEE"/>
    <w:rsid w:val="006C2BD2"/>
    <w:rsid w:val="006C35F9"/>
    <w:rsid w:val="006C367F"/>
    <w:rsid w:val="006C3A7B"/>
    <w:rsid w:val="006C3C00"/>
    <w:rsid w:val="006C3D67"/>
    <w:rsid w:val="006C4101"/>
    <w:rsid w:val="006C42B8"/>
    <w:rsid w:val="006C4318"/>
    <w:rsid w:val="006C43BE"/>
    <w:rsid w:val="006C4573"/>
    <w:rsid w:val="006C4CB2"/>
    <w:rsid w:val="006C4E07"/>
    <w:rsid w:val="006C563A"/>
    <w:rsid w:val="006C5729"/>
    <w:rsid w:val="006C5775"/>
    <w:rsid w:val="006C5999"/>
    <w:rsid w:val="006C5E22"/>
    <w:rsid w:val="006C6119"/>
    <w:rsid w:val="006C63F8"/>
    <w:rsid w:val="006C6B87"/>
    <w:rsid w:val="006C6C70"/>
    <w:rsid w:val="006C6E1A"/>
    <w:rsid w:val="006C6E60"/>
    <w:rsid w:val="006C7252"/>
    <w:rsid w:val="006C7D41"/>
    <w:rsid w:val="006C7E10"/>
    <w:rsid w:val="006C7F9F"/>
    <w:rsid w:val="006D00E7"/>
    <w:rsid w:val="006D0313"/>
    <w:rsid w:val="006D0390"/>
    <w:rsid w:val="006D0690"/>
    <w:rsid w:val="006D0730"/>
    <w:rsid w:val="006D0855"/>
    <w:rsid w:val="006D0C40"/>
    <w:rsid w:val="006D0C85"/>
    <w:rsid w:val="006D11E2"/>
    <w:rsid w:val="006D1225"/>
    <w:rsid w:val="006D1235"/>
    <w:rsid w:val="006D12C5"/>
    <w:rsid w:val="006D1861"/>
    <w:rsid w:val="006D18E9"/>
    <w:rsid w:val="006D1BA9"/>
    <w:rsid w:val="006D23EA"/>
    <w:rsid w:val="006D2426"/>
    <w:rsid w:val="006D25E1"/>
    <w:rsid w:val="006D27C2"/>
    <w:rsid w:val="006D296D"/>
    <w:rsid w:val="006D2C08"/>
    <w:rsid w:val="006D2F41"/>
    <w:rsid w:val="006D2FC8"/>
    <w:rsid w:val="006D3034"/>
    <w:rsid w:val="006D3C7D"/>
    <w:rsid w:val="006D41AA"/>
    <w:rsid w:val="006D4344"/>
    <w:rsid w:val="006D4538"/>
    <w:rsid w:val="006D479C"/>
    <w:rsid w:val="006D4C9E"/>
    <w:rsid w:val="006D4E1F"/>
    <w:rsid w:val="006D5150"/>
    <w:rsid w:val="006D5797"/>
    <w:rsid w:val="006D580B"/>
    <w:rsid w:val="006D5956"/>
    <w:rsid w:val="006D5C06"/>
    <w:rsid w:val="006D5D5F"/>
    <w:rsid w:val="006D5DBB"/>
    <w:rsid w:val="006D5E29"/>
    <w:rsid w:val="006D5E8A"/>
    <w:rsid w:val="006D5EB1"/>
    <w:rsid w:val="006D5FE3"/>
    <w:rsid w:val="006D6378"/>
    <w:rsid w:val="006D66FB"/>
    <w:rsid w:val="006D6868"/>
    <w:rsid w:val="006D689D"/>
    <w:rsid w:val="006D698B"/>
    <w:rsid w:val="006D6CAF"/>
    <w:rsid w:val="006D6DF7"/>
    <w:rsid w:val="006D6ED4"/>
    <w:rsid w:val="006D7375"/>
    <w:rsid w:val="006D754E"/>
    <w:rsid w:val="006E0854"/>
    <w:rsid w:val="006E0862"/>
    <w:rsid w:val="006E0B2A"/>
    <w:rsid w:val="006E0C92"/>
    <w:rsid w:val="006E0FCD"/>
    <w:rsid w:val="006E143E"/>
    <w:rsid w:val="006E17E8"/>
    <w:rsid w:val="006E17F2"/>
    <w:rsid w:val="006E1A4F"/>
    <w:rsid w:val="006E1C64"/>
    <w:rsid w:val="006E1FF8"/>
    <w:rsid w:val="006E219D"/>
    <w:rsid w:val="006E291C"/>
    <w:rsid w:val="006E2B28"/>
    <w:rsid w:val="006E2F23"/>
    <w:rsid w:val="006E33E9"/>
    <w:rsid w:val="006E398F"/>
    <w:rsid w:val="006E3B40"/>
    <w:rsid w:val="006E4176"/>
    <w:rsid w:val="006E43FE"/>
    <w:rsid w:val="006E442E"/>
    <w:rsid w:val="006E4446"/>
    <w:rsid w:val="006E450B"/>
    <w:rsid w:val="006E4657"/>
    <w:rsid w:val="006E481B"/>
    <w:rsid w:val="006E48C8"/>
    <w:rsid w:val="006E4AE2"/>
    <w:rsid w:val="006E4B5A"/>
    <w:rsid w:val="006E50B8"/>
    <w:rsid w:val="006E52DC"/>
    <w:rsid w:val="006E52F8"/>
    <w:rsid w:val="006E549C"/>
    <w:rsid w:val="006E55DA"/>
    <w:rsid w:val="006E5903"/>
    <w:rsid w:val="006E59E8"/>
    <w:rsid w:val="006E5C1C"/>
    <w:rsid w:val="006E5DA7"/>
    <w:rsid w:val="006E605D"/>
    <w:rsid w:val="006E62A0"/>
    <w:rsid w:val="006E6521"/>
    <w:rsid w:val="006E6522"/>
    <w:rsid w:val="006E6647"/>
    <w:rsid w:val="006E6BAA"/>
    <w:rsid w:val="006E6F51"/>
    <w:rsid w:val="006E6FD7"/>
    <w:rsid w:val="006E755D"/>
    <w:rsid w:val="006E7761"/>
    <w:rsid w:val="006E7836"/>
    <w:rsid w:val="006E7938"/>
    <w:rsid w:val="006E796E"/>
    <w:rsid w:val="006E797F"/>
    <w:rsid w:val="006E7CC5"/>
    <w:rsid w:val="006E7F09"/>
    <w:rsid w:val="006F02A5"/>
    <w:rsid w:val="006F02C7"/>
    <w:rsid w:val="006F08A5"/>
    <w:rsid w:val="006F0AC9"/>
    <w:rsid w:val="006F0B86"/>
    <w:rsid w:val="006F0BA0"/>
    <w:rsid w:val="006F0C4D"/>
    <w:rsid w:val="006F0EA5"/>
    <w:rsid w:val="006F15E3"/>
    <w:rsid w:val="006F17E6"/>
    <w:rsid w:val="006F1C26"/>
    <w:rsid w:val="006F1E5A"/>
    <w:rsid w:val="006F1F08"/>
    <w:rsid w:val="006F2046"/>
    <w:rsid w:val="006F20E0"/>
    <w:rsid w:val="006F2274"/>
    <w:rsid w:val="006F25C7"/>
    <w:rsid w:val="006F2844"/>
    <w:rsid w:val="006F2D54"/>
    <w:rsid w:val="006F31C3"/>
    <w:rsid w:val="006F33E6"/>
    <w:rsid w:val="006F3506"/>
    <w:rsid w:val="006F3516"/>
    <w:rsid w:val="006F3B2E"/>
    <w:rsid w:val="006F3B33"/>
    <w:rsid w:val="006F3C45"/>
    <w:rsid w:val="006F3E07"/>
    <w:rsid w:val="006F40B9"/>
    <w:rsid w:val="006F4222"/>
    <w:rsid w:val="006F42A5"/>
    <w:rsid w:val="006F4500"/>
    <w:rsid w:val="006F4B9F"/>
    <w:rsid w:val="006F4F59"/>
    <w:rsid w:val="006F5002"/>
    <w:rsid w:val="006F505F"/>
    <w:rsid w:val="006F50C0"/>
    <w:rsid w:val="006F5247"/>
    <w:rsid w:val="006F530D"/>
    <w:rsid w:val="006F5A3A"/>
    <w:rsid w:val="006F5BDF"/>
    <w:rsid w:val="006F5D79"/>
    <w:rsid w:val="006F5E67"/>
    <w:rsid w:val="006F5EB2"/>
    <w:rsid w:val="006F5FDF"/>
    <w:rsid w:val="006F61FF"/>
    <w:rsid w:val="006F63A5"/>
    <w:rsid w:val="006F64DA"/>
    <w:rsid w:val="006F65D0"/>
    <w:rsid w:val="006F6660"/>
    <w:rsid w:val="006F6836"/>
    <w:rsid w:val="006F6A55"/>
    <w:rsid w:val="006F6B90"/>
    <w:rsid w:val="006F6D05"/>
    <w:rsid w:val="006F7895"/>
    <w:rsid w:val="006F7B77"/>
    <w:rsid w:val="00700276"/>
    <w:rsid w:val="007002D1"/>
    <w:rsid w:val="00700378"/>
    <w:rsid w:val="007003E9"/>
    <w:rsid w:val="007004E2"/>
    <w:rsid w:val="00700660"/>
    <w:rsid w:val="0070068B"/>
    <w:rsid w:val="007009B5"/>
    <w:rsid w:val="00700C2B"/>
    <w:rsid w:val="00700C46"/>
    <w:rsid w:val="00700F51"/>
    <w:rsid w:val="007011F4"/>
    <w:rsid w:val="007015C3"/>
    <w:rsid w:val="007019BD"/>
    <w:rsid w:val="00701B6E"/>
    <w:rsid w:val="00702554"/>
    <w:rsid w:val="007025AB"/>
    <w:rsid w:val="0070276E"/>
    <w:rsid w:val="00702B48"/>
    <w:rsid w:val="00702F6F"/>
    <w:rsid w:val="00702F8F"/>
    <w:rsid w:val="00703493"/>
    <w:rsid w:val="007035FC"/>
    <w:rsid w:val="00703637"/>
    <w:rsid w:val="007038B1"/>
    <w:rsid w:val="00703DD8"/>
    <w:rsid w:val="00703F12"/>
    <w:rsid w:val="00703F5A"/>
    <w:rsid w:val="00704117"/>
    <w:rsid w:val="00704493"/>
    <w:rsid w:val="007045D4"/>
    <w:rsid w:val="0070467E"/>
    <w:rsid w:val="007049AF"/>
    <w:rsid w:val="00704BDE"/>
    <w:rsid w:val="007051AF"/>
    <w:rsid w:val="0070544F"/>
    <w:rsid w:val="00705783"/>
    <w:rsid w:val="007057D3"/>
    <w:rsid w:val="00705813"/>
    <w:rsid w:val="007058F0"/>
    <w:rsid w:val="00705AA4"/>
    <w:rsid w:val="00705B54"/>
    <w:rsid w:val="007062C5"/>
    <w:rsid w:val="007068A5"/>
    <w:rsid w:val="007068BE"/>
    <w:rsid w:val="00706912"/>
    <w:rsid w:val="00706AA4"/>
    <w:rsid w:val="00706C57"/>
    <w:rsid w:val="00706F5F"/>
    <w:rsid w:val="007071AF"/>
    <w:rsid w:val="00707294"/>
    <w:rsid w:val="0070745F"/>
    <w:rsid w:val="007075AC"/>
    <w:rsid w:val="00707D60"/>
    <w:rsid w:val="00707DAC"/>
    <w:rsid w:val="007100CE"/>
    <w:rsid w:val="007100E3"/>
    <w:rsid w:val="0071107E"/>
    <w:rsid w:val="0071119C"/>
    <w:rsid w:val="00711215"/>
    <w:rsid w:val="00711A36"/>
    <w:rsid w:val="00711AB2"/>
    <w:rsid w:val="00711BEA"/>
    <w:rsid w:val="00711C82"/>
    <w:rsid w:val="00711D77"/>
    <w:rsid w:val="00711E7D"/>
    <w:rsid w:val="00711F3F"/>
    <w:rsid w:val="00711F6D"/>
    <w:rsid w:val="00712412"/>
    <w:rsid w:val="007124EB"/>
    <w:rsid w:val="00712520"/>
    <w:rsid w:val="00712607"/>
    <w:rsid w:val="00712798"/>
    <w:rsid w:val="00712D2D"/>
    <w:rsid w:val="00712EED"/>
    <w:rsid w:val="007138F6"/>
    <w:rsid w:val="00713908"/>
    <w:rsid w:val="0071397A"/>
    <w:rsid w:val="00713A50"/>
    <w:rsid w:val="00713C13"/>
    <w:rsid w:val="00714035"/>
    <w:rsid w:val="00714504"/>
    <w:rsid w:val="00714603"/>
    <w:rsid w:val="0071460C"/>
    <w:rsid w:val="007148D8"/>
    <w:rsid w:val="00714BF5"/>
    <w:rsid w:val="00714CE6"/>
    <w:rsid w:val="00714D3F"/>
    <w:rsid w:val="00714D8B"/>
    <w:rsid w:val="00714EE8"/>
    <w:rsid w:val="00715497"/>
    <w:rsid w:val="007155CC"/>
    <w:rsid w:val="00715AC9"/>
    <w:rsid w:val="00715BD8"/>
    <w:rsid w:val="00715F70"/>
    <w:rsid w:val="00716B4D"/>
    <w:rsid w:val="00716FCD"/>
    <w:rsid w:val="007172AD"/>
    <w:rsid w:val="007173C9"/>
    <w:rsid w:val="00717406"/>
    <w:rsid w:val="007177B4"/>
    <w:rsid w:val="007179A0"/>
    <w:rsid w:val="00717F6A"/>
    <w:rsid w:val="00720280"/>
    <w:rsid w:val="00720399"/>
    <w:rsid w:val="007203A9"/>
    <w:rsid w:val="00720509"/>
    <w:rsid w:val="00720524"/>
    <w:rsid w:val="00720F2C"/>
    <w:rsid w:val="00721066"/>
    <w:rsid w:val="00721AF4"/>
    <w:rsid w:val="00721BC0"/>
    <w:rsid w:val="00722062"/>
    <w:rsid w:val="00722521"/>
    <w:rsid w:val="0072273F"/>
    <w:rsid w:val="0072283E"/>
    <w:rsid w:val="007228B9"/>
    <w:rsid w:val="007229C5"/>
    <w:rsid w:val="00722BDA"/>
    <w:rsid w:val="00722DA4"/>
    <w:rsid w:val="007231BF"/>
    <w:rsid w:val="007233A6"/>
    <w:rsid w:val="007233DB"/>
    <w:rsid w:val="007234C0"/>
    <w:rsid w:val="007236A6"/>
    <w:rsid w:val="007236C9"/>
    <w:rsid w:val="00724090"/>
    <w:rsid w:val="00724098"/>
    <w:rsid w:val="0072416F"/>
    <w:rsid w:val="007247B2"/>
    <w:rsid w:val="007247BC"/>
    <w:rsid w:val="007248F5"/>
    <w:rsid w:val="00724ADF"/>
    <w:rsid w:val="00724AF6"/>
    <w:rsid w:val="00724C59"/>
    <w:rsid w:val="00724EBD"/>
    <w:rsid w:val="0072500F"/>
    <w:rsid w:val="00725257"/>
    <w:rsid w:val="007256E3"/>
    <w:rsid w:val="00725711"/>
    <w:rsid w:val="00725ADF"/>
    <w:rsid w:val="00725DDD"/>
    <w:rsid w:val="00726A49"/>
    <w:rsid w:val="00726CFF"/>
    <w:rsid w:val="00726FBE"/>
    <w:rsid w:val="007270AF"/>
    <w:rsid w:val="0072710D"/>
    <w:rsid w:val="00727375"/>
    <w:rsid w:val="00727383"/>
    <w:rsid w:val="007279D0"/>
    <w:rsid w:val="007303F1"/>
    <w:rsid w:val="007307E1"/>
    <w:rsid w:val="00730DEB"/>
    <w:rsid w:val="00730E06"/>
    <w:rsid w:val="007311C9"/>
    <w:rsid w:val="00731371"/>
    <w:rsid w:val="007314BD"/>
    <w:rsid w:val="007315BD"/>
    <w:rsid w:val="00731C28"/>
    <w:rsid w:val="0073224C"/>
    <w:rsid w:val="00732372"/>
    <w:rsid w:val="00732A7D"/>
    <w:rsid w:val="00732B27"/>
    <w:rsid w:val="00732BF2"/>
    <w:rsid w:val="00732C89"/>
    <w:rsid w:val="00732DC6"/>
    <w:rsid w:val="00732E35"/>
    <w:rsid w:val="00733133"/>
    <w:rsid w:val="007331CD"/>
    <w:rsid w:val="00733287"/>
    <w:rsid w:val="0073338C"/>
    <w:rsid w:val="007333AF"/>
    <w:rsid w:val="007343C1"/>
    <w:rsid w:val="00734456"/>
    <w:rsid w:val="00734633"/>
    <w:rsid w:val="007346C0"/>
    <w:rsid w:val="00734C85"/>
    <w:rsid w:val="00734D34"/>
    <w:rsid w:val="00735045"/>
    <w:rsid w:val="007351C4"/>
    <w:rsid w:val="00735328"/>
    <w:rsid w:val="0073534B"/>
    <w:rsid w:val="00735605"/>
    <w:rsid w:val="0073561C"/>
    <w:rsid w:val="00735661"/>
    <w:rsid w:val="007357B8"/>
    <w:rsid w:val="007357CC"/>
    <w:rsid w:val="0073585A"/>
    <w:rsid w:val="00735A0B"/>
    <w:rsid w:val="00735A47"/>
    <w:rsid w:val="00735A66"/>
    <w:rsid w:val="00736295"/>
    <w:rsid w:val="007362B4"/>
    <w:rsid w:val="0073643F"/>
    <w:rsid w:val="0073685B"/>
    <w:rsid w:val="007368D9"/>
    <w:rsid w:val="00736E16"/>
    <w:rsid w:val="00736F69"/>
    <w:rsid w:val="007372DD"/>
    <w:rsid w:val="00737A5D"/>
    <w:rsid w:val="00737F38"/>
    <w:rsid w:val="007401DC"/>
    <w:rsid w:val="00740394"/>
    <w:rsid w:val="00740542"/>
    <w:rsid w:val="00740939"/>
    <w:rsid w:val="00740B15"/>
    <w:rsid w:val="00741032"/>
    <w:rsid w:val="00741612"/>
    <w:rsid w:val="00741922"/>
    <w:rsid w:val="00741E21"/>
    <w:rsid w:val="00742568"/>
    <w:rsid w:val="007425F7"/>
    <w:rsid w:val="00742893"/>
    <w:rsid w:val="00742BE7"/>
    <w:rsid w:val="007431E1"/>
    <w:rsid w:val="00743243"/>
    <w:rsid w:val="0074358F"/>
    <w:rsid w:val="0074383C"/>
    <w:rsid w:val="007438A9"/>
    <w:rsid w:val="00743A75"/>
    <w:rsid w:val="00743D4A"/>
    <w:rsid w:val="00743F18"/>
    <w:rsid w:val="00743F65"/>
    <w:rsid w:val="00744542"/>
    <w:rsid w:val="00744568"/>
    <w:rsid w:val="00744712"/>
    <w:rsid w:val="007447AA"/>
    <w:rsid w:val="007448C0"/>
    <w:rsid w:val="00744B3E"/>
    <w:rsid w:val="00744BC1"/>
    <w:rsid w:val="00744F56"/>
    <w:rsid w:val="00745221"/>
    <w:rsid w:val="00745351"/>
    <w:rsid w:val="00745867"/>
    <w:rsid w:val="00745EF2"/>
    <w:rsid w:val="007460B7"/>
    <w:rsid w:val="00746353"/>
    <w:rsid w:val="007463D4"/>
    <w:rsid w:val="00746419"/>
    <w:rsid w:val="0074658A"/>
    <w:rsid w:val="00746652"/>
    <w:rsid w:val="00746DA4"/>
    <w:rsid w:val="00747362"/>
    <w:rsid w:val="0074741E"/>
    <w:rsid w:val="00747A84"/>
    <w:rsid w:val="00747BDF"/>
    <w:rsid w:val="0075006D"/>
    <w:rsid w:val="007501FA"/>
    <w:rsid w:val="00750335"/>
    <w:rsid w:val="007507E6"/>
    <w:rsid w:val="00750BC7"/>
    <w:rsid w:val="007514DA"/>
    <w:rsid w:val="007519A2"/>
    <w:rsid w:val="00751B0A"/>
    <w:rsid w:val="00751D39"/>
    <w:rsid w:val="00751D98"/>
    <w:rsid w:val="00751DC9"/>
    <w:rsid w:val="00752012"/>
    <w:rsid w:val="00752015"/>
    <w:rsid w:val="00752465"/>
    <w:rsid w:val="00752825"/>
    <w:rsid w:val="007528EB"/>
    <w:rsid w:val="007529BA"/>
    <w:rsid w:val="00752DAE"/>
    <w:rsid w:val="00752FD5"/>
    <w:rsid w:val="00753CAD"/>
    <w:rsid w:val="007542AC"/>
    <w:rsid w:val="0075451E"/>
    <w:rsid w:val="00754596"/>
    <w:rsid w:val="0075485C"/>
    <w:rsid w:val="00754C2C"/>
    <w:rsid w:val="00754E30"/>
    <w:rsid w:val="00754E97"/>
    <w:rsid w:val="00754FF7"/>
    <w:rsid w:val="00755133"/>
    <w:rsid w:val="00755305"/>
    <w:rsid w:val="00755B55"/>
    <w:rsid w:val="00755F74"/>
    <w:rsid w:val="00756826"/>
    <w:rsid w:val="00756A59"/>
    <w:rsid w:val="00756AA6"/>
    <w:rsid w:val="00756E3C"/>
    <w:rsid w:val="00757117"/>
    <w:rsid w:val="0075733E"/>
    <w:rsid w:val="00757530"/>
    <w:rsid w:val="00757929"/>
    <w:rsid w:val="007600C7"/>
    <w:rsid w:val="00760152"/>
    <w:rsid w:val="007603F6"/>
    <w:rsid w:val="00760763"/>
    <w:rsid w:val="00760904"/>
    <w:rsid w:val="00760ACA"/>
    <w:rsid w:val="00760F12"/>
    <w:rsid w:val="00761381"/>
    <w:rsid w:val="0076141F"/>
    <w:rsid w:val="007615DC"/>
    <w:rsid w:val="007616D5"/>
    <w:rsid w:val="007617B0"/>
    <w:rsid w:val="0076185E"/>
    <w:rsid w:val="00761879"/>
    <w:rsid w:val="0076188D"/>
    <w:rsid w:val="007618C9"/>
    <w:rsid w:val="00761A53"/>
    <w:rsid w:val="00761AB1"/>
    <w:rsid w:val="00761AB7"/>
    <w:rsid w:val="00761D4D"/>
    <w:rsid w:val="007621C0"/>
    <w:rsid w:val="0076231D"/>
    <w:rsid w:val="00762394"/>
    <w:rsid w:val="007626B0"/>
    <w:rsid w:val="007626B2"/>
    <w:rsid w:val="00762A54"/>
    <w:rsid w:val="00762C1E"/>
    <w:rsid w:val="00762C3B"/>
    <w:rsid w:val="00762C7C"/>
    <w:rsid w:val="00763062"/>
    <w:rsid w:val="007630D1"/>
    <w:rsid w:val="007633B5"/>
    <w:rsid w:val="007634F7"/>
    <w:rsid w:val="0076355C"/>
    <w:rsid w:val="00763769"/>
    <w:rsid w:val="00763A57"/>
    <w:rsid w:val="00763A78"/>
    <w:rsid w:val="00763B0A"/>
    <w:rsid w:val="00763F31"/>
    <w:rsid w:val="00763FF4"/>
    <w:rsid w:val="007640A4"/>
    <w:rsid w:val="0076420B"/>
    <w:rsid w:val="0076426C"/>
    <w:rsid w:val="007643D2"/>
    <w:rsid w:val="0076449F"/>
    <w:rsid w:val="00764594"/>
    <w:rsid w:val="00764991"/>
    <w:rsid w:val="00764B4A"/>
    <w:rsid w:val="00764C38"/>
    <w:rsid w:val="00764DDD"/>
    <w:rsid w:val="00765185"/>
    <w:rsid w:val="007651C6"/>
    <w:rsid w:val="00765234"/>
    <w:rsid w:val="007653A7"/>
    <w:rsid w:val="00765502"/>
    <w:rsid w:val="00765582"/>
    <w:rsid w:val="0076564F"/>
    <w:rsid w:val="0076586F"/>
    <w:rsid w:val="00765B5C"/>
    <w:rsid w:val="0076667B"/>
    <w:rsid w:val="0076686B"/>
    <w:rsid w:val="0076713B"/>
    <w:rsid w:val="00767442"/>
    <w:rsid w:val="00767700"/>
    <w:rsid w:val="00767B43"/>
    <w:rsid w:val="00767DEE"/>
    <w:rsid w:val="00770971"/>
    <w:rsid w:val="00770B49"/>
    <w:rsid w:val="00770CD9"/>
    <w:rsid w:val="00770D51"/>
    <w:rsid w:val="00770FB4"/>
    <w:rsid w:val="007716D7"/>
    <w:rsid w:val="00771B23"/>
    <w:rsid w:val="00771D84"/>
    <w:rsid w:val="00771F76"/>
    <w:rsid w:val="00772544"/>
    <w:rsid w:val="00772E3C"/>
    <w:rsid w:val="00772F98"/>
    <w:rsid w:val="007734C8"/>
    <w:rsid w:val="0077371B"/>
    <w:rsid w:val="00773850"/>
    <w:rsid w:val="00773CFB"/>
    <w:rsid w:val="007743D8"/>
    <w:rsid w:val="00774407"/>
    <w:rsid w:val="007744EF"/>
    <w:rsid w:val="00774540"/>
    <w:rsid w:val="00774586"/>
    <w:rsid w:val="007749D5"/>
    <w:rsid w:val="00774ADF"/>
    <w:rsid w:val="00774E69"/>
    <w:rsid w:val="00774FB1"/>
    <w:rsid w:val="00775178"/>
    <w:rsid w:val="007752BF"/>
    <w:rsid w:val="0077560F"/>
    <w:rsid w:val="00775B53"/>
    <w:rsid w:val="00775B5C"/>
    <w:rsid w:val="00775EA4"/>
    <w:rsid w:val="00775FD1"/>
    <w:rsid w:val="007767A8"/>
    <w:rsid w:val="00776A5B"/>
    <w:rsid w:val="00776E3C"/>
    <w:rsid w:val="00777095"/>
    <w:rsid w:val="007773DB"/>
    <w:rsid w:val="007776C4"/>
    <w:rsid w:val="00777982"/>
    <w:rsid w:val="00777B2F"/>
    <w:rsid w:val="00777E21"/>
    <w:rsid w:val="00777E31"/>
    <w:rsid w:val="007801DC"/>
    <w:rsid w:val="00780524"/>
    <w:rsid w:val="00780538"/>
    <w:rsid w:val="0078067A"/>
    <w:rsid w:val="007806A5"/>
    <w:rsid w:val="0078085E"/>
    <w:rsid w:val="007808BA"/>
    <w:rsid w:val="00780D16"/>
    <w:rsid w:val="00780F24"/>
    <w:rsid w:val="007811AB"/>
    <w:rsid w:val="00781305"/>
    <w:rsid w:val="007813A6"/>
    <w:rsid w:val="007816C1"/>
    <w:rsid w:val="00781901"/>
    <w:rsid w:val="00781AFC"/>
    <w:rsid w:val="00781BCC"/>
    <w:rsid w:val="00781E62"/>
    <w:rsid w:val="007828E3"/>
    <w:rsid w:val="0078290B"/>
    <w:rsid w:val="00782D38"/>
    <w:rsid w:val="00782FC4"/>
    <w:rsid w:val="00782FDB"/>
    <w:rsid w:val="00783252"/>
    <w:rsid w:val="00783725"/>
    <w:rsid w:val="00783F96"/>
    <w:rsid w:val="007841C4"/>
    <w:rsid w:val="007841C6"/>
    <w:rsid w:val="007842B0"/>
    <w:rsid w:val="007844FC"/>
    <w:rsid w:val="0078481F"/>
    <w:rsid w:val="007848DF"/>
    <w:rsid w:val="00784D58"/>
    <w:rsid w:val="00784D72"/>
    <w:rsid w:val="00784E28"/>
    <w:rsid w:val="00785051"/>
    <w:rsid w:val="0078507E"/>
    <w:rsid w:val="0078594A"/>
    <w:rsid w:val="00785A58"/>
    <w:rsid w:val="00785C23"/>
    <w:rsid w:val="00785CA7"/>
    <w:rsid w:val="00786135"/>
    <w:rsid w:val="0078623F"/>
    <w:rsid w:val="007866BB"/>
    <w:rsid w:val="00786E84"/>
    <w:rsid w:val="00786F1D"/>
    <w:rsid w:val="0078710A"/>
    <w:rsid w:val="007876EB"/>
    <w:rsid w:val="0078779D"/>
    <w:rsid w:val="00787C68"/>
    <w:rsid w:val="00787CF3"/>
    <w:rsid w:val="00787EC3"/>
    <w:rsid w:val="0079021B"/>
    <w:rsid w:val="00790902"/>
    <w:rsid w:val="00790D8E"/>
    <w:rsid w:val="00790E1E"/>
    <w:rsid w:val="00790F50"/>
    <w:rsid w:val="00791058"/>
    <w:rsid w:val="007919F3"/>
    <w:rsid w:val="00791B4A"/>
    <w:rsid w:val="00791FAF"/>
    <w:rsid w:val="00792178"/>
    <w:rsid w:val="00792283"/>
    <w:rsid w:val="007922BD"/>
    <w:rsid w:val="0079250E"/>
    <w:rsid w:val="007925E2"/>
    <w:rsid w:val="007928C7"/>
    <w:rsid w:val="00792A87"/>
    <w:rsid w:val="00792B9D"/>
    <w:rsid w:val="00792CD2"/>
    <w:rsid w:val="00793039"/>
    <w:rsid w:val="00793063"/>
    <w:rsid w:val="00793132"/>
    <w:rsid w:val="00793180"/>
    <w:rsid w:val="00793919"/>
    <w:rsid w:val="00793A68"/>
    <w:rsid w:val="00793B5D"/>
    <w:rsid w:val="00793D50"/>
    <w:rsid w:val="00793DD2"/>
    <w:rsid w:val="00794028"/>
    <w:rsid w:val="007942AF"/>
    <w:rsid w:val="007942E8"/>
    <w:rsid w:val="00794B98"/>
    <w:rsid w:val="00794C0A"/>
    <w:rsid w:val="00794CD9"/>
    <w:rsid w:val="00794EB2"/>
    <w:rsid w:val="00795387"/>
    <w:rsid w:val="007953A8"/>
    <w:rsid w:val="00795416"/>
    <w:rsid w:val="00795A4D"/>
    <w:rsid w:val="00796028"/>
    <w:rsid w:val="0079639C"/>
    <w:rsid w:val="007964BB"/>
    <w:rsid w:val="00796A3E"/>
    <w:rsid w:val="00796B71"/>
    <w:rsid w:val="00796C49"/>
    <w:rsid w:val="00796EB8"/>
    <w:rsid w:val="007970A0"/>
    <w:rsid w:val="0079719B"/>
    <w:rsid w:val="0079731F"/>
    <w:rsid w:val="00797383"/>
    <w:rsid w:val="0079758E"/>
    <w:rsid w:val="007977F6"/>
    <w:rsid w:val="007A0886"/>
    <w:rsid w:val="007A09D4"/>
    <w:rsid w:val="007A09DB"/>
    <w:rsid w:val="007A0A12"/>
    <w:rsid w:val="007A0E0C"/>
    <w:rsid w:val="007A0F0C"/>
    <w:rsid w:val="007A0F61"/>
    <w:rsid w:val="007A1220"/>
    <w:rsid w:val="007A12EA"/>
    <w:rsid w:val="007A131F"/>
    <w:rsid w:val="007A133E"/>
    <w:rsid w:val="007A164E"/>
    <w:rsid w:val="007A184F"/>
    <w:rsid w:val="007A1BCA"/>
    <w:rsid w:val="007A1FD0"/>
    <w:rsid w:val="007A21CA"/>
    <w:rsid w:val="007A268D"/>
    <w:rsid w:val="007A26C5"/>
    <w:rsid w:val="007A2899"/>
    <w:rsid w:val="007A28E0"/>
    <w:rsid w:val="007A2CB0"/>
    <w:rsid w:val="007A2F01"/>
    <w:rsid w:val="007A308A"/>
    <w:rsid w:val="007A3134"/>
    <w:rsid w:val="007A31B2"/>
    <w:rsid w:val="007A32E8"/>
    <w:rsid w:val="007A3459"/>
    <w:rsid w:val="007A3784"/>
    <w:rsid w:val="007A3B02"/>
    <w:rsid w:val="007A3E54"/>
    <w:rsid w:val="007A3E7D"/>
    <w:rsid w:val="007A4258"/>
    <w:rsid w:val="007A42BF"/>
    <w:rsid w:val="007A44E5"/>
    <w:rsid w:val="007A47A8"/>
    <w:rsid w:val="007A4BA0"/>
    <w:rsid w:val="007A4C94"/>
    <w:rsid w:val="007A4D2D"/>
    <w:rsid w:val="007A5169"/>
    <w:rsid w:val="007A52E1"/>
    <w:rsid w:val="007A53AE"/>
    <w:rsid w:val="007A54F6"/>
    <w:rsid w:val="007A5547"/>
    <w:rsid w:val="007A5646"/>
    <w:rsid w:val="007A5891"/>
    <w:rsid w:val="007A5CBD"/>
    <w:rsid w:val="007A682D"/>
    <w:rsid w:val="007A69DC"/>
    <w:rsid w:val="007A6B79"/>
    <w:rsid w:val="007A6C32"/>
    <w:rsid w:val="007A7012"/>
    <w:rsid w:val="007A70DC"/>
    <w:rsid w:val="007A7480"/>
    <w:rsid w:val="007A751E"/>
    <w:rsid w:val="007A7644"/>
    <w:rsid w:val="007A7C09"/>
    <w:rsid w:val="007B05C6"/>
    <w:rsid w:val="007B08FA"/>
    <w:rsid w:val="007B092E"/>
    <w:rsid w:val="007B0F41"/>
    <w:rsid w:val="007B151E"/>
    <w:rsid w:val="007B178B"/>
    <w:rsid w:val="007B1819"/>
    <w:rsid w:val="007B1CA9"/>
    <w:rsid w:val="007B1DE9"/>
    <w:rsid w:val="007B1E49"/>
    <w:rsid w:val="007B1E9C"/>
    <w:rsid w:val="007B1EB4"/>
    <w:rsid w:val="007B1EEC"/>
    <w:rsid w:val="007B2089"/>
    <w:rsid w:val="007B20E6"/>
    <w:rsid w:val="007B2366"/>
    <w:rsid w:val="007B2396"/>
    <w:rsid w:val="007B251D"/>
    <w:rsid w:val="007B252B"/>
    <w:rsid w:val="007B2559"/>
    <w:rsid w:val="007B26FB"/>
    <w:rsid w:val="007B2850"/>
    <w:rsid w:val="007B2CC9"/>
    <w:rsid w:val="007B3119"/>
    <w:rsid w:val="007B34AB"/>
    <w:rsid w:val="007B35CD"/>
    <w:rsid w:val="007B3719"/>
    <w:rsid w:val="007B3F66"/>
    <w:rsid w:val="007B409B"/>
    <w:rsid w:val="007B460D"/>
    <w:rsid w:val="007B49C7"/>
    <w:rsid w:val="007B4CA7"/>
    <w:rsid w:val="007B4CC3"/>
    <w:rsid w:val="007B4DE2"/>
    <w:rsid w:val="007B4DFD"/>
    <w:rsid w:val="007B5260"/>
    <w:rsid w:val="007B53CB"/>
    <w:rsid w:val="007B55C1"/>
    <w:rsid w:val="007B563E"/>
    <w:rsid w:val="007B567C"/>
    <w:rsid w:val="007B5B26"/>
    <w:rsid w:val="007B5D7A"/>
    <w:rsid w:val="007B5E6C"/>
    <w:rsid w:val="007B5E97"/>
    <w:rsid w:val="007B6387"/>
    <w:rsid w:val="007B67A9"/>
    <w:rsid w:val="007B684C"/>
    <w:rsid w:val="007B6D3C"/>
    <w:rsid w:val="007B6E48"/>
    <w:rsid w:val="007B6E66"/>
    <w:rsid w:val="007B7105"/>
    <w:rsid w:val="007B7594"/>
    <w:rsid w:val="007B77BB"/>
    <w:rsid w:val="007B77D1"/>
    <w:rsid w:val="007B7F9A"/>
    <w:rsid w:val="007C005C"/>
    <w:rsid w:val="007C06E1"/>
    <w:rsid w:val="007C08A0"/>
    <w:rsid w:val="007C0A0C"/>
    <w:rsid w:val="007C0C6B"/>
    <w:rsid w:val="007C129C"/>
    <w:rsid w:val="007C17DD"/>
    <w:rsid w:val="007C18D3"/>
    <w:rsid w:val="007C1B03"/>
    <w:rsid w:val="007C1B30"/>
    <w:rsid w:val="007C1CAF"/>
    <w:rsid w:val="007C1E99"/>
    <w:rsid w:val="007C1F15"/>
    <w:rsid w:val="007C27CA"/>
    <w:rsid w:val="007C297E"/>
    <w:rsid w:val="007C2A54"/>
    <w:rsid w:val="007C2B75"/>
    <w:rsid w:val="007C2B81"/>
    <w:rsid w:val="007C2BE8"/>
    <w:rsid w:val="007C361D"/>
    <w:rsid w:val="007C3748"/>
    <w:rsid w:val="007C3896"/>
    <w:rsid w:val="007C3AF3"/>
    <w:rsid w:val="007C3CAD"/>
    <w:rsid w:val="007C3F13"/>
    <w:rsid w:val="007C4000"/>
    <w:rsid w:val="007C406B"/>
    <w:rsid w:val="007C5058"/>
    <w:rsid w:val="007C50EF"/>
    <w:rsid w:val="007C5322"/>
    <w:rsid w:val="007C5326"/>
    <w:rsid w:val="007C5409"/>
    <w:rsid w:val="007C5693"/>
    <w:rsid w:val="007C5A57"/>
    <w:rsid w:val="007C5A7B"/>
    <w:rsid w:val="007C5BF5"/>
    <w:rsid w:val="007C5C59"/>
    <w:rsid w:val="007C5F49"/>
    <w:rsid w:val="007C5F90"/>
    <w:rsid w:val="007C6341"/>
    <w:rsid w:val="007C6887"/>
    <w:rsid w:val="007C6DC9"/>
    <w:rsid w:val="007C71F0"/>
    <w:rsid w:val="007C74B1"/>
    <w:rsid w:val="007C7535"/>
    <w:rsid w:val="007C76CF"/>
    <w:rsid w:val="007C7A49"/>
    <w:rsid w:val="007C7BE4"/>
    <w:rsid w:val="007D001E"/>
    <w:rsid w:val="007D010F"/>
    <w:rsid w:val="007D054D"/>
    <w:rsid w:val="007D0768"/>
    <w:rsid w:val="007D0A9D"/>
    <w:rsid w:val="007D0B38"/>
    <w:rsid w:val="007D0FA3"/>
    <w:rsid w:val="007D1245"/>
    <w:rsid w:val="007D139C"/>
    <w:rsid w:val="007D164A"/>
    <w:rsid w:val="007D177A"/>
    <w:rsid w:val="007D18D0"/>
    <w:rsid w:val="007D1A64"/>
    <w:rsid w:val="007D1A6E"/>
    <w:rsid w:val="007D1B85"/>
    <w:rsid w:val="007D1F2B"/>
    <w:rsid w:val="007D1F6B"/>
    <w:rsid w:val="007D2040"/>
    <w:rsid w:val="007D238A"/>
    <w:rsid w:val="007D26EA"/>
    <w:rsid w:val="007D2770"/>
    <w:rsid w:val="007D2954"/>
    <w:rsid w:val="007D2ABD"/>
    <w:rsid w:val="007D2D08"/>
    <w:rsid w:val="007D2D6C"/>
    <w:rsid w:val="007D2FA5"/>
    <w:rsid w:val="007D3004"/>
    <w:rsid w:val="007D3053"/>
    <w:rsid w:val="007D317A"/>
    <w:rsid w:val="007D33F5"/>
    <w:rsid w:val="007D35C6"/>
    <w:rsid w:val="007D37D5"/>
    <w:rsid w:val="007D395F"/>
    <w:rsid w:val="007D3971"/>
    <w:rsid w:val="007D3F8A"/>
    <w:rsid w:val="007D4075"/>
    <w:rsid w:val="007D44B1"/>
    <w:rsid w:val="007D4BFB"/>
    <w:rsid w:val="007D4D4E"/>
    <w:rsid w:val="007D5003"/>
    <w:rsid w:val="007D511D"/>
    <w:rsid w:val="007D573C"/>
    <w:rsid w:val="007D5B49"/>
    <w:rsid w:val="007D5C4F"/>
    <w:rsid w:val="007D5F30"/>
    <w:rsid w:val="007D64BB"/>
    <w:rsid w:val="007D660E"/>
    <w:rsid w:val="007D66E3"/>
    <w:rsid w:val="007D67CF"/>
    <w:rsid w:val="007D69CC"/>
    <w:rsid w:val="007D6A58"/>
    <w:rsid w:val="007D717A"/>
    <w:rsid w:val="007D7333"/>
    <w:rsid w:val="007D761D"/>
    <w:rsid w:val="007D782C"/>
    <w:rsid w:val="007D7BA3"/>
    <w:rsid w:val="007D7BB0"/>
    <w:rsid w:val="007D7D8E"/>
    <w:rsid w:val="007D7E8A"/>
    <w:rsid w:val="007D7FFD"/>
    <w:rsid w:val="007E00E3"/>
    <w:rsid w:val="007E011D"/>
    <w:rsid w:val="007E0168"/>
    <w:rsid w:val="007E03EA"/>
    <w:rsid w:val="007E06B0"/>
    <w:rsid w:val="007E09E4"/>
    <w:rsid w:val="007E0E61"/>
    <w:rsid w:val="007E108C"/>
    <w:rsid w:val="007E133E"/>
    <w:rsid w:val="007E142C"/>
    <w:rsid w:val="007E14F6"/>
    <w:rsid w:val="007E1CD8"/>
    <w:rsid w:val="007E1D87"/>
    <w:rsid w:val="007E2186"/>
    <w:rsid w:val="007E2251"/>
    <w:rsid w:val="007E2363"/>
    <w:rsid w:val="007E23A0"/>
    <w:rsid w:val="007E2655"/>
    <w:rsid w:val="007E2C2F"/>
    <w:rsid w:val="007E2D96"/>
    <w:rsid w:val="007E2FB6"/>
    <w:rsid w:val="007E34B0"/>
    <w:rsid w:val="007E387D"/>
    <w:rsid w:val="007E3ACF"/>
    <w:rsid w:val="007E3B0A"/>
    <w:rsid w:val="007E4F40"/>
    <w:rsid w:val="007E5335"/>
    <w:rsid w:val="007E56B2"/>
    <w:rsid w:val="007E5787"/>
    <w:rsid w:val="007E57DE"/>
    <w:rsid w:val="007E5925"/>
    <w:rsid w:val="007E6013"/>
    <w:rsid w:val="007E66EE"/>
    <w:rsid w:val="007E678B"/>
    <w:rsid w:val="007E67E2"/>
    <w:rsid w:val="007E6F9B"/>
    <w:rsid w:val="007E7162"/>
    <w:rsid w:val="007E728F"/>
    <w:rsid w:val="007E73F1"/>
    <w:rsid w:val="007E7608"/>
    <w:rsid w:val="007E7F5A"/>
    <w:rsid w:val="007F00F2"/>
    <w:rsid w:val="007F062F"/>
    <w:rsid w:val="007F07DE"/>
    <w:rsid w:val="007F0858"/>
    <w:rsid w:val="007F0870"/>
    <w:rsid w:val="007F095A"/>
    <w:rsid w:val="007F0B70"/>
    <w:rsid w:val="007F0DA6"/>
    <w:rsid w:val="007F0E5B"/>
    <w:rsid w:val="007F1017"/>
    <w:rsid w:val="007F1753"/>
    <w:rsid w:val="007F1902"/>
    <w:rsid w:val="007F19D8"/>
    <w:rsid w:val="007F1CEB"/>
    <w:rsid w:val="007F1DD7"/>
    <w:rsid w:val="007F209A"/>
    <w:rsid w:val="007F2146"/>
    <w:rsid w:val="007F2197"/>
    <w:rsid w:val="007F22C0"/>
    <w:rsid w:val="007F2344"/>
    <w:rsid w:val="007F2443"/>
    <w:rsid w:val="007F2884"/>
    <w:rsid w:val="007F2C93"/>
    <w:rsid w:val="007F2CFA"/>
    <w:rsid w:val="007F31A0"/>
    <w:rsid w:val="007F32E7"/>
    <w:rsid w:val="007F35B9"/>
    <w:rsid w:val="007F3D59"/>
    <w:rsid w:val="007F3D97"/>
    <w:rsid w:val="007F43FE"/>
    <w:rsid w:val="007F4678"/>
    <w:rsid w:val="007F4A3F"/>
    <w:rsid w:val="007F4B8A"/>
    <w:rsid w:val="007F4E66"/>
    <w:rsid w:val="007F5625"/>
    <w:rsid w:val="007F57D6"/>
    <w:rsid w:val="007F5CC2"/>
    <w:rsid w:val="007F5CFC"/>
    <w:rsid w:val="007F5E59"/>
    <w:rsid w:val="007F5F6F"/>
    <w:rsid w:val="007F5F84"/>
    <w:rsid w:val="007F60BD"/>
    <w:rsid w:val="007F61C2"/>
    <w:rsid w:val="007F63D3"/>
    <w:rsid w:val="007F6B8B"/>
    <w:rsid w:val="007F6BFA"/>
    <w:rsid w:val="007F6D16"/>
    <w:rsid w:val="007F70B7"/>
    <w:rsid w:val="007F772D"/>
    <w:rsid w:val="007F7792"/>
    <w:rsid w:val="007F78FC"/>
    <w:rsid w:val="007F7D4C"/>
    <w:rsid w:val="008001B8"/>
    <w:rsid w:val="0080025C"/>
    <w:rsid w:val="0080041A"/>
    <w:rsid w:val="00800461"/>
    <w:rsid w:val="0080076F"/>
    <w:rsid w:val="00800CCD"/>
    <w:rsid w:val="00800DF9"/>
    <w:rsid w:val="00800F28"/>
    <w:rsid w:val="00801270"/>
    <w:rsid w:val="008012F9"/>
    <w:rsid w:val="008013DC"/>
    <w:rsid w:val="0080173E"/>
    <w:rsid w:val="0080176B"/>
    <w:rsid w:val="00801770"/>
    <w:rsid w:val="008017A7"/>
    <w:rsid w:val="00801872"/>
    <w:rsid w:val="0080187C"/>
    <w:rsid w:val="0080191C"/>
    <w:rsid w:val="00801A8F"/>
    <w:rsid w:val="00801B27"/>
    <w:rsid w:val="008029D3"/>
    <w:rsid w:val="00802A37"/>
    <w:rsid w:val="00802BEE"/>
    <w:rsid w:val="00802D8D"/>
    <w:rsid w:val="00802F54"/>
    <w:rsid w:val="00803560"/>
    <w:rsid w:val="00803588"/>
    <w:rsid w:val="00803688"/>
    <w:rsid w:val="00803792"/>
    <w:rsid w:val="00803922"/>
    <w:rsid w:val="00803D0C"/>
    <w:rsid w:val="00803E33"/>
    <w:rsid w:val="00803E9A"/>
    <w:rsid w:val="00804278"/>
    <w:rsid w:val="008044B8"/>
    <w:rsid w:val="00804928"/>
    <w:rsid w:val="00804950"/>
    <w:rsid w:val="00804BE8"/>
    <w:rsid w:val="00805142"/>
    <w:rsid w:val="008053D2"/>
    <w:rsid w:val="00805559"/>
    <w:rsid w:val="008062FB"/>
    <w:rsid w:val="008063FA"/>
    <w:rsid w:val="00806491"/>
    <w:rsid w:val="0080682D"/>
    <w:rsid w:val="00806A75"/>
    <w:rsid w:val="00806BE1"/>
    <w:rsid w:val="00806CF6"/>
    <w:rsid w:val="00806E1C"/>
    <w:rsid w:val="00807209"/>
    <w:rsid w:val="008072CB"/>
    <w:rsid w:val="00807557"/>
    <w:rsid w:val="008075F0"/>
    <w:rsid w:val="0080793D"/>
    <w:rsid w:val="00807A8B"/>
    <w:rsid w:val="00807B84"/>
    <w:rsid w:val="00810093"/>
    <w:rsid w:val="00810216"/>
    <w:rsid w:val="0081029B"/>
    <w:rsid w:val="0081039B"/>
    <w:rsid w:val="00810498"/>
    <w:rsid w:val="00810945"/>
    <w:rsid w:val="00810E25"/>
    <w:rsid w:val="00810EFC"/>
    <w:rsid w:val="00811605"/>
    <w:rsid w:val="00811846"/>
    <w:rsid w:val="008118AA"/>
    <w:rsid w:val="0081194B"/>
    <w:rsid w:val="00811DB9"/>
    <w:rsid w:val="008120A4"/>
    <w:rsid w:val="008120DD"/>
    <w:rsid w:val="00812149"/>
    <w:rsid w:val="00812169"/>
    <w:rsid w:val="008122F2"/>
    <w:rsid w:val="008127AF"/>
    <w:rsid w:val="0081283C"/>
    <w:rsid w:val="0081289E"/>
    <w:rsid w:val="00812A37"/>
    <w:rsid w:val="00812C84"/>
    <w:rsid w:val="00813555"/>
    <w:rsid w:val="008136E3"/>
    <w:rsid w:val="0081394D"/>
    <w:rsid w:val="00813AF7"/>
    <w:rsid w:val="00813F18"/>
    <w:rsid w:val="00813F82"/>
    <w:rsid w:val="008142C0"/>
    <w:rsid w:val="008142F3"/>
    <w:rsid w:val="008145B9"/>
    <w:rsid w:val="00814D18"/>
    <w:rsid w:val="00814DAC"/>
    <w:rsid w:val="00815341"/>
    <w:rsid w:val="008154AB"/>
    <w:rsid w:val="0081574D"/>
    <w:rsid w:val="00815834"/>
    <w:rsid w:val="00815D5E"/>
    <w:rsid w:val="00815D84"/>
    <w:rsid w:val="0081610F"/>
    <w:rsid w:val="0081614E"/>
    <w:rsid w:val="008161D4"/>
    <w:rsid w:val="008164C1"/>
    <w:rsid w:val="008166EF"/>
    <w:rsid w:val="0081696B"/>
    <w:rsid w:val="00816B41"/>
    <w:rsid w:val="00816CE0"/>
    <w:rsid w:val="00816E6B"/>
    <w:rsid w:val="0081711B"/>
    <w:rsid w:val="008172BF"/>
    <w:rsid w:val="008173C3"/>
    <w:rsid w:val="008174B9"/>
    <w:rsid w:val="00817A00"/>
    <w:rsid w:val="00817D7B"/>
    <w:rsid w:val="00817E1A"/>
    <w:rsid w:val="008201A3"/>
    <w:rsid w:val="00820B86"/>
    <w:rsid w:val="00820C62"/>
    <w:rsid w:val="00821145"/>
    <w:rsid w:val="008211BE"/>
    <w:rsid w:val="00821286"/>
    <w:rsid w:val="008213A7"/>
    <w:rsid w:val="008216DA"/>
    <w:rsid w:val="00821B59"/>
    <w:rsid w:val="00821CFC"/>
    <w:rsid w:val="00821D3F"/>
    <w:rsid w:val="00821ECB"/>
    <w:rsid w:val="008224C7"/>
    <w:rsid w:val="0082272A"/>
    <w:rsid w:val="00822BFA"/>
    <w:rsid w:val="00822EF5"/>
    <w:rsid w:val="00822F9C"/>
    <w:rsid w:val="008230BA"/>
    <w:rsid w:val="0082316D"/>
    <w:rsid w:val="00823262"/>
    <w:rsid w:val="00823302"/>
    <w:rsid w:val="00823539"/>
    <w:rsid w:val="0082353D"/>
    <w:rsid w:val="0082364B"/>
    <w:rsid w:val="00823B17"/>
    <w:rsid w:val="00823E9A"/>
    <w:rsid w:val="00824124"/>
    <w:rsid w:val="0082469E"/>
    <w:rsid w:val="00824807"/>
    <w:rsid w:val="008249FD"/>
    <w:rsid w:val="00824CB9"/>
    <w:rsid w:val="0082536E"/>
    <w:rsid w:val="008255D8"/>
    <w:rsid w:val="00825834"/>
    <w:rsid w:val="00825F7C"/>
    <w:rsid w:val="008264DC"/>
    <w:rsid w:val="008264EB"/>
    <w:rsid w:val="00826723"/>
    <w:rsid w:val="008269E4"/>
    <w:rsid w:val="00826B1E"/>
    <w:rsid w:val="00826BEE"/>
    <w:rsid w:val="00826DB3"/>
    <w:rsid w:val="00826E2C"/>
    <w:rsid w:val="00826E95"/>
    <w:rsid w:val="00826EF6"/>
    <w:rsid w:val="00826FD2"/>
    <w:rsid w:val="008275B8"/>
    <w:rsid w:val="008277BB"/>
    <w:rsid w:val="008277E2"/>
    <w:rsid w:val="008279B2"/>
    <w:rsid w:val="00827B48"/>
    <w:rsid w:val="00827BD2"/>
    <w:rsid w:val="00827D0B"/>
    <w:rsid w:val="00827E8D"/>
    <w:rsid w:val="00827E8E"/>
    <w:rsid w:val="00827ED0"/>
    <w:rsid w:val="0083000B"/>
    <w:rsid w:val="008300C9"/>
    <w:rsid w:val="00830197"/>
    <w:rsid w:val="008314EB"/>
    <w:rsid w:val="00831654"/>
    <w:rsid w:val="0083167D"/>
    <w:rsid w:val="008316E5"/>
    <w:rsid w:val="00831757"/>
    <w:rsid w:val="00831A11"/>
    <w:rsid w:val="00831B4F"/>
    <w:rsid w:val="00831E5C"/>
    <w:rsid w:val="008320F2"/>
    <w:rsid w:val="00832348"/>
    <w:rsid w:val="00832361"/>
    <w:rsid w:val="008325EF"/>
    <w:rsid w:val="0083294D"/>
    <w:rsid w:val="00832A06"/>
    <w:rsid w:val="00832BA4"/>
    <w:rsid w:val="00832C01"/>
    <w:rsid w:val="00832CD6"/>
    <w:rsid w:val="00832DB5"/>
    <w:rsid w:val="00832DC8"/>
    <w:rsid w:val="00833161"/>
    <w:rsid w:val="00833214"/>
    <w:rsid w:val="00833517"/>
    <w:rsid w:val="00833553"/>
    <w:rsid w:val="0083387F"/>
    <w:rsid w:val="00833B05"/>
    <w:rsid w:val="00833DA2"/>
    <w:rsid w:val="00833DA8"/>
    <w:rsid w:val="00833E3D"/>
    <w:rsid w:val="00834013"/>
    <w:rsid w:val="00834257"/>
    <w:rsid w:val="008347A2"/>
    <w:rsid w:val="00834802"/>
    <w:rsid w:val="00834C56"/>
    <w:rsid w:val="0083513B"/>
    <w:rsid w:val="00835766"/>
    <w:rsid w:val="008363CE"/>
    <w:rsid w:val="0083643C"/>
    <w:rsid w:val="0083651B"/>
    <w:rsid w:val="008366F7"/>
    <w:rsid w:val="0083681B"/>
    <w:rsid w:val="0083706E"/>
    <w:rsid w:val="00837589"/>
    <w:rsid w:val="00837DFC"/>
    <w:rsid w:val="00837FAA"/>
    <w:rsid w:val="0084016A"/>
    <w:rsid w:val="008402D4"/>
    <w:rsid w:val="0084070C"/>
    <w:rsid w:val="00840B63"/>
    <w:rsid w:val="00840CA2"/>
    <w:rsid w:val="00840CC5"/>
    <w:rsid w:val="00840D36"/>
    <w:rsid w:val="00840E14"/>
    <w:rsid w:val="00840EF7"/>
    <w:rsid w:val="008410FD"/>
    <w:rsid w:val="00841214"/>
    <w:rsid w:val="00841658"/>
    <w:rsid w:val="00841738"/>
    <w:rsid w:val="008418A9"/>
    <w:rsid w:val="00841B8F"/>
    <w:rsid w:val="00841BF6"/>
    <w:rsid w:val="00841CC5"/>
    <w:rsid w:val="00841CF9"/>
    <w:rsid w:val="00841D55"/>
    <w:rsid w:val="00841F9F"/>
    <w:rsid w:val="0084225B"/>
    <w:rsid w:val="00842287"/>
    <w:rsid w:val="00842328"/>
    <w:rsid w:val="008425D0"/>
    <w:rsid w:val="008427B5"/>
    <w:rsid w:val="00842ADE"/>
    <w:rsid w:val="00843335"/>
    <w:rsid w:val="0084353A"/>
    <w:rsid w:val="008438C6"/>
    <w:rsid w:val="00843A59"/>
    <w:rsid w:val="00843F90"/>
    <w:rsid w:val="00844043"/>
    <w:rsid w:val="008446DF"/>
    <w:rsid w:val="00844822"/>
    <w:rsid w:val="008448BF"/>
    <w:rsid w:val="00844927"/>
    <w:rsid w:val="00844AAD"/>
    <w:rsid w:val="00844C1F"/>
    <w:rsid w:val="00844C9B"/>
    <w:rsid w:val="00844E04"/>
    <w:rsid w:val="00845AF3"/>
    <w:rsid w:val="00845C52"/>
    <w:rsid w:val="00845E2A"/>
    <w:rsid w:val="0084636F"/>
    <w:rsid w:val="0084637F"/>
    <w:rsid w:val="00846443"/>
    <w:rsid w:val="0084658D"/>
    <w:rsid w:val="00846717"/>
    <w:rsid w:val="008468C3"/>
    <w:rsid w:val="00846D9D"/>
    <w:rsid w:val="0084719D"/>
    <w:rsid w:val="008471FB"/>
    <w:rsid w:val="00847B8B"/>
    <w:rsid w:val="00847BAE"/>
    <w:rsid w:val="00847C1B"/>
    <w:rsid w:val="00847CFD"/>
    <w:rsid w:val="00847E5F"/>
    <w:rsid w:val="00850CEB"/>
    <w:rsid w:val="00850EAA"/>
    <w:rsid w:val="00850EDE"/>
    <w:rsid w:val="008510BA"/>
    <w:rsid w:val="00851130"/>
    <w:rsid w:val="008515D1"/>
    <w:rsid w:val="008517CC"/>
    <w:rsid w:val="00851AD1"/>
    <w:rsid w:val="00851B82"/>
    <w:rsid w:val="008521DE"/>
    <w:rsid w:val="008522CF"/>
    <w:rsid w:val="008525FB"/>
    <w:rsid w:val="008527AE"/>
    <w:rsid w:val="0085291A"/>
    <w:rsid w:val="00853498"/>
    <w:rsid w:val="008534DB"/>
    <w:rsid w:val="00853D02"/>
    <w:rsid w:val="00854068"/>
    <w:rsid w:val="008540AE"/>
    <w:rsid w:val="008543FF"/>
    <w:rsid w:val="00854915"/>
    <w:rsid w:val="00854A92"/>
    <w:rsid w:val="00854E1A"/>
    <w:rsid w:val="00854F5B"/>
    <w:rsid w:val="0085581F"/>
    <w:rsid w:val="008558F2"/>
    <w:rsid w:val="00855D73"/>
    <w:rsid w:val="00855DBA"/>
    <w:rsid w:val="00855DDA"/>
    <w:rsid w:val="0085607A"/>
    <w:rsid w:val="008560F2"/>
    <w:rsid w:val="008560F4"/>
    <w:rsid w:val="00856640"/>
    <w:rsid w:val="0085673A"/>
    <w:rsid w:val="008567F5"/>
    <w:rsid w:val="00856E9A"/>
    <w:rsid w:val="00856E9E"/>
    <w:rsid w:val="00856EAF"/>
    <w:rsid w:val="00856EE2"/>
    <w:rsid w:val="00856F19"/>
    <w:rsid w:val="00857772"/>
    <w:rsid w:val="00857952"/>
    <w:rsid w:val="008579B0"/>
    <w:rsid w:val="00857A1E"/>
    <w:rsid w:val="00857FD6"/>
    <w:rsid w:val="00860391"/>
    <w:rsid w:val="00860BF8"/>
    <w:rsid w:val="00860E13"/>
    <w:rsid w:val="00860F18"/>
    <w:rsid w:val="00861112"/>
    <w:rsid w:val="00861397"/>
    <w:rsid w:val="008615B5"/>
    <w:rsid w:val="0086185D"/>
    <w:rsid w:val="00861E65"/>
    <w:rsid w:val="00861FFE"/>
    <w:rsid w:val="008622E2"/>
    <w:rsid w:val="008624FA"/>
    <w:rsid w:val="00862502"/>
    <w:rsid w:val="008626A8"/>
    <w:rsid w:val="0086276D"/>
    <w:rsid w:val="008627E5"/>
    <w:rsid w:val="008628A4"/>
    <w:rsid w:val="00862B6C"/>
    <w:rsid w:val="00862D37"/>
    <w:rsid w:val="00863054"/>
    <w:rsid w:val="008630DE"/>
    <w:rsid w:val="00863454"/>
    <w:rsid w:val="008634E5"/>
    <w:rsid w:val="00863768"/>
    <w:rsid w:val="00863A2E"/>
    <w:rsid w:val="00863A9B"/>
    <w:rsid w:val="00863EB7"/>
    <w:rsid w:val="00863F44"/>
    <w:rsid w:val="00863F73"/>
    <w:rsid w:val="00863FCE"/>
    <w:rsid w:val="00864047"/>
    <w:rsid w:val="008645FF"/>
    <w:rsid w:val="0086473F"/>
    <w:rsid w:val="008647D1"/>
    <w:rsid w:val="00864AB8"/>
    <w:rsid w:val="00864E9F"/>
    <w:rsid w:val="00864FE2"/>
    <w:rsid w:val="0086511E"/>
    <w:rsid w:val="008652D0"/>
    <w:rsid w:val="00865A8B"/>
    <w:rsid w:val="00865C1F"/>
    <w:rsid w:val="00865CF2"/>
    <w:rsid w:val="00865DCD"/>
    <w:rsid w:val="00866289"/>
    <w:rsid w:val="0086632A"/>
    <w:rsid w:val="008665EF"/>
    <w:rsid w:val="00866C34"/>
    <w:rsid w:val="00866CB2"/>
    <w:rsid w:val="00866D1B"/>
    <w:rsid w:val="00867000"/>
    <w:rsid w:val="00867585"/>
    <w:rsid w:val="00867CB7"/>
    <w:rsid w:val="00867F59"/>
    <w:rsid w:val="00870138"/>
    <w:rsid w:val="00870335"/>
    <w:rsid w:val="00870583"/>
    <w:rsid w:val="00870F68"/>
    <w:rsid w:val="00871313"/>
    <w:rsid w:val="00871548"/>
    <w:rsid w:val="0087176E"/>
    <w:rsid w:val="00871912"/>
    <w:rsid w:val="00871CEF"/>
    <w:rsid w:val="00871DDD"/>
    <w:rsid w:val="00872121"/>
    <w:rsid w:val="00872837"/>
    <w:rsid w:val="00872959"/>
    <w:rsid w:val="00872C34"/>
    <w:rsid w:val="00872D93"/>
    <w:rsid w:val="00872F06"/>
    <w:rsid w:val="00872F4D"/>
    <w:rsid w:val="00873453"/>
    <w:rsid w:val="00873837"/>
    <w:rsid w:val="008738EE"/>
    <w:rsid w:val="00873A4D"/>
    <w:rsid w:val="00873B59"/>
    <w:rsid w:val="00873C09"/>
    <w:rsid w:val="00873C99"/>
    <w:rsid w:val="00873D68"/>
    <w:rsid w:val="00873DBD"/>
    <w:rsid w:val="00874154"/>
    <w:rsid w:val="00874AFD"/>
    <w:rsid w:val="00874F48"/>
    <w:rsid w:val="00875001"/>
    <w:rsid w:val="00875052"/>
    <w:rsid w:val="00875850"/>
    <w:rsid w:val="00875AE7"/>
    <w:rsid w:val="00875C06"/>
    <w:rsid w:val="00875C8B"/>
    <w:rsid w:val="00875DEA"/>
    <w:rsid w:val="00875EBF"/>
    <w:rsid w:val="00875F1B"/>
    <w:rsid w:val="0087613F"/>
    <w:rsid w:val="00876255"/>
    <w:rsid w:val="008765AB"/>
    <w:rsid w:val="008767DC"/>
    <w:rsid w:val="00876B86"/>
    <w:rsid w:val="00876C0A"/>
    <w:rsid w:val="00876C55"/>
    <w:rsid w:val="00876E02"/>
    <w:rsid w:val="00876F0D"/>
    <w:rsid w:val="008771C3"/>
    <w:rsid w:val="008775E2"/>
    <w:rsid w:val="008776FB"/>
    <w:rsid w:val="00877705"/>
    <w:rsid w:val="00877776"/>
    <w:rsid w:val="00877A11"/>
    <w:rsid w:val="00877BBF"/>
    <w:rsid w:val="00877DA6"/>
    <w:rsid w:val="00877FE6"/>
    <w:rsid w:val="0088025E"/>
    <w:rsid w:val="0088028D"/>
    <w:rsid w:val="00880D42"/>
    <w:rsid w:val="008810E4"/>
    <w:rsid w:val="0088159C"/>
    <w:rsid w:val="008818F4"/>
    <w:rsid w:val="00881E2C"/>
    <w:rsid w:val="0088227F"/>
    <w:rsid w:val="0088228B"/>
    <w:rsid w:val="0088235E"/>
    <w:rsid w:val="008825AC"/>
    <w:rsid w:val="008825B9"/>
    <w:rsid w:val="008825E3"/>
    <w:rsid w:val="0088260A"/>
    <w:rsid w:val="00882630"/>
    <w:rsid w:val="00882874"/>
    <w:rsid w:val="00882AED"/>
    <w:rsid w:val="0088300C"/>
    <w:rsid w:val="00883078"/>
    <w:rsid w:val="0088310E"/>
    <w:rsid w:val="00883195"/>
    <w:rsid w:val="00883787"/>
    <w:rsid w:val="008837C6"/>
    <w:rsid w:val="00883ACC"/>
    <w:rsid w:val="00883B17"/>
    <w:rsid w:val="00883BB6"/>
    <w:rsid w:val="00883CBF"/>
    <w:rsid w:val="00883D9D"/>
    <w:rsid w:val="008844BE"/>
    <w:rsid w:val="008844CF"/>
    <w:rsid w:val="008846D8"/>
    <w:rsid w:val="008847F5"/>
    <w:rsid w:val="00884C18"/>
    <w:rsid w:val="00884D2F"/>
    <w:rsid w:val="008857C0"/>
    <w:rsid w:val="00885BF9"/>
    <w:rsid w:val="00886422"/>
    <w:rsid w:val="008866B7"/>
    <w:rsid w:val="008869DD"/>
    <w:rsid w:val="00886AC2"/>
    <w:rsid w:val="00886AFF"/>
    <w:rsid w:val="00887220"/>
    <w:rsid w:val="008875CD"/>
    <w:rsid w:val="00887BC7"/>
    <w:rsid w:val="00887FBB"/>
    <w:rsid w:val="00887FEA"/>
    <w:rsid w:val="0089025F"/>
    <w:rsid w:val="008902E7"/>
    <w:rsid w:val="008904C8"/>
    <w:rsid w:val="00890598"/>
    <w:rsid w:val="00890A0A"/>
    <w:rsid w:val="00890DCA"/>
    <w:rsid w:val="00890E1B"/>
    <w:rsid w:val="00890F4B"/>
    <w:rsid w:val="00891075"/>
    <w:rsid w:val="00891306"/>
    <w:rsid w:val="0089164F"/>
    <w:rsid w:val="00891909"/>
    <w:rsid w:val="00891AB1"/>
    <w:rsid w:val="00891D73"/>
    <w:rsid w:val="00892166"/>
    <w:rsid w:val="00892531"/>
    <w:rsid w:val="008925B7"/>
    <w:rsid w:val="0089274A"/>
    <w:rsid w:val="008927B0"/>
    <w:rsid w:val="008928B4"/>
    <w:rsid w:val="00892BD7"/>
    <w:rsid w:val="00892BF2"/>
    <w:rsid w:val="00892EA4"/>
    <w:rsid w:val="0089363F"/>
    <w:rsid w:val="0089380E"/>
    <w:rsid w:val="0089397D"/>
    <w:rsid w:val="00893C55"/>
    <w:rsid w:val="00893CC0"/>
    <w:rsid w:val="00893D15"/>
    <w:rsid w:val="00893E1F"/>
    <w:rsid w:val="008940DA"/>
    <w:rsid w:val="008940E9"/>
    <w:rsid w:val="00894489"/>
    <w:rsid w:val="00894649"/>
    <w:rsid w:val="00894930"/>
    <w:rsid w:val="00894C0B"/>
    <w:rsid w:val="00894D65"/>
    <w:rsid w:val="0089511F"/>
    <w:rsid w:val="0089518F"/>
    <w:rsid w:val="008953B2"/>
    <w:rsid w:val="00895432"/>
    <w:rsid w:val="0089574F"/>
    <w:rsid w:val="008963A5"/>
    <w:rsid w:val="008965EA"/>
    <w:rsid w:val="008968A3"/>
    <w:rsid w:val="008969D0"/>
    <w:rsid w:val="00896CB2"/>
    <w:rsid w:val="00896DF5"/>
    <w:rsid w:val="0089715D"/>
    <w:rsid w:val="00897174"/>
    <w:rsid w:val="008973E6"/>
    <w:rsid w:val="0089740E"/>
    <w:rsid w:val="00897460"/>
    <w:rsid w:val="008978C5"/>
    <w:rsid w:val="00897DE1"/>
    <w:rsid w:val="00897E8D"/>
    <w:rsid w:val="00897E8E"/>
    <w:rsid w:val="008A0048"/>
    <w:rsid w:val="008A0184"/>
    <w:rsid w:val="008A0211"/>
    <w:rsid w:val="008A0409"/>
    <w:rsid w:val="008A0494"/>
    <w:rsid w:val="008A080C"/>
    <w:rsid w:val="008A0913"/>
    <w:rsid w:val="008A0931"/>
    <w:rsid w:val="008A0A62"/>
    <w:rsid w:val="008A0ED7"/>
    <w:rsid w:val="008A10B3"/>
    <w:rsid w:val="008A1193"/>
    <w:rsid w:val="008A1229"/>
    <w:rsid w:val="008A13E8"/>
    <w:rsid w:val="008A140C"/>
    <w:rsid w:val="008A1498"/>
    <w:rsid w:val="008A1B17"/>
    <w:rsid w:val="008A233A"/>
    <w:rsid w:val="008A23A4"/>
    <w:rsid w:val="008A244B"/>
    <w:rsid w:val="008A266E"/>
    <w:rsid w:val="008A26BF"/>
    <w:rsid w:val="008A2771"/>
    <w:rsid w:val="008A28E7"/>
    <w:rsid w:val="008A2E4E"/>
    <w:rsid w:val="008A3124"/>
    <w:rsid w:val="008A317E"/>
    <w:rsid w:val="008A3382"/>
    <w:rsid w:val="008A33C7"/>
    <w:rsid w:val="008A3515"/>
    <w:rsid w:val="008A3810"/>
    <w:rsid w:val="008A3828"/>
    <w:rsid w:val="008A3A3F"/>
    <w:rsid w:val="008A3C3E"/>
    <w:rsid w:val="008A3F54"/>
    <w:rsid w:val="008A411F"/>
    <w:rsid w:val="008A45B3"/>
    <w:rsid w:val="008A480B"/>
    <w:rsid w:val="008A499B"/>
    <w:rsid w:val="008A502E"/>
    <w:rsid w:val="008A5122"/>
    <w:rsid w:val="008A51F0"/>
    <w:rsid w:val="008A5341"/>
    <w:rsid w:val="008A56A2"/>
    <w:rsid w:val="008A5AA5"/>
    <w:rsid w:val="008A5AC7"/>
    <w:rsid w:val="008A5B6B"/>
    <w:rsid w:val="008A5D1F"/>
    <w:rsid w:val="008A6077"/>
    <w:rsid w:val="008A66FC"/>
    <w:rsid w:val="008A6B0E"/>
    <w:rsid w:val="008A7144"/>
    <w:rsid w:val="008A72CC"/>
    <w:rsid w:val="008A76C9"/>
    <w:rsid w:val="008A772F"/>
    <w:rsid w:val="008A7976"/>
    <w:rsid w:val="008A79DE"/>
    <w:rsid w:val="008A7CA3"/>
    <w:rsid w:val="008A7DAB"/>
    <w:rsid w:val="008B06CB"/>
    <w:rsid w:val="008B0909"/>
    <w:rsid w:val="008B0927"/>
    <w:rsid w:val="008B0958"/>
    <w:rsid w:val="008B09F6"/>
    <w:rsid w:val="008B0DB5"/>
    <w:rsid w:val="008B0F40"/>
    <w:rsid w:val="008B0F5F"/>
    <w:rsid w:val="008B10E8"/>
    <w:rsid w:val="008B10F2"/>
    <w:rsid w:val="008B1441"/>
    <w:rsid w:val="008B1792"/>
    <w:rsid w:val="008B1835"/>
    <w:rsid w:val="008B18A9"/>
    <w:rsid w:val="008B19EE"/>
    <w:rsid w:val="008B1A50"/>
    <w:rsid w:val="008B1ABF"/>
    <w:rsid w:val="008B1C54"/>
    <w:rsid w:val="008B1D53"/>
    <w:rsid w:val="008B1DAA"/>
    <w:rsid w:val="008B1F34"/>
    <w:rsid w:val="008B2136"/>
    <w:rsid w:val="008B22B2"/>
    <w:rsid w:val="008B2795"/>
    <w:rsid w:val="008B2C7C"/>
    <w:rsid w:val="008B2E68"/>
    <w:rsid w:val="008B3381"/>
    <w:rsid w:val="008B35B0"/>
    <w:rsid w:val="008B3809"/>
    <w:rsid w:val="008B392F"/>
    <w:rsid w:val="008B3AB7"/>
    <w:rsid w:val="008B3CEE"/>
    <w:rsid w:val="008B3EC2"/>
    <w:rsid w:val="008B3FC8"/>
    <w:rsid w:val="008B4005"/>
    <w:rsid w:val="008B42FA"/>
    <w:rsid w:val="008B46B0"/>
    <w:rsid w:val="008B4894"/>
    <w:rsid w:val="008B489A"/>
    <w:rsid w:val="008B48B2"/>
    <w:rsid w:val="008B4E9F"/>
    <w:rsid w:val="008B5561"/>
    <w:rsid w:val="008B582C"/>
    <w:rsid w:val="008B5BA1"/>
    <w:rsid w:val="008B5DD7"/>
    <w:rsid w:val="008B5E22"/>
    <w:rsid w:val="008B5EED"/>
    <w:rsid w:val="008B61CE"/>
    <w:rsid w:val="008B688A"/>
    <w:rsid w:val="008B6D2F"/>
    <w:rsid w:val="008B6D7C"/>
    <w:rsid w:val="008B6FE6"/>
    <w:rsid w:val="008B7090"/>
    <w:rsid w:val="008B7120"/>
    <w:rsid w:val="008B77D9"/>
    <w:rsid w:val="008B7B0E"/>
    <w:rsid w:val="008B7D2C"/>
    <w:rsid w:val="008B7D7E"/>
    <w:rsid w:val="008C01B6"/>
    <w:rsid w:val="008C01D3"/>
    <w:rsid w:val="008C024F"/>
    <w:rsid w:val="008C0519"/>
    <w:rsid w:val="008C053F"/>
    <w:rsid w:val="008C0642"/>
    <w:rsid w:val="008C06F1"/>
    <w:rsid w:val="008C0E3D"/>
    <w:rsid w:val="008C0E90"/>
    <w:rsid w:val="008C0F09"/>
    <w:rsid w:val="008C0FBD"/>
    <w:rsid w:val="008C117E"/>
    <w:rsid w:val="008C17CA"/>
    <w:rsid w:val="008C19F1"/>
    <w:rsid w:val="008C1B57"/>
    <w:rsid w:val="008C1C5E"/>
    <w:rsid w:val="008C1D1A"/>
    <w:rsid w:val="008C2043"/>
    <w:rsid w:val="008C2834"/>
    <w:rsid w:val="008C3D22"/>
    <w:rsid w:val="008C3D37"/>
    <w:rsid w:val="008C4407"/>
    <w:rsid w:val="008C4713"/>
    <w:rsid w:val="008C4730"/>
    <w:rsid w:val="008C4B1C"/>
    <w:rsid w:val="008C4BEA"/>
    <w:rsid w:val="008C4EF3"/>
    <w:rsid w:val="008C518B"/>
    <w:rsid w:val="008C5611"/>
    <w:rsid w:val="008C5ABD"/>
    <w:rsid w:val="008C5B24"/>
    <w:rsid w:val="008C5C38"/>
    <w:rsid w:val="008C5E56"/>
    <w:rsid w:val="008C62AE"/>
    <w:rsid w:val="008C6874"/>
    <w:rsid w:val="008C68F0"/>
    <w:rsid w:val="008C695A"/>
    <w:rsid w:val="008C6A81"/>
    <w:rsid w:val="008C6D5A"/>
    <w:rsid w:val="008C7131"/>
    <w:rsid w:val="008C78C4"/>
    <w:rsid w:val="008C7BEC"/>
    <w:rsid w:val="008C7CEB"/>
    <w:rsid w:val="008C7ECB"/>
    <w:rsid w:val="008D0330"/>
    <w:rsid w:val="008D0558"/>
    <w:rsid w:val="008D076A"/>
    <w:rsid w:val="008D0B46"/>
    <w:rsid w:val="008D0C2B"/>
    <w:rsid w:val="008D0CAE"/>
    <w:rsid w:val="008D1372"/>
    <w:rsid w:val="008D1576"/>
    <w:rsid w:val="008D15E4"/>
    <w:rsid w:val="008D16CF"/>
    <w:rsid w:val="008D1C30"/>
    <w:rsid w:val="008D1E9A"/>
    <w:rsid w:val="008D1FC0"/>
    <w:rsid w:val="008D2098"/>
    <w:rsid w:val="008D226D"/>
    <w:rsid w:val="008D229F"/>
    <w:rsid w:val="008D25B1"/>
    <w:rsid w:val="008D2620"/>
    <w:rsid w:val="008D2E19"/>
    <w:rsid w:val="008D35FA"/>
    <w:rsid w:val="008D37AA"/>
    <w:rsid w:val="008D37C8"/>
    <w:rsid w:val="008D381B"/>
    <w:rsid w:val="008D3905"/>
    <w:rsid w:val="008D3EFB"/>
    <w:rsid w:val="008D3F38"/>
    <w:rsid w:val="008D419E"/>
    <w:rsid w:val="008D46EA"/>
    <w:rsid w:val="008D473D"/>
    <w:rsid w:val="008D4C15"/>
    <w:rsid w:val="008D552C"/>
    <w:rsid w:val="008D5535"/>
    <w:rsid w:val="008D5962"/>
    <w:rsid w:val="008D5B0A"/>
    <w:rsid w:val="008D5B53"/>
    <w:rsid w:val="008D5D3F"/>
    <w:rsid w:val="008D5F3A"/>
    <w:rsid w:val="008D64CA"/>
    <w:rsid w:val="008D6553"/>
    <w:rsid w:val="008D657D"/>
    <w:rsid w:val="008D6A83"/>
    <w:rsid w:val="008D73FF"/>
    <w:rsid w:val="008D74D9"/>
    <w:rsid w:val="008D7689"/>
    <w:rsid w:val="008D76AF"/>
    <w:rsid w:val="008D76E5"/>
    <w:rsid w:val="008D7A8B"/>
    <w:rsid w:val="008E019D"/>
    <w:rsid w:val="008E0241"/>
    <w:rsid w:val="008E0467"/>
    <w:rsid w:val="008E052A"/>
    <w:rsid w:val="008E06FA"/>
    <w:rsid w:val="008E09AC"/>
    <w:rsid w:val="008E0F3C"/>
    <w:rsid w:val="008E11A4"/>
    <w:rsid w:val="008E15DB"/>
    <w:rsid w:val="008E171F"/>
    <w:rsid w:val="008E1986"/>
    <w:rsid w:val="008E1AC9"/>
    <w:rsid w:val="008E1B9E"/>
    <w:rsid w:val="008E1CCA"/>
    <w:rsid w:val="008E2054"/>
    <w:rsid w:val="008E212C"/>
    <w:rsid w:val="008E2353"/>
    <w:rsid w:val="008E2368"/>
    <w:rsid w:val="008E23EF"/>
    <w:rsid w:val="008E2793"/>
    <w:rsid w:val="008E2AAF"/>
    <w:rsid w:val="008E2B3C"/>
    <w:rsid w:val="008E2CEE"/>
    <w:rsid w:val="008E2E03"/>
    <w:rsid w:val="008E310A"/>
    <w:rsid w:val="008E32DC"/>
    <w:rsid w:val="008E3589"/>
    <w:rsid w:val="008E380F"/>
    <w:rsid w:val="008E3925"/>
    <w:rsid w:val="008E3B90"/>
    <w:rsid w:val="008E3C79"/>
    <w:rsid w:val="008E4349"/>
    <w:rsid w:val="008E49D6"/>
    <w:rsid w:val="008E4B4D"/>
    <w:rsid w:val="008E4D38"/>
    <w:rsid w:val="008E584A"/>
    <w:rsid w:val="008E5D8A"/>
    <w:rsid w:val="008E5D97"/>
    <w:rsid w:val="008E6018"/>
    <w:rsid w:val="008E6158"/>
    <w:rsid w:val="008E6359"/>
    <w:rsid w:val="008E6798"/>
    <w:rsid w:val="008E6928"/>
    <w:rsid w:val="008E6A96"/>
    <w:rsid w:val="008E6AC1"/>
    <w:rsid w:val="008E6BAD"/>
    <w:rsid w:val="008E7354"/>
    <w:rsid w:val="008E73CD"/>
    <w:rsid w:val="008E77D6"/>
    <w:rsid w:val="008E7BE8"/>
    <w:rsid w:val="008E7CA2"/>
    <w:rsid w:val="008F07F4"/>
    <w:rsid w:val="008F09B8"/>
    <w:rsid w:val="008F0A32"/>
    <w:rsid w:val="008F0C3D"/>
    <w:rsid w:val="008F120A"/>
    <w:rsid w:val="008F141E"/>
    <w:rsid w:val="008F18C6"/>
    <w:rsid w:val="008F1A01"/>
    <w:rsid w:val="008F1A59"/>
    <w:rsid w:val="008F1A89"/>
    <w:rsid w:val="008F1D88"/>
    <w:rsid w:val="008F1F56"/>
    <w:rsid w:val="008F21A7"/>
    <w:rsid w:val="008F226D"/>
    <w:rsid w:val="008F23BE"/>
    <w:rsid w:val="008F2B2B"/>
    <w:rsid w:val="008F2BDE"/>
    <w:rsid w:val="008F2C2E"/>
    <w:rsid w:val="008F2D34"/>
    <w:rsid w:val="008F33BF"/>
    <w:rsid w:val="008F371E"/>
    <w:rsid w:val="008F3801"/>
    <w:rsid w:val="008F3817"/>
    <w:rsid w:val="008F43DA"/>
    <w:rsid w:val="008F4769"/>
    <w:rsid w:val="008F47FF"/>
    <w:rsid w:val="008F48EB"/>
    <w:rsid w:val="008F4B60"/>
    <w:rsid w:val="008F4C58"/>
    <w:rsid w:val="008F4D3B"/>
    <w:rsid w:val="008F4F0B"/>
    <w:rsid w:val="008F4F15"/>
    <w:rsid w:val="008F567A"/>
    <w:rsid w:val="008F5914"/>
    <w:rsid w:val="008F596F"/>
    <w:rsid w:val="008F6305"/>
    <w:rsid w:val="008F63ED"/>
    <w:rsid w:val="008F6548"/>
    <w:rsid w:val="008F698F"/>
    <w:rsid w:val="008F6D43"/>
    <w:rsid w:val="008F763F"/>
    <w:rsid w:val="008F799A"/>
    <w:rsid w:val="008F7A87"/>
    <w:rsid w:val="008F7B3F"/>
    <w:rsid w:val="008F7CC9"/>
    <w:rsid w:val="008F7F5A"/>
    <w:rsid w:val="00900001"/>
    <w:rsid w:val="009000F8"/>
    <w:rsid w:val="00900287"/>
    <w:rsid w:val="00900627"/>
    <w:rsid w:val="00900D75"/>
    <w:rsid w:val="00900F68"/>
    <w:rsid w:val="0090155F"/>
    <w:rsid w:val="009015F1"/>
    <w:rsid w:val="009018E7"/>
    <w:rsid w:val="00901BEB"/>
    <w:rsid w:val="00901EA1"/>
    <w:rsid w:val="00901FA0"/>
    <w:rsid w:val="00902074"/>
    <w:rsid w:val="00902205"/>
    <w:rsid w:val="00902365"/>
    <w:rsid w:val="00902442"/>
    <w:rsid w:val="009024DA"/>
    <w:rsid w:val="00902559"/>
    <w:rsid w:val="009027FB"/>
    <w:rsid w:val="009028EE"/>
    <w:rsid w:val="00902AA3"/>
    <w:rsid w:val="00902D69"/>
    <w:rsid w:val="00902D8F"/>
    <w:rsid w:val="00903534"/>
    <w:rsid w:val="0090367B"/>
    <w:rsid w:val="00903E0F"/>
    <w:rsid w:val="00903E11"/>
    <w:rsid w:val="00904171"/>
    <w:rsid w:val="009046F5"/>
    <w:rsid w:val="009046FF"/>
    <w:rsid w:val="0090478C"/>
    <w:rsid w:val="00904EFB"/>
    <w:rsid w:val="009050F2"/>
    <w:rsid w:val="0090515D"/>
    <w:rsid w:val="009052D0"/>
    <w:rsid w:val="00905499"/>
    <w:rsid w:val="0090550B"/>
    <w:rsid w:val="0090581E"/>
    <w:rsid w:val="009062A5"/>
    <w:rsid w:val="009063A6"/>
    <w:rsid w:val="009063F9"/>
    <w:rsid w:val="00906400"/>
    <w:rsid w:val="0090643D"/>
    <w:rsid w:val="009065FD"/>
    <w:rsid w:val="00906799"/>
    <w:rsid w:val="00906D86"/>
    <w:rsid w:val="00906F42"/>
    <w:rsid w:val="00906F7B"/>
    <w:rsid w:val="009073DD"/>
    <w:rsid w:val="00907514"/>
    <w:rsid w:val="009076D5"/>
    <w:rsid w:val="00907897"/>
    <w:rsid w:val="00907C7B"/>
    <w:rsid w:val="00907CD3"/>
    <w:rsid w:val="00907D35"/>
    <w:rsid w:val="00910062"/>
    <w:rsid w:val="00910502"/>
    <w:rsid w:val="00910C0F"/>
    <w:rsid w:val="00910E71"/>
    <w:rsid w:val="00910FFC"/>
    <w:rsid w:val="00911272"/>
    <w:rsid w:val="009115FB"/>
    <w:rsid w:val="00911712"/>
    <w:rsid w:val="0091179E"/>
    <w:rsid w:val="0091190C"/>
    <w:rsid w:val="00911CB9"/>
    <w:rsid w:val="00911D70"/>
    <w:rsid w:val="00911D75"/>
    <w:rsid w:val="00911DE1"/>
    <w:rsid w:val="00912089"/>
    <w:rsid w:val="009126CA"/>
    <w:rsid w:val="00912860"/>
    <w:rsid w:val="00912A0A"/>
    <w:rsid w:val="00912BB4"/>
    <w:rsid w:val="00912F2D"/>
    <w:rsid w:val="00913001"/>
    <w:rsid w:val="009132AC"/>
    <w:rsid w:val="0091361D"/>
    <w:rsid w:val="00913779"/>
    <w:rsid w:val="0091445F"/>
    <w:rsid w:val="009144ED"/>
    <w:rsid w:val="00914C37"/>
    <w:rsid w:val="00914D79"/>
    <w:rsid w:val="00914E57"/>
    <w:rsid w:val="00914E86"/>
    <w:rsid w:val="00914F20"/>
    <w:rsid w:val="0091523F"/>
    <w:rsid w:val="009156BA"/>
    <w:rsid w:val="00915748"/>
    <w:rsid w:val="00915A62"/>
    <w:rsid w:val="00915A98"/>
    <w:rsid w:val="00915DFF"/>
    <w:rsid w:val="00916779"/>
    <w:rsid w:val="00916D9E"/>
    <w:rsid w:val="00916E34"/>
    <w:rsid w:val="00916F97"/>
    <w:rsid w:val="009173E0"/>
    <w:rsid w:val="0091790C"/>
    <w:rsid w:val="00917EAF"/>
    <w:rsid w:val="00917F14"/>
    <w:rsid w:val="00920227"/>
    <w:rsid w:val="009205BF"/>
    <w:rsid w:val="00920778"/>
    <w:rsid w:val="00920886"/>
    <w:rsid w:val="00920E45"/>
    <w:rsid w:val="00920EC7"/>
    <w:rsid w:val="0092120E"/>
    <w:rsid w:val="00921496"/>
    <w:rsid w:val="00921C3D"/>
    <w:rsid w:val="00921EE2"/>
    <w:rsid w:val="00921FD7"/>
    <w:rsid w:val="009220C5"/>
    <w:rsid w:val="009225BF"/>
    <w:rsid w:val="00922DB1"/>
    <w:rsid w:val="00922F6B"/>
    <w:rsid w:val="0092300C"/>
    <w:rsid w:val="0092315D"/>
    <w:rsid w:val="0092328A"/>
    <w:rsid w:val="0092342D"/>
    <w:rsid w:val="009235CF"/>
    <w:rsid w:val="00923670"/>
    <w:rsid w:val="00923793"/>
    <w:rsid w:val="009238E8"/>
    <w:rsid w:val="00923D3F"/>
    <w:rsid w:val="00923EA1"/>
    <w:rsid w:val="009240F9"/>
    <w:rsid w:val="009245BF"/>
    <w:rsid w:val="00924662"/>
    <w:rsid w:val="00924763"/>
    <w:rsid w:val="009251DD"/>
    <w:rsid w:val="009253F2"/>
    <w:rsid w:val="00925618"/>
    <w:rsid w:val="00925993"/>
    <w:rsid w:val="009259A2"/>
    <w:rsid w:val="00925DE5"/>
    <w:rsid w:val="00926085"/>
    <w:rsid w:val="009261BD"/>
    <w:rsid w:val="009263E6"/>
    <w:rsid w:val="0092642F"/>
    <w:rsid w:val="0092653B"/>
    <w:rsid w:val="009267F1"/>
    <w:rsid w:val="00926DFA"/>
    <w:rsid w:val="00926F7B"/>
    <w:rsid w:val="00926FAF"/>
    <w:rsid w:val="00927005"/>
    <w:rsid w:val="00927071"/>
    <w:rsid w:val="0092717B"/>
    <w:rsid w:val="0092742E"/>
    <w:rsid w:val="009277A7"/>
    <w:rsid w:val="00927A32"/>
    <w:rsid w:val="00927CA8"/>
    <w:rsid w:val="00927D46"/>
    <w:rsid w:val="00927DBD"/>
    <w:rsid w:val="00927F2B"/>
    <w:rsid w:val="00930008"/>
    <w:rsid w:val="0093019D"/>
    <w:rsid w:val="00930531"/>
    <w:rsid w:val="00930630"/>
    <w:rsid w:val="00930641"/>
    <w:rsid w:val="00930B0D"/>
    <w:rsid w:val="00930CE7"/>
    <w:rsid w:val="00930F8E"/>
    <w:rsid w:val="00931092"/>
    <w:rsid w:val="0093114E"/>
    <w:rsid w:val="00931185"/>
    <w:rsid w:val="009312E7"/>
    <w:rsid w:val="00931309"/>
    <w:rsid w:val="00931690"/>
    <w:rsid w:val="00931934"/>
    <w:rsid w:val="00932034"/>
    <w:rsid w:val="00932141"/>
    <w:rsid w:val="009322A4"/>
    <w:rsid w:val="0093270C"/>
    <w:rsid w:val="009327C5"/>
    <w:rsid w:val="00933024"/>
    <w:rsid w:val="00933206"/>
    <w:rsid w:val="009332C1"/>
    <w:rsid w:val="00933489"/>
    <w:rsid w:val="009335D2"/>
    <w:rsid w:val="009335E6"/>
    <w:rsid w:val="00933713"/>
    <w:rsid w:val="00933F45"/>
    <w:rsid w:val="00933F87"/>
    <w:rsid w:val="00934526"/>
    <w:rsid w:val="00934885"/>
    <w:rsid w:val="00934A4F"/>
    <w:rsid w:val="00934E50"/>
    <w:rsid w:val="0093515C"/>
    <w:rsid w:val="009353FE"/>
    <w:rsid w:val="00935402"/>
    <w:rsid w:val="00935571"/>
    <w:rsid w:val="0093591A"/>
    <w:rsid w:val="00935AA1"/>
    <w:rsid w:val="0093600F"/>
    <w:rsid w:val="009364F7"/>
    <w:rsid w:val="00936556"/>
    <w:rsid w:val="009366C6"/>
    <w:rsid w:val="00936809"/>
    <w:rsid w:val="009368F7"/>
    <w:rsid w:val="00936F57"/>
    <w:rsid w:val="00936F7D"/>
    <w:rsid w:val="009371F1"/>
    <w:rsid w:val="00937255"/>
    <w:rsid w:val="009375FD"/>
    <w:rsid w:val="009378C2"/>
    <w:rsid w:val="0093790D"/>
    <w:rsid w:val="0093797E"/>
    <w:rsid w:val="00937D2A"/>
    <w:rsid w:val="00937E76"/>
    <w:rsid w:val="00940088"/>
    <w:rsid w:val="00940311"/>
    <w:rsid w:val="00940348"/>
    <w:rsid w:val="0094056F"/>
    <w:rsid w:val="0094064C"/>
    <w:rsid w:val="0094076C"/>
    <w:rsid w:val="009407F7"/>
    <w:rsid w:val="00940824"/>
    <w:rsid w:val="00940871"/>
    <w:rsid w:val="00940905"/>
    <w:rsid w:val="00940AB1"/>
    <w:rsid w:val="00940F23"/>
    <w:rsid w:val="00941025"/>
    <w:rsid w:val="009412D5"/>
    <w:rsid w:val="0094135F"/>
    <w:rsid w:val="00941518"/>
    <w:rsid w:val="00941885"/>
    <w:rsid w:val="00941C34"/>
    <w:rsid w:val="00941F4C"/>
    <w:rsid w:val="0094278E"/>
    <w:rsid w:val="00942E7B"/>
    <w:rsid w:val="00942F24"/>
    <w:rsid w:val="009431DD"/>
    <w:rsid w:val="00943753"/>
    <w:rsid w:val="00943A63"/>
    <w:rsid w:val="00943B0A"/>
    <w:rsid w:val="00944134"/>
    <w:rsid w:val="0094425B"/>
    <w:rsid w:val="009443DB"/>
    <w:rsid w:val="009443E3"/>
    <w:rsid w:val="00944902"/>
    <w:rsid w:val="00944C71"/>
    <w:rsid w:val="00944CD8"/>
    <w:rsid w:val="00944E27"/>
    <w:rsid w:val="00944E7E"/>
    <w:rsid w:val="00944F5A"/>
    <w:rsid w:val="00945020"/>
    <w:rsid w:val="0094559A"/>
    <w:rsid w:val="009455AA"/>
    <w:rsid w:val="009458D0"/>
    <w:rsid w:val="009458D6"/>
    <w:rsid w:val="00945939"/>
    <w:rsid w:val="00945C99"/>
    <w:rsid w:val="00946049"/>
    <w:rsid w:val="009461E1"/>
    <w:rsid w:val="00946312"/>
    <w:rsid w:val="009464DB"/>
    <w:rsid w:val="009465C8"/>
    <w:rsid w:val="009468AA"/>
    <w:rsid w:val="00946A77"/>
    <w:rsid w:val="00946B2D"/>
    <w:rsid w:val="00946E2C"/>
    <w:rsid w:val="00946E9D"/>
    <w:rsid w:val="009474B6"/>
    <w:rsid w:val="00947502"/>
    <w:rsid w:val="00947BDE"/>
    <w:rsid w:val="00947C53"/>
    <w:rsid w:val="00947E46"/>
    <w:rsid w:val="00947FA4"/>
    <w:rsid w:val="00947FCF"/>
    <w:rsid w:val="00950178"/>
    <w:rsid w:val="009501AE"/>
    <w:rsid w:val="00950D12"/>
    <w:rsid w:val="00950DD2"/>
    <w:rsid w:val="00950F49"/>
    <w:rsid w:val="00950F9D"/>
    <w:rsid w:val="0095132F"/>
    <w:rsid w:val="00951579"/>
    <w:rsid w:val="00951FEA"/>
    <w:rsid w:val="00952236"/>
    <w:rsid w:val="00952424"/>
    <w:rsid w:val="00952578"/>
    <w:rsid w:val="00952A5C"/>
    <w:rsid w:val="00952B81"/>
    <w:rsid w:val="00952C1D"/>
    <w:rsid w:val="00952D57"/>
    <w:rsid w:val="009536D5"/>
    <w:rsid w:val="00953AF6"/>
    <w:rsid w:val="00953CAB"/>
    <w:rsid w:val="009544DC"/>
    <w:rsid w:val="009546C8"/>
    <w:rsid w:val="0095527F"/>
    <w:rsid w:val="009559AF"/>
    <w:rsid w:val="00955BAF"/>
    <w:rsid w:val="00956285"/>
    <w:rsid w:val="0095689C"/>
    <w:rsid w:val="009569E5"/>
    <w:rsid w:val="00956A4B"/>
    <w:rsid w:val="00956B62"/>
    <w:rsid w:val="00956BAC"/>
    <w:rsid w:val="0095709D"/>
    <w:rsid w:val="0095733F"/>
    <w:rsid w:val="009574E6"/>
    <w:rsid w:val="009575C6"/>
    <w:rsid w:val="00957C22"/>
    <w:rsid w:val="00957E88"/>
    <w:rsid w:val="00960907"/>
    <w:rsid w:val="009609FB"/>
    <w:rsid w:val="00960A3B"/>
    <w:rsid w:val="00960C5B"/>
    <w:rsid w:val="00960EEC"/>
    <w:rsid w:val="009610DA"/>
    <w:rsid w:val="00961296"/>
    <w:rsid w:val="009612FB"/>
    <w:rsid w:val="00961489"/>
    <w:rsid w:val="00961919"/>
    <w:rsid w:val="0096196D"/>
    <w:rsid w:val="009619E0"/>
    <w:rsid w:val="00961A82"/>
    <w:rsid w:val="00961CCB"/>
    <w:rsid w:val="00961DB5"/>
    <w:rsid w:val="00961ED1"/>
    <w:rsid w:val="0096200C"/>
    <w:rsid w:val="0096261D"/>
    <w:rsid w:val="00962678"/>
    <w:rsid w:val="00962AB9"/>
    <w:rsid w:val="00962B8F"/>
    <w:rsid w:val="00962CB9"/>
    <w:rsid w:val="00962F7E"/>
    <w:rsid w:val="00963166"/>
    <w:rsid w:val="009634E0"/>
    <w:rsid w:val="009635B5"/>
    <w:rsid w:val="009639A8"/>
    <w:rsid w:val="00963AD4"/>
    <w:rsid w:val="00963C35"/>
    <w:rsid w:val="00963C87"/>
    <w:rsid w:val="00964312"/>
    <w:rsid w:val="00964943"/>
    <w:rsid w:val="00964B9E"/>
    <w:rsid w:val="00964DDC"/>
    <w:rsid w:val="009650A2"/>
    <w:rsid w:val="00965204"/>
    <w:rsid w:val="0096545B"/>
    <w:rsid w:val="009657EB"/>
    <w:rsid w:val="0096588E"/>
    <w:rsid w:val="00965B7D"/>
    <w:rsid w:val="00965C23"/>
    <w:rsid w:val="00965E64"/>
    <w:rsid w:val="009663C2"/>
    <w:rsid w:val="00966639"/>
    <w:rsid w:val="009667DE"/>
    <w:rsid w:val="0096693E"/>
    <w:rsid w:val="00966D04"/>
    <w:rsid w:val="00966D0F"/>
    <w:rsid w:val="00967116"/>
    <w:rsid w:val="00967585"/>
    <w:rsid w:val="0097012B"/>
    <w:rsid w:val="00970202"/>
    <w:rsid w:val="00970216"/>
    <w:rsid w:val="009703AA"/>
    <w:rsid w:val="00970628"/>
    <w:rsid w:val="00970673"/>
    <w:rsid w:val="00970A27"/>
    <w:rsid w:val="00970FBD"/>
    <w:rsid w:val="00971065"/>
    <w:rsid w:val="0097112D"/>
    <w:rsid w:val="0097114C"/>
    <w:rsid w:val="0097116A"/>
    <w:rsid w:val="0097122C"/>
    <w:rsid w:val="0097152C"/>
    <w:rsid w:val="00971557"/>
    <w:rsid w:val="00971C38"/>
    <w:rsid w:val="00971DE3"/>
    <w:rsid w:val="00971F58"/>
    <w:rsid w:val="009723E1"/>
    <w:rsid w:val="00972635"/>
    <w:rsid w:val="009729AD"/>
    <w:rsid w:val="00972A45"/>
    <w:rsid w:val="00972C1D"/>
    <w:rsid w:val="00972F64"/>
    <w:rsid w:val="00973898"/>
    <w:rsid w:val="00973910"/>
    <w:rsid w:val="00973AD2"/>
    <w:rsid w:val="00973B43"/>
    <w:rsid w:val="00973CAE"/>
    <w:rsid w:val="00973D27"/>
    <w:rsid w:val="00973EE2"/>
    <w:rsid w:val="00973F19"/>
    <w:rsid w:val="00974060"/>
    <w:rsid w:val="009744CC"/>
    <w:rsid w:val="0097458C"/>
    <w:rsid w:val="009746A9"/>
    <w:rsid w:val="009748C6"/>
    <w:rsid w:val="00974DEA"/>
    <w:rsid w:val="009752EC"/>
    <w:rsid w:val="009756C0"/>
    <w:rsid w:val="009756D4"/>
    <w:rsid w:val="00976EA9"/>
    <w:rsid w:val="00977002"/>
    <w:rsid w:val="00977327"/>
    <w:rsid w:val="00977899"/>
    <w:rsid w:val="009803D1"/>
    <w:rsid w:val="00980773"/>
    <w:rsid w:val="009808E1"/>
    <w:rsid w:val="00980987"/>
    <w:rsid w:val="00980DC1"/>
    <w:rsid w:val="00980F10"/>
    <w:rsid w:val="0098104D"/>
    <w:rsid w:val="0098182E"/>
    <w:rsid w:val="0098194C"/>
    <w:rsid w:val="00981A0E"/>
    <w:rsid w:val="00981F23"/>
    <w:rsid w:val="009820B0"/>
    <w:rsid w:val="00982135"/>
    <w:rsid w:val="00982D14"/>
    <w:rsid w:val="00982E61"/>
    <w:rsid w:val="009831FD"/>
    <w:rsid w:val="00983215"/>
    <w:rsid w:val="009834CB"/>
    <w:rsid w:val="00983862"/>
    <w:rsid w:val="00983869"/>
    <w:rsid w:val="009838BA"/>
    <w:rsid w:val="0098391D"/>
    <w:rsid w:val="00983C9F"/>
    <w:rsid w:val="00983E57"/>
    <w:rsid w:val="009840DF"/>
    <w:rsid w:val="009842C5"/>
    <w:rsid w:val="0098482C"/>
    <w:rsid w:val="00984B94"/>
    <w:rsid w:val="00984F58"/>
    <w:rsid w:val="009852E6"/>
    <w:rsid w:val="0098568A"/>
    <w:rsid w:val="00985838"/>
    <w:rsid w:val="00985926"/>
    <w:rsid w:val="00985971"/>
    <w:rsid w:val="00985A01"/>
    <w:rsid w:val="00985C04"/>
    <w:rsid w:val="0098694B"/>
    <w:rsid w:val="009869E4"/>
    <w:rsid w:val="00986D58"/>
    <w:rsid w:val="00986E39"/>
    <w:rsid w:val="00987248"/>
    <w:rsid w:val="00987514"/>
    <w:rsid w:val="00987575"/>
    <w:rsid w:val="00990103"/>
    <w:rsid w:val="00990235"/>
    <w:rsid w:val="00990B0B"/>
    <w:rsid w:val="00990DF5"/>
    <w:rsid w:val="009912CD"/>
    <w:rsid w:val="00991350"/>
    <w:rsid w:val="0099140C"/>
    <w:rsid w:val="009918FB"/>
    <w:rsid w:val="00991B4E"/>
    <w:rsid w:val="00991D54"/>
    <w:rsid w:val="00991DFE"/>
    <w:rsid w:val="009921BE"/>
    <w:rsid w:val="00992738"/>
    <w:rsid w:val="00992CD1"/>
    <w:rsid w:val="00993125"/>
    <w:rsid w:val="009933CF"/>
    <w:rsid w:val="00993547"/>
    <w:rsid w:val="009937B8"/>
    <w:rsid w:val="00993947"/>
    <w:rsid w:val="00993DB4"/>
    <w:rsid w:val="00993DF2"/>
    <w:rsid w:val="00993E37"/>
    <w:rsid w:val="00993EED"/>
    <w:rsid w:val="00994451"/>
    <w:rsid w:val="009944F0"/>
    <w:rsid w:val="009946F5"/>
    <w:rsid w:val="00995072"/>
    <w:rsid w:val="0099513A"/>
    <w:rsid w:val="0099518B"/>
    <w:rsid w:val="00995262"/>
    <w:rsid w:val="00995495"/>
    <w:rsid w:val="009954CE"/>
    <w:rsid w:val="00995595"/>
    <w:rsid w:val="009955D9"/>
    <w:rsid w:val="00995757"/>
    <w:rsid w:val="009957A3"/>
    <w:rsid w:val="00995BA3"/>
    <w:rsid w:val="00995BB6"/>
    <w:rsid w:val="00996228"/>
    <w:rsid w:val="00996265"/>
    <w:rsid w:val="009967A2"/>
    <w:rsid w:val="00996B1A"/>
    <w:rsid w:val="00996BA7"/>
    <w:rsid w:val="00997019"/>
    <w:rsid w:val="0099777C"/>
    <w:rsid w:val="0099779C"/>
    <w:rsid w:val="009978ED"/>
    <w:rsid w:val="009978F8"/>
    <w:rsid w:val="00997A91"/>
    <w:rsid w:val="00997BF5"/>
    <w:rsid w:val="00997E5D"/>
    <w:rsid w:val="009A0008"/>
    <w:rsid w:val="009A04E1"/>
    <w:rsid w:val="009A05DE"/>
    <w:rsid w:val="009A0A3D"/>
    <w:rsid w:val="009A0A52"/>
    <w:rsid w:val="009A0D48"/>
    <w:rsid w:val="009A0D62"/>
    <w:rsid w:val="009A0F75"/>
    <w:rsid w:val="009A11BC"/>
    <w:rsid w:val="009A1228"/>
    <w:rsid w:val="009A1235"/>
    <w:rsid w:val="009A1686"/>
    <w:rsid w:val="009A1CB9"/>
    <w:rsid w:val="009A1CC4"/>
    <w:rsid w:val="009A2130"/>
    <w:rsid w:val="009A268A"/>
    <w:rsid w:val="009A2926"/>
    <w:rsid w:val="009A2B8F"/>
    <w:rsid w:val="009A2F24"/>
    <w:rsid w:val="009A2FBA"/>
    <w:rsid w:val="009A3095"/>
    <w:rsid w:val="009A30C7"/>
    <w:rsid w:val="009A3114"/>
    <w:rsid w:val="009A392C"/>
    <w:rsid w:val="009A3DB7"/>
    <w:rsid w:val="009A3F92"/>
    <w:rsid w:val="009A3FB8"/>
    <w:rsid w:val="009A418E"/>
    <w:rsid w:val="009A4481"/>
    <w:rsid w:val="009A4655"/>
    <w:rsid w:val="009A4691"/>
    <w:rsid w:val="009A48E9"/>
    <w:rsid w:val="009A4A76"/>
    <w:rsid w:val="009A4EDD"/>
    <w:rsid w:val="009A4F69"/>
    <w:rsid w:val="009A524C"/>
    <w:rsid w:val="009A537D"/>
    <w:rsid w:val="009A537E"/>
    <w:rsid w:val="009A54A0"/>
    <w:rsid w:val="009A557B"/>
    <w:rsid w:val="009A56D1"/>
    <w:rsid w:val="009A573D"/>
    <w:rsid w:val="009A58C8"/>
    <w:rsid w:val="009A59FB"/>
    <w:rsid w:val="009A5BC3"/>
    <w:rsid w:val="009A5BE4"/>
    <w:rsid w:val="009A5E52"/>
    <w:rsid w:val="009A5F49"/>
    <w:rsid w:val="009A60DE"/>
    <w:rsid w:val="009A6274"/>
    <w:rsid w:val="009A628A"/>
    <w:rsid w:val="009A6630"/>
    <w:rsid w:val="009A67DC"/>
    <w:rsid w:val="009A6922"/>
    <w:rsid w:val="009A6A1A"/>
    <w:rsid w:val="009A6D45"/>
    <w:rsid w:val="009A6EA8"/>
    <w:rsid w:val="009A707B"/>
    <w:rsid w:val="009A7186"/>
    <w:rsid w:val="009A755F"/>
    <w:rsid w:val="009A76FB"/>
    <w:rsid w:val="009A7968"/>
    <w:rsid w:val="009A7A08"/>
    <w:rsid w:val="009A7BB9"/>
    <w:rsid w:val="009A7E2C"/>
    <w:rsid w:val="009A7E31"/>
    <w:rsid w:val="009A7E96"/>
    <w:rsid w:val="009A7F91"/>
    <w:rsid w:val="009B03F8"/>
    <w:rsid w:val="009B07C4"/>
    <w:rsid w:val="009B0B7F"/>
    <w:rsid w:val="009B0C62"/>
    <w:rsid w:val="009B0D30"/>
    <w:rsid w:val="009B12AF"/>
    <w:rsid w:val="009B1A65"/>
    <w:rsid w:val="009B1B2A"/>
    <w:rsid w:val="009B1BA1"/>
    <w:rsid w:val="009B1E75"/>
    <w:rsid w:val="009B1F06"/>
    <w:rsid w:val="009B1F90"/>
    <w:rsid w:val="009B2764"/>
    <w:rsid w:val="009B3305"/>
    <w:rsid w:val="009B333D"/>
    <w:rsid w:val="009B341B"/>
    <w:rsid w:val="009B354F"/>
    <w:rsid w:val="009B3580"/>
    <w:rsid w:val="009B36ED"/>
    <w:rsid w:val="009B37BB"/>
    <w:rsid w:val="009B3866"/>
    <w:rsid w:val="009B3DB2"/>
    <w:rsid w:val="009B3E26"/>
    <w:rsid w:val="009B3EFB"/>
    <w:rsid w:val="009B3FCD"/>
    <w:rsid w:val="009B3FED"/>
    <w:rsid w:val="009B43F5"/>
    <w:rsid w:val="009B4604"/>
    <w:rsid w:val="009B46EA"/>
    <w:rsid w:val="009B4761"/>
    <w:rsid w:val="009B4A39"/>
    <w:rsid w:val="009B4B5C"/>
    <w:rsid w:val="009B4CB2"/>
    <w:rsid w:val="009B4EDD"/>
    <w:rsid w:val="009B5000"/>
    <w:rsid w:val="009B59E2"/>
    <w:rsid w:val="009B5A1F"/>
    <w:rsid w:val="009B5C91"/>
    <w:rsid w:val="009B5CAB"/>
    <w:rsid w:val="009B5D40"/>
    <w:rsid w:val="009B60FA"/>
    <w:rsid w:val="009B67EC"/>
    <w:rsid w:val="009B68CC"/>
    <w:rsid w:val="009B6B94"/>
    <w:rsid w:val="009B6FA7"/>
    <w:rsid w:val="009B71E0"/>
    <w:rsid w:val="009B7451"/>
    <w:rsid w:val="009B75E6"/>
    <w:rsid w:val="009B779A"/>
    <w:rsid w:val="009B7CB0"/>
    <w:rsid w:val="009B7E9A"/>
    <w:rsid w:val="009B7E9C"/>
    <w:rsid w:val="009C0088"/>
    <w:rsid w:val="009C07DD"/>
    <w:rsid w:val="009C08BC"/>
    <w:rsid w:val="009C093B"/>
    <w:rsid w:val="009C0A80"/>
    <w:rsid w:val="009C0F0F"/>
    <w:rsid w:val="009C12CF"/>
    <w:rsid w:val="009C12E8"/>
    <w:rsid w:val="009C1442"/>
    <w:rsid w:val="009C14D8"/>
    <w:rsid w:val="009C17B4"/>
    <w:rsid w:val="009C18D1"/>
    <w:rsid w:val="009C1D67"/>
    <w:rsid w:val="009C1F98"/>
    <w:rsid w:val="009C1FD2"/>
    <w:rsid w:val="009C1FDC"/>
    <w:rsid w:val="009C23FC"/>
    <w:rsid w:val="009C26FC"/>
    <w:rsid w:val="009C29A4"/>
    <w:rsid w:val="009C29F7"/>
    <w:rsid w:val="009C348D"/>
    <w:rsid w:val="009C36C4"/>
    <w:rsid w:val="009C3797"/>
    <w:rsid w:val="009C37C5"/>
    <w:rsid w:val="009C42F8"/>
    <w:rsid w:val="009C481C"/>
    <w:rsid w:val="009C4AA3"/>
    <w:rsid w:val="009C4AFB"/>
    <w:rsid w:val="009C4CF8"/>
    <w:rsid w:val="009C5007"/>
    <w:rsid w:val="009C50DE"/>
    <w:rsid w:val="009C52E9"/>
    <w:rsid w:val="009C5349"/>
    <w:rsid w:val="009C57B6"/>
    <w:rsid w:val="009C5C24"/>
    <w:rsid w:val="009C604E"/>
    <w:rsid w:val="009C6179"/>
    <w:rsid w:val="009C619B"/>
    <w:rsid w:val="009C6683"/>
    <w:rsid w:val="009C6C4E"/>
    <w:rsid w:val="009C7194"/>
    <w:rsid w:val="009C71DD"/>
    <w:rsid w:val="009C7683"/>
    <w:rsid w:val="009C7686"/>
    <w:rsid w:val="009C76AF"/>
    <w:rsid w:val="009C77EB"/>
    <w:rsid w:val="009C781D"/>
    <w:rsid w:val="009C7855"/>
    <w:rsid w:val="009C7993"/>
    <w:rsid w:val="009C7B38"/>
    <w:rsid w:val="009C7C16"/>
    <w:rsid w:val="009C7CA9"/>
    <w:rsid w:val="009C7D5A"/>
    <w:rsid w:val="009C7FF7"/>
    <w:rsid w:val="009D058D"/>
    <w:rsid w:val="009D0A55"/>
    <w:rsid w:val="009D0B21"/>
    <w:rsid w:val="009D0BDD"/>
    <w:rsid w:val="009D0C94"/>
    <w:rsid w:val="009D0DB2"/>
    <w:rsid w:val="009D0F78"/>
    <w:rsid w:val="009D1006"/>
    <w:rsid w:val="009D1339"/>
    <w:rsid w:val="009D16EE"/>
    <w:rsid w:val="009D1793"/>
    <w:rsid w:val="009D1889"/>
    <w:rsid w:val="009D1A5E"/>
    <w:rsid w:val="009D1ADD"/>
    <w:rsid w:val="009D1B61"/>
    <w:rsid w:val="009D1DCF"/>
    <w:rsid w:val="009D1E03"/>
    <w:rsid w:val="009D211F"/>
    <w:rsid w:val="009D2356"/>
    <w:rsid w:val="009D242D"/>
    <w:rsid w:val="009D25F7"/>
    <w:rsid w:val="009D26A8"/>
    <w:rsid w:val="009D2836"/>
    <w:rsid w:val="009D2B98"/>
    <w:rsid w:val="009D2BD0"/>
    <w:rsid w:val="009D2D14"/>
    <w:rsid w:val="009D313B"/>
    <w:rsid w:val="009D3322"/>
    <w:rsid w:val="009D34F7"/>
    <w:rsid w:val="009D3959"/>
    <w:rsid w:val="009D3C64"/>
    <w:rsid w:val="009D3F6D"/>
    <w:rsid w:val="009D405B"/>
    <w:rsid w:val="009D4134"/>
    <w:rsid w:val="009D46F7"/>
    <w:rsid w:val="009D48AE"/>
    <w:rsid w:val="009D491A"/>
    <w:rsid w:val="009D4E4D"/>
    <w:rsid w:val="009D505D"/>
    <w:rsid w:val="009D5124"/>
    <w:rsid w:val="009D5289"/>
    <w:rsid w:val="009D5774"/>
    <w:rsid w:val="009D581A"/>
    <w:rsid w:val="009D5B91"/>
    <w:rsid w:val="009D5BAD"/>
    <w:rsid w:val="009D6090"/>
    <w:rsid w:val="009D6263"/>
    <w:rsid w:val="009D6439"/>
    <w:rsid w:val="009D6969"/>
    <w:rsid w:val="009D6ABE"/>
    <w:rsid w:val="009D6FBD"/>
    <w:rsid w:val="009D72CF"/>
    <w:rsid w:val="009D75C8"/>
    <w:rsid w:val="009D7961"/>
    <w:rsid w:val="009D7CA8"/>
    <w:rsid w:val="009D7F93"/>
    <w:rsid w:val="009E03DE"/>
    <w:rsid w:val="009E04AE"/>
    <w:rsid w:val="009E051C"/>
    <w:rsid w:val="009E0DD1"/>
    <w:rsid w:val="009E1037"/>
    <w:rsid w:val="009E11B3"/>
    <w:rsid w:val="009E1333"/>
    <w:rsid w:val="009E14F6"/>
    <w:rsid w:val="009E1ECE"/>
    <w:rsid w:val="009E2194"/>
    <w:rsid w:val="009E22F3"/>
    <w:rsid w:val="009E23F6"/>
    <w:rsid w:val="009E2551"/>
    <w:rsid w:val="009E25F3"/>
    <w:rsid w:val="009E2C5D"/>
    <w:rsid w:val="009E2E3A"/>
    <w:rsid w:val="009E350B"/>
    <w:rsid w:val="009E3846"/>
    <w:rsid w:val="009E3930"/>
    <w:rsid w:val="009E3A0F"/>
    <w:rsid w:val="009E3A52"/>
    <w:rsid w:val="009E3A64"/>
    <w:rsid w:val="009E3C24"/>
    <w:rsid w:val="009E3E60"/>
    <w:rsid w:val="009E41FD"/>
    <w:rsid w:val="009E45B6"/>
    <w:rsid w:val="009E4800"/>
    <w:rsid w:val="009E487F"/>
    <w:rsid w:val="009E4A49"/>
    <w:rsid w:val="009E4C07"/>
    <w:rsid w:val="009E502D"/>
    <w:rsid w:val="009E510A"/>
    <w:rsid w:val="009E530F"/>
    <w:rsid w:val="009E54C0"/>
    <w:rsid w:val="009E54E9"/>
    <w:rsid w:val="009E5860"/>
    <w:rsid w:val="009E5D4C"/>
    <w:rsid w:val="009E5E09"/>
    <w:rsid w:val="009E6186"/>
    <w:rsid w:val="009E61C0"/>
    <w:rsid w:val="009E6555"/>
    <w:rsid w:val="009E6C7D"/>
    <w:rsid w:val="009E6D56"/>
    <w:rsid w:val="009E6E6A"/>
    <w:rsid w:val="009E7435"/>
    <w:rsid w:val="009E7709"/>
    <w:rsid w:val="009E78EB"/>
    <w:rsid w:val="009E7982"/>
    <w:rsid w:val="009E79BC"/>
    <w:rsid w:val="009E7D8E"/>
    <w:rsid w:val="009F0182"/>
    <w:rsid w:val="009F04F3"/>
    <w:rsid w:val="009F0A2F"/>
    <w:rsid w:val="009F0AC4"/>
    <w:rsid w:val="009F0D24"/>
    <w:rsid w:val="009F0D2C"/>
    <w:rsid w:val="009F0E3D"/>
    <w:rsid w:val="009F0F7D"/>
    <w:rsid w:val="009F1112"/>
    <w:rsid w:val="009F17EA"/>
    <w:rsid w:val="009F1820"/>
    <w:rsid w:val="009F1C9C"/>
    <w:rsid w:val="009F1D03"/>
    <w:rsid w:val="009F20CA"/>
    <w:rsid w:val="009F237F"/>
    <w:rsid w:val="009F2475"/>
    <w:rsid w:val="009F2516"/>
    <w:rsid w:val="009F2543"/>
    <w:rsid w:val="009F274A"/>
    <w:rsid w:val="009F2B55"/>
    <w:rsid w:val="009F2F23"/>
    <w:rsid w:val="009F316B"/>
    <w:rsid w:val="009F32EA"/>
    <w:rsid w:val="009F363F"/>
    <w:rsid w:val="009F3805"/>
    <w:rsid w:val="009F3922"/>
    <w:rsid w:val="009F396E"/>
    <w:rsid w:val="009F414B"/>
    <w:rsid w:val="009F42A1"/>
    <w:rsid w:val="009F43F6"/>
    <w:rsid w:val="009F4595"/>
    <w:rsid w:val="009F49DC"/>
    <w:rsid w:val="009F49F5"/>
    <w:rsid w:val="009F4F75"/>
    <w:rsid w:val="009F522F"/>
    <w:rsid w:val="009F530C"/>
    <w:rsid w:val="009F5AB4"/>
    <w:rsid w:val="009F5B1D"/>
    <w:rsid w:val="009F5BFF"/>
    <w:rsid w:val="009F5C4F"/>
    <w:rsid w:val="009F6025"/>
    <w:rsid w:val="009F6B3D"/>
    <w:rsid w:val="009F6C60"/>
    <w:rsid w:val="009F6CCF"/>
    <w:rsid w:val="009F6DDF"/>
    <w:rsid w:val="009F6E08"/>
    <w:rsid w:val="009F6F8D"/>
    <w:rsid w:val="009F702C"/>
    <w:rsid w:val="009F7347"/>
    <w:rsid w:val="009F77E9"/>
    <w:rsid w:val="009F78D8"/>
    <w:rsid w:val="009F7A70"/>
    <w:rsid w:val="009F7B41"/>
    <w:rsid w:val="009F7BC0"/>
    <w:rsid w:val="009F7C02"/>
    <w:rsid w:val="009F7D6D"/>
    <w:rsid w:val="009F7EAA"/>
    <w:rsid w:val="00A0018F"/>
    <w:rsid w:val="00A004B9"/>
    <w:rsid w:val="00A00A45"/>
    <w:rsid w:val="00A00AD9"/>
    <w:rsid w:val="00A00C09"/>
    <w:rsid w:val="00A01781"/>
    <w:rsid w:val="00A01F55"/>
    <w:rsid w:val="00A01F5D"/>
    <w:rsid w:val="00A02072"/>
    <w:rsid w:val="00A020F2"/>
    <w:rsid w:val="00A0269D"/>
    <w:rsid w:val="00A02723"/>
    <w:rsid w:val="00A0275F"/>
    <w:rsid w:val="00A0298D"/>
    <w:rsid w:val="00A02BDE"/>
    <w:rsid w:val="00A02CEA"/>
    <w:rsid w:val="00A02D8E"/>
    <w:rsid w:val="00A030C9"/>
    <w:rsid w:val="00A03210"/>
    <w:rsid w:val="00A0375E"/>
    <w:rsid w:val="00A037EA"/>
    <w:rsid w:val="00A037ED"/>
    <w:rsid w:val="00A03A25"/>
    <w:rsid w:val="00A03D43"/>
    <w:rsid w:val="00A03F06"/>
    <w:rsid w:val="00A03F47"/>
    <w:rsid w:val="00A03F80"/>
    <w:rsid w:val="00A04052"/>
    <w:rsid w:val="00A04270"/>
    <w:rsid w:val="00A04373"/>
    <w:rsid w:val="00A04380"/>
    <w:rsid w:val="00A0442F"/>
    <w:rsid w:val="00A0446D"/>
    <w:rsid w:val="00A04A13"/>
    <w:rsid w:val="00A04D1D"/>
    <w:rsid w:val="00A05062"/>
    <w:rsid w:val="00A055BB"/>
    <w:rsid w:val="00A057DC"/>
    <w:rsid w:val="00A0581C"/>
    <w:rsid w:val="00A05914"/>
    <w:rsid w:val="00A05EB9"/>
    <w:rsid w:val="00A05FA6"/>
    <w:rsid w:val="00A061AA"/>
    <w:rsid w:val="00A0653B"/>
    <w:rsid w:val="00A06668"/>
    <w:rsid w:val="00A06A14"/>
    <w:rsid w:val="00A06AFF"/>
    <w:rsid w:val="00A06BD9"/>
    <w:rsid w:val="00A06C1E"/>
    <w:rsid w:val="00A06CF7"/>
    <w:rsid w:val="00A071BF"/>
    <w:rsid w:val="00A0733A"/>
    <w:rsid w:val="00A077B9"/>
    <w:rsid w:val="00A079B2"/>
    <w:rsid w:val="00A07E95"/>
    <w:rsid w:val="00A07F2F"/>
    <w:rsid w:val="00A105F8"/>
    <w:rsid w:val="00A10A96"/>
    <w:rsid w:val="00A10C71"/>
    <w:rsid w:val="00A111A8"/>
    <w:rsid w:val="00A112A2"/>
    <w:rsid w:val="00A11807"/>
    <w:rsid w:val="00A118E8"/>
    <w:rsid w:val="00A11D89"/>
    <w:rsid w:val="00A11EE6"/>
    <w:rsid w:val="00A124B9"/>
    <w:rsid w:val="00A12C99"/>
    <w:rsid w:val="00A1306E"/>
    <w:rsid w:val="00A1341F"/>
    <w:rsid w:val="00A1383B"/>
    <w:rsid w:val="00A13948"/>
    <w:rsid w:val="00A13C33"/>
    <w:rsid w:val="00A13EAD"/>
    <w:rsid w:val="00A14574"/>
    <w:rsid w:val="00A1458C"/>
    <w:rsid w:val="00A14752"/>
    <w:rsid w:val="00A14C07"/>
    <w:rsid w:val="00A14DC8"/>
    <w:rsid w:val="00A14F91"/>
    <w:rsid w:val="00A15025"/>
    <w:rsid w:val="00A1519E"/>
    <w:rsid w:val="00A151AC"/>
    <w:rsid w:val="00A15251"/>
    <w:rsid w:val="00A1536F"/>
    <w:rsid w:val="00A15B1D"/>
    <w:rsid w:val="00A15BDD"/>
    <w:rsid w:val="00A15BDF"/>
    <w:rsid w:val="00A15ED5"/>
    <w:rsid w:val="00A15F81"/>
    <w:rsid w:val="00A163B6"/>
    <w:rsid w:val="00A1661A"/>
    <w:rsid w:val="00A16865"/>
    <w:rsid w:val="00A169D0"/>
    <w:rsid w:val="00A16A00"/>
    <w:rsid w:val="00A16A7D"/>
    <w:rsid w:val="00A16ACC"/>
    <w:rsid w:val="00A16AF5"/>
    <w:rsid w:val="00A179BB"/>
    <w:rsid w:val="00A17CBF"/>
    <w:rsid w:val="00A2002C"/>
    <w:rsid w:val="00A2013A"/>
    <w:rsid w:val="00A201A5"/>
    <w:rsid w:val="00A2061F"/>
    <w:rsid w:val="00A2090A"/>
    <w:rsid w:val="00A20AE4"/>
    <w:rsid w:val="00A20AFC"/>
    <w:rsid w:val="00A21103"/>
    <w:rsid w:val="00A21222"/>
    <w:rsid w:val="00A214A1"/>
    <w:rsid w:val="00A2155E"/>
    <w:rsid w:val="00A219A0"/>
    <w:rsid w:val="00A221C6"/>
    <w:rsid w:val="00A221E2"/>
    <w:rsid w:val="00A22254"/>
    <w:rsid w:val="00A22A56"/>
    <w:rsid w:val="00A22B8A"/>
    <w:rsid w:val="00A22D87"/>
    <w:rsid w:val="00A23277"/>
    <w:rsid w:val="00A2342D"/>
    <w:rsid w:val="00A23612"/>
    <w:rsid w:val="00A2363C"/>
    <w:rsid w:val="00A237E1"/>
    <w:rsid w:val="00A23836"/>
    <w:rsid w:val="00A23AC9"/>
    <w:rsid w:val="00A23D1B"/>
    <w:rsid w:val="00A23D42"/>
    <w:rsid w:val="00A23FB2"/>
    <w:rsid w:val="00A2423B"/>
    <w:rsid w:val="00A2453D"/>
    <w:rsid w:val="00A24669"/>
    <w:rsid w:val="00A24D38"/>
    <w:rsid w:val="00A24F88"/>
    <w:rsid w:val="00A25135"/>
    <w:rsid w:val="00A2539C"/>
    <w:rsid w:val="00A25520"/>
    <w:rsid w:val="00A25581"/>
    <w:rsid w:val="00A258CE"/>
    <w:rsid w:val="00A25A6A"/>
    <w:rsid w:val="00A26091"/>
    <w:rsid w:val="00A26A03"/>
    <w:rsid w:val="00A26AF5"/>
    <w:rsid w:val="00A26E67"/>
    <w:rsid w:val="00A27403"/>
    <w:rsid w:val="00A27524"/>
    <w:rsid w:val="00A277F3"/>
    <w:rsid w:val="00A27974"/>
    <w:rsid w:val="00A279ED"/>
    <w:rsid w:val="00A279F9"/>
    <w:rsid w:val="00A27AEC"/>
    <w:rsid w:val="00A27AF9"/>
    <w:rsid w:val="00A27E26"/>
    <w:rsid w:val="00A27E33"/>
    <w:rsid w:val="00A3030E"/>
    <w:rsid w:val="00A30518"/>
    <w:rsid w:val="00A309EF"/>
    <w:rsid w:val="00A30A3D"/>
    <w:rsid w:val="00A30C83"/>
    <w:rsid w:val="00A314B1"/>
    <w:rsid w:val="00A3156D"/>
    <w:rsid w:val="00A3181F"/>
    <w:rsid w:val="00A3183B"/>
    <w:rsid w:val="00A3198F"/>
    <w:rsid w:val="00A31BC2"/>
    <w:rsid w:val="00A31C6A"/>
    <w:rsid w:val="00A31D03"/>
    <w:rsid w:val="00A3200E"/>
    <w:rsid w:val="00A321AE"/>
    <w:rsid w:val="00A322B0"/>
    <w:rsid w:val="00A322B7"/>
    <w:rsid w:val="00A32927"/>
    <w:rsid w:val="00A329F4"/>
    <w:rsid w:val="00A32AA0"/>
    <w:rsid w:val="00A33006"/>
    <w:rsid w:val="00A3393C"/>
    <w:rsid w:val="00A33D30"/>
    <w:rsid w:val="00A33DE8"/>
    <w:rsid w:val="00A33E29"/>
    <w:rsid w:val="00A33F4F"/>
    <w:rsid w:val="00A340C7"/>
    <w:rsid w:val="00A34163"/>
    <w:rsid w:val="00A3424D"/>
    <w:rsid w:val="00A34938"/>
    <w:rsid w:val="00A34C05"/>
    <w:rsid w:val="00A34CD1"/>
    <w:rsid w:val="00A351C5"/>
    <w:rsid w:val="00A353C5"/>
    <w:rsid w:val="00A353E8"/>
    <w:rsid w:val="00A35436"/>
    <w:rsid w:val="00A3548B"/>
    <w:rsid w:val="00A35569"/>
    <w:rsid w:val="00A355B7"/>
    <w:rsid w:val="00A35D16"/>
    <w:rsid w:val="00A366B1"/>
    <w:rsid w:val="00A36D73"/>
    <w:rsid w:val="00A36F15"/>
    <w:rsid w:val="00A37020"/>
    <w:rsid w:val="00A374DE"/>
    <w:rsid w:val="00A375F0"/>
    <w:rsid w:val="00A3781F"/>
    <w:rsid w:val="00A379CD"/>
    <w:rsid w:val="00A37E30"/>
    <w:rsid w:val="00A37EB6"/>
    <w:rsid w:val="00A407F2"/>
    <w:rsid w:val="00A40BB8"/>
    <w:rsid w:val="00A41819"/>
    <w:rsid w:val="00A419C4"/>
    <w:rsid w:val="00A419EF"/>
    <w:rsid w:val="00A41BFE"/>
    <w:rsid w:val="00A41C55"/>
    <w:rsid w:val="00A41CAD"/>
    <w:rsid w:val="00A41FC8"/>
    <w:rsid w:val="00A4236E"/>
    <w:rsid w:val="00A4250B"/>
    <w:rsid w:val="00A42672"/>
    <w:rsid w:val="00A42728"/>
    <w:rsid w:val="00A4280A"/>
    <w:rsid w:val="00A428DA"/>
    <w:rsid w:val="00A428F7"/>
    <w:rsid w:val="00A42B32"/>
    <w:rsid w:val="00A42EC1"/>
    <w:rsid w:val="00A42F86"/>
    <w:rsid w:val="00A42FAE"/>
    <w:rsid w:val="00A4322D"/>
    <w:rsid w:val="00A43308"/>
    <w:rsid w:val="00A4396B"/>
    <w:rsid w:val="00A43C59"/>
    <w:rsid w:val="00A43D6C"/>
    <w:rsid w:val="00A43EAB"/>
    <w:rsid w:val="00A43FF8"/>
    <w:rsid w:val="00A44059"/>
    <w:rsid w:val="00A444B3"/>
    <w:rsid w:val="00A44546"/>
    <w:rsid w:val="00A448B7"/>
    <w:rsid w:val="00A448D9"/>
    <w:rsid w:val="00A44967"/>
    <w:rsid w:val="00A44B83"/>
    <w:rsid w:val="00A44DAC"/>
    <w:rsid w:val="00A455FD"/>
    <w:rsid w:val="00A45795"/>
    <w:rsid w:val="00A458E0"/>
    <w:rsid w:val="00A45B5C"/>
    <w:rsid w:val="00A45E03"/>
    <w:rsid w:val="00A45EAB"/>
    <w:rsid w:val="00A46170"/>
    <w:rsid w:val="00A461F7"/>
    <w:rsid w:val="00A46237"/>
    <w:rsid w:val="00A4630F"/>
    <w:rsid w:val="00A464E2"/>
    <w:rsid w:val="00A46564"/>
    <w:rsid w:val="00A4740A"/>
    <w:rsid w:val="00A47512"/>
    <w:rsid w:val="00A47DD5"/>
    <w:rsid w:val="00A503EB"/>
    <w:rsid w:val="00A50462"/>
    <w:rsid w:val="00A50833"/>
    <w:rsid w:val="00A50894"/>
    <w:rsid w:val="00A50A4C"/>
    <w:rsid w:val="00A50DF3"/>
    <w:rsid w:val="00A50ECD"/>
    <w:rsid w:val="00A50EF5"/>
    <w:rsid w:val="00A510F0"/>
    <w:rsid w:val="00A51131"/>
    <w:rsid w:val="00A511DD"/>
    <w:rsid w:val="00A511FE"/>
    <w:rsid w:val="00A515DA"/>
    <w:rsid w:val="00A5206C"/>
    <w:rsid w:val="00A52729"/>
    <w:rsid w:val="00A527D6"/>
    <w:rsid w:val="00A52896"/>
    <w:rsid w:val="00A52C87"/>
    <w:rsid w:val="00A52FD9"/>
    <w:rsid w:val="00A53000"/>
    <w:rsid w:val="00A5364C"/>
    <w:rsid w:val="00A53675"/>
    <w:rsid w:val="00A53757"/>
    <w:rsid w:val="00A53786"/>
    <w:rsid w:val="00A5383D"/>
    <w:rsid w:val="00A53C08"/>
    <w:rsid w:val="00A53D47"/>
    <w:rsid w:val="00A53DEF"/>
    <w:rsid w:val="00A54BA1"/>
    <w:rsid w:val="00A54D17"/>
    <w:rsid w:val="00A54D64"/>
    <w:rsid w:val="00A5505E"/>
    <w:rsid w:val="00A55249"/>
    <w:rsid w:val="00A5561D"/>
    <w:rsid w:val="00A558A4"/>
    <w:rsid w:val="00A55950"/>
    <w:rsid w:val="00A559A5"/>
    <w:rsid w:val="00A55BA4"/>
    <w:rsid w:val="00A55D82"/>
    <w:rsid w:val="00A55EA6"/>
    <w:rsid w:val="00A55F51"/>
    <w:rsid w:val="00A56104"/>
    <w:rsid w:val="00A56138"/>
    <w:rsid w:val="00A5630B"/>
    <w:rsid w:val="00A565FB"/>
    <w:rsid w:val="00A56683"/>
    <w:rsid w:val="00A566E7"/>
    <w:rsid w:val="00A56824"/>
    <w:rsid w:val="00A56B6A"/>
    <w:rsid w:val="00A56F87"/>
    <w:rsid w:val="00A57170"/>
    <w:rsid w:val="00A5728F"/>
    <w:rsid w:val="00A57354"/>
    <w:rsid w:val="00A575A2"/>
    <w:rsid w:val="00A578DC"/>
    <w:rsid w:val="00A600D8"/>
    <w:rsid w:val="00A60437"/>
    <w:rsid w:val="00A60497"/>
    <w:rsid w:val="00A60631"/>
    <w:rsid w:val="00A60A7B"/>
    <w:rsid w:val="00A60B87"/>
    <w:rsid w:val="00A60E98"/>
    <w:rsid w:val="00A60E9A"/>
    <w:rsid w:val="00A60F46"/>
    <w:rsid w:val="00A6131B"/>
    <w:rsid w:val="00A61398"/>
    <w:rsid w:val="00A61C4A"/>
    <w:rsid w:val="00A61DE4"/>
    <w:rsid w:val="00A61EAC"/>
    <w:rsid w:val="00A620F7"/>
    <w:rsid w:val="00A62111"/>
    <w:rsid w:val="00A624A3"/>
    <w:rsid w:val="00A626AA"/>
    <w:rsid w:val="00A62C04"/>
    <w:rsid w:val="00A62EFC"/>
    <w:rsid w:val="00A63094"/>
    <w:rsid w:val="00A635C8"/>
    <w:rsid w:val="00A6368F"/>
    <w:rsid w:val="00A63927"/>
    <w:rsid w:val="00A63A98"/>
    <w:rsid w:val="00A6503A"/>
    <w:rsid w:val="00A65063"/>
    <w:rsid w:val="00A650D9"/>
    <w:rsid w:val="00A651BE"/>
    <w:rsid w:val="00A65296"/>
    <w:rsid w:val="00A653AE"/>
    <w:rsid w:val="00A65BF7"/>
    <w:rsid w:val="00A660B1"/>
    <w:rsid w:val="00A6623A"/>
    <w:rsid w:val="00A664C3"/>
    <w:rsid w:val="00A6686D"/>
    <w:rsid w:val="00A668E0"/>
    <w:rsid w:val="00A669A3"/>
    <w:rsid w:val="00A6725B"/>
    <w:rsid w:val="00A67265"/>
    <w:rsid w:val="00A675FC"/>
    <w:rsid w:val="00A67A1F"/>
    <w:rsid w:val="00A70069"/>
    <w:rsid w:val="00A703D7"/>
    <w:rsid w:val="00A70597"/>
    <w:rsid w:val="00A706FB"/>
    <w:rsid w:val="00A70C3D"/>
    <w:rsid w:val="00A71172"/>
    <w:rsid w:val="00A71BF7"/>
    <w:rsid w:val="00A71D62"/>
    <w:rsid w:val="00A71F0E"/>
    <w:rsid w:val="00A7255D"/>
    <w:rsid w:val="00A72C24"/>
    <w:rsid w:val="00A72DC8"/>
    <w:rsid w:val="00A72DEF"/>
    <w:rsid w:val="00A72E20"/>
    <w:rsid w:val="00A731C6"/>
    <w:rsid w:val="00A73611"/>
    <w:rsid w:val="00A737E5"/>
    <w:rsid w:val="00A73BFB"/>
    <w:rsid w:val="00A73C34"/>
    <w:rsid w:val="00A73ED3"/>
    <w:rsid w:val="00A743B4"/>
    <w:rsid w:val="00A74432"/>
    <w:rsid w:val="00A744BD"/>
    <w:rsid w:val="00A74DB7"/>
    <w:rsid w:val="00A74E6A"/>
    <w:rsid w:val="00A74F07"/>
    <w:rsid w:val="00A75014"/>
    <w:rsid w:val="00A75053"/>
    <w:rsid w:val="00A7523A"/>
    <w:rsid w:val="00A752D8"/>
    <w:rsid w:val="00A75659"/>
    <w:rsid w:val="00A759CD"/>
    <w:rsid w:val="00A75EDE"/>
    <w:rsid w:val="00A75F52"/>
    <w:rsid w:val="00A75FCC"/>
    <w:rsid w:val="00A76063"/>
    <w:rsid w:val="00A76C9E"/>
    <w:rsid w:val="00A76F2A"/>
    <w:rsid w:val="00A7743C"/>
    <w:rsid w:val="00A774E2"/>
    <w:rsid w:val="00A779C8"/>
    <w:rsid w:val="00A77D1D"/>
    <w:rsid w:val="00A77E60"/>
    <w:rsid w:val="00A77F20"/>
    <w:rsid w:val="00A77FE1"/>
    <w:rsid w:val="00A80361"/>
    <w:rsid w:val="00A80569"/>
    <w:rsid w:val="00A806E1"/>
    <w:rsid w:val="00A80898"/>
    <w:rsid w:val="00A80A39"/>
    <w:rsid w:val="00A80B6D"/>
    <w:rsid w:val="00A8110B"/>
    <w:rsid w:val="00A81150"/>
    <w:rsid w:val="00A812C8"/>
    <w:rsid w:val="00A81324"/>
    <w:rsid w:val="00A819B0"/>
    <w:rsid w:val="00A81B1D"/>
    <w:rsid w:val="00A81BC5"/>
    <w:rsid w:val="00A81C4C"/>
    <w:rsid w:val="00A81E64"/>
    <w:rsid w:val="00A82AC2"/>
    <w:rsid w:val="00A82EA1"/>
    <w:rsid w:val="00A82F1F"/>
    <w:rsid w:val="00A83366"/>
    <w:rsid w:val="00A83E54"/>
    <w:rsid w:val="00A8470A"/>
    <w:rsid w:val="00A848DE"/>
    <w:rsid w:val="00A84A24"/>
    <w:rsid w:val="00A84BBD"/>
    <w:rsid w:val="00A84DA2"/>
    <w:rsid w:val="00A84E27"/>
    <w:rsid w:val="00A84F62"/>
    <w:rsid w:val="00A84F98"/>
    <w:rsid w:val="00A85074"/>
    <w:rsid w:val="00A85596"/>
    <w:rsid w:val="00A85B0C"/>
    <w:rsid w:val="00A85B20"/>
    <w:rsid w:val="00A85BA1"/>
    <w:rsid w:val="00A85C86"/>
    <w:rsid w:val="00A86400"/>
    <w:rsid w:val="00A86A79"/>
    <w:rsid w:val="00A86E1D"/>
    <w:rsid w:val="00A86E8B"/>
    <w:rsid w:val="00A86EF8"/>
    <w:rsid w:val="00A870B3"/>
    <w:rsid w:val="00A875A0"/>
    <w:rsid w:val="00A87921"/>
    <w:rsid w:val="00A87AE0"/>
    <w:rsid w:val="00A87F21"/>
    <w:rsid w:val="00A87F88"/>
    <w:rsid w:val="00A903C5"/>
    <w:rsid w:val="00A9063D"/>
    <w:rsid w:val="00A908E3"/>
    <w:rsid w:val="00A90A8E"/>
    <w:rsid w:val="00A90BB8"/>
    <w:rsid w:val="00A910DF"/>
    <w:rsid w:val="00A91443"/>
    <w:rsid w:val="00A9144B"/>
    <w:rsid w:val="00A91564"/>
    <w:rsid w:val="00A9158E"/>
    <w:rsid w:val="00A91640"/>
    <w:rsid w:val="00A916FF"/>
    <w:rsid w:val="00A919A5"/>
    <w:rsid w:val="00A9229E"/>
    <w:rsid w:val="00A929B9"/>
    <w:rsid w:val="00A92E7F"/>
    <w:rsid w:val="00A93072"/>
    <w:rsid w:val="00A9312C"/>
    <w:rsid w:val="00A933FB"/>
    <w:rsid w:val="00A9343C"/>
    <w:rsid w:val="00A9349A"/>
    <w:rsid w:val="00A9380F"/>
    <w:rsid w:val="00A939D5"/>
    <w:rsid w:val="00A93E78"/>
    <w:rsid w:val="00A93F99"/>
    <w:rsid w:val="00A940D7"/>
    <w:rsid w:val="00A94267"/>
    <w:rsid w:val="00A9454A"/>
    <w:rsid w:val="00A94896"/>
    <w:rsid w:val="00A94CE0"/>
    <w:rsid w:val="00A9508F"/>
    <w:rsid w:val="00A95091"/>
    <w:rsid w:val="00A951BA"/>
    <w:rsid w:val="00A95282"/>
    <w:rsid w:val="00A95444"/>
    <w:rsid w:val="00A954DD"/>
    <w:rsid w:val="00A95579"/>
    <w:rsid w:val="00A9563E"/>
    <w:rsid w:val="00A95719"/>
    <w:rsid w:val="00A959D8"/>
    <w:rsid w:val="00A961D9"/>
    <w:rsid w:val="00A96209"/>
    <w:rsid w:val="00A962E9"/>
    <w:rsid w:val="00A965DA"/>
    <w:rsid w:val="00A96635"/>
    <w:rsid w:val="00A968FE"/>
    <w:rsid w:val="00A96977"/>
    <w:rsid w:val="00A969F9"/>
    <w:rsid w:val="00A96A16"/>
    <w:rsid w:val="00A96F80"/>
    <w:rsid w:val="00A97115"/>
    <w:rsid w:val="00A972E8"/>
    <w:rsid w:val="00A9748C"/>
    <w:rsid w:val="00A97AA9"/>
    <w:rsid w:val="00A97AE6"/>
    <w:rsid w:val="00A97CF2"/>
    <w:rsid w:val="00A97E97"/>
    <w:rsid w:val="00AA001B"/>
    <w:rsid w:val="00AA0226"/>
    <w:rsid w:val="00AA0A98"/>
    <w:rsid w:val="00AA0CA1"/>
    <w:rsid w:val="00AA0CD9"/>
    <w:rsid w:val="00AA148D"/>
    <w:rsid w:val="00AA16F8"/>
    <w:rsid w:val="00AA1783"/>
    <w:rsid w:val="00AA1840"/>
    <w:rsid w:val="00AA1A5D"/>
    <w:rsid w:val="00AA1AF9"/>
    <w:rsid w:val="00AA1C33"/>
    <w:rsid w:val="00AA1ECC"/>
    <w:rsid w:val="00AA2523"/>
    <w:rsid w:val="00AA25C6"/>
    <w:rsid w:val="00AA2659"/>
    <w:rsid w:val="00AA285F"/>
    <w:rsid w:val="00AA2BB4"/>
    <w:rsid w:val="00AA2CBD"/>
    <w:rsid w:val="00AA2D87"/>
    <w:rsid w:val="00AA2FD4"/>
    <w:rsid w:val="00AA353F"/>
    <w:rsid w:val="00AA3555"/>
    <w:rsid w:val="00AA3573"/>
    <w:rsid w:val="00AA367C"/>
    <w:rsid w:val="00AA37C7"/>
    <w:rsid w:val="00AA38F9"/>
    <w:rsid w:val="00AA463C"/>
    <w:rsid w:val="00AA4DC0"/>
    <w:rsid w:val="00AA4E1E"/>
    <w:rsid w:val="00AA4E59"/>
    <w:rsid w:val="00AA4FEB"/>
    <w:rsid w:val="00AA502E"/>
    <w:rsid w:val="00AA5A75"/>
    <w:rsid w:val="00AA5C2B"/>
    <w:rsid w:val="00AA5CD4"/>
    <w:rsid w:val="00AA6546"/>
    <w:rsid w:val="00AA6710"/>
    <w:rsid w:val="00AA671C"/>
    <w:rsid w:val="00AA68CC"/>
    <w:rsid w:val="00AA6BA4"/>
    <w:rsid w:val="00AA6C80"/>
    <w:rsid w:val="00AA6DE9"/>
    <w:rsid w:val="00AA728E"/>
    <w:rsid w:val="00AA73A6"/>
    <w:rsid w:val="00AA763F"/>
    <w:rsid w:val="00AA76DF"/>
    <w:rsid w:val="00AA78E8"/>
    <w:rsid w:val="00AA7A0C"/>
    <w:rsid w:val="00AA7AFB"/>
    <w:rsid w:val="00AA7C35"/>
    <w:rsid w:val="00AA7E4F"/>
    <w:rsid w:val="00AB02D6"/>
    <w:rsid w:val="00AB0413"/>
    <w:rsid w:val="00AB042A"/>
    <w:rsid w:val="00AB065D"/>
    <w:rsid w:val="00AB17FF"/>
    <w:rsid w:val="00AB1917"/>
    <w:rsid w:val="00AB1B2C"/>
    <w:rsid w:val="00AB1E64"/>
    <w:rsid w:val="00AB23DE"/>
    <w:rsid w:val="00AB24E6"/>
    <w:rsid w:val="00AB26C0"/>
    <w:rsid w:val="00AB2B2E"/>
    <w:rsid w:val="00AB2D34"/>
    <w:rsid w:val="00AB2FD2"/>
    <w:rsid w:val="00AB3206"/>
    <w:rsid w:val="00AB3430"/>
    <w:rsid w:val="00AB3B1B"/>
    <w:rsid w:val="00AB3C2C"/>
    <w:rsid w:val="00AB3DC2"/>
    <w:rsid w:val="00AB4066"/>
    <w:rsid w:val="00AB40A7"/>
    <w:rsid w:val="00AB4258"/>
    <w:rsid w:val="00AB42A6"/>
    <w:rsid w:val="00AB4635"/>
    <w:rsid w:val="00AB4819"/>
    <w:rsid w:val="00AB4994"/>
    <w:rsid w:val="00AB4ECA"/>
    <w:rsid w:val="00AB54BC"/>
    <w:rsid w:val="00AB5579"/>
    <w:rsid w:val="00AB5779"/>
    <w:rsid w:val="00AB5F93"/>
    <w:rsid w:val="00AB5FA1"/>
    <w:rsid w:val="00AB60F4"/>
    <w:rsid w:val="00AB60FF"/>
    <w:rsid w:val="00AB614B"/>
    <w:rsid w:val="00AB615E"/>
    <w:rsid w:val="00AB6A2D"/>
    <w:rsid w:val="00AB6AF8"/>
    <w:rsid w:val="00AB6F4C"/>
    <w:rsid w:val="00AB7079"/>
    <w:rsid w:val="00AB7128"/>
    <w:rsid w:val="00AB717E"/>
    <w:rsid w:val="00AB71CF"/>
    <w:rsid w:val="00AB7214"/>
    <w:rsid w:val="00AB755E"/>
    <w:rsid w:val="00AB7580"/>
    <w:rsid w:val="00AB7855"/>
    <w:rsid w:val="00AB7BC6"/>
    <w:rsid w:val="00AB7CFA"/>
    <w:rsid w:val="00AC061F"/>
    <w:rsid w:val="00AC07C8"/>
    <w:rsid w:val="00AC0943"/>
    <w:rsid w:val="00AC0E24"/>
    <w:rsid w:val="00AC17E3"/>
    <w:rsid w:val="00AC18B1"/>
    <w:rsid w:val="00AC1A37"/>
    <w:rsid w:val="00AC1B62"/>
    <w:rsid w:val="00AC1BB0"/>
    <w:rsid w:val="00AC235A"/>
    <w:rsid w:val="00AC240C"/>
    <w:rsid w:val="00AC2787"/>
    <w:rsid w:val="00AC2C05"/>
    <w:rsid w:val="00AC2F27"/>
    <w:rsid w:val="00AC3A69"/>
    <w:rsid w:val="00AC3C77"/>
    <w:rsid w:val="00AC413F"/>
    <w:rsid w:val="00AC4CB1"/>
    <w:rsid w:val="00AC4CF4"/>
    <w:rsid w:val="00AC4D2C"/>
    <w:rsid w:val="00AC4EDC"/>
    <w:rsid w:val="00AC4F77"/>
    <w:rsid w:val="00AC547A"/>
    <w:rsid w:val="00AC56DC"/>
    <w:rsid w:val="00AC592D"/>
    <w:rsid w:val="00AC59E6"/>
    <w:rsid w:val="00AC5C2B"/>
    <w:rsid w:val="00AC5EE5"/>
    <w:rsid w:val="00AC63E2"/>
    <w:rsid w:val="00AC64F5"/>
    <w:rsid w:val="00AC6518"/>
    <w:rsid w:val="00AC654E"/>
    <w:rsid w:val="00AC656C"/>
    <w:rsid w:val="00AC6759"/>
    <w:rsid w:val="00AC67F2"/>
    <w:rsid w:val="00AC6843"/>
    <w:rsid w:val="00AC690A"/>
    <w:rsid w:val="00AC6D0C"/>
    <w:rsid w:val="00AC6F9B"/>
    <w:rsid w:val="00AC75C0"/>
    <w:rsid w:val="00AD04DC"/>
    <w:rsid w:val="00AD0612"/>
    <w:rsid w:val="00AD0885"/>
    <w:rsid w:val="00AD0C36"/>
    <w:rsid w:val="00AD0CDE"/>
    <w:rsid w:val="00AD0F84"/>
    <w:rsid w:val="00AD1203"/>
    <w:rsid w:val="00AD1219"/>
    <w:rsid w:val="00AD13D2"/>
    <w:rsid w:val="00AD1482"/>
    <w:rsid w:val="00AD159E"/>
    <w:rsid w:val="00AD186D"/>
    <w:rsid w:val="00AD1EE3"/>
    <w:rsid w:val="00AD212F"/>
    <w:rsid w:val="00AD21C4"/>
    <w:rsid w:val="00AD24F5"/>
    <w:rsid w:val="00AD2628"/>
    <w:rsid w:val="00AD293E"/>
    <w:rsid w:val="00AD29B5"/>
    <w:rsid w:val="00AD2D31"/>
    <w:rsid w:val="00AD306A"/>
    <w:rsid w:val="00AD32B3"/>
    <w:rsid w:val="00AD34A1"/>
    <w:rsid w:val="00AD3D6E"/>
    <w:rsid w:val="00AD409D"/>
    <w:rsid w:val="00AD4124"/>
    <w:rsid w:val="00AD4781"/>
    <w:rsid w:val="00AD4842"/>
    <w:rsid w:val="00AD4BEE"/>
    <w:rsid w:val="00AD5127"/>
    <w:rsid w:val="00AD5728"/>
    <w:rsid w:val="00AD590E"/>
    <w:rsid w:val="00AD5D0C"/>
    <w:rsid w:val="00AD5DA6"/>
    <w:rsid w:val="00AD651D"/>
    <w:rsid w:val="00AD6BA4"/>
    <w:rsid w:val="00AD6C1D"/>
    <w:rsid w:val="00AD6E9A"/>
    <w:rsid w:val="00AD6EC1"/>
    <w:rsid w:val="00AD6FB4"/>
    <w:rsid w:val="00AD7036"/>
    <w:rsid w:val="00AD71B2"/>
    <w:rsid w:val="00AD747C"/>
    <w:rsid w:val="00AD7581"/>
    <w:rsid w:val="00AD7A32"/>
    <w:rsid w:val="00AD7CFE"/>
    <w:rsid w:val="00AD7F6F"/>
    <w:rsid w:val="00AE0195"/>
    <w:rsid w:val="00AE0389"/>
    <w:rsid w:val="00AE0434"/>
    <w:rsid w:val="00AE0A8E"/>
    <w:rsid w:val="00AE100F"/>
    <w:rsid w:val="00AE101B"/>
    <w:rsid w:val="00AE10AE"/>
    <w:rsid w:val="00AE1243"/>
    <w:rsid w:val="00AE1791"/>
    <w:rsid w:val="00AE1A3D"/>
    <w:rsid w:val="00AE1B5E"/>
    <w:rsid w:val="00AE2314"/>
    <w:rsid w:val="00AE2336"/>
    <w:rsid w:val="00AE2458"/>
    <w:rsid w:val="00AE250E"/>
    <w:rsid w:val="00AE25DA"/>
    <w:rsid w:val="00AE2786"/>
    <w:rsid w:val="00AE279B"/>
    <w:rsid w:val="00AE2BD3"/>
    <w:rsid w:val="00AE30DD"/>
    <w:rsid w:val="00AE3113"/>
    <w:rsid w:val="00AE318C"/>
    <w:rsid w:val="00AE32E0"/>
    <w:rsid w:val="00AE3EC2"/>
    <w:rsid w:val="00AE4201"/>
    <w:rsid w:val="00AE461F"/>
    <w:rsid w:val="00AE4668"/>
    <w:rsid w:val="00AE48BE"/>
    <w:rsid w:val="00AE4953"/>
    <w:rsid w:val="00AE4AFB"/>
    <w:rsid w:val="00AE4E0B"/>
    <w:rsid w:val="00AE4E30"/>
    <w:rsid w:val="00AE4FAA"/>
    <w:rsid w:val="00AE504E"/>
    <w:rsid w:val="00AE549C"/>
    <w:rsid w:val="00AE56D2"/>
    <w:rsid w:val="00AE5A0C"/>
    <w:rsid w:val="00AE5AA7"/>
    <w:rsid w:val="00AE5B3F"/>
    <w:rsid w:val="00AE5DA9"/>
    <w:rsid w:val="00AE5F3B"/>
    <w:rsid w:val="00AE5F95"/>
    <w:rsid w:val="00AE6139"/>
    <w:rsid w:val="00AE6246"/>
    <w:rsid w:val="00AE635C"/>
    <w:rsid w:val="00AE66F7"/>
    <w:rsid w:val="00AE67B8"/>
    <w:rsid w:val="00AE67DC"/>
    <w:rsid w:val="00AE6856"/>
    <w:rsid w:val="00AE6867"/>
    <w:rsid w:val="00AE6CB6"/>
    <w:rsid w:val="00AE7011"/>
    <w:rsid w:val="00AE73AB"/>
    <w:rsid w:val="00AE7720"/>
    <w:rsid w:val="00AE7843"/>
    <w:rsid w:val="00AE7A43"/>
    <w:rsid w:val="00AE7A4B"/>
    <w:rsid w:val="00AE7ABD"/>
    <w:rsid w:val="00AE7ECD"/>
    <w:rsid w:val="00AF00EF"/>
    <w:rsid w:val="00AF0633"/>
    <w:rsid w:val="00AF080B"/>
    <w:rsid w:val="00AF0816"/>
    <w:rsid w:val="00AF0D20"/>
    <w:rsid w:val="00AF0F4E"/>
    <w:rsid w:val="00AF12B2"/>
    <w:rsid w:val="00AF12F9"/>
    <w:rsid w:val="00AF134D"/>
    <w:rsid w:val="00AF14EA"/>
    <w:rsid w:val="00AF159E"/>
    <w:rsid w:val="00AF189A"/>
    <w:rsid w:val="00AF198D"/>
    <w:rsid w:val="00AF1A1F"/>
    <w:rsid w:val="00AF1AEB"/>
    <w:rsid w:val="00AF1BCC"/>
    <w:rsid w:val="00AF1DFE"/>
    <w:rsid w:val="00AF1E84"/>
    <w:rsid w:val="00AF237B"/>
    <w:rsid w:val="00AF2384"/>
    <w:rsid w:val="00AF2488"/>
    <w:rsid w:val="00AF2794"/>
    <w:rsid w:val="00AF279B"/>
    <w:rsid w:val="00AF2B3A"/>
    <w:rsid w:val="00AF2E09"/>
    <w:rsid w:val="00AF2E35"/>
    <w:rsid w:val="00AF2F66"/>
    <w:rsid w:val="00AF322C"/>
    <w:rsid w:val="00AF3390"/>
    <w:rsid w:val="00AF33CC"/>
    <w:rsid w:val="00AF35EC"/>
    <w:rsid w:val="00AF3875"/>
    <w:rsid w:val="00AF3BF4"/>
    <w:rsid w:val="00AF3C9A"/>
    <w:rsid w:val="00AF3CA5"/>
    <w:rsid w:val="00AF3F74"/>
    <w:rsid w:val="00AF40F1"/>
    <w:rsid w:val="00AF4109"/>
    <w:rsid w:val="00AF436B"/>
    <w:rsid w:val="00AF43A5"/>
    <w:rsid w:val="00AF4542"/>
    <w:rsid w:val="00AF4FF7"/>
    <w:rsid w:val="00AF5149"/>
    <w:rsid w:val="00AF51B7"/>
    <w:rsid w:val="00AF53C8"/>
    <w:rsid w:val="00AF574C"/>
    <w:rsid w:val="00AF5788"/>
    <w:rsid w:val="00AF5795"/>
    <w:rsid w:val="00AF5C53"/>
    <w:rsid w:val="00AF5F8B"/>
    <w:rsid w:val="00AF61FE"/>
    <w:rsid w:val="00AF6680"/>
    <w:rsid w:val="00AF6791"/>
    <w:rsid w:val="00AF6798"/>
    <w:rsid w:val="00AF703C"/>
    <w:rsid w:val="00AF737D"/>
    <w:rsid w:val="00AF75C8"/>
    <w:rsid w:val="00AF7605"/>
    <w:rsid w:val="00AF76F4"/>
    <w:rsid w:val="00AF78B4"/>
    <w:rsid w:val="00AF7CF1"/>
    <w:rsid w:val="00AF7D81"/>
    <w:rsid w:val="00AF7DB6"/>
    <w:rsid w:val="00AF7EFF"/>
    <w:rsid w:val="00B00071"/>
    <w:rsid w:val="00B005EB"/>
    <w:rsid w:val="00B008C6"/>
    <w:rsid w:val="00B00916"/>
    <w:rsid w:val="00B00D35"/>
    <w:rsid w:val="00B00F94"/>
    <w:rsid w:val="00B01509"/>
    <w:rsid w:val="00B016AC"/>
    <w:rsid w:val="00B017D2"/>
    <w:rsid w:val="00B02194"/>
    <w:rsid w:val="00B0231F"/>
    <w:rsid w:val="00B024BC"/>
    <w:rsid w:val="00B0282C"/>
    <w:rsid w:val="00B029F4"/>
    <w:rsid w:val="00B02D56"/>
    <w:rsid w:val="00B02DB2"/>
    <w:rsid w:val="00B0344B"/>
    <w:rsid w:val="00B035F2"/>
    <w:rsid w:val="00B03675"/>
    <w:rsid w:val="00B03924"/>
    <w:rsid w:val="00B03EC1"/>
    <w:rsid w:val="00B03F9B"/>
    <w:rsid w:val="00B0400F"/>
    <w:rsid w:val="00B042FA"/>
    <w:rsid w:val="00B044AB"/>
    <w:rsid w:val="00B0459C"/>
    <w:rsid w:val="00B04B5C"/>
    <w:rsid w:val="00B04FA4"/>
    <w:rsid w:val="00B052B4"/>
    <w:rsid w:val="00B0555F"/>
    <w:rsid w:val="00B0561E"/>
    <w:rsid w:val="00B05CBC"/>
    <w:rsid w:val="00B05DD9"/>
    <w:rsid w:val="00B0631A"/>
    <w:rsid w:val="00B06E10"/>
    <w:rsid w:val="00B07249"/>
    <w:rsid w:val="00B0771D"/>
    <w:rsid w:val="00B0772B"/>
    <w:rsid w:val="00B079A5"/>
    <w:rsid w:val="00B07A43"/>
    <w:rsid w:val="00B07ADD"/>
    <w:rsid w:val="00B07BBA"/>
    <w:rsid w:val="00B102B2"/>
    <w:rsid w:val="00B10412"/>
    <w:rsid w:val="00B10674"/>
    <w:rsid w:val="00B107AA"/>
    <w:rsid w:val="00B10E2A"/>
    <w:rsid w:val="00B114C2"/>
    <w:rsid w:val="00B11550"/>
    <w:rsid w:val="00B116BC"/>
    <w:rsid w:val="00B1170C"/>
    <w:rsid w:val="00B11868"/>
    <w:rsid w:val="00B1192A"/>
    <w:rsid w:val="00B11B56"/>
    <w:rsid w:val="00B12112"/>
    <w:rsid w:val="00B1231B"/>
    <w:rsid w:val="00B12871"/>
    <w:rsid w:val="00B12BD3"/>
    <w:rsid w:val="00B12DB2"/>
    <w:rsid w:val="00B13402"/>
    <w:rsid w:val="00B13511"/>
    <w:rsid w:val="00B13E63"/>
    <w:rsid w:val="00B13EBB"/>
    <w:rsid w:val="00B14220"/>
    <w:rsid w:val="00B144A7"/>
    <w:rsid w:val="00B14B0A"/>
    <w:rsid w:val="00B14C93"/>
    <w:rsid w:val="00B14D70"/>
    <w:rsid w:val="00B14DFB"/>
    <w:rsid w:val="00B14E2D"/>
    <w:rsid w:val="00B1512E"/>
    <w:rsid w:val="00B15205"/>
    <w:rsid w:val="00B152C0"/>
    <w:rsid w:val="00B15321"/>
    <w:rsid w:val="00B154D1"/>
    <w:rsid w:val="00B156C6"/>
    <w:rsid w:val="00B15C0F"/>
    <w:rsid w:val="00B1609F"/>
    <w:rsid w:val="00B16166"/>
    <w:rsid w:val="00B1633D"/>
    <w:rsid w:val="00B1671D"/>
    <w:rsid w:val="00B16904"/>
    <w:rsid w:val="00B16A78"/>
    <w:rsid w:val="00B16C07"/>
    <w:rsid w:val="00B16DAF"/>
    <w:rsid w:val="00B16E53"/>
    <w:rsid w:val="00B16E59"/>
    <w:rsid w:val="00B16EA7"/>
    <w:rsid w:val="00B16ED7"/>
    <w:rsid w:val="00B1715B"/>
    <w:rsid w:val="00B1719B"/>
    <w:rsid w:val="00B172A8"/>
    <w:rsid w:val="00B174BB"/>
    <w:rsid w:val="00B174BD"/>
    <w:rsid w:val="00B174D2"/>
    <w:rsid w:val="00B17C4E"/>
    <w:rsid w:val="00B17FA8"/>
    <w:rsid w:val="00B20219"/>
    <w:rsid w:val="00B20713"/>
    <w:rsid w:val="00B20807"/>
    <w:rsid w:val="00B20822"/>
    <w:rsid w:val="00B20898"/>
    <w:rsid w:val="00B209F0"/>
    <w:rsid w:val="00B20B5E"/>
    <w:rsid w:val="00B20BAC"/>
    <w:rsid w:val="00B20BE2"/>
    <w:rsid w:val="00B210E5"/>
    <w:rsid w:val="00B213AA"/>
    <w:rsid w:val="00B21B03"/>
    <w:rsid w:val="00B21B09"/>
    <w:rsid w:val="00B21B85"/>
    <w:rsid w:val="00B21D22"/>
    <w:rsid w:val="00B21FCD"/>
    <w:rsid w:val="00B2206A"/>
    <w:rsid w:val="00B222C8"/>
    <w:rsid w:val="00B224C0"/>
    <w:rsid w:val="00B2263F"/>
    <w:rsid w:val="00B22C3A"/>
    <w:rsid w:val="00B22F35"/>
    <w:rsid w:val="00B2338C"/>
    <w:rsid w:val="00B23577"/>
    <w:rsid w:val="00B23C6A"/>
    <w:rsid w:val="00B23F85"/>
    <w:rsid w:val="00B23F9F"/>
    <w:rsid w:val="00B24005"/>
    <w:rsid w:val="00B2400F"/>
    <w:rsid w:val="00B24777"/>
    <w:rsid w:val="00B24796"/>
    <w:rsid w:val="00B24A06"/>
    <w:rsid w:val="00B24A6D"/>
    <w:rsid w:val="00B24A7E"/>
    <w:rsid w:val="00B24CC7"/>
    <w:rsid w:val="00B2536C"/>
    <w:rsid w:val="00B2563E"/>
    <w:rsid w:val="00B25667"/>
    <w:rsid w:val="00B25777"/>
    <w:rsid w:val="00B258A2"/>
    <w:rsid w:val="00B25B40"/>
    <w:rsid w:val="00B25FB5"/>
    <w:rsid w:val="00B261B7"/>
    <w:rsid w:val="00B26261"/>
    <w:rsid w:val="00B262E1"/>
    <w:rsid w:val="00B262FD"/>
    <w:rsid w:val="00B2679E"/>
    <w:rsid w:val="00B2684B"/>
    <w:rsid w:val="00B26CDB"/>
    <w:rsid w:val="00B27042"/>
    <w:rsid w:val="00B27106"/>
    <w:rsid w:val="00B27177"/>
    <w:rsid w:val="00B27C09"/>
    <w:rsid w:val="00B27D17"/>
    <w:rsid w:val="00B27D35"/>
    <w:rsid w:val="00B27DDA"/>
    <w:rsid w:val="00B30184"/>
    <w:rsid w:val="00B30799"/>
    <w:rsid w:val="00B307A4"/>
    <w:rsid w:val="00B3093E"/>
    <w:rsid w:val="00B309AD"/>
    <w:rsid w:val="00B30A0C"/>
    <w:rsid w:val="00B30A33"/>
    <w:rsid w:val="00B315F4"/>
    <w:rsid w:val="00B3185B"/>
    <w:rsid w:val="00B31D34"/>
    <w:rsid w:val="00B31D88"/>
    <w:rsid w:val="00B31E3E"/>
    <w:rsid w:val="00B32001"/>
    <w:rsid w:val="00B32342"/>
    <w:rsid w:val="00B32706"/>
    <w:rsid w:val="00B32935"/>
    <w:rsid w:val="00B32B35"/>
    <w:rsid w:val="00B32B40"/>
    <w:rsid w:val="00B32C52"/>
    <w:rsid w:val="00B32D1E"/>
    <w:rsid w:val="00B32D66"/>
    <w:rsid w:val="00B33095"/>
    <w:rsid w:val="00B330CF"/>
    <w:rsid w:val="00B3324C"/>
    <w:rsid w:val="00B3324F"/>
    <w:rsid w:val="00B33921"/>
    <w:rsid w:val="00B33DE5"/>
    <w:rsid w:val="00B3400F"/>
    <w:rsid w:val="00B34151"/>
    <w:rsid w:val="00B3433A"/>
    <w:rsid w:val="00B34886"/>
    <w:rsid w:val="00B34AC7"/>
    <w:rsid w:val="00B34B77"/>
    <w:rsid w:val="00B34BA4"/>
    <w:rsid w:val="00B34C35"/>
    <w:rsid w:val="00B34D85"/>
    <w:rsid w:val="00B34FDF"/>
    <w:rsid w:val="00B35168"/>
    <w:rsid w:val="00B351DC"/>
    <w:rsid w:val="00B3542C"/>
    <w:rsid w:val="00B3546E"/>
    <w:rsid w:val="00B354FB"/>
    <w:rsid w:val="00B359E6"/>
    <w:rsid w:val="00B35E68"/>
    <w:rsid w:val="00B36820"/>
    <w:rsid w:val="00B36E5B"/>
    <w:rsid w:val="00B36FAC"/>
    <w:rsid w:val="00B36FD4"/>
    <w:rsid w:val="00B37481"/>
    <w:rsid w:val="00B37832"/>
    <w:rsid w:val="00B37C1A"/>
    <w:rsid w:val="00B400E8"/>
    <w:rsid w:val="00B40164"/>
    <w:rsid w:val="00B4066A"/>
    <w:rsid w:val="00B40B9F"/>
    <w:rsid w:val="00B40C92"/>
    <w:rsid w:val="00B40CC9"/>
    <w:rsid w:val="00B40CEB"/>
    <w:rsid w:val="00B40F24"/>
    <w:rsid w:val="00B40F38"/>
    <w:rsid w:val="00B412AC"/>
    <w:rsid w:val="00B41503"/>
    <w:rsid w:val="00B41565"/>
    <w:rsid w:val="00B41910"/>
    <w:rsid w:val="00B41A04"/>
    <w:rsid w:val="00B41C57"/>
    <w:rsid w:val="00B41E24"/>
    <w:rsid w:val="00B4203A"/>
    <w:rsid w:val="00B4224E"/>
    <w:rsid w:val="00B4234F"/>
    <w:rsid w:val="00B42563"/>
    <w:rsid w:val="00B42851"/>
    <w:rsid w:val="00B42878"/>
    <w:rsid w:val="00B4303F"/>
    <w:rsid w:val="00B434ED"/>
    <w:rsid w:val="00B435B3"/>
    <w:rsid w:val="00B4392B"/>
    <w:rsid w:val="00B43DFB"/>
    <w:rsid w:val="00B44011"/>
    <w:rsid w:val="00B4415F"/>
    <w:rsid w:val="00B44497"/>
    <w:rsid w:val="00B44AFA"/>
    <w:rsid w:val="00B44C23"/>
    <w:rsid w:val="00B44D13"/>
    <w:rsid w:val="00B44D86"/>
    <w:rsid w:val="00B45138"/>
    <w:rsid w:val="00B45661"/>
    <w:rsid w:val="00B456E4"/>
    <w:rsid w:val="00B45870"/>
    <w:rsid w:val="00B4589A"/>
    <w:rsid w:val="00B45A01"/>
    <w:rsid w:val="00B45AE2"/>
    <w:rsid w:val="00B45D09"/>
    <w:rsid w:val="00B460A5"/>
    <w:rsid w:val="00B464C7"/>
    <w:rsid w:val="00B466B5"/>
    <w:rsid w:val="00B466E5"/>
    <w:rsid w:val="00B46996"/>
    <w:rsid w:val="00B469B6"/>
    <w:rsid w:val="00B46BEE"/>
    <w:rsid w:val="00B46D96"/>
    <w:rsid w:val="00B46ED8"/>
    <w:rsid w:val="00B4730E"/>
    <w:rsid w:val="00B47397"/>
    <w:rsid w:val="00B47675"/>
    <w:rsid w:val="00B47A09"/>
    <w:rsid w:val="00B47ABD"/>
    <w:rsid w:val="00B47EDE"/>
    <w:rsid w:val="00B503DC"/>
    <w:rsid w:val="00B50DB8"/>
    <w:rsid w:val="00B50E9F"/>
    <w:rsid w:val="00B51364"/>
    <w:rsid w:val="00B514F9"/>
    <w:rsid w:val="00B51781"/>
    <w:rsid w:val="00B51787"/>
    <w:rsid w:val="00B51A0B"/>
    <w:rsid w:val="00B51A6E"/>
    <w:rsid w:val="00B51C68"/>
    <w:rsid w:val="00B51DB9"/>
    <w:rsid w:val="00B52216"/>
    <w:rsid w:val="00B52850"/>
    <w:rsid w:val="00B52D11"/>
    <w:rsid w:val="00B52D7E"/>
    <w:rsid w:val="00B52ED5"/>
    <w:rsid w:val="00B53164"/>
    <w:rsid w:val="00B534B2"/>
    <w:rsid w:val="00B5387E"/>
    <w:rsid w:val="00B53905"/>
    <w:rsid w:val="00B5399C"/>
    <w:rsid w:val="00B53ABA"/>
    <w:rsid w:val="00B53B42"/>
    <w:rsid w:val="00B543C7"/>
    <w:rsid w:val="00B54625"/>
    <w:rsid w:val="00B547E4"/>
    <w:rsid w:val="00B5491F"/>
    <w:rsid w:val="00B54B5B"/>
    <w:rsid w:val="00B54C4F"/>
    <w:rsid w:val="00B54E1E"/>
    <w:rsid w:val="00B54EE9"/>
    <w:rsid w:val="00B5528B"/>
    <w:rsid w:val="00B5562E"/>
    <w:rsid w:val="00B55639"/>
    <w:rsid w:val="00B557B8"/>
    <w:rsid w:val="00B55899"/>
    <w:rsid w:val="00B55E2F"/>
    <w:rsid w:val="00B55F3D"/>
    <w:rsid w:val="00B56415"/>
    <w:rsid w:val="00B565CA"/>
    <w:rsid w:val="00B56A1F"/>
    <w:rsid w:val="00B56BC2"/>
    <w:rsid w:val="00B56BEC"/>
    <w:rsid w:val="00B56D4F"/>
    <w:rsid w:val="00B57000"/>
    <w:rsid w:val="00B5721F"/>
    <w:rsid w:val="00B572B4"/>
    <w:rsid w:val="00B573C4"/>
    <w:rsid w:val="00B57CE3"/>
    <w:rsid w:val="00B57D8B"/>
    <w:rsid w:val="00B602A6"/>
    <w:rsid w:val="00B604CD"/>
    <w:rsid w:val="00B604FF"/>
    <w:rsid w:val="00B6068F"/>
    <w:rsid w:val="00B60939"/>
    <w:rsid w:val="00B60953"/>
    <w:rsid w:val="00B60AFD"/>
    <w:rsid w:val="00B60C96"/>
    <w:rsid w:val="00B60D9D"/>
    <w:rsid w:val="00B60FEA"/>
    <w:rsid w:val="00B61071"/>
    <w:rsid w:val="00B61192"/>
    <w:rsid w:val="00B611AC"/>
    <w:rsid w:val="00B6171D"/>
    <w:rsid w:val="00B61B53"/>
    <w:rsid w:val="00B61C83"/>
    <w:rsid w:val="00B620B1"/>
    <w:rsid w:val="00B621B2"/>
    <w:rsid w:val="00B62341"/>
    <w:rsid w:val="00B6252C"/>
    <w:rsid w:val="00B62715"/>
    <w:rsid w:val="00B62906"/>
    <w:rsid w:val="00B62938"/>
    <w:rsid w:val="00B631B6"/>
    <w:rsid w:val="00B63485"/>
    <w:rsid w:val="00B63741"/>
    <w:rsid w:val="00B639DC"/>
    <w:rsid w:val="00B63A7C"/>
    <w:rsid w:val="00B63AB0"/>
    <w:rsid w:val="00B640ED"/>
    <w:rsid w:val="00B64643"/>
    <w:rsid w:val="00B648A4"/>
    <w:rsid w:val="00B64EE9"/>
    <w:rsid w:val="00B651A6"/>
    <w:rsid w:val="00B656A4"/>
    <w:rsid w:val="00B6592D"/>
    <w:rsid w:val="00B65EBC"/>
    <w:rsid w:val="00B66460"/>
    <w:rsid w:val="00B664FF"/>
    <w:rsid w:val="00B66AF7"/>
    <w:rsid w:val="00B66BE7"/>
    <w:rsid w:val="00B66CC2"/>
    <w:rsid w:val="00B66F19"/>
    <w:rsid w:val="00B670D1"/>
    <w:rsid w:val="00B675DE"/>
    <w:rsid w:val="00B675FF"/>
    <w:rsid w:val="00B67748"/>
    <w:rsid w:val="00B67892"/>
    <w:rsid w:val="00B67E26"/>
    <w:rsid w:val="00B67EE8"/>
    <w:rsid w:val="00B67F35"/>
    <w:rsid w:val="00B70039"/>
    <w:rsid w:val="00B7027C"/>
    <w:rsid w:val="00B70ACD"/>
    <w:rsid w:val="00B70C4D"/>
    <w:rsid w:val="00B70D38"/>
    <w:rsid w:val="00B70FA4"/>
    <w:rsid w:val="00B70FFB"/>
    <w:rsid w:val="00B710F9"/>
    <w:rsid w:val="00B71161"/>
    <w:rsid w:val="00B713E0"/>
    <w:rsid w:val="00B71525"/>
    <w:rsid w:val="00B71739"/>
    <w:rsid w:val="00B71ABF"/>
    <w:rsid w:val="00B71F7F"/>
    <w:rsid w:val="00B72032"/>
    <w:rsid w:val="00B720ED"/>
    <w:rsid w:val="00B7221C"/>
    <w:rsid w:val="00B724D5"/>
    <w:rsid w:val="00B72566"/>
    <w:rsid w:val="00B72629"/>
    <w:rsid w:val="00B72C64"/>
    <w:rsid w:val="00B72D28"/>
    <w:rsid w:val="00B72FAB"/>
    <w:rsid w:val="00B734DA"/>
    <w:rsid w:val="00B73994"/>
    <w:rsid w:val="00B73A14"/>
    <w:rsid w:val="00B73C6C"/>
    <w:rsid w:val="00B73D47"/>
    <w:rsid w:val="00B7431F"/>
    <w:rsid w:val="00B74586"/>
    <w:rsid w:val="00B74632"/>
    <w:rsid w:val="00B7568F"/>
    <w:rsid w:val="00B75A0F"/>
    <w:rsid w:val="00B75A78"/>
    <w:rsid w:val="00B75D39"/>
    <w:rsid w:val="00B76073"/>
    <w:rsid w:val="00B761A3"/>
    <w:rsid w:val="00B76582"/>
    <w:rsid w:val="00B76640"/>
    <w:rsid w:val="00B76F30"/>
    <w:rsid w:val="00B777A2"/>
    <w:rsid w:val="00B77A70"/>
    <w:rsid w:val="00B80462"/>
    <w:rsid w:val="00B804DB"/>
    <w:rsid w:val="00B8078F"/>
    <w:rsid w:val="00B808BE"/>
    <w:rsid w:val="00B80BD8"/>
    <w:rsid w:val="00B80F56"/>
    <w:rsid w:val="00B81137"/>
    <w:rsid w:val="00B818A4"/>
    <w:rsid w:val="00B81A14"/>
    <w:rsid w:val="00B81CDD"/>
    <w:rsid w:val="00B81D05"/>
    <w:rsid w:val="00B81F95"/>
    <w:rsid w:val="00B82E3D"/>
    <w:rsid w:val="00B82F08"/>
    <w:rsid w:val="00B82F6A"/>
    <w:rsid w:val="00B83103"/>
    <w:rsid w:val="00B832C6"/>
    <w:rsid w:val="00B832E2"/>
    <w:rsid w:val="00B83512"/>
    <w:rsid w:val="00B83629"/>
    <w:rsid w:val="00B83759"/>
    <w:rsid w:val="00B838F4"/>
    <w:rsid w:val="00B83C2C"/>
    <w:rsid w:val="00B83F88"/>
    <w:rsid w:val="00B844A1"/>
    <w:rsid w:val="00B845CE"/>
    <w:rsid w:val="00B84C79"/>
    <w:rsid w:val="00B84CDB"/>
    <w:rsid w:val="00B84FE1"/>
    <w:rsid w:val="00B8503E"/>
    <w:rsid w:val="00B859EB"/>
    <w:rsid w:val="00B85A61"/>
    <w:rsid w:val="00B85F6B"/>
    <w:rsid w:val="00B86143"/>
    <w:rsid w:val="00B862C2"/>
    <w:rsid w:val="00B8649C"/>
    <w:rsid w:val="00B86819"/>
    <w:rsid w:val="00B868F0"/>
    <w:rsid w:val="00B86A9A"/>
    <w:rsid w:val="00B86FCF"/>
    <w:rsid w:val="00B878A7"/>
    <w:rsid w:val="00B87A07"/>
    <w:rsid w:val="00B87B63"/>
    <w:rsid w:val="00B87E2D"/>
    <w:rsid w:val="00B87E42"/>
    <w:rsid w:val="00B90149"/>
    <w:rsid w:val="00B9020A"/>
    <w:rsid w:val="00B9025B"/>
    <w:rsid w:val="00B9038E"/>
    <w:rsid w:val="00B904DA"/>
    <w:rsid w:val="00B90C88"/>
    <w:rsid w:val="00B9132E"/>
    <w:rsid w:val="00B915BC"/>
    <w:rsid w:val="00B918F1"/>
    <w:rsid w:val="00B91A2A"/>
    <w:rsid w:val="00B91B81"/>
    <w:rsid w:val="00B91D8C"/>
    <w:rsid w:val="00B923D3"/>
    <w:rsid w:val="00B92663"/>
    <w:rsid w:val="00B9271E"/>
    <w:rsid w:val="00B929EC"/>
    <w:rsid w:val="00B92D0B"/>
    <w:rsid w:val="00B92DE2"/>
    <w:rsid w:val="00B9311C"/>
    <w:rsid w:val="00B936F9"/>
    <w:rsid w:val="00B93963"/>
    <w:rsid w:val="00B93968"/>
    <w:rsid w:val="00B93D57"/>
    <w:rsid w:val="00B941A3"/>
    <w:rsid w:val="00B94945"/>
    <w:rsid w:val="00B9497C"/>
    <w:rsid w:val="00B94B0C"/>
    <w:rsid w:val="00B94C26"/>
    <w:rsid w:val="00B94D1F"/>
    <w:rsid w:val="00B94DE1"/>
    <w:rsid w:val="00B950BB"/>
    <w:rsid w:val="00B95753"/>
    <w:rsid w:val="00B957C4"/>
    <w:rsid w:val="00B95A67"/>
    <w:rsid w:val="00B95F30"/>
    <w:rsid w:val="00B95FEA"/>
    <w:rsid w:val="00B964E9"/>
    <w:rsid w:val="00B965E3"/>
    <w:rsid w:val="00B968AA"/>
    <w:rsid w:val="00B96916"/>
    <w:rsid w:val="00B96A66"/>
    <w:rsid w:val="00B96AE9"/>
    <w:rsid w:val="00B96C37"/>
    <w:rsid w:val="00B96EE5"/>
    <w:rsid w:val="00B97133"/>
    <w:rsid w:val="00B973F6"/>
    <w:rsid w:val="00B975FE"/>
    <w:rsid w:val="00B97943"/>
    <w:rsid w:val="00BA0126"/>
    <w:rsid w:val="00BA0600"/>
    <w:rsid w:val="00BA0B78"/>
    <w:rsid w:val="00BA0F54"/>
    <w:rsid w:val="00BA10E4"/>
    <w:rsid w:val="00BA1460"/>
    <w:rsid w:val="00BA154B"/>
    <w:rsid w:val="00BA1622"/>
    <w:rsid w:val="00BA1B78"/>
    <w:rsid w:val="00BA1BAD"/>
    <w:rsid w:val="00BA1CCE"/>
    <w:rsid w:val="00BA1F67"/>
    <w:rsid w:val="00BA2332"/>
    <w:rsid w:val="00BA296D"/>
    <w:rsid w:val="00BA2B67"/>
    <w:rsid w:val="00BA2DBA"/>
    <w:rsid w:val="00BA3402"/>
    <w:rsid w:val="00BA36F2"/>
    <w:rsid w:val="00BA3A18"/>
    <w:rsid w:val="00BA3DBB"/>
    <w:rsid w:val="00BA42AF"/>
    <w:rsid w:val="00BA437D"/>
    <w:rsid w:val="00BA438A"/>
    <w:rsid w:val="00BA44CF"/>
    <w:rsid w:val="00BA451D"/>
    <w:rsid w:val="00BA4664"/>
    <w:rsid w:val="00BA46A3"/>
    <w:rsid w:val="00BA46E6"/>
    <w:rsid w:val="00BA49B5"/>
    <w:rsid w:val="00BA50CC"/>
    <w:rsid w:val="00BA50D0"/>
    <w:rsid w:val="00BA5128"/>
    <w:rsid w:val="00BA540F"/>
    <w:rsid w:val="00BA5425"/>
    <w:rsid w:val="00BA5881"/>
    <w:rsid w:val="00BA58BC"/>
    <w:rsid w:val="00BA5C9E"/>
    <w:rsid w:val="00BA5CDF"/>
    <w:rsid w:val="00BA6B25"/>
    <w:rsid w:val="00BA703C"/>
    <w:rsid w:val="00BA713B"/>
    <w:rsid w:val="00BA7851"/>
    <w:rsid w:val="00BA797F"/>
    <w:rsid w:val="00BA7B70"/>
    <w:rsid w:val="00BA7D8D"/>
    <w:rsid w:val="00BB0469"/>
    <w:rsid w:val="00BB0981"/>
    <w:rsid w:val="00BB0989"/>
    <w:rsid w:val="00BB0B7D"/>
    <w:rsid w:val="00BB1864"/>
    <w:rsid w:val="00BB1869"/>
    <w:rsid w:val="00BB18A8"/>
    <w:rsid w:val="00BB1ADA"/>
    <w:rsid w:val="00BB1AF4"/>
    <w:rsid w:val="00BB227B"/>
    <w:rsid w:val="00BB2323"/>
    <w:rsid w:val="00BB2A44"/>
    <w:rsid w:val="00BB2BCF"/>
    <w:rsid w:val="00BB3613"/>
    <w:rsid w:val="00BB365B"/>
    <w:rsid w:val="00BB3739"/>
    <w:rsid w:val="00BB3A1A"/>
    <w:rsid w:val="00BB3B37"/>
    <w:rsid w:val="00BB3BCE"/>
    <w:rsid w:val="00BB3CB3"/>
    <w:rsid w:val="00BB3D2B"/>
    <w:rsid w:val="00BB3E94"/>
    <w:rsid w:val="00BB4B73"/>
    <w:rsid w:val="00BB4BA7"/>
    <w:rsid w:val="00BB5369"/>
    <w:rsid w:val="00BB5725"/>
    <w:rsid w:val="00BB5DC3"/>
    <w:rsid w:val="00BB60B3"/>
    <w:rsid w:val="00BB65BB"/>
    <w:rsid w:val="00BB66E0"/>
    <w:rsid w:val="00BB6ADA"/>
    <w:rsid w:val="00BB6D63"/>
    <w:rsid w:val="00BB6DCF"/>
    <w:rsid w:val="00BB6DD7"/>
    <w:rsid w:val="00BB7012"/>
    <w:rsid w:val="00BB7382"/>
    <w:rsid w:val="00BB7405"/>
    <w:rsid w:val="00BB74B5"/>
    <w:rsid w:val="00BB74C6"/>
    <w:rsid w:val="00BB7A14"/>
    <w:rsid w:val="00BB7C93"/>
    <w:rsid w:val="00BB7FCC"/>
    <w:rsid w:val="00BC027B"/>
    <w:rsid w:val="00BC0294"/>
    <w:rsid w:val="00BC0439"/>
    <w:rsid w:val="00BC0614"/>
    <w:rsid w:val="00BC06B7"/>
    <w:rsid w:val="00BC08A6"/>
    <w:rsid w:val="00BC09F5"/>
    <w:rsid w:val="00BC0B9E"/>
    <w:rsid w:val="00BC0C7D"/>
    <w:rsid w:val="00BC136C"/>
    <w:rsid w:val="00BC15F0"/>
    <w:rsid w:val="00BC1637"/>
    <w:rsid w:val="00BC18C7"/>
    <w:rsid w:val="00BC1A86"/>
    <w:rsid w:val="00BC1FBD"/>
    <w:rsid w:val="00BC2127"/>
    <w:rsid w:val="00BC2502"/>
    <w:rsid w:val="00BC2667"/>
    <w:rsid w:val="00BC26EC"/>
    <w:rsid w:val="00BC291B"/>
    <w:rsid w:val="00BC2B80"/>
    <w:rsid w:val="00BC2C7A"/>
    <w:rsid w:val="00BC2E7C"/>
    <w:rsid w:val="00BC2F66"/>
    <w:rsid w:val="00BC302D"/>
    <w:rsid w:val="00BC3398"/>
    <w:rsid w:val="00BC385C"/>
    <w:rsid w:val="00BC38EC"/>
    <w:rsid w:val="00BC3938"/>
    <w:rsid w:val="00BC3A07"/>
    <w:rsid w:val="00BC3AC9"/>
    <w:rsid w:val="00BC3C60"/>
    <w:rsid w:val="00BC3FBA"/>
    <w:rsid w:val="00BC41AB"/>
    <w:rsid w:val="00BC44DE"/>
    <w:rsid w:val="00BC44EA"/>
    <w:rsid w:val="00BC4595"/>
    <w:rsid w:val="00BC4645"/>
    <w:rsid w:val="00BC47A1"/>
    <w:rsid w:val="00BC49D6"/>
    <w:rsid w:val="00BC4B92"/>
    <w:rsid w:val="00BC4B99"/>
    <w:rsid w:val="00BC4E8A"/>
    <w:rsid w:val="00BC50BD"/>
    <w:rsid w:val="00BC5635"/>
    <w:rsid w:val="00BC5749"/>
    <w:rsid w:val="00BC5D54"/>
    <w:rsid w:val="00BC5F42"/>
    <w:rsid w:val="00BC6285"/>
    <w:rsid w:val="00BC6B1D"/>
    <w:rsid w:val="00BC6EDA"/>
    <w:rsid w:val="00BC7B04"/>
    <w:rsid w:val="00BC7BF8"/>
    <w:rsid w:val="00BC7F6D"/>
    <w:rsid w:val="00BD00AB"/>
    <w:rsid w:val="00BD00D6"/>
    <w:rsid w:val="00BD00E2"/>
    <w:rsid w:val="00BD03B0"/>
    <w:rsid w:val="00BD0938"/>
    <w:rsid w:val="00BD0A3D"/>
    <w:rsid w:val="00BD0CFE"/>
    <w:rsid w:val="00BD1278"/>
    <w:rsid w:val="00BD1362"/>
    <w:rsid w:val="00BD1377"/>
    <w:rsid w:val="00BD1386"/>
    <w:rsid w:val="00BD15C8"/>
    <w:rsid w:val="00BD1889"/>
    <w:rsid w:val="00BD1B29"/>
    <w:rsid w:val="00BD1DB7"/>
    <w:rsid w:val="00BD22A2"/>
    <w:rsid w:val="00BD2330"/>
    <w:rsid w:val="00BD29EB"/>
    <w:rsid w:val="00BD2E45"/>
    <w:rsid w:val="00BD2EDA"/>
    <w:rsid w:val="00BD3254"/>
    <w:rsid w:val="00BD3563"/>
    <w:rsid w:val="00BD3600"/>
    <w:rsid w:val="00BD3AB5"/>
    <w:rsid w:val="00BD3BAF"/>
    <w:rsid w:val="00BD3C5B"/>
    <w:rsid w:val="00BD3D29"/>
    <w:rsid w:val="00BD3DB6"/>
    <w:rsid w:val="00BD4392"/>
    <w:rsid w:val="00BD43ED"/>
    <w:rsid w:val="00BD44C4"/>
    <w:rsid w:val="00BD4AB4"/>
    <w:rsid w:val="00BD5012"/>
    <w:rsid w:val="00BD51C0"/>
    <w:rsid w:val="00BD5858"/>
    <w:rsid w:val="00BD5868"/>
    <w:rsid w:val="00BD5937"/>
    <w:rsid w:val="00BD5C00"/>
    <w:rsid w:val="00BD5D53"/>
    <w:rsid w:val="00BD5F0C"/>
    <w:rsid w:val="00BD5F0D"/>
    <w:rsid w:val="00BD5F82"/>
    <w:rsid w:val="00BD605C"/>
    <w:rsid w:val="00BD63B8"/>
    <w:rsid w:val="00BD66BD"/>
    <w:rsid w:val="00BD66FE"/>
    <w:rsid w:val="00BD67A4"/>
    <w:rsid w:val="00BD67D3"/>
    <w:rsid w:val="00BD67E6"/>
    <w:rsid w:val="00BD6A68"/>
    <w:rsid w:val="00BD6A9B"/>
    <w:rsid w:val="00BD6ABB"/>
    <w:rsid w:val="00BD6B6F"/>
    <w:rsid w:val="00BD6CBF"/>
    <w:rsid w:val="00BD6CF3"/>
    <w:rsid w:val="00BD6D7C"/>
    <w:rsid w:val="00BD6DDC"/>
    <w:rsid w:val="00BD7066"/>
    <w:rsid w:val="00BD713D"/>
    <w:rsid w:val="00BD715B"/>
    <w:rsid w:val="00BD7187"/>
    <w:rsid w:val="00BD746A"/>
    <w:rsid w:val="00BD75A5"/>
    <w:rsid w:val="00BD76B3"/>
    <w:rsid w:val="00BD7A90"/>
    <w:rsid w:val="00BE001D"/>
    <w:rsid w:val="00BE01E0"/>
    <w:rsid w:val="00BE0340"/>
    <w:rsid w:val="00BE079D"/>
    <w:rsid w:val="00BE0843"/>
    <w:rsid w:val="00BE10FC"/>
    <w:rsid w:val="00BE1294"/>
    <w:rsid w:val="00BE12B3"/>
    <w:rsid w:val="00BE1B95"/>
    <w:rsid w:val="00BE2062"/>
    <w:rsid w:val="00BE2180"/>
    <w:rsid w:val="00BE2280"/>
    <w:rsid w:val="00BE22C9"/>
    <w:rsid w:val="00BE235C"/>
    <w:rsid w:val="00BE2554"/>
    <w:rsid w:val="00BE25AB"/>
    <w:rsid w:val="00BE274F"/>
    <w:rsid w:val="00BE2878"/>
    <w:rsid w:val="00BE2918"/>
    <w:rsid w:val="00BE29BA"/>
    <w:rsid w:val="00BE2B36"/>
    <w:rsid w:val="00BE2D46"/>
    <w:rsid w:val="00BE2E65"/>
    <w:rsid w:val="00BE2FEB"/>
    <w:rsid w:val="00BE305B"/>
    <w:rsid w:val="00BE312C"/>
    <w:rsid w:val="00BE3280"/>
    <w:rsid w:val="00BE3542"/>
    <w:rsid w:val="00BE3EE4"/>
    <w:rsid w:val="00BE4094"/>
    <w:rsid w:val="00BE4275"/>
    <w:rsid w:val="00BE441A"/>
    <w:rsid w:val="00BE4648"/>
    <w:rsid w:val="00BE4985"/>
    <w:rsid w:val="00BE4DCE"/>
    <w:rsid w:val="00BE4E0A"/>
    <w:rsid w:val="00BE52B2"/>
    <w:rsid w:val="00BE5603"/>
    <w:rsid w:val="00BE58F3"/>
    <w:rsid w:val="00BE5D19"/>
    <w:rsid w:val="00BE61CE"/>
    <w:rsid w:val="00BE629A"/>
    <w:rsid w:val="00BE65E0"/>
    <w:rsid w:val="00BE6A50"/>
    <w:rsid w:val="00BE6BB6"/>
    <w:rsid w:val="00BE7701"/>
    <w:rsid w:val="00BE77C5"/>
    <w:rsid w:val="00BE7C4F"/>
    <w:rsid w:val="00BF0065"/>
    <w:rsid w:val="00BF048B"/>
    <w:rsid w:val="00BF0E3D"/>
    <w:rsid w:val="00BF160C"/>
    <w:rsid w:val="00BF1799"/>
    <w:rsid w:val="00BF1864"/>
    <w:rsid w:val="00BF1A35"/>
    <w:rsid w:val="00BF1ABD"/>
    <w:rsid w:val="00BF1C10"/>
    <w:rsid w:val="00BF1F42"/>
    <w:rsid w:val="00BF2210"/>
    <w:rsid w:val="00BF2290"/>
    <w:rsid w:val="00BF22AD"/>
    <w:rsid w:val="00BF2433"/>
    <w:rsid w:val="00BF254D"/>
    <w:rsid w:val="00BF25FC"/>
    <w:rsid w:val="00BF289D"/>
    <w:rsid w:val="00BF2C1E"/>
    <w:rsid w:val="00BF2C5B"/>
    <w:rsid w:val="00BF3154"/>
    <w:rsid w:val="00BF3351"/>
    <w:rsid w:val="00BF3983"/>
    <w:rsid w:val="00BF39FD"/>
    <w:rsid w:val="00BF448E"/>
    <w:rsid w:val="00BF45C5"/>
    <w:rsid w:val="00BF4A8E"/>
    <w:rsid w:val="00BF4FD0"/>
    <w:rsid w:val="00BF50AC"/>
    <w:rsid w:val="00BF5357"/>
    <w:rsid w:val="00BF53DB"/>
    <w:rsid w:val="00BF55CA"/>
    <w:rsid w:val="00BF5AA2"/>
    <w:rsid w:val="00BF5D0B"/>
    <w:rsid w:val="00BF6154"/>
    <w:rsid w:val="00BF61C9"/>
    <w:rsid w:val="00BF687C"/>
    <w:rsid w:val="00BF6A15"/>
    <w:rsid w:val="00BF6A6B"/>
    <w:rsid w:val="00BF6EB0"/>
    <w:rsid w:val="00BF6F9A"/>
    <w:rsid w:val="00BF7541"/>
    <w:rsid w:val="00BF7816"/>
    <w:rsid w:val="00BF7AC4"/>
    <w:rsid w:val="00C00205"/>
    <w:rsid w:val="00C003AC"/>
    <w:rsid w:val="00C00893"/>
    <w:rsid w:val="00C00A29"/>
    <w:rsid w:val="00C00D21"/>
    <w:rsid w:val="00C00FA9"/>
    <w:rsid w:val="00C01881"/>
    <w:rsid w:val="00C01AF3"/>
    <w:rsid w:val="00C01B45"/>
    <w:rsid w:val="00C021E4"/>
    <w:rsid w:val="00C02233"/>
    <w:rsid w:val="00C02EE8"/>
    <w:rsid w:val="00C02F30"/>
    <w:rsid w:val="00C030F6"/>
    <w:rsid w:val="00C03219"/>
    <w:rsid w:val="00C0373C"/>
    <w:rsid w:val="00C0397E"/>
    <w:rsid w:val="00C03A7F"/>
    <w:rsid w:val="00C03CA8"/>
    <w:rsid w:val="00C04036"/>
    <w:rsid w:val="00C04214"/>
    <w:rsid w:val="00C04444"/>
    <w:rsid w:val="00C047E1"/>
    <w:rsid w:val="00C04B23"/>
    <w:rsid w:val="00C04D48"/>
    <w:rsid w:val="00C052FA"/>
    <w:rsid w:val="00C0552E"/>
    <w:rsid w:val="00C05585"/>
    <w:rsid w:val="00C056C0"/>
    <w:rsid w:val="00C05BC3"/>
    <w:rsid w:val="00C05F25"/>
    <w:rsid w:val="00C05FBE"/>
    <w:rsid w:val="00C06019"/>
    <w:rsid w:val="00C0645F"/>
    <w:rsid w:val="00C0651B"/>
    <w:rsid w:val="00C0675A"/>
    <w:rsid w:val="00C0699C"/>
    <w:rsid w:val="00C06D1D"/>
    <w:rsid w:val="00C070F2"/>
    <w:rsid w:val="00C0713C"/>
    <w:rsid w:val="00C075C8"/>
    <w:rsid w:val="00C075F6"/>
    <w:rsid w:val="00C0761E"/>
    <w:rsid w:val="00C07815"/>
    <w:rsid w:val="00C07949"/>
    <w:rsid w:val="00C07BDE"/>
    <w:rsid w:val="00C1016B"/>
    <w:rsid w:val="00C10176"/>
    <w:rsid w:val="00C104E7"/>
    <w:rsid w:val="00C1071F"/>
    <w:rsid w:val="00C10AF1"/>
    <w:rsid w:val="00C10B53"/>
    <w:rsid w:val="00C10BF4"/>
    <w:rsid w:val="00C11894"/>
    <w:rsid w:val="00C119F1"/>
    <w:rsid w:val="00C12665"/>
    <w:rsid w:val="00C12764"/>
    <w:rsid w:val="00C127C1"/>
    <w:rsid w:val="00C12CA8"/>
    <w:rsid w:val="00C1309D"/>
    <w:rsid w:val="00C13B02"/>
    <w:rsid w:val="00C13C3F"/>
    <w:rsid w:val="00C13CD8"/>
    <w:rsid w:val="00C1404F"/>
    <w:rsid w:val="00C14155"/>
    <w:rsid w:val="00C1433A"/>
    <w:rsid w:val="00C145AA"/>
    <w:rsid w:val="00C14681"/>
    <w:rsid w:val="00C14731"/>
    <w:rsid w:val="00C148B4"/>
    <w:rsid w:val="00C153A1"/>
    <w:rsid w:val="00C157F7"/>
    <w:rsid w:val="00C158CA"/>
    <w:rsid w:val="00C15A76"/>
    <w:rsid w:val="00C165C2"/>
    <w:rsid w:val="00C16723"/>
    <w:rsid w:val="00C169FE"/>
    <w:rsid w:val="00C16CB2"/>
    <w:rsid w:val="00C16EDD"/>
    <w:rsid w:val="00C1712F"/>
    <w:rsid w:val="00C1717C"/>
    <w:rsid w:val="00C1730F"/>
    <w:rsid w:val="00C17A5B"/>
    <w:rsid w:val="00C17C78"/>
    <w:rsid w:val="00C17D2C"/>
    <w:rsid w:val="00C17F17"/>
    <w:rsid w:val="00C200D0"/>
    <w:rsid w:val="00C2028C"/>
    <w:rsid w:val="00C202FB"/>
    <w:rsid w:val="00C20545"/>
    <w:rsid w:val="00C205E0"/>
    <w:rsid w:val="00C20A7E"/>
    <w:rsid w:val="00C20EA7"/>
    <w:rsid w:val="00C20FC5"/>
    <w:rsid w:val="00C2149B"/>
    <w:rsid w:val="00C217F0"/>
    <w:rsid w:val="00C2204C"/>
    <w:rsid w:val="00C220CF"/>
    <w:rsid w:val="00C2220C"/>
    <w:rsid w:val="00C22889"/>
    <w:rsid w:val="00C22C1A"/>
    <w:rsid w:val="00C22CEF"/>
    <w:rsid w:val="00C22D0C"/>
    <w:rsid w:val="00C22D1E"/>
    <w:rsid w:val="00C22FB7"/>
    <w:rsid w:val="00C23450"/>
    <w:rsid w:val="00C23535"/>
    <w:rsid w:val="00C238B6"/>
    <w:rsid w:val="00C23907"/>
    <w:rsid w:val="00C23A66"/>
    <w:rsid w:val="00C23EF2"/>
    <w:rsid w:val="00C2404B"/>
    <w:rsid w:val="00C245EE"/>
    <w:rsid w:val="00C2487F"/>
    <w:rsid w:val="00C249E0"/>
    <w:rsid w:val="00C24C66"/>
    <w:rsid w:val="00C24C7A"/>
    <w:rsid w:val="00C24F4E"/>
    <w:rsid w:val="00C25080"/>
    <w:rsid w:val="00C251E7"/>
    <w:rsid w:val="00C25418"/>
    <w:rsid w:val="00C254D8"/>
    <w:rsid w:val="00C255E2"/>
    <w:rsid w:val="00C25805"/>
    <w:rsid w:val="00C25D9C"/>
    <w:rsid w:val="00C25DBD"/>
    <w:rsid w:val="00C263CB"/>
    <w:rsid w:val="00C26651"/>
    <w:rsid w:val="00C26D2F"/>
    <w:rsid w:val="00C26F78"/>
    <w:rsid w:val="00C27199"/>
    <w:rsid w:val="00C271C2"/>
    <w:rsid w:val="00C27488"/>
    <w:rsid w:val="00C2776E"/>
    <w:rsid w:val="00C277DA"/>
    <w:rsid w:val="00C27DAE"/>
    <w:rsid w:val="00C27DEC"/>
    <w:rsid w:val="00C30316"/>
    <w:rsid w:val="00C3051B"/>
    <w:rsid w:val="00C3073E"/>
    <w:rsid w:val="00C30905"/>
    <w:rsid w:val="00C30BB8"/>
    <w:rsid w:val="00C30D63"/>
    <w:rsid w:val="00C310A6"/>
    <w:rsid w:val="00C31174"/>
    <w:rsid w:val="00C312A5"/>
    <w:rsid w:val="00C31649"/>
    <w:rsid w:val="00C3173D"/>
    <w:rsid w:val="00C3196E"/>
    <w:rsid w:val="00C31C99"/>
    <w:rsid w:val="00C31D7A"/>
    <w:rsid w:val="00C31F27"/>
    <w:rsid w:val="00C31FFF"/>
    <w:rsid w:val="00C320FF"/>
    <w:rsid w:val="00C322E3"/>
    <w:rsid w:val="00C3231F"/>
    <w:rsid w:val="00C3259F"/>
    <w:rsid w:val="00C329C6"/>
    <w:rsid w:val="00C32E30"/>
    <w:rsid w:val="00C33128"/>
    <w:rsid w:val="00C33338"/>
    <w:rsid w:val="00C335E8"/>
    <w:rsid w:val="00C337DD"/>
    <w:rsid w:val="00C33CAE"/>
    <w:rsid w:val="00C33D00"/>
    <w:rsid w:val="00C33FAA"/>
    <w:rsid w:val="00C3456A"/>
    <w:rsid w:val="00C3486A"/>
    <w:rsid w:val="00C35033"/>
    <w:rsid w:val="00C3563D"/>
    <w:rsid w:val="00C3567C"/>
    <w:rsid w:val="00C356A5"/>
    <w:rsid w:val="00C3591A"/>
    <w:rsid w:val="00C35CDF"/>
    <w:rsid w:val="00C3611C"/>
    <w:rsid w:val="00C363E0"/>
    <w:rsid w:val="00C3690A"/>
    <w:rsid w:val="00C36941"/>
    <w:rsid w:val="00C36C42"/>
    <w:rsid w:val="00C36C83"/>
    <w:rsid w:val="00C37229"/>
    <w:rsid w:val="00C373ED"/>
    <w:rsid w:val="00C37468"/>
    <w:rsid w:val="00C376E7"/>
    <w:rsid w:val="00C377BF"/>
    <w:rsid w:val="00C37871"/>
    <w:rsid w:val="00C37907"/>
    <w:rsid w:val="00C37D74"/>
    <w:rsid w:val="00C37EF3"/>
    <w:rsid w:val="00C402AD"/>
    <w:rsid w:val="00C40385"/>
    <w:rsid w:val="00C403E6"/>
    <w:rsid w:val="00C4044C"/>
    <w:rsid w:val="00C40719"/>
    <w:rsid w:val="00C407B3"/>
    <w:rsid w:val="00C40823"/>
    <w:rsid w:val="00C408E9"/>
    <w:rsid w:val="00C40DB0"/>
    <w:rsid w:val="00C4156F"/>
    <w:rsid w:val="00C417CD"/>
    <w:rsid w:val="00C41A16"/>
    <w:rsid w:val="00C422AB"/>
    <w:rsid w:val="00C42485"/>
    <w:rsid w:val="00C425FA"/>
    <w:rsid w:val="00C426A9"/>
    <w:rsid w:val="00C427B9"/>
    <w:rsid w:val="00C427E6"/>
    <w:rsid w:val="00C42C07"/>
    <w:rsid w:val="00C431BD"/>
    <w:rsid w:val="00C43394"/>
    <w:rsid w:val="00C43792"/>
    <w:rsid w:val="00C4396E"/>
    <w:rsid w:val="00C439FF"/>
    <w:rsid w:val="00C43A4C"/>
    <w:rsid w:val="00C43BDC"/>
    <w:rsid w:val="00C43C8D"/>
    <w:rsid w:val="00C43F29"/>
    <w:rsid w:val="00C43FA2"/>
    <w:rsid w:val="00C4400D"/>
    <w:rsid w:val="00C447C5"/>
    <w:rsid w:val="00C4488D"/>
    <w:rsid w:val="00C449C5"/>
    <w:rsid w:val="00C44B4D"/>
    <w:rsid w:val="00C44E00"/>
    <w:rsid w:val="00C44E26"/>
    <w:rsid w:val="00C44EBD"/>
    <w:rsid w:val="00C452FE"/>
    <w:rsid w:val="00C45493"/>
    <w:rsid w:val="00C45874"/>
    <w:rsid w:val="00C4596E"/>
    <w:rsid w:val="00C459DE"/>
    <w:rsid w:val="00C46108"/>
    <w:rsid w:val="00C469AB"/>
    <w:rsid w:val="00C46DF1"/>
    <w:rsid w:val="00C46DF3"/>
    <w:rsid w:val="00C471AD"/>
    <w:rsid w:val="00C4792C"/>
    <w:rsid w:val="00C47A0F"/>
    <w:rsid w:val="00C47C13"/>
    <w:rsid w:val="00C47CFD"/>
    <w:rsid w:val="00C5026C"/>
    <w:rsid w:val="00C50310"/>
    <w:rsid w:val="00C50757"/>
    <w:rsid w:val="00C50995"/>
    <w:rsid w:val="00C513C1"/>
    <w:rsid w:val="00C51663"/>
    <w:rsid w:val="00C516D6"/>
    <w:rsid w:val="00C51E5C"/>
    <w:rsid w:val="00C51EEB"/>
    <w:rsid w:val="00C52080"/>
    <w:rsid w:val="00C52203"/>
    <w:rsid w:val="00C52287"/>
    <w:rsid w:val="00C525FD"/>
    <w:rsid w:val="00C5276B"/>
    <w:rsid w:val="00C52D9B"/>
    <w:rsid w:val="00C530FA"/>
    <w:rsid w:val="00C5321C"/>
    <w:rsid w:val="00C5327E"/>
    <w:rsid w:val="00C5354A"/>
    <w:rsid w:val="00C5354B"/>
    <w:rsid w:val="00C537D3"/>
    <w:rsid w:val="00C537E5"/>
    <w:rsid w:val="00C538E5"/>
    <w:rsid w:val="00C53AF1"/>
    <w:rsid w:val="00C543B4"/>
    <w:rsid w:val="00C54465"/>
    <w:rsid w:val="00C54514"/>
    <w:rsid w:val="00C54551"/>
    <w:rsid w:val="00C54690"/>
    <w:rsid w:val="00C54723"/>
    <w:rsid w:val="00C54925"/>
    <w:rsid w:val="00C54B38"/>
    <w:rsid w:val="00C54D0C"/>
    <w:rsid w:val="00C5518A"/>
    <w:rsid w:val="00C55C2A"/>
    <w:rsid w:val="00C55C5A"/>
    <w:rsid w:val="00C56271"/>
    <w:rsid w:val="00C5672A"/>
    <w:rsid w:val="00C56A46"/>
    <w:rsid w:val="00C57222"/>
    <w:rsid w:val="00C57438"/>
    <w:rsid w:val="00C5766A"/>
    <w:rsid w:val="00C576B6"/>
    <w:rsid w:val="00C57D5A"/>
    <w:rsid w:val="00C57EB0"/>
    <w:rsid w:val="00C57FD1"/>
    <w:rsid w:val="00C6003A"/>
    <w:rsid w:val="00C600F6"/>
    <w:rsid w:val="00C60469"/>
    <w:rsid w:val="00C604EE"/>
    <w:rsid w:val="00C6066F"/>
    <w:rsid w:val="00C60C87"/>
    <w:rsid w:val="00C60FB8"/>
    <w:rsid w:val="00C610DE"/>
    <w:rsid w:val="00C6119D"/>
    <w:rsid w:val="00C61224"/>
    <w:rsid w:val="00C613A5"/>
    <w:rsid w:val="00C61703"/>
    <w:rsid w:val="00C61704"/>
    <w:rsid w:val="00C619E8"/>
    <w:rsid w:val="00C61EEF"/>
    <w:rsid w:val="00C61EFD"/>
    <w:rsid w:val="00C61F65"/>
    <w:rsid w:val="00C6213D"/>
    <w:rsid w:val="00C62183"/>
    <w:rsid w:val="00C625E8"/>
    <w:rsid w:val="00C6271F"/>
    <w:rsid w:val="00C6273F"/>
    <w:rsid w:val="00C62752"/>
    <w:rsid w:val="00C6302B"/>
    <w:rsid w:val="00C63294"/>
    <w:rsid w:val="00C63372"/>
    <w:rsid w:val="00C634D4"/>
    <w:rsid w:val="00C639BB"/>
    <w:rsid w:val="00C63CAE"/>
    <w:rsid w:val="00C63F1B"/>
    <w:rsid w:val="00C64415"/>
    <w:rsid w:val="00C64494"/>
    <w:rsid w:val="00C64784"/>
    <w:rsid w:val="00C64CB4"/>
    <w:rsid w:val="00C65576"/>
    <w:rsid w:val="00C65F9D"/>
    <w:rsid w:val="00C66165"/>
    <w:rsid w:val="00C66B28"/>
    <w:rsid w:val="00C6707C"/>
    <w:rsid w:val="00C67DB7"/>
    <w:rsid w:val="00C67EB7"/>
    <w:rsid w:val="00C67F35"/>
    <w:rsid w:val="00C706C1"/>
    <w:rsid w:val="00C70F0F"/>
    <w:rsid w:val="00C71058"/>
    <w:rsid w:val="00C711BD"/>
    <w:rsid w:val="00C712A1"/>
    <w:rsid w:val="00C71339"/>
    <w:rsid w:val="00C71399"/>
    <w:rsid w:val="00C7142E"/>
    <w:rsid w:val="00C71515"/>
    <w:rsid w:val="00C718C3"/>
    <w:rsid w:val="00C71BC9"/>
    <w:rsid w:val="00C71E8E"/>
    <w:rsid w:val="00C71ED8"/>
    <w:rsid w:val="00C72166"/>
    <w:rsid w:val="00C7239B"/>
    <w:rsid w:val="00C72709"/>
    <w:rsid w:val="00C72C19"/>
    <w:rsid w:val="00C72EF2"/>
    <w:rsid w:val="00C73471"/>
    <w:rsid w:val="00C73689"/>
    <w:rsid w:val="00C73DDE"/>
    <w:rsid w:val="00C740A6"/>
    <w:rsid w:val="00C747CF"/>
    <w:rsid w:val="00C74BCB"/>
    <w:rsid w:val="00C75081"/>
    <w:rsid w:val="00C750C8"/>
    <w:rsid w:val="00C75121"/>
    <w:rsid w:val="00C75135"/>
    <w:rsid w:val="00C75575"/>
    <w:rsid w:val="00C755FB"/>
    <w:rsid w:val="00C75754"/>
    <w:rsid w:val="00C75894"/>
    <w:rsid w:val="00C759E8"/>
    <w:rsid w:val="00C75B43"/>
    <w:rsid w:val="00C75E81"/>
    <w:rsid w:val="00C76722"/>
    <w:rsid w:val="00C76C99"/>
    <w:rsid w:val="00C775A2"/>
    <w:rsid w:val="00C777C3"/>
    <w:rsid w:val="00C77B9A"/>
    <w:rsid w:val="00C80204"/>
    <w:rsid w:val="00C8038E"/>
    <w:rsid w:val="00C806F9"/>
    <w:rsid w:val="00C80748"/>
    <w:rsid w:val="00C8089B"/>
    <w:rsid w:val="00C80BB5"/>
    <w:rsid w:val="00C80BBA"/>
    <w:rsid w:val="00C8139F"/>
    <w:rsid w:val="00C81474"/>
    <w:rsid w:val="00C81A15"/>
    <w:rsid w:val="00C81C4E"/>
    <w:rsid w:val="00C81EE6"/>
    <w:rsid w:val="00C8213F"/>
    <w:rsid w:val="00C82159"/>
    <w:rsid w:val="00C82225"/>
    <w:rsid w:val="00C82281"/>
    <w:rsid w:val="00C822AE"/>
    <w:rsid w:val="00C822F3"/>
    <w:rsid w:val="00C82715"/>
    <w:rsid w:val="00C82759"/>
    <w:rsid w:val="00C82785"/>
    <w:rsid w:val="00C82BEB"/>
    <w:rsid w:val="00C82CF9"/>
    <w:rsid w:val="00C82E25"/>
    <w:rsid w:val="00C82EB4"/>
    <w:rsid w:val="00C82EC6"/>
    <w:rsid w:val="00C8344E"/>
    <w:rsid w:val="00C836FD"/>
    <w:rsid w:val="00C837F4"/>
    <w:rsid w:val="00C84222"/>
    <w:rsid w:val="00C8432B"/>
    <w:rsid w:val="00C8466E"/>
    <w:rsid w:val="00C8470A"/>
    <w:rsid w:val="00C84984"/>
    <w:rsid w:val="00C8499C"/>
    <w:rsid w:val="00C84ABB"/>
    <w:rsid w:val="00C84BC8"/>
    <w:rsid w:val="00C84E44"/>
    <w:rsid w:val="00C84E5A"/>
    <w:rsid w:val="00C84F71"/>
    <w:rsid w:val="00C850B0"/>
    <w:rsid w:val="00C855F9"/>
    <w:rsid w:val="00C856BF"/>
    <w:rsid w:val="00C85945"/>
    <w:rsid w:val="00C85993"/>
    <w:rsid w:val="00C85AE9"/>
    <w:rsid w:val="00C85C44"/>
    <w:rsid w:val="00C85D3E"/>
    <w:rsid w:val="00C86257"/>
    <w:rsid w:val="00C8643A"/>
    <w:rsid w:val="00C868B6"/>
    <w:rsid w:val="00C8707C"/>
    <w:rsid w:val="00C8797A"/>
    <w:rsid w:val="00C87F64"/>
    <w:rsid w:val="00C90010"/>
    <w:rsid w:val="00C902FF"/>
    <w:rsid w:val="00C906C8"/>
    <w:rsid w:val="00C90878"/>
    <w:rsid w:val="00C909B6"/>
    <w:rsid w:val="00C90B47"/>
    <w:rsid w:val="00C90B4A"/>
    <w:rsid w:val="00C90CB1"/>
    <w:rsid w:val="00C91170"/>
    <w:rsid w:val="00C911BD"/>
    <w:rsid w:val="00C917C2"/>
    <w:rsid w:val="00C91A14"/>
    <w:rsid w:val="00C922A8"/>
    <w:rsid w:val="00C922BB"/>
    <w:rsid w:val="00C922D4"/>
    <w:rsid w:val="00C922E8"/>
    <w:rsid w:val="00C923CC"/>
    <w:rsid w:val="00C92647"/>
    <w:rsid w:val="00C92A5C"/>
    <w:rsid w:val="00C92AC1"/>
    <w:rsid w:val="00C92CA0"/>
    <w:rsid w:val="00C92D5D"/>
    <w:rsid w:val="00C92D97"/>
    <w:rsid w:val="00C92E10"/>
    <w:rsid w:val="00C9328B"/>
    <w:rsid w:val="00C938CF"/>
    <w:rsid w:val="00C93C2A"/>
    <w:rsid w:val="00C93D89"/>
    <w:rsid w:val="00C93DD2"/>
    <w:rsid w:val="00C93E5B"/>
    <w:rsid w:val="00C940EA"/>
    <w:rsid w:val="00C947D5"/>
    <w:rsid w:val="00C94BBC"/>
    <w:rsid w:val="00C94E38"/>
    <w:rsid w:val="00C94EB3"/>
    <w:rsid w:val="00C9504E"/>
    <w:rsid w:val="00C9508D"/>
    <w:rsid w:val="00C9533A"/>
    <w:rsid w:val="00C95B89"/>
    <w:rsid w:val="00C96080"/>
    <w:rsid w:val="00C96114"/>
    <w:rsid w:val="00C966E6"/>
    <w:rsid w:val="00C969CE"/>
    <w:rsid w:val="00C96FDB"/>
    <w:rsid w:val="00C973AB"/>
    <w:rsid w:val="00C97471"/>
    <w:rsid w:val="00C9779A"/>
    <w:rsid w:val="00C97AF5"/>
    <w:rsid w:val="00C97BAC"/>
    <w:rsid w:val="00C97C46"/>
    <w:rsid w:val="00CA00EF"/>
    <w:rsid w:val="00CA0192"/>
    <w:rsid w:val="00CA0369"/>
    <w:rsid w:val="00CA0469"/>
    <w:rsid w:val="00CA04CF"/>
    <w:rsid w:val="00CA0620"/>
    <w:rsid w:val="00CA0757"/>
    <w:rsid w:val="00CA0798"/>
    <w:rsid w:val="00CA0CB6"/>
    <w:rsid w:val="00CA0CFC"/>
    <w:rsid w:val="00CA0ED5"/>
    <w:rsid w:val="00CA15E7"/>
    <w:rsid w:val="00CA1722"/>
    <w:rsid w:val="00CA1768"/>
    <w:rsid w:val="00CA1992"/>
    <w:rsid w:val="00CA19B2"/>
    <w:rsid w:val="00CA2490"/>
    <w:rsid w:val="00CA2646"/>
    <w:rsid w:val="00CA26BA"/>
    <w:rsid w:val="00CA284E"/>
    <w:rsid w:val="00CA2FA8"/>
    <w:rsid w:val="00CA32A7"/>
    <w:rsid w:val="00CA3313"/>
    <w:rsid w:val="00CA3590"/>
    <w:rsid w:val="00CA36DC"/>
    <w:rsid w:val="00CA37C5"/>
    <w:rsid w:val="00CA37DB"/>
    <w:rsid w:val="00CA3BE8"/>
    <w:rsid w:val="00CA4048"/>
    <w:rsid w:val="00CA40A2"/>
    <w:rsid w:val="00CA448B"/>
    <w:rsid w:val="00CA4610"/>
    <w:rsid w:val="00CA474E"/>
    <w:rsid w:val="00CA4875"/>
    <w:rsid w:val="00CA495C"/>
    <w:rsid w:val="00CA4999"/>
    <w:rsid w:val="00CA4EC8"/>
    <w:rsid w:val="00CA4FDA"/>
    <w:rsid w:val="00CA5245"/>
    <w:rsid w:val="00CA537F"/>
    <w:rsid w:val="00CA54AC"/>
    <w:rsid w:val="00CA5791"/>
    <w:rsid w:val="00CA586C"/>
    <w:rsid w:val="00CA5926"/>
    <w:rsid w:val="00CA5F9D"/>
    <w:rsid w:val="00CA5FA7"/>
    <w:rsid w:val="00CA5FCE"/>
    <w:rsid w:val="00CA61B5"/>
    <w:rsid w:val="00CA6209"/>
    <w:rsid w:val="00CA673C"/>
    <w:rsid w:val="00CA6FE6"/>
    <w:rsid w:val="00CA7140"/>
    <w:rsid w:val="00CA716B"/>
    <w:rsid w:val="00CA728E"/>
    <w:rsid w:val="00CA7451"/>
    <w:rsid w:val="00CA7737"/>
    <w:rsid w:val="00CA7B09"/>
    <w:rsid w:val="00CB08AD"/>
    <w:rsid w:val="00CB0917"/>
    <w:rsid w:val="00CB0972"/>
    <w:rsid w:val="00CB0E15"/>
    <w:rsid w:val="00CB0E46"/>
    <w:rsid w:val="00CB10D7"/>
    <w:rsid w:val="00CB1187"/>
    <w:rsid w:val="00CB13E6"/>
    <w:rsid w:val="00CB140B"/>
    <w:rsid w:val="00CB16B0"/>
    <w:rsid w:val="00CB1763"/>
    <w:rsid w:val="00CB2438"/>
    <w:rsid w:val="00CB2775"/>
    <w:rsid w:val="00CB2877"/>
    <w:rsid w:val="00CB298F"/>
    <w:rsid w:val="00CB2A47"/>
    <w:rsid w:val="00CB2BE6"/>
    <w:rsid w:val="00CB2C65"/>
    <w:rsid w:val="00CB2E2C"/>
    <w:rsid w:val="00CB2E32"/>
    <w:rsid w:val="00CB2F3B"/>
    <w:rsid w:val="00CB2FC4"/>
    <w:rsid w:val="00CB318F"/>
    <w:rsid w:val="00CB3322"/>
    <w:rsid w:val="00CB3532"/>
    <w:rsid w:val="00CB3558"/>
    <w:rsid w:val="00CB3999"/>
    <w:rsid w:val="00CB3A7C"/>
    <w:rsid w:val="00CB425B"/>
    <w:rsid w:val="00CB44FA"/>
    <w:rsid w:val="00CB45C7"/>
    <w:rsid w:val="00CB4639"/>
    <w:rsid w:val="00CB47B6"/>
    <w:rsid w:val="00CB495D"/>
    <w:rsid w:val="00CB520A"/>
    <w:rsid w:val="00CB54B7"/>
    <w:rsid w:val="00CB58F8"/>
    <w:rsid w:val="00CB5B1A"/>
    <w:rsid w:val="00CB5C37"/>
    <w:rsid w:val="00CB5E8E"/>
    <w:rsid w:val="00CB5F0B"/>
    <w:rsid w:val="00CB6000"/>
    <w:rsid w:val="00CB606E"/>
    <w:rsid w:val="00CB62C2"/>
    <w:rsid w:val="00CB67A1"/>
    <w:rsid w:val="00CB69D3"/>
    <w:rsid w:val="00CB6A3E"/>
    <w:rsid w:val="00CB6C2F"/>
    <w:rsid w:val="00CB6C52"/>
    <w:rsid w:val="00CB6E68"/>
    <w:rsid w:val="00CB73E3"/>
    <w:rsid w:val="00CB777B"/>
    <w:rsid w:val="00CB795C"/>
    <w:rsid w:val="00CB7BF2"/>
    <w:rsid w:val="00CB7CE6"/>
    <w:rsid w:val="00CB7F6D"/>
    <w:rsid w:val="00CC013F"/>
    <w:rsid w:val="00CC0563"/>
    <w:rsid w:val="00CC08C5"/>
    <w:rsid w:val="00CC0A50"/>
    <w:rsid w:val="00CC0A72"/>
    <w:rsid w:val="00CC0C28"/>
    <w:rsid w:val="00CC0CFE"/>
    <w:rsid w:val="00CC0D46"/>
    <w:rsid w:val="00CC0E93"/>
    <w:rsid w:val="00CC1235"/>
    <w:rsid w:val="00CC1945"/>
    <w:rsid w:val="00CC194E"/>
    <w:rsid w:val="00CC1A70"/>
    <w:rsid w:val="00CC1D13"/>
    <w:rsid w:val="00CC1DE5"/>
    <w:rsid w:val="00CC1FF0"/>
    <w:rsid w:val="00CC201F"/>
    <w:rsid w:val="00CC21D6"/>
    <w:rsid w:val="00CC21E0"/>
    <w:rsid w:val="00CC2214"/>
    <w:rsid w:val="00CC2664"/>
    <w:rsid w:val="00CC26A3"/>
    <w:rsid w:val="00CC2922"/>
    <w:rsid w:val="00CC2EC1"/>
    <w:rsid w:val="00CC34ED"/>
    <w:rsid w:val="00CC3E2D"/>
    <w:rsid w:val="00CC4304"/>
    <w:rsid w:val="00CC4A27"/>
    <w:rsid w:val="00CC4D84"/>
    <w:rsid w:val="00CC4E0E"/>
    <w:rsid w:val="00CC4EDA"/>
    <w:rsid w:val="00CC512F"/>
    <w:rsid w:val="00CC54B7"/>
    <w:rsid w:val="00CC56FC"/>
    <w:rsid w:val="00CC5A64"/>
    <w:rsid w:val="00CC5E92"/>
    <w:rsid w:val="00CC5F24"/>
    <w:rsid w:val="00CC6159"/>
    <w:rsid w:val="00CC661B"/>
    <w:rsid w:val="00CC6710"/>
    <w:rsid w:val="00CC6762"/>
    <w:rsid w:val="00CC67D3"/>
    <w:rsid w:val="00CC69A4"/>
    <w:rsid w:val="00CC69D1"/>
    <w:rsid w:val="00CC6AA6"/>
    <w:rsid w:val="00CC6F6B"/>
    <w:rsid w:val="00CC6FDE"/>
    <w:rsid w:val="00CC7263"/>
    <w:rsid w:val="00CC7419"/>
    <w:rsid w:val="00CC7D5B"/>
    <w:rsid w:val="00CD0133"/>
    <w:rsid w:val="00CD01C3"/>
    <w:rsid w:val="00CD040A"/>
    <w:rsid w:val="00CD0472"/>
    <w:rsid w:val="00CD06AD"/>
    <w:rsid w:val="00CD0A46"/>
    <w:rsid w:val="00CD0C0B"/>
    <w:rsid w:val="00CD0C0D"/>
    <w:rsid w:val="00CD0C9C"/>
    <w:rsid w:val="00CD0FEE"/>
    <w:rsid w:val="00CD11C3"/>
    <w:rsid w:val="00CD1A19"/>
    <w:rsid w:val="00CD1E8E"/>
    <w:rsid w:val="00CD1F53"/>
    <w:rsid w:val="00CD2004"/>
    <w:rsid w:val="00CD20D9"/>
    <w:rsid w:val="00CD20DD"/>
    <w:rsid w:val="00CD2309"/>
    <w:rsid w:val="00CD246D"/>
    <w:rsid w:val="00CD2755"/>
    <w:rsid w:val="00CD27A4"/>
    <w:rsid w:val="00CD3150"/>
    <w:rsid w:val="00CD3507"/>
    <w:rsid w:val="00CD38CD"/>
    <w:rsid w:val="00CD3A3C"/>
    <w:rsid w:val="00CD40F0"/>
    <w:rsid w:val="00CD427D"/>
    <w:rsid w:val="00CD4475"/>
    <w:rsid w:val="00CD4693"/>
    <w:rsid w:val="00CD4CD8"/>
    <w:rsid w:val="00CD52A7"/>
    <w:rsid w:val="00CD5370"/>
    <w:rsid w:val="00CD5375"/>
    <w:rsid w:val="00CD53DE"/>
    <w:rsid w:val="00CD552A"/>
    <w:rsid w:val="00CD5870"/>
    <w:rsid w:val="00CD58D7"/>
    <w:rsid w:val="00CD5997"/>
    <w:rsid w:val="00CD5BCF"/>
    <w:rsid w:val="00CD5FDA"/>
    <w:rsid w:val="00CD6932"/>
    <w:rsid w:val="00CD6ADC"/>
    <w:rsid w:val="00CD6C15"/>
    <w:rsid w:val="00CD6CDF"/>
    <w:rsid w:val="00CD6E17"/>
    <w:rsid w:val="00CD7044"/>
    <w:rsid w:val="00CD76E4"/>
    <w:rsid w:val="00CD776B"/>
    <w:rsid w:val="00CD78E6"/>
    <w:rsid w:val="00CD7A03"/>
    <w:rsid w:val="00CD7C71"/>
    <w:rsid w:val="00CD7D74"/>
    <w:rsid w:val="00CD7DA3"/>
    <w:rsid w:val="00CE0833"/>
    <w:rsid w:val="00CE08F5"/>
    <w:rsid w:val="00CE09D3"/>
    <w:rsid w:val="00CE0A36"/>
    <w:rsid w:val="00CE0BDB"/>
    <w:rsid w:val="00CE0BE5"/>
    <w:rsid w:val="00CE0BEC"/>
    <w:rsid w:val="00CE0E86"/>
    <w:rsid w:val="00CE0F4A"/>
    <w:rsid w:val="00CE1164"/>
    <w:rsid w:val="00CE11CC"/>
    <w:rsid w:val="00CE1688"/>
    <w:rsid w:val="00CE1741"/>
    <w:rsid w:val="00CE1AFE"/>
    <w:rsid w:val="00CE1BB5"/>
    <w:rsid w:val="00CE1E69"/>
    <w:rsid w:val="00CE2599"/>
    <w:rsid w:val="00CE27BF"/>
    <w:rsid w:val="00CE2BB9"/>
    <w:rsid w:val="00CE2FBF"/>
    <w:rsid w:val="00CE368A"/>
    <w:rsid w:val="00CE38E9"/>
    <w:rsid w:val="00CE3A17"/>
    <w:rsid w:val="00CE3A38"/>
    <w:rsid w:val="00CE3B75"/>
    <w:rsid w:val="00CE3C77"/>
    <w:rsid w:val="00CE3DFC"/>
    <w:rsid w:val="00CE3EB9"/>
    <w:rsid w:val="00CE3F0A"/>
    <w:rsid w:val="00CE40F2"/>
    <w:rsid w:val="00CE46A5"/>
    <w:rsid w:val="00CE4794"/>
    <w:rsid w:val="00CE4DD9"/>
    <w:rsid w:val="00CE4E5F"/>
    <w:rsid w:val="00CE5583"/>
    <w:rsid w:val="00CE5608"/>
    <w:rsid w:val="00CE57CA"/>
    <w:rsid w:val="00CE58EE"/>
    <w:rsid w:val="00CE58F6"/>
    <w:rsid w:val="00CE5919"/>
    <w:rsid w:val="00CE5AF5"/>
    <w:rsid w:val="00CE5C9C"/>
    <w:rsid w:val="00CE5E15"/>
    <w:rsid w:val="00CE624F"/>
    <w:rsid w:val="00CE6274"/>
    <w:rsid w:val="00CE67FF"/>
    <w:rsid w:val="00CE6B23"/>
    <w:rsid w:val="00CE6B5D"/>
    <w:rsid w:val="00CE7165"/>
    <w:rsid w:val="00CE72F0"/>
    <w:rsid w:val="00CE749D"/>
    <w:rsid w:val="00CE789F"/>
    <w:rsid w:val="00CE7E67"/>
    <w:rsid w:val="00CE7EE9"/>
    <w:rsid w:val="00CF006A"/>
    <w:rsid w:val="00CF0114"/>
    <w:rsid w:val="00CF073A"/>
    <w:rsid w:val="00CF08F3"/>
    <w:rsid w:val="00CF094F"/>
    <w:rsid w:val="00CF0A84"/>
    <w:rsid w:val="00CF0E30"/>
    <w:rsid w:val="00CF108B"/>
    <w:rsid w:val="00CF119E"/>
    <w:rsid w:val="00CF1339"/>
    <w:rsid w:val="00CF1460"/>
    <w:rsid w:val="00CF181F"/>
    <w:rsid w:val="00CF1905"/>
    <w:rsid w:val="00CF1BCC"/>
    <w:rsid w:val="00CF1EA7"/>
    <w:rsid w:val="00CF208C"/>
    <w:rsid w:val="00CF22DA"/>
    <w:rsid w:val="00CF24F8"/>
    <w:rsid w:val="00CF2EDA"/>
    <w:rsid w:val="00CF31C1"/>
    <w:rsid w:val="00CF325D"/>
    <w:rsid w:val="00CF336F"/>
    <w:rsid w:val="00CF355A"/>
    <w:rsid w:val="00CF39F2"/>
    <w:rsid w:val="00CF3C6D"/>
    <w:rsid w:val="00CF4035"/>
    <w:rsid w:val="00CF41D6"/>
    <w:rsid w:val="00CF456B"/>
    <w:rsid w:val="00CF475F"/>
    <w:rsid w:val="00CF479A"/>
    <w:rsid w:val="00CF4B8A"/>
    <w:rsid w:val="00CF5036"/>
    <w:rsid w:val="00CF513E"/>
    <w:rsid w:val="00CF5A22"/>
    <w:rsid w:val="00CF5A8D"/>
    <w:rsid w:val="00CF5B34"/>
    <w:rsid w:val="00CF5BF9"/>
    <w:rsid w:val="00CF6146"/>
    <w:rsid w:val="00CF633E"/>
    <w:rsid w:val="00CF64A3"/>
    <w:rsid w:val="00CF681C"/>
    <w:rsid w:val="00CF6907"/>
    <w:rsid w:val="00CF6ED7"/>
    <w:rsid w:val="00CF7230"/>
    <w:rsid w:val="00CF729E"/>
    <w:rsid w:val="00CF7305"/>
    <w:rsid w:val="00CF746C"/>
    <w:rsid w:val="00CF7A8D"/>
    <w:rsid w:val="00CF7FFA"/>
    <w:rsid w:val="00D0017D"/>
    <w:rsid w:val="00D00213"/>
    <w:rsid w:val="00D0027E"/>
    <w:rsid w:val="00D003F0"/>
    <w:rsid w:val="00D00625"/>
    <w:rsid w:val="00D00732"/>
    <w:rsid w:val="00D00B8E"/>
    <w:rsid w:val="00D00FD8"/>
    <w:rsid w:val="00D01033"/>
    <w:rsid w:val="00D0122B"/>
    <w:rsid w:val="00D01377"/>
    <w:rsid w:val="00D01680"/>
    <w:rsid w:val="00D016F8"/>
    <w:rsid w:val="00D019E6"/>
    <w:rsid w:val="00D01F34"/>
    <w:rsid w:val="00D01F93"/>
    <w:rsid w:val="00D02187"/>
    <w:rsid w:val="00D02209"/>
    <w:rsid w:val="00D0222D"/>
    <w:rsid w:val="00D022B2"/>
    <w:rsid w:val="00D0231A"/>
    <w:rsid w:val="00D025A2"/>
    <w:rsid w:val="00D0262E"/>
    <w:rsid w:val="00D0270D"/>
    <w:rsid w:val="00D02909"/>
    <w:rsid w:val="00D02A9A"/>
    <w:rsid w:val="00D02F1A"/>
    <w:rsid w:val="00D03397"/>
    <w:rsid w:val="00D03455"/>
    <w:rsid w:val="00D03567"/>
    <w:rsid w:val="00D03AF7"/>
    <w:rsid w:val="00D03D26"/>
    <w:rsid w:val="00D03DE2"/>
    <w:rsid w:val="00D0414A"/>
    <w:rsid w:val="00D04361"/>
    <w:rsid w:val="00D044C2"/>
    <w:rsid w:val="00D04807"/>
    <w:rsid w:val="00D04974"/>
    <w:rsid w:val="00D04A19"/>
    <w:rsid w:val="00D04E16"/>
    <w:rsid w:val="00D04E63"/>
    <w:rsid w:val="00D050A8"/>
    <w:rsid w:val="00D051CA"/>
    <w:rsid w:val="00D05769"/>
    <w:rsid w:val="00D06215"/>
    <w:rsid w:val="00D063FE"/>
    <w:rsid w:val="00D0649D"/>
    <w:rsid w:val="00D06730"/>
    <w:rsid w:val="00D068B5"/>
    <w:rsid w:val="00D069A9"/>
    <w:rsid w:val="00D069AC"/>
    <w:rsid w:val="00D069FA"/>
    <w:rsid w:val="00D06A4D"/>
    <w:rsid w:val="00D06CAB"/>
    <w:rsid w:val="00D07025"/>
    <w:rsid w:val="00D073AA"/>
    <w:rsid w:val="00D075C4"/>
    <w:rsid w:val="00D0775B"/>
    <w:rsid w:val="00D07C08"/>
    <w:rsid w:val="00D07C7F"/>
    <w:rsid w:val="00D07FFD"/>
    <w:rsid w:val="00D100C4"/>
    <w:rsid w:val="00D10277"/>
    <w:rsid w:val="00D10773"/>
    <w:rsid w:val="00D108FD"/>
    <w:rsid w:val="00D10952"/>
    <w:rsid w:val="00D10955"/>
    <w:rsid w:val="00D10AF2"/>
    <w:rsid w:val="00D10CB0"/>
    <w:rsid w:val="00D10D96"/>
    <w:rsid w:val="00D1105E"/>
    <w:rsid w:val="00D110BD"/>
    <w:rsid w:val="00D1132F"/>
    <w:rsid w:val="00D11473"/>
    <w:rsid w:val="00D116C6"/>
    <w:rsid w:val="00D118F0"/>
    <w:rsid w:val="00D11C58"/>
    <w:rsid w:val="00D12173"/>
    <w:rsid w:val="00D12263"/>
    <w:rsid w:val="00D1246C"/>
    <w:rsid w:val="00D12560"/>
    <w:rsid w:val="00D125F9"/>
    <w:rsid w:val="00D1264C"/>
    <w:rsid w:val="00D12C87"/>
    <w:rsid w:val="00D13015"/>
    <w:rsid w:val="00D13019"/>
    <w:rsid w:val="00D130CF"/>
    <w:rsid w:val="00D1344C"/>
    <w:rsid w:val="00D13466"/>
    <w:rsid w:val="00D1378F"/>
    <w:rsid w:val="00D13854"/>
    <w:rsid w:val="00D139B7"/>
    <w:rsid w:val="00D13A01"/>
    <w:rsid w:val="00D13DF5"/>
    <w:rsid w:val="00D14026"/>
    <w:rsid w:val="00D140CC"/>
    <w:rsid w:val="00D14174"/>
    <w:rsid w:val="00D1432B"/>
    <w:rsid w:val="00D145B1"/>
    <w:rsid w:val="00D14761"/>
    <w:rsid w:val="00D14D46"/>
    <w:rsid w:val="00D14DBF"/>
    <w:rsid w:val="00D150AC"/>
    <w:rsid w:val="00D153E2"/>
    <w:rsid w:val="00D15419"/>
    <w:rsid w:val="00D15701"/>
    <w:rsid w:val="00D15755"/>
    <w:rsid w:val="00D15A92"/>
    <w:rsid w:val="00D15BB4"/>
    <w:rsid w:val="00D16428"/>
    <w:rsid w:val="00D16570"/>
    <w:rsid w:val="00D168A7"/>
    <w:rsid w:val="00D16A27"/>
    <w:rsid w:val="00D16D93"/>
    <w:rsid w:val="00D174A2"/>
    <w:rsid w:val="00D1756B"/>
    <w:rsid w:val="00D1767C"/>
    <w:rsid w:val="00D17886"/>
    <w:rsid w:val="00D178F6"/>
    <w:rsid w:val="00D17AF6"/>
    <w:rsid w:val="00D17D6C"/>
    <w:rsid w:val="00D200D8"/>
    <w:rsid w:val="00D2067A"/>
    <w:rsid w:val="00D2078B"/>
    <w:rsid w:val="00D20874"/>
    <w:rsid w:val="00D208BA"/>
    <w:rsid w:val="00D2093C"/>
    <w:rsid w:val="00D20B75"/>
    <w:rsid w:val="00D2104C"/>
    <w:rsid w:val="00D212CF"/>
    <w:rsid w:val="00D213EB"/>
    <w:rsid w:val="00D2148F"/>
    <w:rsid w:val="00D2187B"/>
    <w:rsid w:val="00D2188A"/>
    <w:rsid w:val="00D21C34"/>
    <w:rsid w:val="00D21CF2"/>
    <w:rsid w:val="00D21DA7"/>
    <w:rsid w:val="00D22222"/>
    <w:rsid w:val="00D2245C"/>
    <w:rsid w:val="00D227A1"/>
    <w:rsid w:val="00D22AED"/>
    <w:rsid w:val="00D22FCD"/>
    <w:rsid w:val="00D22FE6"/>
    <w:rsid w:val="00D23224"/>
    <w:rsid w:val="00D232A8"/>
    <w:rsid w:val="00D2352C"/>
    <w:rsid w:val="00D23668"/>
    <w:rsid w:val="00D2382E"/>
    <w:rsid w:val="00D23871"/>
    <w:rsid w:val="00D23C0B"/>
    <w:rsid w:val="00D23E29"/>
    <w:rsid w:val="00D23E87"/>
    <w:rsid w:val="00D23F08"/>
    <w:rsid w:val="00D23F93"/>
    <w:rsid w:val="00D24126"/>
    <w:rsid w:val="00D24414"/>
    <w:rsid w:val="00D24544"/>
    <w:rsid w:val="00D24926"/>
    <w:rsid w:val="00D24A5E"/>
    <w:rsid w:val="00D24ABA"/>
    <w:rsid w:val="00D24AC8"/>
    <w:rsid w:val="00D2530B"/>
    <w:rsid w:val="00D25448"/>
    <w:rsid w:val="00D25566"/>
    <w:rsid w:val="00D2557C"/>
    <w:rsid w:val="00D258A6"/>
    <w:rsid w:val="00D25CBA"/>
    <w:rsid w:val="00D25D25"/>
    <w:rsid w:val="00D25D43"/>
    <w:rsid w:val="00D26367"/>
    <w:rsid w:val="00D265A0"/>
    <w:rsid w:val="00D26648"/>
    <w:rsid w:val="00D26A93"/>
    <w:rsid w:val="00D26D62"/>
    <w:rsid w:val="00D26FBB"/>
    <w:rsid w:val="00D27015"/>
    <w:rsid w:val="00D27121"/>
    <w:rsid w:val="00D2731D"/>
    <w:rsid w:val="00D27B10"/>
    <w:rsid w:val="00D27E15"/>
    <w:rsid w:val="00D3047A"/>
    <w:rsid w:val="00D304BE"/>
    <w:rsid w:val="00D30821"/>
    <w:rsid w:val="00D30912"/>
    <w:rsid w:val="00D30B85"/>
    <w:rsid w:val="00D30C2C"/>
    <w:rsid w:val="00D30CAD"/>
    <w:rsid w:val="00D30CB3"/>
    <w:rsid w:val="00D312DA"/>
    <w:rsid w:val="00D31366"/>
    <w:rsid w:val="00D31952"/>
    <w:rsid w:val="00D31A46"/>
    <w:rsid w:val="00D31A81"/>
    <w:rsid w:val="00D31A8C"/>
    <w:rsid w:val="00D31BAA"/>
    <w:rsid w:val="00D31DB0"/>
    <w:rsid w:val="00D31DE4"/>
    <w:rsid w:val="00D326DA"/>
    <w:rsid w:val="00D326EF"/>
    <w:rsid w:val="00D3283B"/>
    <w:rsid w:val="00D32C8A"/>
    <w:rsid w:val="00D32E76"/>
    <w:rsid w:val="00D3300F"/>
    <w:rsid w:val="00D334A7"/>
    <w:rsid w:val="00D334C2"/>
    <w:rsid w:val="00D336CB"/>
    <w:rsid w:val="00D3382A"/>
    <w:rsid w:val="00D338F4"/>
    <w:rsid w:val="00D339AE"/>
    <w:rsid w:val="00D33F7B"/>
    <w:rsid w:val="00D343A4"/>
    <w:rsid w:val="00D34544"/>
    <w:rsid w:val="00D345C9"/>
    <w:rsid w:val="00D3466E"/>
    <w:rsid w:val="00D34BE9"/>
    <w:rsid w:val="00D34C11"/>
    <w:rsid w:val="00D34E52"/>
    <w:rsid w:val="00D34EBB"/>
    <w:rsid w:val="00D34FE6"/>
    <w:rsid w:val="00D350F7"/>
    <w:rsid w:val="00D3519A"/>
    <w:rsid w:val="00D351E8"/>
    <w:rsid w:val="00D35204"/>
    <w:rsid w:val="00D35568"/>
    <w:rsid w:val="00D357FF"/>
    <w:rsid w:val="00D35C8C"/>
    <w:rsid w:val="00D35CA1"/>
    <w:rsid w:val="00D35D30"/>
    <w:rsid w:val="00D36257"/>
    <w:rsid w:val="00D364FC"/>
    <w:rsid w:val="00D36AB1"/>
    <w:rsid w:val="00D36E2E"/>
    <w:rsid w:val="00D3716C"/>
    <w:rsid w:val="00D372B1"/>
    <w:rsid w:val="00D37771"/>
    <w:rsid w:val="00D37C63"/>
    <w:rsid w:val="00D37F1F"/>
    <w:rsid w:val="00D400B9"/>
    <w:rsid w:val="00D404C0"/>
    <w:rsid w:val="00D40634"/>
    <w:rsid w:val="00D40672"/>
    <w:rsid w:val="00D408FB"/>
    <w:rsid w:val="00D40BA9"/>
    <w:rsid w:val="00D4158A"/>
    <w:rsid w:val="00D4194F"/>
    <w:rsid w:val="00D41A3D"/>
    <w:rsid w:val="00D41D18"/>
    <w:rsid w:val="00D420DE"/>
    <w:rsid w:val="00D42402"/>
    <w:rsid w:val="00D424DC"/>
    <w:rsid w:val="00D426C4"/>
    <w:rsid w:val="00D43586"/>
    <w:rsid w:val="00D435E8"/>
    <w:rsid w:val="00D43CDC"/>
    <w:rsid w:val="00D43DB5"/>
    <w:rsid w:val="00D43E31"/>
    <w:rsid w:val="00D4416C"/>
    <w:rsid w:val="00D44219"/>
    <w:rsid w:val="00D444CE"/>
    <w:rsid w:val="00D445EF"/>
    <w:rsid w:val="00D44951"/>
    <w:rsid w:val="00D44959"/>
    <w:rsid w:val="00D44ADD"/>
    <w:rsid w:val="00D44CC6"/>
    <w:rsid w:val="00D44FFE"/>
    <w:rsid w:val="00D45198"/>
    <w:rsid w:val="00D45474"/>
    <w:rsid w:val="00D4561E"/>
    <w:rsid w:val="00D4567A"/>
    <w:rsid w:val="00D459D6"/>
    <w:rsid w:val="00D45C34"/>
    <w:rsid w:val="00D45DDC"/>
    <w:rsid w:val="00D45E27"/>
    <w:rsid w:val="00D45F34"/>
    <w:rsid w:val="00D46103"/>
    <w:rsid w:val="00D4618F"/>
    <w:rsid w:val="00D46226"/>
    <w:rsid w:val="00D462F7"/>
    <w:rsid w:val="00D467A6"/>
    <w:rsid w:val="00D46C10"/>
    <w:rsid w:val="00D46D0A"/>
    <w:rsid w:val="00D46D96"/>
    <w:rsid w:val="00D46F90"/>
    <w:rsid w:val="00D47590"/>
    <w:rsid w:val="00D479EF"/>
    <w:rsid w:val="00D47C4D"/>
    <w:rsid w:val="00D47D13"/>
    <w:rsid w:val="00D47F7A"/>
    <w:rsid w:val="00D505EE"/>
    <w:rsid w:val="00D506F6"/>
    <w:rsid w:val="00D509A3"/>
    <w:rsid w:val="00D50F0B"/>
    <w:rsid w:val="00D50FB1"/>
    <w:rsid w:val="00D5116C"/>
    <w:rsid w:val="00D51808"/>
    <w:rsid w:val="00D52303"/>
    <w:rsid w:val="00D52324"/>
    <w:rsid w:val="00D52589"/>
    <w:rsid w:val="00D52827"/>
    <w:rsid w:val="00D52878"/>
    <w:rsid w:val="00D52B04"/>
    <w:rsid w:val="00D52D6C"/>
    <w:rsid w:val="00D52FE2"/>
    <w:rsid w:val="00D5308F"/>
    <w:rsid w:val="00D5384F"/>
    <w:rsid w:val="00D53BD4"/>
    <w:rsid w:val="00D53E92"/>
    <w:rsid w:val="00D5440A"/>
    <w:rsid w:val="00D544C8"/>
    <w:rsid w:val="00D547DD"/>
    <w:rsid w:val="00D549AE"/>
    <w:rsid w:val="00D54F0D"/>
    <w:rsid w:val="00D55016"/>
    <w:rsid w:val="00D55080"/>
    <w:rsid w:val="00D55202"/>
    <w:rsid w:val="00D55560"/>
    <w:rsid w:val="00D55A9E"/>
    <w:rsid w:val="00D55D1E"/>
    <w:rsid w:val="00D55EBF"/>
    <w:rsid w:val="00D55F7F"/>
    <w:rsid w:val="00D5621A"/>
    <w:rsid w:val="00D5628C"/>
    <w:rsid w:val="00D567A3"/>
    <w:rsid w:val="00D567CA"/>
    <w:rsid w:val="00D5699B"/>
    <w:rsid w:val="00D56A1C"/>
    <w:rsid w:val="00D57151"/>
    <w:rsid w:val="00D5720B"/>
    <w:rsid w:val="00D5723E"/>
    <w:rsid w:val="00D5731A"/>
    <w:rsid w:val="00D573CB"/>
    <w:rsid w:val="00D57614"/>
    <w:rsid w:val="00D576F0"/>
    <w:rsid w:val="00D576FC"/>
    <w:rsid w:val="00D60C9F"/>
    <w:rsid w:val="00D61496"/>
    <w:rsid w:val="00D61BB8"/>
    <w:rsid w:val="00D61C9A"/>
    <w:rsid w:val="00D61D85"/>
    <w:rsid w:val="00D61FA9"/>
    <w:rsid w:val="00D62540"/>
    <w:rsid w:val="00D62C43"/>
    <w:rsid w:val="00D62D1C"/>
    <w:rsid w:val="00D62D59"/>
    <w:rsid w:val="00D62DFE"/>
    <w:rsid w:val="00D62F26"/>
    <w:rsid w:val="00D62F36"/>
    <w:rsid w:val="00D63094"/>
    <w:rsid w:val="00D630B1"/>
    <w:rsid w:val="00D636EA"/>
    <w:rsid w:val="00D637B2"/>
    <w:rsid w:val="00D63C29"/>
    <w:rsid w:val="00D63F3D"/>
    <w:rsid w:val="00D63F81"/>
    <w:rsid w:val="00D64705"/>
    <w:rsid w:val="00D64958"/>
    <w:rsid w:val="00D64BAA"/>
    <w:rsid w:val="00D6502A"/>
    <w:rsid w:val="00D65334"/>
    <w:rsid w:val="00D65493"/>
    <w:rsid w:val="00D659C6"/>
    <w:rsid w:val="00D65AA1"/>
    <w:rsid w:val="00D65ADE"/>
    <w:rsid w:val="00D65D76"/>
    <w:rsid w:val="00D65FAD"/>
    <w:rsid w:val="00D6628C"/>
    <w:rsid w:val="00D6645F"/>
    <w:rsid w:val="00D6668D"/>
    <w:rsid w:val="00D66C8B"/>
    <w:rsid w:val="00D66CC9"/>
    <w:rsid w:val="00D678D5"/>
    <w:rsid w:val="00D67C36"/>
    <w:rsid w:val="00D67CC5"/>
    <w:rsid w:val="00D702DD"/>
    <w:rsid w:val="00D70680"/>
    <w:rsid w:val="00D70AA5"/>
    <w:rsid w:val="00D70D8E"/>
    <w:rsid w:val="00D70DFD"/>
    <w:rsid w:val="00D713A4"/>
    <w:rsid w:val="00D713CA"/>
    <w:rsid w:val="00D715BD"/>
    <w:rsid w:val="00D7183D"/>
    <w:rsid w:val="00D71E63"/>
    <w:rsid w:val="00D71EDC"/>
    <w:rsid w:val="00D7215F"/>
    <w:rsid w:val="00D721A8"/>
    <w:rsid w:val="00D722A8"/>
    <w:rsid w:val="00D722AC"/>
    <w:rsid w:val="00D7292E"/>
    <w:rsid w:val="00D72C9F"/>
    <w:rsid w:val="00D730D6"/>
    <w:rsid w:val="00D731B4"/>
    <w:rsid w:val="00D731F5"/>
    <w:rsid w:val="00D73395"/>
    <w:rsid w:val="00D736A7"/>
    <w:rsid w:val="00D736AC"/>
    <w:rsid w:val="00D7397A"/>
    <w:rsid w:val="00D73AC7"/>
    <w:rsid w:val="00D73AF4"/>
    <w:rsid w:val="00D74443"/>
    <w:rsid w:val="00D74446"/>
    <w:rsid w:val="00D74A80"/>
    <w:rsid w:val="00D74F4D"/>
    <w:rsid w:val="00D75463"/>
    <w:rsid w:val="00D75907"/>
    <w:rsid w:val="00D75C66"/>
    <w:rsid w:val="00D76408"/>
    <w:rsid w:val="00D76678"/>
    <w:rsid w:val="00D768FB"/>
    <w:rsid w:val="00D76A44"/>
    <w:rsid w:val="00D76BD2"/>
    <w:rsid w:val="00D76D70"/>
    <w:rsid w:val="00D76E67"/>
    <w:rsid w:val="00D77054"/>
    <w:rsid w:val="00D77B4A"/>
    <w:rsid w:val="00D77CA1"/>
    <w:rsid w:val="00D77D63"/>
    <w:rsid w:val="00D77E07"/>
    <w:rsid w:val="00D77F0E"/>
    <w:rsid w:val="00D77F25"/>
    <w:rsid w:val="00D8023E"/>
    <w:rsid w:val="00D80341"/>
    <w:rsid w:val="00D8047A"/>
    <w:rsid w:val="00D8065D"/>
    <w:rsid w:val="00D81025"/>
    <w:rsid w:val="00D81192"/>
    <w:rsid w:val="00D8128C"/>
    <w:rsid w:val="00D81314"/>
    <w:rsid w:val="00D81316"/>
    <w:rsid w:val="00D819BA"/>
    <w:rsid w:val="00D81C7D"/>
    <w:rsid w:val="00D82041"/>
    <w:rsid w:val="00D820B6"/>
    <w:rsid w:val="00D825E0"/>
    <w:rsid w:val="00D82699"/>
    <w:rsid w:val="00D82921"/>
    <w:rsid w:val="00D82994"/>
    <w:rsid w:val="00D83075"/>
    <w:rsid w:val="00D8341C"/>
    <w:rsid w:val="00D83655"/>
    <w:rsid w:val="00D8371D"/>
    <w:rsid w:val="00D839F7"/>
    <w:rsid w:val="00D83A8D"/>
    <w:rsid w:val="00D83C2A"/>
    <w:rsid w:val="00D8421C"/>
    <w:rsid w:val="00D845A3"/>
    <w:rsid w:val="00D845ED"/>
    <w:rsid w:val="00D84800"/>
    <w:rsid w:val="00D84E15"/>
    <w:rsid w:val="00D852B6"/>
    <w:rsid w:val="00D85438"/>
    <w:rsid w:val="00D85654"/>
    <w:rsid w:val="00D857DE"/>
    <w:rsid w:val="00D85BD0"/>
    <w:rsid w:val="00D86168"/>
    <w:rsid w:val="00D86252"/>
    <w:rsid w:val="00D86447"/>
    <w:rsid w:val="00D86546"/>
    <w:rsid w:val="00D86931"/>
    <w:rsid w:val="00D86B87"/>
    <w:rsid w:val="00D86D1D"/>
    <w:rsid w:val="00D86F6F"/>
    <w:rsid w:val="00D8746B"/>
    <w:rsid w:val="00D8770F"/>
    <w:rsid w:val="00D87966"/>
    <w:rsid w:val="00D87985"/>
    <w:rsid w:val="00D87C41"/>
    <w:rsid w:val="00D9029E"/>
    <w:rsid w:val="00D90534"/>
    <w:rsid w:val="00D905CA"/>
    <w:rsid w:val="00D90B8E"/>
    <w:rsid w:val="00D90D50"/>
    <w:rsid w:val="00D910D8"/>
    <w:rsid w:val="00D91403"/>
    <w:rsid w:val="00D91440"/>
    <w:rsid w:val="00D91933"/>
    <w:rsid w:val="00D91B6D"/>
    <w:rsid w:val="00D91B7A"/>
    <w:rsid w:val="00D91BAC"/>
    <w:rsid w:val="00D91C05"/>
    <w:rsid w:val="00D91EE2"/>
    <w:rsid w:val="00D91EEE"/>
    <w:rsid w:val="00D92000"/>
    <w:rsid w:val="00D9210E"/>
    <w:rsid w:val="00D9276A"/>
    <w:rsid w:val="00D92AB5"/>
    <w:rsid w:val="00D92B0E"/>
    <w:rsid w:val="00D92BC0"/>
    <w:rsid w:val="00D92BF8"/>
    <w:rsid w:val="00D92DFB"/>
    <w:rsid w:val="00D93195"/>
    <w:rsid w:val="00D93446"/>
    <w:rsid w:val="00D93472"/>
    <w:rsid w:val="00D93753"/>
    <w:rsid w:val="00D93A59"/>
    <w:rsid w:val="00D93EE8"/>
    <w:rsid w:val="00D93FAD"/>
    <w:rsid w:val="00D94AA8"/>
    <w:rsid w:val="00D94DC4"/>
    <w:rsid w:val="00D950E7"/>
    <w:rsid w:val="00D95357"/>
    <w:rsid w:val="00D9540A"/>
    <w:rsid w:val="00D9543C"/>
    <w:rsid w:val="00D9552A"/>
    <w:rsid w:val="00D9566A"/>
    <w:rsid w:val="00D957EA"/>
    <w:rsid w:val="00D9588D"/>
    <w:rsid w:val="00D95A6F"/>
    <w:rsid w:val="00D95C69"/>
    <w:rsid w:val="00D95C9E"/>
    <w:rsid w:val="00D95E75"/>
    <w:rsid w:val="00D9600B"/>
    <w:rsid w:val="00D96513"/>
    <w:rsid w:val="00D96521"/>
    <w:rsid w:val="00D96577"/>
    <w:rsid w:val="00D96595"/>
    <w:rsid w:val="00D96801"/>
    <w:rsid w:val="00D96A5D"/>
    <w:rsid w:val="00D96A97"/>
    <w:rsid w:val="00D96B8D"/>
    <w:rsid w:val="00D96F60"/>
    <w:rsid w:val="00D9708C"/>
    <w:rsid w:val="00D970D1"/>
    <w:rsid w:val="00D974D6"/>
    <w:rsid w:val="00D978C9"/>
    <w:rsid w:val="00D97A23"/>
    <w:rsid w:val="00D97A55"/>
    <w:rsid w:val="00D97B45"/>
    <w:rsid w:val="00D97C10"/>
    <w:rsid w:val="00D97C71"/>
    <w:rsid w:val="00DA0146"/>
    <w:rsid w:val="00DA03A0"/>
    <w:rsid w:val="00DA0764"/>
    <w:rsid w:val="00DA0C73"/>
    <w:rsid w:val="00DA0CFA"/>
    <w:rsid w:val="00DA0D84"/>
    <w:rsid w:val="00DA0EA0"/>
    <w:rsid w:val="00DA0EFC"/>
    <w:rsid w:val="00DA21D2"/>
    <w:rsid w:val="00DA23E2"/>
    <w:rsid w:val="00DA273A"/>
    <w:rsid w:val="00DA2A9B"/>
    <w:rsid w:val="00DA2AEA"/>
    <w:rsid w:val="00DA2D96"/>
    <w:rsid w:val="00DA2E0B"/>
    <w:rsid w:val="00DA2E82"/>
    <w:rsid w:val="00DA338F"/>
    <w:rsid w:val="00DA35B4"/>
    <w:rsid w:val="00DA37F7"/>
    <w:rsid w:val="00DA382B"/>
    <w:rsid w:val="00DA3927"/>
    <w:rsid w:val="00DA3AE8"/>
    <w:rsid w:val="00DA3B28"/>
    <w:rsid w:val="00DA3D40"/>
    <w:rsid w:val="00DA3E57"/>
    <w:rsid w:val="00DA3FD1"/>
    <w:rsid w:val="00DA4172"/>
    <w:rsid w:val="00DA465D"/>
    <w:rsid w:val="00DA47AB"/>
    <w:rsid w:val="00DA4ACD"/>
    <w:rsid w:val="00DA4CB4"/>
    <w:rsid w:val="00DA4F14"/>
    <w:rsid w:val="00DA5059"/>
    <w:rsid w:val="00DA516F"/>
    <w:rsid w:val="00DA589D"/>
    <w:rsid w:val="00DA5958"/>
    <w:rsid w:val="00DA59BD"/>
    <w:rsid w:val="00DA5B78"/>
    <w:rsid w:val="00DA5CB5"/>
    <w:rsid w:val="00DA5EEB"/>
    <w:rsid w:val="00DA6322"/>
    <w:rsid w:val="00DA6381"/>
    <w:rsid w:val="00DA641D"/>
    <w:rsid w:val="00DA650F"/>
    <w:rsid w:val="00DA6AF1"/>
    <w:rsid w:val="00DA6E36"/>
    <w:rsid w:val="00DA6F04"/>
    <w:rsid w:val="00DA734D"/>
    <w:rsid w:val="00DA77A5"/>
    <w:rsid w:val="00DA7A14"/>
    <w:rsid w:val="00DA7E76"/>
    <w:rsid w:val="00DB00F7"/>
    <w:rsid w:val="00DB0352"/>
    <w:rsid w:val="00DB070A"/>
    <w:rsid w:val="00DB070F"/>
    <w:rsid w:val="00DB08CF"/>
    <w:rsid w:val="00DB0901"/>
    <w:rsid w:val="00DB0B68"/>
    <w:rsid w:val="00DB1490"/>
    <w:rsid w:val="00DB15F4"/>
    <w:rsid w:val="00DB1B17"/>
    <w:rsid w:val="00DB1B95"/>
    <w:rsid w:val="00DB1F50"/>
    <w:rsid w:val="00DB21A8"/>
    <w:rsid w:val="00DB249E"/>
    <w:rsid w:val="00DB251C"/>
    <w:rsid w:val="00DB28E5"/>
    <w:rsid w:val="00DB2977"/>
    <w:rsid w:val="00DB2E76"/>
    <w:rsid w:val="00DB304F"/>
    <w:rsid w:val="00DB37C8"/>
    <w:rsid w:val="00DB3E22"/>
    <w:rsid w:val="00DB4020"/>
    <w:rsid w:val="00DB4212"/>
    <w:rsid w:val="00DB42AF"/>
    <w:rsid w:val="00DB43C6"/>
    <w:rsid w:val="00DB4553"/>
    <w:rsid w:val="00DB4734"/>
    <w:rsid w:val="00DB4969"/>
    <w:rsid w:val="00DB4A2B"/>
    <w:rsid w:val="00DB4D3D"/>
    <w:rsid w:val="00DB525B"/>
    <w:rsid w:val="00DB56ED"/>
    <w:rsid w:val="00DB57D0"/>
    <w:rsid w:val="00DB57E5"/>
    <w:rsid w:val="00DB57F7"/>
    <w:rsid w:val="00DB5836"/>
    <w:rsid w:val="00DB5CF0"/>
    <w:rsid w:val="00DB5D42"/>
    <w:rsid w:val="00DB5DCC"/>
    <w:rsid w:val="00DB5F50"/>
    <w:rsid w:val="00DB60BB"/>
    <w:rsid w:val="00DB626B"/>
    <w:rsid w:val="00DB64D3"/>
    <w:rsid w:val="00DB64E3"/>
    <w:rsid w:val="00DB6647"/>
    <w:rsid w:val="00DB6656"/>
    <w:rsid w:val="00DB668C"/>
    <w:rsid w:val="00DB6D1B"/>
    <w:rsid w:val="00DB7222"/>
    <w:rsid w:val="00DB741B"/>
    <w:rsid w:val="00DB744E"/>
    <w:rsid w:val="00DB75FE"/>
    <w:rsid w:val="00DB77D9"/>
    <w:rsid w:val="00DB7837"/>
    <w:rsid w:val="00DB791A"/>
    <w:rsid w:val="00DB7AB2"/>
    <w:rsid w:val="00DB7C1C"/>
    <w:rsid w:val="00DB7C98"/>
    <w:rsid w:val="00DB7D68"/>
    <w:rsid w:val="00DB7D9B"/>
    <w:rsid w:val="00DC0158"/>
    <w:rsid w:val="00DC01D0"/>
    <w:rsid w:val="00DC06C4"/>
    <w:rsid w:val="00DC079C"/>
    <w:rsid w:val="00DC0CA4"/>
    <w:rsid w:val="00DC0CC3"/>
    <w:rsid w:val="00DC0F32"/>
    <w:rsid w:val="00DC114B"/>
    <w:rsid w:val="00DC1769"/>
    <w:rsid w:val="00DC18CE"/>
    <w:rsid w:val="00DC1A98"/>
    <w:rsid w:val="00DC1AC6"/>
    <w:rsid w:val="00DC1FF6"/>
    <w:rsid w:val="00DC2478"/>
    <w:rsid w:val="00DC29A8"/>
    <w:rsid w:val="00DC29B6"/>
    <w:rsid w:val="00DC2BB4"/>
    <w:rsid w:val="00DC2D22"/>
    <w:rsid w:val="00DC2E69"/>
    <w:rsid w:val="00DC2E6E"/>
    <w:rsid w:val="00DC30D7"/>
    <w:rsid w:val="00DC317A"/>
    <w:rsid w:val="00DC3268"/>
    <w:rsid w:val="00DC3288"/>
    <w:rsid w:val="00DC345E"/>
    <w:rsid w:val="00DC3474"/>
    <w:rsid w:val="00DC348C"/>
    <w:rsid w:val="00DC3955"/>
    <w:rsid w:val="00DC3992"/>
    <w:rsid w:val="00DC3CF8"/>
    <w:rsid w:val="00DC3D5E"/>
    <w:rsid w:val="00DC412F"/>
    <w:rsid w:val="00DC4186"/>
    <w:rsid w:val="00DC43ED"/>
    <w:rsid w:val="00DC4481"/>
    <w:rsid w:val="00DC45A9"/>
    <w:rsid w:val="00DC45AB"/>
    <w:rsid w:val="00DC4C83"/>
    <w:rsid w:val="00DC4D0D"/>
    <w:rsid w:val="00DC4E21"/>
    <w:rsid w:val="00DC54F7"/>
    <w:rsid w:val="00DC5501"/>
    <w:rsid w:val="00DC560F"/>
    <w:rsid w:val="00DC56CC"/>
    <w:rsid w:val="00DC58FA"/>
    <w:rsid w:val="00DC5A8E"/>
    <w:rsid w:val="00DC6845"/>
    <w:rsid w:val="00DC685C"/>
    <w:rsid w:val="00DC701D"/>
    <w:rsid w:val="00DC7571"/>
    <w:rsid w:val="00DC77FC"/>
    <w:rsid w:val="00DC7AD0"/>
    <w:rsid w:val="00DC7CA8"/>
    <w:rsid w:val="00DC7D41"/>
    <w:rsid w:val="00DC7E6A"/>
    <w:rsid w:val="00DC7FE8"/>
    <w:rsid w:val="00DD01C5"/>
    <w:rsid w:val="00DD0641"/>
    <w:rsid w:val="00DD0679"/>
    <w:rsid w:val="00DD068A"/>
    <w:rsid w:val="00DD06BC"/>
    <w:rsid w:val="00DD070A"/>
    <w:rsid w:val="00DD07B8"/>
    <w:rsid w:val="00DD07D1"/>
    <w:rsid w:val="00DD0A6D"/>
    <w:rsid w:val="00DD0CEE"/>
    <w:rsid w:val="00DD0D13"/>
    <w:rsid w:val="00DD0D4B"/>
    <w:rsid w:val="00DD0FD9"/>
    <w:rsid w:val="00DD1011"/>
    <w:rsid w:val="00DD1244"/>
    <w:rsid w:val="00DD15F2"/>
    <w:rsid w:val="00DD18E7"/>
    <w:rsid w:val="00DD1A43"/>
    <w:rsid w:val="00DD20BC"/>
    <w:rsid w:val="00DD2208"/>
    <w:rsid w:val="00DD2313"/>
    <w:rsid w:val="00DD2394"/>
    <w:rsid w:val="00DD23D3"/>
    <w:rsid w:val="00DD2AD4"/>
    <w:rsid w:val="00DD2D09"/>
    <w:rsid w:val="00DD2E20"/>
    <w:rsid w:val="00DD2F3E"/>
    <w:rsid w:val="00DD3523"/>
    <w:rsid w:val="00DD37BA"/>
    <w:rsid w:val="00DD3A52"/>
    <w:rsid w:val="00DD3AAD"/>
    <w:rsid w:val="00DD3B15"/>
    <w:rsid w:val="00DD3D7F"/>
    <w:rsid w:val="00DD3F28"/>
    <w:rsid w:val="00DD4338"/>
    <w:rsid w:val="00DD449D"/>
    <w:rsid w:val="00DD44D2"/>
    <w:rsid w:val="00DD4537"/>
    <w:rsid w:val="00DD4698"/>
    <w:rsid w:val="00DD47C5"/>
    <w:rsid w:val="00DD4802"/>
    <w:rsid w:val="00DD4C2F"/>
    <w:rsid w:val="00DD4CE7"/>
    <w:rsid w:val="00DD4DD4"/>
    <w:rsid w:val="00DD4E15"/>
    <w:rsid w:val="00DD4E4F"/>
    <w:rsid w:val="00DD4F47"/>
    <w:rsid w:val="00DD5202"/>
    <w:rsid w:val="00DD53C4"/>
    <w:rsid w:val="00DD55ED"/>
    <w:rsid w:val="00DD5C31"/>
    <w:rsid w:val="00DD5E2D"/>
    <w:rsid w:val="00DD5F35"/>
    <w:rsid w:val="00DD6577"/>
    <w:rsid w:val="00DD6589"/>
    <w:rsid w:val="00DD6A9E"/>
    <w:rsid w:val="00DD6E3A"/>
    <w:rsid w:val="00DD6E94"/>
    <w:rsid w:val="00DD7576"/>
    <w:rsid w:val="00DD760F"/>
    <w:rsid w:val="00DD77D3"/>
    <w:rsid w:val="00DD7D8D"/>
    <w:rsid w:val="00DE0130"/>
    <w:rsid w:val="00DE0445"/>
    <w:rsid w:val="00DE07D1"/>
    <w:rsid w:val="00DE0A79"/>
    <w:rsid w:val="00DE0AC1"/>
    <w:rsid w:val="00DE0B66"/>
    <w:rsid w:val="00DE0E69"/>
    <w:rsid w:val="00DE0FAF"/>
    <w:rsid w:val="00DE1500"/>
    <w:rsid w:val="00DE15BA"/>
    <w:rsid w:val="00DE1712"/>
    <w:rsid w:val="00DE1836"/>
    <w:rsid w:val="00DE199D"/>
    <w:rsid w:val="00DE19C5"/>
    <w:rsid w:val="00DE1CA8"/>
    <w:rsid w:val="00DE1E30"/>
    <w:rsid w:val="00DE210D"/>
    <w:rsid w:val="00DE21C6"/>
    <w:rsid w:val="00DE26F8"/>
    <w:rsid w:val="00DE2E0E"/>
    <w:rsid w:val="00DE3050"/>
    <w:rsid w:val="00DE3414"/>
    <w:rsid w:val="00DE36DD"/>
    <w:rsid w:val="00DE391B"/>
    <w:rsid w:val="00DE3BFF"/>
    <w:rsid w:val="00DE414B"/>
    <w:rsid w:val="00DE4859"/>
    <w:rsid w:val="00DE4955"/>
    <w:rsid w:val="00DE4AE5"/>
    <w:rsid w:val="00DE4FCB"/>
    <w:rsid w:val="00DE54B8"/>
    <w:rsid w:val="00DE56FA"/>
    <w:rsid w:val="00DE57D3"/>
    <w:rsid w:val="00DE5834"/>
    <w:rsid w:val="00DE5885"/>
    <w:rsid w:val="00DE59B8"/>
    <w:rsid w:val="00DE5AAE"/>
    <w:rsid w:val="00DE5AFB"/>
    <w:rsid w:val="00DE61FD"/>
    <w:rsid w:val="00DE640C"/>
    <w:rsid w:val="00DE649D"/>
    <w:rsid w:val="00DE65AD"/>
    <w:rsid w:val="00DE667B"/>
    <w:rsid w:val="00DE6B9C"/>
    <w:rsid w:val="00DE6EE2"/>
    <w:rsid w:val="00DE6F1D"/>
    <w:rsid w:val="00DE7028"/>
    <w:rsid w:val="00DE71ED"/>
    <w:rsid w:val="00DE7371"/>
    <w:rsid w:val="00DE7410"/>
    <w:rsid w:val="00DE74DF"/>
    <w:rsid w:val="00DE7537"/>
    <w:rsid w:val="00DE7AAA"/>
    <w:rsid w:val="00DE7B5D"/>
    <w:rsid w:val="00DE7D24"/>
    <w:rsid w:val="00DE7E97"/>
    <w:rsid w:val="00DF0324"/>
    <w:rsid w:val="00DF0C15"/>
    <w:rsid w:val="00DF0FDA"/>
    <w:rsid w:val="00DF10D1"/>
    <w:rsid w:val="00DF1614"/>
    <w:rsid w:val="00DF194E"/>
    <w:rsid w:val="00DF19EF"/>
    <w:rsid w:val="00DF2173"/>
    <w:rsid w:val="00DF287E"/>
    <w:rsid w:val="00DF2A95"/>
    <w:rsid w:val="00DF2D12"/>
    <w:rsid w:val="00DF3029"/>
    <w:rsid w:val="00DF3267"/>
    <w:rsid w:val="00DF327A"/>
    <w:rsid w:val="00DF3646"/>
    <w:rsid w:val="00DF3716"/>
    <w:rsid w:val="00DF39FF"/>
    <w:rsid w:val="00DF3AFE"/>
    <w:rsid w:val="00DF40E3"/>
    <w:rsid w:val="00DF42A0"/>
    <w:rsid w:val="00DF43FF"/>
    <w:rsid w:val="00DF447D"/>
    <w:rsid w:val="00DF44CF"/>
    <w:rsid w:val="00DF4554"/>
    <w:rsid w:val="00DF4865"/>
    <w:rsid w:val="00DF4ACC"/>
    <w:rsid w:val="00DF4B02"/>
    <w:rsid w:val="00DF4BFC"/>
    <w:rsid w:val="00DF50FE"/>
    <w:rsid w:val="00DF51A7"/>
    <w:rsid w:val="00DF52A6"/>
    <w:rsid w:val="00DF5352"/>
    <w:rsid w:val="00DF550E"/>
    <w:rsid w:val="00DF5937"/>
    <w:rsid w:val="00DF5B7A"/>
    <w:rsid w:val="00DF5CEF"/>
    <w:rsid w:val="00DF5D2B"/>
    <w:rsid w:val="00DF6095"/>
    <w:rsid w:val="00DF63A3"/>
    <w:rsid w:val="00DF655C"/>
    <w:rsid w:val="00DF6A03"/>
    <w:rsid w:val="00DF6AB3"/>
    <w:rsid w:val="00DF707D"/>
    <w:rsid w:val="00DF731E"/>
    <w:rsid w:val="00DF7640"/>
    <w:rsid w:val="00DF7AD1"/>
    <w:rsid w:val="00DF7C5B"/>
    <w:rsid w:val="00DF7CC8"/>
    <w:rsid w:val="00E004A7"/>
    <w:rsid w:val="00E007D5"/>
    <w:rsid w:val="00E00C31"/>
    <w:rsid w:val="00E00CAD"/>
    <w:rsid w:val="00E00DF4"/>
    <w:rsid w:val="00E01163"/>
    <w:rsid w:val="00E01363"/>
    <w:rsid w:val="00E013D4"/>
    <w:rsid w:val="00E018A8"/>
    <w:rsid w:val="00E018C9"/>
    <w:rsid w:val="00E01A17"/>
    <w:rsid w:val="00E01C2A"/>
    <w:rsid w:val="00E02457"/>
    <w:rsid w:val="00E0270E"/>
    <w:rsid w:val="00E0302E"/>
    <w:rsid w:val="00E030D3"/>
    <w:rsid w:val="00E031E1"/>
    <w:rsid w:val="00E033BC"/>
    <w:rsid w:val="00E0378A"/>
    <w:rsid w:val="00E0395F"/>
    <w:rsid w:val="00E03AE8"/>
    <w:rsid w:val="00E0400A"/>
    <w:rsid w:val="00E042C6"/>
    <w:rsid w:val="00E042DD"/>
    <w:rsid w:val="00E045EA"/>
    <w:rsid w:val="00E0494F"/>
    <w:rsid w:val="00E04B96"/>
    <w:rsid w:val="00E04D13"/>
    <w:rsid w:val="00E04E1F"/>
    <w:rsid w:val="00E0516A"/>
    <w:rsid w:val="00E058A6"/>
    <w:rsid w:val="00E05BFC"/>
    <w:rsid w:val="00E060BE"/>
    <w:rsid w:val="00E06166"/>
    <w:rsid w:val="00E06452"/>
    <w:rsid w:val="00E06605"/>
    <w:rsid w:val="00E067C7"/>
    <w:rsid w:val="00E06C3E"/>
    <w:rsid w:val="00E06CC6"/>
    <w:rsid w:val="00E06E64"/>
    <w:rsid w:val="00E06F1B"/>
    <w:rsid w:val="00E070B0"/>
    <w:rsid w:val="00E070C6"/>
    <w:rsid w:val="00E070CF"/>
    <w:rsid w:val="00E07398"/>
    <w:rsid w:val="00E0750E"/>
    <w:rsid w:val="00E077DF"/>
    <w:rsid w:val="00E07862"/>
    <w:rsid w:val="00E07899"/>
    <w:rsid w:val="00E079F1"/>
    <w:rsid w:val="00E07BB8"/>
    <w:rsid w:val="00E100E6"/>
    <w:rsid w:val="00E10149"/>
    <w:rsid w:val="00E1032B"/>
    <w:rsid w:val="00E1036B"/>
    <w:rsid w:val="00E1044C"/>
    <w:rsid w:val="00E1045F"/>
    <w:rsid w:val="00E105DD"/>
    <w:rsid w:val="00E10645"/>
    <w:rsid w:val="00E1066D"/>
    <w:rsid w:val="00E10C94"/>
    <w:rsid w:val="00E10C9C"/>
    <w:rsid w:val="00E10CD1"/>
    <w:rsid w:val="00E10CFE"/>
    <w:rsid w:val="00E111B9"/>
    <w:rsid w:val="00E111FF"/>
    <w:rsid w:val="00E114D2"/>
    <w:rsid w:val="00E11599"/>
    <w:rsid w:val="00E116C7"/>
    <w:rsid w:val="00E119DE"/>
    <w:rsid w:val="00E11A36"/>
    <w:rsid w:val="00E12122"/>
    <w:rsid w:val="00E1213A"/>
    <w:rsid w:val="00E1213D"/>
    <w:rsid w:val="00E12254"/>
    <w:rsid w:val="00E12492"/>
    <w:rsid w:val="00E1282A"/>
    <w:rsid w:val="00E129B4"/>
    <w:rsid w:val="00E129F2"/>
    <w:rsid w:val="00E12B7F"/>
    <w:rsid w:val="00E13A59"/>
    <w:rsid w:val="00E13E62"/>
    <w:rsid w:val="00E140E3"/>
    <w:rsid w:val="00E14277"/>
    <w:rsid w:val="00E145B1"/>
    <w:rsid w:val="00E148CE"/>
    <w:rsid w:val="00E14B60"/>
    <w:rsid w:val="00E14C26"/>
    <w:rsid w:val="00E15997"/>
    <w:rsid w:val="00E15C3D"/>
    <w:rsid w:val="00E1633F"/>
    <w:rsid w:val="00E16372"/>
    <w:rsid w:val="00E165B6"/>
    <w:rsid w:val="00E165FB"/>
    <w:rsid w:val="00E16713"/>
    <w:rsid w:val="00E171F5"/>
    <w:rsid w:val="00E172F8"/>
    <w:rsid w:val="00E174C1"/>
    <w:rsid w:val="00E17634"/>
    <w:rsid w:val="00E1763D"/>
    <w:rsid w:val="00E176F5"/>
    <w:rsid w:val="00E17982"/>
    <w:rsid w:val="00E17AF9"/>
    <w:rsid w:val="00E17BD8"/>
    <w:rsid w:val="00E17C91"/>
    <w:rsid w:val="00E20083"/>
    <w:rsid w:val="00E201C4"/>
    <w:rsid w:val="00E2029F"/>
    <w:rsid w:val="00E203F9"/>
    <w:rsid w:val="00E204D2"/>
    <w:rsid w:val="00E204E9"/>
    <w:rsid w:val="00E2059D"/>
    <w:rsid w:val="00E20697"/>
    <w:rsid w:val="00E209C9"/>
    <w:rsid w:val="00E20A78"/>
    <w:rsid w:val="00E20C5C"/>
    <w:rsid w:val="00E20CC0"/>
    <w:rsid w:val="00E20CC4"/>
    <w:rsid w:val="00E20ED6"/>
    <w:rsid w:val="00E20F31"/>
    <w:rsid w:val="00E20FCC"/>
    <w:rsid w:val="00E2102C"/>
    <w:rsid w:val="00E21088"/>
    <w:rsid w:val="00E2117C"/>
    <w:rsid w:val="00E21358"/>
    <w:rsid w:val="00E215A4"/>
    <w:rsid w:val="00E216B7"/>
    <w:rsid w:val="00E2187B"/>
    <w:rsid w:val="00E21886"/>
    <w:rsid w:val="00E21E1A"/>
    <w:rsid w:val="00E21E32"/>
    <w:rsid w:val="00E22007"/>
    <w:rsid w:val="00E2216E"/>
    <w:rsid w:val="00E22400"/>
    <w:rsid w:val="00E2249B"/>
    <w:rsid w:val="00E22A09"/>
    <w:rsid w:val="00E22A0D"/>
    <w:rsid w:val="00E22A33"/>
    <w:rsid w:val="00E22B45"/>
    <w:rsid w:val="00E22B63"/>
    <w:rsid w:val="00E22C60"/>
    <w:rsid w:val="00E2308D"/>
    <w:rsid w:val="00E23119"/>
    <w:rsid w:val="00E234A8"/>
    <w:rsid w:val="00E234E7"/>
    <w:rsid w:val="00E2392D"/>
    <w:rsid w:val="00E23BB8"/>
    <w:rsid w:val="00E23F10"/>
    <w:rsid w:val="00E24367"/>
    <w:rsid w:val="00E24730"/>
    <w:rsid w:val="00E24C6D"/>
    <w:rsid w:val="00E24DEF"/>
    <w:rsid w:val="00E251E6"/>
    <w:rsid w:val="00E25427"/>
    <w:rsid w:val="00E25557"/>
    <w:rsid w:val="00E25594"/>
    <w:rsid w:val="00E2566C"/>
    <w:rsid w:val="00E258A9"/>
    <w:rsid w:val="00E25C4F"/>
    <w:rsid w:val="00E25D22"/>
    <w:rsid w:val="00E25D97"/>
    <w:rsid w:val="00E2608E"/>
    <w:rsid w:val="00E26264"/>
    <w:rsid w:val="00E263B2"/>
    <w:rsid w:val="00E26514"/>
    <w:rsid w:val="00E2657E"/>
    <w:rsid w:val="00E2673E"/>
    <w:rsid w:val="00E26795"/>
    <w:rsid w:val="00E26B52"/>
    <w:rsid w:val="00E26BDB"/>
    <w:rsid w:val="00E26D9A"/>
    <w:rsid w:val="00E26EA6"/>
    <w:rsid w:val="00E26F92"/>
    <w:rsid w:val="00E270FE"/>
    <w:rsid w:val="00E27500"/>
    <w:rsid w:val="00E276F6"/>
    <w:rsid w:val="00E2771E"/>
    <w:rsid w:val="00E27777"/>
    <w:rsid w:val="00E2778D"/>
    <w:rsid w:val="00E27C0E"/>
    <w:rsid w:val="00E300F6"/>
    <w:rsid w:val="00E30293"/>
    <w:rsid w:val="00E3058A"/>
    <w:rsid w:val="00E3062A"/>
    <w:rsid w:val="00E30E85"/>
    <w:rsid w:val="00E3150F"/>
    <w:rsid w:val="00E31823"/>
    <w:rsid w:val="00E31B1B"/>
    <w:rsid w:val="00E31B59"/>
    <w:rsid w:val="00E31E60"/>
    <w:rsid w:val="00E31F2A"/>
    <w:rsid w:val="00E3201E"/>
    <w:rsid w:val="00E321C7"/>
    <w:rsid w:val="00E323B3"/>
    <w:rsid w:val="00E3245C"/>
    <w:rsid w:val="00E32479"/>
    <w:rsid w:val="00E32620"/>
    <w:rsid w:val="00E32778"/>
    <w:rsid w:val="00E32798"/>
    <w:rsid w:val="00E32A22"/>
    <w:rsid w:val="00E32BB7"/>
    <w:rsid w:val="00E32DCE"/>
    <w:rsid w:val="00E333BB"/>
    <w:rsid w:val="00E337B8"/>
    <w:rsid w:val="00E337F1"/>
    <w:rsid w:val="00E33850"/>
    <w:rsid w:val="00E339D8"/>
    <w:rsid w:val="00E339EF"/>
    <w:rsid w:val="00E33A92"/>
    <w:rsid w:val="00E34015"/>
    <w:rsid w:val="00E34100"/>
    <w:rsid w:val="00E34157"/>
    <w:rsid w:val="00E34392"/>
    <w:rsid w:val="00E344DE"/>
    <w:rsid w:val="00E34619"/>
    <w:rsid w:val="00E34A32"/>
    <w:rsid w:val="00E34C8D"/>
    <w:rsid w:val="00E354AD"/>
    <w:rsid w:val="00E354D0"/>
    <w:rsid w:val="00E35679"/>
    <w:rsid w:val="00E356C9"/>
    <w:rsid w:val="00E35A56"/>
    <w:rsid w:val="00E35E01"/>
    <w:rsid w:val="00E36490"/>
    <w:rsid w:val="00E36884"/>
    <w:rsid w:val="00E36937"/>
    <w:rsid w:val="00E36982"/>
    <w:rsid w:val="00E36A07"/>
    <w:rsid w:val="00E36C12"/>
    <w:rsid w:val="00E36D29"/>
    <w:rsid w:val="00E371E5"/>
    <w:rsid w:val="00E37421"/>
    <w:rsid w:val="00E37477"/>
    <w:rsid w:val="00E37569"/>
    <w:rsid w:val="00E37696"/>
    <w:rsid w:val="00E37A2C"/>
    <w:rsid w:val="00E37BB5"/>
    <w:rsid w:val="00E4006A"/>
    <w:rsid w:val="00E40200"/>
    <w:rsid w:val="00E4045A"/>
    <w:rsid w:val="00E40534"/>
    <w:rsid w:val="00E40633"/>
    <w:rsid w:val="00E40D42"/>
    <w:rsid w:val="00E40FC8"/>
    <w:rsid w:val="00E41252"/>
    <w:rsid w:val="00E41667"/>
    <w:rsid w:val="00E41CEA"/>
    <w:rsid w:val="00E41D3C"/>
    <w:rsid w:val="00E41DCA"/>
    <w:rsid w:val="00E41E30"/>
    <w:rsid w:val="00E426B0"/>
    <w:rsid w:val="00E42C65"/>
    <w:rsid w:val="00E42E22"/>
    <w:rsid w:val="00E43068"/>
    <w:rsid w:val="00E4319B"/>
    <w:rsid w:val="00E43206"/>
    <w:rsid w:val="00E4379F"/>
    <w:rsid w:val="00E43C40"/>
    <w:rsid w:val="00E43D70"/>
    <w:rsid w:val="00E43E1D"/>
    <w:rsid w:val="00E43FE0"/>
    <w:rsid w:val="00E44230"/>
    <w:rsid w:val="00E4450E"/>
    <w:rsid w:val="00E44728"/>
    <w:rsid w:val="00E44A5B"/>
    <w:rsid w:val="00E45056"/>
    <w:rsid w:val="00E453D1"/>
    <w:rsid w:val="00E45495"/>
    <w:rsid w:val="00E455A0"/>
    <w:rsid w:val="00E456F1"/>
    <w:rsid w:val="00E45762"/>
    <w:rsid w:val="00E45FEF"/>
    <w:rsid w:val="00E460FE"/>
    <w:rsid w:val="00E46446"/>
    <w:rsid w:val="00E46877"/>
    <w:rsid w:val="00E46B1A"/>
    <w:rsid w:val="00E4727C"/>
    <w:rsid w:val="00E47A3E"/>
    <w:rsid w:val="00E47AA4"/>
    <w:rsid w:val="00E47B2C"/>
    <w:rsid w:val="00E47C88"/>
    <w:rsid w:val="00E47E92"/>
    <w:rsid w:val="00E501C4"/>
    <w:rsid w:val="00E50522"/>
    <w:rsid w:val="00E5058D"/>
    <w:rsid w:val="00E505E2"/>
    <w:rsid w:val="00E509AB"/>
    <w:rsid w:val="00E50BC4"/>
    <w:rsid w:val="00E50D16"/>
    <w:rsid w:val="00E51158"/>
    <w:rsid w:val="00E5117D"/>
    <w:rsid w:val="00E511FE"/>
    <w:rsid w:val="00E5128D"/>
    <w:rsid w:val="00E51326"/>
    <w:rsid w:val="00E5143E"/>
    <w:rsid w:val="00E5148C"/>
    <w:rsid w:val="00E51560"/>
    <w:rsid w:val="00E517FD"/>
    <w:rsid w:val="00E5194F"/>
    <w:rsid w:val="00E51CA2"/>
    <w:rsid w:val="00E52888"/>
    <w:rsid w:val="00E5289E"/>
    <w:rsid w:val="00E52DB2"/>
    <w:rsid w:val="00E52FDF"/>
    <w:rsid w:val="00E53AEA"/>
    <w:rsid w:val="00E53C4F"/>
    <w:rsid w:val="00E53EE3"/>
    <w:rsid w:val="00E54085"/>
    <w:rsid w:val="00E542B3"/>
    <w:rsid w:val="00E544B2"/>
    <w:rsid w:val="00E544EE"/>
    <w:rsid w:val="00E54595"/>
    <w:rsid w:val="00E5485E"/>
    <w:rsid w:val="00E54875"/>
    <w:rsid w:val="00E549E4"/>
    <w:rsid w:val="00E54F46"/>
    <w:rsid w:val="00E55355"/>
    <w:rsid w:val="00E55424"/>
    <w:rsid w:val="00E55BB5"/>
    <w:rsid w:val="00E55E3C"/>
    <w:rsid w:val="00E55F54"/>
    <w:rsid w:val="00E5610F"/>
    <w:rsid w:val="00E5612E"/>
    <w:rsid w:val="00E5635F"/>
    <w:rsid w:val="00E56855"/>
    <w:rsid w:val="00E5699D"/>
    <w:rsid w:val="00E56B3C"/>
    <w:rsid w:val="00E56EA5"/>
    <w:rsid w:val="00E56EEF"/>
    <w:rsid w:val="00E57043"/>
    <w:rsid w:val="00E573C0"/>
    <w:rsid w:val="00E574FB"/>
    <w:rsid w:val="00E5762D"/>
    <w:rsid w:val="00E57E24"/>
    <w:rsid w:val="00E57E31"/>
    <w:rsid w:val="00E57E4D"/>
    <w:rsid w:val="00E60040"/>
    <w:rsid w:val="00E60184"/>
    <w:rsid w:val="00E6018E"/>
    <w:rsid w:val="00E60404"/>
    <w:rsid w:val="00E60833"/>
    <w:rsid w:val="00E60842"/>
    <w:rsid w:val="00E608D1"/>
    <w:rsid w:val="00E60924"/>
    <w:rsid w:val="00E60B40"/>
    <w:rsid w:val="00E60BB9"/>
    <w:rsid w:val="00E60BF1"/>
    <w:rsid w:val="00E61461"/>
    <w:rsid w:val="00E61481"/>
    <w:rsid w:val="00E61C4F"/>
    <w:rsid w:val="00E61C63"/>
    <w:rsid w:val="00E61FEA"/>
    <w:rsid w:val="00E620E9"/>
    <w:rsid w:val="00E62325"/>
    <w:rsid w:val="00E62329"/>
    <w:rsid w:val="00E62BF3"/>
    <w:rsid w:val="00E62CC5"/>
    <w:rsid w:val="00E63018"/>
    <w:rsid w:val="00E63579"/>
    <w:rsid w:val="00E637E3"/>
    <w:rsid w:val="00E63D44"/>
    <w:rsid w:val="00E63D8F"/>
    <w:rsid w:val="00E63D91"/>
    <w:rsid w:val="00E63E57"/>
    <w:rsid w:val="00E6450C"/>
    <w:rsid w:val="00E647E3"/>
    <w:rsid w:val="00E64866"/>
    <w:rsid w:val="00E64B31"/>
    <w:rsid w:val="00E64E45"/>
    <w:rsid w:val="00E64EB3"/>
    <w:rsid w:val="00E64FCE"/>
    <w:rsid w:val="00E651D6"/>
    <w:rsid w:val="00E65541"/>
    <w:rsid w:val="00E65640"/>
    <w:rsid w:val="00E65868"/>
    <w:rsid w:val="00E65A83"/>
    <w:rsid w:val="00E65E56"/>
    <w:rsid w:val="00E65E79"/>
    <w:rsid w:val="00E6614D"/>
    <w:rsid w:val="00E662BD"/>
    <w:rsid w:val="00E66371"/>
    <w:rsid w:val="00E6649F"/>
    <w:rsid w:val="00E664E1"/>
    <w:rsid w:val="00E66CED"/>
    <w:rsid w:val="00E67034"/>
    <w:rsid w:val="00E67170"/>
    <w:rsid w:val="00E67186"/>
    <w:rsid w:val="00E672C8"/>
    <w:rsid w:val="00E67416"/>
    <w:rsid w:val="00E67446"/>
    <w:rsid w:val="00E67873"/>
    <w:rsid w:val="00E678AF"/>
    <w:rsid w:val="00E67B64"/>
    <w:rsid w:val="00E67DED"/>
    <w:rsid w:val="00E70091"/>
    <w:rsid w:val="00E7013C"/>
    <w:rsid w:val="00E701FA"/>
    <w:rsid w:val="00E702DF"/>
    <w:rsid w:val="00E7039A"/>
    <w:rsid w:val="00E70A93"/>
    <w:rsid w:val="00E7127E"/>
    <w:rsid w:val="00E716A4"/>
    <w:rsid w:val="00E718B6"/>
    <w:rsid w:val="00E71904"/>
    <w:rsid w:val="00E7191E"/>
    <w:rsid w:val="00E71AB1"/>
    <w:rsid w:val="00E725B1"/>
    <w:rsid w:val="00E725C7"/>
    <w:rsid w:val="00E72716"/>
    <w:rsid w:val="00E72A0C"/>
    <w:rsid w:val="00E72C93"/>
    <w:rsid w:val="00E72D18"/>
    <w:rsid w:val="00E73465"/>
    <w:rsid w:val="00E73581"/>
    <w:rsid w:val="00E735AE"/>
    <w:rsid w:val="00E735DA"/>
    <w:rsid w:val="00E7369F"/>
    <w:rsid w:val="00E73807"/>
    <w:rsid w:val="00E74078"/>
    <w:rsid w:val="00E7410F"/>
    <w:rsid w:val="00E742A2"/>
    <w:rsid w:val="00E743B7"/>
    <w:rsid w:val="00E74647"/>
    <w:rsid w:val="00E74783"/>
    <w:rsid w:val="00E747F8"/>
    <w:rsid w:val="00E74B94"/>
    <w:rsid w:val="00E74B98"/>
    <w:rsid w:val="00E75470"/>
    <w:rsid w:val="00E75693"/>
    <w:rsid w:val="00E75BD2"/>
    <w:rsid w:val="00E75C28"/>
    <w:rsid w:val="00E75D7C"/>
    <w:rsid w:val="00E76307"/>
    <w:rsid w:val="00E76945"/>
    <w:rsid w:val="00E76AAD"/>
    <w:rsid w:val="00E7735A"/>
    <w:rsid w:val="00E773CC"/>
    <w:rsid w:val="00E77542"/>
    <w:rsid w:val="00E80181"/>
    <w:rsid w:val="00E8036B"/>
    <w:rsid w:val="00E80BC1"/>
    <w:rsid w:val="00E80C6E"/>
    <w:rsid w:val="00E80CA3"/>
    <w:rsid w:val="00E80EDC"/>
    <w:rsid w:val="00E811DF"/>
    <w:rsid w:val="00E818F5"/>
    <w:rsid w:val="00E81AAD"/>
    <w:rsid w:val="00E81BD9"/>
    <w:rsid w:val="00E81DF3"/>
    <w:rsid w:val="00E8208F"/>
    <w:rsid w:val="00E82763"/>
    <w:rsid w:val="00E82F06"/>
    <w:rsid w:val="00E83447"/>
    <w:rsid w:val="00E8368E"/>
    <w:rsid w:val="00E838A3"/>
    <w:rsid w:val="00E83AD3"/>
    <w:rsid w:val="00E83BDF"/>
    <w:rsid w:val="00E83C7B"/>
    <w:rsid w:val="00E83E59"/>
    <w:rsid w:val="00E83FBF"/>
    <w:rsid w:val="00E84230"/>
    <w:rsid w:val="00E845B5"/>
    <w:rsid w:val="00E846A9"/>
    <w:rsid w:val="00E848D8"/>
    <w:rsid w:val="00E848FF"/>
    <w:rsid w:val="00E84945"/>
    <w:rsid w:val="00E849A2"/>
    <w:rsid w:val="00E84AD8"/>
    <w:rsid w:val="00E8512C"/>
    <w:rsid w:val="00E851CA"/>
    <w:rsid w:val="00E85218"/>
    <w:rsid w:val="00E856EF"/>
    <w:rsid w:val="00E85C2B"/>
    <w:rsid w:val="00E8637A"/>
    <w:rsid w:val="00E866D4"/>
    <w:rsid w:val="00E86783"/>
    <w:rsid w:val="00E86B7B"/>
    <w:rsid w:val="00E86BC2"/>
    <w:rsid w:val="00E86F35"/>
    <w:rsid w:val="00E871C6"/>
    <w:rsid w:val="00E8779E"/>
    <w:rsid w:val="00E87A07"/>
    <w:rsid w:val="00E87AA7"/>
    <w:rsid w:val="00E87D14"/>
    <w:rsid w:val="00E87F6C"/>
    <w:rsid w:val="00E90064"/>
    <w:rsid w:val="00E9062B"/>
    <w:rsid w:val="00E90A92"/>
    <w:rsid w:val="00E90B4A"/>
    <w:rsid w:val="00E9113C"/>
    <w:rsid w:val="00E9133B"/>
    <w:rsid w:val="00E9136D"/>
    <w:rsid w:val="00E91546"/>
    <w:rsid w:val="00E91741"/>
    <w:rsid w:val="00E917F3"/>
    <w:rsid w:val="00E91966"/>
    <w:rsid w:val="00E91A00"/>
    <w:rsid w:val="00E91C88"/>
    <w:rsid w:val="00E91E4B"/>
    <w:rsid w:val="00E9259F"/>
    <w:rsid w:val="00E92677"/>
    <w:rsid w:val="00E92D5C"/>
    <w:rsid w:val="00E92D7F"/>
    <w:rsid w:val="00E92DE5"/>
    <w:rsid w:val="00E92F28"/>
    <w:rsid w:val="00E93822"/>
    <w:rsid w:val="00E939E9"/>
    <w:rsid w:val="00E93BBB"/>
    <w:rsid w:val="00E93E67"/>
    <w:rsid w:val="00E93EF2"/>
    <w:rsid w:val="00E94160"/>
    <w:rsid w:val="00E94320"/>
    <w:rsid w:val="00E94B33"/>
    <w:rsid w:val="00E94FF0"/>
    <w:rsid w:val="00E9517D"/>
    <w:rsid w:val="00E95392"/>
    <w:rsid w:val="00E95454"/>
    <w:rsid w:val="00E955E7"/>
    <w:rsid w:val="00E95B2D"/>
    <w:rsid w:val="00E95E94"/>
    <w:rsid w:val="00E96035"/>
    <w:rsid w:val="00E9635D"/>
    <w:rsid w:val="00E967B3"/>
    <w:rsid w:val="00E9703C"/>
    <w:rsid w:val="00E9713D"/>
    <w:rsid w:val="00E9715A"/>
    <w:rsid w:val="00E97533"/>
    <w:rsid w:val="00E97D3F"/>
    <w:rsid w:val="00E97E8B"/>
    <w:rsid w:val="00EA04D0"/>
    <w:rsid w:val="00EA093E"/>
    <w:rsid w:val="00EA0BBD"/>
    <w:rsid w:val="00EA0BD4"/>
    <w:rsid w:val="00EA0D69"/>
    <w:rsid w:val="00EA0EB1"/>
    <w:rsid w:val="00EA10A3"/>
    <w:rsid w:val="00EA117F"/>
    <w:rsid w:val="00EA125E"/>
    <w:rsid w:val="00EA163C"/>
    <w:rsid w:val="00EA16D7"/>
    <w:rsid w:val="00EA1723"/>
    <w:rsid w:val="00EA1810"/>
    <w:rsid w:val="00EA1BB1"/>
    <w:rsid w:val="00EA1BD2"/>
    <w:rsid w:val="00EA1EA4"/>
    <w:rsid w:val="00EA20FD"/>
    <w:rsid w:val="00EA217E"/>
    <w:rsid w:val="00EA24F6"/>
    <w:rsid w:val="00EA2C5A"/>
    <w:rsid w:val="00EA2CD4"/>
    <w:rsid w:val="00EA2F3A"/>
    <w:rsid w:val="00EA324B"/>
    <w:rsid w:val="00EA3469"/>
    <w:rsid w:val="00EA3540"/>
    <w:rsid w:val="00EA3864"/>
    <w:rsid w:val="00EA3B73"/>
    <w:rsid w:val="00EA3E14"/>
    <w:rsid w:val="00EA3F58"/>
    <w:rsid w:val="00EA4004"/>
    <w:rsid w:val="00EA4099"/>
    <w:rsid w:val="00EA425C"/>
    <w:rsid w:val="00EA4375"/>
    <w:rsid w:val="00EA439D"/>
    <w:rsid w:val="00EA45FF"/>
    <w:rsid w:val="00EA46E3"/>
    <w:rsid w:val="00EA4940"/>
    <w:rsid w:val="00EA4DF9"/>
    <w:rsid w:val="00EA4EA6"/>
    <w:rsid w:val="00EA5016"/>
    <w:rsid w:val="00EA508B"/>
    <w:rsid w:val="00EA527C"/>
    <w:rsid w:val="00EA5716"/>
    <w:rsid w:val="00EA5911"/>
    <w:rsid w:val="00EA5B62"/>
    <w:rsid w:val="00EA5B73"/>
    <w:rsid w:val="00EA5DBE"/>
    <w:rsid w:val="00EA5E24"/>
    <w:rsid w:val="00EA6195"/>
    <w:rsid w:val="00EA6327"/>
    <w:rsid w:val="00EA653B"/>
    <w:rsid w:val="00EA662F"/>
    <w:rsid w:val="00EA6724"/>
    <w:rsid w:val="00EA680A"/>
    <w:rsid w:val="00EA6B68"/>
    <w:rsid w:val="00EA6E5F"/>
    <w:rsid w:val="00EA72A4"/>
    <w:rsid w:val="00EA75FA"/>
    <w:rsid w:val="00EA76A5"/>
    <w:rsid w:val="00EA77FA"/>
    <w:rsid w:val="00EA7855"/>
    <w:rsid w:val="00EA7B19"/>
    <w:rsid w:val="00EA7B96"/>
    <w:rsid w:val="00EA7F82"/>
    <w:rsid w:val="00EB00C7"/>
    <w:rsid w:val="00EB027E"/>
    <w:rsid w:val="00EB02AD"/>
    <w:rsid w:val="00EB02B9"/>
    <w:rsid w:val="00EB0399"/>
    <w:rsid w:val="00EB043A"/>
    <w:rsid w:val="00EB047C"/>
    <w:rsid w:val="00EB0793"/>
    <w:rsid w:val="00EB07F6"/>
    <w:rsid w:val="00EB07F8"/>
    <w:rsid w:val="00EB0BFB"/>
    <w:rsid w:val="00EB0CED"/>
    <w:rsid w:val="00EB0D16"/>
    <w:rsid w:val="00EB0D25"/>
    <w:rsid w:val="00EB0FC9"/>
    <w:rsid w:val="00EB1069"/>
    <w:rsid w:val="00EB1251"/>
    <w:rsid w:val="00EB15B6"/>
    <w:rsid w:val="00EB18A2"/>
    <w:rsid w:val="00EB18D1"/>
    <w:rsid w:val="00EB1B5D"/>
    <w:rsid w:val="00EB1E5B"/>
    <w:rsid w:val="00EB2A3D"/>
    <w:rsid w:val="00EB2AEF"/>
    <w:rsid w:val="00EB2C59"/>
    <w:rsid w:val="00EB2C7D"/>
    <w:rsid w:val="00EB3152"/>
    <w:rsid w:val="00EB3367"/>
    <w:rsid w:val="00EB3377"/>
    <w:rsid w:val="00EB33D2"/>
    <w:rsid w:val="00EB3490"/>
    <w:rsid w:val="00EB376E"/>
    <w:rsid w:val="00EB3780"/>
    <w:rsid w:val="00EB37E1"/>
    <w:rsid w:val="00EB3890"/>
    <w:rsid w:val="00EB3B6E"/>
    <w:rsid w:val="00EB3B94"/>
    <w:rsid w:val="00EB3D24"/>
    <w:rsid w:val="00EB4396"/>
    <w:rsid w:val="00EB44D5"/>
    <w:rsid w:val="00EB4886"/>
    <w:rsid w:val="00EB4916"/>
    <w:rsid w:val="00EB49BF"/>
    <w:rsid w:val="00EB4B2A"/>
    <w:rsid w:val="00EB4FA5"/>
    <w:rsid w:val="00EB5190"/>
    <w:rsid w:val="00EB5694"/>
    <w:rsid w:val="00EB56CC"/>
    <w:rsid w:val="00EB58A0"/>
    <w:rsid w:val="00EB58EA"/>
    <w:rsid w:val="00EB5ADC"/>
    <w:rsid w:val="00EB5B29"/>
    <w:rsid w:val="00EB5F31"/>
    <w:rsid w:val="00EB5FCC"/>
    <w:rsid w:val="00EB648A"/>
    <w:rsid w:val="00EB68FB"/>
    <w:rsid w:val="00EB695E"/>
    <w:rsid w:val="00EB69E8"/>
    <w:rsid w:val="00EB6B62"/>
    <w:rsid w:val="00EB6D3A"/>
    <w:rsid w:val="00EB6F76"/>
    <w:rsid w:val="00EB70CA"/>
    <w:rsid w:val="00EB7475"/>
    <w:rsid w:val="00EB77EC"/>
    <w:rsid w:val="00EB78D5"/>
    <w:rsid w:val="00EB7ADB"/>
    <w:rsid w:val="00EC007A"/>
    <w:rsid w:val="00EC00C9"/>
    <w:rsid w:val="00EC01E5"/>
    <w:rsid w:val="00EC03F8"/>
    <w:rsid w:val="00EC0549"/>
    <w:rsid w:val="00EC085D"/>
    <w:rsid w:val="00EC0D3C"/>
    <w:rsid w:val="00EC0F13"/>
    <w:rsid w:val="00EC1097"/>
    <w:rsid w:val="00EC115A"/>
    <w:rsid w:val="00EC137E"/>
    <w:rsid w:val="00EC183B"/>
    <w:rsid w:val="00EC19F8"/>
    <w:rsid w:val="00EC1C0A"/>
    <w:rsid w:val="00EC1E5F"/>
    <w:rsid w:val="00EC22BB"/>
    <w:rsid w:val="00EC2828"/>
    <w:rsid w:val="00EC28A0"/>
    <w:rsid w:val="00EC2B0E"/>
    <w:rsid w:val="00EC2E39"/>
    <w:rsid w:val="00EC2FAE"/>
    <w:rsid w:val="00EC3066"/>
    <w:rsid w:val="00EC33DF"/>
    <w:rsid w:val="00EC3A4C"/>
    <w:rsid w:val="00EC3B4C"/>
    <w:rsid w:val="00EC3DF6"/>
    <w:rsid w:val="00EC4086"/>
    <w:rsid w:val="00EC4126"/>
    <w:rsid w:val="00EC497C"/>
    <w:rsid w:val="00EC49CB"/>
    <w:rsid w:val="00EC4C65"/>
    <w:rsid w:val="00EC4C9F"/>
    <w:rsid w:val="00EC50CE"/>
    <w:rsid w:val="00EC5153"/>
    <w:rsid w:val="00EC54DD"/>
    <w:rsid w:val="00EC561D"/>
    <w:rsid w:val="00EC567D"/>
    <w:rsid w:val="00EC59AF"/>
    <w:rsid w:val="00EC5E91"/>
    <w:rsid w:val="00EC6095"/>
    <w:rsid w:val="00EC60A7"/>
    <w:rsid w:val="00EC641D"/>
    <w:rsid w:val="00EC66C7"/>
    <w:rsid w:val="00EC6953"/>
    <w:rsid w:val="00EC6D3C"/>
    <w:rsid w:val="00EC7330"/>
    <w:rsid w:val="00EC79BD"/>
    <w:rsid w:val="00EC7E0C"/>
    <w:rsid w:val="00ED0147"/>
    <w:rsid w:val="00ED0DB0"/>
    <w:rsid w:val="00ED1014"/>
    <w:rsid w:val="00ED16E5"/>
    <w:rsid w:val="00ED1940"/>
    <w:rsid w:val="00ED1DD0"/>
    <w:rsid w:val="00ED200F"/>
    <w:rsid w:val="00ED22A4"/>
    <w:rsid w:val="00ED26EF"/>
    <w:rsid w:val="00ED27A7"/>
    <w:rsid w:val="00ED28F3"/>
    <w:rsid w:val="00ED2B6A"/>
    <w:rsid w:val="00ED2EFE"/>
    <w:rsid w:val="00ED3135"/>
    <w:rsid w:val="00ED3169"/>
    <w:rsid w:val="00ED3369"/>
    <w:rsid w:val="00ED35A0"/>
    <w:rsid w:val="00ED360A"/>
    <w:rsid w:val="00ED3C03"/>
    <w:rsid w:val="00ED3DFB"/>
    <w:rsid w:val="00ED3E27"/>
    <w:rsid w:val="00ED41FE"/>
    <w:rsid w:val="00ED4344"/>
    <w:rsid w:val="00ED4522"/>
    <w:rsid w:val="00ED4640"/>
    <w:rsid w:val="00ED4859"/>
    <w:rsid w:val="00ED49D3"/>
    <w:rsid w:val="00ED4A9A"/>
    <w:rsid w:val="00ED4C8B"/>
    <w:rsid w:val="00ED5337"/>
    <w:rsid w:val="00ED542B"/>
    <w:rsid w:val="00ED54A7"/>
    <w:rsid w:val="00ED5587"/>
    <w:rsid w:val="00ED5C5F"/>
    <w:rsid w:val="00ED5C69"/>
    <w:rsid w:val="00ED624F"/>
    <w:rsid w:val="00ED647C"/>
    <w:rsid w:val="00ED6522"/>
    <w:rsid w:val="00ED6883"/>
    <w:rsid w:val="00ED68FF"/>
    <w:rsid w:val="00ED69A6"/>
    <w:rsid w:val="00ED69F3"/>
    <w:rsid w:val="00ED6C24"/>
    <w:rsid w:val="00ED6ECF"/>
    <w:rsid w:val="00ED7205"/>
    <w:rsid w:val="00ED7452"/>
    <w:rsid w:val="00ED77ED"/>
    <w:rsid w:val="00ED7A2B"/>
    <w:rsid w:val="00ED7B1F"/>
    <w:rsid w:val="00ED7E9F"/>
    <w:rsid w:val="00ED7EB3"/>
    <w:rsid w:val="00EE0265"/>
    <w:rsid w:val="00EE02C0"/>
    <w:rsid w:val="00EE046F"/>
    <w:rsid w:val="00EE0652"/>
    <w:rsid w:val="00EE07D3"/>
    <w:rsid w:val="00EE07DA"/>
    <w:rsid w:val="00EE0992"/>
    <w:rsid w:val="00EE0BFB"/>
    <w:rsid w:val="00EE0D05"/>
    <w:rsid w:val="00EE11F4"/>
    <w:rsid w:val="00EE167A"/>
    <w:rsid w:val="00EE1722"/>
    <w:rsid w:val="00EE1E64"/>
    <w:rsid w:val="00EE20F1"/>
    <w:rsid w:val="00EE2464"/>
    <w:rsid w:val="00EE26C0"/>
    <w:rsid w:val="00EE28E3"/>
    <w:rsid w:val="00EE29A5"/>
    <w:rsid w:val="00EE2A96"/>
    <w:rsid w:val="00EE2EDF"/>
    <w:rsid w:val="00EE2FC2"/>
    <w:rsid w:val="00EE30D7"/>
    <w:rsid w:val="00EE321D"/>
    <w:rsid w:val="00EE3242"/>
    <w:rsid w:val="00EE3527"/>
    <w:rsid w:val="00EE3756"/>
    <w:rsid w:val="00EE38D6"/>
    <w:rsid w:val="00EE3B14"/>
    <w:rsid w:val="00EE3C66"/>
    <w:rsid w:val="00EE3C73"/>
    <w:rsid w:val="00EE3CDD"/>
    <w:rsid w:val="00EE3E71"/>
    <w:rsid w:val="00EE3F7A"/>
    <w:rsid w:val="00EE3FBB"/>
    <w:rsid w:val="00EE3FE7"/>
    <w:rsid w:val="00EE4205"/>
    <w:rsid w:val="00EE43C4"/>
    <w:rsid w:val="00EE480A"/>
    <w:rsid w:val="00EE48D7"/>
    <w:rsid w:val="00EE4BEB"/>
    <w:rsid w:val="00EE4E6A"/>
    <w:rsid w:val="00EE5899"/>
    <w:rsid w:val="00EE5983"/>
    <w:rsid w:val="00EE59CD"/>
    <w:rsid w:val="00EE5E82"/>
    <w:rsid w:val="00EE63D2"/>
    <w:rsid w:val="00EE64FF"/>
    <w:rsid w:val="00EE6561"/>
    <w:rsid w:val="00EE6857"/>
    <w:rsid w:val="00EE6A05"/>
    <w:rsid w:val="00EE6C11"/>
    <w:rsid w:val="00EE6CF4"/>
    <w:rsid w:val="00EE7029"/>
    <w:rsid w:val="00EE7106"/>
    <w:rsid w:val="00EE7625"/>
    <w:rsid w:val="00EE783D"/>
    <w:rsid w:val="00EE7A24"/>
    <w:rsid w:val="00EE7B5D"/>
    <w:rsid w:val="00EE7F10"/>
    <w:rsid w:val="00EF025E"/>
    <w:rsid w:val="00EF0D44"/>
    <w:rsid w:val="00EF0E2A"/>
    <w:rsid w:val="00EF0FF8"/>
    <w:rsid w:val="00EF13C2"/>
    <w:rsid w:val="00EF18F8"/>
    <w:rsid w:val="00EF1D67"/>
    <w:rsid w:val="00EF1FF1"/>
    <w:rsid w:val="00EF2630"/>
    <w:rsid w:val="00EF26BF"/>
    <w:rsid w:val="00EF2DD9"/>
    <w:rsid w:val="00EF2FD3"/>
    <w:rsid w:val="00EF3248"/>
    <w:rsid w:val="00EF34EF"/>
    <w:rsid w:val="00EF38AB"/>
    <w:rsid w:val="00EF3922"/>
    <w:rsid w:val="00EF3B4B"/>
    <w:rsid w:val="00EF3E22"/>
    <w:rsid w:val="00EF458C"/>
    <w:rsid w:val="00EF45F7"/>
    <w:rsid w:val="00EF4627"/>
    <w:rsid w:val="00EF47F9"/>
    <w:rsid w:val="00EF4838"/>
    <w:rsid w:val="00EF4928"/>
    <w:rsid w:val="00EF497A"/>
    <w:rsid w:val="00EF4BA7"/>
    <w:rsid w:val="00EF4C13"/>
    <w:rsid w:val="00EF4C66"/>
    <w:rsid w:val="00EF50C2"/>
    <w:rsid w:val="00EF52CD"/>
    <w:rsid w:val="00EF52D3"/>
    <w:rsid w:val="00EF5426"/>
    <w:rsid w:val="00EF560E"/>
    <w:rsid w:val="00EF589C"/>
    <w:rsid w:val="00EF59DB"/>
    <w:rsid w:val="00EF5B66"/>
    <w:rsid w:val="00EF61DB"/>
    <w:rsid w:val="00EF6315"/>
    <w:rsid w:val="00EF6561"/>
    <w:rsid w:val="00EF659D"/>
    <w:rsid w:val="00EF691D"/>
    <w:rsid w:val="00EF6B7E"/>
    <w:rsid w:val="00EF6D37"/>
    <w:rsid w:val="00EF6D6F"/>
    <w:rsid w:val="00EF6EC7"/>
    <w:rsid w:val="00EF6EF6"/>
    <w:rsid w:val="00EF71A1"/>
    <w:rsid w:val="00EF72E0"/>
    <w:rsid w:val="00EF73EE"/>
    <w:rsid w:val="00EF7576"/>
    <w:rsid w:val="00EF7581"/>
    <w:rsid w:val="00EF75B4"/>
    <w:rsid w:val="00EF7754"/>
    <w:rsid w:val="00EF7AA4"/>
    <w:rsid w:val="00EF7B14"/>
    <w:rsid w:val="00EF7C6C"/>
    <w:rsid w:val="00EF7E4C"/>
    <w:rsid w:val="00F0006C"/>
    <w:rsid w:val="00F001C6"/>
    <w:rsid w:val="00F0024A"/>
    <w:rsid w:val="00F005EC"/>
    <w:rsid w:val="00F0064F"/>
    <w:rsid w:val="00F0068E"/>
    <w:rsid w:val="00F00813"/>
    <w:rsid w:val="00F008F6"/>
    <w:rsid w:val="00F00A65"/>
    <w:rsid w:val="00F00C8F"/>
    <w:rsid w:val="00F0116A"/>
    <w:rsid w:val="00F012F4"/>
    <w:rsid w:val="00F01355"/>
    <w:rsid w:val="00F01393"/>
    <w:rsid w:val="00F01410"/>
    <w:rsid w:val="00F02008"/>
    <w:rsid w:val="00F02062"/>
    <w:rsid w:val="00F02063"/>
    <w:rsid w:val="00F020AF"/>
    <w:rsid w:val="00F02210"/>
    <w:rsid w:val="00F023E7"/>
    <w:rsid w:val="00F02487"/>
    <w:rsid w:val="00F02B04"/>
    <w:rsid w:val="00F02DE9"/>
    <w:rsid w:val="00F02FBF"/>
    <w:rsid w:val="00F03079"/>
    <w:rsid w:val="00F0374D"/>
    <w:rsid w:val="00F03767"/>
    <w:rsid w:val="00F03F6B"/>
    <w:rsid w:val="00F04326"/>
    <w:rsid w:val="00F04537"/>
    <w:rsid w:val="00F0466A"/>
    <w:rsid w:val="00F04741"/>
    <w:rsid w:val="00F04806"/>
    <w:rsid w:val="00F04830"/>
    <w:rsid w:val="00F05109"/>
    <w:rsid w:val="00F0513B"/>
    <w:rsid w:val="00F051CC"/>
    <w:rsid w:val="00F05275"/>
    <w:rsid w:val="00F05464"/>
    <w:rsid w:val="00F0549E"/>
    <w:rsid w:val="00F0569C"/>
    <w:rsid w:val="00F0569F"/>
    <w:rsid w:val="00F05E55"/>
    <w:rsid w:val="00F05FB4"/>
    <w:rsid w:val="00F0652D"/>
    <w:rsid w:val="00F06572"/>
    <w:rsid w:val="00F065B6"/>
    <w:rsid w:val="00F06645"/>
    <w:rsid w:val="00F06719"/>
    <w:rsid w:val="00F0674E"/>
    <w:rsid w:val="00F067A2"/>
    <w:rsid w:val="00F06809"/>
    <w:rsid w:val="00F06895"/>
    <w:rsid w:val="00F06D0D"/>
    <w:rsid w:val="00F06F62"/>
    <w:rsid w:val="00F077FB"/>
    <w:rsid w:val="00F07CF4"/>
    <w:rsid w:val="00F07EAA"/>
    <w:rsid w:val="00F102E1"/>
    <w:rsid w:val="00F10332"/>
    <w:rsid w:val="00F106E7"/>
    <w:rsid w:val="00F107D7"/>
    <w:rsid w:val="00F10868"/>
    <w:rsid w:val="00F1092A"/>
    <w:rsid w:val="00F109BC"/>
    <w:rsid w:val="00F1102F"/>
    <w:rsid w:val="00F11034"/>
    <w:rsid w:val="00F110E5"/>
    <w:rsid w:val="00F111F5"/>
    <w:rsid w:val="00F114E5"/>
    <w:rsid w:val="00F11515"/>
    <w:rsid w:val="00F1179C"/>
    <w:rsid w:val="00F117E1"/>
    <w:rsid w:val="00F118F6"/>
    <w:rsid w:val="00F11AE4"/>
    <w:rsid w:val="00F11D53"/>
    <w:rsid w:val="00F11DE2"/>
    <w:rsid w:val="00F125B2"/>
    <w:rsid w:val="00F12677"/>
    <w:rsid w:val="00F12711"/>
    <w:rsid w:val="00F12719"/>
    <w:rsid w:val="00F12DD1"/>
    <w:rsid w:val="00F12E1D"/>
    <w:rsid w:val="00F12F40"/>
    <w:rsid w:val="00F13823"/>
    <w:rsid w:val="00F13879"/>
    <w:rsid w:val="00F13969"/>
    <w:rsid w:val="00F13A5C"/>
    <w:rsid w:val="00F14459"/>
    <w:rsid w:val="00F14611"/>
    <w:rsid w:val="00F14935"/>
    <w:rsid w:val="00F14B85"/>
    <w:rsid w:val="00F14F61"/>
    <w:rsid w:val="00F151B8"/>
    <w:rsid w:val="00F15474"/>
    <w:rsid w:val="00F15524"/>
    <w:rsid w:val="00F15706"/>
    <w:rsid w:val="00F15832"/>
    <w:rsid w:val="00F15840"/>
    <w:rsid w:val="00F15DDC"/>
    <w:rsid w:val="00F15F5C"/>
    <w:rsid w:val="00F161D1"/>
    <w:rsid w:val="00F167B1"/>
    <w:rsid w:val="00F16BFB"/>
    <w:rsid w:val="00F16C09"/>
    <w:rsid w:val="00F16D25"/>
    <w:rsid w:val="00F16DFD"/>
    <w:rsid w:val="00F16E4D"/>
    <w:rsid w:val="00F17461"/>
    <w:rsid w:val="00F17E72"/>
    <w:rsid w:val="00F20101"/>
    <w:rsid w:val="00F20347"/>
    <w:rsid w:val="00F20A08"/>
    <w:rsid w:val="00F2126F"/>
    <w:rsid w:val="00F2145E"/>
    <w:rsid w:val="00F21623"/>
    <w:rsid w:val="00F217F7"/>
    <w:rsid w:val="00F21C0E"/>
    <w:rsid w:val="00F21D1A"/>
    <w:rsid w:val="00F2209F"/>
    <w:rsid w:val="00F220E3"/>
    <w:rsid w:val="00F22259"/>
    <w:rsid w:val="00F2289D"/>
    <w:rsid w:val="00F232FD"/>
    <w:rsid w:val="00F233A7"/>
    <w:rsid w:val="00F2355B"/>
    <w:rsid w:val="00F238EF"/>
    <w:rsid w:val="00F23A98"/>
    <w:rsid w:val="00F23B39"/>
    <w:rsid w:val="00F23DB5"/>
    <w:rsid w:val="00F24006"/>
    <w:rsid w:val="00F2434A"/>
    <w:rsid w:val="00F2445E"/>
    <w:rsid w:val="00F24501"/>
    <w:rsid w:val="00F247CC"/>
    <w:rsid w:val="00F24837"/>
    <w:rsid w:val="00F2493F"/>
    <w:rsid w:val="00F24C74"/>
    <w:rsid w:val="00F24D61"/>
    <w:rsid w:val="00F24E1A"/>
    <w:rsid w:val="00F24EA2"/>
    <w:rsid w:val="00F24F28"/>
    <w:rsid w:val="00F24FCC"/>
    <w:rsid w:val="00F252D1"/>
    <w:rsid w:val="00F255AB"/>
    <w:rsid w:val="00F255EE"/>
    <w:rsid w:val="00F2575F"/>
    <w:rsid w:val="00F25CCA"/>
    <w:rsid w:val="00F25E28"/>
    <w:rsid w:val="00F25E4C"/>
    <w:rsid w:val="00F2677A"/>
    <w:rsid w:val="00F26936"/>
    <w:rsid w:val="00F26999"/>
    <w:rsid w:val="00F26A41"/>
    <w:rsid w:val="00F26B37"/>
    <w:rsid w:val="00F26BBF"/>
    <w:rsid w:val="00F26DD6"/>
    <w:rsid w:val="00F26EB2"/>
    <w:rsid w:val="00F26EBE"/>
    <w:rsid w:val="00F27409"/>
    <w:rsid w:val="00F27635"/>
    <w:rsid w:val="00F27839"/>
    <w:rsid w:val="00F279DA"/>
    <w:rsid w:val="00F27D4C"/>
    <w:rsid w:val="00F30250"/>
    <w:rsid w:val="00F30A45"/>
    <w:rsid w:val="00F31932"/>
    <w:rsid w:val="00F31B3A"/>
    <w:rsid w:val="00F31D1A"/>
    <w:rsid w:val="00F31EEB"/>
    <w:rsid w:val="00F31F3B"/>
    <w:rsid w:val="00F32162"/>
    <w:rsid w:val="00F32539"/>
    <w:rsid w:val="00F3256D"/>
    <w:rsid w:val="00F3273C"/>
    <w:rsid w:val="00F32E17"/>
    <w:rsid w:val="00F32F94"/>
    <w:rsid w:val="00F3310D"/>
    <w:rsid w:val="00F332C9"/>
    <w:rsid w:val="00F33501"/>
    <w:rsid w:val="00F3372F"/>
    <w:rsid w:val="00F33DE9"/>
    <w:rsid w:val="00F33F63"/>
    <w:rsid w:val="00F340DE"/>
    <w:rsid w:val="00F34212"/>
    <w:rsid w:val="00F34564"/>
    <w:rsid w:val="00F348ED"/>
    <w:rsid w:val="00F34ACE"/>
    <w:rsid w:val="00F34CCC"/>
    <w:rsid w:val="00F34EE1"/>
    <w:rsid w:val="00F34FC4"/>
    <w:rsid w:val="00F3561C"/>
    <w:rsid w:val="00F3570B"/>
    <w:rsid w:val="00F357FC"/>
    <w:rsid w:val="00F35880"/>
    <w:rsid w:val="00F36032"/>
    <w:rsid w:val="00F3619A"/>
    <w:rsid w:val="00F36388"/>
    <w:rsid w:val="00F36463"/>
    <w:rsid w:val="00F36547"/>
    <w:rsid w:val="00F3662C"/>
    <w:rsid w:val="00F37308"/>
    <w:rsid w:val="00F375E6"/>
    <w:rsid w:val="00F375FE"/>
    <w:rsid w:val="00F3769F"/>
    <w:rsid w:val="00F378BB"/>
    <w:rsid w:val="00F37EA3"/>
    <w:rsid w:val="00F37F75"/>
    <w:rsid w:val="00F37F92"/>
    <w:rsid w:val="00F401C9"/>
    <w:rsid w:val="00F4031E"/>
    <w:rsid w:val="00F40C7C"/>
    <w:rsid w:val="00F40CBE"/>
    <w:rsid w:val="00F41148"/>
    <w:rsid w:val="00F4149B"/>
    <w:rsid w:val="00F415C5"/>
    <w:rsid w:val="00F4213C"/>
    <w:rsid w:val="00F42389"/>
    <w:rsid w:val="00F424BE"/>
    <w:rsid w:val="00F427B5"/>
    <w:rsid w:val="00F4283E"/>
    <w:rsid w:val="00F42BD2"/>
    <w:rsid w:val="00F42C05"/>
    <w:rsid w:val="00F42DEF"/>
    <w:rsid w:val="00F42E73"/>
    <w:rsid w:val="00F42F5A"/>
    <w:rsid w:val="00F42F80"/>
    <w:rsid w:val="00F43054"/>
    <w:rsid w:val="00F43397"/>
    <w:rsid w:val="00F436D3"/>
    <w:rsid w:val="00F4376E"/>
    <w:rsid w:val="00F4381A"/>
    <w:rsid w:val="00F438E9"/>
    <w:rsid w:val="00F43A9B"/>
    <w:rsid w:val="00F43BB4"/>
    <w:rsid w:val="00F43E1B"/>
    <w:rsid w:val="00F43FB9"/>
    <w:rsid w:val="00F44015"/>
    <w:rsid w:val="00F4416B"/>
    <w:rsid w:val="00F44584"/>
    <w:rsid w:val="00F44C72"/>
    <w:rsid w:val="00F44E92"/>
    <w:rsid w:val="00F44EC0"/>
    <w:rsid w:val="00F44EC5"/>
    <w:rsid w:val="00F45045"/>
    <w:rsid w:val="00F453B7"/>
    <w:rsid w:val="00F456F8"/>
    <w:rsid w:val="00F45712"/>
    <w:rsid w:val="00F46586"/>
    <w:rsid w:val="00F46953"/>
    <w:rsid w:val="00F46CB6"/>
    <w:rsid w:val="00F46DE7"/>
    <w:rsid w:val="00F46FF3"/>
    <w:rsid w:val="00F47015"/>
    <w:rsid w:val="00F47254"/>
    <w:rsid w:val="00F479A5"/>
    <w:rsid w:val="00F47A83"/>
    <w:rsid w:val="00F47B75"/>
    <w:rsid w:val="00F47CB4"/>
    <w:rsid w:val="00F47F25"/>
    <w:rsid w:val="00F47FF0"/>
    <w:rsid w:val="00F5021F"/>
    <w:rsid w:val="00F5029B"/>
    <w:rsid w:val="00F50398"/>
    <w:rsid w:val="00F50D3B"/>
    <w:rsid w:val="00F50EDB"/>
    <w:rsid w:val="00F51160"/>
    <w:rsid w:val="00F5143E"/>
    <w:rsid w:val="00F517AD"/>
    <w:rsid w:val="00F51989"/>
    <w:rsid w:val="00F51A55"/>
    <w:rsid w:val="00F51B75"/>
    <w:rsid w:val="00F51C39"/>
    <w:rsid w:val="00F51FA6"/>
    <w:rsid w:val="00F51FEA"/>
    <w:rsid w:val="00F52079"/>
    <w:rsid w:val="00F526A1"/>
    <w:rsid w:val="00F528D2"/>
    <w:rsid w:val="00F52E09"/>
    <w:rsid w:val="00F52EAB"/>
    <w:rsid w:val="00F5315E"/>
    <w:rsid w:val="00F53280"/>
    <w:rsid w:val="00F53740"/>
    <w:rsid w:val="00F54334"/>
    <w:rsid w:val="00F543C9"/>
    <w:rsid w:val="00F54509"/>
    <w:rsid w:val="00F5497C"/>
    <w:rsid w:val="00F54F15"/>
    <w:rsid w:val="00F55008"/>
    <w:rsid w:val="00F556AF"/>
    <w:rsid w:val="00F557CD"/>
    <w:rsid w:val="00F55901"/>
    <w:rsid w:val="00F55BED"/>
    <w:rsid w:val="00F55D80"/>
    <w:rsid w:val="00F55E73"/>
    <w:rsid w:val="00F55F79"/>
    <w:rsid w:val="00F56412"/>
    <w:rsid w:val="00F564CB"/>
    <w:rsid w:val="00F565A0"/>
    <w:rsid w:val="00F5684F"/>
    <w:rsid w:val="00F568BE"/>
    <w:rsid w:val="00F56A13"/>
    <w:rsid w:val="00F56C96"/>
    <w:rsid w:val="00F56D50"/>
    <w:rsid w:val="00F5734F"/>
    <w:rsid w:val="00F57355"/>
    <w:rsid w:val="00F5772C"/>
    <w:rsid w:val="00F578DB"/>
    <w:rsid w:val="00F57BB5"/>
    <w:rsid w:val="00F57E2D"/>
    <w:rsid w:val="00F60092"/>
    <w:rsid w:val="00F609EB"/>
    <w:rsid w:val="00F60AAD"/>
    <w:rsid w:val="00F60D51"/>
    <w:rsid w:val="00F60F26"/>
    <w:rsid w:val="00F60F2F"/>
    <w:rsid w:val="00F61549"/>
    <w:rsid w:val="00F61AC7"/>
    <w:rsid w:val="00F6240D"/>
    <w:rsid w:val="00F624D1"/>
    <w:rsid w:val="00F625C1"/>
    <w:rsid w:val="00F62979"/>
    <w:rsid w:val="00F62AE1"/>
    <w:rsid w:val="00F62B78"/>
    <w:rsid w:val="00F62C56"/>
    <w:rsid w:val="00F63214"/>
    <w:rsid w:val="00F633A2"/>
    <w:rsid w:val="00F63446"/>
    <w:rsid w:val="00F63967"/>
    <w:rsid w:val="00F639D5"/>
    <w:rsid w:val="00F63A7A"/>
    <w:rsid w:val="00F63C1D"/>
    <w:rsid w:val="00F63D19"/>
    <w:rsid w:val="00F64C12"/>
    <w:rsid w:val="00F64D98"/>
    <w:rsid w:val="00F651AB"/>
    <w:rsid w:val="00F651D4"/>
    <w:rsid w:val="00F6563B"/>
    <w:rsid w:val="00F65782"/>
    <w:rsid w:val="00F65914"/>
    <w:rsid w:val="00F6622A"/>
    <w:rsid w:val="00F66597"/>
    <w:rsid w:val="00F66830"/>
    <w:rsid w:val="00F66837"/>
    <w:rsid w:val="00F66C34"/>
    <w:rsid w:val="00F66F77"/>
    <w:rsid w:val="00F6778A"/>
    <w:rsid w:val="00F67820"/>
    <w:rsid w:val="00F678FA"/>
    <w:rsid w:val="00F6791A"/>
    <w:rsid w:val="00F67929"/>
    <w:rsid w:val="00F67F79"/>
    <w:rsid w:val="00F70390"/>
    <w:rsid w:val="00F70472"/>
    <w:rsid w:val="00F707B5"/>
    <w:rsid w:val="00F70836"/>
    <w:rsid w:val="00F709EE"/>
    <w:rsid w:val="00F70F0F"/>
    <w:rsid w:val="00F71041"/>
    <w:rsid w:val="00F7110F"/>
    <w:rsid w:val="00F715DF"/>
    <w:rsid w:val="00F71724"/>
    <w:rsid w:val="00F71A26"/>
    <w:rsid w:val="00F71DD7"/>
    <w:rsid w:val="00F720FD"/>
    <w:rsid w:val="00F72121"/>
    <w:rsid w:val="00F726F0"/>
    <w:rsid w:val="00F72791"/>
    <w:rsid w:val="00F728C7"/>
    <w:rsid w:val="00F72B37"/>
    <w:rsid w:val="00F7330F"/>
    <w:rsid w:val="00F7331B"/>
    <w:rsid w:val="00F73816"/>
    <w:rsid w:val="00F73865"/>
    <w:rsid w:val="00F738C5"/>
    <w:rsid w:val="00F739D4"/>
    <w:rsid w:val="00F73B9D"/>
    <w:rsid w:val="00F73CB1"/>
    <w:rsid w:val="00F73D8A"/>
    <w:rsid w:val="00F73DAE"/>
    <w:rsid w:val="00F7444C"/>
    <w:rsid w:val="00F744BC"/>
    <w:rsid w:val="00F74562"/>
    <w:rsid w:val="00F74579"/>
    <w:rsid w:val="00F748D7"/>
    <w:rsid w:val="00F74A02"/>
    <w:rsid w:val="00F74C24"/>
    <w:rsid w:val="00F75447"/>
    <w:rsid w:val="00F75724"/>
    <w:rsid w:val="00F75740"/>
    <w:rsid w:val="00F75AD3"/>
    <w:rsid w:val="00F75CC0"/>
    <w:rsid w:val="00F76042"/>
    <w:rsid w:val="00F7613A"/>
    <w:rsid w:val="00F7613D"/>
    <w:rsid w:val="00F761C4"/>
    <w:rsid w:val="00F76302"/>
    <w:rsid w:val="00F76385"/>
    <w:rsid w:val="00F763DB"/>
    <w:rsid w:val="00F76477"/>
    <w:rsid w:val="00F766FE"/>
    <w:rsid w:val="00F76737"/>
    <w:rsid w:val="00F76A4A"/>
    <w:rsid w:val="00F76D88"/>
    <w:rsid w:val="00F76DB4"/>
    <w:rsid w:val="00F76EE1"/>
    <w:rsid w:val="00F7720A"/>
    <w:rsid w:val="00F77254"/>
    <w:rsid w:val="00F77334"/>
    <w:rsid w:val="00F773D4"/>
    <w:rsid w:val="00F77452"/>
    <w:rsid w:val="00F7783A"/>
    <w:rsid w:val="00F7787C"/>
    <w:rsid w:val="00F779F1"/>
    <w:rsid w:val="00F802C5"/>
    <w:rsid w:val="00F80CA2"/>
    <w:rsid w:val="00F80E5D"/>
    <w:rsid w:val="00F80E87"/>
    <w:rsid w:val="00F81376"/>
    <w:rsid w:val="00F81733"/>
    <w:rsid w:val="00F81D76"/>
    <w:rsid w:val="00F81E1C"/>
    <w:rsid w:val="00F81E99"/>
    <w:rsid w:val="00F81F29"/>
    <w:rsid w:val="00F822ED"/>
    <w:rsid w:val="00F825AE"/>
    <w:rsid w:val="00F826DE"/>
    <w:rsid w:val="00F82730"/>
    <w:rsid w:val="00F828A2"/>
    <w:rsid w:val="00F82B9B"/>
    <w:rsid w:val="00F82CCB"/>
    <w:rsid w:val="00F82CE5"/>
    <w:rsid w:val="00F8301C"/>
    <w:rsid w:val="00F831A6"/>
    <w:rsid w:val="00F8350F"/>
    <w:rsid w:val="00F835B4"/>
    <w:rsid w:val="00F836AC"/>
    <w:rsid w:val="00F8390F"/>
    <w:rsid w:val="00F83D69"/>
    <w:rsid w:val="00F83EC1"/>
    <w:rsid w:val="00F840DD"/>
    <w:rsid w:val="00F84178"/>
    <w:rsid w:val="00F8421C"/>
    <w:rsid w:val="00F84255"/>
    <w:rsid w:val="00F84288"/>
    <w:rsid w:val="00F8477C"/>
    <w:rsid w:val="00F849CE"/>
    <w:rsid w:val="00F851CE"/>
    <w:rsid w:val="00F851F0"/>
    <w:rsid w:val="00F85370"/>
    <w:rsid w:val="00F8561D"/>
    <w:rsid w:val="00F8563E"/>
    <w:rsid w:val="00F857B4"/>
    <w:rsid w:val="00F857F4"/>
    <w:rsid w:val="00F85A08"/>
    <w:rsid w:val="00F85AFE"/>
    <w:rsid w:val="00F85B36"/>
    <w:rsid w:val="00F85D62"/>
    <w:rsid w:val="00F85E15"/>
    <w:rsid w:val="00F85FB4"/>
    <w:rsid w:val="00F8646B"/>
    <w:rsid w:val="00F8659D"/>
    <w:rsid w:val="00F8678C"/>
    <w:rsid w:val="00F86917"/>
    <w:rsid w:val="00F86C79"/>
    <w:rsid w:val="00F86F78"/>
    <w:rsid w:val="00F872F4"/>
    <w:rsid w:val="00F87992"/>
    <w:rsid w:val="00F87C10"/>
    <w:rsid w:val="00F87F3D"/>
    <w:rsid w:val="00F9046A"/>
    <w:rsid w:val="00F90616"/>
    <w:rsid w:val="00F9081C"/>
    <w:rsid w:val="00F90A58"/>
    <w:rsid w:val="00F91427"/>
    <w:rsid w:val="00F917AA"/>
    <w:rsid w:val="00F9191C"/>
    <w:rsid w:val="00F91B8E"/>
    <w:rsid w:val="00F91D2E"/>
    <w:rsid w:val="00F91E5E"/>
    <w:rsid w:val="00F921BD"/>
    <w:rsid w:val="00F9261B"/>
    <w:rsid w:val="00F9287F"/>
    <w:rsid w:val="00F92B11"/>
    <w:rsid w:val="00F92B20"/>
    <w:rsid w:val="00F92C1B"/>
    <w:rsid w:val="00F92D1B"/>
    <w:rsid w:val="00F92DAE"/>
    <w:rsid w:val="00F92F39"/>
    <w:rsid w:val="00F93092"/>
    <w:rsid w:val="00F930FB"/>
    <w:rsid w:val="00F93119"/>
    <w:rsid w:val="00F93531"/>
    <w:rsid w:val="00F93887"/>
    <w:rsid w:val="00F93C59"/>
    <w:rsid w:val="00F93EAB"/>
    <w:rsid w:val="00F93EB9"/>
    <w:rsid w:val="00F94AA3"/>
    <w:rsid w:val="00F94C90"/>
    <w:rsid w:val="00F94E38"/>
    <w:rsid w:val="00F94FCF"/>
    <w:rsid w:val="00F9510D"/>
    <w:rsid w:val="00F95178"/>
    <w:rsid w:val="00F95352"/>
    <w:rsid w:val="00F9561C"/>
    <w:rsid w:val="00F95908"/>
    <w:rsid w:val="00F95AEE"/>
    <w:rsid w:val="00F95C70"/>
    <w:rsid w:val="00F95D57"/>
    <w:rsid w:val="00F96474"/>
    <w:rsid w:val="00F96995"/>
    <w:rsid w:val="00F96FAD"/>
    <w:rsid w:val="00F97A36"/>
    <w:rsid w:val="00F97A78"/>
    <w:rsid w:val="00F97B31"/>
    <w:rsid w:val="00F97D0A"/>
    <w:rsid w:val="00FA0501"/>
    <w:rsid w:val="00FA0601"/>
    <w:rsid w:val="00FA0813"/>
    <w:rsid w:val="00FA0B64"/>
    <w:rsid w:val="00FA0F92"/>
    <w:rsid w:val="00FA0F9D"/>
    <w:rsid w:val="00FA104F"/>
    <w:rsid w:val="00FA1358"/>
    <w:rsid w:val="00FA13F9"/>
    <w:rsid w:val="00FA1917"/>
    <w:rsid w:val="00FA1AE7"/>
    <w:rsid w:val="00FA1B4A"/>
    <w:rsid w:val="00FA1BDA"/>
    <w:rsid w:val="00FA1DE3"/>
    <w:rsid w:val="00FA24E7"/>
    <w:rsid w:val="00FA24FB"/>
    <w:rsid w:val="00FA2BD0"/>
    <w:rsid w:val="00FA2E7B"/>
    <w:rsid w:val="00FA2F6C"/>
    <w:rsid w:val="00FA31F8"/>
    <w:rsid w:val="00FA39F3"/>
    <w:rsid w:val="00FA3E55"/>
    <w:rsid w:val="00FA41E7"/>
    <w:rsid w:val="00FA42E0"/>
    <w:rsid w:val="00FA43EA"/>
    <w:rsid w:val="00FA442A"/>
    <w:rsid w:val="00FA4781"/>
    <w:rsid w:val="00FA47D9"/>
    <w:rsid w:val="00FA4F14"/>
    <w:rsid w:val="00FA5017"/>
    <w:rsid w:val="00FA5256"/>
    <w:rsid w:val="00FA54F5"/>
    <w:rsid w:val="00FA5869"/>
    <w:rsid w:val="00FA6126"/>
    <w:rsid w:val="00FA63A3"/>
    <w:rsid w:val="00FA642B"/>
    <w:rsid w:val="00FA6B0C"/>
    <w:rsid w:val="00FA6B3D"/>
    <w:rsid w:val="00FA6D59"/>
    <w:rsid w:val="00FA6E74"/>
    <w:rsid w:val="00FA710A"/>
    <w:rsid w:val="00FA713C"/>
    <w:rsid w:val="00FA73CF"/>
    <w:rsid w:val="00FA785B"/>
    <w:rsid w:val="00FA7B8B"/>
    <w:rsid w:val="00FA7C62"/>
    <w:rsid w:val="00FA7E01"/>
    <w:rsid w:val="00FB0540"/>
    <w:rsid w:val="00FB074F"/>
    <w:rsid w:val="00FB07F8"/>
    <w:rsid w:val="00FB0848"/>
    <w:rsid w:val="00FB090E"/>
    <w:rsid w:val="00FB0980"/>
    <w:rsid w:val="00FB0E45"/>
    <w:rsid w:val="00FB0F30"/>
    <w:rsid w:val="00FB1511"/>
    <w:rsid w:val="00FB179B"/>
    <w:rsid w:val="00FB1E88"/>
    <w:rsid w:val="00FB1FFC"/>
    <w:rsid w:val="00FB217B"/>
    <w:rsid w:val="00FB21F4"/>
    <w:rsid w:val="00FB2509"/>
    <w:rsid w:val="00FB2626"/>
    <w:rsid w:val="00FB2657"/>
    <w:rsid w:val="00FB2903"/>
    <w:rsid w:val="00FB2F4F"/>
    <w:rsid w:val="00FB2FCB"/>
    <w:rsid w:val="00FB358C"/>
    <w:rsid w:val="00FB365A"/>
    <w:rsid w:val="00FB36B2"/>
    <w:rsid w:val="00FB3A4F"/>
    <w:rsid w:val="00FB3D97"/>
    <w:rsid w:val="00FB40B8"/>
    <w:rsid w:val="00FB490C"/>
    <w:rsid w:val="00FB4974"/>
    <w:rsid w:val="00FB4D31"/>
    <w:rsid w:val="00FB5084"/>
    <w:rsid w:val="00FB5300"/>
    <w:rsid w:val="00FB5389"/>
    <w:rsid w:val="00FB5DC5"/>
    <w:rsid w:val="00FB5F1F"/>
    <w:rsid w:val="00FB6126"/>
    <w:rsid w:val="00FB6D2B"/>
    <w:rsid w:val="00FB6F1A"/>
    <w:rsid w:val="00FB6FCE"/>
    <w:rsid w:val="00FB7102"/>
    <w:rsid w:val="00FB775F"/>
    <w:rsid w:val="00FB7BEC"/>
    <w:rsid w:val="00FB7F30"/>
    <w:rsid w:val="00FC05F3"/>
    <w:rsid w:val="00FC0759"/>
    <w:rsid w:val="00FC0781"/>
    <w:rsid w:val="00FC0C41"/>
    <w:rsid w:val="00FC0C83"/>
    <w:rsid w:val="00FC0CB3"/>
    <w:rsid w:val="00FC104F"/>
    <w:rsid w:val="00FC1074"/>
    <w:rsid w:val="00FC1246"/>
    <w:rsid w:val="00FC132E"/>
    <w:rsid w:val="00FC1884"/>
    <w:rsid w:val="00FC1C6E"/>
    <w:rsid w:val="00FC1C7E"/>
    <w:rsid w:val="00FC2202"/>
    <w:rsid w:val="00FC221D"/>
    <w:rsid w:val="00FC299E"/>
    <w:rsid w:val="00FC311C"/>
    <w:rsid w:val="00FC34B4"/>
    <w:rsid w:val="00FC3688"/>
    <w:rsid w:val="00FC36A1"/>
    <w:rsid w:val="00FC3817"/>
    <w:rsid w:val="00FC3C47"/>
    <w:rsid w:val="00FC3CD6"/>
    <w:rsid w:val="00FC3FB5"/>
    <w:rsid w:val="00FC4A33"/>
    <w:rsid w:val="00FC4E61"/>
    <w:rsid w:val="00FC4FAA"/>
    <w:rsid w:val="00FC5320"/>
    <w:rsid w:val="00FC542B"/>
    <w:rsid w:val="00FC5807"/>
    <w:rsid w:val="00FC5865"/>
    <w:rsid w:val="00FC5FCC"/>
    <w:rsid w:val="00FC6537"/>
    <w:rsid w:val="00FC69A0"/>
    <w:rsid w:val="00FC6A3A"/>
    <w:rsid w:val="00FC6B06"/>
    <w:rsid w:val="00FC6F29"/>
    <w:rsid w:val="00FC70C7"/>
    <w:rsid w:val="00FC7326"/>
    <w:rsid w:val="00FC75FB"/>
    <w:rsid w:val="00FC7674"/>
    <w:rsid w:val="00FC77CD"/>
    <w:rsid w:val="00FC79C0"/>
    <w:rsid w:val="00FC7C4A"/>
    <w:rsid w:val="00FC7CDE"/>
    <w:rsid w:val="00FC7D8C"/>
    <w:rsid w:val="00FC7FA7"/>
    <w:rsid w:val="00FD0631"/>
    <w:rsid w:val="00FD064C"/>
    <w:rsid w:val="00FD07EF"/>
    <w:rsid w:val="00FD08A4"/>
    <w:rsid w:val="00FD0939"/>
    <w:rsid w:val="00FD0949"/>
    <w:rsid w:val="00FD0DDE"/>
    <w:rsid w:val="00FD0F65"/>
    <w:rsid w:val="00FD11A7"/>
    <w:rsid w:val="00FD1530"/>
    <w:rsid w:val="00FD1637"/>
    <w:rsid w:val="00FD186C"/>
    <w:rsid w:val="00FD1A39"/>
    <w:rsid w:val="00FD1E7A"/>
    <w:rsid w:val="00FD1F13"/>
    <w:rsid w:val="00FD2100"/>
    <w:rsid w:val="00FD21F8"/>
    <w:rsid w:val="00FD227E"/>
    <w:rsid w:val="00FD2727"/>
    <w:rsid w:val="00FD2C66"/>
    <w:rsid w:val="00FD2E8D"/>
    <w:rsid w:val="00FD2F47"/>
    <w:rsid w:val="00FD31D7"/>
    <w:rsid w:val="00FD365E"/>
    <w:rsid w:val="00FD3C42"/>
    <w:rsid w:val="00FD3F61"/>
    <w:rsid w:val="00FD4085"/>
    <w:rsid w:val="00FD436E"/>
    <w:rsid w:val="00FD4454"/>
    <w:rsid w:val="00FD446D"/>
    <w:rsid w:val="00FD467F"/>
    <w:rsid w:val="00FD4829"/>
    <w:rsid w:val="00FD48B9"/>
    <w:rsid w:val="00FD4998"/>
    <w:rsid w:val="00FD49C0"/>
    <w:rsid w:val="00FD4BB0"/>
    <w:rsid w:val="00FD4C76"/>
    <w:rsid w:val="00FD4E70"/>
    <w:rsid w:val="00FD58AC"/>
    <w:rsid w:val="00FD5A32"/>
    <w:rsid w:val="00FD5F34"/>
    <w:rsid w:val="00FD6074"/>
    <w:rsid w:val="00FD658E"/>
    <w:rsid w:val="00FD668A"/>
    <w:rsid w:val="00FD69B2"/>
    <w:rsid w:val="00FD69B3"/>
    <w:rsid w:val="00FD6E79"/>
    <w:rsid w:val="00FD7205"/>
    <w:rsid w:val="00FD752C"/>
    <w:rsid w:val="00FD77FE"/>
    <w:rsid w:val="00FD788B"/>
    <w:rsid w:val="00FD7DA1"/>
    <w:rsid w:val="00FD7E18"/>
    <w:rsid w:val="00FD7E60"/>
    <w:rsid w:val="00FE0083"/>
    <w:rsid w:val="00FE0A7A"/>
    <w:rsid w:val="00FE0DBA"/>
    <w:rsid w:val="00FE14BC"/>
    <w:rsid w:val="00FE164A"/>
    <w:rsid w:val="00FE16AE"/>
    <w:rsid w:val="00FE1A8B"/>
    <w:rsid w:val="00FE1C5F"/>
    <w:rsid w:val="00FE1C68"/>
    <w:rsid w:val="00FE1D81"/>
    <w:rsid w:val="00FE1E81"/>
    <w:rsid w:val="00FE1F15"/>
    <w:rsid w:val="00FE2182"/>
    <w:rsid w:val="00FE27B0"/>
    <w:rsid w:val="00FE2CCC"/>
    <w:rsid w:val="00FE2D24"/>
    <w:rsid w:val="00FE2F57"/>
    <w:rsid w:val="00FE31E3"/>
    <w:rsid w:val="00FE359F"/>
    <w:rsid w:val="00FE361E"/>
    <w:rsid w:val="00FE3A28"/>
    <w:rsid w:val="00FE46B2"/>
    <w:rsid w:val="00FE507D"/>
    <w:rsid w:val="00FE56DF"/>
    <w:rsid w:val="00FE5B66"/>
    <w:rsid w:val="00FE5CE7"/>
    <w:rsid w:val="00FE5DA1"/>
    <w:rsid w:val="00FE60D3"/>
    <w:rsid w:val="00FE6369"/>
    <w:rsid w:val="00FE66C8"/>
    <w:rsid w:val="00FE6971"/>
    <w:rsid w:val="00FE7348"/>
    <w:rsid w:val="00FE7A48"/>
    <w:rsid w:val="00FE7D7F"/>
    <w:rsid w:val="00FE7DA0"/>
    <w:rsid w:val="00FF018D"/>
    <w:rsid w:val="00FF0204"/>
    <w:rsid w:val="00FF0C3D"/>
    <w:rsid w:val="00FF0C52"/>
    <w:rsid w:val="00FF0E33"/>
    <w:rsid w:val="00FF0E75"/>
    <w:rsid w:val="00FF143B"/>
    <w:rsid w:val="00FF18C7"/>
    <w:rsid w:val="00FF2315"/>
    <w:rsid w:val="00FF270E"/>
    <w:rsid w:val="00FF2A57"/>
    <w:rsid w:val="00FF2B9A"/>
    <w:rsid w:val="00FF32F9"/>
    <w:rsid w:val="00FF36C8"/>
    <w:rsid w:val="00FF3A23"/>
    <w:rsid w:val="00FF3B2F"/>
    <w:rsid w:val="00FF3B74"/>
    <w:rsid w:val="00FF3C6D"/>
    <w:rsid w:val="00FF3DCF"/>
    <w:rsid w:val="00FF3F9C"/>
    <w:rsid w:val="00FF4203"/>
    <w:rsid w:val="00FF42F6"/>
    <w:rsid w:val="00FF4B27"/>
    <w:rsid w:val="00FF4B71"/>
    <w:rsid w:val="00FF571B"/>
    <w:rsid w:val="00FF58D6"/>
    <w:rsid w:val="00FF59AE"/>
    <w:rsid w:val="00FF5A10"/>
    <w:rsid w:val="00FF5AA3"/>
    <w:rsid w:val="00FF5F0B"/>
    <w:rsid w:val="00FF5F1F"/>
    <w:rsid w:val="00FF6473"/>
    <w:rsid w:val="00FF67FA"/>
    <w:rsid w:val="00FF6801"/>
    <w:rsid w:val="00FF6932"/>
    <w:rsid w:val="00FF696D"/>
    <w:rsid w:val="00FF75BD"/>
    <w:rsid w:val="00FF7699"/>
    <w:rsid w:val="00FF7767"/>
    <w:rsid w:val="00FF7D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2"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PBACHeading1"/>
    <w:next w:val="Normal"/>
    <w:link w:val="Heading2Char"/>
    <w:qFormat/>
    <w:rsid w:val="00495439"/>
    <w:pPr>
      <w:outlineLvl w:val="1"/>
    </w:pPr>
  </w:style>
  <w:style w:type="paragraph" w:styleId="Heading3">
    <w:name w:val="heading 3"/>
    <w:basedOn w:val="Normal"/>
    <w:next w:val="Normal"/>
    <w:qFormat/>
    <w:rsid w:val="00495439"/>
    <w:pPr>
      <w:outlineLvl w:val="2"/>
    </w:pPr>
    <w:rPr>
      <w:b/>
      <w:bCs/>
      <w:i/>
      <w:szCs w:val="22"/>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95439"/>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 Char,Medical Caption Char,Caption Char1 Char Char,Caption Char Char Char Char,Caption Char1 Char,Caption Char Char Char Char Char,Caption Char Char,Caption Char Char Char Char1,Caption Char1 Char1,Caption Char Char Char,c"/>
    <w:basedOn w:val="Normal"/>
    <w:next w:val="Normal"/>
    <w:link w:val="CaptionChar"/>
    <w:uiPriority w:val="2"/>
    <w:unhideWhenUsed/>
    <w:qFormat/>
    <w:rsid w:val="00124A51"/>
    <w:pPr>
      <w:spacing w:after="200"/>
    </w:pPr>
    <w:rPr>
      <w:b/>
      <w:bCs/>
      <w:color w:val="4F81BD" w:themeColor="accent1"/>
      <w:sz w:val="18"/>
      <w:szCs w:val="18"/>
    </w:rPr>
  </w:style>
  <w:style w:type="character" w:customStyle="1" w:styleId="CaptionChar">
    <w:name w:val="Caption Char"/>
    <w:aliases w:val="IB Caption Char Char1,Medical Caption Char Char1,Caption Char1 Char Char Char1,Caption Char Char Char Char Char2,Caption Char1 Char Char2,Caption Char Char Char Char Char Char1,Caption Char Char Char2,Caption Char Char Char Char1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CMA Table Templat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F24FCC"/>
    <w:pPr>
      <w:tabs>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6"/>
      </w:numPr>
    </w:pPr>
    <w:rPr>
      <w:rFonts w:ascii="Arial" w:hAnsi="Arial" w:cs="Arial"/>
      <w:b/>
      <w:snapToGrid w:val="0"/>
      <w:sz w:val="22"/>
      <w:szCs w:val="22"/>
      <w:lang w:eastAsia="en-US"/>
    </w:rPr>
  </w:style>
  <w:style w:type="character" w:customStyle="1" w:styleId="Heading1Char">
    <w:name w:val="Heading 1 Char"/>
    <w:basedOn w:val="DefaultParagraphFont"/>
    <w:link w:val="Heading1"/>
    <w:rsid w:val="00E4006A"/>
    <w:rPr>
      <w:rFonts w:ascii="Arial Bold" w:hAnsi="Arial Bold" w:cs="Arial"/>
      <w:b/>
      <w:caps/>
      <w:snapToGrid w:val="0"/>
      <w:sz w:val="22"/>
      <w:lang w:eastAsia="en-US"/>
    </w:rPr>
  </w:style>
  <w:style w:type="character" w:customStyle="1" w:styleId="CaptionChar1">
    <w:name w:val="Caption Char1"/>
    <w:aliases w:val="Caption Char Char1,IB Caption Char Char,Medical Caption Char Char,Caption Char1 Char Char Char,Caption Char Char Char Char Char1,Caption Char1 Char Char1,Caption Char Char Char Char Char Char,Caption Char Char Char1,c Char1"/>
    <w:basedOn w:val="DefaultParagraphFont"/>
    <w:uiPriority w:val="2"/>
    <w:rsid w:val="00E4006A"/>
    <w:rPr>
      <w:rFonts w:cstheme="minorHAnsi"/>
      <w:b/>
      <w:bCs/>
      <w:sz w:val="20"/>
      <w:szCs w:val="20"/>
      <w:lang w:eastAsia="zh-CN"/>
    </w:rPr>
  </w:style>
  <w:style w:type="paragraph" w:styleId="FootnoteText">
    <w:name w:val="footnote text"/>
    <w:basedOn w:val="Normal"/>
    <w:link w:val="FootnoteTextChar"/>
    <w:semiHidden/>
    <w:unhideWhenUsed/>
    <w:rsid w:val="00E4006A"/>
    <w:rPr>
      <w:sz w:val="20"/>
    </w:rPr>
  </w:style>
  <w:style w:type="character" w:customStyle="1" w:styleId="FootnoteTextChar">
    <w:name w:val="Footnote Text Char"/>
    <w:basedOn w:val="DefaultParagraphFont"/>
    <w:link w:val="FootnoteText"/>
    <w:semiHidden/>
    <w:rsid w:val="00E4006A"/>
    <w:rPr>
      <w:rFonts w:ascii="Arial" w:hAnsi="Arial" w:cs="Arial"/>
      <w:snapToGrid w:val="0"/>
      <w:lang w:eastAsia="en-US"/>
    </w:rPr>
  </w:style>
  <w:style w:type="character" w:styleId="FootnoteReference">
    <w:name w:val="footnote reference"/>
    <w:basedOn w:val="DefaultParagraphFont"/>
    <w:semiHidden/>
    <w:unhideWhenUsed/>
    <w:rsid w:val="00E4006A"/>
    <w:rPr>
      <w:vertAlign w:val="superscript"/>
    </w:rPr>
  </w:style>
  <w:style w:type="paragraph" w:customStyle="1" w:styleId="Default">
    <w:name w:val="Default"/>
    <w:rsid w:val="00E4006A"/>
    <w:pPr>
      <w:autoSpaceDE w:val="0"/>
      <w:autoSpaceDN w:val="0"/>
      <w:adjustRightInd w:val="0"/>
    </w:pPr>
    <w:rPr>
      <w:rFonts w:ascii="Arial" w:hAnsi="Arial" w:cs="Arial"/>
      <w:color w:val="000000"/>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4006A"/>
    <w:pPr>
      <w:widowControl/>
      <w:spacing w:after="160" w:line="240" w:lineRule="exact"/>
      <w:jc w:val="left"/>
    </w:pPr>
    <w:rPr>
      <w:rFonts w:ascii="Verdana" w:eastAsia="MS Mincho" w:hAnsi="Verdana" w:cs="Verdana"/>
      <w:snapToGrid/>
      <w:sz w:val="20"/>
      <w:lang w:val="en-US"/>
    </w:rPr>
  </w:style>
  <w:style w:type="paragraph" w:customStyle="1" w:styleId="Table">
    <w:name w:val="Table"/>
    <w:basedOn w:val="Normal"/>
    <w:link w:val="TableChar"/>
    <w:qFormat/>
    <w:rsid w:val="00AB7214"/>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AB7214"/>
    <w:rPr>
      <w:rFonts w:ascii="Candara" w:eastAsiaTheme="majorEastAsia" w:hAnsi="Candara" w:cstheme="majorBidi"/>
      <w:szCs w:val="22"/>
      <w:lang w:eastAsia="en-US" w:bidi="en-US"/>
    </w:rPr>
  </w:style>
  <w:style w:type="character" w:customStyle="1" w:styleId="Small">
    <w:name w:val="Small"/>
    <w:basedOn w:val="DefaultParagraphFont"/>
    <w:uiPriority w:val="4"/>
    <w:qFormat/>
    <w:rsid w:val="00AB7214"/>
    <w:rPr>
      <w:rFonts w:ascii="Candara" w:hAnsi="Candara"/>
      <w:sz w:val="20"/>
    </w:rPr>
  </w:style>
  <w:style w:type="character" w:customStyle="1" w:styleId="SmallBold">
    <w:name w:val="Small Bold"/>
    <w:basedOn w:val="Small"/>
    <w:uiPriority w:val="4"/>
    <w:qFormat/>
    <w:rsid w:val="00AB7214"/>
    <w:rPr>
      <w:rFonts w:ascii="Candara" w:hAnsi="Candara"/>
      <w:b/>
      <w:sz w:val="20"/>
      <w:lang w:val="en-AU"/>
    </w:rPr>
  </w:style>
  <w:style w:type="character" w:customStyle="1" w:styleId="A3">
    <w:name w:val="A3"/>
    <w:uiPriority w:val="99"/>
    <w:rsid w:val="0029535F"/>
    <w:rPr>
      <w:rFonts w:cs="Minion Pro"/>
      <w:color w:val="000000"/>
      <w:sz w:val="18"/>
      <w:szCs w:val="18"/>
    </w:rPr>
  </w:style>
  <w:style w:type="character" w:customStyle="1" w:styleId="ListParagraphChar">
    <w:name w:val="List Paragraph Char"/>
    <w:aliases w:val="BulletPoints Char"/>
    <w:basedOn w:val="DefaultParagraphFont"/>
    <w:link w:val="ListParagraph"/>
    <w:uiPriority w:val="34"/>
    <w:locked/>
    <w:rsid w:val="0054588E"/>
    <w:rPr>
      <w:rFonts w:ascii="Arial" w:hAnsi="Arial" w:cs="Arial"/>
      <w:snapToGrid w:val="0"/>
      <w:sz w:val="22"/>
      <w:lang w:eastAsia="en-US"/>
    </w:rPr>
  </w:style>
  <w:style w:type="paragraph" w:customStyle="1" w:styleId="TableBullets">
    <w:name w:val="Table Bullets"/>
    <w:basedOn w:val="Normal"/>
    <w:uiPriority w:val="5"/>
    <w:qFormat/>
    <w:rsid w:val="00D64BAA"/>
    <w:pPr>
      <w:widowControl/>
      <w:numPr>
        <w:numId w:val="17"/>
      </w:numPr>
      <w:ind w:left="357" w:hanging="357"/>
      <w:jc w:val="left"/>
    </w:pPr>
    <w:rPr>
      <w:rFonts w:ascii="Candara" w:eastAsiaTheme="majorEastAsia" w:hAnsi="Candara" w:cstheme="majorBidi"/>
      <w:snapToGrid/>
      <w:sz w:val="20"/>
      <w:szCs w:val="22"/>
      <w:lang w:bidi="en-US"/>
    </w:rPr>
  </w:style>
  <w:style w:type="character" w:customStyle="1" w:styleId="SmallSubscript">
    <w:name w:val="Small Subscript"/>
    <w:basedOn w:val="Small"/>
    <w:uiPriority w:val="1"/>
    <w:qFormat/>
    <w:rsid w:val="00D64BAA"/>
    <w:rPr>
      <w:rFonts w:ascii="Candara" w:hAnsi="Candara"/>
      <w:b w:val="0"/>
      <w:sz w:val="20"/>
      <w:vertAlign w:val="subscript"/>
    </w:rPr>
  </w:style>
  <w:style w:type="paragraph" w:customStyle="1" w:styleId="TableCentre">
    <w:name w:val="Table Centre"/>
    <w:basedOn w:val="Normal"/>
    <w:qFormat/>
    <w:rsid w:val="003D3E97"/>
    <w:pPr>
      <w:widowControl/>
      <w:jc w:val="center"/>
    </w:pPr>
    <w:rPr>
      <w:rFonts w:ascii="Candara" w:eastAsiaTheme="majorEastAsia" w:hAnsi="Candara" w:cstheme="majorBidi"/>
      <w:snapToGrid/>
      <w:sz w:val="20"/>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2"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PBACHeading1"/>
    <w:next w:val="Normal"/>
    <w:link w:val="Heading2Char"/>
    <w:qFormat/>
    <w:rsid w:val="00495439"/>
    <w:pPr>
      <w:outlineLvl w:val="1"/>
    </w:pPr>
  </w:style>
  <w:style w:type="paragraph" w:styleId="Heading3">
    <w:name w:val="heading 3"/>
    <w:basedOn w:val="Normal"/>
    <w:next w:val="Normal"/>
    <w:qFormat/>
    <w:rsid w:val="00495439"/>
    <w:pPr>
      <w:outlineLvl w:val="2"/>
    </w:pPr>
    <w:rPr>
      <w:b/>
      <w:bCs/>
      <w:i/>
      <w:szCs w:val="22"/>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95439"/>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 Char,Medical Caption Char,Caption Char1 Char Char,Caption Char Char Char Char,Caption Char1 Char,Caption Char Char Char Char Char,Caption Char Char,Caption Char Char Char Char1,Caption Char1 Char1,Caption Char Char Char,c"/>
    <w:basedOn w:val="Normal"/>
    <w:next w:val="Normal"/>
    <w:link w:val="CaptionChar"/>
    <w:uiPriority w:val="2"/>
    <w:unhideWhenUsed/>
    <w:qFormat/>
    <w:rsid w:val="00124A51"/>
    <w:pPr>
      <w:spacing w:after="200"/>
    </w:pPr>
    <w:rPr>
      <w:b/>
      <w:bCs/>
      <w:color w:val="4F81BD" w:themeColor="accent1"/>
      <w:sz w:val="18"/>
      <w:szCs w:val="18"/>
    </w:rPr>
  </w:style>
  <w:style w:type="character" w:customStyle="1" w:styleId="CaptionChar">
    <w:name w:val="Caption Char"/>
    <w:aliases w:val="IB Caption Char Char1,Medical Caption Char Char1,Caption Char1 Char Char Char1,Caption Char Char Char Char Char2,Caption Char1 Char Char2,Caption Char Char Char Char Char Char1,Caption Char Char Char2,Caption Char Char Char Char1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CMA Table Templat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F24FCC"/>
    <w:pPr>
      <w:tabs>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6"/>
      </w:numPr>
    </w:pPr>
    <w:rPr>
      <w:rFonts w:ascii="Arial" w:hAnsi="Arial" w:cs="Arial"/>
      <w:b/>
      <w:snapToGrid w:val="0"/>
      <w:sz w:val="22"/>
      <w:szCs w:val="22"/>
      <w:lang w:eastAsia="en-US"/>
    </w:rPr>
  </w:style>
  <w:style w:type="character" w:customStyle="1" w:styleId="Heading1Char">
    <w:name w:val="Heading 1 Char"/>
    <w:basedOn w:val="DefaultParagraphFont"/>
    <w:link w:val="Heading1"/>
    <w:rsid w:val="00E4006A"/>
    <w:rPr>
      <w:rFonts w:ascii="Arial Bold" w:hAnsi="Arial Bold" w:cs="Arial"/>
      <w:b/>
      <w:caps/>
      <w:snapToGrid w:val="0"/>
      <w:sz w:val="22"/>
      <w:lang w:eastAsia="en-US"/>
    </w:rPr>
  </w:style>
  <w:style w:type="character" w:customStyle="1" w:styleId="CaptionChar1">
    <w:name w:val="Caption Char1"/>
    <w:aliases w:val="Caption Char Char1,IB Caption Char Char,Medical Caption Char Char,Caption Char1 Char Char Char,Caption Char Char Char Char Char1,Caption Char1 Char Char1,Caption Char Char Char Char Char Char,Caption Char Char Char1,c Char1"/>
    <w:basedOn w:val="DefaultParagraphFont"/>
    <w:uiPriority w:val="2"/>
    <w:rsid w:val="00E4006A"/>
    <w:rPr>
      <w:rFonts w:cstheme="minorHAnsi"/>
      <w:b/>
      <w:bCs/>
      <w:sz w:val="20"/>
      <w:szCs w:val="20"/>
      <w:lang w:eastAsia="zh-CN"/>
    </w:rPr>
  </w:style>
  <w:style w:type="paragraph" w:styleId="FootnoteText">
    <w:name w:val="footnote text"/>
    <w:basedOn w:val="Normal"/>
    <w:link w:val="FootnoteTextChar"/>
    <w:semiHidden/>
    <w:unhideWhenUsed/>
    <w:rsid w:val="00E4006A"/>
    <w:rPr>
      <w:sz w:val="20"/>
    </w:rPr>
  </w:style>
  <w:style w:type="character" w:customStyle="1" w:styleId="FootnoteTextChar">
    <w:name w:val="Footnote Text Char"/>
    <w:basedOn w:val="DefaultParagraphFont"/>
    <w:link w:val="FootnoteText"/>
    <w:semiHidden/>
    <w:rsid w:val="00E4006A"/>
    <w:rPr>
      <w:rFonts w:ascii="Arial" w:hAnsi="Arial" w:cs="Arial"/>
      <w:snapToGrid w:val="0"/>
      <w:lang w:eastAsia="en-US"/>
    </w:rPr>
  </w:style>
  <w:style w:type="character" w:styleId="FootnoteReference">
    <w:name w:val="footnote reference"/>
    <w:basedOn w:val="DefaultParagraphFont"/>
    <w:semiHidden/>
    <w:unhideWhenUsed/>
    <w:rsid w:val="00E4006A"/>
    <w:rPr>
      <w:vertAlign w:val="superscript"/>
    </w:rPr>
  </w:style>
  <w:style w:type="paragraph" w:customStyle="1" w:styleId="Default">
    <w:name w:val="Default"/>
    <w:rsid w:val="00E4006A"/>
    <w:pPr>
      <w:autoSpaceDE w:val="0"/>
      <w:autoSpaceDN w:val="0"/>
      <w:adjustRightInd w:val="0"/>
    </w:pPr>
    <w:rPr>
      <w:rFonts w:ascii="Arial" w:hAnsi="Arial" w:cs="Arial"/>
      <w:color w:val="000000"/>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4006A"/>
    <w:pPr>
      <w:widowControl/>
      <w:spacing w:after="160" w:line="240" w:lineRule="exact"/>
      <w:jc w:val="left"/>
    </w:pPr>
    <w:rPr>
      <w:rFonts w:ascii="Verdana" w:eastAsia="MS Mincho" w:hAnsi="Verdana" w:cs="Verdana"/>
      <w:snapToGrid/>
      <w:sz w:val="20"/>
      <w:lang w:val="en-US"/>
    </w:rPr>
  </w:style>
  <w:style w:type="paragraph" w:customStyle="1" w:styleId="Table">
    <w:name w:val="Table"/>
    <w:basedOn w:val="Normal"/>
    <w:link w:val="TableChar"/>
    <w:qFormat/>
    <w:rsid w:val="00AB7214"/>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AB7214"/>
    <w:rPr>
      <w:rFonts w:ascii="Candara" w:eastAsiaTheme="majorEastAsia" w:hAnsi="Candara" w:cstheme="majorBidi"/>
      <w:szCs w:val="22"/>
      <w:lang w:eastAsia="en-US" w:bidi="en-US"/>
    </w:rPr>
  </w:style>
  <w:style w:type="character" w:customStyle="1" w:styleId="Small">
    <w:name w:val="Small"/>
    <w:basedOn w:val="DefaultParagraphFont"/>
    <w:uiPriority w:val="4"/>
    <w:qFormat/>
    <w:rsid w:val="00AB7214"/>
    <w:rPr>
      <w:rFonts w:ascii="Candara" w:hAnsi="Candara"/>
      <w:sz w:val="20"/>
    </w:rPr>
  </w:style>
  <w:style w:type="character" w:customStyle="1" w:styleId="SmallBold">
    <w:name w:val="Small Bold"/>
    <w:basedOn w:val="Small"/>
    <w:uiPriority w:val="4"/>
    <w:qFormat/>
    <w:rsid w:val="00AB7214"/>
    <w:rPr>
      <w:rFonts w:ascii="Candara" w:hAnsi="Candara"/>
      <w:b/>
      <w:sz w:val="20"/>
      <w:lang w:val="en-AU"/>
    </w:rPr>
  </w:style>
  <w:style w:type="character" w:customStyle="1" w:styleId="A3">
    <w:name w:val="A3"/>
    <w:uiPriority w:val="99"/>
    <w:rsid w:val="0029535F"/>
    <w:rPr>
      <w:rFonts w:cs="Minion Pro"/>
      <w:color w:val="000000"/>
      <w:sz w:val="18"/>
      <w:szCs w:val="18"/>
    </w:rPr>
  </w:style>
  <w:style w:type="character" w:customStyle="1" w:styleId="ListParagraphChar">
    <w:name w:val="List Paragraph Char"/>
    <w:aliases w:val="BulletPoints Char"/>
    <w:basedOn w:val="DefaultParagraphFont"/>
    <w:link w:val="ListParagraph"/>
    <w:uiPriority w:val="34"/>
    <w:locked/>
    <w:rsid w:val="0054588E"/>
    <w:rPr>
      <w:rFonts w:ascii="Arial" w:hAnsi="Arial" w:cs="Arial"/>
      <w:snapToGrid w:val="0"/>
      <w:sz w:val="22"/>
      <w:lang w:eastAsia="en-US"/>
    </w:rPr>
  </w:style>
  <w:style w:type="paragraph" w:customStyle="1" w:styleId="TableBullets">
    <w:name w:val="Table Bullets"/>
    <w:basedOn w:val="Normal"/>
    <w:uiPriority w:val="5"/>
    <w:qFormat/>
    <w:rsid w:val="00D64BAA"/>
    <w:pPr>
      <w:widowControl/>
      <w:numPr>
        <w:numId w:val="17"/>
      </w:numPr>
      <w:ind w:left="357" w:hanging="357"/>
      <w:jc w:val="left"/>
    </w:pPr>
    <w:rPr>
      <w:rFonts w:ascii="Candara" w:eastAsiaTheme="majorEastAsia" w:hAnsi="Candara" w:cstheme="majorBidi"/>
      <w:snapToGrid/>
      <w:sz w:val="20"/>
      <w:szCs w:val="22"/>
      <w:lang w:bidi="en-US"/>
    </w:rPr>
  </w:style>
  <w:style w:type="character" w:customStyle="1" w:styleId="SmallSubscript">
    <w:name w:val="Small Subscript"/>
    <w:basedOn w:val="Small"/>
    <w:uiPriority w:val="1"/>
    <w:qFormat/>
    <w:rsid w:val="00D64BAA"/>
    <w:rPr>
      <w:rFonts w:ascii="Candara" w:hAnsi="Candara"/>
      <w:b w:val="0"/>
      <w:sz w:val="20"/>
      <w:vertAlign w:val="subscript"/>
    </w:rPr>
  </w:style>
  <w:style w:type="paragraph" w:customStyle="1" w:styleId="TableCentre">
    <w:name w:val="Table Centre"/>
    <w:basedOn w:val="Normal"/>
    <w:qFormat/>
    <w:rsid w:val="003D3E97"/>
    <w:pPr>
      <w:widowControl/>
      <w:jc w:val="center"/>
    </w:pPr>
    <w:rPr>
      <w:rFonts w:ascii="Candara" w:eastAsiaTheme="majorEastAsia" w:hAnsi="Candara" w:cstheme="majorBidi"/>
      <w:snapToGrid/>
      <w:sz w:val="20"/>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2530">
      <w:bodyDiv w:val="1"/>
      <w:marLeft w:val="0"/>
      <w:marRight w:val="0"/>
      <w:marTop w:val="0"/>
      <w:marBottom w:val="0"/>
      <w:divBdr>
        <w:top w:val="none" w:sz="0" w:space="0" w:color="auto"/>
        <w:left w:val="none" w:sz="0" w:space="0" w:color="auto"/>
        <w:bottom w:val="none" w:sz="0" w:space="0" w:color="auto"/>
        <w:right w:val="none" w:sz="0" w:space="0" w:color="auto"/>
      </w:divBdr>
    </w:div>
    <w:div w:id="655888338">
      <w:bodyDiv w:val="1"/>
      <w:marLeft w:val="0"/>
      <w:marRight w:val="0"/>
      <w:marTop w:val="0"/>
      <w:marBottom w:val="0"/>
      <w:divBdr>
        <w:top w:val="none" w:sz="0" w:space="0" w:color="auto"/>
        <w:left w:val="none" w:sz="0" w:space="0" w:color="auto"/>
        <w:bottom w:val="none" w:sz="0" w:space="0" w:color="auto"/>
        <w:right w:val="none" w:sz="0" w:space="0" w:color="auto"/>
      </w:divBdr>
    </w:div>
    <w:div w:id="1088117591">
      <w:bodyDiv w:val="1"/>
      <w:marLeft w:val="0"/>
      <w:marRight w:val="0"/>
      <w:marTop w:val="0"/>
      <w:marBottom w:val="0"/>
      <w:divBdr>
        <w:top w:val="none" w:sz="0" w:space="0" w:color="auto"/>
        <w:left w:val="none" w:sz="0" w:space="0" w:color="auto"/>
        <w:bottom w:val="none" w:sz="0" w:space="0" w:color="auto"/>
        <w:right w:val="none" w:sz="0" w:space="0" w:color="auto"/>
      </w:divBdr>
    </w:div>
    <w:div w:id="1333878678">
      <w:bodyDiv w:val="1"/>
      <w:marLeft w:val="0"/>
      <w:marRight w:val="0"/>
      <w:marTop w:val="0"/>
      <w:marBottom w:val="0"/>
      <w:divBdr>
        <w:top w:val="none" w:sz="0" w:space="0" w:color="auto"/>
        <w:left w:val="none" w:sz="0" w:space="0" w:color="auto"/>
        <w:bottom w:val="none" w:sz="0" w:space="0" w:color="auto"/>
        <w:right w:val="none" w:sz="0" w:space="0" w:color="auto"/>
      </w:divBdr>
    </w:div>
    <w:div w:id="1446539955">
      <w:bodyDiv w:val="1"/>
      <w:marLeft w:val="0"/>
      <w:marRight w:val="0"/>
      <w:marTop w:val="0"/>
      <w:marBottom w:val="0"/>
      <w:divBdr>
        <w:top w:val="none" w:sz="0" w:space="0" w:color="auto"/>
        <w:left w:val="none" w:sz="0" w:space="0" w:color="auto"/>
        <w:bottom w:val="none" w:sz="0" w:space="0" w:color="auto"/>
        <w:right w:val="none" w:sz="0" w:space="0" w:color="auto"/>
      </w:divBdr>
    </w:div>
    <w:div w:id="1613973318">
      <w:bodyDiv w:val="1"/>
      <w:marLeft w:val="0"/>
      <w:marRight w:val="0"/>
      <w:marTop w:val="0"/>
      <w:marBottom w:val="0"/>
      <w:divBdr>
        <w:top w:val="none" w:sz="0" w:space="0" w:color="auto"/>
        <w:left w:val="none" w:sz="0" w:space="0" w:color="auto"/>
        <w:bottom w:val="none" w:sz="0" w:space="0" w:color="auto"/>
        <w:right w:val="none" w:sz="0" w:space="0" w:color="auto"/>
      </w:divBdr>
    </w:div>
    <w:div w:id="1671176433">
      <w:bodyDiv w:val="1"/>
      <w:marLeft w:val="0"/>
      <w:marRight w:val="0"/>
      <w:marTop w:val="0"/>
      <w:marBottom w:val="0"/>
      <w:divBdr>
        <w:top w:val="none" w:sz="0" w:space="0" w:color="auto"/>
        <w:left w:val="none" w:sz="0" w:space="0" w:color="auto"/>
        <w:bottom w:val="none" w:sz="0" w:space="0" w:color="auto"/>
        <w:right w:val="none" w:sz="0" w:space="0" w:color="auto"/>
      </w:divBdr>
      <w:divsChild>
        <w:div w:id="2104715924">
          <w:marLeft w:val="0"/>
          <w:marRight w:val="0"/>
          <w:marTop w:val="240"/>
          <w:marBottom w:val="480"/>
          <w:divBdr>
            <w:top w:val="none" w:sz="0" w:space="0" w:color="auto"/>
            <w:left w:val="none" w:sz="0" w:space="0" w:color="auto"/>
            <w:bottom w:val="none" w:sz="0" w:space="0" w:color="auto"/>
            <w:right w:val="none" w:sz="0" w:space="0" w:color="auto"/>
          </w:divBdr>
          <w:divsChild>
            <w:div w:id="18283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7111">
      <w:bodyDiv w:val="1"/>
      <w:marLeft w:val="0"/>
      <w:marRight w:val="0"/>
      <w:marTop w:val="0"/>
      <w:marBottom w:val="0"/>
      <w:divBdr>
        <w:top w:val="none" w:sz="0" w:space="0" w:color="auto"/>
        <w:left w:val="none" w:sz="0" w:space="0" w:color="auto"/>
        <w:bottom w:val="none" w:sz="0" w:space="0" w:color="auto"/>
        <w:right w:val="none" w:sz="0" w:space="0" w:color="auto"/>
      </w:divBdr>
      <w:divsChild>
        <w:div w:id="154608258">
          <w:marLeft w:val="0"/>
          <w:marRight w:val="0"/>
          <w:marTop w:val="240"/>
          <w:marBottom w:val="480"/>
          <w:divBdr>
            <w:top w:val="none" w:sz="0" w:space="0" w:color="auto"/>
            <w:left w:val="none" w:sz="0" w:space="0" w:color="auto"/>
            <w:bottom w:val="none" w:sz="0" w:space="0" w:color="auto"/>
            <w:right w:val="none" w:sz="0" w:space="0" w:color="auto"/>
          </w:divBdr>
          <w:divsChild>
            <w:div w:id="816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5560</Words>
  <Characters>33642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2016-10-05T23:55:00Z</dcterms:created>
  <dcterms:modified xsi:type="dcterms:W3CDTF">2016-11-07T00:28:00Z</dcterms:modified>
</cp:coreProperties>
</file>