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35BA" w:rsidRPr="00CF6B32" w:rsidRDefault="00FA29DF" w:rsidP="004B5087">
      <w:pPr>
        <w:pStyle w:val="Title"/>
      </w:pPr>
      <w:bookmarkStart w:id="0" w:name="_Toc450127238"/>
      <w:r w:rsidRPr="00CF6B32">
        <w:t>5.05</w:t>
      </w:r>
      <w:r w:rsidR="00BC6DC0" w:rsidRPr="00CF6B32">
        <w:tab/>
        <w:t>DACLIZUMAB</w:t>
      </w:r>
      <w:r w:rsidR="00B60939" w:rsidRPr="00CF6B32">
        <w:t>,</w:t>
      </w:r>
      <w:r w:rsidR="00BC6DC0" w:rsidRPr="00CF6B32">
        <w:t xml:space="preserve"> </w:t>
      </w:r>
    </w:p>
    <w:p w:rsidR="002D35BA" w:rsidRPr="00CF6B32" w:rsidRDefault="00BC6DC0" w:rsidP="004B5087">
      <w:pPr>
        <w:pStyle w:val="Title"/>
        <w:ind w:left="720"/>
      </w:pPr>
      <w:r w:rsidRPr="00CF6B32">
        <w:t>150</w:t>
      </w:r>
      <w:r w:rsidR="001D01C3" w:rsidRPr="00CF6B32">
        <w:rPr>
          <w:rFonts w:hint="eastAsia"/>
        </w:rPr>
        <w:t> </w:t>
      </w:r>
      <w:r w:rsidRPr="00CF6B32">
        <w:t>mg pre-filled injection pen or syringe</w:t>
      </w:r>
      <w:r w:rsidR="00B60939" w:rsidRPr="00CF6B32">
        <w:t xml:space="preserve">, </w:t>
      </w:r>
    </w:p>
    <w:p w:rsidR="00B60939" w:rsidRPr="004B5087" w:rsidRDefault="00BC6DC0" w:rsidP="004B5087">
      <w:pPr>
        <w:pStyle w:val="Title"/>
        <w:ind w:left="720"/>
      </w:pPr>
      <w:r w:rsidRPr="004B5087">
        <w:t>Zinbryta</w:t>
      </w:r>
      <w:r w:rsidR="00B60939" w:rsidRPr="004B5087">
        <w:t xml:space="preserve">®, </w:t>
      </w:r>
      <w:r w:rsidRPr="004B5087">
        <w:t>Biogen</w:t>
      </w:r>
      <w:r w:rsidR="00B60939" w:rsidRPr="004B5087">
        <w:t>.</w:t>
      </w:r>
      <w:bookmarkEnd w:id="0"/>
    </w:p>
    <w:p w:rsidR="00433044" w:rsidRPr="00C0474D" w:rsidRDefault="00433044" w:rsidP="00281014">
      <w:pPr>
        <w:pStyle w:val="BodyText"/>
      </w:pPr>
    </w:p>
    <w:p w:rsidR="00B60939" w:rsidRPr="00C0474D" w:rsidRDefault="00B60939" w:rsidP="00207D00"/>
    <w:p w:rsidR="00B50DB8" w:rsidRPr="00D44DDE" w:rsidRDefault="00B33B3B" w:rsidP="00D44DDE">
      <w:pPr>
        <w:pStyle w:val="Heading1"/>
      </w:pPr>
      <w:bookmarkStart w:id="1" w:name="_Toc450127240"/>
      <w:r w:rsidRPr="00D44DDE">
        <w:t xml:space="preserve">1 </w:t>
      </w:r>
      <w:r w:rsidRPr="00D44DDE">
        <w:tab/>
      </w:r>
      <w:r w:rsidR="00B50DB8" w:rsidRPr="00D44DDE">
        <w:t>Purpose of Application</w:t>
      </w:r>
      <w:bookmarkEnd w:id="1"/>
    </w:p>
    <w:p w:rsidR="00B60939" w:rsidRPr="00C0474D" w:rsidRDefault="00B60939" w:rsidP="00B60939">
      <w:pPr>
        <w:rPr>
          <w:szCs w:val="22"/>
        </w:rPr>
      </w:pPr>
    </w:p>
    <w:p w:rsidR="00BC6DC0" w:rsidRPr="00C0474D" w:rsidRDefault="00BC6DC0" w:rsidP="008834B0">
      <w:pPr>
        <w:pStyle w:val="ListParagraph"/>
        <w:numPr>
          <w:ilvl w:val="1"/>
          <w:numId w:val="1"/>
        </w:numPr>
      </w:pPr>
      <w:r w:rsidRPr="00C0474D">
        <w:t xml:space="preserve">The submission requested a Section 85 Authority Required PBS listing for </w:t>
      </w:r>
      <w:proofErr w:type="spellStart"/>
      <w:r w:rsidRPr="00C0474D">
        <w:t>daclizumab</w:t>
      </w:r>
      <w:proofErr w:type="spellEnd"/>
      <w:r w:rsidRPr="00C0474D">
        <w:t xml:space="preserve"> for the treatment of relapsing-remitting multiple sclerosis</w:t>
      </w:r>
      <w:r w:rsidR="0090212B">
        <w:t xml:space="preserve"> (MS)</w:t>
      </w:r>
      <w:r w:rsidRPr="00C0474D">
        <w:t>.</w:t>
      </w:r>
    </w:p>
    <w:p w:rsidR="00E52547" w:rsidRDefault="00E52547" w:rsidP="004B1CB4"/>
    <w:p w:rsidR="002D35BA" w:rsidRDefault="002D35BA" w:rsidP="004B1CB4"/>
    <w:p w:rsidR="00B50DB8" w:rsidRPr="00D44DDE" w:rsidRDefault="00B33B3B" w:rsidP="00D44DDE">
      <w:pPr>
        <w:pStyle w:val="Heading1"/>
      </w:pPr>
      <w:bookmarkStart w:id="2" w:name="_Toc450127241"/>
      <w:r w:rsidRPr="00B33B3B">
        <w:t>2</w:t>
      </w:r>
      <w:r w:rsidRPr="00B33B3B">
        <w:tab/>
      </w:r>
      <w:r w:rsidR="00B50DB8" w:rsidRPr="00D44DDE">
        <w:t>Requested listing</w:t>
      </w:r>
      <w:bookmarkEnd w:id="2"/>
    </w:p>
    <w:p w:rsidR="00510F94" w:rsidRDefault="00510F94" w:rsidP="004B1CB4"/>
    <w:p w:rsidR="00B60939" w:rsidRDefault="005F1038" w:rsidP="005F1038">
      <w:pPr>
        <w:pStyle w:val="ListParagraph"/>
        <w:ind w:hanging="720"/>
      </w:pPr>
      <w:r>
        <w:t>2.1</w:t>
      </w:r>
      <w:r>
        <w:tab/>
      </w:r>
      <w:r w:rsidR="00510F94" w:rsidRPr="00510F94">
        <w:t>The requested restriction is provided below, including initial and continuing treatment criteria.  Suggestions and additions proposed by the Secretariat to the requested listing are added in italics and suggested deletions are crossed out with strikethrough.</w:t>
      </w:r>
    </w:p>
    <w:p w:rsidR="00510F94" w:rsidRPr="00C0474D" w:rsidRDefault="00510F94" w:rsidP="004B1CB4"/>
    <w:tbl>
      <w:tblPr>
        <w:tblW w:w="4594" w:type="pct"/>
        <w:tblInd w:w="737" w:type="dxa"/>
        <w:tblCellMar>
          <w:left w:w="28" w:type="dxa"/>
          <w:right w:w="28" w:type="dxa"/>
        </w:tblCellMar>
        <w:tblLook w:val="0000" w:firstRow="0" w:lastRow="0" w:firstColumn="0" w:lastColumn="0" w:noHBand="0" w:noVBand="0"/>
      </w:tblPr>
      <w:tblGrid>
        <w:gridCol w:w="2410"/>
        <w:gridCol w:w="372"/>
        <w:gridCol w:w="598"/>
        <w:gridCol w:w="896"/>
        <w:gridCol w:w="1794"/>
        <w:gridCol w:w="926"/>
        <w:gridCol w:w="1349"/>
      </w:tblGrid>
      <w:tr w:rsidR="00EC715E" w:rsidRPr="00E41AFE" w:rsidTr="000B7E61">
        <w:trPr>
          <w:cantSplit/>
          <w:trHeight w:val="471"/>
        </w:trPr>
        <w:tc>
          <w:tcPr>
            <w:tcW w:w="1667" w:type="pct"/>
            <w:gridSpan w:val="2"/>
            <w:tcBorders>
              <w:bottom w:val="single" w:sz="4" w:space="0" w:color="auto"/>
            </w:tcBorders>
          </w:tcPr>
          <w:p w:rsidR="00EC715E" w:rsidRPr="00E41AFE" w:rsidRDefault="00EC715E" w:rsidP="00292C8B">
            <w:pPr>
              <w:keepNext/>
              <w:rPr>
                <w:rFonts w:ascii="Arial Narrow" w:hAnsi="Arial Narrow"/>
                <w:sz w:val="20"/>
              </w:rPr>
            </w:pPr>
            <w:r w:rsidRPr="00E41AFE">
              <w:rPr>
                <w:rFonts w:ascii="Arial Narrow" w:hAnsi="Arial Narrow"/>
                <w:sz w:val="20"/>
              </w:rPr>
              <w:t>Name, Restriction,</w:t>
            </w:r>
          </w:p>
          <w:p w:rsidR="00EC715E" w:rsidRPr="00E41AFE" w:rsidRDefault="00EC715E" w:rsidP="00292C8B">
            <w:pPr>
              <w:keepNext/>
              <w:rPr>
                <w:rFonts w:ascii="Arial Narrow" w:hAnsi="Arial Narrow"/>
                <w:sz w:val="20"/>
              </w:rPr>
            </w:pPr>
            <w:r w:rsidRPr="00E41AFE">
              <w:rPr>
                <w:rFonts w:ascii="Arial Narrow" w:hAnsi="Arial Narrow"/>
                <w:sz w:val="20"/>
              </w:rPr>
              <w:t>Manner of administration and form</w:t>
            </w:r>
          </w:p>
        </w:tc>
        <w:tc>
          <w:tcPr>
            <w:tcW w:w="358" w:type="pct"/>
            <w:tcBorders>
              <w:bottom w:val="single" w:sz="4" w:space="0" w:color="auto"/>
            </w:tcBorders>
          </w:tcPr>
          <w:p w:rsidR="00EC715E" w:rsidRPr="00E41AFE" w:rsidRDefault="00EC715E" w:rsidP="00292C8B">
            <w:pPr>
              <w:keepNext/>
              <w:jc w:val="center"/>
              <w:rPr>
                <w:rFonts w:ascii="Arial Narrow" w:hAnsi="Arial Narrow"/>
                <w:sz w:val="20"/>
              </w:rPr>
            </w:pPr>
            <w:r w:rsidRPr="00E41AFE">
              <w:rPr>
                <w:rFonts w:ascii="Arial Narrow" w:hAnsi="Arial Narrow"/>
                <w:sz w:val="20"/>
              </w:rPr>
              <w:t>Max.</w:t>
            </w:r>
          </w:p>
          <w:p w:rsidR="00EC715E" w:rsidRPr="00E41AFE" w:rsidRDefault="00EC715E" w:rsidP="00292C8B">
            <w:pPr>
              <w:keepNext/>
              <w:jc w:val="center"/>
              <w:rPr>
                <w:rFonts w:ascii="Arial Narrow" w:hAnsi="Arial Narrow"/>
                <w:sz w:val="20"/>
              </w:rPr>
            </w:pPr>
            <w:proofErr w:type="spellStart"/>
            <w:r w:rsidRPr="00E41AFE">
              <w:rPr>
                <w:rFonts w:ascii="Arial Narrow" w:hAnsi="Arial Narrow"/>
                <w:sz w:val="20"/>
              </w:rPr>
              <w:t>Qty</w:t>
            </w:r>
            <w:proofErr w:type="spellEnd"/>
          </w:p>
        </w:tc>
        <w:tc>
          <w:tcPr>
            <w:tcW w:w="537" w:type="pct"/>
            <w:tcBorders>
              <w:bottom w:val="single" w:sz="4" w:space="0" w:color="auto"/>
            </w:tcBorders>
          </w:tcPr>
          <w:p w:rsidR="00EC715E" w:rsidRPr="00E41AFE" w:rsidRDefault="00EC715E" w:rsidP="00B07B82">
            <w:pPr>
              <w:keepNext/>
              <w:jc w:val="center"/>
              <w:rPr>
                <w:rFonts w:ascii="Arial Narrow" w:hAnsi="Arial Narrow"/>
                <w:sz w:val="20"/>
              </w:rPr>
            </w:pPr>
            <w:r w:rsidRPr="00E41AFE">
              <w:rPr>
                <w:rFonts w:ascii="Arial Narrow" w:hAnsi="Arial Narrow"/>
                <w:sz w:val="20"/>
              </w:rPr>
              <w:t>№.of</w:t>
            </w:r>
          </w:p>
          <w:p w:rsidR="00EC715E" w:rsidRPr="00E41AFE" w:rsidRDefault="00EC715E" w:rsidP="00B07B82">
            <w:pPr>
              <w:keepNext/>
              <w:jc w:val="center"/>
              <w:rPr>
                <w:rFonts w:ascii="Arial Narrow" w:hAnsi="Arial Narrow"/>
                <w:sz w:val="20"/>
              </w:rPr>
            </w:pPr>
            <w:proofErr w:type="spellStart"/>
            <w:r w:rsidRPr="00E41AFE">
              <w:rPr>
                <w:rFonts w:ascii="Arial Narrow" w:hAnsi="Arial Narrow"/>
                <w:sz w:val="20"/>
              </w:rPr>
              <w:t>Rpts</w:t>
            </w:r>
            <w:proofErr w:type="spellEnd"/>
          </w:p>
        </w:tc>
        <w:tc>
          <w:tcPr>
            <w:tcW w:w="1075" w:type="pct"/>
            <w:tcBorders>
              <w:bottom w:val="single" w:sz="4" w:space="0" w:color="auto"/>
            </w:tcBorders>
          </w:tcPr>
          <w:p w:rsidR="00EC715E" w:rsidRPr="00E41AFE" w:rsidRDefault="00EC715E" w:rsidP="00B07B82">
            <w:pPr>
              <w:keepNext/>
              <w:jc w:val="center"/>
              <w:rPr>
                <w:rFonts w:ascii="Arial Narrow" w:hAnsi="Arial Narrow"/>
                <w:sz w:val="20"/>
              </w:rPr>
            </w:pPr>
            <w:r w:rsidRPr="00E41AFE">
              <w:rPr>
                <w:rFonts w:ascii="Arial Narrow" w:hAnsi="Arial Narrow"/>
                <w:sz w:val="20"/>
              </w:rPr>
              <w:t xml:space="preserve">Dispensed Price for Max. </w:t>
            </w:r>
            <w:proofErr w:type="spellStart"/>
            <w:r w:rsidRPr="00E41AFE">
              <w:rPr>
                <w:rFonts w:ascii="Arial Narrow" w:hAnsi="Arial Narrow"/>
                <w:sz w:val="20"/>
              </w:rPr>
              <w:t>Qty</w:t>
            </w:r>
            <w:proofErr w:type="spellEnd"/>
          </w:p>
        </w:tc>
        <w:tc>
          <w:tcPr>
            <w:tcW w:w="1363" w:type="pct"/>
            <w:gridSpan w:val="2"/>
            <w:tcBorders>
              <w:bottom w:val="single" w:sz="4" w:space="0" w:color="auto"/>
            </w:tcBorders>
          </w:tcPr>
          <w:p w:rsidR="00EC715E" w:rsidRPr="00E41AFE" w:rsidRDefault="00EC715E" w:rsidP="00B07B82">
            <w:pPr>
              <w:keepNext/>
              <w:jc w:val="center"/>
              <w:rPr>
                <w:rFonts w:ascii="Arial Narrow" w:hAnsi="Arial Narrow"/>
                <w:sz w:val="20"/>
                <w:lang w:val="fr-FR"/>
              </w:rPr>
            </w:pPr>
            <w:r w:rsidRPr="00E41AFE">
              <w:rPr>
                <w:rFonts w:ascii="Arial Narrow" w:hAnsi="Arial Narrow"/>
                <w:sz w:val="20"/>
              </w:rPr>
              <w:t>Proprietary Name and Manufacturer</w:t>
            </w:r>
          </w:p>
        </w:tc>
      </w:tr>
      <w:tr w:rsidR="00EC715E" w:rsidRPr="00E41AFE" w:rsidTr="000B7E61">
        <w:trPr>
          <w:cantSplit/>
          <w:trHeight w:val="577"/>
        </w:trPr>
        <w:tc>
          <w:tcPr>
            <w:tcW w:w="1667" w:type="pct"/>
            <w:gridSpan w:val="2"/>
            <w:tcBorders>
              <w:bottom w:val="single" w:sz="4" w:space="0" w:color="auto"/>
            </w:tcBorders>
          </w:tcPr>
          <w:p w:rsidR="00EC715E" w:rsidRPr="00E41AFE" w:rsidRDefault="00EC715E" w:rsidP="00292C8B">
            <w:pPr>
              <w:keepNext/>
              <w:rPr>
                <w:rFonts w:ascii="Arial Narrow" w:hAnsi="Arial Narrow"/>
                <w:sz w:val="20"/>
              </w:rPr>
            </w:pPr>
            <w:proofErr w:type="spellStart"/>
            <w:r w:rsidRPr="00E41AFE">
              <w:rPr>
                <w:rFonts w:ascii="Arial Narrow" w:hAnsi="Arial Narrow"/>
                <w:smallCaps/>
                <w:sz w:val="20"/>
              </w:rPr>
              <w:t>Daclizumab</w:t>
            </w:r>
            <w:proofErr w:type="spellEnd"/>
          </w:p>
          <w:p w:rsidR="00EC715E" w:rsidRPr="00E41AFE" w:rsidRDefault="00EC715E" w:rsidP="00292C8B">
            <w:pPr>
              <w:keepNext/>
              <w:rPr>
                <w:rFonts w:ascii="Arial Narrow" w:hAnsi="Arial Narrow"/>
                <w:sz w:val="20"/>
              </w:rPr>
            </w:pPr>
            <w:r w:rsidRPr="00E41AFE">
              <w:rPr>
                <w:rFonts w:ascii="Arial Narrow" w:hAnsi="Arial Narrow"/>
                <w:sz w:val="20"/>
              </w:rPr>
              <w:t>Injection 150 mg per 1.0 mL injection in pre-filled pen or syringe</w:t>
            </w:r>
          </w:p>
        </w:tc>
        <w:tc>
          <w:tcPr>
            <w:tcW w:w="358" w:type="pct"/>
            <w:tcBorders>
              <w:bottom w:val="single" w:sz="4" w:space="0" w:color="auto"/>
            </w:tcBorders>
          </w:tcPr>
          <w:p w:rsidR="00EC715E" w:rsidRPr="00E41AFE" w:rsidRDefault="00EC715E" w:rsidP="00292C8B">
            <w:pPr>
              <w:keepNext/>
              <w:jc w:val="center"/>
              <w:rPr>
                <w:rFonts w:ascii="Arial Narrow" w:hAnsi="Arial Narrow"/>
                <w:sz w:val="20"/>
              </w:rPr>
            </w:pPr>
          </w:p>
          <w:p w:rsidR="00EC715E" w:rsidRPr="00E41AFE" w:rsidRDefault="00EC715E" w:rsidP="00292C8B">
            <w:pPr>
              <w:keepNext/>
              <w:jc w:val="center"/>
              <w:rPr>
                <w:rFonts w:ascii="Arial Narrow" w:hAnsi="Arial Narrow"/>
                <w:sz w:val="20"/>
              </w:rPr>
            </w:pPr>
            <w:r w:rsidRPr="00E41AFE">
              <w:rPr>
                <w:rFonts w:ascii="Arial Narrow" w:hAnsi="Arial Narrow"/>
                <w:sz w:val="20"/>
              </w:rPr>
              <w:t>1</w:t>
            </w:r>
          </w:p>
        </w:tc>
        <w:tc>
          <w:tcPr>
            <w:tcW w:w="537" w:type="pct"/>
            <w:tcBorders>
              <w:bottom w:val="single" w:sz="4" w:space="0" w:color="auto"/>
            </w:tcBorders>
          </w:tcPr>
          <w:p w:rsidR="00EC715E" w:rsidRPr="00E41AFE" w:rsidRDefault="00EC715E" w:rsidP="00B07B82">
            <w:pPr>
              <w:keepNext/>
              <w:jc w:val="center"/>
              <w:rPr>
                <w:rFonts w:ascii="Arial Narrow" w:hAnsi="Arial Narrow"/>
                <w:sz w:val="20"/>
              </w:rPr>
            </w:pPr>
          </w:p>
          <w:p w:rsidR="00EC715E" w:rsidRPr="00E41AFE" w:rsidRDefault="00EC715E" w:rsidP="00B07B82">
            <w:pPr>
              <w:keepNext/>
              <w:jc w:val="center"/>
              <w:rPr>
                <w:rFonts w:ascii="Arial Narrow" w:hAnsi="Arial Narrow"/>
                <w:sz w:val="20"/>
              </w:rPr>
            </w:pPr>
            <w:r w:rsidRPr="00E41AFE">
              <w:rPr>
                <w:rFonts w:ascii="Arial Narrow" w:hAnsi="Arial Narrow"/>
                <w:sz w:val="20"/>
              </w:rPr>
              <w:t>5</w:t>
            </w:r>
          </w:p>
        </w:tc>
        <w:tc>
          <w:tcPr>
            <w:tcW w:w="1075" w:type="pct"/>
            <w:tcBorders>
              <w:bottom w:val="single" w:sz="4" w:space="0" w:color="auto"/>
            </w:tcBorders>
          </w:tcPr>
          <w:p w:rsidR="00EC715E" w:rsidRPr="00E41AFE" w:rsidRDefault="00EC715E" w:rsidP="00B07B82">
            <w:pPr>
              <w:keepNext/>
              <w:jc w:val="center"/>
              <w:rPr>
                <w:rFonts w:ascii="Arial Narrow" w:hAnsi="Arial Narrow"/>
                <w:sz w:val="20"/>
              </w:rPr>
            </w:pPr>
          </w:p>
          <w:p w:rsidR="00EC715E" w:rsidRPr="00E41AFE" w:rsidRDefault="00EC715E" w:rsidP="00B07B82">
            <w:pPr>
              <w:keepNext/>
              <w:jc w:val="center"/>
              <w:rPr>
                <w:rFonts w:ascii="Arial Narrow" w:hAnsi="Arial Narrow"/>
                <w:sz w:val="20"/>
              </w:rPr>
            </w:pPr>
            <w:r w:rsidRPr="00E41AFE">
              <w:rPr>
                <w:rFonts w:ascii="Arial Narrow" w:hAnsi="Arial Narrow"/>
                <w:sz w:val="20"/>
              </w:rPr>
              <w:t>$</w:t>
            </w:r>
            <w:r w:rsidR="00B33B3B">
              <w:rPr>
                <w:rFonts w:ascii="Arial Narrow" w:hAnsi="Arial Narrow"/>
                <w:noProof/>
                <w:color w:val="000000"/>
                <w:sz w:val="20"/>
                <w:highlight w:val="black"/>
              </w:rPr>
              <w:t>''''''''''''''''''''</w:t>
            </w:r>
          </w:p>
        </w:tc>
        <w:tc>
          <w:tcPr>
            <w:tcW w:w="555" w:type="pct"/>
            <w:tcBorders>
              <w:bottom w:val="single" w:sz="4" w:space="0" w:color="auto"/>
            </w:tcBorders>
          </w:tcPr>
          <w:p w:rsidR="00EC715E" w:rsidRPr="00E41AFE" w:rsidRDefault="00EC715E" w:rsidP="00B07B82">
            <w:pPr>
              <w:keepNext/>
              <w:jc w:val="center"/>
              <w:rPr>
                <w:rFonts w:ascii="Arial Narrow" w:hAnsi="Arial Narrow"/>
                <w:sz w:val="20"/>
              </w:rPr>
            </w:pPr>
            <w:proofErr w:type="spellStart"/>
            <w:r w:rsidRPr="00E41AFE">
              <w:rPr>
                <w:rFonts w:ascii="Arial Narrow" w:hAnsi="Arial Narrow"/>
                <w:sz w:val="20"/>
              </w:rPr>
              <w:t>Zinbryta</w:t>
            </w:r>
            <w:proofErr w:type="spellEnd"/>
          </w:p>
        </w:tc>
        <w:tc>
          <w:tcPr>
            <w:tcW w:w="808" w:type="pct"/>
            <w:tcBorders>
              <w:bottom w:val="single" w:sz="4" w:space="0" w:color="auto"/>
            </w:tcBorders>
          </w:tcPr>
          <w:p w:rsidR="00EC715E" w:rsidRPr="00E41AFE" w:rsidRDefault="00EC715E" w:rsidP="00B07B82">
            <w:pPr>
              <w:keepNext/>
              <w:jc w:val="center"/>
              <w:rPr>
                <w:rFonts w:ascii="Arial Narrow" w:hAnsi="Arial Narrow"/>
                <w:sz w:val="20"/>
              </w:rPr>
            </w:pPr>
            <w:proofErr w:type="spellStart"/>
            <w:r w:rsidRPr="00E41AFE">
              <w:rPr>
                <w:rFonts w:ascii="Arial Narrow" w:hAnsi="Arial Narrow"/>
                <w:sz w:val="20"/>
              </w:rPr>
              <w:t>Biogen</w:t>
            </w:r>
            <w:proofErr w:type="spellEnd"/>
            <w:r w:rsidRPr="00E41AFE">
              <w:rPr>
                <w:rFonts w:ascii="Arial Narrow" w:hAnsi="Arial Narrow"/>
                <w:sz w:val="20"/>
              </w:rPr>
              <w:t xml:space="preserve"> Australia Pty Ltd</w:t>
            </w:r>
          </w:p>
        </w:tc>
      </w:tr>
      <w:tr w:rsidR="00EC715E" w:rsidRPr="00E41AFE" w:rsidTr="000B7E61">
        <w:trPr>
          <w:cantSplit/>
          <w:trHeight w:val="360"/>
        </w:trPr>
        <w:tc>
          <w:tcPr>
            <w:tcW w:w="1444" w:type="pct"/>
            <w:tcBorders>
              <w:top w:val="single" w:sz="4" w:space="0" w:color="auto"/>
              <w:left w:val="single" w:sz="4" w:space="0" w:color="auto"/>
              <w:bottom w:val="single" w:sz="4" w:space="0" w:color="auto"/>
              <w:right w:val="single" w:sz="4" w:space="0" w:color="auto"/>
            </w:tcBorders>
          </w:tcPr>
          <w:p w:rsidR="00EC715E" w:rsidRPr="008914BA" w:rsidRDefault="00EC715E" w:rsidP="00292C8B">
            <w:pPr>
              <w:rPr>
                <w:rFonts w:ascii="Arial Narrow" w:hAnsi="Arial Narrow"/>
                <w:b/>
                <w:sz w:val="20"/>
              </w:rPr>
            </w:pPr>
            <w:r w:rsidRPr="008914BA">
              <w:rPr>
                <w:rFonts w:ascii="Arial Narrow" w:hAnsi="Arial Narrow"/>
                <w:b/>
                <w:sz w:val="20"/>
              </w:rPr>
              <w:t xml:space="preserve">Category / </w:t>
            </w:r>
          </w:p>
          <w:p w:rsidR="00EC715E" w:rsidRPr="00E41AFE" w:rsidRDefault="00EC715E" w:rsidP="00292C8B">
            <w:pPr>
              <w:rPr>
                <w:rFonts w:ascii="Arial Narrow" w:hAnsi="Arial Narrow"/>
                <w:sz w:val="20"/>
              </w:rPr>
            </w:pPr>
            <w:r w:rsidRPr="008914BA">
              <w:rPr>
                <w:rFonts w:ascii="Arial Narrow" w:hAnsi="Arial Narrow"/>
                <w:b/>
                <w:sz w:val="20"/>
              </w:rPr>
              <w:t>Program</w:t>
            </w:r>
          </w:p>
        </w:tc>
        <w:tc>
          <w:tcPr>
            <w:tcW w:w="3556" w:type="pct"/>
            <w:gridSpan w:val="6"/>
            <w:tcBorders>
              <w:top w:val="single" w:sz="4" w:space="0" w:color="auto"/>
              <w:left w:val="single" w:sz="4" w:space="0" w:color="auto"/>
              <w:bottom w:val="single" w:sz="4" w:space="0" w:color="auto"/>
              <w:right w:val="single" w:sz="4" w:space="0" w:color="auto"/>
            </w:tcBorders>
          </w:tcPr>
          <w:p w:rsidR="00EC715E" w:rsidRPr="00E41AFE" w:rsidRDefault="00EC715E" w:rsidP="00292C8B">
            <w:pPr>
              <w:rPr>
                <w:rFonts w:ascii="Arial Narrow" w:hAnsi="Arial Narrow"/>
                <w:sz w:val="20"/>
              </w:rPr>
            </w:pPr>
            <w:r w:rsidRPr="00E41AFE">
              <w:rPr>
                <w:rFonts w:ascii="Arial Narrow" w:hAnsi="Arial Narrow"/>
                <w:sz w:val="20"/>
              </w:rPr>
              <w:t xml:space="preserve">GENERAL – General Schedule (Code GE)  </w:t>
            </w:r>
          </w:p>
        </w:tc>
      </w:tr>
      <w:tr w:rsidR="00EC715E" w:rsidRPr="00E41AFE" w:rsidTr="000B7E61">
        <w:tblPrEx>
          <w:tblCellMar>
            <w:left w:w="108" w:type="dxa"/>
            <w:right w:w="108" w:type="dxa"/>
          </w:tblCellMar>
        </w:tblPrEx>
        <w:trPr>
          <w:cantSplit/>
        </w:trPr>
        <w:tc>
          <w:tcPr>
            <w:tcW w:w="1444" w:type="pct"/>
            <w:tcBorders>
              <w:top w:val="single" w:sz="4" w:space="0" w:color="auto"/>
              <w:left w:val="single" w:sz="4" w:space="0" w:color="auto"/>
              <w:bottom w:val="single" w:sz="4" w:space="0" w:color="auto"/>
              <w:right w:val="single" w:sz="4" w:space="0" w:color="auto"/>
            </w:tcBorders>
          </w:tcPr>
          <w:p w:rsidR="00EC715E" w:rsidRPr="008914BA" w:rsidRDefault="00EC715E" w:rsidP="00292C8B">
            <w:pPr>
              <w:rPr>
                <w:rFonts w:ascii="Arial Narrow" w:hAnsi="Arial Narrow"/>
                <w:b/>
                <w:sz w:val="20"/>
              </w:rPr>
            </w:pPr>
            <w:r w:rsidRPr="008914BA">
              <w:rPr>
                <w:rFonts w:ascii="Arial Narrow" w:hAnsi="Arial Narrow"/>
                <w:b/>
                <w:sz w:val="20"/>
              </w:rPr>
              <w:t>Prescriber type:</w:t>
            </w:r>
          </w:p>
        </w:tc>
        <w:tc>
          <w:tcPr>
            <w:tcW w:w="3556" w:type="pct"/>
            <w:gridSpan w:val="6"/>
            <w:tcBorders>
              <w:top w:val="single" w:sz="4" w:space="0" w:color="auto"/>
              <w:left w:val="single" w:sz="4" w:space="0" w:color="auto"/>
              <w:bottom w:val="single" w:sz="4" w:space="0" w:color="auto"/>
              <w:right w:val="single" w:sz="4" w:space="0" w:color="auto"/>
            </w:tcBorders>
          </w:tcPr>
          <w:p w:rsidR="00EC715E" w:rsidRPr="008914BA" w:rsidRDefault="00EC715E" w:rsidP="00292C8B">
            <w:pPr>
              <w:rPr>
                <w:rFonts w:ascii="Arial Narrow" w:hAnsi="Arial Narrow"/>
                <w:sz w:val="20"/>
              </w:rPr>
            </w:pPr>
            <w:r w:rsidRPr="00E41AFE">
              <w:rPr>
                <w:rFonts w:ascii="Arial Narrow" w:hAnsi="Arial Narrow"/>
                <w:sz w:val="20"/>
              </w:rPr>
              <w:fldChar w:fldCharType="begin">
                <w:ffData>
                  <w:name w:val="Check1"/>
                  <w:enabled/>
                  <w:calcOnExit w:val="0"/>
                  <w:checkBox>
                    <w:sizeAuto/>
                    <w:default w:val="0"/>
                  </w:checkBox>
                </w:ffData>
              </w:fldChar>
            </w:r>
            <w:r w:rsidRPr="00E41AFE">
              <w:rPr>
                <w:rFonts w:ascii="Arial Narrow" w:hAnsi="Arial Narrow"/>
                <w:sz w:val="20"/>
              </w:rPr>
              <w:instrText xml:space="preserve"> FORMCHECKBOX </w:instrText>
            </w:r>
            <w:r w:rsidR="00B33B3B">
              <w:rPr>
                <w:rFonts w:ascii="Arial Narrow" w:hAnsi="Arial Narrow"/>
                <w:sz w:val="20"/>
              </w:rPr>
            </w:r>
            <w:r w:rsidR="00B33B3B">
              <w:rPr>
                <w:rFonts w:ascii="Arial Narrow" w:hAnsi="Arial Narrow"/>
                <w:sz w:val="20"/>
              </w:rPr>
              <w:fldChar w:fldCharType="separate"/>
            </w:r>
            <w:r w:rsidRPr="00E41AFE">
              <w:rPr>
                <w:rFonts w:ascii="Arial Narrow" w:hAnsi="Arial Narrow"/>
                <w:sz w:val="20"/>
              </w:rPr>
              <w:fldChar w:fldCharType="end"/>
            </w:r>
            <w:r w:rsidRPr="008914BA">
              <w:rPr>
                <w:rFonts w:ascii="Arial Narrow" w:hAnsi="Arial Narrow"/>
                <w:sz w:val="20"/>
              </w:rPr>
              <w:t xml:space="preserve">Dental  </w:t>
            </w:r>
            <w:r w:rsidRPr="00E41AFE">
              <w:rPr>
                <w:rFonts w:ascii="Arial Narrow" w:hAnsi="Arial Narrow"/>
                <w:sz w:val="20"/>
              </w:rPr>
              <w:fldChar w:fldCharType="begin">
                <w:ffData>
                  <w:name w:val=""/>
                  <w:enabled/>
                  <w:calcOnExit w:val="0"/>
                  <w:checkBox>
                    <w:sizeAuto/>
                    <w:default w:val="1"/>
                  </w:checkBox>
                </w:ffData>
              </w:fldChar>
            </w:r>
            <w:r w:rsidRPr="00E41AFE">
              <w:rPr>
                <w:rFonts w:ascii="Arial Narrow" w:hAnsi="Arial Narrow"/>
                <w:sz w:val="20"/>
              </w:rPr>
              <w:instrText xml:space="preserve"> FORMCHECKBOX </w:instrText>
            </w:r>
            <w:r w:rsidR="00B33B3B">
              <w:rPr>
                <w:rFonts w:ascii="Arial Narrow" w:hAnsi="Arial Narrow"/>
                <w:sz w:val="20"/>
              </w:rPr>
            </w:r>
            <w:r w:rsidR="00B33B3B">
              <w:rPr>
                <w:rFonts w:ascii="Arial Narrow" w:hAnsi="Arial Narrow"/>
                <w:sz w:val="20"/>
              </w:rPr>
              <w:fldChar w:fldCharType="separate"/>
            </w:r>
            <w:r w:rsidRPr="00E41AFE">
              <w:rPr>
                <w:rFonts w:ascii="Arial Narrow" w:hAnsi="Arial Narrow"/>
                <w:sz w:val="20"/>
              </w:rPr>
              <w:fldChar w:fldCharType="end"/>
            </w:r>
            <w:r w:rsidRPr="008914BA">
              <w:rPr>
                <w:rFonts w:ascii="Arial Narrow" w:hAnsi="Arial Narrow"/>
                <w:sz w:val="20"/>
              </w:rPr>
              <w:t xml:space="preserve">Medical Practitioners  </w:t>
            </w:r>
            <w:r w:rsidRPr="00E41AFE">
              <w:rPr>
                <w:rFonts w:ascii="Arial Narrow" w:hAnsi="Arial Narrow"/>
                <w:sz w:val="20"/>
              </w:rPr>
              <w:fldChar w:fldCharType="begin">
                <w:ffData>
                  <w:name w:val="Check3"/>
                  <w:enabled/>
                  <w:calcOnExit w:val="0"/>
                  <w:checkBox>
                    <w:sizeAuto/>
                    <w:default w:val="0"/>
                  </w:checkBox>
                </w:ffData>
              </w:fldChar>
            </w:r>
            <w:r w:rsidRPr="00E41AFE">
              <w:rPr>
                <w:rFonts w:ascii="Arial Narrow" w:hAnsi="Arial Narrow"/>
                <w:sz w:val="20"/>
              </w:rPr>
              <w:instrText xml:space="preserve"> FORMCHECKBOX </w:instrText>
            </w:r>
            <w:r w:rsidR="00B33B3B">
              <w:rPr>
                <w:rFonts w:ascii="Arial Narrow" w:hAnsi="Arial Narrow"/>
                <w:sz w:val="20"/>
              </w:rPr>
            </w:r>
            <w:r w:rsidR="00B33B3B">
              <w:rPr>
                <w:rFonts w:ascii="Arial Narrow" w:hAnsi="Arial Narrow"/>
                <w:sz w:val="20"/>
              </w:rPr>
              <w:fldChar w:fldCharType="separate"/>
            </w:r>
            <w:r w:rsidRPr="00E41AFE">
              <w:rPr>
                <w:rFonts w:ascii="Arial Narrow" w:hAnsi="Arial Narrow"/>
                <w:sz w:val="20"/>
              </w:rPr>
              <w:fldChar w:fldCharType="end"/>
            </w:r>
            <w:r w:rsidRPr="008914BA">
              <w:rPr>
                <w:rFonts w:ascii="Arial Narrow" w:hAnsi="Arial Narrow"/>
                <w:sz w:val="20"/>
              </w:rPr>
              <w:t xml:space="preserve">Nurse practitioners  </w:t>
            </w:r>
            <w:r w:rsidRPr="00E41AFE">
              <w:rPr>
                <w:rFonts w:ascii="Arial Narrow" w:hAnsi="Arial Narrow"/>
                <w:sz w:val="20"/>
              </w:rPr>
              <w:fldChar w:fldCharType="begin">
                <w:ffData>
                  <w:name w:val=""/>
                  <w:enabled/>
                  <w:calcOnExit w:val="0"/>
                  <w:checkBox>
                    <w:sizeAuto/>
                    <w:default w:val="0"/>
                  </w:checkBox>
                </w:ffData>
              </w:fldChar>
            </w:r>
            <w:r w:rsidRPr="00E41AFE">
              <w:rPr>
                <w:rFonts w:ascii="Arial Narrow" w:hAnsi="Arial Narrow"/>
                <w:sz w:val="20"/>
              </w:rPr>
              <w:instrText xml:space="preserve"> FORMCHECKBOX </w:instrText>
            </w:r>
            <w:r w:rsidR="00B33B3B">
              <w:rPr>
                <w:rFonts w:ascii="Arial Narrow" w:hAnsi="Arial Narrow"/>
                <w:sz w:val="20"/>
              </w:rPr>
            </w:r>
            <w:r w:rsidR="00B33B3B">
              <w:rPr>
                <w:rFonts w:ascii="Arial Narrow" w:hAnsi="Arial Narrow"/>
                <w:sz w:val="20"/>
              </w:rPr>
              <w:fldChar w:fldCharType="separate"/>
            </w:r>
            <w:r w:rsidRPr="00E41AFE">
              <w:rPr>
                <w:rFonts w:ascii="Arial Narrow" w:hAnsi="Arial Narrow"/>
                <w:sz w:val="20"/>
              </w:rPr>
              <w:fldChar w:fldCharType="end"/>
            </w:r>
            <w:r w:rsidRPr="008914BA">
              <w:rPr>
                <w:rFonts w:ascii="Arial Narrow" w:hAnsi="Arial Narrow"/>
                <w:sz w:val="20"/>
              </w:rPr>
              <w:t>Optometrists</w:t>
            </w:r>
          </w:p>
          <w:p w:rsidR="00EC715E" w:rsidRPr="008914BA" w:rsidRDefault="00EC715E" w:rsidP="00292C8B">
            <w:pPr>
              <w:rPr>
                <w:rFonts w:ascii="Arial Narrow" w:hAnsi="Arial Narrow"/>
                <w:sz w:val="20"/>
              </w:rPr>
            </w:pPr>
            <w:r w:rsidRPr="00E41AFE">
              <w:rPr>
                <w:rFonts w:ascii="Arial Narrow" w:hAnsi="Arial Narrow"/>
                <w:sz w:val="20"/>
              </w:rPr>
              <w:fldChar w:fldCharType="begin">
                <w:ffData>
                  <w:name w:val="Check5"/>
                  <w:enabled/>
                  <w:calcOnExit w:val="0"/>
                  <w:checkBox>
                    <w:sizeAuto/>
                    <w:default w:val="0"/>
                  </w:checkBox>
                </w:ffData>
              </w:fldChar>
            </w:r>
            <w:r w:rsidRPr="00E41AFE">
              <w:rPr>
                <w:rFonts w:ascii="Arial Narrow" w:hAnsi="Arial Narrow"/>
                <w:sz w:val="20"/>
              </w:rPr>
              <w:instrText xml:space="preserve"> FORMCHECKBOX </w:instrText>
            </w:r>
            <w:r w:rsidR="00B33B3B">
              <w:rPr>
                <w:rFonts w:ascii="Arial Narrow" w:hAnsi="Arial Narrow"/>
                <w:sz w:val="20"/>
              </w:rPr>
            </w:r>
            <w:r w:rsidR="00B33B3B">
              <w:rPr>
                <w:rFonts w:ascii="Arial Narrow" w:hAnsi="Arial Narrow"/>
                <w:sz w:val="20"/>
              </w:rPr>
              <w:fldChar w:fldCharType="separate"/>
            </w:r>
            <w:r w:rsidRPr="00E41AFE">
              <w:rPr>
                <w:rFonts w:ascii="Arial Narrow" w:hAnsi="Arial Narrow"/>
                <w:sz w:val="20"/>
              </w:rPr>
              <w:fldChar w:fldCharType="end"/>
            </w:r>
            <w:r w:rsidRPr="008914BA">
              <w:rPr>
                <w:rFonts w:ascii="Arial Narrow" w:hAnsi="Arial Narrow"/>
                <w:sz w:val="20"/>
              </w:rPr>
              <w:t>Midwives</w:t>
            </w:r>
          </w:p>
        </w:tc>
      </w:tr>
      <w:tr w:rsidR="00EC715E" w:rsidRPr="00E41AFE" w:rsidTr="000B7E61">
        <w:tblPrEx>
          <w:tblCellMar>
            <w:left w:w="108" w:type="dxa"/>
            <w:right w:w="108" w:type="dxa"/>
          </w:tblCellMar>
        </w:tblPrEx>
        <w:trPr>
          <w:cantSplit/>
        </w:trPr>
        <w:tc>
          <w:tcPr>
            <w:tcW w:w="1444" w:type="pct"/>
            <w:tcBorders>
              <w:top w:val="single" w:sz="4" w:space="0" w:color="auto"/>
              <w:left w:val="single" w:sz="4" w:space="0" w:color="auto"/>
              <w:bottom w:val="single" w:sz="4" w:space="0" w:color="auto"/>
              <w:right w:val="single" w:sz="4" w:space="0" w:color="auto"/>
            </w:tcBorders>
          </w:tcPr>
          <w:p w:rsidR="00EC715E" w:rsidRPr="00E41AFE" w:rsidRDefault="00EC715E" w:rsidP="00292C8B">
            <w:pPr>
              <w:rPr>
                <w:rFonts w:ascii="Arial Narrow" w:hAnsi="Arial Narrow"/>
                <w:b/>
                <w:sz w:val="20"/>
              </w:rPr>
            </w:pPr>
            <w:r w:rsidRPr="00E41AFE">
              <w:rPr>
                <w:rFonts w:ascii="Arial Narrow" w:hAnsi="Arial Narrow"/>
                <w:b/>
                <w:sz w:val="20"/>
              </w:rPr>
              <w:t>Condition:</w:t>
            </w:r>
          </w:p>
        </w:tc>
        <w:tc>
          <w:tcPr>
            <w:tcW w:w="3556" w:type="pct"/>
            <w:gridSpan w:val="6"/>
            <w:tcBorders>
              <w:top w:val="single" w:sz="4" w:space="0" w:color="auto"/>
              <w:left w:val="single" w:sz="4" w:space="0" w:color="auto"/>
              <w:bottom w:val="single" w:sz="4" w:space="0" w:color="auto"/>
              <w:right w:val="single" w:sz="4" w:space="0" w:color="auto"/>
            </w:tcBorders>
          </w:tcPr>
          <w:p w:rsidR="00EC715E" w:rsidRPr="00E41AFE" w:rsidRDefault="00EC715E" w:rsidP="00292C8B">
            <w:pPr>
              <w:rPr>
                <w:rFonts w:ascii="Arial Narrow" w:hAnsi="Arial Narrow"/>
                <w:sz w:val="20"/>
              </w:rPr>
            </w:pPr>
            <w:r w:rsidRPr="00E41AFE">
              <w:rPr>
                <w:rFonts w:ascii="Arial Narrow" w:hAnsi="Arial Narrow"/>
                <w:sz w:val="20"/>
              </w:rPr>
              <w:t>Multiple sclerosis</w:t>
            </w:r>
          </w:p>
        </w:tc>
      </w:tr>
      <w:tr w:rsidR="00EC715E" w:rsidRPr="00E41AFE" w:rsidTr="000B7E61">
        <w:tblPrEx>
          <w:tblCellMar>
            <w:left w:w="108" w:type="dxa"/>
            <w:right w:w="108" w:type="dxa"/>
          </w:tblCellMar>
        </w:tblPrEx>
        <w:trPr>
          <w:cantSplit/>
        </w:trPr>
        <w:tc>
          <w:tcPr>
            <w:tcW w:w="1444" w:type="pct"/>
            <w:tcBorders>
              <w:top w:val="single" w:sz="4" w:space="0" w:color="auto"/>
              <w:left w:val="single" w:sz="4" w:space="0" w:color="auto"/>
              <w:bottom w:val="single" w:sz="4" w:space="0" w:color="auto"/>
              <w:right w:val="single" w:sz="4" w:space="0" w:color="auto"/>
            </w:tcBorders>
          </w:tcPr>
          <w:p w:rsidR="00EC715E" w:rsidRPr="00E41AFE" w:rsidRDefault="00EC715E" w:rsidP="00292C8B">
            <w:pPr>
              <w:rPr>
                <w:rFonts w:ascii="Arial Narrow" w:hAnsi="Arial Narrow"/>
                <w:b/>
                <w:sz w:val="20"/>
              </w:rPr>
            </w:pPr>
            <w:r w:rsidRPr="00E41AFE">
              <w:rPr>
                <w:rFonts w:ascii="Arial Narrow" w:hAnsi="Arial Narrow"/>
                <w:b/>
                <w:sz w:val="20"/>
              </w:rPr>
              <w:t>PBS Indication:</w:t>
            </w:r>
          </w:p>
        </w:tc>
        <w:tc>
          <w:tcPr>
            <w:tcW w:w="3556" w:type="pct"/>
            <w:gridSpan w:val="6"/>
            <w:tcBorders>
              <w:top w:val="single" w:sz="4" w:space="0" w:color="auto"/>
              <w:left w:val="single" w:sz="4" w:space="0" w:color="auto"/>
              <w:bottom w:val="single" w:sz="4" w:space="0" w:color="auto"/>
              <w:right w:val="single" w:sz="4" w:space="0" w:color="auto"/>
            </w:tcBorders>
          </w:tcPr>
          <w:p w:rsidR="00EC715E" w:rsidRPr="00E41AFE" w:rsidRDefault="00EC715E" w:rsidP="00292C8B">
            <w:pPr>
              <w:rPr>
                <w:rFonts w:ascii="Arial Narrow" w:hAnsi="Arial Narrow"/>
                <w:sz w:val="20"/>
              </w:rPr>
            </w:pPr>
            <w:r w:rsidRPr="00E41AFE">
              <w:rPr>
                <w:rFonts w:ascii="Arial Narrow" w:hAnsi="Arial Narrow"/>
                <w:sz w:val="20"/>
              </w:rPr>
              <w:t>Multiple sclerosis</w:t>
            </w:r>
          </w:p>
        </w:tc>
      </w:tr>
      <w:tr w:rsidR="00EC715E" w:rsidRPr="00E41AFE" w:rsidTr="000B7E61">
        <w:tblPrEx>
          <w:tblCellMar>
            <w:left w:w="108" w:type="dxa"/>
            <w:right w:w="108" w:type="dxa"/>
          </w:tblCellMar>
        </w:tblPrEx>
        <w:trPr>
          <w:cantSplit/>
        </w:trPr>
        <w:tc>
          <w:tcPr>
            <w:tcW w:w="1444" w:type="pct"/>
            <w:tcBorders>
              <w:top w:val="single" w:sz="4" w:space="0" w:color="auto"/>
              <w:left w:val="single" w:sz="4" w:space="0" w:color="auto"/>
              <w:bottom w:val="single" w:sz="4" w:space="0" w:color="auto"/>
              <w:right w:val="single" w:sz="4" w:space="0" w:color="auto"/>
            </w:tcBorders>
          </w:tcPr>
          <w:p w:rsidR="00EC715E" w:rsidRPr="00E41AFE" w:rsidRDefault="00EC715E" w:rsidP="00292C8B">
            <w:pPr>
              <w:rPr>
                <w:rFonts w:ascii="Arial Narrow" w:hAnsi="Arial Narrow"/>
                <w:b/>
                <w:sz w:val="20"/>
              </w:rPr>
            </w:pPr>
            <w:r w:rsidRPr="00E41AFE">
              <w:rPr>
                <w:rFonts w:ascii="Arial Narrow" w:hAnsi="Arial Narrow"/>
                <w:b/>
                <w:sz w:val="20"/>
              </w:rPr>
              <w:t>Treatment phase:</w:t>
            </w:r>
          </w:p>
        </w:tc>
        <w:tc>
          <w:tcPr>
            <w:tcW w:w="3556" w:type="pct"/>
            <w:gridSpan w:val="6"/>
            <w:tcBorders>
              <w:top w:val="single" w:sz="4" w:space="0" w:color="auto"/>
              <w:left w:val="single" w:sz="4" w:space="0" w:color="auto"/>
              <w:bottom w:val="single" w:sz="4" w:space="0" w:color="auto"/>
              <w:right w:val="single" w:sz="4" w:space="0" w:color="auto"/>
            </w:tcBorders>
          </w:tcPr>
          <w:p w:rsidR="00EC715E" w:rsidRPr="00E41AFE" w:rsidRDefault="00EC715E" w:rsidP="00292C8B">
            <w:pPr>
              <w:rPr>
                <w:rFonts w:ascii="Arial Narrow" w:hAnsi="Arial Narrow"/>
                <w:sz w:val="20"/>
              </w:rPr>
            </w:pPr>
            <w:r w:rsidRPr="00E41AFE">
              <w:rPr>
                <w:rFonts w:ascii="Arial Narrow" w:hAnsi="Arial Narrow"/>
                <w:sz w:val="20"/>
              </w:rPr>
              <w:t>Initial</w:t>
            </w:r>
          </w:p>
        </w:tc>
      </w:tr>
      <w:tr w:rsidR="00EC715E" w:rsidRPr="00E41AFE" w:rsidTr="000B7E61">
        <w:tblPrEx>
          <w:tblCellMar>
            <w:left w:w="108" w:type="dxa"/>
            <w:right w:w="108" w:type="dxa"/>
          </w:tblCellMar>
        </w:tblPrEx>
        <w:trPr>
          <w:cantSplit/>
          <w:trHeight w:val="360"/>
        </w:trPr>
        <w:tc>
          <w:tcPr>
            <w:tcW w:w="1444" w:type="pct"/>
            <w:tcBorders>
              <w:top w:val="single" w:sz="4" w:space="0" w:color="auto"/>
              <w:left w:val="single" w:sz="4" w:space="0" w:color="auto"/>
              <w:bottom w:val="single" w:sz="4" w:space="0" w:color="auto"/>
              <w:right w:val="single" w:sz="4" w:space="0" w:color="auto"/>
            </w:tcBorders>
          </w:tcPr>
          <w:p w:rsidR="00EC715E" w:rsidRPr="00E41AFE" w:rsidRDefault="00EC715E" w:rsidP="00292C8B">
            <w:pPr>
              <w:rPr>
                <w:rFonts w:ascii="Arial Narrow" w:hAnsi="Arial Narrow"/>
                <w:b/>
                <w:sz w:val="20"/>
              </w:rPr>
            </w:pPr>
            <w:r w:rsidRPr="00E41AFE">
              <w:rPr>
                <w:rFonts w:ascii="Arial Narrow" w:hAnsi="Arial Narrow"/>
                <w:b/>
                <w:sz w:val="20"/>
              </w:rPr>
              <w:t>Restriction Level / Method:</w:t>
            </w:r>
          </w:p>
          <w:p w:rsidR="00EC715E" w:rsidRPr="00E41AFE" w:rsidRDefault="00EC715E" w:rsidP="00292C8B">
            <w:pPr>
              <w:rPr>
                <w:rFonts w:ascii="Arial Narrow" w:hAnsi="Arial Narrow"/>
                <w:i/>
                <w:sz w:val="20"/>
                <w:highlight w:val="yellow"/>
              </w:rPr>
            </w:pPr>
          </w:p>
          <w:p w:rsidR="00EC715E" w:rsidRPr="00E41AFE" w:rsidRDefault="00EC715E" w:rsidP="00292C8B">
            <w:pPr>
              <w:rPr>
                <w:rFonts w:ascii="Arial Narrow" w:hAnsi="Arial Narrow"/>
                <w:i/>
                <w:sz w:val="20"/>
              </w:rPr>
            </w:pPr>
          </w:p>
        </w:tc>
        <w:tc>
          <w:tcPr>
            <w:tcW w:w="3556" w:type="pct"/>
            <w:gridSpan w:val="6"/>
            <w:tcBorders>
              <w:top w:val="single" w:sz="4" w:space="0" w:color="auto"/>
              <w:left w:val="single" w:sz="4" w:space="0" w:color="auto"/>
              <w:bottom w:val="single" w:sz="4" w:space="0" w:color="auto"/>
              <w:right w:val="single" w:sz="4" w:space="0" w:color="auto"/>
            </w:tcBorders>
          </w:tcPr>
          <w:p w:rsidR="00EC715E" w:rsidRPr="008914BA" w:rsidRDefault="00EC715E" w:rsidP="00292C8B">
            <w:pPr>
              <w:rPr>
                <w:rFonts w:ascii="Arial Narrow" w:hAnsi="Arial Narrow"/>
                <w:sz w:val="20"/>
              </w:rPr>
            </w:pPr>
            <w:r w:rsidRPr="00E41AFE">
              <w:rPr>
                <w:rFonts w:ascii="Arial Narrow" w:hAnsi="Arial Narrow"/>
                <w:sz w:val="20"/>
              </w:rPr>
              <w:fldChar w:fldCharType="begin">
                <w:ffData>
                  <w:name w:val="Check1"/>
                  <w:enabled/>
                  <w:calcOnExit w:val="0"/>
                  <w:checkBox>
                    <w:sizeAuto/>
                    <w:default w:val="0"/>
                  </w:checkBox>
                </w:ffData>
              </w:fldChar>
            </w:r>
            <w:r w:rsidRPr="00E41AFE">
              <w:rPr>
                <w:rFonts w:ascii="Arial Narrow" w:hAnsi="Arial Narrow"/>
                <w:sz w:val="20"/>
              </w:rPr>
              <w:instrText xml:space="preserve"> FORMCHECKBOX </w:instrText>
            </w:r>
            <w:r w:rsidR="00B33B3B">
              <w:rPr>
                <w:rFonts w:ascii="Arial Narrow" w:hAnsi="Arial Narrow"/>
                <w:sz w:val="20"/>
              </w:rPr>
            </w:r>
            <w:r w:rsidR="00B33B3B">
              <w:rPr>
                <w:rFonts w:ascii="Arial Narrow" w:hAnsi="Arial Narrow"/>
                <w:sz w:val="20"/>
              </w:rPr>
              <w:fldChar w:fldCharType="separate"/>
            </w:r>
            <w:r w:rsidRPr="00E41AFE">
              <w:rPr>
                <w:rFonts w:ascii="Arial Narrow" w:hAnsi="Arial Narrow"/>
                <w:sz w:val="20"/>
              </w:rPr>
              <w:fldChar w:fldCharType="end"/>
            </w:r>
            <w:r w:rsidRPr="008914BA">
              <w:rPr>
                <w:rFonts w:ascii="Arial Narrow" w:hAnsi="Arial Narrow"/>
                <w:sz w:val="20"/>
              </w:rPr>
              <w:t>Restricted benefit</w:t>
            </w:r>
          </w:p>
          <w:p w:rsidR="00EC715E" w:rsidRPr="008914BA" w:rsidRDefault="00EC715E" w:rsidP="00292C8B">
            <w:pPr>
              <w:rPr>
                <w:rFonts w:ascii="Arial Narrow" w:hAnsi="Arial Narrow"/>
                <w:sz w:val="20"/>
              </w:rPr>
            </w:pPr>
            <w:r w:rsidRPr="00E41AFE">
              <w:rPr>
                <w:rFonts w:ascii="Arial Narrow" w:hAnsi="Arial Narrow"/>
                <w:sz w:val="20"/>
              </w:rPr>
              <w:fldChar w:fldCharType="begin">
                <w:ffData>
                  <w:name w:val=""/>
                  <w:enabled/>
                  <w:calcOnExit w:val="0"/>
                  <w:checkBox>
                    <w:sizeAuto/>
                    <w:default w:val="1"/>
                  </w:checkBox>
                </w:ffData>
              </w:fldChar>
            </w:r>
            <w:r w:rsidRPr="00E41AFE">
              <w:rPr>
                <w:rFonts w:ascii="Arial Narrow" w:hAnsi="Arial Narrow"/>
                <w:sz w:val="20"/>
              </w:rPr>
              <w:instrText xml:space="preserve"> FORMCHECKBOX </w:instrText>
            </w:r>
            <w:r w:rsidR="00B33B3B">
              <w:rPr>
                <w:rFonts w:ascii="Arial Narrow" w:hAnsi="Arial Narrow"/>
                <w:sz w:val="20"/>
              </w:rPr>
            </w:r>
            <w:r w:rsidR="00B33B3B">
              <w:rPr>
                <w:rFonts w:ascii="Arial Narrow" w:hAnsi="Arial Narrow"/>
                <w:sz w:val="20"/>
              </w:rPr>
              <w:fldChar w:fldCharType="separate"/>
            </w:r>
            <w:r w:rsidRPr="00E41AFE">
              <w:rPr>
                <w:rFonts w:ascii="Arial Narrow" w:hAnsi="Arial Narrow"/>
                <w:sz w:val="20"/>
              </w:rPr>
              <w:fldChar w:fldCharType="end"/>
            </w:r>
            <w:r w:rsidRPr="008914BA">
              <w:rPr>
                <w:rFonts w:ascii="Arial Narrow" w:hAnsi="Arial Narrow"/>
                <w:sz w:val="20"/>
              </w:rPr>
              <w:t>Authority Required - In Writing</w:t>
            </w:r>
          </w:p>
          <w:p w:rsidR="00EC715E" w:rsidRPr="008914BA" w:rsidRDefault="00EC715E" w:rsidP="00292C8B">
            <w:pPr>
              <w:rPr>
                <w:rFonts w:ascii="Arial Narrow" w:hAnsi="Arial Narrow"/>
                <w:sz w:val="20"/>
              </w:rPr>
            </w:pPr>
            <w:r w:rsidRPr="00E41AFE">
              <w:rPr>
                <w:rFonts w:ascii="Arial Narrow" w:hAnsi="Arial Narrow"/>
                <w:sz w:val="20"/>
              </w:rPr>
              <w:fldChar w:fldCharType="begin">
                <w:ffData>
                  <w:name w:val="Check3"/>
                  <w:enabled/>
                  <w:calcOnExit w:val="0"/>
                  <w:checkBox>
                    <w:sizeAuto/>
                    <w:default w:val="1"/>
                  </w:checkBox>
                </w:ffData>
              </w:fldChar>
            </w:r>
            <w:bookmarkStart w:id="3" w:name="Check3"/>
            <w:r w:rsidRPr="00E41AFE">
              <w:rPr>
                <w:rFonts w:ascii="Arial Narrow" w:hAnsi="Arial Narrow"/>
                <w:sz w:val="20"/>
              </w:rPr>
              <w:instrText xml:space="preserve"> FORMCHECKBOX </w:instrText>
            </w:r>
            <w:r w:rsidR="00B33B3B">
              <w:rPr>
                <w:rFonts w:ascii="Arial Narrow" w:hAnsi="Arial Narrow"/>
                <w:sz w:val="20"/>
              </w:rPr>
            </w:r>
            <w:r w:rsidR="00B33B3B">
              <w:rPr>
                <w:rFonts w:ascii="Arial Narrow" w:hAnsi="Arial Narrow"/>
                <w:sz w:val="20"/>
              </w:rPr>
              <w:fldChar w:fldCharType="separate"/>
            </w:r>
            <w:r w:rsidRPr="00E41AFE">
              <w:rPr>
                <w:rFonts w:ascii="Arial Narrow" w:hAnsi="Arial Narrow"/>
                <w:sz w:val="20"/>
              </w:rPr>
              <w:fldChar w:fldCharType="end"/>
            </w:r>
            <w:bookmarkEnd w:id="3"/>
            <w:r w:rsidRPr="008914BA">
              <w:rPr>
                <w:rFonts w:ascii="Arial Narrow" w:hAnsi="Arial Narrow"/>
                <w:sz w:val="20"/>
              </w:rPr>
              <w:t>Authority Required - Telephone</w:t>
            </w:r>
          </w:p>
          <w:p w:rsidR="00EC715E" w:rsidRPr="000533CF" w:rsidRDefault="00EC715E" w:rsidP="00292C8B">
            <w:pPr>
              <w:rPr>
                <w:rFonts w:ascii="Arial Narrow" w:hAnsi="Arial Narrow"/>
                <w:sz w:val="20"/>
              </w:rPr>
            </w:pPr>
            <w:r w:rsidRPr="00E41AFE">
              <w:rPr>
                <w:rFonts w:ascii="Arial Narrow" w:hAnsi="Arial Narrow"/>
                <w:sz w:val="20"/>
              </w:rPr>
              <w:fldChar w:fldCharType="begin">
                <w:ffData>
                  <w:name w:val=""/>
                  <w:enabled/>
                  <w:calcOnExit w:val="0"/>
                  <w:checkBox>
                    <w:sizeAuto/>
                    <w:default w:val="1"/>
                  </w:checkBox>
                </w:ffData>
              </w:fldChar>
            </w:r>
            <w:r w:rsidRPr="00E41AFE">
              <w:rPr>
                <w:rFonts w:ascii="Arial Narrow" w:hAnsi="Arial Narrow"/>
                <w:sz w:val="20"/>
              </w:rPr>
              <w:instrText xml:space="preserve"> FORMCHECKBOX </w:instrText>
            </w:r>
            <w:r w:rsidR="00B33B3B">
              <w:rPr>
                <w:rFonts w:ascii="Arial Narrow" w:hAnsi="Arial Narrow"/>
                <w:sz w:val="20"/>
              </w:rPr>
            </w:r>
            <w:r w:rsidR="00B33B3B">
              <w:rPr>
                <w:rFonts w:ascii="Arial Narrow" w:hAnsi="Arial Narrow"/>
                <w:sz w:val="20"/>
              </w:rPr>
              <w:fldChar w:fldCharType="separate"/>
            </w:r>
            <w:r w:rsidRPr="00E41AFE">
              <w:rPr>
                <w:rFonts w:ascii="Arial Narrow" w:hAnsi="Arial Narrow"/>
                <w:sz w:val="20"/>
              </w:rPr>
              <w:fldChar w:fldCharType="end"/>
            </w:r>
            <w:r w:rsidRPr="008914BA">
              <w:rPr>
                <w:rFonts w:ascii="Arial Narrow" w:hAnsi="Arial Narrow"/>
                <w:sz w:val="20"/>
              </w:rPr>
              <w:t>Authority Required -</w:t>
            </w:r>
            <w:r w:rsidRPr="000533CF">
              <w:rPr>
                <w:rFonts w:ascii="Arial Narrow" w:hAnsi="Arial Narrow"/>
                <w:sz w:val="20"/>
              </w:rPr>
              <w:t xml:space="preserve"> Emergency</w:t>
            </w:r>
          </w:p>
          <w:p w:rsidR="00EC715E" w:rsidRPr="008914BA" w:rsidRDefault="00EC715E" w:rsidP="00292C8B">
            <w:pPr>
              <w:rPr>
                <w:rFonts w:ascii="Arial Narrow" w:hAnsi="Arial Narrow"/>
                <w:sz w:val="20"/>
              </w:rPr>
            </w:pPr>
            <w:r w:rsidRPr="00E41AFE">
              <w:rPr>
                <w:rFonts w:ascii="Arial Narrow" w:hAnsi="Arial Narrow"/>
                <w:sz w:val="20"/>
              </w:rPr>
              <w:fldChar w:fldCharType="begin">
                <w:ffData>
                  <w:name w:val="Check5"/>
                  <w:enabled/>
                  <w:calcOnExit w:val="0"/>
                  <w:checkBox>
                    <w:sizeAuto/>
                    <w:default w:val="1"/>
                  </w:checkBox>
                </w:ffData>
              </w:fldChar>
            </w:r>
            <w:bookmarkStart w:id="4" w:name="Check5"/>
            <w:r w:rsidRPr="00E41AFE">
              <w:rPr>
                <w:rFonts w:ascii="Arial Narrow" w:hAnsi="Arial Narrow"/>
                <w:sz w:val="20"/>
              </w:rPr>
              <w:instrText xml:space="preserve"> FORMCHECKBOX </w:instrText>
            </w:r>
            <w:r w:rsidR="00B33B3B">
              <w:rPr>
                <w:rFonts w:ascii="Arial Narrow" w:hAnsi="Arial Narrow"/>
                <w:sz w:val="20"/>
              </w:rPr>
            </w:r>
            <w:r w:rsidR="00B33B3B">
              <w:rPr>
                <w:rFonts w:ascii="Arial Narrow" w:hAnsi="Arial Narrow"/>
                <w:sz w:val="20"/>
              </w:rPr>
              <w:fldChar w:fldCharType="separate"/>
            </w:r>
            <w:r w:rsidRPr="00E41AFE">
              <w:rPr>
                <w:rFonts w:ascii="Arial Narrow" w:hAnsi="Arial Narrow"/>
                <w:sz w:val="20"/>
              </w:rPr>
              <w:fldChar w:fldCharType="end"/>
            </w:r>
            <w:bookmarkEnd w:id="4"/>
            <w:r w:rsidRPr="008914BA">
              <w:rPr>
                <w:rFonts w:ascii="Arial Narrow" w:hAnsi="Arial Narrow"/>
                <w:sz w:val="20"/>
              </w:rPr>
              <w:t>Authority Required - Electronic</w:t>
            </w:r>
          </w:p>
          <w:p w:rsidR="00EC715E" w:rsidRPr="008914BA" w:rsidRDefault="00EC715E" w:rsidP="00292C8B">
            <w:pPr>
              <w:rPr>
                <w:rFonts w:ascii="Arial Narrow" w:hAnsi="Arial Narrow"/>
                <w:sz w:val="20"/>
              </w:rPr>
            </w:pPr>
            <w:r w:rsidRPr="00E41AFE">
              <w:rPr>
                <w:rFonts w:ascii="Arial Narrow" w:hAnsi="Arial Narrow"/>
                <w:sz w:val="20"/>
              </w:rPr>
              <w:fldChar w:fldCharType="begin">
                <w:ffData>
                  <w:name w:val="Check5"/>
                  <w:enabled/>
                  <w:calcOnExit w:val="0"/>
                  <w:checkBox>
                    <w:sizeAuto/>
                    <w:default w:val="0"/>
                  </w:checkBox>
                </w:ffData>
              </w:fldChar>
            </w:r>
            <w:r w:rsidRPr="00E41AFE">
              <w:rPr>
                <w:rFonts w:ascii="Arial Narrow" w:hAnsi="Arial Narrow"/>
                <w:sz w:val="20"/>
              </w:rPr>
              <w:instrText xml:space="preserve"> FORMCHECKBOX </w:instrText>
            </w:r>
            <w:r w:rsidR="00B33B3B">
              <w:rPr>
                <w:rFonts w:ascii="Arial Narrow" w:hAnsi="Arial Narrow"/>
                <w:sz w:val="20"/>
              </w:rPr>
            </w:r>
            <w:r w:rsidR="00B33B3B">
              <w:rPr>
                <w:rFonts w:ascii="Arial Narrow" w:hAnsi="Arial Narrow"/>
                <w:sz w:val="20"/>
              </w:rPr>
              <w:fldChar w:fldCharType="separate"/>
            </w:r>
            <w:r w:rsidRPr="00E41AFE">
              <w:rPr>
                <w:rFonts w:ascii="Arial Narrow" w:hAnsi="Arial Narrow"/>
                <w:sz w:val="20"/>
              </w:rPr>
              <w:fldChar w:fldCharType="end"/>
            </w:r>
            <w:r w:rsidRPr="008914BA">
              <w:rPr>
                <w:rFonts w:ascii="Arial Narrow" w:hAnsi="Arial Narrow"/>
                <w:sz w:val="20"/>
              </w:rPr>
              <w:t>Streamlined</w:t>
            </w:r>
          </w:p>
        </w:tc>
      </w:tr>
      <w:tr w:rsidR="00EC715E" w:rsidRPr="00E41AFE" w:rsidTr="000B7E61">
        <w:tblPrEx>
          <w:tblCellMar>
            <w:left w:w="108" w:type="dxa"/>
            <w:right w:w="108" w:type="dxa"/>
          </w:tblCellMar>
        </w:tblPrEx>
        <w:trPr>
          <w:cantSplit/>
        </w:trPr>
        <w:tc>
          <w:tcPr>
            <w:tcW w:w="1444" w:type="pct"/>
            <w:tcBorders>
              <w:top w:val="single" w:sz="4" w:space="0" w:color="auto"/>
              <w:left w:val="single" w:sz="4" w:space="0" w:color="auto"/>
              <w:bottom w:val="single" w:sz="4" w:space="0" w:color="auto"/>
              <w:right w:val="single" w:sz="4" w:space="0" w:color="auto"/>
            </w:tcBorders>
          </w:tcPr>
          <w:p w:rsidR="00EC715E" w:rsidRPr="008914BA" w:rsidRDefault="00EC715E" w:rsidP="00292C8B">
            <w:pPr>
              <w:rPr>
                <w:rFonts w:ascii="Arial Narrow" w:hAnsi="Arial Narrow"/>
                <w:b/>
                <w:sz w:val="20"/>
              </w:rPr>
            </w:pPr>
            <w:r w:rsidRPr="00E41AFE">
              <w:rPr>
                <w:rFonts w:ascii="Arial Narrow" w:hAnsi="Arial Narrow"/>
                <w:b/>
                <w:sz w:val="20"/>
              </w:rPr>
              <w:lastRenderedPageBreak/>
              <w:t>Clinical criteria:</w:t>
            </w:r>
          </w:p>
          <w:p w:rsidR="00EC715E" w:rsidRPr="000533CF" w:rsidRDefault="00EC715E" w:rsidP="00292C8B">
            <w:pPr>
              <w:rPr>
                <w:rFonts w:ascii="Arial Narrow" w:hAnsi="Arial Narrow"/>
                <w:i/>
                <w:sz w:val="20"/>
              </w:rPr>
            </w:pPr>
          </w:p>
          <w:p w:rsidR="00EC715E" w:rsidRPr="007D2DD7" w:rsidRDefault="00EC715E" w:rsidP="00292C8B">
            <w:pPr>
              <w:rPr>
                <w:rFonts w:ascii="Arial Narrow" w:hAnsi="Arial Narrow"/>
                <w:sz w:val="20"/>
              </w:rPr>
            </w:pPr>
          </w:p>
        </w:tc>
        <w:tc>
          <w:tcPr>
            <w:tcW w:w="3556" w:type="pct"/>
            <w:gridSpan w:val="6"/>
            <w:tcBorders>
              <w:top w:val="single" w:sz="4" w:space="0" w:color="auto"/>
              <w:left w:val="single" w:sz="4" w:space="0" w:color="auto"/>
              <w:bottom w:val="single" w:sz="4" w:space="0" w:color="auto"/>
              <w:right w:val="single" w:sz="4" w:space="0" w:color="auto"/>
            </w:tcBorders>
          </w:tcPr>
          <w:p w:rsidR="00EC715E" w:rsidRDefault="00EC715E" w:rsidP="00292C8B">
            <w:pPr>
              <w:rPr>
                <w:rFonts w:ascii="Arial Narrow" w:hAnsi="Arial Narrow"/>
                <w:sz w:val="20"/>
              </w:rPr>
            </w:pPr>
            <w:r w:rsidRPr="00E41AFE">
              <w:rPr>
                <w:rFonts w:ascii="Arial Narrow" w:hAnsi="Arial Narrow"/>
                <w:sz w:val="20"/>
              </w:rPr>
              <w:t>The condition must be diagnosed as clinically definite relapsing-remitting multiple sclerosis by magnetic resonance imaging of the brain and/or spinal cord; OR</w:t>
            </w:r>
          </w:p>
          <w:p w:rsidR="00EC715E" w:rsidRPr="00E41AFE" w:rsidRDefault="00EC715E" w:rsidP="00292C8B">
            <w:pPr>
              <w:rPr>
                <w:rFonts w:ascii="Arial Narrow" w:hAnsi="Arial Narrow"/>
                <w:sz w:val="20"/>
              </w:rPr>
            </w:pPr>
          </w:p>
          <w:p w:rsidR="00EC715E" w:rsidRDefault="00EC715E" w:rsidP="00292C8B">
            <w:pPr>
              <w:rPr>
                <w:rFonts w:ascii="Arial Narrow" w:hAnsi="Arial Narrow"/>
                <w:sz w:val="20"/>
              </w:rPr>
            </w:pPr>
            <w:r w:rsidRPr="00E41AFE">
              <w:rPr>
                <w:rFonts w:ascii="Arial Narrow" w:hAnsi="Arial Narrow"/>
                <w:sz w:val="20"/>
              </w:rPr>
              <w:t>The condition must be diagnosed as clinically definite relapsing-remitting multiple sclerosis by accompanying written certification provided by a radiologist that a magnetic resonance imaging scan is contraindicated because of the risk of physical (not psychological) injury to the patient.</w:t>
            </w:r>
          </w:p>
          <w:p w:rsidR="00EC715E" w:rsidRPr="00E41AFE" w:rsidRDefault="00EC715E" w:rsidP="00292C8B">
            <w:pPr>
              <w:rPr>
                <w:rFonts w:ascii="Arial Narrow" w:hAnsi="Arial Narrow"/>
                <w:sz w:val="20"/>
              </w:rPr>
            </w:pPr>
          </w:p>
          <w:p w:rsidR="00EC715E" w:rsidRDefault="00EC715E" w:rsidP="00292C8B">
            <w:pPr>
              <w:rPr>
                <w:rFonts w:ascii="Arial Narrow" w:hAnsi="Arial Narrow"/>
                <w:sz w:val="20"/>
              </w:rPr>
            </w:pPr>
            <w:r w:rsidRPr="00E41AFE">
              <w:rPr>
                <w:rFonts w:ascii="Arial Narrow" w:hAnsi="Arial Narrow"/>
                <w:sz w:val="20"/>
              </w:rPr>
              <w:t>AND</w:t>
            </w:r>
          </w:p>
          <w:p w:rsidR="00EC715E" w:rsidRPr="00E41AFE" w:rsidRDefault="00EC715E" w:rsidP="00292C8B">
            <w:pPr>
              <w:rPr>
                <w:rFonts w:ascii="Arial Narrow" w:hAnsi="Arial Narrow"/>
                <w:sz w:val="20"/>
              </w:rPr>
            </w:pPr>
          </w:p>
          <w:p w:rsidR="00EC715E" w:rsidRDefault="00EC715E" w:rsidP="00292C8B">
            <w:pPr>
              <w:rPr>
                <w:rFonts w:ascii="Arial Narrow" w:hAnsi="Arial Narrow"/>
                <w:sz w:val="20"/>
              </w:rPr>
            </w:pPr>
            <w:r w:rsidRPr="00E41AFE">
              <w:rPr>
                <w:rFonts w:ascii="Arial Narrow" w:hAnsi="Arial Narrow"/>
                <w:sz w:val="20"/>
              </w:rPr>
              <w:t>Patient must have experienced at least 2 documented attacks of neurological dysfunction, believed to be due to the multiple sclerosis, in the preceding 2 years</w:t>
            </w:r>
          </w:p>
          <w:p w:rsidR="00EC715E" w:rsidRPr="00E41AFE" w:rsidRDefault="00EC715E" w:rsidP="00292C8B">
            <w:pPr>
              <w:rPr>
                <w:rFonts w:ascii="Arial Narrow" w:hAnsi="Arial Narrow"/>
                <w:sz w:val="20"/>
              </w:rPr>
            </w:pPr>
          </w:p>
          <w:p w:rsidR="00EC715E" w:rsidRDefault="00EC715E" w:rsidP="00292C8B">
            <w:pPr>
              <w:rPr>
                <w:rFonts w:ascii="Arial Narrow" w:hAnsi="Arial Narrow"/>
                <w:sz w:val="20"/>
              </w:rPr>
            </w:pPr>
            <w:r w:rsidRPr="00E41AFE">
              <w:rPr>
                <w:rFonts w:ascii="Arial Narrow" w:hAnsi="Arial Narrow"/>
                <w:sz w:val="20"/>
              </w:rPr>
              <w:t>AND</w:t>
            </w:r>
          </w:p>
          <w:p w:rsidR="00EC715E" w:rsidRPr="00E41AFE" w:rsidRDefault="00EC715E" w:rsidP="00292C8B">
            <w:pPr>
              <w:rPr>
                <w:rFonts w:ascii="Arial Narrow" w:hAnsi="Arial Narrow"/>
                <w:sz w:val="20"/>
              </w:rPr>
            </w:pPr>
          </w:p>
          <w:p w:rsidR="00EC715E" w:rsidRDefault="00EC715E" w:rsidP="00292C8B">
            <w:pPr>
              <w:rPr>
                <w:rFonts w:ascii="Arial Narrow" w:hAnsi="Arial Narrow"/>
                <w:sz w:val="20"/>
              </w:rPr>
            </w:pPr>
            <w:r w:rsidRPr="00E41AFE">
              <w:rPr>
                <w:rFonts w:ascii="Arial Narrow" w:hAnsi="Arial Narrow"/>
                <w:sz w:val="20"/>
              </w:rPr>
              <w:t>The treatment must be as monotherapy</w:t>
            </w:r>
          </w:p>
          <w:p w:rsidR="00EC715E" w:rsidRPr="00E41AFE" w:rsidRDefault="00EC715E" w:rsidP="00292C8B">
            <w:pPr>
              <w:rPr>
                <w:rFonts w:ascii="Arial Narrow" w:hAnsi="Arial Narrow"/>
                <w:sz w:val="20"/>
              </w:rPr>
            </w:pPr>
          </w:p>
          <w:p w:rsidR="00EC715E" w:rsidRDefault="00EC715E" w:rsidP="00292C8B">
            <w:pPr>
              <w:rPr>
                <w:rFonts w:ascii="Arial Narrow" w:hAnsi="Arial Narrow"/>
                <w:sz w:val="20"/>
              </w:rPr>
            </w:pPr>
            <w:r w:rsidRPr="00E41AFE">
              <w:rPr>
                <w:rFonts w:ascii="Arial Narrow" w:hAnsi="Arial Narrow"/>
                <w:sz w:val="20"/>
              </w:rPr>
              <w:t>AND</w:t>
            </w:r>
          </w:p>
          <w:p w:rsidR="00EC715E" w:rsidRPr="00E41AFE" w:rsidRDefault="00EC715E" w:rsidP="00292C8B">
            <w:pPr>
              <w:rPr>
                <w:rFonts w:ascii="Arial Narrow" w:hAnsi="Arial Narrow"/>
                <w:sz w:val="20"/>
              </w:rPr>
            </w:pPr>
          </w:p>
          <w:p w:rsidR="00EC715E" w:rsidRPr="00E41AFE" w:rsidRDefault="00EC715E" w:rsidP="00292C8B">
            <w:pPr>
              <w:rPr>
                <w:rFonts w:ascii="Arial Narrow" w:hAnsi="Arial Narrow"/>
                <w:sz w:val="20"/>
              </w:rPr>
            </w:pPr>
            <w:r w:rsidRPr="00E41AFE">
              <w:rPr>
                <w:rFonts w:ascii="Arial Narrow" w:hAnsi="Arial Narrow"/>
                <w:sz w:val="20"/>
              </w:rPr>
              <w:t>Patient must be ambulatory (without assistance or support)</w:t>
            </w:r>
          </w:p>
        </w:tc>
      </w:tr>
      <w:tr w:rsidR="00EC715E" w:rsidRPr="00E41AFE" w:rsidTr="000B7E61">
        <w:tblPrEx>
          <w:tblCellMar>
            <w:left w:w="108" w:type="dxa"/>
            <w:right w:w="108" w:type="dxa"/>
          </w:tblCellMar>
        </w:tblPrEx>
        <w:trPr>
          <w:cantSplit/>
        </w:trPr>
        <w:tc>
          <w:tcPr>
            <w:tcW w:w="1444" w:type="pct"/>
            <w:tcBorders>
              <w:top w:val="single" w:sz="4" w:space="0" w:color="auto"/>
              <w:left w:val="single" w:sz="4" w:space="0" w:color="auto"/>
              <w:bottom w:val="single" w:sz="4" w:space="0" w:color="auto"/>
              <w:right w:val="single" w:sz="4" w:space="0" w:color="auto"/>
            </w:tcBorders>
          </w:tcPr>
          <w:p w:rsidR="00EC715E" w:rsidRPr="00E41AFE" w:rsidRDefault="00EC715E" w:rsidP="00292C8B">
            <w:pPr>
              <w:rPr>
                <w:rFonts w:ascii="Arial Narrow" w:hAnsi="Arial Narrow"/>
                <w:b/>
                <w:sz w:val="20"/>
              </w:rPr>
            </w:pPr>
            <w:r w:rsidRPr="00E41AFE">
              <w:rPr>
                <w:rFonts w:ascii="Arial Narrow" w:hAnsi="Arial Narrow"/>
                <w:b/>
                <w:sz w:val="20"/>
              </w:rPr>
              <w:t>Prescriber Instructions</w:t>
            </w:r>
          </w:p>
        </w:tc>
        <w:tc>
          <w:tcPr>
            <w:tcW w:w="3556" w:type="pct"/>
            <w:gridSpan w:val="6"/>
            <w:tcBorders>
              <w:top w:val="single" w:sz="4" w:space="0" w:color="auto"/>
              <w:left w:val="single" w:sz="4" w:space="0" w:color="auto"/>
              <w:bottom w:val="single" w:sz="4" w:space="0" w:color="auto"/>
              <w:right w:val="single" w:sz="4" w:space="0" w:color="auto"/>
            </w:tcBorders>
          </w:tcPr>
          <w:p w:rsidR="00EC715E" w:rsidRPr="00E41AFE" w:rsidRDefault="00EC715E" w:rsidP="00292C8B">
            <w:pPr>
              <w:rPr>
                <w:rFonts w:ascii="Arial Narrow" w:hAnsi="Arial Narrow"/>
                <w:sz w:val="20"/>
              </w:rPr>
            </w:pPr>
            <w:r w:rsidRPr="00E41AFE">
              <w:rPr>
                <w:rFonts w:ascii="Arial Narrow" w:hAnsi="Arial Narrow"/>
                <w:sz w:val="20"/>
              </w:rPr>
              <w:t xml:space="preserve">Where applicable, the date of the </w:t>
            </w:r>
            <w:r w:rsidRPr="00E41AFE">
              <w:rPr>
                <w:rFonts w:ascii="Arial Narrow" w:hAnsi="Arial Narrow"/>
                <w:strike/>
                <w:sz w:val="20"/>
              </w:rPr>
              <w:t>MRI</w:t>
            </w:r>
            <w:r w:rsidRPr="00E41AFE">
              <w:rPr>
                <w:rFonts w:ascii="Arial Narrow" w:hAnsi="Arial Narrow"/>
                <w:sz w:val="20"/>
              </w:rPr>
              <w:t xml:space="preserve"> </w:t>
            </w:r>
            <w:r w:rsidRPr="00E41AFE">
              <w:rPr>
                <w:rFonts w:ascii="Arial Narrow" w:hAnsi="Arial Narrow"/>
                <w:i/>
                <w:sz w:val="20"/>
              </w:rPr>
              <w:t xml:space="preserve">magnetic resonance imaging </w:t>
            </w:r>
            <w:r w:rsidRPr="00E41AFE">
              <w:rPr>
                <w:rFonts w:ascii="Arial Narrow" w:hAnsi="Arial Narrow"/>
                <w:sz w:val="20"/>
              </w:rPr>
              <w:t>scan must be provided with the authority application.</w:t>
            </w:r>
          </w:p>
        </w:tc>
      </w:tr>
      <w:tr w:rsidR="00EC715E" w:rsidRPr="00E41AFE" w:rsidTr="000B7E61">
        <w:tblPrEx>
          <w:tblCellMar>
            <w:left w:w="108" w:type="dxa"/>
            <w:right w:w="108" w:type="dxa"/>
          </w:tblCellMar>
        </w:tblPrEx>
        <w:trPr>
          <w:cantSplit/>
        </w:trPr>
        <w:tc>
          <w:tcPr>
            <w:tcW w:w="1444" w:type="pct"/>
            <w:tcBorders>
              <w:top w:val="single" w:sz="4" w:space="0" w:color="auto"/>
              <w:left w:val="single" w:sz="4" w:space="0" w:color="auto"/>
              <w:bottom w:val="single" w:sz="4" w:space="0" w:color="auto"/>
              <w:right w:val="single" w:sz="4" w:space="0" w:color="auto"/>
            </w:tcBorders>
          </w:tcPr>
          <w:p w:rsidR="00EC715E" w:rsidRPr="00E41AFE" w:rsidRDefault="00EC715E" w:rsidP="00292C8B">
            <w:pPr>
              <w:rPr>
                <w:rFonts w:ascii="Arial Narrow" w:hAnsi="Arial Narrow"/>
                <w:b/>
                <w:i/>
                <w:sz w:val="20"/>
              </w:rPr>
            </w:pPr>
            <w:r w:rsidRPr="00E41AFE">
              <w:rPr>
                <w:rFonts w:ascii="Arial Narrow" w:hAnsi="Arial Narrow"/>
                <w:b/>
                <w:i/>
                <w:sz w:val="20"/>
              </w:rPr>
              <w:t>Prescriber Instructions</w:t>
            </w:r>
          </w:p>
        </w:tc>
        <w:tc>
          <w:tcPr>
            <w:tcW w:w="3556" w:type="pct"/>
            <w:gridSpan w:val="6"/>
            <w:tcBorders>
              <w:top w:val="single" w:sz="4" w:space="0" w:color="auto"/>
              <w:left w:val="single" w:sz="4" w:space="0" w:color="auto"/>
              <w:bottom w:val="single" w:sz="4" w:space="0" w:color="auto"/>
              <w:right w:val="single" w:sz="4" w:space="0" w:color="auto"/>
            </w:tcBorders>
          </w:tcPr>
          <w:p w:rsidR="00EC715E" w:rsidRPr="00E41AFE" w:rsidRDefault="00EC715E" w:rsidP="00292C8B">
            <w:pPr>
              <w:rPr>
                <w:rFonts w:ascii="Arial Narrow" w:hAnsi="Arial Narrow"/>
                <w:i/>
                <w:sz w:val="20"/>
              </w:rPr>
            </w:pPr>
            <w:r w:rsidRPr="00E41AFE">
              <w:rPr>
                <w:rFonts w:ascii="Arial Narrow" w:hAnsi="Arial Narrow"/>
                <w:i/>
                <w:sz w:val="20"/>
              </w:rPr>
              <w:t>Patient must undergo monthly liver function testing as described in item 66512 of the Medicare Benefits Schedule while being treated with this drug.</w:t>
            </w:r>
          </w:p>
        </w:tc>
      </w:tr>
      <w:tr w:rsidR="00EC715E" w:rsidRPr="00E41AFE" w:rsidTr="000B7E61">
        <w:tblPrEx>
          <w:tblCellMar>
            <w:left w:w="108" w:type="dxa"/>
            <w:right w:w="108" w:type="dxa"/>
          </w:tblCellMar>
        </w:tblPrEx>
        <w:trPr>
          <w:cantSplit/>
        </w:trPr>
        <w:tc>
          <w:tcPr>
            <w:tcW w:w="1444" w:type="pct"/>
            <w:tcBorders>
              <w:top w:val="single" w:sz="4" w:space="0" w:color="auto"/>
              <w:left w:val="single" w:sz="4" w:space="0" w:color="auto"/>
              <w:bottom w:val="single" w:sz="4" w:space="0" w:color="auto"/>
              <w:right w:val="single" w:sz="4" w:space="0" w:color="auto"/>
            </w:tcBorders>
          </w:tcPr>
          <w:p w:rsidR="00EC715E" w:rsidRPr="00E41AFE" w:rsidRDefault="00EC715E" w:rsidP="00292C8B">
            <w:pPr>
              <w:rPr>
                <w:rFonts w:ascii="Arial Narrow" w:hAnsi="Arial Narrow"/>
                <w:b/>
                <w:sz w:val="20"/>
              </w:rPr>
            </w:pPr>
            <w:r w:rsidRPr="00E41AFE">
              <w:rPr>
                <w:rFonts w:ascii="Arial Narrow" w:hAnsi="Arial Narrow"/>
                <w:b/>
                <w:sz w:val="20"/>
              </w:rPr>
              <w:t>Administrative Advice</w:t>
            </w:r>
          </w:p>
        </w:tc>
        <w:tc>
          <w:tcPr>
            <w:tcW w:w="3556" w:type="pct"/>
            <w:gridSpan w:val="6"/>
            <w:tcBorders>
              <w:top w:val="single" w:sz="4" w:space="0" w:color="auto"/>
              <w:left w:val="single" w:sz="4" w:space="0" w:color="auto"/>
              <w:bottom w:val="single" w:sz="4" w:space="0" w:color="auto"/>
              <w:right w:val="single" w:sz="4" w:space="0" w:color="auto"/>
            </w:tcBorders>
          </w:tcPr>
          <w:p w:rsidR="00EC715E" w:rsidRDefault="00EC715E" w:rsidP="00292C8B">
            <w:pPr>
              <w:rPr>
                <w:rFonts w:ascii="Arial Narrow" w:hAnsi="Arial Narrow"/>
                <w:sz w:val="20"/>
              </w:rPr>
            </w:pPr>
            <w:r w:rsidRPr="00E41AFE">
              <w:rPr>
                <w:rFonts w:ascii="Arial Narrow" w:hAnsi="Arial Narrow"/>
                <w:sz w:val="20"/>
              </w:rPr>
              <w:t>No increase in the maximum quantity or number of units may be authorised.</w:t>
            </w:r>
          </w:p>
          <w:p w:rsidR="00EC715E" w:rsidRPr="00E41AFE" w:rsidRDefault="00EC715E" w:rsidP="00292C8B">
            <w:pPr>
              <w:rPr>
                <w:rFonts w:ascii="Arial Narrow" w:hAnsi="Arial Narrow"/>
                <w:sz w:val="20"/>
              </w:rPr>
            </w:pPr>
          </w:p>
          <w:p w:rsidR="00EC715E" w:rsidRDefault="00EC715E" w:rsidP="00292C8B">
            <w:pPr>
              <w:rPr>
                <w:rFonts w:ascii="Arial Narrow" w:hAnsi="Arial Narrow"/>
                <w:sz w:val="20"/>
              </w:rPr>
            </w:pPr>
            <w:r w:rsidRPr="00E41AFE">
              <w:rPr>
                <w:rFonts w:ascii="Arial Narrow" w:hAnsi="Arial Narrow"/>
                <w:sz w:val="20"/>
              </w:rPr>
              <w:t>No increase in the maximum number of repeats may be authorised.</w:t>
            </w:r>
          </w:p>
          <w:p w:rsidR="00EC715E" w:rsidRPr="00E41AFE" w:rsidRDefault="00EC715E" w:rsidP="00292C8B">
            <w:pPr>
              <w:rPr>
                <w:rFonts w:ascii="Arial Narrow" w:hAnsi="Arial Narrow"/>
                <w:sz w:val="20"/>
              </w:rPr>
            </w:pPr>
          </w:p>
          <w:p w:rsidR="00EC715E" w:rsidRPr="00E41AFE" w:rsidRDefault="00EC715E" w:rsidP="00292C8B">
            <w:pPr>
              <w:rPr>
                <w:rFonts w:ascii="Arial Narrow" w:hAnsi="Arial Narrow"/>
                <w:i/>
                <w:sz w:val="20"/>
              </w:rPr>
            </w:pPr>
            <w:r w:rsidRPr="00E41AFE">
              <w:rPr>
                <w:rFonts w:ascii="Arial Narrow" w:hAnsi="Arial Narrow"/>
                <w:i/>
                <w:sz w:val="20"/>
              </w:rPr>
              <w:t>Special Pricing Arrangements apply.</w:t>
            </w:r>
          </w:p>
        </w:tc>
      </w:tr>
    </w:tbl>
    <w:p w:rsidR="0071104B" w:rsidRDefault="0071104B" w:rsidP="00BC6DC0">
      <w:pPr>
        <w:rPr>
          <w:sz w:val="20"/>
        </w:rPr>
      </w:pPr>
    </w:p>
    <w:tbl>
      <w:tblPr>
        <w:tblW w:w="4558" w:type="pct"/>
        <w:tblInd w:w="817" w:type="dxa"/>
        <w:tblLook w:val="0000" w:firstRow="0" w:lastRow="0" w:firstColumn="0" w:lastColumn="0" w:noHBand="0" w:noVBand="0"/>
      </w:tblPr>
      <w:tblGrid>
        <w:gridCol w:w="2410"/>
        <w:gridCol w:w="6015"/>
      </w:tblGrid>
      <w:tr w:rsidR="00EC715E" w:rsidRPr="00F65D45" w:rsidTr="000B7E61">
        <w:trPr>
          <w:cantSplit/>
        </w:trPr>
        <w:tc>
          <w:tcPr>
            <w:tcW w:w="1430" w:type="pct"/>
            <w:tcBorders>
              <w:top w:val="single" w:sz="4" w:space="0" w:color="auto"/>
              <w:left w:val="single" w:sz="4" w:space="0" w:color="auto"/>
              <w:bottom w:val="single" w:sz="4" w:space="0" w:color="auto"/>
              <w:right w:val="single" w:sz="4" w:space="0" w:color="auto"/>
            </w:tcBorders>
          </w:tcPr>
          <w:p w:rsidR="00EC715E" w:rsidRPr="00F65D45" w:rsidRDefault="00EC715E" w:rsidP="00292C8B">
            <w:pPr>
              <w:keepNext/>
              <w:keepLines/>
              <w:rPr>
                <w:rFonts w:ascii="Arial Narrow" w:hAnsi="Arial Narrow"/>
                <w:b/>
                <w:sz w:val="20"/>
              </w:rPr>
            </w:pPr>
            <w:r w:rsidRPr="00F65D45">
              <w:rPr>
                <w:rFonts w:ascii="Arial Narrow" w:hAnsi="Arial Narrow"/>
                <w:b/>
                <w:sz w:val="20"/>
              </w:rPr>
              <w:t>Category / Program</w:t>
            </w:r>
          </w:p>
        </w:tc>
        <w:tc>
          <w:tcPr>
            <w:tcW w:w="3570" w:type="pct"/>
            <w:tcBorders>
              <w:top w:val="single" w:sz="4" w:space="0" w:color="auto"/>
              <w:left w:val="single" w:sz="4" w:space="0" w:color="auto"/>
              <w:bottom w:val="single" w:sz="4" w:space="0" w:color="auto"/>
              <w:right w:val="single" w:sz="4" w:space="0" w:color="auto"/>
            </w:tcBorders>
          </w:tcPr>
          <w:p w:rsidR="00EC715E" w:rsidRPr="00F65D45" w:rsidRDefault="00EC715E" w:rsidP="00292C8B">
            <w:pPr>
              <w:keepNext/>
              <w:keepLines/>
              <w:rPr>
                <w:rFonts w:ascii="Arial Narrow" w:hAnsi="Arial Narrow"/>
                <w:sz w:val="20"/>
              </w:rPr>
            </w:pPr>
            <w:r w:rsidRPr="00F65D45">
              <w:rPr>
                <w:rFonts w:ascii="Arial Narrow" w:hAnsi="Arial Narrow"/>
                <w:sz w:val="20"/>
              </w:rPr>
              <w:t>GENERAL – General Schedule (Code GE)</w:t>
            </w:r>
          </w:p>
        </w:tc>
      </w:tr>
      <w:tr w:rsidR="00EC715E" w:rsidRPr="00F65D45" w:rsidTr="000B7E61">
        <w:trPr>
          <w:cantSplit/>
        </w:trPr>
        <w:tc>
          <w:tcPr>
            <w:tcW w:w="1430" w:type="pct"/>
            <w:tcBorders>
              <w:top w:val="single" w:sz="4" w:space="0" w:color="auto"/>
              <w:left w:val="single" w:sz="4" w:space="0" w:color="auto"/>
              <w:bottom w:val="single" w:sz="4" w:space="0" w:color="auto"/>
              <w:right w:val="single" w:sz="4" w:space="0" w:color="auto"/>
            </w:tcBorders>
          </w:tcPr>
          <w:p w:rsidR="00EC715E" w:rsidRPr="00F65D45" w:rsidRDefault="00EC715E" w:rsidP="00292C8B">
            <w:pPr>
              <w:keepNext/>
              <w:keepLines/>
              <w:rPr>
                <w:rFonts w:ascii="Arial Narrow" w:hAnsi="Arial Narrow"/>
                <w:b/>
                <w:sz w:val="20"/>
              </w:rPr>
            </w:pPr>
            <w:r w:rsidRPr="00F65D45">
              <w:rPr>
                <w:rFonts w:ascii="Arial Narrow" w:hAnsi="Arial Narrow"/>
                <w:b/>
                <w:sz w:val="20"/>
              </w:rPr>
              <w:t>Prescriber type:</w:t>
            </w:r>
          </w:p>
        </w:tc>
        <w:tc>
          <w:tcPr>
            <w:tcW w:w="3570" w:type="pct"/>
            <w:tcBorders>
              <w:top w:val="single" w:sz="4" w:space="0" w:color="auto"/>
              <w:left w:val="single" w:sz="4" w:space="0" w:color="auto"/>
              <w:bottom w:val="single" w:sz="4" w:space="0" w:color="auto"/>
              <w:right w:val="single" w:sz="4" w:space="0" w:color="auto"/>
            </w:tcBorders>
          </w:tcPr>
          <w:p w:rsidR="00EC715E" w:rsidRPr="00F65D45" w:rsidRDefault="00EC715E" w:rsidP="00292C8B">
            <w:pPr>
              <w:keepNext/>
              <w:keepLines/>
              <w:rPr>
                <w:rFonts w:ascii="Arial Narrow" w:hAnsi="Arial Narrow"/>
                <w:sz w:val="20"/>
              </w:rPr>
            </w:pPr>
            <w:r w:rsidRPr="00F65D45">
              <w:rPr>
                <w:rFonts w:ascii="Arial Narrow" w:hAnsi="Arial Narrow"/>
                <w:sz w:val="20"/>
              </w:rPr>
              <w:fldChar w:fldCharType="begin">
                <w:ffData>
                  <w:name w:val="Check1"/>
                  <w:enabled/>
                  <w:calcOnExit w:val="0"/>
                  <w:checkBox>
                    <w:sizeAuto/>
                    <w:default w:val="0"/>
                  </w:checkBox>
                </w:ffData>
              </w:fldChar>
            </w:r>
            <w:r w:rsidRPr="00F65D45">
              <w:rPr>
                <w:rFonts w:ascii="Arial Narrow" w:hAnsi="Arial Narrow"/>
                <w:sz w:val="20"/>
              </w:rPr>
              <w:instrText xml:space="preserve"> FORMCHECKBOX </w:instrText>
            </w:r>
            <w:r w:rsidR="00B33B3B">
              <w:rPr>
                <w:rFonts w:ascii="Arial Narrow" w:hAnsi="Arial Narrow"/>
                <w:sz w:val="20"/>
              </w:rPr>
            </w:r>
            <w:r w:rsidR="00B33B3B">
              <w:rPr>
                <w:rFonts w:ascii="Arial Narrow" w:hAnsi="Arial Narrow"/>
                <w:sz w:val="20"/>
              </w:rPr>
              <w:fldChar w:fldCharType="separate"/>
            </w:r>
            <w:r w:rsidRPr="00F65D45">
              <w:rPr>
                <w:rFonts w:ascii="Arial Narrow" w:hAnsi="Arial Narrow"/>
                <w:sz w:val="20"/>
              </w:rPr>
              <w:fldChar w:fldCharType="end"/>
            </w:r>
            <w:r w:rsidRPr="00F65D45">
              <w:rPr>
                <w:rFonts w:ascii="Arial Narrow" w:hAnsi="Arial Narrow"/>
                <w:sz w:val="20"/>
              </w:rPr>
              <w:t xml:space="preserve">Dental  </w:t>
            </w:r>
            <w:r w:rsidRPr="00F65D45">
              <w:rPr>
                <w:rFonts w:ascii="Arial Narrow" w:hAnsi="Arial Narrow"/>
                <w:sz w:val="20"/>
              </w:rPr>
              <w:fldChar w:fldCharType="begin">
                <w:ffData>
                  <w:name w:val=""/>
                  <w:enabled/>
                  <w:calcOnExit w:val="0"/>
                  <w:checkBox>
                    <w:sizeAuto/>
                    <w:default w:val="1"/>
                  </w:checkBox>
                </w:ffData>
              </w:fldChar>
            </w:r>
            <w:r w:rsidRPr="00F65D45">
              <w:rPr>
                <w:rFonts w:ascii="Arial Narrow" w:hAnsi="Arial Narrow"/>
                <w:sz w:val="20"/>
              </w:rPr>
              <w:instrText xml:space="preserve"> FORMCHECKBOX </w:instrText>
            </w:r>
            <w:r w:rsidR="00B33B3B">
              <w:rPr>
                <w:rFonts w:ascii="Arial Narrow" w:hAnsi="Arial Narrow"/>
                <w:sz w:val="20"/>
              </w:rPr>
            </w:r>
            <w:r w:rsidR="00B33B3B">
              <w:rPr>
                <w:rFonts w:ascii="Arial Narrow" w:hAnsi="Arial Narrow"/>
                <w:sz w:val="20"/>
              </w:rPr>
              <w:fldChar w:fldCharType="separate"/>
            </w:r>
            <w:r w:rsidRPr="00F65D45">
              <w:rPr>
                <w:rFonts w:ascii="Arial Narrow" w:hAnsi="Arial Narrow"/>
                <w:sz w:val="20"/>
              </w:rPr>
              <w:fldChar w:fldCharType="end"/>
            </w:r>
            <w:r w:rsidRPr="00F65D45">
              <w:rPr>
                <w:rFonts w:ascii="Arial Narrow" w:hAnsi="Arial Narrow"/>
                <w:sz w:val="20"/>
              </w:rPr>
              <w:t xml:space="preserve">Medical Practitioners  </w:t>
            </w:r>
            <w:r w:rsidRPr="00F65D45">
              <w:rPr>
                <w:rFonts w:ascii="Arial Narrow" w:hAnsi="Arial Narrow"/>
                <w:sz w:val="20"/>
              </w:rPr>
              <w:fldChar w:fldCharType="begin">
                <w:ffData>
                  <w:name w:val="Check3"/>
                  <w:enabled/>
                  <w:calcOnExit w:val="0"/>
                  <w:checkBox>
                    <w:sizeAuto/>
                    <w:default w:val="0"/>
                  </w:checkBox>
                </w:ffData>
              </w:fldChar>
            </w:r>
            <w:r w:rsidRPr="00F65D45">
              <w:rPr>
                <w:rFonts w:ascii="Arial Narrow" w:hAnsi="Arial Narrow"/>
                <w:sz w:val="20"/>
              </w:rPr>
              <w:instrText xml:space="preserve"> FORMCHECKBOX </w:instrText>
            </w:r>
            <w:r w:rsidR="00B33B3B">
              <w:rPr>
                <w:rFonts w:ascii="Arial Narrow" w:hAnsi="Arial Narrow"/>
                <w:sz w:val="20"/>
              </w:rPr>
            </w:r>
            <w:r w:rsidR="00B33B3B">
              <w:rPr>
                <w:rFonts w:ascii="Arial Narrow" w:hAnsi="Arial Narrow"/>
                <w:sz w:val="20"/>
              </w:rPr>
              <w:fldChar w:fldCharType="separate"/>
            </w:r>
            <w:r w:rsidRPr="00F65D45">
              <w:rPr>
                <w:rFonts w:ascii="Arial Narrow" w:hAnsi="Arial Narrow"/>
                <w:sz w:val="20"/>
              </w:rPr>
              <w:fldChar w:fldCharType="end"/>
            </w:r>
            <w:r w:rsidRPr="00F65D45">
              <w:rPr>
                <w:rFonts w:ascii="Arial Narrow" w:hAnsi="Arial Narrow"/>
                <w:sz w:val="20"/>
              </w:rPr>
              <w:t xml:space="preserve">Nurse practitioners  </w:t>
            </w:r>
            <w:r w:rsidRPr="00F65D45">
              <w:rPr>
                <w:rFonts w:ascii="Arial Narrow" w:hAnsi="Arial Narrow"/>
                <w:sz w:val="20"/>
              </w:rPr>
              <w:fldChar w:fldCharType="begin">
                <w:ffData>
                  <w:name w:val=""/>
                  <w:enabled/>
                  <w:calcOnExit w:val="0"/>
                  <w:checkBox>
                    <w:sizeAuto/>
                    <w:default w:val="0"/>
                  </w:checkBox>
                </w:ffData>
              </w:fldChar>
            </w:r>
            <w:r w:rsidRPr="00F65D45">
              <w:rPr>
                <w:rFonts w:ascii="Arial Narrow" w:hAnsi="Arial Narrow"/>
                <w:sz w:val="20"/>
              </w:rPr>
              <w:instrText xml:space="preserve"> FORMCHECKBOX </w:instrText>
            </w:r>
            <w:r w:rsidR="00B33B3B">
              <w:rPr>
                <w:rFonts w:ascii="Arial Narrow" w:hAnsi="Arial Narrow"/>
                <w:sz w:val="20"/>
              </w:rPr>
            </w:r>
            <w:r w:rsidR="00B33B3B">
              <w:rPr>
                <w:rFonts w:ascii="Arial Narrow" w:hAnsi="Arial Narrow"/>
                <w:sz w:val="20"/>
              </w:rPr>
              <w:fldChar w:fldCharType="separate"/>
            </w:r>
            <w:r w:rsidRPr="00F65D45">
              <w:rPr>
                <w:rFonts w:ascii="Arial Narrow" w:hAnsi="Arial Narrow"/>
                <w:sz w:val="20"/>
              </w:rPr>
              <w:fldChar w:fldCharType="end"/>
            </w:r>
            <w:r w:rsidRPr="00F65D45">
              <w:rPr>
                <w:rFonts w:ascii="Arial Narrow" w:hAnsi="Arial Narrow"/>
                <w:sz w:val="20"/>
              </w:rPr>
              <w:t>Optometrists</w:t>
            </w:r>
          </w:p>
          <w:p w:rsidR="00EC715E" w:rsidRPr="00F65D45" w:rsidRDefault="00EC715E" w:rsidP="00292C8B">
            <w:pPr>
              <w:keepNext/>
              <w:keepLines/>
              <w:rPr>
                <w:rFonts w:ascii="Arial Narrow" w:hAnsi="Arial Narrow"/>
                <w:sz w:val="20"/>
              </w:rPr>
            </w:pPr>
            <w:r w:rsidRPr="00F65D45">
              <w:rPr>
                <w:rFonts w:ascii="Arial Narrow" w:hAnsi="Arial Narrow"/>
                <w:sz w:val="20"/>
              </w:rPr>
              <w:fldChar w:fldCharType="begin">
                <w:ffData>
                  <w:name w:val="Check5"/>
                  <w:enabled/>
                  <w:calcOnExit w:val="0"/>
                  <w:checkBox>
                    <w:sizeAuto/>
                    <w:default w:val="0"/>
                  </w:checkBox>
                </w:ffData>
              </w:fldChar>
            </w:r>
            <w:r w:rsidRPr="00F65D45">
              <w:rPr>
                <w:rFonts w:ascii="Arial Narrow" w:hAnsi="Arial Narrow"/>
                <w:sz w:val="20"/>
              </w:rPr>
              <w:instrText xml:space="preserve"> FORMCHECKBOX </w:instrText>
            </w:r>
            <w:r w:rsidR="00B33B3B">
              <w:rPr>
                <w:rFonts w:ascii="Arial Narrow" w:hAnsi="Arial Narrow"/>
                <w:sz w:val="20"/>
              </w:rPr>
            </w:r>
            <w:r w:rsidR="00B33B3B">
              <w:rPr>
                <w:rFonts w:ascii="Arial Narrow" w:hAnsi="Arial Narrow"/>
                <w:sz w:val="20"/>
              </w:rPr>
              <w:fldChar w:fldCharType="separate"/>
            </w:r>
            <w:r w:rsidRPr="00F65D45">
              <w:rPr>
                <w:rFonts w:ascii="Arial Narrow" w:hAnsi="Arial Narrow"/>
                <w:sz w:val="20"/>
              </w:rPr>
              <w:fldChar w:fldCharType="end"/>
            </w:r>
            <w:r w:rsidRPr="00F65D45">
              <w:rPr>
                <w:rFonts w:ascii="Arial Narrow" w:hAnsi="Arial Narrow"/>
                <w:sz w:val="20"/>
              </w:rPr>
              <w:t>Midwives</w:t>
            </w:r>
          </w:p>
        </w:tc>
      </w:tr>
      <w:tr w:rsidR="00EC715E" w:rsidRPr="00F65D45" w:rsidTr="000B7E61">
        <w:trPr>
          <w:cantSplit/>
        </w:trPr>
        <w:tc>
          <w:tcPr>
            <w:tcW w:w="1430" w:type="pct"/>
            <w:tcBorders>
              <w:top w:val="single" w:sz="4" w:space="0" w:color="auto"/>
              <w:left w:val="single" w:sz="4" w:space="0" w:color="auto"/>
              <w:bottom w:val="single" w:sz="4" w:space="0" w:color="auto"/>
              <w:right w:val="single" w:sz="4" w:space="0" w:color="auto"/>
            </w:tcBorders>
          </w:tcPr>
          <w:p w:rsidR="00EC715E" w:rsidRPr="00F65D45" w:rsidRDefault="00EC715E" w:rsidP="00292C8B">
            <w:pPr>
              <w:rPr>
                <w:rFonts w:ascii="Arial Narrow" w:hAnsi="Arial Narrow"/>
                <w:b/>
                <w:sz w:val="20"/>
              </w:rPr>
            </w:pPr>
            <w:r w:rsidRPr="00F65D45">
              <w:rPr>
                <w:rFonts w:ascii="Arial Narrow" w:hAnsi="Arial Narrow"/>
                <w:b/>
                <w:sz w:val="20"/>
              </w:rPr>
              <w:t>Condition:</w:t>
            </w:r>
          </w:p>
        </w:tc>
        <w:tc>
          <w:tcPr>
            <w:tcW w:w="3570" w:type="pct"/>
            <w:tcBorders>
              <w:top w:val="single" w:sz="4" w:space="0" w:color="auto"/>
              <w:left w:val="single" w:sz="4" w:space="0" w:color="auto"/>
              <w:bottom w:val="single" w:sz="4" w:space="0" w:color="auto"/>
              <w:right w:val="single" w:sz="4" w:space="0" w:color="auto"/>
            </w:tcBorders>
          </w:tcPr>
          <w:p w:rsidR="00EC715E" w:rsidRPr="00F65D45" w:rsidRDefault="00EC715E" w:rsidP="00292C8B">
            <w:pPr>
              <w:rPr>
                <w:rFonts w:ascii="Arial Narrow" w:hAnsi="Arial Narrow"/>
                <w:sz w:val="20"/>
              </w:rPr>
            </w:pPr>
            <w:r w:rsidRPr="00F65D45">
              <w:rPr>
                <w:rFonts w:ascii="Arial Narrow" w:hAnsi="Arial Narrow"/>
                <w:sz w:val="20"/>
              </w:rPr>
              <w:t>Multiple sclerosis</w:t>
            </w:r>
          </w:p>
        </w:tc>
      </w:tr>
      <w:tr w:rsidR="00EC715E" w:rsidRPr="00F65D45" w:rsidTr="000B7E61">
        <w:trPr>
          <w:cantSplit/>
        </w:trPr>
        <w:tc>
          <w:tcPr>
            <w:tcW w:w="1430" w:type="pct"/>
            <w:tcBorders>
              <w:top w:val="single" w:sz="4" w:space="0" w:color="auto"/>
              <w:left w:val="single" w:sz="4" w:space="0" w:color="auto"/>
              <w:bottom w:val="single" w:sz="4" w:space="0" w:color="auto"/>
              <w:right w:val="single" w:sz="4" w:space="0" w:color="auto"/>
            </w:tcBorders>
          </w:tcPr>
          <w:p w:rsidR="00EC715E" w:rsidRPr="00F65D45" w:rsidRDefault="00EC715E" w:rsidP="00292C8B">
            <w:pPr>
              <w:rPr>
                <w:rFonts w:ascii="Arial Narrow" w:hAnsi="Arial Narrow"/>
                <w:b/>
                <w:sz w:val="20"/>
              </w:rPr>
            </w:pPr>
            <w:r w:rsidRPr="00F65D45">
              <w:rPr>
                <w:rFonts w:ascii="Arial Narrow" w:hAnsi="Arial Narrow"/>
                <w:b/>
                <w:sz w:val="20"/>
              </w:rPr>
              <w:t>PBS Indication:</w:t>
            </w:r>
          </w:p>
        </w:tc>
        <w:tc>
          <w:tcPr>
            <w:tcW w:w="3570" w:type="pct"/>
            <w:tcBorders>
              <w:top w:val="single" w:sz="4" w:space="0" w:color="auto"/>
              <w:left w:val="single" w:sz="4" w:space="0" w:color="auto"/>
              <w:bottom w:val="single" w:sz="4" w:space="0" w:color="auto"/>
              <w:right w:val="single" w:sz="4" w:space="0" w:color="auto"/>
            </w:tcBorders>
          </w:tcPr>
          <w:p w:rsidR="00EC715E" w:rsidRPr="00F65D45" w:rsidRDefault="00EC715E" w:rsidP="00292C8B">
            <w:pPr>
              <w:rPr>
                <w:rFonts w:ascii="Arial Narrow" w:hAnsi="Arial Narrow"/>
                <w:sz w:val="20"/>
              </w:rPr>
            </w:pPr>
            <w:r w:rsidRPr="00F65D45">
              <w:rPr>
                <w:rFonts w:ascii="Arial Narrow" w:hAnsi="Arial Narrow"/>
                <w:sz w:val="20"/>
              </w:rPr>
              <w:t>Multiple sclerosis</w:t>
            </w:r>
          </w:p>
        </w:tc>
      </w:tr>
      <w:tr w:rsidR="00EC715E" w:rsidRPr="00F65D45" w:rsidTr="000B7E61">
        <w:trPr>
          <w:cantSplit/>
        </w:trPr>
        <w:tc>
          <w:tcPr>
            <w:tcW w:w="1430" w:type="pct"/>
            <w:tcBorders>
              <w:top w:val="single" w:sz="4" w:space="0" w:color="auto"/>
              <w:left w:val="single" w:sz="4" w:space="0" w:color="auto"/>
              <w:bottom w:val="single" w:sz="4" w:space="0" w:color="auto"/>
              <w:right w:val="single" w:sz="4" w:space="0" w:color="auto"/>
            </w:tcBorders>
          </w:tcPr>
          <w:p w:rsidR="00EC715E" w:rsidRPr="00F65D45" w:rsidRDefault="00EC715E" w:rsidP="00292C8B">
            <w:pPr>
              <w:rPr>
                <w:rFonts w:ascii="Arial Narrow" w:hAnsi="Arial Narrow"/>
                <w:b/>
                <w:sz w:val="20"/>
              </w:rPr>
            </w:pPr>
            <w:r w:rsidRPr="00F65D45">
              <w:rPr>
                <w:rFonts w:ascii="Arial Narrow" w:hAnsi="Arial Narrow"/>
                <w:b/>
                <w:sz w:val="20"/>
              </w:rPr>
              <w:t>Treatment phase:</w:t>
            </w:r>
          </w:p>
        </w:tc>
        <w:tc>
          <w:tcPr>
            <w:tcW w:w="3570" w:type="pct"/>
            <w:tcBorders>
              <w:top w:val="single" w:sz="4" w:space="0" w:color="auto"/>
              <w:left w:val="single" w:sz="4" w:space="0" w:color="auto"/>
              <w:bottom w:val="single" w:sz="4" w:space="0" w:color="auto"/>
              <w:right w:val="single" w:sz="4" w:space="0" w:color="auto"/>
            </w:tcBorders>
          </w:tcPr>
          <w:p w:rsidR="00EC715E" w:rsidRPr="00F65D45" w:rsidRDefault="00EC715E" w:rsidP="00292C8B">
            <w:pPr>
              <w:rPr>
                <w:rFonts w:ascii="Arial Narrow" w:hAnsi="Arial Narrow"/>
                <w:sz w:val="20"/>
              </w:rPr>
            </w:pPr>
            <w:r w:rsidRPr="00F65D45">
              <w:rPr>
                <w:rFonts w:ascii="Arial Narrow" w:hAnsi="Arial Narrow"/>
                <w:sz w:val="20"/>
              </w:rPr>
              <w:t>Continuing</w:t>
            </w:r>
          </w:p>
        </w:tc>
      </w:tr>
      <w:tr w:rsidR="00EC715E" w:rsidRPr="00260CE3" w:rsidTr="000B7E61">
        <w:trPr>
          <w:cantSplit/>
          <w:trHeight w:val="360"/>
        </w:trPr>
        <w:tc>
          <w:tcPr>
            <w:tcW w:w="1430" w:type="pct"/>
            <w:tcBorders>
              <w:top w:val="single" w:sz="4" w:space="0" w:color="auto"/>
              <w:left w:val="single" w:sz="4" w:space="0" w:color="auto"/>
              <w:bottom w:val="single" w:sz="4" w:space="0" w:color="auto"/>
              <w:right w:val="single" w:sz="4" w:space="0" w:color="auto"/>
            </w:tcBorders>
          </w:tcPr>
          <w:p w:rsidR="00EC715E" w:rsidRPr="00260CE3" w:rsidRDefault="00EC715E" w:rsidP="00292C8B">
            <w:pPr>
              <w:rPr>
                <w:rFonts w:ascii="Arial Narrow" w:hAnsi="Arial Narrow"/>
                <w:b/>
                <w:sz w:val="20"/>
              </w:rPr>
            </w:pPr>
            <w:r w:rsidRPr="00260CE3">
              <w:rPr>
                <w:rFonts w:ascii="Arial Narrow" w:hAnsi="Arial Narrow"/>
                <w:b/>
                <w:sz w:val="20"/>
              </w:rPr>
              <w:t>Restriction</w:t>
            </w:r>
            <w:r>
              <w:rPr>
                <w:rFonts w:ascii="Arial Narrow" w:hAnsi="Arial Narrow"/>
                <w:b/>
                <w:sz w:val="20"/>
              </w:rPr>
              <w:t xml:space="preserve"> Level / Method</w:t>
            </w:r>
            <w:r w:rsidRPr="00260CE3">
              <w:rPr>
                <w:rFonts w:ascii="Arial Narrow" w:hAnsi="Arial Narrow"/>
                <w:b/>
                <w:sz w:val="20"/>
              </w:rPr>
              <w:t>:</w:t>
            </w:r>
          </w:p>
          <w:p w:rsidR="00EC715E" w:rsidRDefault="00EC715E" w:rsidP="00292C8B">
            <w:pPr>
              <w:rPr>
                <w:rFonts w:ascii="Arial Narrow" w:hAnsi="Arial Narrow"/>
                <w:i/>
                <w:sz w:val="20"/>
                <w:highlight w:val="yellow"/>
              </w:rPr>
            </w:pPr>
          </w:p>
          <w:p w:rsidR="00EC715E" w:rsidRPr="00CD28F3" w:rsidRDefault="00EC715E" w:rsidP="00292C8B">
            <w:pPr>
              <w:rPr>
                <w:rFonts w:ascii="Arial Narrow" w:hAnsi="Arial Narrow"/>
                <w:i/>
                <w:sz w:val="20"/>
              </w:rPr>
            </w:pPr>
          </w:p>
        </w:tc>
        <w:tc>
          <w:tcPr>
            <w:tcW w:w="3570" w:type="pct"/>
            <w:tcBorders>
              <w:top w:val="single" w:sz="4" w:space="0" w:color="auto"/>
              <w:left w:val="single" w:sz="4" w:space="0" w:color="auto"/>
              <w:bottom w:val="single" w:sz="4" w:space="0" w:color="auto"/>
              <w:right w:val="single" w:sz="4" w:space="0" w:color="auto"/>
            </w:tcBorders>
          </w:tcPr>
          <w:p w:rsidR="00EC715E" w:rsidRPr="00106BCF" w:rsidRDefault="00EC715E" w:rsidP="00292C8B">
            <w:pPr>
              <w:rPr>
                <w:rFonts w:ascii="Arial Narrow" w:hAnsi="Arial Narrow"/>
                <w:sz w:val="20"/>
              </w:rPr>
            </w:pPr>
            <w:r w:rsidRPr="00106BCF">
              <w:rPr>
                <w:rFonts w:ascii="Arial Narrow" w:hAnsi="Arial Narrow"/>
                <w:sz w:val="20"/>
              </w:rPr>
              <w:fldChar w:fldCharType="begin">
                <w:ffData>
                  <w:name w:val="Check1"/>
                  <w:enabled/>
                  <w:calcOnExit w:val="0"/>
                  <w:checkBox>
                    <w:sizeAuto/>
                    <w:default w:val="0"/>
                  </w:checkBox>
                </w:ffData>
              </w:fldChar>
            </w:r>
            <w:r w:rsidRPr="00106BCF">
              <w:rPr>
                <w:rFonts w:ascii="Arial Narrow" w:hAnsi="Arial Narrow"/>
                <w:sz w:val="20"/>
              </w:rPr>
              <w:instrText xml:space="preserve"> FORMCHECKBOX </w:instrText>
            </w:r>
            <w:r w:rsidR="00B33B3B">
              <w:rPr>
                <w:rFonts w:ascii="Arial Narrow" w:hAnsi="Arial Narrow"/>
                <w:sz w:val="20"/>
              </w:rPr>
            </w:r>
            <w:r w:rsidR="00B33B3B">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Restricted benefit</w:t>
            </w:r>
          </w:p>
          <w:p w:rsidR="00EC715E" w:rsidRPr="00106BCF" w:rsidRDefault="00EC715E" w:rsidP="00292C8B">
            <w:pPr>
              <w:rPr>
                <w:rFonts w:ascii="Arial Narrow" w:hAnsi="Arial Narrow"/>
                <w:sz w:val="20"/>
              </w:rPr>
            </w:pP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B33B3B">
              <w:rPr>
                <w:rFonts w:ascii="Arial Narrow" w:hAnsi="Arial Narrow"/>
                <w:sz w:val="20"/>
              </w:rPr>
            </w:r>
            <w:r w:rsidR="00B33B3B">
              <w:rPr>
                <w:rFonts w:ascii="Arial Narrow" w:hAnsi="Arial Narrow"/>
                <w:sz w:val="20"/>
              </w:rPr>
              <w:fldChar w:fldCharType="separate"/>
            </w:r>
            <w:r>
              <w:rPr>
                <w:rFonts w:ascii="Arial Narrow" w:hAnsi="Arial Narrow"/>
                <w:sz w:val="20"/>
              </w:rPr>
              <w:fldChar w:fldCharType="end"/>
            </w:r>
            <w:r w:rsidRPr="00106BCF">
              <w:rPr>
                <w:rFonts w:ascii="Arial Narrow" w:hAnsi="Arial Narrow"/>
                <w:sz w:val="20"/>
              </w:rPr>
              <w:t>Authority Required - In Writing</w:t>
            </w:r>
          </w:p>
          <w:p w:rsidR="00EC715E" w:rsidRPr="00106BCF" w:rsidRDefault="00EC715E" w:rsidP="00292C8B">
            <w:pPr>
              <w:rPr>
                <w:rFonts w:ascii="Arial Narrow" w:hAnsi="Arial Narrow"/>
                <w:sz w:val="20"/>
              </w:rPr>
            </w:pP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B33B3B">
              <w:rPr>
                <w:rFonts w:ascii="Arial Narrow" w:hAnsi="Arial Narrow"/>
                <w:sz w:val="20"/>
              </w:rPr>
            </w:r>
            <w:r w:rsidR="00B33B3B">
              <w:rPr>
                <w:rFonts w:ascii="Arial Narrow" w:hAnsi="Arial Narrow"/>
                <w:sz w:val="20"/>
              </w:rPr>
              <w:fldChar w:fldCharType="separate"/>
            </w:r>
            <w:r>
              <w:rPr>
                <w:rFonts w:ascii="Arial Narrow" w:hAnsi="Arial Narrow"/>
                <w:sz w:val="20"/>
              </w:rPr>
              <w:fldChar w:fldCharType="end"/>
            </w:r>
            <w:r w:rsidRPr="00106BCF">
              <w:rPr>
                <w:rFonts w:ascii="Arial Narrow" w:hAnsi="Arial Narrow"/>
                <w:sz w:val="20"/>
              </w:rPr>
              <w:t>Authority Required - Telephone</w:t>
            </w:r>
          </w:p>
          <w:p w:rsidR="00EC715E" w:rsidRPr="00106BCF" w:rsidRDefault="00EC715E" w:rsidP="00292C8B">
            <w:pPr>
              <w:rPr>
                <w:rFonts w:ascii="Arial Narrow" w:hAnsi="Arial Narrow"/>
                <w:sz w:val="20"/>
              </w:rPr>
            </w:pP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B33B3B">
              <w:rPr>
                <w:rFonts w:ascii="Arial Narrow" w:hAnsi="Arial Narrow"/>
                <w:sz w:val="20"/>
              </w:rPr>
            </w:r>
            <w:r w:rsidR="00B33B3B">
              <w:rPr>
                <w:rFonts w:ascii="Arial Narrow" w:hAnsi="Arial Narrow"/>
                <w:sz w:val="20"/>
              </w:rPr>
              <w:fldChar w:fldCharType="separate"/>
            </w:r>
            <w:r>
              <w:rPr>
                <w:rFonts w:ascii="Arial Narrow" w:hAnsi="Arial Narrow"/>
                <w:sz w:val="20"/>
              </w:rPr>
              <w:fldChar w:fldCharType="end"/>
            </w:r>
            <w:r w:rsidRPr="00106BCF">
              <w:rPr>
                <w:rFonts w:ascii="Arial Narrow" w:hAnsi="Arial Narrow"/>
                <w:sz w:val="20"/>
              </w:rPr>
              <w:t xml:space="preserve">Authority Required </w:t>
            </w:r>
            <w:r w:rsidRPr="004332FE">
              <w:rPr>
                <w:rFonts w:ascii="Arial Narrow" w:hAnsi="Arial Narrow"/>
                <w:sz w:val="20"/>
              </w:rPr>
              <w:t>-</w:t>
            </w:r>
            <w:r w:rsidRPr="00106BCF">
              <w:rPr>
                <w:rFonts w:ascii="Arial Narrow" w:hAnsi="Arial Narrow"/>
                <w:sz w:val="20"/>
              </w:rPr>
              <w:t xml:space="preserve"> Emergency</w:t>
            </w:r>
          </w:p>
          <w:p w:rsidR="00EC715E" w:rsidRPr="00106BCF" w:rsidRDefault="00EC715E" w:rsidP="00292C8B">
            <w:pPr>
              <w:rPr>
                <w:rFonts w:ascii="Arial Narrow" w:hAnsi="Arial Narrow"/>
                <w:sz w:val="20"/>
              </w:rPr>
            </w:pP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B33B3B">
              <w:rPr>
                <w:rFonts w:ascii="Arial Narrow" w:hAnsi="Arial Narrow"/>
                <w:sz w:val="20"/>
              </w:rPr>
            </w:r>
            <w:r w:rsidR="00B33B3B">
              <w:rPr>
                <w:rFonts w:ascii="Arial Narrow" w:hAnsi="Arial Narrow"/>
                <w:sz w:val="20"/>
              </w:rPr>
              <w:fldChar w:fldCharType="separate"/>
            </w:r>
            <w:r>
              <w:rPr>
                <w:rFonts w:ascii="Arial Narrow" w:hAnsi="Arial Narrow"/>
                <w:sz w:val="20"/>
              </w:rPr>
              <w:fldChar w:fldCharType="end"/>
            </w:r>
            <w:r w:rsidRPr="00106BCF">
              <w:rPr>
                <w:rFonts w:ascii="Arial Narrow" w:hAnsi="Arial Narrow"/>
                <w:sz w:val="20"/>
              </w:rPr>
              <w:t>Authority Required - Electronic</w:t>
            </w:r>
          </w:p>
          <w:p w:rsidR="00EC715E" w:rsidRPr="00260CE3" w:rsidRDefault="00EC715E" w:rsidP="00292C8B">
            <w:pPr>
              <w:rPr>
                <w:rFonts w:ascii="Arial Narrow" w:hAnsi="Arial Narrow"/>
                <w:sz w:val="20"/>
              </w:rPr>
            </w:pPr>
            <w:r w:rsidRPr="00106BCF">
              <w:rPr>
                <w:rFonts w:ascii="Arial Narrow" w:hAnsi="Arial Narrow"/>
                <w:sz w:val="20"/>
              </w:rPr>
              <w:fldChar w:fldCharType="begin">
                <w:ffData>
                  <w:name w:val="Check5"/>
                  <w:enabled/>
                  <w:calcOnExit w:val="0"/>
                  <w:checkBox>
                    <w:sizeAuto/>
                    <w:default w:val="0"/>
                  </w:checkBox>
                </w:ffData>
              </w:fldChar>
            </w:r>
            <w:r w:rsidRPr="00106BCF">
              <w:rPr>
                <w:rFonts w:ascii="Arial Narrow" w:hAnsi="Arial Narrow"/>
                <w:sz w:val="20"/>
              </w:rPr>
              <w:instrText xml:space="preserve"> FORMCHECKBOX </w:instrText>
            </w:r>
            <w:r w:rsidR="00B33B3B">
              <w:rPr>
                <w:rFonts w:ascii="Arial Narrow" w:hAnsi="Arial Narrow"/>
                <w:sz w:val="20"/>
              </w:rPr>
            </w:r>
            <w:r w:rsidR="00B33B3B">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Streamlined</w:t>
            </w:r>
          </w:p>
        </w:tc>
      </w:tr>
      <w:tr w:rsidR="00EC715E" w:rsidRPr="00F65D45" w:rsidTr="000B7E61">
        <w:trPr>
          <w:cantSplit/>
        </w:trPr>
        <w:tc>
          <w:tcPr>
            <w:tcW w:w="1430" w:type="pct"/>
            <w:tcBorders>
              <w:top w:val="single" w:sz="4" w:space="0" w:color="auto"/>
              <w:left w:val="single" w:sz="4" w:space="0" w:color="auto"/>
              <w:bottom w:val="single" w:sz="4" w:space="0" w:color="auto"/>
              <w:right w:val="single" w:sz="4" w:space="0" w:color="auto"/>
            </w:tcBorders>
          </w:tcPr>
          <w:p w:rsidR="00EC715E" w:rsidRPr="00F65D45" w:rsidRDefault="00EC715E" w:rsidP="00292C8B">
            <w:pPr>
              <w:rPr>
                <w:rFonts w:ascii="Arial Narrow" w:hAnsi="Arial Narrow"/>
                <w:b/>
                <w:sz w:val="20"/>
              </w:rPr>
            </w:pPr>
            <w:r w:rsidRPr="00F65D45">
              <w:rPr>
                <w:rFonts w:ascii="Arial Narrow" w:hAnsi="Arial Narrow"/>
                <w:b/>
                <w:sz w:val="20"/>
              </w:rPr>
              <w:t>Clinical criteria:</w:t>
            </w:r>
          </w:p>
        </w:tc>
        <w:tc>
          <w:tcPr>
            <w:tcW w:w="3570" w:type="pct"/>
            <w:tcBorders>
              <w:top w:val="single" w:sz="4" w:space="0" w:color="auto"/>
              <w:left w:val="single" w:sz="4" w:space="0" w:color="auto"/>
              <w:bottom w:val="single" w:sz="4" w:space="0" w:color="auto"/>
              <w:right w:val="single" w:sz="4" w:space="0" w:color="auto"/>
            </w:tcBorders>
          </w:tcPr>
          <w:p w:rsidR="00EC715E" w:rsidRPr="00E41AFE" w:rsidRDefault="00EC715E" w:rsidP="00292C8B">
            <w:pPr>
              <w:rPr>
                <w:rFonts w:ascii="Arial Narrow" w:hAnsi="Arial Narrow"/>
                <w:i/>
                <w:strike/>
                <w:sz w:val="20"/>
              </w:rPr>
            </w:pPr>
            <w:r w:rsidRPr="00E41AFE">
              <w:rPr>
                <w:rFonts w:ascii="Arial Narrow" w:hAnsi="Arial Narrow"/>
                <w:i/>
                <w:strike/>
                <w:sz w:val="20"/>
              </w:rPr>
              <w:t>The condition must be diagnosed as clinically definite relapsing-remitting multiple sclerosis by magnetic resonance imaging of the brain and/or spinal cord; OR</w:t>
            </w:r>
          </w:p>
          <w:p w:rsidR="00EC715E" w:rsidRDefault="00EC715E" w:rsidP="00292C8B">
            <w:pPr>
              <w:rPr>
                <w:rFonts w:ascii="Arial Narrow" w:hAnsi="Arial Narrow"/>
                <w:i/>
                <w:strike/>
                <w:sz w:val="20"/>
              </w:rPr>
            </w:pPr>
            <w:r w:rsidRPr="00E41AFE">
              <w:rPr>
                <w:rFonts w:ascii="Arial Narrow" w:hAnsi="Arial Narrow"/>
                <w:i/>
                <w:strike/>
                <w:sz w:val="20"/>
              </w:rPr>
              <w:t>The condition must be diagnosed as clinically definite relapsing-remitting multiple sclerosis by accompanying written certification provided by a radiologist that a magnetic resonance imaging scan is contraindicated because of the risk of physical (not psychological) injury to the patient,</w:t>
            </w:r>
          </w:p>
          <w:p w:rsidR="00EC715E" w:rsidRPr="00E41AFE" w:rsidRDefault="00EC715E" w:rsidP="00292C8B">
            <w:pPr>
              <w:rPr>
                <w:rFonts w:ascii="Arial Narrow" w:hAnsi="Arial Narrow"/>
                <w:i/>
                <w:strike/>
                <w:sz w:val="20"/>
              </w:rPr>
            </w:pPr>
          </w:p>
          <w:p w:rsidR="00EC715E" w:rsidRDefault="00EC715E" w:rsidP="00292C8B">
            <w:pPr>
              <w:rPr>
                <w:rFonts w:ascii="Arial Narrow" w:hAnsi="Arial Narrow"/>
                <w:i/>
                <w:strike/>
                <w:sz w:val="20"/>
              </w:rPr>
            </w:pPr>
            <w:r w:rsidRPr="00E41AFE">
              <w:rPr>
                <w:rFonts w:ascii="Arial Narrow" w:hAnsi="Arial Narrow"/>
                <w:i/>
                <w:strike/>
                <w:sz w:val="20"/>
              </w:rPr>
              <w:t>AND</w:t>
            </w:r>
          </w:p>
          <w:p w:rsidR="00EC715E" w:rsidRPr="00E41AFE" w:rsidRDefault="00EC715E" w:rsidP="00292C8B">
            <w:pPr>
              <w:rPr>
                <w:rFonts w:ascii="Arial Narrow" w:hAnsi="Arial Narrow"/>
                <w:i/>
                <w:sz w:val="20"/>
              </w:rPr>
            </w:pPr>
          </w:p>
          <w:p w:rsidR="00EC715E" w:rsidRDefault="00EC715E" w:rsidP="00292C8B">
            <w:pPr>
              <w:rPr>
                <w:rFonts w:ascii="Arial Narrow" w:hAnsi="Arial Narrow"/>
                <w:i/>
                <w:sz w:val="20"/>
              </w:rPr>
            </w:pPr>
            <w:r w:rsidRPr="00F65D45">
              <w:rPr>
                <w:rFonts w:ascii="Arial Narrow" w:hAnsi="Arial Narrow"/>
                <w:sz w:val="20"/>
              </w:rPr>
              <w:t>Patient must have previously been issued with an authority prescription for this drug</w:t>
            </w:r>
            <w:r>
              <w:rPr>
                <w:rFonts w:ascii="Arial Narrow" w:hAnsi="Arial Narrow"/>
                <w:sz w:val="20"/>
              </w:rPr>
              <w:t xml:space="preserve"> </w:t>
            </w:r>
            <w:r>
              <w:rPr>
                <w:rFonts w:ascii="Arial Narrow" w:hAnsi="Arial Narrow"/>
                <w:i/>
                <w:sz w:val="20"/>
              </w:rPr>
              <w:t>for this condition</w:t>
            </w:r>
          </w:p>
          <w:p w:rsidR="00EC715E" w:rsidRPr="00E41AFE" w:rsidRDefault="00EC715E" w:rsidP="00292C8B">
            <w:pPr>
              <w:rPr>
                <w:rFonts w:ascii="Arial Narrow" w:hAnsi="Arial Narrow"/>
                <w:i/>
                <w:sz w:val="20"/>
              </w:rPr>
            </w:pPr>
          </w:p>
          <w:p w:rsidR="00EC715E" w:rsidRDefault="00EC715E" w:rsidP="00292C8B">
            <w:pPr>
              <w:rPr>
                <w:rFonts w:ascii="Arial Narrow" w:hAnsi="Arial Narrow"/>
                <w:sz w:val="20"/>
              </w:rPr>
            </w:pPr>
            <w:r w:rsidRPr="00F65D45">
              <w:rPr>
                <w:rFonts w:ascii="Arial Narrow" w:hAnsi="Arial Narrow"/>
                <w:sz w:val="20"/>
              </w:rPr>
              <w:t>AND</w:t>
            </w:r>
          </w:p>
          <w:p w:rsidR="00EC715E" w:rsidRPr="00F65D45" w:rsidRDefault="00EC715E" w:rsidP="00292C8B">
            <w:pPr>
              <w:rPr>
                <w:rFonts w:ascii="Arial Narrow" w:hAnsi="Arial Narrow"/>
                <w:sz w:val="20"/>
              </w:rPr>
            </w:pPr>
          </w:p>
          <w:p w:rsidR="00EC715E" w:rsidRDefault="00EC715E" w:rsidP="00292C8B">
            <w:pPr>
              <w:rPr>
                <w:rFonts w:ascii="Arial Narrow" w:hAnsi="Arial Narrow"/>
                <w:sz w:val="20"/>
              </w:rPr>
            </w:pPr>
            <w:r w:rsidRPr="00F65D45">
              <w:rPr>
                <w:rFonts w:ascii="Arial Narrow" w:hAnsi="Arial Narrow"/>
                <w:sz w:val="20"/>
              </w:rPr>
              <w:t>Patient must not show continuing progression of disability while on treatment with this drug</w:t>
            </w:r>
          </w:p>
          <w:p w:rsidR="00EC715E" w:rsidRPr="00F65D45" w:rsidRDefault="00EC715E" w:rsidP="00292C8B">
            <w:pPr>
              <w:rPr>
                <w:rFonts w:ascii="Arial Narrow" w:hAnsi="Arial Narrow"/>
                <w:sz w:val="20"/>
              </w:rPr>
            </w:pPr>
          </w:p>
          <w:p w:rsidR="00EC715E" w:rsidRDefault="00EC715E" w:rsidP="00292C8B">
            <w:pPr>
              <w:rPr>
                <w:rFonts w:ascii="Arial Narrow" w:hAnsi="Arial Narrow"/>
                <w:sz w:val="20"/>
              </w:rPr>
            </w:pPr>
            <w:r w:rsidRPr="00F65D45">
              <w:rPr>
                <w:rFonts w:ascii="Arial Narrow" w:hAnsi="Arial Narrow"/>
                <w:sz w:val="20"/>
              </w:rPr>
              <w:t>AND</w:t>
            </w:r>
          </w:p>
          <w:p w:rsidR="00EC715E" w:rsidRPr="00F65D45" w:rsidRDefault="00EC715E" w:rsidP="00292C8B">
            <w:pPr>
              <w:rPr>
                <w:rFonts w:ascii="Arial Narrow" w:hAnsi="Arial Narrow"/>
                <w:sz w:val="20"/>
              </w:rPr>
            </w:pPr>
          </w:p>
          <w:p w:rsidR="00EC715E" w:rsidRDefault="00EC715E" w:rsidP="00292C8B">
            <w:pPr>
              <w:rPr>
                <w:rFonts w:ascii="Arial Narrow" w:hAnsi="Arial Narrow"/>
                <w:sz w:val="20"/>
              </w:rPr>
            </w:pPr>
            <w:r w:rsidRPr="00F65D45">
              <w:rPr>
                <w:rFonts w:ascii="Arial Narrow" w:hAnsi="Arial Narrow"/>
                <w:sz w:val="20"/>
              </w:rPr>
              <w:t>The treatment must be as monotherapy</w:t>
            </w:r>
          </w:p>
          <w:p w:rsidR="00EC715E" w:rsidRPr="00F65D45" w:rsidRDefault="00EC715E" w:rsidP="00292C8B">
            <w:pPr>
              <w:rPr>
                <w:rFonts w:ascii="Arial Narrow" w:hAnsi="Arial Narrow"/>
                <w:sz w:val="20"/>
              </w:rPr>
            </w:pPr>
          </w:p>
          <w:p w:rsidR="00EC715E" w:rsidRDefault="00EC715E" w:rsidP="00292C8B">
            <w:pPr>
              <w:rPr>
                <w:rFonts w:ascii="Arial Narrow" w:hAnsi="Arial Narrow"/>
                <w:sz w:val="20"/>
              </w:rPr>
            </w:pPr>
            <w:r w:rsidRPr="00F65D45">
              <w:rPr>
                <w:rFonts w:ascii="Arial Narrow" w:hAnsi="Arial Narrow"/>
                <w:sz w:val="20"/>
              </w:rPr>
              <w:t>AND</w:t>
            </w:r>
          </w:p>
          <w:p w:rsidR="00EC715E" w:rsidRPr="00F65D45" w:rsidRDefault="00EC715E" w:rsidP="00292C8B">
            <w:pPr>
              <w:rPr>
                <w:rFonts w:ascii="Arial Narrow" w:hAnsi="Arial Narrow"/>
                <w:sz w:val="20"/>
              </w:rPr>
            </w:pPr>
          </w:p>
          <w:p w:rsidR="00EC715E" w:rsidRPr="00F65D45" w:rsidRDefault="00EC715E" w:rsidP="00292C8B">
            <w:pPr>
              <w:rPr>
                <w:rFonts w:ascii="Arial Narrow" w:hAnsi="Arial Narrow"/>
                <w:sz w:val="20"/>
              </w:rPr>
            </w:pPr>
            <w:r w:rsidRPr="00F65D45">
              <w:rPr>
                <w:rFonts w:ascii="Arial Narrow" w:hAnsi="Arial Narrow"/>
                <w:sz w:val="20"/>
              </w:rPr>
              <w:t>Patient must have demonstrated compliance with, and an ability to tolerate, this therapy</w:t>
            </w:r>
          </w:p>
        </w:tc>
      </w:tr>
      <w:tr w:rsidR="00EC715E" w:rsidRPr="00F65D45" w:rsidTr="000B7E61">
        <w:trPr>
          <w:cantSplit/>
        </w:trPr>
        <w:tc>
          <w:tcPr>
            <w:tcW w:w="1430" w:type="pct"/>
            <w:tcBorders>
              <w:top w:val="single" w:sz="4" w:space="0" w:color="auto"/>
              <w:left w:val="single" w:sz="4" w:space="0" w:color="auto"/>
              <w:bottom w:val="single" w:sz="4" w:space="0" w:color="auto"/>
              <w:right w:val="single" w:sz="4" w:space="0" w:color="auto"/>
            </w:tcBorders>
          </w:tcPr>
          <w:p w:rsidR="00EC715E" w:rsidRPr="00E41AFE" w:rsidRDefault="00EC715E" w:rsidP="00292C8B">
            <w:pPr>
              <w:rPr>
                <w:rFonts w:ascii="Arial Narrow" w:hAnsi="Arial Narrow"/>
                <w:b/>
                <w:i/>
                <w:sz w:val="20"/>
              </w:rPr>
            </w:pPr>
            <w:r w:rsidRPr="00E41AFE">
              <w:rPr>
                <w:rFonts w:ascii="Arial Narrow" w:hAnsi="Arial Narrow"/>
                <w:b/>
                <w:i/>
                <w:sz w:val="20"/>
              </w:rPr>
              <w:t>Prescriber Instructions</w:t>
            </w:r>
          </w:p>
        </w:tc>
        <w:tc>
          <w:tcPr>
            <w:tcW w:w="3570" w:type="pct"/>
            <w:tcBorders>
              <w:top w:val="single" w:sz="4" w:space="0" w:color="auto"/>
              <w:left w:val="single" w:sz="4" w:space="0" w:color="auto"/>
              <w:bottom w:val="single" w:sz="4" w:space="0" w:color="auto"/>
              <w:right w:val="single" w:sz="4" w:space="0" w:color="auto"/>
            </w:tcBorders>
          </w:tcPr>
          <w:p w:rsidR="00EC715E" w:rsidRPr="00E41AFE" w:rsidRDefault="00EC715E" w:rsidP="00292C8B">
            <w:pPr>
              <w:rPr>
                <w:rFonts w:ascii="Arial Narrow" w:hAnsi="Arial Narrow"/>
                <w:i/>
                <w:sz w:val="20"/>
              </w:rPr>
            </w:pPr>
            <w:r w:rsidRPr="00E41AFE">
              <w:rPr>
                <w:rFonts w:ascii="Arial Narrow" w:hAnsi="Arial Narrow"/>
                <w:i/>
                <w:sz w:val="20"/>
              </w:rPr>
              <w:t>Patient must undergo monthly liver function testing as described in item 66512 of the Medicare Benefits Schedule while being treated with this drug.</w:t>
            </w:r>
          </w:p>
        </w:tc>
      </w:tr>
      <w:tr w:rsidR="00EC715E" w:rsidRPr="00F65D45" w:rsidTr="000B7E61">
        <w:trPr>
          <w:cantSplit/>
        </w:trPr>
        <w:tc>
          <w:tcPr>
            <w:tcW w:w="1430" w:type="pct"/>
            <w:tcBorders>
              <w:top w:val="single" w:sz="4" w:space="0" w:color="auto"/>
              <w:left w:val="single" w:sz="4" w:space="0" w:color="auto"/>
              <w:bottom w:val="single" w:sz="4" w:space="0" w:color="auto"/>
              <w:right w:val="single" w:sz="4" w:space="0" w:color="auto"/>
            </w:tcBorders>
          </w:tcPr>
          <w:p w:rsidR="00EC715E" w:rsidRPr="00F65D45" w:rsidRDefault="00EC715E" w:rsidP="00292C8B">
            <w:pPr>
              <w:rPr>
                <w:rFonts w:ascii="Arial Narrow" w:hAnsi="Arial Narrow"/>
                <w:b/>
                <w:sz w:val="20"/>
              </w:rPr>
            </w:pPr>
            <w:r w:rsidRPr="00F65D45">
              <w:rPr>
                <w:rFonts w:ascii="Arial Narrow" w:hAnsi="Arial Narrow"/>
                <w:b/>
                <w:sz w:val="20"/>
              </w:rPr>
              <w:t>Administrative Advice</w:t>
            </w:r>
          </w:p>
        </w:tc>
        <w:tc>
          <w:tcPr>
            <w:tcW w:w="3570" w:type="pct"/>
            <w:tcBorders>
              <w:top w:val="single" w:sz="4" w:space="0" w:color="auto"/>
              <w:left w:val="single" w:sz="4" w:space="0" w:color="auto"/>
              <w:bottom w:val="single" w:sz="4" w:space="0" w:color="auto"/>
              <w:right w:val="single" w:sz="4" w:space="0" w:color="auto"/>
            </w:tcBorders>
          </w:tcPr>
          <w:p w:rsidR="00EC715E" w:rsidRDefault="00EC715E" w:rsidP="00292C8B">
            <w:pPr>
              <w:rPr>
                <w:rFonts w:ascii="Arial Narrow" w:hAnsi="Arial Narrow"/>
                <w:sz w:val="20"/>
              </w:rPr>
            </w:pPr>
            <w:r w:rsidRPr="00F65D45">
              <w:rPr>
                <w:rFonts w:ascii="Arial Narrow" w:hAnsi="Arial Narrow"/>
                <w:sz w:val="20"/>
              </w:rPr>
              <w:t>No increase in the maximum quantity or number of units may be authorised.</w:t>
            </w:r>
          </w:p>
          <w:p w:rsidR="00EC715E" w:rsidRPr="00F65D45" w:rsidRDefault="00EC715E" w:rsidP="00292C8B">
            <w:pPr>
              <w:rPr>
                <w:rFonts w:ascii="Arial Narrow" w:hAnsi="Arial Narrow"/>
                <w:sz w:val="20"/>
              </w:rPr>
            </w:pPr>
          </w:p>
          <w:p w:rsidR="00EC715E" w:rsidRDefault="00EC715E" w:rsidP="00292C8B">
            <w:pPr>
              <w:rPr>
                <w:rFonts w:ascii="Arial Narrow" w:hAnsi="Arial Narrow"/>
                <w:sz w:val="20"/>
              </w:rPr>
            </w:pPr>
            <w:r w:rsidRPr="00F65D45">
              <w:rPr>
                <w:rFonts w:ascii="Arial Narrow" w:hAnsi="Arial Narrow"/>
                <w:sz w:val="20"/>
              </w:rPr>
              <w:t>No increase in the maximum number of repeats may be authorised.</w:t>
            </w:r>
          </w:p>
          <w:p w:rsidR="00EC715E" w:rsidRDefault="00EC715E" w:rsidP="00292C8B">
            <w:pPr>
              <w:rPr>
                <w:rFonts w:ascii="Arial Narrow" w:hAnsi="Arial Narrow"/>
                <w:sz w:val="20"/>
              </w:rPr>
            </w:pPr>
          </w:p>
          <w:p w:rsidR="00EC715E" w:rsidRPr="00292C8B" w:rsidRDefault="00EC715E" w:rsidP="00292C8B">
            <w:pPr>
              <w:rPr>
                <w:rFonts w:ascii="Arial Narrow" w:hAnsi="Arial Narrow"/>
                <w:i/>
                <w:sz w:val="20"/>
              </w:rPr>
            </w:pPr>
            <w:r>
              <w:rPr>
                <w:rFonts w:ascii="Arial Narrow" w:hAnsi="Arial Narrow"/>
                <w:i/>
                <w:sz w:val="20"/>
              </w:rPr>
              <w:t>Special Pricing Arrangements apply.</w:t>
            </w:r>
          </w:p>
        </w:tc>
      </w:tr>
    </w:tbl>
    <w:p w:rsidR="00B60939" w:rsidRPr="00C0474D" w:rsidRDefault="00BC6DC0" w:rsidP="00BC6DC0">
      <w:pPr>
        <w:pStyle w:val="ListParagraph"/>
        <w:widowControl/>
        <w:rPr>
          <w:szCs w:val="22"/>
        </w:rPr>
      </w:pPr>
      <w:r w:rsidRPr="00C0474D">
        <w:rPr>
          <w:color w:val="3366FF"/>
        </w:rPr>
        <w:t xml:space="preserve"> </w:t>
      </w:r>
    </w:p>
    <w:p w:rsidR="002C2775" w:rsidRPr="005F1038" w:rsidRDefault="00BC6DC0" w:rsidP="005F1038">
      <w:pPr>
        <w:pStyle w:val="ListParagraph"/>
        <w:numPr>
          <w:ilvl w:val="1"/>
          <w:numId w:val="11"/>
        </w:numPr>
        <w:ind w:left="720" w:hanging="720"/>
        <w:rPr>
          <w:szCs w:val="22"/>
        </w:rPr>
      </w:pPr>
      <w:r w:rsidRPr="005F1038">
        <w:rPr>
          <w:szCs w:val="22"/>
        </w:rPr>
        <w:t>Listing was requested on a cos</w:t>
      </w:r>
      <w:r w:rsidR="00D32899" w:rsidRPr="005F1038">
        <w:rPr>
          <w:szCs w:val="22"/>
        </w:rPr>
        <w:t xml:space="preserve">t </w:t>
      </w:r>
      <w:r w:rsidRPr="005F1038">
        <w:rPr>
          <w:szCs w:val="22"/>
        </w:rPr>
        <w:t xml:space="preserve">minimisation basis compared to </w:t>
      </w:r>
      <w:proofErr w:type="spellStart"/>
      <w:r w:rsidRPr="005F1038">
        <w:rPr>
          <w:szCs w:val="22"/>
        </w:rPr>
        <w:t>fingolimod</w:t>
      </w:r>
      <w:proofErr w:type="spellEnd"/>
      <w:r w:rsidRPr="005F1038">
        <w:rPr>
          <w:szCs w:val="22"/>
        </w:rPr>
        <w:t>.</w:t>
      </w:r>
      <w:r w:rsidR="0020385F" w:rsidRPr="005F1038">
        <w:rPr>
          <w:szCs w:val="22"/>
        </w:rPr>
        <w:t xml:space="preserve"> </w:t>
      </w:r>
    </w:p>
    <w:p w:rsidR="004A1FF4" w:rsidRPr="00C0474D" w:rsidRDefault="004A1FF4" w:rsidP="004A1FF4">
      <w:pPr>
        <w:pStyle w:val="ListParagraph"/>
        <w:rPr>
          <w:szCs w:val="22"/>
        </w:rPr>
      </w:pPr>
    </w:p>
    <w:p w:rsidR="00C76F3B" w:rsidRDefault="00582371" w:rsidP="005F1038">
      <w:pPr>
        <w:pStyle w:val="ListParagraph"/>
        <w:numPr>
          <w:ilvl w:val="1"/>
          <w:numId w:val="11"/>
        </w:numPr>
        <w:ind w:left="720" w:hanging="720"/>
        <w:rPr>
          <w:szCs w:val="22"/>
        </w:rPr>
      </w:pPr>
      <w:r>
        <w:rPr>
          <w:szCs w:val="22"/>
        </w:rPr>
        <w:t>The Secretariat noted that i</w:t>
      </w:r>
      <w:r w:rsidR="004A1FF4" w:rsidRPr="00C0474D">
        <w:rPr>
          <w:szCs w:val="22"/>
        </w:rPr>
        <w:t>t m</w:t>
      </w:r>
      <w:r w:rsidR="00F30728" w:rsidRPr="00C0474D">
        <w:rPr>
          <w:szCs w:val="22"/>
        </w:rPr>
        <w:t>ay be reasonable to consider a Streamlined A</w:t>
      </w:r>
      <w:r w:rsidR="004A1FF4" w:rsidRPr="00C0474D">
        <w:rPr>
          <w:szCs w:val="22"/>
        </w:rPr>
        <w:t xml:space="preserve">uthority listing for </w:t>
      </w:r>
      <w:proofErr w:type="spellStart"/>
      <w:r w:rsidR="004A1FF4" w:rsidRPr="00C0474D">
        <w:rPr>
          <w:szCs w:val="22"/>
        </w:rPr>
        <w:t>daclizumab</w:t>
      </w:r>
      <w:proofErr w:type="spellEnd"/>
      <w:r w:rsidR="004A1FF4" w:rsidRPr="00C0474D">
        <w:rPr>
          <w:szCs w:val="22"/>
        </w:rPr>
        <w:t xml:space="preserve"> as it does not have complex administration requirements and appears unlikely to be used outside the requested restriction. </w:t>
      </w:r>
    </w:p>
    <w:p w:rsidR="00C76F3B" w:rsidRPr="00C76F3B" w:rsidRDefault="00C76F3B" w:rsidP="005F1038">
      <w:pPr>
        <w:pStyle w:val="ListParagraph"/>
        <w:rPr>
          <w:szCs w:val="22"/>
        </w:rPr>
      </w:pPr>
    </w:p>
    <w:p w:rsidR="00F97A78" w:rsidRDefault="00C76F3B" w:rsidP="005F1038">
      <w:pPr>
        <w:pStyle w:val="ListParagraph"/>
        <w:numPr>
          <w:ilvl w:val="1"/>
          <w:numId w:val="11"/>
        </w:numPr>
        <w:ind w:left="720" w:hanging="720"/>
        <w:rPr>
          <w:szCs w:val="22"/>
        </w:rPr>
      </w:pPr>
      <w:r>
        <w:rPr>
          <w:szCs w:val="22"/>
        </w:rPr>
        <w:t xml:space="preserve">The PBAC noted the restriction may need to be revised based on the outcome of the ACPM meeting and </w:t>
      </w:r>
      <w:r w:rsidR="00D83A08">
        <w:rPr>
          <w:szCs w:val="22"/>
        </w:rPr>
        <w:t>ultimately</w:t>
      </w:r>
      <w:r>
        <w:rPr>
          <w:szCs w:val="22"/>
        </w:rPr>
        <w:t xml:space="preserve"> the indication approved for registration (see below). </w:t>
      </w:r>
    </w:p>
    <w:p w:rsidR="00216AB3" w:rsidRPr="00216AB3" w:rsidRDefault="00216AB3" w:rsidP="00216AB3">
      <w:pPr>
        <w:pStyle w:val="ListParagraph"/>
        <w:rPr>
          <w:szCs w:val="22"/>
        </w:rPr>
      </w:pPr>
    </w:p>
    <w:p w:rsidR="00216AB3" w:rsidRPr="00B33B3B" w:rsidRDefault="00216AB3" w:rsidP="00B33B3B">
      <w:pPr>
        <w:pStyle w:val="PBACHeading1"/>
        <w:ind w:left="1440" w:hanging="720"/>
        <w:rPr>
          <w:b w:val="0"/>
          <w:i/>
        </w:rPr>
      </w:pPr>
      <w:r w:rsidRPr="00B33B3B">
        <w:rPr>
          <w:b w:val="0"/>
          <w:i/>
        </w:rPr>
        <w:t>For more detail on PBAC’s view, see section 7 “PBAC outcome”</w:t>
      </w:r>
    </w:p>
    <w:p w:rsidR="00292C8B" w:rsidRDefault="00292C8B">
      <w:pPr>
        <w:widowControl/>
        <w:jc w:val="left"/>
      </w:pPr>
    </w:p>
    <w:p w:rsidR="00292C8B" w:rsidRDefault="00292C8B">
      <w:pPr>
        <w:widowControl/>
        <w:jc w:val="left"/>
      </w:pPr>
    </w:p>
    <w:p w:rsidR="00B50DB8" w:rsidRPr="00D44DDE" w:rsidRDefault="00D44DDE" w:rsidP="00D44DDE">
      <w:pPr>
        <w:pStyle w:val="Heading1"/>
      </w:pPr>
      <w:bookmarkStart w:id="5" w:name="_Toc450127242"/>
      <w:r>
        <w:t>3.</w:t>
      </w:r>
      <w:r>
        <w:tab/>
      </w:r>
      <w:r w:rsidR="00B50DB8" w:rsidRPr="00D44DDE">
        <w:t>Background</w:t>
      </w:r>
      <w:bookmarkEnd w:id="5"/>
    </w:p>
    <w:p w:rsidR="00B60939" w:rsidRPr="00E52547" w:rsidRDefault="00B60939" w:rsidP="00B60939">
      <w:pPr>
        <w:rPr>
          <w:b/>
          <w:szCs w:val="22"/>
        </w:rPr>
      </w:pPr>
    </w:p>
    <w:p w:rsidR="00103EC4" w:rsidRPr="005F1038" w:rsidRDefault="00262090" w:rsidP="005F1038">
      <w:pPr>
        <w:pStyle w:val="ListParagraph"/>
        <w:numPr>
          <w:ilvl w:val="1"/>
          <w:numId w:val="12"/>
        </w:numPr>
        <w:ind w:left="720" w:hanging="720"/>
        <w:rPr>
          <w:szCs w:val="22"/>
        </w:rPr>
      </w:pPr>
      <w:r w:rsidRPr="005F1038">
        <w:rPr>
          <w:szCs w:val="22"/>
        </w:rPr>
        <w:t>The submission was made under TGA/PBAC Parallel Process.</w:t>
      </w:r>
      <w:r w:rsidR="000008E0" w:rsidRPr="005F1038">
        <w:rPr>
          <w:szCs w:val="22"/>
        </w:rPr>
        <w:t xml:space="preserve"> </w:t>
      </w:r>
      <w:r w:rsidR="00D83A08" w:rsidRPr="005F1038">
        <w:rPr>
          <w:szCs w:val="22"/>
        </w:rPr>
        <w:t>The TGA Delegate</w:t>
      </w:r>
      <w:r w:rsidR="00582371" w:rsidRPr="005F1038">
        <w:rPr>
          <w:szCs w:val="22"/>
        </w:rPr>
        <w:t>’</w:t>
      </w:r>
      <w:r w:rsidR="00D83A08" w:rsidRPr="005F1038">
        <w:rPr>
          <w:szCs w:val="22"/>
        </w:rPr>
        <w:t xml:space="preserve">s Overview was provided as a late paper for </w:t>
      </w:r>
      <w:r w:rsidR="000008E0" w:rsidRPr="005F1038">
        <w:rPr>
          <w:szCs w:val="22"/>
        </w:rPr>
        <w:t xml:space="preserve">the </w:t>
      </w:r>
      <w:r w:rsidR="00FB23D3" w:rsidRPr="005F1038">
        <w:rPr>
          <w:szCs w:val="22"/>
        </w:rPr>
        <w:t xml:space="preserve">July 2016 </w:t>
      </w:r>
      <w:r w:rsidR="000008E0" w:rsidRPr="005F1038">
        <w:rPr>
          <w:szCs w:val="22"/>
        </w:rPr>
        <w:t>PBAC meeting</w:t>
      </w:r>
      <w:r w:rsidR="00F95FCA" w:rsidRPr="005F1038">
        <w:rPr>
          <w:szCs w:val="22"/>
        </w:rPr>
        <w:t xml:space="preserve">. The </w:t>
      </w:r>
      <w:r w:rsidR="00582371" w:rsidRPr="005F1038">
        <w:rPr>
          <w:szCs w:val="22"/>
        </w:rPr>
        <w:t>Overview</w:t>
      </w:r>
      <w:r w:rsidR="00F95FCA" w:rsidRPr="005F1038">
        <w:rPr>
          <w:szCs w:val="22"/>
        </w:rPr>
        <w:t xml:space="preserve"> stated that </w:t>
      </w:r>
      <w:r w:rsidR="00103EC4" w:rsidRPr="005F1038">
        <w:rPr>
          <w:szCs w:val="22"/>
        </w:rPr>
        <w:t>there was</w:t>
      </w:r>
      <w:r w:rsidR="00F95FCA" w:rsidRPr="005F1038">
        <w:rPr>
          <w:szCs w:val="22"/>
        </w:rPr>
        <w:t xml:space="preserve"> no reason </w:t>
      </w:r>
      <w:r w:rsidR="00103EC4" w:rsidRPr="005F1038">
        <w:rPr>
          <w:szCs w:val="22"/>
        </w:rPr>
        <w:t>the application should not be approved for</w:t>
      </w:r>
      <w:r w:rsidR="000008E0" w:rsidRPr="005F1038">
        <w:rPr>
          <w:szCs w:val="22"/>
        </w:rPr>
        <w:t xml:space="preserve"> registration subject to </w:t>
      </w:r>
      <w:r w:rsidR="00103EC4" w:rsidRPr="005F1038">
        <w:rPr>
          <w:szCs w:val="22"/>
        </w:rPr>
        <w:t xml:space="preserve">successful </w:t>
      </w:r>
      <w:r w:rsidR="000008E0" w:rsidRPr="005F1038">
        <w:rPr>
          <w:szCs w:val="22"/>
        </w:rPr>
        <w:t>negotiation of indications and access restrictions</w:t>
      </w:r>
      <w:r w:rsidR="00103EC4" w:rsidRPr="005F1038">
        <w:rPr>
          <w:szCs w:val="22"/>
        </w:rPr>
        <w:t xml:space="preserve"> </w:t>
      </w:r>
      <w:r w:rsidR="00F95FCA" w:rsidRPr="005F1038">
        <w:rPr>
          <w:szCs w:val="22"/>
        </w:rPr>
        <w:t>which should apply to prescribers and patients.</w:t>
      </w:r>
      <w:r w:rsidR="00103EC4" w:rsidRPr="005F1038">
        <w:rPr>
          <w:szCs w:val="22"/>
        </w:rPr>
        <w:t xml:space="preserve"> </w:t>
      </w:r>
    </w:p>
    <w:p w:rsidR="00103EC4" w:rsidRDefault="00103EC4" w:rsidP="00103EC4">
      <w:pPr>
        <w:pStyle w:val="ListParagraph"/>
        <w:rPr>
          <w:szCs w:val="22"/>
        </w:rPr>
      </w:pPr>
    </w:p>
    <w:p w:rsidR="00D05ACF" w:rsidRDefault="00D05ACF" w:rsidP="005F1038">
      <w:pPr>
        <w:pStyle w:val="ListParagraph"/>
        <w:numPr>
          <w:ilvl w:val="1"/>
          <w:numId w:val="12"/>
        </w:numPr>
        <w:ind w:left="720" w:hanging="720"/>
        <w:rPr>
          <w:szCs w:val="22"/>
        </w:rPr>
      </w:pPr>
      <w:r>
        <w:rPr>
          <w:szCs w:val="22"/>
        </w:rPr>
        <w:t>The following issues were noted in the TGA Delegate’s Overview</w:t>
      </w:r>
      <w:r w:rsidR="00582371">
        <w:rPr>
          <w:szCs w:val="22"/>
        </w:rPr>
        <w:t xml:space="preserve"> </w:t>
      </w:r>
      <w:r>
        <w:rPr>
          <w:szCs w:val="22"/>
        </w:rPr>
        <w:t xml:space="preserve">for </w:t>
      </w:r>
      <w:proofErr w:type="spellStart"/>
      <w:r>
        <w:rPr>
          <w:szCs w:val="22"/>
        </w:rPr>
        <w:t>daclizumab</w:t>
      </w:r>
      <w:proofErr w:type="spellEnd"/>
      <w:r>
        <w:rPr>
          <w:szCs w:val="22"/>
        </w:rPr>
        <w:t>:</w:t>
      </w:r>
    </w:p>
    <w:p w:rsidR="00D05ACF" w:rsidRPr="00D05ACF" w:rsidRDefault="00D05ACF" w:rsidP="00D05ACF">
      <w:pPr>
        <w:pStyle w:val="ListParagraph"/>
        <w:rPr>
          <w:szCs w:val="22"/>
        </w:rPr>
      </w:pPr>
    </w:p>
    <w:p w:rsidR="00D05ACF" w:rsidRDefault="00D05ACF" w:rsidP="00D05ACF">
      <w:pPr>
        <w:pStyle w:val="ListParagraph"/>
        <w:numPr>
          <w:ilvl w:val="0"/>
          <w:numId w:val="8"/>
        </w:numPr>
        <w:rPr>
          <w:szCs w:val="22"/>
        </w:rPr>
      </w:pPr>
      <w:r>
        <w:rPr>
          <w:szCs w:val="22"/>
        </w:rPr>
        <w:t>‘</w:t>
      </w:r>
      <w:r w:rsidRPr="00D05ACF">
        <w:rPr>
          <w:szCs w:val="22"/>
        </w:rPr>
        <w:t>Delay in progression of disability has not been demonstrated. More recent treatments for MS have demonstrated a delay in progression of disability in clinical trials.</w:t>
      </w:r>
    </w:p>
    <w:p w:rsidR="00D05ACF" w:rsidRDefault="00D05ACF" w:rsidP="00D05ACF">
      <w:pPr>
        <w:pStyle w:val="ListParagraph"/>
        <w:numPr>
          <w:ilvl w:val="0"/>
          <w:numId w:val="8"/>
        </w:numPr>
        <w:rPr>
          <w:szCs w:val="22"/>
        </w:rPr>
      </w:pPr>
      <w:r w:rsidRPr="00D05ACF">
        <w:rPr>
          <w:szCs w:val="22"/>
        </w:rPr>
        <w:t xml:space="preserve">The place in therapy of </w:t>
      </w:r>
      <w:proofErr w:type="spellStart"/>
      <w:r w:rsidRPr="00D05ACF">
        <w:rPr>
          <w:szCs w:val="22"/>
        </w:rPr>
        <w:t>daclizumab</w:t>
      </w:r>
      <w:proofErr w:type="spellEnd"/>
      <w:r w:rsidRPr="00D05ACF">
        <w:rPr>
          <w:szCs w:val="22"/>
        </w:rPr>
        <w:t xml:space="preserve"> is not clear due to the lack of demonstration of superiority over </w:t>
      </w:r>
      <w:r w:rsidR="00C013E3" w:rsidRPr="00C0474D">
        <w:t>interferon beta-1a</w:t>
      </w:r>
      <w:r w:rsidR="00C013E3">
        <w:t xml:space="preserve"> (</w:t>
      </w:r>
      <w:r w:rsidRPr="00D05ACF">
        <w:rPr>
          <w:szCs w:val="22"/>
        </w:rPr>
        <w:t>IFN β-1a</w:t>
      </w:r>
      <w:r w:rsidR="00C013E3">
        <w:rPr>
          <w:szCs w:val="22"/>
        </w:rPr>
        <w:t>)</w:t>
      </w:r>
      <w:r w:rsidRPr="00D05ACF">
        <w:rPr>
          <w:szCs w:val="22"/>
        </w:rPr>
        <w:t xml:space="preserve"> for the endpoint of progression of disability. </w:t>
      </w:r>
      <w:proofErr w:type="spellStart"/>
      <w:r w:rsidRPr="00D05ACF">
        <w:rPr>
          <w:szCs w:val="22"/>
        </w:rPr>
        <w:t>Daclizumab</w:t>
      </w:r>
      <w:proofErr w:type="spellEnd"/>
      <w:r w:rsidRPr="00D05ACF">
        <w:rPr>
          <w:szCs w:val="22"/>
        </w:rPr>
        <w:t xml:space="preserve"> presents more risk of serious adverse effects than IFN β-1a. Given these factors it is not clear whether use of this product should be permitted at all or whether restricting its use to patients who have failed initial treatment would be appropriate.</w:t>
      </w:r>
      <w:r>
        <w:rPr>
          <w:szCs w:val="22"/>
        </w:rPr>
        <w:t xml:space="preserve">’ </w:t>
      </w:r>
    </w:p>
    <w:p w:rsidR="00D05ACF" w:rsidRDefault="00D05ACF" w:rsidP="00D05ACF">
      <w:pPr>
        <w:pStyle w:val="ListParagraph"/>
        <w:ind w:left="1778"/>
        <w:rPr>
          <w:szCs w:val="22"/>
        </w:rPr>
      </w:pPr>
    </w:p>
    <w:p w:rsidR="00103EC4" w:rsidRPr="00103EC4" w:rsidRDefault="00116B1F" w:rsidP="005F1038">
      <w:pPr>
        <w:pStyle w:val="ListParagraph"/>
        <w:numPr>
          <w:ilvl w:val="1"/>
          <w:numId w:val="12"/>
        </w:numPr>
        <w:ind w:left="720" w:hanging="720"/>
        <w:rPr>
          <w:szCs w:val="22"/>
        </w:rPr>
      </w:pPr>
      <w:r>
        <w:rPr>
          <w:szCs w:val="22"/>
        </w:rPr>
        <w:t>The D</w:t>
      </w:r>
      <w:r w:rsidR="00103EC4">
        <w:rPr>
          <w:szCs w:val="22"/>
        </w:rPr>
        <w:t xml:space="preserve">elegate </w:t>
      </w:r>
      <w:r>
        <w:rPr>
          <w:szCs w:val="22"/>
        </w:rPr>
        <w:t>requested</w:t>
      </w:r>
      <w:r w:rsidR="00103EC4">
        <w:rPr>
          <w:szCs w:val="22"/>
        </w:rPr>
        <w:t xml:space="preserve"> advice from the ACPM </w:t>
      </w:r>
      <w:r w:rsidR="00103EC4" w:rsidRPr="00103EC4">
        <w:rPr>
          <w:szCs w:val="22"/>
        </w:rPr>
        <w:t>on the following specific issues:</w:t>
      </w:r>
    </w:p>
    <w:p w:rsidR="00103EC4" w:rsidRDefault="00103EC4" w:rsidP="00103EC4">
      <w:pPr>
        <w:pStyle w:val="ListParagraph"/>
        <w:rPr>
          <w:szCs w:val="22"/>
        </w:rPr>
      </w:pPr>
    </w:p>
    <w:p w:rsidR="00103EC4" w:rsidRDefault="00D05ACF" w:rsidP="00D05ACF">
      <w:pPr>
        <w:pStyle w:val="ListParagraph"/>
        <w:numPr>
          <w:ilvl w:val="0"/>
          <w:numId w:val="9"/>
        </w:numPr>
      </w:pPr>
      <w:r>
        <w:rPr>
          <w:szCs w:val="22"/>
        </w:rPr>
        <w:t xml:space="preserve">Whether use of </w:t>
      </w:r>
      <w:proofErr w:type="spellStart"/>
      <w:r>
        <w:rPr>
          <w:szCs w:val="22"/>
        </w:rPr>
        <w:t>daclizumab</w:t>
      </w:r>
      <w:proofErr w:type="spellEnd"/>
      <w:r>
        <w:rPr>
          <w:szCs w:val="22"/>
        </w:rPr>
        <w:t xml:space="preserve"> should be allowed in secondary progressive MS (</w:t>
      </w:r>
      <w:r w:rsidR="00103EC4" w:rsidRPr="00103EC4">
        <w:rPr>
          <w:szCs w:val="22"/>
        </w:rPr>
        <w:t>SPMS</w:t>
      </w:r>
      <w:r>
        <w:rPr>
          <w:szCs w:val="22"/>
        </w:rPr>
        <w:t>)</w:t>
      </w:r>
      <w:r w:rsidR="00103EC4" w:rsidRPr="00103EC4">
        <w:rPr>
          <w:szCs w:val="22"/>
        </w:rPr>
        <w:t>.</w:t>
      </w:r>
      <w:r w:rsidR="00103EC4" w:rsidRPr="00103EC4">
        <w:t xml:space="preserve"> </w:t>
      </w:r>
    </w:p>
    <w:p w:rsidR="00103EC4" w:rsidRPr="00103EC4" w:rsidRDefault="00D05ACF" w:rsidP="00D05ACF">
      <w:pPr>
        <w:pStyle w:val="ListParagraph"/>
        <w:numPr>
          <w:ilvl w:val="0"/>
          <w:numId w:val="9"/>
        </w:numPr>
        <w:rPr>
          <w:szCs w:val="22"/>
        </w:rPr>
      </w:pPr>
      <w:r>
        <w:rPr>
          <w:szCs w:val="22"/>
        </w:rPr>
        <w:t>If there are any concerns about a</w:t>
      </w:r>
      <w:r w:rsidR="00103EC4" w:rsidRPr="00103EC4">
        <w:rPr>
          <w:szCs w:val="22"/>
        </w:rPr>
        <w:t xml:space="preserve"> specific claim for reducti</w:t>
      </w:r>
      <w:r>
        <w:rPr>
          <w:szCs w:val="22"/>
        </w:rPr>
        <w:t xml:space="preserve">on in disability progression </w:t>
      </w:r>
      <w:r w:rsidR="00103EC4" w:rsidRPr="00103EC4">
        <w:rPr>
          <w:szCs w:val="22"/>
        </w:rPr>
        <w:t>not</w:t>
      </w:r>
      <w:r>
        <w:rPr>
          <w:szCs w:val="22"/>
        </w:rPr>
        <w:t xml:space="preserve"> being</w:t>
      </w:r>
      <w:r w:rsidR="00103EC4" w:rsidRPr="00103EC4">
        <w:rPr>
          <w:szCs w:val="22"/>
        </w:rPr>
        <w:t xml:space="preserve"> proposed for any subgroup of patients with MS. </w:t>
      </w:r>
    </w:p>
    <w:p w:rsidR="00262090" w:rsidRPr="00103EC4" w:rsidRDefault="00103EC4" w:rsidP="00D05ACF">
      <w:pPr>
        <w:pStyle w:val="ListParagraph"/>
        <w:numPr>
          <w:ilvl w:val="0"/>
          <w:numId w:val="9"/>
        </w:numPr>
        <w:rPr>
          <w:szCs w:val="22"/>
        </w:rPr>
      </w:pPr>
      <w:r w:rsidRPr="00103EC4">
        <w:rPr>
          <w:szCs w:val="22"/>
        </w:rPr>
        <w:t>Restricting the indication to third line treatment and limiting initial prescribing to neurologists</w:t>
      </w:r>
      <w:r w:rsidR="00461EFC">
        <w:rPr>
          <w:szCs w:val="22"/>
        </w:rPr>
        <w:t>, and if</w:t>
      </w:r>
      <w:r w:rsidRPr="00103EC4">
        <w:rPr>
          <w:szCs w:val="22"/>
        </w:rPr>
        <w:t xml:space="preserve"> further restrictions on access should apply to </w:t>
      </w:r>
      <w:proofErr w:type="spellStart"/>
      <w:r w:rsidRPr="00103EC4">
        <w:rPr>
          <w:szCs w:val="22"/>
        </w:rPr>
        <w:t>daclizumab</w:t>
      </w:r>
      <w:proofErr w:type="spellEnd"/>
      <w:r w:rsidRPr="00103EC4">
        <w:rPr>
          <w:szCs w:val="22"/>
        </w:rPr>
        <w:t>.</w:t>
      </w:r>
    </w:p>
    <w:p w:rsidR="00B60939" w:rsidRPr="00C0474D" w:rsidRDefault="00B60939" w:rsidP="00262090">
      <w:pPr>
        <w:rPr>
          <w:szCs w:val="22"/>
        </w:rPr>
      </w:pPr>
    </w:p>
    <w:p w:rsidR="00D83A08" w:rsidRDefault="00D83A08" w:rsidP="005F1038">
      <w:pPr>
        <w:pStyle w:val="ListParagraph"/>
        <w:numPr>
          <w:ilvl w:val="1"/>
          <w:numId w:val="12"/>
        </w:numPr>
        <w:ind w:left="720" w:hanging="720"/>
        <w:rPr>
          <w:szCs w:val="22"/>
        </w:rPr>
      </w:pPr>
      <w:r>
        <w:rPr>
          <w:szCs w:val="22"/>
        </w:rPr>
        <w:t xml:space="preserve">The PBAC noted that the clinical place for </w:t>
      </w:r>
      <w:proofErr w:type="spellStart"/>
      <w:r>
        <w:rPr>
          <w:szCs w:val="22"/>
        </w:rPr>
        <w:t>daclizumab</w:t>
      </w:r>
      <w:proofErr w:type="spellEnd"/>
      <w:r>
        <w:rPr>
          <w:szCs w:val="22"/>
        </w:rPr>
        <w:t xml:space="preserve"> was unclear and that this had implications for the PBS restriction, comparator, relevan</w:t>
      </w:r>
      <w:r w:rsidR="00116B1F">
        <w:rPr>
          <w:szCs w:val="22"/>
        </w:rPr>
        <w:t>t</w:t>
      </w:r>
      <w:r>
        <w:rPr>
          <w:szCs w:val="22"/>
        </w:rPr>
        <w:t xml:space="preserve"> clinical evidence</w:t>
      </w:r>
      <w:r w:rsidR="00116B1F">
        <w:rPr>
          <w:szCs w:val="22"/>
        </w:rPr>
        <w:t>, economic analysis</w:t>
      </w:r>
      <w:r>
        <w:rPr>
          <w:szCs w:val="22"/>
        </w:rPr>
        <w:t xml:space="preserve"> and financial </w:t>
      </w:r>
      <w:r w:rsidR="00116B1F">
        <w:rPr>
          <w:szCs w:val="22"/>
        </w:rPr>
        <w:t>forecasts</w:t>
      </w:r>
      <w:r>
        <w:rPr>
          <w:szCs w:val="22"/>
        </w:rPr>
        <w:t>.</w:t>
      </w:r>
    </w:p>
    <w:p w:rsidR="00D83A08" w:rsidRDefault="00D83A08" w:rsidP="00D83A08">
      <w:pPr>
        <w:pStyle w:val="ListParagraph"/>
        <w:rPr>
          <w:szCs w:val="22"/>
        </w:rPr>
      </w:pPr>
    </w:p>
    <w:p w:rsidR="002C2775" w:rsidRDefault="00FB23D3" w:rsidP="005F1038">
      <w:pPr>
        <w:pStyle w:val="ListParagraph"/>
        <w:numPr>
          <w:ilvl w:val="1"/>
          <w:numId w:val="12"/>
        </w:numPr>
        <w:ind w:left="720" w:hanging="720"/>
        <w:rPr>
          <w:szCs w:val="22"/>
        </w:rPr>
      </w:pPr>
      <w:r>
        <w:rPr>
          <w:szCs w:val="22"/>
        </w:rPr>
        <w:t>The PBAC had</w:t>
      </w:r>
      <w:r w:rsidR="00262090" w:rsidRPr="00C0474D">
        <w:rPr>
          <w:szCs w:val="22"/>
        </w:rPr>
        <w:t xml:space="preserve"> not previously considered </w:t>
      </w:r>
      <w:proofErr w:type="spellStart"/>
      <w:r w:rsidR="00262090" w:rsidRPr="00C0474D">
        <w:rPr>
          <w:szCs w:val="22"/>
        </w:rPr>
        <w:t>daclizumab</w:t>
      </w:r>
      <w:proofErr w:type="spellEnd"/>
      <w:r w:rsidR="00262090" w:rsidRPr="00C0474D">
        <w:rPr>
          <w:szCs w:val="22"/>
        </w:rPr>
        <w:t>.</w:t>
      </w:r>
    </w:p>
    <w:p w:rsidR="00216AB3" w:rsidRPr="00216AB3" w:rsidRDefault="00216AB3" w:rsidP="00216AB3">
      <w:pPr>
        <w:pStyle w:val="ListParagraph"/>
        <w:rPr>
          <w:szCs w:val="22"/>
        </w:rPr>
      </w:pPr>
    </w:p>
    <w:p w:rsidR="00216AB3" w:rsidRPr="00D44DDE" w:rsidRDefault="00216AB3" w:rsidP="00D44DDE">
      <w:pPr>
        <w:pStyle w:val="BodyText"/>
        <w:ind w:firstLine="720"/>
        <w:rPr>
          <w:i/>
        </w:rPr>
      </w:pPr>
      <w:r w:rsidRPr="00D44DDE">
        <w:rPr>
          <w:i/>
        </w:rPr>
        <w:t>For more detail on PBAC’s view, see section 7 “PBAC outcome”</w:t>
      </w:r>
    </w:p>
    <w:p w:rsidR="00216AB3" w:rsidRPr="00C0474D" w:rsidRDefault="00216AB3" w:rsidP="00B33B3B">
      <w:pPr>
        <w:pStyle w:val="PBACHeading1"/>
      </w:pPr>
    </w:p>
    <w:p w:rsidR="00E55BB5" w:rsidRPr="00C0474D" w:rsidRDefault="00E55BB5" w:rsidP="004B1CB4"/>
    <w:p w:rsidR="00B50DB8" w:rsidRPr="00D44DDE" w:rsidRDefault="00B50DB8" w:rsidP="00D44DDE">
      <w:pPr>
        <w:pStyle w:val="Heading1"/>
        <w:numPr>
          <w:ilvl w:val="0"/>
          <w:numId w:val="9"/>
        </w:numPr>
        <w:ind w:left="709" w:hanging="709"/>
      </w:pPr>
      <w:bookmarkStart w:id="6" w:name="_Toc450127243"/>
      <w:r w:rsidRPr="00D44DDE">
        <w:t>Clinical place for the proposed therapy</w:t>
      </w:r>
      <w:bookmarkEnd w:id="6"/>
    </w:p>
    <w:p w:rsidR="00B60939" w:rsidRPr="00C0474D" w:rsidRDefault="00B60939" w:rsidP="00B60939">
      <w:pPr>
        <w:rPr>
          <w:szCs w:val="22"/>
        </w:rPr>
      </w:pPr>
    </w:p>
    <w:p w:rsidR="00B60939" w:rsidRPr="005F1038" w:rsidRDefault="0090212B" w:rsidP="005F1038">
      <w:pPr>
        <w:pStyle w:val="ListParagraph"/>
        <w:numPr>
          <w:ilvl w:val="1"/>
          <w:numId w:val="9"/>
        </w:numPr>
        <w:ind w:left="720" w:hanging="720"/>
      </w:pPr>
      <w:r w:rsidRPr="005F1038">
        <w:t>MS</w:t>
      </w:r>
      <w:r w:rsidR="00F50ED2" w:rsidRPr="005F1038">
        <w:t xml:space="preserve"> is a progressive, chronic disease of the central nervous system in which the myelin sheath protecting axons is damaged resulting in distorted nerve signals and pathways. Most patients present with relapsing-remitting </w:t>
      </w:r>
      <w:r w:rsidRPr="005F1038">
        <w:t>MS</w:t>
      </w:r>
      <w:r w:rsidR="00F50ED2" w:rsidRPr="005F1038">
        <w:t xml:space="preserve">, characterised by acute clinical attacks (relapses) followed by variable recovery and periods of clinical stability. </w:t>
      </w:r>
      <w:r w:rsidRPr="005F1038">
        <w:t>MS</w:t>
      </w:r>
      <w:r w:rsidR="00F50ED2" w:rsidRPr="005F1038">
        <w:t xml:space="preserve"> is characterised by a complex range of symptoms including visual disturbance, fatigue, pain, reduced mobility and coordination, cognitive impairment and mood changes.</w:t>
      </w:r>
    </w:p>
    <w:p w:rsidR="00894489" w:rsidRPr="00C0474D" w:rsidRDefault="00894489" w:rsidP="00894489">
      <w:pPr>
        <w:widowControl/>
        <w:rPr>
          <w:szCs w:val="22"/>
        </w:rPr>
      </w:pPr>
    </w:p>
    <w:p w:rsidR="002C2775" w:rsidRPr="005F1038" w:rsidRDefault="00F50ED2" w:rsidP="005F1038">
      <w:pPr>
        <w:pStyle w:val="ListParagraph"/>
        <w:numPr>
          <w:ilvl w:val="1"/>
          <w:numId w:val="9"/>
        </w:numPr>
        <w:ind w:left="720" w:hanging="720"/>
      </w:pPr>
      <w:r w:rsidRPr="005F1038">
        <w:t xml:space="preserve">The submission positioned </w:t>
      </w:r>
      <w:proofErr w:type="spellStart"/>
      <w:r w:rsidRPr="005F1038">
        <w:t>daclizumab</w:t>
      </w:r>
      <w:proofErr w:type="spellEnd"/>
      <w:r w:rsidRPr="005F1038">
        <w:t xml:space="preserve"> as both a first-line and subsequent-line alternative to all PBS-liste</w:t>
      </w:r>
      <w:r w:rsidR="0090212B" w:rsidRPr="005F1038">
        <w:t xml:space="preserve">d disease modifying therapies. The PBAC noted that the TGA registration was not finalised and the appropriate place in MS therapy for </w:t>
      </w:r>
      <w:proofErr w:type="spellStart"/>
      <w:r w:rsidR="0090212B" w:rsidRPr="005F1038">
        <w:t>daclizumab</w:t>
      </w:r>
      <w:proofErr w:type="spellEnd"/>
      <w:r w:rsidR="0090212B" w:rsidRPr="005F1038">
        <w:t xml:space="preserve"> was not clear at the time of the July 2016 PBAC meeting. </w:t>
      </w:r>
    </w:p>
    <w:p w:rsidR="00216AB3" w:rsidRPr="00216AB3" w:rsidRDefault="00216AB3" w:rsidP="00216AB3">
      <w:pPr>
        <w:pStyle w:val="ListParagraph"/>
        <w:rPr>
          <w:szCs w:val="22"/>
        </w:rPr>
      </w:pPr>
    </w:p>
    <w:p w:rsidR="00216AB3" w:rsidRPr="00D44DDE" w:rsidRDefault="00216AB3" w:rsidP="00D44DDE">
      <w:pPr>
        <w:pStyle w:val="BodyText"/>
        <w:ind w:firstLine="720"/>
        <w:rPr>
          <w:i/>
        </w:rPr>
      </w:pPr>
      <w:r w:rsidRPr="00D44DDE">
        <w:rPr>
          <w:i/>
        </w:rPr>
        <w:t>For more detail on PBAC’s view, see section 7 “PBAC outcome”</w:t>
      </w:r>
    </w:p>
    <w:p w:rsidR="00216AB3" w:rsidRPr="00C0474D" w:rsidRDefault="00216AB3" w:rsidP="00B33B3B">
      <w:pPr>
        <w:pStyle w:val="PBACHeading1"/>
        <w:ind w:left="720"/>
      </w:pPr>
    </w:p>
    <w:p w:rsidR="00B50DB8" w:rsidRPr="00C0474D" w:rsidRDefault="00B50DB8" w:rsidP="00D44DDE">
      <w:pPr>
        <w:pStyle w:val="Heading1"/>
        <w:numPr>
          <w:ilvl w:val="0"/>
          <w:numId w:val="9"/>
        </w:numPr>
        <w:ind w:left="709" w:hanging="709"/>
      </w:pPr>
      <w:r w:rsidRPr="00C0474D">
        <w:t>Comparator</w:t>
      </w:r>
    </w:p>
    <w:p w:rsidR="00B60939" w:rsidRPr="00C0474D" w:rsidRDefault="00B60939" w:rsidP="004B1CB4"/>
    <w:p w:rsidR="000D7D79" w:rsidRPr="005F1038" w:rsidRDefault="00385F05" w:rsidP="005F1038">
      <w:pPr>
        <w:pStyle w:val="ListParagraph"/>
        <w:widowControl/>
        <w:numPr>
          <w:ilvl w:val="1"/>
          <w:numId w:val="9"/>
        </w:numPr>
        <w:ind w:left="720" w:hanging="720"/>
      </w:pPr>
      <w:r>
        <w:t xml:space="preserve">The submission nominated </w:t>
      </w:r>
      <w:proofErr w:type="spellStart"/>
      <w:r>
        <w:t>f</w:t>
      </w:r>
      <w:r w:rsidR="00F50ED2" w:rsidRPr="00C0474D">
        <w:t>ingolimod</w:t>
      </w:r>
      <w:proofErr w:type="spellEnd"/>
      <w:r>
        <w:t xml:space="preserve"> as the comparator</w:t>
      </w:r>
      <w:r w:rsidR="00F50ED2" w:rsidRPr="00C0474D">
        <w:t xml:space="preserve">. </w:t>
      </w:r>
      <w:r w:rsidR="00D33520">
        <w:t>The evaluation noted that a</w:t>
      </w:r>
      <w:r w:rsidR="00F50ED2" w:rsidRPr="00C0474D">
        <w:t xml:space="preserve">s an injectable therapy </w:t>
      </w:r>
      <w:proofErr w:type="spellStart"/>
      <w:r w:rsidR="00F50ED2" w:rsidRPr="00C0474D">
        <w:t>daclizumab</w:t>
      </w:r>
      <w:proofErr w:type="spellEnd"/>
      <w:r w:rsidR="00F50ED2" w:rsidRPr="00C0474D">
        <w:t xml:space="preserve"> may be more likely to replace existing injectable therapies on the PBS (</w:t>
      </w:r>
      <w:r w:rsidR="00C50769" w:rsidRPr="005F1038">
        <w:t>ABCR therapies -</w:t>
      </w:r>
      <w:r w:rsidR="00C50769">
        <w:t xml:space="preserve"> </w:t>
      </w:r>
      <w:r w:rsidR="00F50ED2" w:rsidRPr="00C0474D">
        <w:t>intramuscular interferon beta-1a</w:t>
      </w:r>
      <w:r w:rsidR="004461A1">
        <w:t xml:space="preserve"> (</w:t>
      </w:r>
      <w:r w:rsidR="00C013E3">
        <w:t xml:space="preserve">IM </w:t>
      </w:r>
      <w:r w:rsidR="004461A1" w:rsidRPr="005F1038">
        <w:t>IFN β-1a)</w:t>
      </w:r>
      <w:r w:rsidR="00F50ED2" w:rsidRPr="00C0474D">
        <w:t xml:space="preserve">, subcutaneous </w:t>
      </w:r>
      <w:r w:rsidR="00070C59" w:rsidRPr="005F1038">
        <w:t>IFN β-1a</w:t>
      </w:r>
      <w:r w:rsidR="00F50ED2" w:rsidRPr="00C0474D">
        <w:t xml:space="preserve">, </w:t>
      </w:r>
      <w:r w:rsidR="004461A1" w:rsidRPr="005F1038">
        <w:t>IFN β-1a</w:t>
      </w:r>
      <w:r w:rsidR="00F50ED2" w:rsidRPr="00C0474D">
        <w:t xml:space="preserve">, </w:t>
      </w:r>
      <w:proofErr w:type="spellStart"/>
      <w:r w:rsidR="00F50ED2" w:rsidRPr="00C0474D">
        <w:t>peginterferon</w:t>
      </w:r>
      <w:proofErr w:type="spellEnd"/>
      <w:r w:rsidR="00F50ED2" w:rsidRPr="00C0474D">
        <w:t xml:space="preserve"> beta-1a, </w:t>
      </w:r>
      <w:proofErr w:type="spellStart"/>
      <w:r w:rsidR="00F50ED2" w:rsidRPr="00C0474D">
        <w:t>glatiramer</w:t>
      </w:r>
      <w:proofErr w:type="spellEnd"/>
      <w:r w:rsidR="00F50ED2" w:rsidRPr="00C0474D">
        <w:t xml:space="preserve"> acetate).</w:t>
      </w:r>
    </w:p>
    <w:p w:rsidR="00AC725E" w:rsidRPr="00AC725E" w:rsidRDefault="00AC725E" w:rsidP="00B33B3B">
      <w:pPr>
        <w:pStyle w:val="PBACHeading1"/>
        <w:ind w:left="720"/>
      </w:pPr>
    </w:p>
    <w:p w:rsidR="00AC725E" w:rsidRPr="005F1038" w:rsidRDefault="00AC725E" w:rsidP="005F1038">
      <w:pPr>
        <w:pStyle w:val="ListParagraph"/>
        <w:widowControl/>
        <w:numPr>
          <w:ilvl w:val="1"/>
          <w:numId w:val="9"/>
        </w:numPr>
        <w:ind w:left="720" w:hanging="720"/>
      </w:pPr>
      <w:r w:rsidRPr="00774C27">
        <w:t xml:space="preserve">The </w:t>
      </w:r>
      <w:r w:rsidR="0072368F" w:rsidRPr="00774C27">
        <w:t>Pre-Sub-Committee Response (PSCR)</w:t>
      </w:r>
      <w:r w:rsidR="00FB06A1" w:rsidRPr="00774C27">
        <w:t xml:space="preserve"> </w:t>
      </w:r>
      <w:r w:rsidR="002A0157" w:rsidRPr="00774C27">
        <w:t>argued</w:t>
      </w:r>
      <w:r w:rsidR="0003397A" w:rsidRPr="00774C27">
        <w:t xml:space="preserve"> the</w:t>
      </w:r>
      <w:r w:rsidR="0072368F" w:rsidRPr="00774C27">
        <w:t xml:space="preserve"> main comparator was </w:t>
      </w:r>
      <w:proofErr w:type="spellStart"/>
      <w:r w:rsidR="0072368F" w:rsidRPr="00774C27">
        <w:t>fingolimod</w:t>
      </w:r>
      <w:proofErr w:type="spellEnd"/>
      <w:r w:rsidR="0072368F" w:rsidRPr="00774C27">
        <w:t xml:space="preserve"> because </w:t>
      </w:r>
      <w:proofErr w:type="spellStart"/>
      <w:r w:rsidR="0072368F" w:rsidRPr="00774C27">
        <w:t>daclizumab</w:t>
      </w:r>
      <w:proofErr w:type="spellEnd"/>
      <w:r w:rsidR="0072368F" w:rsidRPr="00774C27">
        <w:t xml:space="preserve"> represents a new therapeutic class, and the PBAC Gu</w:t>
      </w:r>
      <w:r w:rsidR="00835E02" w:rsidRPr="00774C27">
        <w:t>idelines (v4.4, p. 65-66) state</w:t>
      </w:r>
      <w:r w:rsidR="0072368F" w:rsidRPr="00774C27">
        <w:t xml:space="preserve"> the main comparator for a medicine in a new class would be the medicine on the PBS current</w:t>
      </w:r>
      <w:r w:rsidR="001B2024" w:rsidRPr="00774C27">
        <w:t>ly</w:t>
      </w:r>
      <w:r w:rsidR="0072368F" w:rsidRPr="00774C27">
        <w:t xml:space="preserve"> used to treat the largest number of patients for that indication.</w:t>
      </w:r>
    </w:p>
    <w:p w:rsidR="006D6464" w:rsidRPr="006D6464" w:rsidRDefault="006D6464" w:rsidP="006D6464">
      <w:pPr>
        <w:pStyle w:val="ListParagraph"/>
        <w:rPr>
          <w:szCs w:val="22"/>
        </w:rPr>
      </w:pPr>
    </w:p>
    <w:p w:rsidR="006D6464" w:rsidRPr="005F1038" w:rsidRDefault="006D6464" w:rsidP="005F1038">
      <w:pPr>
        <w:pStyle w:val="ListParagraph"/>
        <w:widowControl/>
        <w:numPr>
          <w:ilvl w:val="1"/>
          <w:numId w:val="9"/>
        </w:numPr>
        <w:ind w:left="720" w:hanging="720"/>
      </w:pPr>
      <w:r w:rsidRPr="005F1038">
        <w:t>The ESC noted the Drug Utilisation Sub-Committee</w:t>
      </w:r>
      <w:r w:rsidR="0083544F" w:rsidRPr="005F1038">
        <w:t xml:space="preserve"> (DUSC)</w:t>
      </w:r>
      <w:r w:rsidRPr="005F1038">
        <w:t xml:space="preserve"> review of RRMS drugs</w:t>
      </w:r>
      <w:r w:rsidR="00CE05C9" w:rsidRPr="005F1038">
        <w:footnoteReference w:id="1"/>
      </w:r>
      <w:r w:rsidR="009A78BF" w:rsidRPr="005F1038">
        <w:t xml:space="preserve"> </w:t>
      </w:r>
      <w:r w:rsidRPr="005F1038">
        <w:t xml:space="preserve">in October 2015 found that while </w:t>
      </w:r>
      <w:proofErr w:type="spellStart"/>
      <w:r w:rsidRPr="005F1038">
        <w:t>fingolimod</w:t>
      </w:r>
      <w:proofErr w:type="spellEnd"/>
      <w:r w:rsidRPr="005F1038">
        <w:t xml:space="preserve"> had the largest market share, dimethyl </w:t>
      </w:r>
      <w:proofErr w:type="spellStart"/>
      <w:r w:rsidRPr="005F1038">
        <w:t>fumarate</w:t>
      </w:r>
      <w:proofErr w:type="spellEnd"/>
      <w:r w:rsidR="00F819CA" w:rsidRPr="005F1038">
        <w:t xml:space="preserve"> (DMF)</w:t>
      </w:r>
      <w:r w:rsidRPr="005F1038">
        <w:t xml:space="preserve"> use</w:t>
      </w:r>
      <w:r w:rsidR="00B726A9" w:rsidRPr="005F1038">
        <w:t>, which</w:t>
      </w:r>
      <w:r w:rsidR="00A16E38" w:rsidRPr="005F1038">
        <w:t xml:space="preserve"> at the time</w:t>
      </w:r>
      <w:r w:rsidR="00B726A9" w:rsidRPr="005F1038">
        <w:t xml:space="preserve"> had only been PBS listed for a short time,</w:t>
      </w:r>
      <w:r w:rsidRPr="005F1038">
        <w:t xml:space="preserve"> was growing and</w:t>
      </w:r>
      <w:r w:rsidR="0003397A" w:rsidRPr="005F1038">
        <w:t xml:space="preserve"> it</w:t>
      </w:r>
      <w:r w:rsidRPr="005F1038">
        <w:t xml:space="preserve"> </w:t>
      </w:r>
      <w:r w:rsidR="00A16E38" w:rsidRPr="005F1038">
        <w:t>was</w:t>
      </w:r>
      <w:r w:rsidRPr="005F1038">
        <w:t xml:space="preserve"> the most prescribed therapy for new patients</w:t>
      </w:r>
      <w:r w:rsidR="002A0157" w:rsidRPr="005F1038">
        <w:t xml:space="preserve"> and those returning to treatment following a break</w:t>
      </w:r>
      <w:r w:rsidRPr="005F1038">
        <w:t>.</w:t>
      </w:r>
      <w:r w:rsidR="001B2024" w:rsidRPr="005F1038">
        <w:t xml:space="preserve"> </w:t>
      </w:r>
      <w:r w:rsidR="0083544F" w:rsidRPr="005F1038">
        <w:t>The Pre-PB</w:t>
      </w:r>
      <w:r w:rsidR="00FB23D3" w:rsidRPr="005F1038">
        <w:t>AC response claimed that the DU</w:t>
      </w:r>
      <w:r w:rsidR="0083544F" w:rsidRPr="005F1038">
        <w:t>SC review only captured the first year of listing of DMF and that after an initial spike in initiations on DMF the market share did not marked</w:t>
      </w:r>
      <w:r w:rsidR="00FB23D3" w:rsidRPr="005F1038">
        <w:t>ly</w:t>
      </w:r>
      <w:r w:rsidR="0083544F" w:rsidRPr="005F1038">
        <w:t xml:space="preserve"> grow with a</w:t>
      </w:r>
      <w:r w:rsidR="00FB23D3" w:rsidRPr="005F1038">
        <w:t>n overall</w:t>
      </w:r>
      <w:r w:rsidR="0083544F" w:rsidRPr="005F1038">
        <w:t xml:space="preserve"> </w:t>
      </w:r>
      <w:r w:rsidR="00D4047B" w:rsidRPr="005F1038">
        <w:t xml:space="preserve">market share </w:t>
      </w:r>
      <w:r w:rsidR="00FB23D3" w:rsidRPr="005F1038">
        <w:t xml:space="preserve">at May 2016 </w:t>
      </w:r>
      <w:r w:rsidR="00D4047B" w:rsidRPr="005F1038">
        <w:t xml:space="preserve">of approximately 14% for DMF compared to 35% for </w:t>
      </w:r>
      <w:proofErr w:type="spellStart"/>
      <w:r w:rsidR="00D4047B" w:rsidRPr="005F1038">
        <w:t>fingolimod</w:t>
      </w:r>
      <w:proofErr w:type="spellEnd"/>
      <w:r w:rsidR="00D4047B" w:rsidRPr="005F1038">
        <w:t xml:space="preserve">. </w:t>
      </w:r>
    </w:p>
    <w:p w:rsidR="00753FB9" w:rsidRPr="00774C27" w:rsidRDefault="00753FB9" w:rsidP="00753FB9">
      <w:pPr>
        <w:pStyle w:val="ListParagraph"/>
        <w:rPr>
          <w:szCs w:val="22"/>
        </w:rPr>
      </w:pPr>
    </w:p>
    <w:p w:rsidR="00F773D7" w:rsidRPr="005F1038" w:rsidRDefault="00F773D7" w:rsidP="005F1038">
      <w:pPr>
        <w:pStyle w:val="ListParagraph"/>
        <w:widowControl/>
        <w:numPr>
          <w:ilvl w:val="1"/>
          <w:numId w:val="9"/>
        </w:numPr>
        <w:ind w:left="720" w:hanging="720"/>
      </w:pPr>
      <w:r w:rsidRPr="005F1038">
        <w:t xml:space="preserve">The ESC noted that medicines for </w:t>
      </w:r>
      <w:r w:rsidR="002F06D2" w:rsidRPr="005F1038">
        <w:t xml:space="preserve">relapsing-remitting </w:t>
      </w:r>
      <w:r w:rsidRPr="005F1038">
        <w:t xml:space="preserve">MS are generally categorised into groups </w:t>
      </w:r>
      <w:r w:rsidR="00A16E38" w:rsidRPr="005F1038">
        <w:t>based on a</w:t>
      </w:r>
      <w:r w:rsidRPr="005F1038">
        <w:t xml:space="preserve"> similar relative risk reduction (RRR) for relapse and </w:t>
      </w:r>
      <w:r w:rsidR="00A16E38" w:rsidRPr="005F1038">
        <w:t xml:space="preserve">similar level of </w:t>
      </w:r>
      <w:r w:rsidRPr="005F1038">
        <w:t>toxicity or adverse effects (AEs), and medicines were often selected in practice by these outcomes (</w:t>
      </w:r>
      <w:proofErr w:type="spellStart"/>
      <w:r w:rsidRPr="005F1038">
        <w:t>Broadley</w:t>
      </w:r>
      <w:proofErr w:type="spellEnd"/>
      <w:r w:rsidRPr="005F1038">
        <w:t xml:space="preserve"> et al., 2015)</w:t>
      </w:r>
      <w:r w:rsidR="00993F46" w:rsidRPr="005F1038">
        <w:t xml:space="preserve"> </w:t>
      </w:r>
      <w:r w:rsidR="00993F46" w:rsidRPr="005F1038">
        <w:footnoteReference w:id="2"/>
      </w:r>
      <w:r w:rsidRPr="005F1038">
        <w:t xml:space="preserve">. On the basis of these groupings, the ESC noted that </w:t>
      </w:r>
      <w:proofErr w:type="spellStart"/>
      <w:r w:rsidRPr="005F1038">
        <w:t>daclizumab</w:t>
      </w:r>
      <w:proofErr w:type="spellEnd"/>
      <w:r w:rsidRPr="005F1038">
        <w:t xml:space="preserve"> would most likely substitute </w:t>
      </w:r>
      <w:r w:rsidR="002237D2" w:rsidRPr="005F1038">
        <w:t xml:space="preserve">for </w:t>
      </w:r>
      <w:r w:rsidRPr="005F1038">
        <w:t xml:space="preserve">both </w:t>
      </w:r>
      <w:proofErr w:type="spellStart"/>
      <w:r w:rsidRPr="005F1038">
        <w:t>fingolimod</w:t>
      </w:r>
      <w:proofErr w:type="spellEnd"/>
      <w:r w:rsidRPr="005F1038">
        <w:t xml:space="preserve"> and DMF in practice, and given the increasing use</w:t>
      </w:r>
      <w:r w:rsidR="00A16E38" w:rsidRPr="005F1038">
        <w:t xml:space="preserve"> of DMF</w:t>
      </w:r>
      <w:r w:rsidRPr="005F1038">
        <w:t xml:space="preserve"> noted in the DUSC report, considered that both </w:t>
      </w:r>
      <w:proofErr w:type="spellStart"/>
      <w:r w:rsidRPr="005F1038">
        <w:t>fingolimod</w:t>
      </w:r>
      <w:proofErr w:type="spellEnd"/>
      <w:r w:rsidRPr="005F1038">
        <w:t xml:space="preserve"> and DMF were appropriate comparators.</w:t>
      </w:r>
      <w:r w:rsidR="00D4047B" w:rsidRPr="005F1038">
        <w:t xml:space="preserve"> </w:t>
      </w:r>
    </w:p>
    <w:p w:rsidR="0071104B" w:rsidRPr="00774C27" w:rsidRDefault="0071104B" w:rsidP="00B33B3B">
      <w:pPr>
        <w:pStyle w:val="PBACHeading1"/>
      </w:pPr>
    </w:p>
    <w:p w:rsidR="0071104B" w:rsidRPr="005F1038" w:rsidRDefault="0071104B" w:rsidP="005F1038">
      <w:pPr>
        <w:pStyle w:val="ListParagraph"/>
        <w:widowControl/>
        <w:numPr>
          <w:ilvl w:val="1"/>
          <w:numId w:val="9"/>
        </w:numPr>
        <w:ind w:left="720" w:hanging="720"/>
      </w:pPr>
      <w:r w:rsidRPr="005F1038">
        <w:t>The ESC noted that previous PBAC recommendations differed fro</w:t>
      </w:r>
      <w:r w:rsidR="0003397A" w:rsidRPr="005F1038">
        <w:t>m the groupings published in</w:t>
      </w:r>
      <w:r w:rsidRPr="005F1038">
        <w:t xml:space="preserve"> </w:t>
      </w:r>
      <w:proofErr w:type="spellStart"/>
      <w:r w:rsidRPr="005F1038">
        <w:t>Broadley</w:t>
      </w:r>
      <w:proofErr w:type="spellEnd"/>
      <w:r w:rsidRPr="005F1038">
        <w:t xml:space="preserve"> et al.</w:t>
      </w:r>
      <w:r w:rsidR="001B2024" w:rsidRPr="005F1038">
        <w:t xml:space="preserve">, in that </w:t>
      </w:r>
      <w:r w:rsidR="00C50769" w:rsidRPr="005F1038">
        <w:t>DMF was recommended on a cost minimisation basis with ABCR therapies.</w:t>
      </w:r>
      <w:r w:rsidR="00A16E38" w:rsidRPr="005F1038">
        <w:t xml:space="preserve"> Thus DMF is less expensive than </w:t>
      </w:r>
      <w:proofErr w:type="spellStart"/>
      <w:r w:rsidR="00A16E38" w:rsidRPr="005F1038">
        <w:t>fingolimod</w:t>
      </w:r>
      <w:proofErr w:type="spellEnd"/>
      <w:r w:rsidR="00A16E38" w:rsidRPr="005F1038">
        <w:t xml:space="preserve"> and the proposed price for </w:t>
      </w:r>
      <w:proofErr w:type="spellStart"/>
      <w:r w:rsidR="00A16E38" w:rsidRPr="005F1038">
        <w:t>daclizumab</w:t>
      </w:r>
      <w:proofErr w:type="spellEnd"/>
      <w:r w:rsidR="00A16E38" w:rsidRPr="005F1038">
        <w:t>.</w:t>
      </w:r>
    </w:p>
    <w:p w:rsidR="00D33520" w:rsidRPr="00D33520" w:rsidRDefault="00D33520" w:rsidP="00D33520">
      <w:pPr>
        <w:pStyle w:val="ListParagraph"/>
        <w:rPr>
          <w:szCs w:val="22"/>
        </w:rPr>
      </w:pPr>
    </w:p>
    <w:p w:rsidR="00D33520" w:rsidRPr="005F1038" w:rsidRDefault="00D33520" w:rsidP="005F1038">
      <w:pPr>
        <w:pStyle w:val="ListParagraph"/>
        <w:widowControl/>
        <w:numPr>
          <w:ilvl w:val="1"/>
          <w:numId w:val="9"/>
        </w:numPr>
        <w:ind w:left="720" w:hanging="720"/>
      </w:pPr>
      <w:r w:rsidRPr="005F1038">
        <w:t xml:space="preserve">The PBAC noted the clinical place of </w:t>
      </w:r>
      <w:proofErr w:type="spellStart"/>
      <w:r w:rsidRPr="005F1038">
        <w:t>daclizumab</w:t>
      </w:r>
      <w:proofErr w:type="spellEnd"/>
      <w:r w:rsidRPr="005F1038">
        <w:t xml:space="preserve"> was </w:t>
      </w:r>
      <w:r w:rsidR="00213D01" w:rsidRPr="005F1038">
        <w:t xml:space="preserve">unclear and this had implications for the comparator however, </w:t>
      </w:r>
      <w:r w:rsidRPr="005F1038">
        <w:t xml:space="preserve">considered that other injectable treatments are also </w:t>
      </w:r>
      <w:r w:rsidR="00213D01" w:rsidRPr="005F1038">
        <w:t xml:space="preserve">likely to be </w:t>
      </w:r>
      <w:r w:rsidRPr="005F1038">
        <w:t>relevant comparators.</w:t>
      </w:r>
    </w:p>
    <w:p w:rsidR="00216AB3" w:rsidRPr="00216AB3" w:rsidRDefault="00216AB3" w:rsidP="00216AB3">
      <w:pPr>
        <w:pStyle w:val="ListParagraph"/>
        <w:rPr>
          <w:szCs w:val="22"/>
        </w:rPr>
      </w:pPr>
    </w:p>
    <w:p w:rsidR="00216AB3" w:rsidRPr="00D44DDE" w:rsidRDefault="00216AB3" w:rsidP="00D44DDE">
      <w:pPr>
        <w:pStyle w:val="BodyText"/>
        <w:rPr>
          <w:i/>
        </w:rPr>
      </w:pPr>
      <w:r w:rsidRPr="00D44DDE">
        <w:rPr>
          <w:i/>
        </w:rPr>
        <w:t>For more detail on PBAC’s view, see section 7 “PBAC outcome”</w:t>
      </w:r>
    </w:p>
    <w:p w:rsidR="00B60939" w:rsidRDefault="00B60939" w:rsidP="00EC715E">
      <w:pPr>
        <w:widowControl/>
        <w:rPr>
          <w:szCs w:val="22"/>
        </w:rPr>
      </w:pPr>
    </w:p>
    <w:p w:rsidR="00F773D7" w:rsidRPr="00EC715E" w:rsidRDefault="00F773D7" w:rsidP="00EC715E">
      <w:pPr>
        <w:widowControl/>
        <w:rPr>
          <w:szCs w:val="22"/>
        </w:rPr>
      </w:pPr>
    </w:p>
    <w:p w:rsidR="00B50DB8" w:rsidRPr="00D44DDE" w:rsidRDefault="00BD6CF3" w:rsidP="00D44DDE">
      <w:pPr>
        <w:pStyle w:val="Heading1"/>
        <w:numPr>
          <w:ilvl w:val="0"/>
          <w:numId w:val="9"/>
        </w:numPr>
        <w:ind w:left="709" w:hanging="709"/>
      </w:pPr>
      <w:bookmarkStart w:id="7" w:name="_Toc450127244"/>
      <w:r w:rsidRPr="00D44DDE">
        <w:t>C</w:t>
      </w:r>
      <w:r w:rsidR="00B50DB8" w:rsidRPr="00D44DDE">
        <w:t>onsideration of the evidence</w:t>
      </w:r>
      <w:bookmarkEnd w:id="7"/>
    </w:p>
    <w:p w:rsidR="00B60939" w:rsidRPr="00C0474D" w:rsidRDefault="00B60939" w:rsidP="004B1CB4"/>
    <w:p w:rsidR="00216AB3" w:rsidRPr="00D44DDE" w:rsidRDefault="00216AB3" w:rsidP="00D44DDE">
      <w:pPr>
        <w:pStyle w:val="Heading2"/>
      </w:pPr>
      <w:bookmarkStart w:id="8" w:name="_Toc450127245"/>
      <w:r w:rsidRPr="00D44DDE">
        <w:t>Sponsor hearing</w:t>
      </w:r>
    </w:p>
    <w:p w:rsidR="00216AB3" w:rsidRPr="005F1038" w:rsidRDefault="00216AB3" w:rsidP="005F1038">
      <w:pPr>
        <w:pStyle w:val="ListParagraph"/>
        <w:widowControl/>
        <w:numPr>
          <w:ilvl w:val="1"/>
          <w:numId w:val="9"/>
        </w:numPr>
        <w:ind w:left="720" w:hanging="720"/>
      </w:pPr>
      <w:r w:rsidRPr="005F1038">
        <w:t>The</w:t>
      </w:r>
      <w:r w:rsidR="001849A5" w:rsidRPr="005F1038">
        <w:t>re was no hearing for this item</w:t>
      </w:r>
      <w:r w:rsidRPr="005F1038">
        <w:t>.</w:t>
      </w:r>
    </w:p>
    <w:p w:rsidR="00216AB3" w:rsidRPr="001849A5" w:rsidRDefault="00216AB3" w:rsidP="00292C8B">
      <w:pPr>
        <w:widowControl/>
        <w:jc w:val="left"/>
        <w:rPr>
          <w:bCs/>
          <w:szCs w:val="22"/>
        </w:rPr>
      </w:pPr>
    </w:p>
    <w:p w:rsidR="00216AB3" w:rsidRPr="001849A5" w:rsidRDefault="00216AB3" w:rsidP="00D44DDE">
      <w:pPr>
        <w:pStyle w:val="Heading2"/>
      </w:pPr>
      <w:r w:rsidRPr="001849A5">
        <w:t>Consumer comments</w:t>
      </w:r>
    </w:p>
    <w:p w:rsidR="00216AB3" w:rsidRPr="005F1038" w:rsidRDefault="00216AB3" w:rsidP="005F1038">
      <w:pPr>
        <w:pStyle w:val="ListParagraph"/>
        <w:widowControl/>
        <w:numPr>
          <w:ilvl w:val="1"/>
          <w:numId w:val="9"/>
        </w:numPr>
        <w:ind w:left="720" w:hanging="720"/>
      </w:pPr>
      <w:r w:rsidRPr="005F1038">
        <w:t>The PBAC noted and welcomed the input from health care professionals (1) and organisations (</w:t>
      </w:r>
      <w:r w:rsidR="001849A5" w:rsidRPr="005F1038">
        <w:t>2</w:t>
      </w:r>
      <w:r w:rsidRPr="005F1038">
        <w:t>) via the Consumer Comment</w:t>
      </w:r>
      <w:r w:rsidR="00FB23D3" w:rsidRPr="005F1038">
        <w:t xml:space="preserve">s facility on the PBS website. </w:t>
      </w:r>
      <w:r w:rsidRPr="005F1038">
        <w:t xml:space="preserve">The comments </w:t>
      </w:r>
      <w:r w:rsidR="00490496" w:rsidRPr="005F1038">
        <w:t xml:space="preserve">described the value of </w:t>
      </w:r>
      <w:r w:rsidR="00116B1F" w:rsidRPr="005F1038">
        <w:t xml:space="preserve">an </w:t>
      </w:r>
      <w:r w:rsidR="00490496" w:rsidRPr="005F1038">
        <w:t>additional treatment</w:t>
      </w:r>
      <w:r w:rsidR="001849A5" w:rsidRPr="005F1038">
        <w:t xml:space="preserve"> option</w:t>
      </w:r>
      <w:r w:rsidR="00490496" w:rsidRPr="005F1038">
        <w:t>,</w:t>
      </w:r>
      <w:r w:rsidR="00116B1F" w:rsidRPr="005F1038">
        <w:t xml:space="preserve"> and</w:t>
      </w:r>
      <w:r w:rsidR="001849A5" w:rsidRPr="005F1038">
        <w:t xml:space="preserve"> </w:t>
      </w:r>
      <w:r w:rsidR="00490496" w:rsidRPr="005F1038">
        <w:t>noted</w:t>
      </w:r>
      <w:r w:rsidR="001849A5" w:rsidRPr="005F1038">
        <w:t xml:space="preserve"> that in </w:t>
      </w:r>
      <w:r w:rsidR="001849A5" w:rsidRPr="001849A5">
        <w:t xml:space="preserve">clinical trials, </w:t>
      </w:r>
      <w:proofErr w:type="spellStart"/>
      <w:r w:rsidR="001849A5" w:rsidRPr="001849A5">
        <w:t>daclizumab</w:t>
      </w:r>
      <w:proofErr w:type="spellEnd"/>
      <w:r w:rsidR="001849A5" w:rsidRPr="001849A5">
        <w:t xml:space="preserve"> had demonstrated efficacy, tolerability and safety against an active comparator</w:t>
      </w:r>
      <w:r w:rsidR="00490496">
        <w:t xml:space="preserve"> and that</w:t>
      </w:r>
      <w:r w:rsidR="001849A5" w:rsidRPr="001849A5">
        <w:t xml:space="preserve"> the monthly administration would be advantageous for some patients on more frequently dosed treatments.</w:t>
      </w:r>
      <w:r w:rsidRPr="005F1038">
        <w:t xml:space="preserve"> </w:t>
      </w:r>
    </w:p>
    <w:p w:rsidR="00216AB3" w:rsidRDefault="00216AB3" w:rsidP="008834B0"/>
    <w:p w:rsidR="00B60939" w:rsidRPr="00C0474D" w:rsidRDefault="00B60939" w:rsidP="00D44DDE">
      <w:pPr>
        <w:pStyle w:val="Heading2"/>
      </w:pPr>
      <w:r w:rsidRPr="00C0474D">
        <w:t>Clinical trials</w:t>
      </w:r>
      <w:bookmarkEnd w:id="8"/>
    </w:p>
    <w:p w:rsidR="00B60939" w:rsidRPr="00C0474D" w:rsidRDefault="00B60939" w:rsidP="00B60939">
      <w:pPr>
        <w:rPr>
          <w:szCs w:val="22"/>
        </w:rPr>
      </w:pPr>
    </w:p>
    <w:p w:rsidR="00CD5F57" w:rsidRPr="005F1038" w:rsidRDefault="00CD5F57" w:rsidP="005F1038">
      <w:pPr>
        <w:pStyle w:val="ListParagraph"/>
        <w:widowControl/>
        <w:numPr>
          <w:ilvl w:val="1"/>
          <w:numId w:val="9"/>
        </w:numPr>
        <w:ind w:left="720" w:hanging="720"/>
      </w:pPr>
      <w:r w:rsidRPr="005F1038">
        <w:t xml:space="preserve">No head-to-head trials comparing </w:t>
      </w:r>
      <w:proofErr w:type="spellStart"/>
      <w:r w:rsidRPr="005F1038">
        <w:t>daclizumab</w:t>
      </w:r>
      <w:proofErr w:type="spellEnd"/>
      <w:r w:rsidRPr="005F1038">
        <w:t xml:space="preserve"> to </w:t>
      </w:r>
      <w:proofErr w:type="spellStart"/>
      <w:r w:rsidRPr="005F1038">
        <w:t>fingolimod</w:t>
      </w:r>
      <w:proofErr w:type="spellEnd"/>
      <w:r w:rsidRPr="005F1038">
        <w:t xml:space="preserve"> were available. The submission was based on a series of comparisons between </w:t>
      </w:r>
      <w:proofErr w:type="spellStart"/>
      <w:r w:rsidRPr="005F1038">
        <w:t>daclizumab</w:t>
      </w:r>
      <w:proofErr w:type="spellEnd"/>
      <w:r w:rsidRPr="005F1038">
        <w:t xml:space="preserve">, </w:t>
      </w:r>
      <w:proofErr w:type="spellStart"/>
      <w:r w:rsidRPr="005F1038">
        <w:t>fingolimod</w:t>
      </w:r>
      <w:proofErr w:type="spellEnd"/>
      <w:r w:rsidRPr="005F1038">
        <w:t xml:space="preserve"> and IM </w:t>
      </w:r>
      <w:r w:rsidR="00734774" w:rsidRPr="005F1038">
        <w:t>IFN β-1a</w:t>
      </w:r>
      <w:r w:rsidRPr="005F1038">
        <w:t>:</w:t>
      </w:r>
    </w:p>
    <w:p w:rsidR="00CD5F57" w:rsidRPr="00C0474D" w:rsidRDefault="00CD5F57" w:rsidP="00CD5F57">
      <w:pPr>
        <w:pStyle w:val="ListParagraph"/>
        <w:widowControl/>
        <w:rPr>
          <w:szCs w:val="22"/>
        </w:rPr>
      </w:pPr>
    </w:p>
    <w:p w:rsidR="00CD5F57" w:rsidRPr="00C0474D" w:rsidRDefault="00CD5F57" w:rsidP="008834B0">
      <w:pPr>
        <w:pStyle w:val="ListParagraph"/>
        <w:widowControl/>
        <w:numPr>
          <w:ilvl w:val="0"/>
          <w:numId w:val="2"/>
        </w:numPr>
        <w:rPr>
          <w:szCs w:val="22"/>
        </w:rPr>
      </w:pPr>
      <w:r w:rsidRPr="00C0474D">
        <w:rPr>
          <w:szCs w:val="22"/>
        </w:rPr>
        <w:t xml:space="preserve">Indirect comparison of </w:t>
      </w:r>
      <w:proofErr w:type="spellStart"/>
      <w:r w:rsidRPr="00C0474D">
        <w:rPr>
          <w:szCs w:val="22"/>
        </w:rPr>
        <w:t>daclizumab</w:t>
      </w:r>
      <w:proofErr w:type="spellEnd"/>
      <w:r w:rsidRPr="00C0474D">
        <w:rPr>
          <w:szCs w:val="22"/>
        </w:rPr>
        <w:t xml:space="preserve"> (SELECT) v</w:t>
      </w:r>
      <w:r w:rsidR="002927F6" w:rsidRPr="00C0474D">
        <w:rPr>
          <w:szCs w:val="22"/>
        </w:rPr>
        <w:t>ersu</w:t>
      </w:r>
      <w:r w:rsidRPr="00C0474D">
        <w:rPr>
          <w:szCs w:val="22"/>
        </w:rPr>
        <w:t xml:space="preserve">s </w:t>
      </w:r>
      <w:proofErr w:type="spellStart"/>
      <w:r w:rsidRPr="00C0474D">
        <w:rPr>
          <w:szCs w:val="22"/>
        </w:rPr>
        <w:t>fingolimod</w:t>
      </w:r>
      <w:proofErr w:type="spellEnd"/>
      <w:r w:rsidRPr="00C0474D">
        <w:rPr>
          <w:szCs w:val="22"/>
        </w:rPr>
        <w:t xml:space="preserve"> (FREEDOMS, FREEDOMS II) using a placebo common comparator. </w:t>
      </w:r>
    </w:p>
    <w:p w:rsidR="00CD5F57" w:rsidRPr="00C0474D" w:rsidRDefault="00CD5F57" w:rsidP="008834B0">
      <w:pPr>
        <w:pStyle w:val="ListParagraph"/>
        <w:widowControl/>
        <w:numPr>
          <w:ilvl w:val="0"/>
          <w:numId w:val="2"/>
        </w:numPr>
        <w:rPr>
          <w:szCs w:val="22"/>
        </w:rPr>
      </w:pPr>
      <w:r w:rsidRPr="00C0474D">
        <w:rPr>
          <w:szCs w:val="22"/>
        </w:rPr>
        <w:t xml:space="preserve">Indirect comparison of </w:t>
      </w:r>
      <w:proofErr w:type="spellStart"/>
      <w:r w:rsidRPr="00C0474D">
        <w:rPr>
          <w:szCs w:val="22"/>
        </w:rPr>
        <w:t>daclizumab</w:t>
      </w:r>
      <w:proofErr w:type="spellEnd"/>
      <w:r w:rsidRPr="00C0474D">
        <w:rPr>
          <w:szCs w:val="22"/>
        </w:rPr>
        <w:t xml:space="preserve"> (DECIDE) v</w:t>
      </w:r>
      <w:r w:rsidR="002927F6" w:rsidRPr="00C0474D">
        <w:rPr>
          <w:szCs w:val="22"/>
        </w:rPr>
        <w:t>ersu</w:t>
      </w:r>
      <w:r w:rsidRPr="00C0474D">
        <w:rPr>
          <w:szCs w:val="22"/>
        </w:rPr>
        <w:t xml:space="preserve">s </w:t>
      </w:r>
      <w:proofErr w:type="spellStart"/>
      <w:r w:rsidRPr="00C0474D">
        <w:rPr>
          <w:szCs w:val="22"/>
        </w:rPr>
        <w:t>fingolimod</w:t>
      </w:r>
      <w:proofErr w:type="spellEnd"/>
      <w:r w:rsidRPr="00C0474D">
        <w:rPr>
          <w:szCs w:val="22"/>
        </w:rPr>
        <w:t xml:space="preserve"> (TRANSFORMS) using IM </w:t>
      </w:r>
      <w:r w:rsidR="00070C59">
        <w:rPr>
          <w:szCs w:val="22"/>
        </w:rPr>
        <w:t>IFN β-1a</w:t>
      </w:r>
      <w:r w:rsidR="00734774">
        <w:rPr>
          <w:szCs w:val="22"/>
        </w:rPr>
        <w:t xml:space="preserve"> </w:t>
      </w:r>
      <w:r w:rsidRPr="00C0474D">
        <w:rPr>
          <w:szCs w:val="22"/>
        </w:rPr>
        <w:t>as the common comparator.</w:t>
      </w:r>
    </w:p>
    <w:p w:rsidR="007F1017" w:rsidRPr="00C0474D" w:rsidRDefault="00CD5F57" w:rsidP="008834B0">
      <w:pPr>
        <w:pStyle w:val="ListParagraph"/>
        <w:widowControl/>
        <w:numPr>
          <w:ilvl w:val="0"/>
          <w:numId w:val="2"/>
        </w:numPr>
        <w:rPr>
          <w:szCs w:val="22"/>
        </w:rPr>
      </w:pPr>
      <w:r w:rsidRPr="00C0474D">
        <w:rPr>
          <w:szCs w:val="22"/>
        </w:rPr>
        <w:t xml:space="preserve">Supportive direct comparison of </w:t>
      </w:r>
      <w:proofErr w:type="spellStart"/>
      <w:r w:rsidRPr="00C0474D">
        <w:rPr>
          <w:szCs w:val="22"/>
        </w:rPr>
        <w:t>daclizumab</w:t>
      </w:r>
      <w:proofErr w:type="spellEnd"/>
      <w:r w:rsidRPr="00C0474D">
        <w:rPr>
          <w:szCs w:val="22"/>
        </w:rPr>
        <w:t xml:space="preserve"> v</w:t>
      </w:r>
      <w:r w:rsidR="002927F6" w:rsidRPr="00C0474D">
        <w:rPr>
          <w:szCs w:val="22"/>
        </w:rPr>
        <w:t>ersu</w:t>
      </w:r>
      <w:r w:rsidRPr="00C0474D">
        <w:rPr>
          <w:szCs w:val="22"/>
        </w:rPr>
        <w:t xml:space="preserve">s IM </w:t>
      </w:r>
      <w:r w:rsidR="00070C59">
        <w:rPr>
          <w:szCs w:val="22"/>
        </w:rPr>
        <w:t>IFN β-1a</w:t>
      </w:r>
      <w:r w:rsidR="00734774">
        <w:rPr>
          <w:szCs w:val="22"/>
        </w:rPr>
        <w:t xml:space="preserve"> </w:t>
      </w:r>
      <w:r w:rsidRPr="00C0474D">
        <w:rPr>
          <w:szCs w:val="22"/>
        </w:rPr>
        <w:t>(DECIDE)</w:t>
      </w:r>
      <w:r w:rsidR="00490496">
        <w:rPr>
          <w:szCs w:val="22"/>
        </w:rPr>
        <w:t>.</w:t>
      </w:r>
      <w:r w:rsidR="00702F8F" w:rsidRPr="00C0474D">
        <w:rPr>
          <w:color w:val="3366FF"/>
        </w:rPr>
        <w:t xml:space="preserve"> </w:t>
      </w:r>
    </w:p>
    <w:p w:rsidR="00862502" w:rsidRPr="00C0474D" w:rsidRDefault="00862502" w:rsidP="00862502">
      <w:pPr>
        <w:widowControl/>
        <w:rPr>
          <w:szCs w:val="22"/>
        </w:rPr>
      </w:pPr>
    </w:p>
    <w:p w:rsidR="00AF66AB" w:rsidRPr="005F1038" w:rsidRDefault="00862502" w:rsidP="005F1038">
      <w:pPr>
        <w:pStyle w:val="ListParagraph"/>
        <w:widowControl/>
        <w:numPr>
          <w:ilvl w:val="1"/>
          <w:numId w:val="9"/>
        </w:numPr>
        <w:ind w:left="720" w:hanging="720"/>
      </w:pPr>
      <w:r w:rsidRPr="005F1038">
        <w:t>Details of the trials presented in the submission are provided in the table below.</w:t>
      </w:r>
    </w:p>
    <w:p w:rsidR="00317677" w:rsidRDefault="00317677">
      <w:pPr>
        <w:widowControl/>
        <w:jc w:val="left"/>
        <w:rPr>
          <w:szCs w:val="22"/>
        </w:rPr>
      </w:pPr>
    </w:p>
    <w:p w:rsidR="00840AC0" w:rsidRDefault="00840AC0">
      <w:pPr>
        <w:widowControl/>
        <w:jc w:val="left"/>
        <w:rPr>
          <w:rFonts w:ascii="Arial Narrow" w:hAnsi="Arial Narrow"/>
          <w:b/>
          <w:sz w:val="20"/>
        </w:rPr>
      </w:pPr>
      <w:r>
        <w:rPr>
          <w:rFonts w:ascii="Arial Narrow" w:hAnsi="Arial Narrow"/>
          <w:b/>
          <w:sz w:val="20"/>
        </w:rPr>
        <w:br w:type="page"/>
      </w:r>
    </w:p>
    <w:p w:rsidR="00AF66AB" w:rsidRPr="00C0474D" w:rsidRDefault="00AF66AB" w:rsidP="00490496">
      <w:pPr>
        <w:keepNext/>
        <w:ind w:firstLine="720"/>
        <w:rPr>
          <w:rFonts w:ascii="Arial Narrow" w:hAnsi="Arial Narrow"/>
          <w:b/>
          <w:sz w:val="20"/>
        </w:rPr>
      </w:pPr>
      <w:r w:rsidRPr="00C0474D">
        <w:rPr>
          <w:rFonts w:ascii="Arial Narrow" w:hAnsi="Arial Narrow"/>
          <w:b/>
          <w:sz w:val="20"/>
        </w:rPr>
        <w:t>Table 1: Trials and associated reports included in the submission</w:t>
      </w:r>
    </w:p>
    <w:tbl>
      <w:tblPr>
        <w:tblStyle w:val="TableGrid"/>
        <w:tblW w:w="8329" w:type="dxa"/>
        <w:tblInd w:w="822" w:type="dxa"/>
        <w:tblLook w:val="04A0" w:firstRow="1" w:lastRow="0" w:firstColumn="1" w:lastColumn="0" w:noHBand="0" w:noVBand="1"/>
        <w:tblCaption w:val="Table 1: Trials and associated reports included in the submission"/>
      </w:tblPr>
      <w:tblGrid>
        <w:gridCol w:w="1895"/>
        <w:gridCol w:w="4565"/>
        <w:gridCol w:w="1869"/>
      </w:tblGrid>
      <w:tr w:rsidR="00AF66AB" w:rsidRPr="00C0474D" w:rsidTr="004B5087">
        <w:trPr>
          <w:tblHeader/>
        </w:trPr>
        <w:tc>
          <w:tcPr>
            <w:tcW w:w="1895" w:type="dxa"/>
            <w:vAlign w:val="center"/>
          </w:tcPr>
          <w:p w:rsidR="00AF66AB" w:rsidRPr="00C0474D" w:rsidRDefault="00AF66AB" w:rsidP="00B361D7">
            <w:pPr>
              <w:rPr>
                <w:rFonts w:ascii="Arial Narrow" w:hAnsi="Arial Narrow"/>
                <w:b/>
                <w:sz w:val="20"/>
              </w:rPr>
            </w:pPr>
            <w:r w:rsidRPr="00C0474D">
              <w:rPr>
                <w:rFonts w:ascii="Arial Narrow" w:hAnsi="Arial Narrow"/>
                <w:b/>
                <w:sz w:val="20"/>
              </w:rPr>
              <w:t>Trial ID</w:t>
            </w:r>
          </w:p>
        </w:tc>
        <w:tc>
          <w:tcPr>
            <w:tcW w:w="4565" w:type="dxa"/>
            <w:vAlign w:val="center"/>
          </w:tcPr>
          <w:p w:rsidR="00AF66AB" w:rsidRPr="00C0474D" w:rsidRDefault="00AF66AB" w:rsidP="00B361D7">
            <w:pPr>
              <w:jc w:val="center"/>
              <w:rPr>
                <w:rFonts w:ascii="Arial Narrow" w:hAnsi="Arial Narrow"/>
                <w:b/>
                <w:sz w:val="20"/>
              </w:rPr>
            </w:pPr>
            <w:r w:rsidRPr="00C0474D">
              <w:rPr>
                <w:rFonts w:ascii="Arial Narrow" w:hAnsi="Arial Narrow"/>
                <w:b/>
                <w:sz w:val="20"/>
              </w:rPr>
              <w:t>Protocol title/ Publication title</w:t>
            </w:r>
          </w:p>
        </w:tc>
        <w:tc>
          <w:tcPr>
            <w:tcW w:w="1869" w:type="dxa"/>
            <w:vAlign w:val="center"/>
          </w:tcPr>
          <w:p w:rsidR="00AF66AB" w:rsidRPr="00C0474D" w:rsidRDefault="00AF66AB" w:rsidP="00B361D7">
            <w:pPr>
              <w:jc w:val="center"/>
              <w:rPr>
                <w:rFonts w:ascii="Arial Narrow" w:hAnsi="Arial Narrow"/>
                <w:b/>
                <w:sz w:val="20"/>
              </w:rPr>
            </w:pPr>
            <w:r w:rsidRPr="00C0474D">
              <w:rPr>
                <w:rFonts w:ascii="Arial Narrow" w:hAnsi="Arial Narrow"/>
                <w:b/>
                <w:sz w:val="20"/>
              </w:rPr>
              <w:t>Publication citation</w:t>
            </w:r>
          </w:p>
        </w:tc>
      </w:tr>
      <w:tr w:rsidR="00AF66AB" w:rsidRPr="00C0474D" w:rsidTr="005528B2">
        <w:tc>
          <w:tcPr>
            <w:tcW w:w="8329" w:type="dxa"/>
            <w:gridSpan w:val="3"/>
            <w:vAlign w:val="center"/>
          </w:tcPr>
          <w:p w:rsidR="00AF66AB" w:rsidRPr="00C0474D" w:rsidRDefault="00AF66AB" w:rsidP="00B361D7">
            <w:pPr>
              <w:rPr>
                <w:rFonts w:ascii="Arial Narrow" w:hAnsi="Arial Narrow"/>
                <w:b/>
                <w:sz w:val="20"/>
              </w:rPr>
            </w:pPr>
            <w:proofErr w:type="spellStart"/>
            <w:r w:rsidRPr="00C0474D">
              <w:rPr>
                <w:rFonts w:ascii="Arial Narrow" w:hAnsi="Arial Narrow"/>
                <w:b/>
                <w:sz w:val="20"/>
              </w:rPr>
              <w:t>Daclizumab</w:t>
            </w:r>
            <w:proofErr w:type="spellEnd"/>
            <w:r w:rsidRPr="00C0474D">
              <w:rPr>
                <w:rFonts w:ascii="Arial Narrow" w:hAnsi="Arial Narrow"/>
                <w:b/>
                <w:sz w:val="20"/>
              </w:rPr>
              <w:t xml:space="preserve"> trials</w:t>
            </w:r>
          </w:p>
        </w:tc>
      </w:tr>
      <w:tr w:rsidR="00AF66AB" w:rsidRPr="00C0474D" w:rsidTr="005528B2">
        <w:tc>
          <w:tcPr>
            <w:tcW w:w="1895" w:type="dxa"/>
            <w:vMerge w:val="restart"/>
            <w:vAlign w:val="center"/>
          </w:tcPr>
          <w:p w:rsidR="00AF66AB" w:rsidRPr="00C0474D" w:rsidRDefault="00AF66AB" w:rsidP="00B361D7">
            <w:pPr>
              <w:rPr>
                <w:rFonts w:ascii="Arial Narrow" w:hAnsi="Arial Narrow"/>
                <w:sz w:val="20"/>
              </w:rPr>
            </w:pPr>
            <w:r w:rsidRPr="00C0474D">
              <w:rPr>
                <w:rFonts w:ascii="Arial Narrow" w:hAnsi="Arial Narrow"/>
                <w:color w:val="000000"/>
                <w:sz w:val="20"/>
              </w:rPr>
              <w:t>SELECT</w:t>
            </w:r>
          </w:p>
        </w:tc>
        <w:tc>
          <w:tcPr>
            <w:tcW w:w="4565" w:type="dxa"/>
            <w:vAlign w:val="center"/>
          </w:tcPr>
          <w:p w:rsidR="00AF66AB" w:rsidRPr="00C0474D" w:rsidRDefault="00AF66AB" w:rsidP="00B361D7">
            <w:pPr>
              <w:rPr>
                <w:rFonts w:ascii="Arial Narrow" w:hAnsi="Arial Narrow"/>
                <w:sz w:val="20"/>
              </w:rPr>
            </w:pPr>
            <w:proofErr w:type="spellStart"/>
            <w:r w:rsidRPr="00C0474D">
              <w:rPr>
                <w:rFonts w:ascii="Arial Narrow" w:hAnsi="Arial Narrow"/>
                <w:sz w:val="20"/>
              </w:rPr>
              <w:t>Biogen</w:t>
            </w:r>
            <w:proofErr w:type="spellEnd"/>
            <w:r w:rsidRPr="00C0474D">
              <w:rPr>
                <w:rFonts w:ascii="Arial Narrow" w:hAnsi="Arial Narrow"/>
                <w:sz w:val="20"/>
              </w:rPr>
              <w:t xml:space="preserve"> Idec Clinical Study Report (2013). </w:t>
            </w:r>
            <w:proofErr w:type="spellStart"/>
            <w:r w:rsidRPr="00C0474D">
              <w:rPr>
                <w:rFonts w:ascii="Arial Narrow" w:hAnsi="Arial Narrow"/>
                <w:sz w:val="20"/>
              </w:rPr>
              <w:t>Multicenter</w:t>
            </w:r>
            <w:proofErr w:type="spellEnd"/>
            <w:r w:rsidRPr="00C0474D">
              <w:rPr>
                <w:rFonts w:ascii="Arial Narrow" w:hAnsi="Arial Narrow"/>
                <w:sz w:val="20"/>
              </w:rPr>
              <w:t xml:space="preserve">, Double-Blind, Placebo-Controlled, Dose-Ranging Study to Determine the Safety and Efficacy of </w:t>
            </w:r>
            <w:proofErr w:type="spellStart"/>
            <w:r w:rsidRPr="00C0474D">
              <w:rPr>
                <w:rFonts w:ascii="Arial Narrow" w:hAnsi="Arial Narrow"/>
                <w:sz w:val="20"/>
              </w:rPr>
              <w:t>Daclizumab</w:t>
            </w:r>
            <w:proofErr w:type="spellEnd"/>
            <w:r w:rsidRPr="00C0474D">
              <w:rPr>
                <w:rFonts w:ascii="Arial Narrow" w:hAnsi="Arial Narrow"/>
                <w:sz w:val="20"/>
              </w:rPr>
              <w:t xml:space="preserve"> HYP (DAC HYP) as a Monotherapy Treatment in Subjects with Relapsing-Remitting Multiple Sclerosis</w:t>
            </w:r>
          </w:p>
        </w:tc>
        <w:tc>
          <w:tcPr>
            <w:tcW w:w="1869" w:type="dxa"/>
            <w:vAlign w:val="center"/>
          </w:tcPr>
          <w:p w:rsidR="00AF66AB" w:rsidRPr="00C0474D" w:rsidRDefault="00AF66AB" w:rsidP="00B361D7">
            <w:pPr>
              <w:jc w:val="left"/>
              <w:rPr>
                <w:rFonts w:ascii="Arial Narrow" w:hAnsi="Arial Narrow"/>
                <w:sz w:val="20"/>
              </w:rPr>
            </w:pPr>
            <w:r w:rsidRPr="00C0474D">
              <w:rPr>
                <w:rFonts w:ascii="Arial Narrow" w:hAnsi="Arial Narrow"/>
                <w:sz w:val="20"/>
              </w:rPr>
              <w:t>Internal study report</w:t>
            </w:r>
          </w:p>
        </w:tc>
      </w:tr>
      <w:tr w:rsidR="00AF66AB" w:rsidRPr="00C0474D" w:rsidTr="005528B2">
        <w:tc>
          <w:tcPr>
            <w:tcW w:w="1895" w:type="dxa"/>
            <w:vMerge/>
            <w:vAlign w:val="center"/>
          </w:tcPr>
          <w:p w:rsidR="00AF66AB" w:rsidRPr="00C0474D" w:rsidRDefault="00AF66AB" w:rsidP="00B361D7">
            <w:pPr>
              <w:rPr>
                <w:rFonts w:ascii="Arial Narrow" w:hAnsi="Arial Narrow"/>
                <w:color w:val="000000"/>
                <w:sz w:val="20"/>
              </w:rPr>
            </w:pPr>
          </w:p>
        </w:tc>
        <w:tc>
          <w:tcPr>
            <w:tcW w:w="4565" w:type="dxa"/>
            <w:vAlign w:val="center"/>
          </w:tcPr>
          <w:p w:rsidR="00AF66AB" w:rsidRPr="00C0474D" w:rsidRDefault="00AF66AB" w:rsidP="00B361D7">
            <w:pPr>
              <w:rPr>
                <w:rFonts w:ascii="Arial Narrow" w:hAnsi="Arial Narrow"/>
                <w:sz w:val="20"/>
              </w:rPr>
            </w:pPr>
            <w:r w:rsidRPr="00C0474D">
              <w:rPr>
                <w:rFonts w:ascii="Arial Narrow" w:hAnsi="Arial Narrow"/>
                <w:sz w:val="20"/>
              </w:rPr>
              <w:t xml:space="preserve">Gold R et al (2013). </w:t>
            </w:r>
            <w:proofErr w:type="spellStart"/>
            <w:r w:rsidRPr="00C0474D">
              <w:rPr>
                <w:rFonts w:ascii="Arial Narrow" w:hAnsi="Arial Narrow"/>
                <w:sz w:val="20"/>
              </w:rPr>
              <w:t>Daclizumab</w:t>
            </w:r>
            <w:proofErr w:type="spellEnd"/>
            <w:r w:rsidRPr="00C0474D">
              <w:rPr>
                <w:rFonts w:ascii="Arial Narrow" w:hAnsi="Arial Narrow"/>
                <w:sz w:val="20"/>
              </w:rPr>
              <w:t xml:space="preserve"> high-yield process in relapsing-remitting multiple sclerosis (SELECT): A randomised, double-blind, placebo-controlled trial </w:t>
            </w:r>
          </w:p>
        </w:tc>
        <w:tc>
          <w:tcPr>
            <w:tcW w:w="1869" w:type="dxa"/>
            <w:vAlign w:val="center"/>
          </w:tcPr>
          <w:p w:rsidR="00AF66AB" w:rsidRPr="00C0474D" w:rsidRDefault="00AF66AB" w:rsidP="00B361D7">
            <w:pPr>
              <w:jc w:val="left"/>
              <w:rPr>
                <w:rFonts w:ascii="Arial Narrow" w:hAnsi="Arial Narrow"/>
                <w:sz w:val="20"/>
              </w:rPr>
            </w:pPr>
            <w:r w:rsidRPr="00C0474D">
              <w:rPr>
                <w:rFonts w:ascii="Arial Narrow" w:hAnsi="Arial Narrow"/>
                <w:sz w:val="20"/>
              </w:rPr>
              <w:t>The Lancet 381: 2167-2175</w:t>
            </w:r>
          </w:p>
        </w:tc>
      </w:tr>
      <w:tr w:rsidR="00AF66AB" w:rsidRPr="00C0474D" w:rsidTr="005528B2">
        <w:tc>
          <w:tcPr>
            <w:tcW w:w="1895" w:type="dxa"/>
            <w:vMerge/>
            <w:vAlign w:val="center"/>
          </w:tcPr>
          <w:p w:rsidR="00AF66AB" w:rsidRPr="00C0474D" w:rsidRDefault="00AF66AB" w:rsidP="00B361D7">
            <w:pPr>
              <w:rPr>
                <w:rFonts w:ascii="Arial Narrow" w:hAnsi="Arial Narrow"/>
                <w:color w:val="000000"/>
                <w:sz w:val="20"/>
              </w:rPr>
            </w:pPr>
          </w:p>
        </w:tc>
        <w:tc>
          <w:tcPr>
            <w:tcW w:w="4565" w:type="dxa"/>
            <w:vAlign w:val="center"/>
          </w:tcPr>
          <w:p w:rsidR="00AF66AB" w:rsidRPr="00C0474D" w:rsidRDefault="00AF66AB" w:rsidP="00B361D7">
            <w:pPr>
              <w:rPr>
                <w:rFonts w:ascii="Arial Narrow" w:hAnsi="Arial Narrow"/>
                <w:sz w:val="20"/>
              </w:rPr>
            </w:pPr>
            <w:proofErr w:type="spellStart"/>
            <w:r w:rsidRPr="00C0474D">
              <w:rPr>
                <w:rFonts w:ascii="Arial Narrow" w:hAnsi="Arial Narrow"/>
                <w:sz w:val="20"/>
              </w:rPr>
              <w:t>Giovannoni</w:t>
            </w:r>
            <w:proofErr w:type="spellEnd"/>
            <w:r w:rsidRPr="00C0474D">
              <w:rPr>
                <w:rFonts w:ascii="Arial Narrow" w:hAnsi="Arial Narrow"/>
                <w:sz w:val="20"/>
              </w:rPr>
              <w:t xml:space="preserve"> G et al (2014). Effect of </w:t>
            </w:r>
            <w:proofErr w:type="spellStart"/>
            <w:r w:rsidRPr="00C0474D">
              <w:rPr>
                <w:rFonts w:ascii="Arial Narrow" w:hAnsi="Arial Narrow"/>
                <w:sz w:val="20"/>
              </w:rPr>
              <w:t>daclizumab</w:t>
            </w:r>
            <w:proofErr w:type="spellEnd"/>
            <w:r w:rsidRPr="00C0474D">
              <w:rPr>
                <w:rFonts w:ascii="Arial Narrow" w:hAnsi="Arial Narrow"/>
                <w:sz w:val="20"/>
              </w:rPr>
              <w:t xml:space="preserve"> high-yield process in patients with highly active relapsing-remitting multiple sclerosis </w:t>
            </w:r>
          </w:p>
        </w:tc>
        <w:tc>
          <w:tcPr>
            <w:tcW w:w="1869" w:type="dxa"/>
            <w:vAlign w:val="center"/>
          </w:tcPr>
          <w:p w:rsidR="00AF66AB" w:rsidRPr="00C0474D" w:rsidRDefault="00AF66AB" w:rsidP="00B361D7">
            <w:pPr>
              <w:jc w:val="left"/>
              <w:rPr>
                <w:rFonts w:ascii="Arial Narrow" w:hAnsi="Arial Narrow"/>
                <w:sz w:val="20"/>
              </w:rPr>
            </w:pPr>
            <w:r w:rsidRPr="00C0474D">
              <w:rPr>
                <w:rFonts w:ascii="Arial Narrow" w:hAnsi="Arial Narrow"/>
                <w:sz w:val="20"/>
              </w:rPr>
              <w:t>Journal of Neurology 261: 316-323</w:t>
            </w:r>
          </w:p>
        </w:tc>
      </w:tr>
      <w:tr w:rsidR="00AF66AB" w:rsidRPr="00C0474D" w:rsidTr="005528B2">
        <w:tc>
          <w:tcPr>
            <w:tcW w:w="1895" w:type="dxa"/>
            <w:vMerge/>
            <w:vAlign w:val="center"/>
          </w:tcPr>
          <w:p w:rsidR="00AF66AB" w:rsidRPr="00C0474D" w:rsidRDefault="00AF66AB" w:rsidP="00B361D7">
            <w:pPr>
              <w:rPr>
                <w:rFonts w:ascii="Arial Narrow" w:hAnsi="Arial Narrow"/>
                <w:color w:val="000000"/>
                <w:sz w:val="20"/>
              </w:rPr>
            </w:pPr>
          </w:p>
        </w:tc>
        <w:tc>
          <w:tcPr>
            <w:tcW w:w="4565" w:type="dxa"/>
            <w:vAlign w:val="center"/>
          </w:tcPr>
          <w:p w:rsidR="00AF66AB" w:rsidRPr="00C0474D" w:rsidRDefault="00AF66AB" w:rsidP="00B361D7">
            <w:pPr>
              <w:rPr>
                <w:rFonts w:ascii="Arial Narrow" w:hAnsi="Arial Narrow"/>
                <w:sz w:val="20"/>
              </w:rPr>
            </w:pPr>
            <w:proofErr w:type="spellStart"/>
            <w:r w:rsidRPr="00C0474D">
              <w:rPr>
                <w:rFonts w:ascii="Arial Narrow" w:hAnsi="Arial Narrow"/>
                <w:sz w:val="20"/>
              </w:rPr>
              <w:t>Havrdova</w:t>
            </w:r>
            <w:proofErr w:type="spellEnd"/>
            <w:r w:rsidRPr="00C0474D">
              <w:rPr>
                <w:rFonts w:ascii="Arial Narrow" w:hAnsi="Arial Narrow"/>
                <w:sz w:val="20"/>
              </w:rPr>
              <w:t xml:space="preserve"> E et al (2014). Disease-activity-free status in patients with relapsing-remitting multiple sclerosis treated with </w:t>
            </w:r>
            <w:proofErr w:type="spellStart"/>
            <w:r w:rsidRPr="00C0474D">
              <w:rPr>
                <w:rFonts w:ascii="Arial Narrow" w:hAnsi="Arial Narrow"/>
                <w:sz w:val="20"/>
              </w:rPr>
              <w:t>daclizumab</w:t>
            </w:r>
            <w:proofErr w:type="spellEnd"/>
            <w:r w:rsidRPr="00C0474D">
              <w:rPr>
                <w:rFonts w:ascii="Arial Narrow" w:hAnsi="Arial Narrow"/>
                <w:sz w:val="20"/>
              </w:rPr>
              <w:t xml:space="preserve"> high-yield process in the SELECT study </w:t>
            </w:r>
          </w:p>
        </w:tc>
        <w:tc>
          <w:tcPr>
            <w:tcW w:w="1869" w:type="dxa"/>
            <w:vAlign w:val="center"/>
          </w:tcPr>
          <w:p w:rsidR="00AF66AB" w:rsidRPr="00C0474D" w:rsidRDefault="00AF66AB" w:rsidP="00B361D7">
            <w:pPr>
              <w:jc w:val="left"/>
              <w:rPr>
                <w:rFonts w:ascii="Arial Narrow" w:hAnsi="Arial Narrow"/>
                <w:sz w:val="20"/>
              </w:rPr>
            </w:pPr>
            <w:r w:rsidRPr="00C0474D">
              <w:rPr>
                <w:rFonts w:ascii="Arial Narrow" w:hAnsi="Arial Narrow"/>
                <w:sz w:val="20"/>
              </w:rPr>
              <w:t>Multiple Sclerosis Journal 20: 464-470</w:t>
            </w:r>
          </w:p>
        </w:tc>
      </w:tr>
      <w:tr w:rsidR="00AF66AB" w:rsidRPr="00C0474D" w:rsidTr="005528B2">
        <w:tc>
          <w:tcPr>
            <w:tcW w:w="1895" w:type="dxa"/>
            <w:vMerge w:val="restart"/>
            <w:vAlign w:val="center"/>
          </w:tcPr>
          <w:p w:rsidR="00AF66AB" w:rsidRPr="00C0474D" w:rsidRDefault="00AF66AB" w:rsidP="00B361D7">
            <w:pPr>
              <w:rPr>
                <w:rFonts w:ascii="Arial Narrow" w:hAnsi="Arial Narrow"/>
                <w:sz w:val="20"/>
              </w:rPr>
            </w:pPr>
            <w:r w:rsidRPr="00C0474D">
              <w:rPr>
                <w:rFonts w:ascii="Arial Narrow" w:hAnsi="Arial Narrow"/>
                <w:sz w:val="20"/>
              </w:rPr>
              <w:t>DECIDE</w:t>
            </w:r>
          </w:p>
        </w:tc>
        <w:tc>
          <w:tcPr>
            <w:tcW w:w="4565" w:type="dxa"/>
            <w:vAlign w:val="center"/>
          </w:tcPr>
          <w:p w:rsidR="00AF66AB" w:rsidRPr="00C0474D" w:rsidRDefault="00AF66AB" w:rsidP="00B361D7">
            <w:pPr>
              <w:rPr>
                <w:rFonts w:ascii="Arial Narrow" w:hAnsi="Arial Narrow"/>
                <w:sz w:val="20"/>
              </w:rPr>
            </w:pPr>
            <w:proofErr w:type="spellStart"/>
            <w:r w:rsidRPr="00C0474D">
              <w:rPr>
                <w:rFonts w:ascii="Arial Narrow" w:hAnsi="Arial Narrow"/>
                <w:sz w:val="20"/>
              </w:rPr>
              <w:t>Biogen</w:t>
            </w:r>
            <w:proofErr w:type="spellEnd"/>
            <w:r w:rsidRPr="00C0474D">
              <w:rPr>
                <w:rFonts w:ascii="Arial Narrow" w:hAnsi="Arial Narrow"/>
                <w:sz w:val="20"/>
              </w:rPr>
              <w:t xml:space="preserve"> Idec Clinical Study Report (2015). </w:t>
            </w:r>
            <w:proofErr w:type="spellStart"/>
            <w:r w:rsidRPr="00C0474D">
              <w:rPr>
                <w:rFonts w:ascii="Arial Narrow" w:hAnsi="Arial Narrow"/>
                <w:sz w:val="20"/>
              </w:rPr>
              <w:t>Multicenter</w:t>
            </w:r>
            <w:proofErr w:type="spellEnd"/>
            <w:r w:rsidRPr="00C0474D">
              <w:rPr>
                <w:rFonts w:ascii="Arial Narrow" w:hAnsi="Arial Narrow"/>
                <w:sz w:val="20"/>
              </w:rPr>
              <w:t xml:space="preserve">, Double-blind, Randomized, Parallel-group, Monotherapy, Active-control Study to Determine the Efficacy and Safety of </w:t>
            </w:r>
            <w:proofErr w:type="spellStart"/>
            <w:r w:rsidRPr="00C0474D">
              <w:rPr>
                <w:rFonts w:ascii="Arial Narrow" w:hAnsi="Arial Narrow"/>
                <w:sz w:val="20"/>
              </w:rPr>
              <w:t>Daclizumab</w:t>
            </w:r>
            <w:proofErr w:type="spellEnd"/>
            <w:r w:rsidRPr="00C0474D">
              <w:rPr>
                <w:rFonts w:ascii="Arial Narrow" w:hAnsi="Arial Narrow"/>
                <w:sz w:val="20"/>
              </w:rPr>
              <w:t xml:space="preserve"> High Yield Process (DAC HYP) versus </w:t>
            </w:r>
            <w:proofErr w:type="spellStart"/>
            <w:r w:rsidRPr="00C0474D">
              <w:rPr>
                <w:rFonts w:ascii="Arial Narrow" w:hAnsi="Arial Narrow"/>
                <w:sz w:val="20"/>
              </w:rPr>
              <w:t>Avonex</w:t>
            </w:r>
            <w:proofErr w:type="spellEnd"/>
            <w:r w:rsidRPr="00C0474D">
              <w:rPr>
                <w:rFonts w:ascii="Arial Narrow" w:hAnsi="Arial Narrow"/>
                <w:sz w:val="20"/>
              </w:rPr>
              <w:t>® (Interferon β-1a) in Patients with Relapsing-Remitting Multiple Sclerosis</w:t>
            </w:r>
          </w:p>
        </w:tc>
        <w:tc>
          <w:tcPr>
            <w:tcW w:w="1869" w:type="dxa"/>
            <w:vAlign w:val="center"/>
          </w:tcPr>
          <w:p w:rsidR="00AF66AB" w:rsidRPr="00C0474D" w:rsidRDefault="00AF66AB" w:rsidP="00B361D7">
            <w:pPr>
              <w:jc w:val="left"/>
              <w:rPr>
                <w:rFonts w:ascii="Arial Narrow" w:hAnsi="Arial Narrow"/>
                <w:sz w:val="20"/>
              </w:rPr>
            </w:pPr>
            <w:r w:rsidRPr="00C0474D">
              <w:rPr>
                <w:rFonts w:ascii="Arial Narrow" w:hAnsi="Arial Narrow"/>
                <w:sz w:val="20"/>
              </w:rPr>
              <w:t>Internal study report</w:t>
            </w:r>
          </w:p>
        </w:tc>
      </w:tr>
      <w:tr w:rsidR="00AF66AB" w:rsidRPr="00C0474D" w:rsidTr="005528B2">
        <w:tc>
          <w:tcPr>
            <w:tcW w:w="1895" w:type="dxa"/>
            <w:vMerge/>
            <w:vAlign w:val="center"/>
          </w:tcPr>
          <w:p w:rsidR="00AF66AB" w:rsidRPr="00C0474D" w:rsidRDefault="00AF66AB" w:rsidP="00B361D7">
            <w:pPr>
              <w:rPr>
                <w:rFonts w:ascii="Arial Narrow" w:hAnsi="Arial Narrow"/>
                <w:sz w:val="20"/>
              </w:rPr>
            </w:pPr>
          </w:p>
        </w:tc>
        <w:tc>
          <w:tcPr>
            <w:tcW w:w="4565" w:type="dxa"/>
            <w:vAlign w:val="center"/>
          </w:tcPr>
          <w:p w:rsidR="00AF66AB" w:rsidRPr="00C0474D" w:rsidRDefault="00AF66AB" w:rsidP="00B361D7">
            <w:pPr>
              <w:rPr>
                <w:rFonts w:ascii="Arial Narrow" w:hAnsi="Arial Narrow"/>
                <w:sz w:val="20"/>
              </w:rPr>
            </w:pPr>
            <w:proofErr w:type="spellStart"/>
            <w:r w:rsidRPr="00C0474D">
              <w:rPr>
                <w:rFonts w:ascii="Arial Narrow" w:hAnsi="Arial Narrow"/>
                <w:sz w:val="20"/>
              </w:rPr>
              <w:t>Kappos</w:t>
            </w:r>
            <w:proofErr w:type="spellEnd"/>
            <w:r w:rsidRPr="00C0474D">
              <w:rPr>
                <w:rFonts w:ascii="Arial Narrow" w:hAnsi="Arial Narrow"/>
                <w:sz w:val="20"/>
              </w:rPr>
              <w:t xml:space="preserve"> L et al (2015). </w:t>
            </w:r>
            <w:proofErr w:type="spellStart"/>
            <w:r w:rsidRPr="00C0474D">
              <w:rPr>
                <w:rFonts w:ascii="Arial Narrow" w:hAnsi="Arial Narrow"/>
                <w:sz w:val="20"/>
              </w:rPr>
              <w:t>Daclizumab</w:t>
            </w:r>
            <w:proofErr w:type="spellEnd"/>
            <w:r w:rsidRPr="00C0474D">
              <w:rPr>
                <w:rFonts w:ascii="Arial Narrow" w:hAnsi="Arial Narrow"/>
                <w:sz w:val="20"/>
              </w:rPr>
              <w:t xml:space="preserve"> HYP versus </w:t>
            </w:r>
            <w:r w:rsidR="00070C59">
              <w:rPr>
                <w:rFonts w:ascii="Arial Narrow" w:hAnsi="Arial Narrow"/>
                <w:sz w:val="20"/>
              </w:rPr>
              <w:t>IFN β-1a</w:t>
            </w:r>
            <w:r w:rsidRPr="00C0474D">
              <w:rPr>
                <w:rFonts w:ascii="Arial Narrow" w:hAnsi="Arial Narrow"/>
                <w:sz w:val="20"/>
              </w:rPr>
              <w:t xml:space="preserve">in relapsing multiple sclerosis </w:t>
            </w:r>
          </w:p>
        </w:tc>
        <w:tc>
          <w:tcPr>
            <w:tcW w:w="1869" w:type="dxa"/>
            <w:vAlign w:val="center"/>
          </w:tcPr>
          <w:p w:rsidR="00AF66AB" w:rsidRPr="00C0474D" w:rsidRDefault="00AF66AB" w:rsidP="00B361D7">
            <w:pPr>
              <w:jc w:val="left"/>
              <w:rPr>
                <w:rFonts w:ascii="Arial Narrow" w:hAnsi="Arial Narrow"/>
                <w:sz w:val="20"/>
              </w:rPr>
            </w:pPr>
            <w:r w:rsidRPr="00C0474D">
              <w:rPr>
                <w:rFonts w:ascii="Arial Narrow" w:hAnsi="Arial Narrow"/>
                <w:sz w:val="20"/>
              </w:rPr>
              <w:t>New England Journal of Medicine 373: 1418-1428</w:t>
            </w:r>
          </w:p>
        </w:tc>
      </w:tr>
      <w:tr w:rsidR="00AF66AB" w:rsidRPr="00C0474D" w:rsidTr="005528B2">
        <w:tc>
          <w:tcPr>
            <w:tcW w:w="8329" w:type="dxa"/>
            <w:gridSpan w:val="3"/>
            <w:vAlign w:val="center"/>
          </w:tcPr>
          <w:p w:rsidR="00AF66AB" w:rsidRPr="00C0474D" w:rsidRDefault="00AF66AB" w:rsidP="00B361D7">
            <w:pPr>
              <w:jc w:val="left"/>
              <w:rPr>
                <w:rFonts w:ascii="Arial Narrow" w:hAnsi="Arial Narrow"/>
                <w:b/>
                <w:sz w:val="20"/>
              </w:rPr>
            </w:pPr>
            <w:proofErr w:type="spellStart"/>
            <w:r w:rsidRPr="00C0474D">
              <w:rPr>
                <w:rFonts w:ascii="Arial Narrow" w:hAnsi="Arial Narrow"/>
                <w:b/>
                <w:sz w:val="20"/>
              </w:rPr>
              <w:t>Fingolimod</w:t>
            </w:r>
            <w:proofErr w:type="spellEnd"/>
            <w:r w:rsidRPr="00C0474D">
              <w:rPr>
                <w:rFonts w:ascii="Arial Narrow" w:hAnsi="Arial Narrow"/>
                <w:b/>
                <w:sz w:val="20"/>
              </w:rPr>
              <w:t xml:space="preserve"> trials</w:t>
            </w:r>
          </w:p>
        </w:tc>
      </w:tr>
      <w:tr w:rsidR="00AF66AB" w:rsidRPr="00C0474D" w:rsidTr="005528B2">
        <w:tc>
          <w:tcPr>
            <w:tcW w:w="1895" w:type="dxa"/>
            <w:vMerge w:val="restart"/>
            <w:vAlign w:val="center"/>
          </w:tcPr>
          <w:p w:rsidR="00AF66AB" w:rsidRPr="00C0474D" w:rsidRDefault="00AF66AB" w:rsidP="00B361D7">
            <w:pPr>
              <w:rPr>
                <w:rFonts w:ascii="Arial Narrow" w:hAnsi="Arial Narrow"/>
                <w:sz w:val="20"/>
              </w:rPr>
            </w:pPr>
            <w:r w:rsidRPr="00C0474D">
              <w:rPr>
                <w:rFonts w:ascii="Arial Narrow" w:hAnsi="Arial Narrow"/>
                <w:sz w:val="20"/>
              </w:rPr>
              <w:t>FREEDOMS</w:t>
            </w:r>
          </w:p>
        </w:tc>
        <w:tc>
          <w:tcPr>
            <w:tcW w:w="4565" w:type="dxa"/>
            <w:vAlign w:val="center"/>
          </w:tcPr>
          <w:p w:rsidR="00AF66AB" w:rsidRPr="00C0474D" w:rsidRDefault="00AF66AB" w:rsidP="00B361D7">
            <w:pPr>
              <w:rPr>
                <w:rFonts w:ascii="Arial Narrow" w:hAnsi="Arial Narrow"/>
                <w:sz w:val="20"/>
              </w:rPr>
            </w:pPr>
            <w:proofErr w:type="spellStart"/>
            <w:r w:rsidRPr="00C0474D">
              <w:rPr>
                <w:rFonts w:ascii="Arial Narrow" w:hAnsi="Arial Narrow"/>
                <w:sz w:val="20"/>
              </w:rPr>
              <w:t>Kappos</w:t>
            </w:r>
            <w:proofErr w:type="spellEnd"/>
            <w:r w:rsidRPr="00C0474D">
              <w:rPr>
                <w:rFonts w:ascii="Arial Narrow" w:hAnsi="Arial Narrow"/>
                <w:sz w:val="20"/>
              </w:rPr>
              <w:t xml:space="preserve"> L et al (2010). A placebo-controlled trial of oral </w:t>
            </w:r>
            <w:proofErr w:type="spellStart"/>
            <w:r w:rsidRPr="00C0474D">
              <w:rPr>
                <w:rFonts w:ascii="Arial Narrow" w:hAnsi="Arial Narrow"/>
                <w:sz w:val="20"/>
              </w:rPr>
              <w:t>fingolimod</w:t>
            </w:r>
            <w:proofErr w:type="spellEnd"/>
            <w:r w:rsidRPr="00C0474D">
              <w:rPr>
                <w:rFonts w:ascii="Arial Narrow" w:hAnsi="Arial Narrow"/>
                <w:sz w:val="20"/>
              </w:rPr>
              <w:t xml:space="preserve"> in relapsing multiple sclerosis</w:t>
            </w:r>
          </w:p>
        </w:tc>
        <w:tc>
          <w:tcPr>
            <w:tcW w:w="1869" w:type="dxa"/>
            <w:vAlign w:val="center"/>
          </w:tcPr>
          <w:p w:rsidR="00AF66AB" w:rsidRPr="00C0474D" w:rsidRDefault="00AF66AB" w:rsidP="00B361D7">
            <w:pPr>
              <w:jc w:val="left"/>
              <w:rPr>
                <w:rFonts w:ascii="Arial Narrow" w:hAnsi="Arial Narrow"/>
                <w:sz w:val="20"/>
              </w:rPr>
            </w:pPr>
            <w:r w:rsidRPr="00C0474D">
              <w:rPr>
                <w:rFonts w:ascii="Arial Narrow" w:hAnsi="Arial Narrow"/>
                <w:sz w:val="20"/>
              </w:rPr>
              <w:t>New England Journal of Medicine 362: 387-401</w:t>
            </w:r>
          </w:p>
        </w:tc>
      </w:tr>
      <w:tr w:rsidR="00AF66AB" w:rsidRPr="00C0474D" w:rsidTr="005528B2">
        <w:tc>
          <w:tcPr>
            <w:tcW w:w="1895" w:type="dxa"/>
            <w:vMerge/>
            <w:vAlign w:val="center"/>
          </w:tcPr>
          <w:p w:rsidR="00AF66AB" w:rsidRPr="00C0474D" w:rsidRDefault="00AF66AB" w:rsidP="00B361D7">
            <w:pPr>
              <w:rPr>
                <w:rFonts w:ascii="Arial Narrow" w:hAnsi="Arial Narrow"/>
                <w:sz w:val="20"/>
              </w:rPr>
            </w:pPr>
          </w:p>
        </w:tc>
        <w:tc>
          <w:tcPr>
            <w:tcW w:w="4565" w:type="dxa"/>
            <w:vAlign w:val="center"/>
          </w:tcPr>
          <w:p w:rsidR="00AF66AB" w:rsidRPr="00C0474D" w:rsidRDefault="00AF66AB" w:rsidP="00B361D7">
            <w:pPr>
              <w:rPr>
                <w:rFonts w:ascii="Arial Narrow" w:hAnsi="Arial Narrow"/>
                <w:sz w:val="20"/>
              </w:rPr>
            </w:pPr>
            <w:r w:rsidRPr="00C0474D">
              <w:rPr>
                <w:rFonts w:ascii="Arial Narrow" w:hAnsi="Arial Narrow"/>
                <w:sz w:val="20"/>
              </w:rPr>
              <w:t xml:space="preserve">Devonshire V et al (2012). Relapse and disability outcomes in patients with multiple sclerosis treated with </w:t>
            </w:r>
            <w:proofErr w:type="spellStart"/>
            <w:r w:rsidRPr="00C0474D">
              <w:rPr>
                <w:rFonts w:ascii="Arial Narrow" w:hAnsi="Arial Narrow"/>
                <w:sz w:val="20"/>
              </w:rPr>
              <w:t>fingolimod</w:t>
            </w:r>
            <w:proofErr w:type="spellEnd"/>
            <w:r w:rsidRPr="00C0474D">
              <w:rPr>
                <w:rFonts w:ascii="Arial Narrow" w:hAnsi="Arial Narrow"/>
                <w:sz w:val="20"/>
              </w:rPr>
              <w:t>: subgroup analyses of the double-blind, randomised, placebo-controlled FREEDOMS study</w:t>
            </w:r>
          </w:p>
        </w:tc>
        <w:tc>
          <w:tcPr>
            <w:tcW w:w="1869" w:type="dxa"/>
            <w:vAlign w:val="center"/>
          </w:tcPr>
          <w:p w:rsidR="00AF66AB" w:rsidRPr="00C0474D" w:rsidRDefault="00AF66AB" w:rsidP="00B361D7">
            <w:pPr>
              <w:jc w:val="left"/>
              <w:rPr>
                <w:rFonts w:ascii="Arial Narrow" w:hAnsi="Arial Narrow"/>
                <w:sz w:val="20"/>
              </w:rPr>
            </w:pPr>
            <w:r w:rsidRPr="00C0474D">
              <w:rPr>
                <w:rFonts w:ascii="Arial Narrow" w:hAnsi="Arial Narrow"/>
                <w:sz w:val="20"/>
              </w:rPr>
              <w:t>The Lancet Neurology 11: 420-428</w:t>
            </w:r>
          </w:p>
        </w:tc>
      </w:tr>
      <w:tr w:rsidR="00AF66AB" w:rsidRPr="00C0474D" w:rsidTr="005528B2">
        <w:tc>
          <w:tcPr>
            <w:tcW w:w="1895" w:type="dxa"/>
            <w:vMerge/>
            <w:vAlign w:val="center"/>
          </w:tcPr>
          <w:p w:rsidR="00AF66AB" w:rsidRPr="00C0474D" w:rsidRDefault="00AF66AB" w:rsidP="00B361D7">
            <w:pPr>
              <w:rPr>
                <w:rFonts w:ascii="Arial Narrow" w:hAnsi="Arial Narrow"/>
                <w:sz w:val="20"/>
              </w:rPr>
            </w:pPr>
          </w:p>
        </w:tc>
        <w:tc>
          <w:tcPr>
            <w:tcW w:w="4565" w:type="dxa"/>
            <w:vAlign w:val="center"/>
          </w:tcPr>
          <w:p w:rsidR="00AF66AB" w:rsidRPr="00C0474D" w:rsidRDefault="00AF66AB" w:rsidP="00B361D7">
            <w:pPr>
              <w:rPr>
                <w:rFonts w:ascii="Arial Narrow" w:hAnsi="Arial Narrow"/>
                <w:sz w:val="20"/>
              </w:rPr>
            </w:pPr>
            <w:proofErr w:type="spellStart"/>
            <w:r w:rsidRPr="00C0474D">
              <w:rPr>
                <w:rFonts w:ascii="Arial Narrow" w:hAnsi="Arial Narrow"/>
                <w:sz w:val="20"/>
              </w:rPr>
              <w:t>Kremenchutzky</w:t>
            </w:r>
            <w:proofErr w:type="spellEnd"/>
            <w:r w:rsidRPr="00C0474D">
              <w:rPr>
                <w:rFonts w:ascii="Arial Narrow" w:hAnsi="Arial Narrow"/>
                <w:sz w:val="20"/>
              </w:rPr>
              <w:t xml:space="preserve"> M (2014). Impact of prior treatment status and reasons for discontinuation on the efficacy and safety of </w:t>
            </w:r>
            <w:proofErr w:type="spellStart"/>
            <w:r w:rsidRPr="00C0474D">
              <w:rPr>
                <w:rFonts w:ascii="Arial Narrow" w:hAnsi="Arial Narrow"/>
                <w:sz w:val="20"/>
              </w:rPr>
              <w:t>fingolimod</w:t>
            </w:r>
            <w:proofErr w:type="spellEnd"/>
            <w:r w:rsidRPr="00C0474D">
              <w:rPr>
                <w:rFonts w:ascii="Arial Narrow" w:hAnsi="Arial Narrow"/>
                <w:sz w:val="20"/>
              </w:rPr>
              <w:t xml:space="preserve">: Subgroup analyses of the </w:t>
            </w:r>
            <w:proofErr w:type="spellStart"/>
            <w:r w:rsidRPr="00C0474D">
              <w:rPr>
                <w:rFonts w:ascii="Arial Narrow" w:hAnsi="Arial Narrow"/>
                <w:sz w:val="20"/>
              </w:rPr>
              <w:t>Fingolimod</w:t>
            </w:r>
            <w:proofErr w:type="spellEnd"/>
            <w:r w:rsidRPr="00C0474D">
              <w:rPr>
                <w:rFonts w:ascii="Arial Narrow" w:hAnsi="Arial Narrow"/>
                <w:sz w:val="20"/>
              </w:rPr>
              <w:t xml:space="preserve"> Research Evaluating Effects of Daily Oral Therapy in Multiple Sclerosis (FREEDOMS) study</w:t>
            </w:r>
            <w:r w:rsidRPr="00C0474D">
              <w:rPr>
                <w:rFonts w:ascii="Arial Narrow" w:hAnsi="Arial Narrow"/>
                <w:sz w:val="20"/>
              </w:rPr>
              <w:tab/>
            </w:r>
          </w:p>
        </w:tc>
        <w:tc>
          <w:tcPr>
            <w:tcW w:w="1869" w:type="dxa"/>
            <w:vAlign w:val="center"/>
          </w:tcPr>
          <w:p w:rsidR="00AF66AB" w:rsidRPr="00C0474D" w:rsidRDefault="00AF66AB" w:rsidP="00B361D7">
            <w:pPr>
              <w:jc w:val="left"/>
              <w:rPr>
                <w:rFonts w:ascii="Arial Narrow" w:hAnsi="Arial Narrow"/>
                <w:sz w:val="20"/>
              </w:rPr>
            </w:pPr>
            <w:r w:rsidRPr="00C0474D">
              <w:rPr>
                <w:rFonts w:ascii="Arial Narrow" w:hAnsi="Arial Narrow"/>
                <w:sz w:val="20"/>
              </w:rPr>
              <w:t>Multiple Sclerosis &amp; Related Disorders 3: 341-349</w:t>
            </w:r>
          </w:p>
        </w:tc>
      </w:tr>
      <w:tr w:rsidR="00AF66AB" w:rsidRPr="00C0474D" w:rsidTr="005528B2">
        <w:tc>
          <w:tcPr>
            <w:tcW w:w="1895" w:type="dxa"/>
            <w:vMerge/>
            <w:vAlign w:val="center"/>
          </w:tcPr>
          <w:p w:rsidR="00AF66AB" w:rsidRPr="00C0474D" w:rsidRDefault="00AF66AB" w:rsidP="00B361D7">
            <w:pPr>
              <w:rPr>
                <w:rFonts w:ascii="Arial Narrow" w:hAnsi="Arial Narrow"/>
                <w:sz w:val="20"/>
              </w:rPr>
            </w:pPr>
          </w:p>
        </w:tc>
        <w:tc>
          <w:tcPr>
            <w:tcW w:w="4565" w:type="dxa"/>
            <w:vAlign w:val="center"/>
          </w:tcPr>
          <w:p w:rsidR="00AF66AB" w:rsidRPr="00C0474D" w:rsidRDefault="00AF66AB" w:rsidP="00B361D7">
            <w:pPr>
              <w:rPr>
                <w:rFonts w:ascii="Arial Narrow" w:hAnsi="Arial Narrow"/>
                <w:sz w:val="20"/>
              </w:rPr>
            </w:pPr>
            <w:proofErr w:type="spellStart"/>
            <w:r w:rsidRPr="00C0474D">
              <w:rPr>
                <w:rFonts w:ascii="Arial Narrow" w:hAnsi="Arial Narrow"/>
                <w:sz w:val="20"/>
              </w:rPr>
              <w:t>Radue</w:t>
            </w:r>
            <w:proofErr w:type="spellEnd"/>
            <w:r w:rsidRPr="00C0474D">
              <w:rPr>
                <w:rFonts w:ascii="Arial Narrow" w:hAnsi="Arial Narrow"/>
                <w:sz w:val="20"/>
              </w:rPr>
              <w:t xml:space="preserve"> EW et al (2012). Impact of </w:t>
            </w:r>
            <w:proofErr w:type="spellStart"/>
            <w:r w:rsidRPr="00C0474D">
              <w:rPr>
                <w:rFonts w:ascii="Arial Narrow" w:hAnsi="Arial Narrow"/>
                <w:sz w:val="20"/>
              </w:rPr>
              <w:t>fingolimod</w:t>
            </w:r>
            <w:proofErr w:type="spellEnd"/>
            <w:r w:rsidRPr="00C0474D">
              <w:rPr>
                <w:rFonts w:ascii="Arial Narrow" w:hAnsi="Arial Narrow"/>
                <w:sz w:val="20"/>
              </w:rPr>
              <w:t xml:space="preserve"> therapy on magnetic resonance imaging outcomes in patients with multiple sclerosis</w:t>
            </w:r>
          </w:p>
        </w:tc>
        <w:tc>
          <w:tcPr>
            <w:tcW w:w="1869" w:type="dxa"/>
            <w:vAlign w:val="center"/>
          </w:tcPr>
          <w:p w:rsidR="00AF66AB" w:rsidRPr="00C0474D" w:rsidRDefault="00AF66AB" w:rsidP="00B361D7">
            <w:pPr>
              <w:jc w:val="left"/>
              <w:rPr>
                <w:rFonts w:ascii="Arial Narrow" w:hAnsi="Arial Narrow"/>
                <w:sz w:val="20"/>
              </w:rPr>
            </w:pPr>
            <w:r w:rsidRPr="00C0474D">
              <w:rPr>
                <w:rFonts w:ascii="Arial Narrow" w:hAnsi="Arial Narrow"/>
                <w:sz w:val="20"/>
              </w:rPr>
              <w:t>Archives of Neurology 69: 1259-1269</w:t>
            </w:r>
          </w:p>
        </w:tc>
      </w:tr>
      <w:tr w:rsidR="00AF66AB" w:rsidRPr="00C0474D" w:rsidTr="005528B2">
        <w:tc>
          <w:tcPr>
            <w:tcW w:w="1895" w:type="dxa"/>
            <w:vAlign w:val="center"/>
          </w:tcPr>
          <w:p w:rsidR="00AF66AB" w:rsidRPr="00C0474D" w:rsidRDefault="00AF66AB" w:rsidP="00B361D7">
            <w:pPr>
              <w:rPr>
                <w:rFonts w:ascii="Arial Narrow" w:hAnsi="Arial Narrow"/>
                <w:sz w:val="20"/>
              </w:rPr>
            </w:pPr>
            <w:r w:rsidRPr="00C0474D">
              <w:rPr>
                <w:rFonts w:ascii="Arial Narrow" w:hAnsi="Arial Narrow"/>
                <w:sz w:val="20"/>
              </w:rPr>
              <w:t>FREEDOMS II</w:t>
            </w:r>
          </w:p>
        </w:tc>
        <w:tc>
          <w:tcPr>
            <w:tcW w:w="4565" w:type="dxa"/>
            <w:vAlign w:val="center"/>
          </w:tcPr>
          <w:p w:rsidR="00AF66AB" w:rsidRPr="00C0474D" w:rsidRDefault="00AF66AB" w:rsidP="00B361D7">
            <w:pPr>
              <w:rPr>
                <w:rFonts w:ascii="Arial Narrow" w:hAnsi="Arial Narrow"/>
                <w:sz w:val="20"/>
              </w:rPr>
            </w:pPr>
            <w:proofErr w:type="spellStart"/>
            <w:r w:rsidRPr="00C0474D">
              <w:rPr>
                <w:rFonts w:ascii="Arial Narrow" w:hAnsi="Arial Narrow"/>
                <w:sz w:val="20"/>
              </w:rPr>
              <w:t>Calabresi</w:t>
            </w:r>
            <w:proofErr w:type="spellEnd"/>
            <w:r w:rsidRPr="00C0474D">
              <w:rPr>
                <w:rFonts w:ascii="Arial Narrow" w:hAnsi="Arial Narrow"/>
                <w:sz w:val="20"/>
              </w:rPr>
              <w:t xml:space="preserve"> P et al (2014). Safety and efficacy of </w:t>
            </w:r>
            <w:proofErr w:type="spellStart"/>
            <w:r w:rsidRPr="00C0474D">
              <w:rPr>
                <w:rFonts w:ascii="Arial Narrow" w:hAnsi="Arial Narrow"/>
                <w:sz w:val="20"/>
              </w:rPr>
              <w:t>fingolimod</w:t>
            </w:r>
            <w:proofErr w:type="spellEnd"/>
            <w:r w:rsidRPr="00C0474D">
              <w:rPr>
                <w:rFonts w:ascii="Arial Narrow" w:hAnsi="Arial Narrow"/>
                <w:sz w:val="20"/>
              </w:rPr>
              <w:t xml:space="preserve"> in patients with relapsing-remitting multiple sclerosis (FREEDOMS II): A double-blind, randomised, placebo-controlled, phase 3 trial </w:t>
            </w:r>
          </w:p>
        </w:tc>
        <w:tc>
          <w:tcPr>
            <w:tcW w:w="1869" w:type="dxa"/>
            <w:vAlign w:val="center"/>
          </w:tcPr>
          <w:p w:rsidR="00AF66AB" w:rsidRPr="00C0474D" w:rsidRDefault="00AF66AB" w:rsidP="00B361D7">
            <w:pPr>
              <w:jc w:val="left"/>
              <w:rPr>
                <w:rFonts w:ascii="Arial Narrow" w:hAnsi="Arial Narrow"/>
                <w:sz w:val="20"/>
              </w:rPr>
            </w:pPr>
            <w:r w:rsidRPr="00C0474D">
              <w:rPr>
                <w:rFonts w:ascii="Arial Narrow" w:hAnsi="Arial Narrow"/>
                <w:sz w:val="20"/>
              </w:rPr>
              <w:t>The Lancet Neurology 13: 545-556</w:t>
            </w:r>
          </w:p>
        </w:tc>
      </w:tr>
      <w:tr w:rsidR="00AF66AB" w:rsidRPr="00C0474D" w:rsidTr="005528B2">
        <w:tc>
          <w:tcPr>
            <w:tcW w:w="1895" w:type="dxa"/>
            <w:vMerge w:val="restart"/>
            <w:vAlign w:val="center"/>
          </w:tcPr>
          <w:p w:rsidR="00AF66AB" w:rsidRPr="00C0474D" w:rsidRDefault="00AF66AB" w:rsidP="00B361D7">
            <w:pPr>
              <w:rPr>
                <w:rFonts w:ascii="Arial Narrow" w:hAnsi="Arial Narrow"/>
                <w:sz w:val="20"/>
              </w:rPr>
            </w:pPr>
            <w:r w:rsidRPr="00C0474D">
              <w:rPr>
                <w:rFonts w:ascii="Arial Narrow" w:hAnsi="Arial Narrow"/>
                <w:sz w:val="20"/>
              </w:rPr>
              <w:t>TRANSFORMS</w:t>
            </w:r>
          </w:p>
        </w:tc>
        <w:tc>
          <w:tcPr>
            <w:tcW w:w="4565" w:type="dxa"/>
            <w:vAlign w:val="center"/>
          </w:tcPr>
          <w:p w:rsidR="00AF66AB" w:rsidRPr="00C0474D" w:rsidRDefault="00AF66AB" w:rsidP="00B361D7">
            <w:pPr>
              <w:rPr>
                <w:rFonts w:ascii="Arial Narrow" w:hAnsi="Arial Narrow"/>
                <w:sz w:val="20"/>
              </w:rPr>
            </w:pPr>
            <w:r w:rsidRPr="00C0474D">
              <w:rPr>
                <w:rFonts w:ascii="Arial Narrow" w:hAnsi="Arial Narrow"/>
                <w:sz w:val="20"/>
              </w:rPr>
              <w:t xml:space="preserve">Cohen JA et al (2010). Oral </w:t>
            </w:r>
            <w:proofErr w:type="spellStart"/>
            <w:r w:rsidRPr="00C0474D">
              <w:rPr>
                <w:rFonts w:ascii="Arial Narrow" w:hAnsi="Arial Narrow"/>
                <w:sz w:val="20"/>
              </w:rPr>
              <w:t>fingolimod</w:t>
            </w:r>
            <w:proofErr w:type="spellEnd"/>
            <w:r w:rsidRPr="00C0474D">
              <w:rPr>
                <w:rFonts w:ascii="Arial Narrow" w:hAnsi="Arial Narrow"/>
                <w:sz w:val="20"/>
              </w:rPr>
              <w:t xml:space="preserve"> or intramuscular interferon for relapsing multiple sclerosis</w:t>
            </w:r>
          </w:p>
        </w:tc>
        <w:tc>
          <w:tcPr>
            <w:tcW w:w="1869" w:type="dxa"/>
            <w:vAlign w:val="center"/>
          </w:tcPr>
          <w:p w:rsidR="00AF66AB" w:rsidRPr="00C0474D" w:rsidRDefault="00AF66AB" w:rsidP="00B361D7">
            <w:pPr>
              <w:jc w:val="left"/>
              <w:rPr>
                <w:rFonts w:ascii="Arial Narrow" w:hAnsi="Arial Narrow"/>
                <w:sz w:val="20"/>
              </w:rPr>
            </w:pPr>
            <w:r w:rsidRPr="00C0474D">
              <w:rPr>
                <w:rFonts w:ascii="Arial Narrow" w:hAnsi="Arial Narrow"/>
                <w:sz w:val="20"/>
              </w:rPr>
              <w:t>New England Journal of Medicine 362: 402-415</w:t>
            </w:r>
          </w:p>
        </w:tc>
      </w:tr>
      <w:tr w:rsidR="00AF66AB" w:rsidRPr="00C0474D" w:rsidTr="005528B2">
        <w:tc>
          <w:tcPr>
            <w:tcW w:w="1895" w:type="dxa"/>
            <w:vMerge/>
            <w:vAlign w:val="center"/>
          </w:tcPr>
          <w:p w:rsidR="00AF66AB" w:rsidRPr="00C0474D" w:rsidRDefault="00AF66AB" w:rsidP="00B361D7">
            <w:pPr>
              <w:rPr>
                <w:rFonts w:ascii="Arial Narrow" w:hAnsi="Arial Narrow"/>
                <w:sz w:val="20"/>
              </w:rPr>
            </w:pPr>
          </w:p>
        </w:tc>
        <w:tc>
          <w:tcPr>
            <w:tcW w:w="4565" w:type="dxa"/>
            <w:vAlign w:val="center"/>
          </w:tcPr>
          <w:p w:rsidR="00AF66AB" w:rsidRPr="00C0474D" w:rsidRDefault="00AF66AB" w:rsidP="00B361D7">
            <w:pPr>
              <w:rPr>
                <w:rFonts w:ascii="Arial Narrow" w:hAnsi="Arial Narrow"/>
                <w:sz w:val="20"/>
              </w:rPr>
            </w:pPr>
            <w:proofErr w:type="spellStart"/>
            <w:r w:rsidRPr="00C0474D">
              <w:rPr>
                <w:rFonts w:ascii="Arial Narrow" w:hAnsi="Arial Narrow"/>
                <w:sz w:val="20"/>
              </w:rPr>
              <w:t>Barkhof</w:t>
            </w:r>
            <w:proofErr w:type="spellEnd"/>
            <w:r w:rsidRPr="00C0474D">
              <w:rPr>
                <w:rFonts w:ascii="Arial Narrow" w:hAnsi="Arial Narrow"/>
                <w:sz w:val="20"/>
              </w:rPr>
              <w:t xml:space="preserve"> F et al (2014). The influence of patient demographics, disease characteristics and treatment on brain volume loss in Trial Assessing Injectable Interferon vs FTY720 Oral in Relapsing-Remitting Multiple Sclerosis (TRANSFORMS), a phase 3 study of </w:t>
            </w:r>
            <w:proofErr w:type="spellStart"/>
            <w:r w:rsidRPr="00C0474D">
              <w:rPr>
                <w:rFonts w:ascii="Arial Narrow" w:hAnsi="Arial Narrow"/>
                <w:sz w:val="20"/>
              </w:rPr>
              <w:t>fingolimod</w:t>
            </w:r>
            <w:proofErr w:type="spellEnd"/>
            <w:r w:rsidRPr="00C0474D">
              <w:rPr>
                <w:rFonts w:ascii="Arial Narrow" w:hAnsi="Arial Narrow"/>
                <w:sz w:val="20"/>
              </w:rPr>
              <w:t xml:space="preserve"> in multiple sclerosis</w:t>
            </w:r>
            <w:r w:rsidRPr="00C0474D">
              <w:rPr>
                <w:rFonts w:ascii="Arial Narrow" w:hAnsi="Arial Narrow"/>
                <w:sz w:val="20"/>
              </w:rPr>
              <w:tab/>
            </w:r>
          </w:p>
        </w:tc>
        <w:tc>
          <w:tcPr>
            <w:tcW w:w="1869" w:type="dxa"/>
            <w:vAlign w:val="center"/>
          </w:tcPr>
          <w:p w:rsidR="00AF66AB" w:rsidRPr="00C0474D" w:rsidRDefault="00AF66AB" w:rsidP="00B361D7">
            <w:pPr>
              <w:jc w:val="left"/>
              <w:rPr>
                <w:rFonts w:ascii="Arial Narrow" w:hAnsi="Arial Narrow"/>
                <w:sz w:val="20"/>
              </w:rPr>
            </w:pPr>
            <w:r w:rsidRPr="00C0474D">
              <w:rPr>
                <w:rFonts w:ascii="Arial Narrow" w:hAnsi="Arial Narrow"/>
                <w:sz w:val="20"/>
              </w:rPr>
              <w:t>Multiple Sclerosis Journal 20: 1704-1713</w:t>
            </w:r>
          </w:p>
        </w:tc>
      </w:tr>
      <w:tr w:rsidR="00AF66AB" w:rsidRPr="00C0474D" w:rsidTr="005528B2">
        <w:tc>
          <w:tcPr>
            <w:tcW w:w="1895" w:type="dxa"/>
            <w:vMerge/>
            <w:vAlign w:val="center"/>
          </w:tcPr>
          <w:p w:rsidR="00AF66AB" w:rsidRPr="00C0474D" w:rsidRDefault="00AF66AB" w:rsidP="00B361D7">
            <w:pPr>
              <w:rPr>
                <w:rFonts w:ascii="Arial Narrow" w:hAnsi="Arial Narrow"/>
                <w:sz w:val="20"/>
              </w:rPr>
            </w:pPr>
          </w:p>
        </w:tc>
        <w:tc>
          <w:tcPr>
            <w:tcW w:w="4565" w:type="dxa"/>
            <w:vAlign w:val="center"/>
          </w:tcPr>
          <w:p w:rsidR="00AF66AB" w:rsidRPr="00C0474D" w:rsidRDefault="00AF66AB" w:rsidP="00B361D7">
            <w:pPr>
              <w:rPr>
                <w:rFonts w:ascii="Arial Narrow" w:hAnsi="Arial Narrow"/>
                <w:sz w:val="20"/>
              </w:rPr>
            </w:pPr>
            <w:r w:rsidRPr="00C0474D">
              <w:rPr>
                <w:rFonts w:ascii="Arial Narrow" w:hAnsi="Arial Narrow"/>
                <w:sz w:val="20"/>
              </w:rPr>
              <w:t xml:space="preserve">Khatri BO et al (2014). Effect of prior treatment status and reasons for discontinuation on the efficacy and safety </w:t>
            </w:r>
            <w:r w:rsidR="007527CF" w:rsidRPr="00C0474D">
              <w:rPr>
                <w:rFonts w:ascii="Arial Narrow" w:hAnsi="Arial Narrow"/>
                <w:sz w:val="20"/>
              </w:rPr>
              <w:t xml:space="preserve">of </w:t>
            </w:r>
            <w:proofErr w:type="spellStart"/>
            <w:r w:rsidR="007527CF" w:rsidRPr="00C0474D">
              <w:rPr>
                <w:rFonts w:ascii="Arial Narrow" w:hAnsi="Arial Narrow"/>
                <w:sz w:val="20"/>
              </w:rPr>
              <w:t>fingolimod</w:t>
            </w:r>
            <w:proofErr w:type="spellEnd"/>
            <w:r w:rsidR="007527CF" w:rsidRPr="00C0474D">
              <w:rPr>
                <w:rFonts w:ascii="Arial Narrow" w:hAnsi="Arial Narrow"/>
                <w:sz w:val="20"/>
              </w:rPr>
              <w:t xml:space="preserve"> vs. </w:t>
            </w:r>
            <w:r w:rsidR="00070C59">
              <w:rPr>
                <w:rFonts w:ascii="Arial Narrow" w:hAnsi="Arial Narrow"/>
                <w:sz w:val="20"/>
              </w:rPr>
              <w:t>IFN β-1a</w:t>
            </w:r>
            <w:r w:rsidR="00734774">
              <w:rPr>
                <w:rFonts w:ascii="Arial Narrow" w:hAnsi="Arial Narrow"/>
                <w:sz w:val="20"/>
              </w:rPr>
              <w:t xml:space="preserve"> </w:t>
            </w:r>
            <w:r w:rsidRPr="00C0474D">
              <w:rPr>
                <w:rFonts w:ascii="Arial Narrow" w:hAnsi="Arial Narrow"/>
                <w:sz w:val="20"/>
              </w:rPr>
              <w:t xml:space="preserve">intramuscular: Subgroup analyses of the Trial Assessing Injectable Interferon vs. </w:t>
            </w:r>
            <w:proofErr w:type="spellStart"/>
            <w:r w:rsidRPr="00C0474D">
              <w:rPr>
                <w:rFonts w:ascii="Arial Narrow" w:hAnsi="Arial Narrow"/>
                <w:sz w:val="20"/>
              </w:rPr>
              <w:t>Fingolimod</w:t>
            </w:r>
            <w:proofErr w:type="spellEnd"/>
            <w:r w:rsidRPr="00C0474D">
              <w:rPr>
                <w:rFonts w:ascii="Arial Narrow" w:hAnsi="Arial Narrow"/>
                <w:sz w:val="20"/>
              </w:rPr>
              <w:t xml:space="preserve"> Oral in Relapsing-Remitting Multiple Sclerosis (TRANSFORMS) </w:t>
            </w:r>
          </w:p>
        </w:tc>
        <w:tc>
          <w:tcPr>
            <w:tcW w:w="1869" w:type="dxa"/>
            <w:vAlign w:val="center"/>
          </w:tcPr>
          <w:p w:rsidR="00AF66AB" w:rsidRPr="00C0474D" w:rsidRDefault="00AF66AB" w:rsidP="00B361D7">
            <w:pPr>
              <w:jc w:val="left"/>
              <w:rPr>
                <w:rFonts w:ascii="Arial Narrow" w:hAnsi="Arial Narrow"/>
                <w:sz w:val="20"/>
              </w:rPr>
            </w:pPr>
            <w:r w:rsidRPr="00C0474D">
              <w:rPr>
                <w:rFonts w:ascii="Arial Narrow" w:hAnsi="Arial Narrow"/>
                <w:sz w:val="20"/>
              </w:rPr>
              <w:t>Multiple Sclerosis &amp; Related Disorders 3: 355-363</w:t>
            </w:r>
          </w:p>
        </w:tc>
      </w:tr>
      <w:tr w:rsidR="00AF66AB" w:rsidRPr="00C0474D" w:rsidTr="005528B2">
        <w:tc>
          <w:tcPr>
            <w:tcW w:w="1895" w:type="dxa"/>
            <w:vMerge/>
            <w:vAlign w:val="center"/>
          </w:tcPr>
          <w:p w:rsidR="00AF66AB" w:rsidRPr="00C0474D" w:rsidRDefault="00AF66AB" w:rsidP="00B361D7">
            <w:pPr>
              <w:rPr>
                <w:rFonts w:ascii="Arial Narrow" w:hAnsi="Arial Narrow"/>
                <w:sz w:val="20"/>
              </w:rPr>
            </w:pPr>
          </w:p>
        </w:tc>
        <w:tc>
          <w:tcPr>
            <w:tcW w:w="4565" w:type="dxa"/>
            <w:vAlign w:val="center"/>
          </w:tcPr>
          <w:p w:rsidR="00AF66AB" w:rsidRPr="00C0474D" w:rsidRDefault="00AF66AB" w:rsidP="00B361D7">
            <w:pPr>
              <w:rPr>
                <w:rFonts w:ascii="Arial Narrow" w:hAnsi="Arial Narrow"/>
                <w:sz w:val="20"/>
              </w:rPr>
            </w:pPr>
            <w:r w:rsidRPr="00C0474D">
              <w:rPr>
                <w:rFonts w:ascii="Arial Narrow" w:hAnsi="Arial Narrow"/>
                <w:sz w:val="20"/>
              </w:rPr>
              <w:t xml:space="preserve">Cohen JA et al (2013). </w:t>
            </w:r>
            <w:proofErr w:type="spellStart"/>
            <w:r w:rsidRPr="00C0474D">
              <w:rPr>
                <w:rFonts w:ascii="Arial Narrow" w:hAnsi="Arial Narrow"/>
                <w:sz w:val="20"/>
              </w:rPr>
              <w:t>Fingolimod</w:t>
            </w:r>
            <w:proofErr w:type="spellEnd"/>
            <w:r w:rsidRPr="00C0474D">
              <w:rPr>
                <w:rFonts w:ascii="Arial Narrow" w:hAnsi="Arial Narrow"/>
                <w:sz w:val="20"/>
              </w:rPr>
              <w:t xml:space="preserve"> versus intramuscular interferon in patient subgroups from TRANSFORMS</w:t>
            </w:r>
          </w:p>
        </w:tc>
        <w:tc>
          <w:tcPr>
            <w:tcW w:w="1869" w:type="dxa"/>
            <w:vAlign w:val="center"/>
          </w:tcPr>
          <w:p w:rsidR="00AF66AB" w:rsidRPr="00C0474D" w:rsidRDefault="00AF66AB" w:rsidP="00B361D7">
            <w:pPr>
              <w:jc w:val="left"/>
              <w:rPr>
                <w:rFonts w:ascii="Arial Narrow" w:hAnsi="Arial Narrow"/>
                <w:sz w:val="20"/>
              </w:rPr>
            </w:pPr>
            <w:r w:rsidRPr="00C0474D">
              <w:rPr>
                <w:rFonts w:ascii="Arial Narrow" w:hAnsi="Arial Narrow"/>
                <w:sz w:val="20"/>
              </w:rPr>
              <w:t>Journal of Neurology 260: 2023-2032</w:t>
            </w:r>
          </w:p>
        </w:tc>
      </w:tr>
    </w:tbl>
    <w:p w:rsidR="00AF66AB" w:rsidRPr="00C0474D" w:rsidRDefault="00AF66AB" w:rsidP="00AF66AB">
      <w:pPr>
        <w:ind w:firstLine="720"/>
        <w:rPr>
          <w:rFonts w:ascii="Arial Narrow" w:hAnsi="Arial Narrow" w:cs="Times New Roman"/>
          <w:sz w:val="18"/>
          <w:szCs w:val="18"/>
        </w:rPr>
      </w:pPr>
      <w:r w:rsidRPr="00C0474D">
        <w:rPr>
          <w:rFonts w:ascii="Arial Narrow" w:hAnsi="Arial Narrow"/>
          <w:sz w:val="18"/>
          <w:szCs w:val="18"/>
        </w:rPr>
        <w:t>Note: Abstracts of studies with full publications are not presented</w:t>
      </w:r>
    </w:p>
    <w:p w:rsidR="00862502" w:rsidRPr="00C0474D" w:rsidRDefault="00862502" w:rsidP="008F120A">
      <w:pPr>
        <w:widowControl/>
        <w:rPr>
          <w:szCs w:val="22"/>
        </w:rPr>
      </w:pPr>
    </w:p>
    <w:p w:rsidR="00AF66AB" w:rsidRPr="005F1038" w:rsidRDefault="008F120A" w:rsidP="005F1038">
      <w:pPr>
        <w:pStyle w:val="ListParagraph"/>
        <w:widowControl/>
        <w:numPr>
          <w:ilvl w:val="1"/>
          <w:numId w:val="9"/>
        </w:numPr>
        <w:ind w:left="720" w:hanging="720"/>
      </w:pPr>
      <w:r w:rsidRPr="005F1038">
        <w:t>The key f</w:t>
      </w:r>
      <w:r w:rsidR="00AF66AB" w:rsidRPr="005F1038">
        <w:t>eatures of the included trials</w:t>
      </w:r>
      <w:r w:rsidRPr="005F1038">
        <w:t xml:space="preserve"> are summarised in the table below. </w:t>
      </w:r>
    </w:p>
    <w:p w:rsidR="007F1017" w:rsidRPr="00C0474D" w:rsidRDefault="007F1017" w:rsidP="007F1017"/>
    <w:p w:rsidR="007F1017" w:rsidRPr="00C0474D" w:rsidRDefault="005528B2" w:rsidP="00E22A0D">
      <w:pPr>
        <w:ind w:firstLine="720"/>
        <w:rPr>
          <w:rStyle w:val="CommentReference"/>
        </w:rPr>
      </w:pPr>
      <w:r w:rsidRPr="00C0474D">
        <w:rPr>
          <w:rStyle w:val="CommentReference"/>
        </w:rPr>
        <w:t>Table 2</w:t>
      </w:r>
      <w:r w:rsidR="007F1017" w:rsidRPr="00C0474D">
        <w:rPr>
          <w:rStyle w:val="CommentReference"/>
        </w:rPr>
        <w:t>: Key features of the included evidence – indirect comparison</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93"/>
        <w:gridCol w:w="728"/>
        <w:gridCol w:w="1666"/>
        <w:gridCol w:w="991"/>
        <w:gridCol w:w="1417"/>
        <w:gridCol w:w="2250"/>
      </w:tblGrid>
      <w:tr w:rsidR="005528B2" w:rsidRPr="00C0474D" w:rsidTr="00211142">
        <w:trPr>
          <w:tblHeader/>
        </w:trPr>
        <w:tc>
          <w:tcPr>
            <w:tcW w:w="775" w:type="pct"/>
            <w:shd w:val="clear" w:color="auto" w:fill="auto"/>
            <w:vAlign w:val="center"/>
          </w:tcPr>
          <w:p w:rsidR="005528B2" w:rsidRPr="00C0474D" w:rsidRDefault="005528B2" w:rsidP="007F1017">
            <w:pPr>
              <w:jc w:val="left"/>
              <w:rPr>
                <w:rFonts w:ascii="Arial Narrow" w:hAnsi="Arial Narrow"/>
                <w:b/>
                <w:sz w:val="20"/>
                <w:szCs w:val="16"/>
                <w:lang w:val="en-US"/>
              </w:rPr>
            </w:pPr>
            <w:r w:rsidRPr="00C0474D">
              <w:rPr>
                <w:rFonts w:ascii="Arial Narrow" w:hAnsi="Arial Narrow"/>
                <w:b/>
                <w:sz w:val="20"/>
                <w:szCs w:val="16"/>
                <w:lang w:val="en-US"/>
              </w:rPr>
              <w:t>Trial</w:t>
            </w:r>
          </w:p>
        </w:tc>
        <w:tc>
          <w:tcPr>
            <w:tcW w:w="436" w:type="pct"/>
            <w:shd w:val="clear" w:color="auto" w:fill="auto"/>
            <w:vAlign w:val="center"/>
          </w:tcPr>
          <w:p w:rsidR="005528B2" w:rsidRPr="00C0474D" w:rsidRDefault="005528B2" w:rsidP="007F1017">
            <w:pPr>
              <w:jc w:val="center"/>
              <w:rPr>
                <w:rFonts w:ascii="Arial Narrow" w:hAnsi="Arial Narrow"/>
                <w:b/>
                <w:sz w:val="20"/>
                <w:szCs w:val="16"/>
                <w:lang w:val="en-US"/>
              </w:rPr>
            </w:pPr>
            <w:r w:rsidRPr="00C0474D">
              <w:rPr>
                <w:rFonts w:ascii="Arial Narrow" w:hAnsi="Arial Narrow"/>
                <w:b/>
                <w:sz w:val="20"/>
                <w:szCs w:val="16"/>
                <w:lang w:val="en-US"/>
              </w:rPr>
              <w:t>N</w:t>
            </w:r>
          </w:p>
        </w:tc>
        <w:tc>
          <w:tcPr>
            <w:tcW w:w="998" w:type="pct"/>
            <w:shd w:val="clear" w:color="auto" w:fill="auto"/>
            <w:vAlign w:val="center"/>
          </w:tcPr>
          <w:p w:rsidR="005528B2" w:rsidRPr="00C0474D" w:rsidRDefault="005528B2" w:rsidP="007F1017">
            <w:pPr>
              <w:jc w:val="center"/>
              <w:rPr>
                <w:rFonts w:ascii="Arial Narrow" w:hAnsi="Arial Narrow"/>
                <w:b/>
                <w:sz w:val="20"/>
                <w:szCs w:val="16"/>
                <w:lang w:val="en-US"/>
              </w:rPr>
            </w:pPr>
            <w:r w:rsidRPr="00C0474D">
              <w:rPr>
                <w:rFonts w:ascii="Arial Narrow" w:hAnsi="Arial Narrow"/>
                <w:b/>
                <w:sz w:val="20"/>
                <w:szCs w:val="16"/>
                <w:lang w:val="en-US"/>
              </w:rPr>
              <w:t>Design/ duration</w:t>
            </w:r>
          </w:p>
        </w:tc>
        <w:tc>
          <w:tcPr>
            <w:tcW w:w="594" w:type="pct"/>
            <w:shd w:val="clear" w:color="auto" w:fill="auto"/>
            <w:vAlign w:val="center"/>
          </w:tcPr>
          <w:p w:rsidR="005528B2" w:rsidRPr="00C0474D" w:rsidRDefault="005528B2" w:rsidP="007F1017">
            <w:pPr>
              <w:jc w:val="center"/>
              <w:rPr>
                <w:rFonts w:ascii="Arial Narrow" w:hAnsi="Arial Narrow"/>
                <w:b/>
                <w:sz w:val="20"/>
                <w:szCs w:val="16"/>
                <w:lang w:val="en-US"/>
              </w:rPr>
            </w:pPr>
            <w:r w:rsidRPr="00C0474D">
              <w:rPr>
                <w:rFonts w:ascii="Arial Narrow" w:hAnsi="Arial Narrow"/>
                <w:b/>
                <w:sz w:val="20"/>
                <w:szCs w:val="16"/>
                <w:lang w:val="en-US"/>
              </w:rPr>
              <w:t>Risk of bias</w:t>
            </w:r>
          </w:p>
        </w:tc>
        <w:tc>
          <w:tcPr>
            <w:tcW w:w="849" w:type="pct"/>
            <w:shd w:val="clear" w:color="auto" w:fill="auto"/>
            <w:vAlign w:val="center"/>
          </w:tcPr>
          <w:p w:rsidR="005528B2" w:rsidRPr="00C0474D" w:rsidRDefault="005528B2" w:rsidP="007F1017">
            <w:pPr>
              <w:jc w:val="center"/>
              <w:rPr>
                <w:rFonts w:ascii="Arial Narrow" w:hAnsi="Arial Narrow"/>
                <w:b/>
                <w:sz w:val="20"/>
                <w:szCs w:val="16"/>
                <w:lang w:val="en-US"/>
              </w:rPr>
            </w:pPr>
            <w:r w:rsidRPr="00C0474D">
              <w:rPr>
                <w:rFonts w:ascii="Arial Narrow" w:hAnsi="Arial Narrow"/>
                <w:b/>
                <w:sz w:val="20"/>
                <w:szCs w:val="16"/>
                <w:lang w:val="en-US"/>
              </w:rPr>
              <w:t>Patient population</w:t>
            </w:r>
          </w:p>
        </w:tc>
        <w:tc>
          <w:tcPr>
            <w:tcW w:w="1348" w:type="pct"/>
            <w:shd w:val="clear" w:color="auto" w:fill="auto"/>
            <w:vAlign w:val="center"/>
          </w:tcPr>
          <w:p w:rsidR="005528B2" w:rsidRPr="00C0474D" w:rsidRDefault="005528B2" w:rsidP="005528B2">
            <w:pPr>
              <w:jc w:val="center"/>
              <w:rPr>
                <w:rFonts w:ascii="Arial Narrow" w:hAnsi="Arial Narrow"/>
                <w:b/>
                <w:sz w:val="20"/>
                <w:szCs w:val="16"/>
                <w:lang w:val="en-US"/>
              </w:rPr>
            </w:pPr>
            <w:r w:rsidRPr="00C0474D">
              <w:rPr>
                <w:rFonts w:ascii="Arial Narrow" w:hAnsi="Arial Narrow"/>
                <w:b/>
                <w:sz w:val="20"/>
                <w:szCs w:val="16"/>
                <w:lang w:val="en-US"/>
              </w:rPr>
              <w:t>Outcomes</w:t>
            </w:r>
          </w:p>
        </w:tc>
      </w:tr>
      <w:tr w:rsidR="007F1017" w:rsidRPr="00C0474D" w:rsidTr="00E22A0D">
        <w:tc>
          <w:tcPr>
            <w:tcW w:w="5000" w:type="pct"/>
            <w:gridSpan w:val="6"/>
            <w:shd w:val="clear" w:color="auto" w:fill="auto"/>
            <w:vAlign w:val="center"/>
          </w:tcPr>
          <w:p w:rsidR="007F1017" w:rsidRPr="00C0474D" w:rsidRDefault="005528B2" w:rsidP="007F1017">
            <w:pPr>
              <w:jc w:val="left"/>
              <w:rPr>
                <w:rFonts w:ascii="Arial Narrow" w:hAnsi="Arial Narrow"/>
                <w:b/>
                <w:sz w:val="20"/>
                <w:szCs w:val="16"/>
                <w:lang w:val="en-US"/>
              </w:rPr>
            </w:pPr>
            <w:proofErr w:type="spellStart"/>
            <w:r w:rsidRPr="00C0474D">
              <w:rPr>
                <w:rFonts w:ascii="Arial Narrow" w:hAnsi="Arial Narrow"/>
                <w:b/>
                <w:sz w:val="20"/>
                <w:szCs w:val="16"/>
                <w:lang w:val="en-US"/>
              </w:rPr>
              <w:t>Daclizumab</w:t>
            </w:r>
            <w:proofErr w:type="spellEnd"/>
            <w:r w:rsidRPr="00C0474D">
              <w:rPr>
                <w:rFonts w:ascii="Arial Narrow" w:hAnsi="Arial Narrow"/>
                <w:b/>
                <w:sz w:val="20"/>
                <w:szCs w:val="16"/>
                <w:lang w:val="en-US"/>
              </w:rPr>
              <w:t xml:space="preserve"> vs. placebo</w:t>
            </w:r>
          </w:p>
        </w:tc>
      </w:tr>
      <w:tr w:rsidR="005528B2" w:rsidRPr="00C0474D" w:rsidTr="00211142">
        <w:tc>
          <w:tcPr>
            <w:tcW w:w="775" w:type="pct"/>
            <w:shd w:val="clear" w:color="auto" w:fill="auto"/>
            <w:vAlign w:val="center"/>
          </w:tcPr>
          <w:p w:rsidR="005528B2" w:rsidRPr="00C0474D" w:rsidRDefault="005528B2" w:rsidP="007F1017">
            <w:pPr>
              <w:jc w:val="left"/>
              <w:rPr>
                <w:rFonts w:ascii="Arial Narrow" w:hAnsi="Arial Narrow"/>
                <w:sz w:val="20"/>
                <w:szCs w:val="16"/>
                <w:lang w:val="en-US"/>
              </w:rPr>
            </w:pPr>
            <w:r w:rsidRPr="00C0474D">
              <w:rPr>
                <w:rFonts w:ascii="Arial Narrow" w:hAnsi="Arial Narrow"/>
                <w:sz w:val="20"/>
                <w:szCs w:val="16"/>
                <w:lang w:val="en-US"/>
              </w:rPr>
              <w:t>SELECT</w:t>
            </w:r>
          </w:p>
        </w:tc>
        <w:tc>
          <w:tcPr>
            <w:tcW w:w="436" w:type="pct"/>
            <w:shd w:val="clear" w:color="auto" w:fill="auto"/>
            <w:vAlign w:val="center"/>
          </w:tcPr>
          <w:p w:rsidR="005528B2" w:rsidRPr="00C0474D" w:rsidRDefault="005528B2" w:rsidP="007F1017">
            <w:pPr>
              <w:jc w:val="center"/>
              <w:rPr>
                <w:rFonts w:ascii="Arial Narrow" w:hAnsi="Arial Narrow"/>
                <w:sz w:val="20"/>
                <w:szCs w:val="16"/>
                <w:lang w:val="en-US"/>
              </w:rPr>
            </w:pPr>
            <w:r w:rsidRPr="00C0474D">
              <w:rPr>
                <w:rFonts w:ascii="Arial Narrow" w:hAnsi="Arial Narrow"/>
                <w:sz w:val="20"/>
                <w:szCs w:val="16"/>
                <w:lang w:val="en-US"/>
              </w:rPr>
              <w:t>621</w:t>
            </w:r>
          </w:p>
        </w:tc>
        <w:tc>
          <w:tcPr>
            <w:tcW w:w="998" w:type="pct"/>
            <w:shd w:val="clear" w:color="auto" w:fill="auto"/>
            <w:vAlign w:val="center"/>
          </w:tcPr>
          <w:p w:rsidR="005528B2" w:rsidRPr="00C0474D" w:rsidRDefault="005528B2" w:rsidP="007F1017">
            <w:pPr>
              <w:jc w:val="center"/>
              <w:rPr>
                <w:rFonts w:ascii="Arial Narrow" w:hAnsi="Arial Narrow"/>
                <w:sz w:val="20"/>
                <w:szCs w:val="16"/>
                <w:lang w:val="en-US"/>
              </w:rPr>
            </w:pPr>
            <w:r w:rsidRPr="00C0474D">
              <w:rPr>
                <w:rFonts w:ascii="Arial Narrow" w:hAnsi="Arial Narrow"/>
                <w:sz w:val="20"/>
                <w:szCs w:val="16"/>
                <w:lang w:val="en-US"/>
              </w:rPr>
              <w:t>MC, R, DB</w:t>
            </w:r>
          </w:p>
          <w:p w:rsidR="005528B2" w:rsidRPr="00C0474D" w:rsidRDefault="005528B2" w:rsidP="007F1017">
            <w:pPr>
              <w:jc w:val="center"/>
              <w:rPr>
                <w:rFonts w:ascii="Arial Narrow" w:hAnsi="Arial Narrow"/>
                <w:sz w:val="20"/>
                <w:szCs w:val="16"/>
                <w:lang w:val="en-US"/>
              </w:rPr>
            </w:pPr>
            <w:r w:rsidRPr="00C0474D">
              <w:rPr>
                <w:rFonts w:ascii="Arial Narrow" w:hAnsi="Arial Narrow"/>
                <w:sz w:val="20"/>
                <w:szCs w:val="16"/>
                <w:lang w:val="en-US"/>
              </w:rPr>
              <w:t>1</w:t>
            </w:r>
            <w:r w:rsidR="00211142" w:rsidRPr="00C0474D">
              <w:rPr>
                <w:rFonts w:ascii="Arial Narrow" w:hAnsi="Arial Narrow"/>
                <w:sz w:val="20"/>
                <w:szCs w:val="16"/>
                <w:lang w:val="en-US"/>
              </w:rPr>
              <w:t xml:space="preserve"> year</w:t>
            </w:r>
          </w:p>
        </w:tc>
        <w:tc>
          <w:tcPr>
            <w:tcW w:w="594" w:type="pct"/>
            <w:shd w:val="clear" w:color="auto" w:fill="auto"/>
            <w:vAlign w:val="center"/>
          </w:tcPr>
          <w:p w:rsidR="005528B2" w:rsidRPr="00C0474D" w:rsidRDefault="005528B2" w:rsidP="007F1017">
            <w:pPr>
              <w:jc w:val="center"/>
              <w:rPr>
                <w:rFonts w:ascii="Arial Narrow" w:hAnsi="Arial Narrow"/>
                <w:sz w:val="20"/>
                <w:szCs w:val="16"/>
                <w:lang w:val="en-US"/>
              </w:rPr>
            </w:pPr>
            <w:r w:rsidRPr="00C0474D">
              <w:rPr>
                <w:rFonts w:ascii="Arial Narrow" w:hAnsi="Arial Narrow"/>
                <w:sz w:val="20"/>
                <w:szCs w:val="16"/>
                <w:lang w:val="en-US"/>
              </w:rPr>
              <w:t>Low</w:t>
            </w:r>
          </w:p>
        </w:tc>
        <w:tc>
          <w:tcPr>
            <w:tcW w:w="849" w:type="pct"/>
            <w:shd w:val="clear" w:color="auto" w:fill="auto"/>
            <w:vAlign w:val="center"/>
          </w:tcPr>
          <w:p w:rsidR="005528B2" w:rsidRPr="00C0474D" w:rsidRDefault="005528B2" w:rsidP="007F1017">
            <w:pPr>
              <w:jc w:val="center"/>
              <w:rPr>
                <w:rFonts w:ascii="Arial Narrow" w:hAnsi="Arial Narrow"/>
                <w:sz w:val="20"/>
                <w:szCs w:val="16"/>
                <w:lang w:val="en-US"/>
              </w:rPr>
            </w:pPr>
            <w:r w:rsidRPr="00C0474D">
              <w:rPr>
                <w:rFonts w:ascii="Arial Narrow" w:hAnsi="Arial Narrow"/>
                <w:sz w:val="20"/>
                <w:szCs w:val="16"/>
                <w:lang w:val="en-US"/>
              </w:rPr>
              <w:t>Active RRMS</w:t>
            </w:r>
          </w:p>
        </w:tc>
        <w:tc>
          <w:tcPr>
            <w:tcW w:w="1348" w:type="pct"/>
            <w:shd w:val="clear" w:color="auto" w:fill="auto"/>
            <w:vAlign w:val="center"/>
          </w:tcPr>
          <w:p w:rsidR="005528B2" w:rsidRPr="00C0474D" w:rsidRDefault="005528B2" w:rsidP="005528B2">
            <w:pPr>
              <w:jc w:val="center"/>
              <w:rPr>
                <w:rFonts w:ascii="Arial Narrow" w:hAnsi="Arial Narrow"/>
                <w:sz w:val="20"/>
                <w:szCs w:val="16"/>
                <w:lang w:val="en-US"/>
              </w:rPr>
            </w:pPr>
            <w:r w:rsidRPr="00C0474D">
              <w:rPr>
                <w:rFonts w:ascii="Arial Narrow" w:hAnsi="Arial Narrow"/>
                <w:sz w:val="20"/>
                <w:szCs w:val="16"/>
                <w:lang w:val="en-US"/>
              </w:rPr>
              <w:t xml:space="preserve">Relapse rates, </w:t>
            </w:r>
          </w:p>
          <w:p w:rsidR="005528B2" w:rsidRPr="00C0474D" w:rsidRDefault="005528B2" w:rsidP="005528B2">
            <w:pPr>
              <w:jc w:val="center"/>
              <w:rPr>
                <w:rFonts w:ascii="Arial Narrow" w:hAnsi="Arial Narrow"/>
                <w:sz w:val="20"/>
                <w:szCs w:val="16"/>
                <w:lang w:val="en-US"/>
              </w:rPr>
            </w:pPr>
            <w:r w:rsidRPr="00C0474D">
              <w:rPr>
                <w:rFonts w:ascii="Arial Narrow" w:hAnsi="Arial Narrow"/>
                <w:sz w:val="20"/>
                <w:szCs w:val="16"/>
                <w:lang w:val="en-US"/>
              </w:rPr>
              <w:t>disability progression</w:t>
            </w:r>
          </w:p>
        </w:tc>
      </w:tr>
      <w:tr w:rsidR="005528B2" w:rsidRPr="00C0474D" w:rsidTr="005528B2">
        <w:tc>
          <w:tcPr>
            <w:tcW w:w="5000" w:type="pct"/>
            <w:gridSpan w:val="6"/>
            <w:shd w:val="clear" w:color="auto" w:fill="auto"/>
            <w:vAlign w:val="center"/>
          </w:tcPr>
          <w:p w:rsidR="005528B2" w:rsidRPr="00C0474D" w:rsidRDefault="005528B2" w:rsidP="005528B2">
            <w:pPr>
              <w:jc w:val="left"/>
              <w:rPr>
                <w:rFonts w:ascii="Arial Narrow" w:hAnsi="Arial Narrow"/>
                <w:sz w:val="20"/>
                <w:szCs w:val="16"/>
                <w:lang w:val="en-US"/>
              </w:rPr>
            </w:pPr>
            <w:proofErr w:type="spellStart"/>
            <w:r w:rsidRPr="00C0474D">
              <w:rPr>
                <w:rFonts w:ascii="Arial Narrow" w:hAnsi="Arial Narrow"/>
                <w:b/>
                <w:sz w:val="20"/>
                <w:szCs w:val="16"/>
                <w:lang w:val="en-US"/>
              </w:rPr>
              <w:t>Daclizumab</w:t>
            </w:r>
            <w:proofErr w:type="spellEnd"/>
            <w:r w:rsidRPr="00C0474D">
              <w:rPr>
                <w:rFonts w:ascii="Arial Narrow" w:hAnsi="Arial Narrow"/>
                <w:b/>
                <w:sz w:val="20"/>
                <w:szCs w:val="16"/>
                <w:lang w:val="en-US"/>
              </w:rPr>
              <w:t xml:space="preserve"> vs. IM interferon beta-1a</w:t>
            </w:r>
          </w:p>
        </w:tc>
      </w:tr>
      <w:tr w:rsidR="00211142" w:rsidRPr="00C0474D" w:rsidTr="00211142">
        <w:tc>
          <w:tcPr>
            <w:tcW w:w="775" w:type="pct"/>
            <w:shd w:val="clear" w:color="auto" w:fill="auto"/>
            <w:vAlign w:val="center"/>
          </w:tcPr>
          <w:p w:rsidR="00211142" w:rsidRPr="00C0474D" w:rsidRDefault="00211142" w:rsidP="007F1017">
            <w:pPr>
              <w:jc w:val="left"/>
              <w:rPr>
                <w:rFonts w:ascii="Arial Narrow" w:hAnsi="Arial Narrow"/>
                <w:sz w:val="20"/>
                <w:szCs w:val="16"/>
                <w:lang w:val="en-US"/>
              </w:rPr>
            </w:pPr>
            <w:r w:rsidRPr="00C0474D">
              <w:rPr>
                <w:rFonts w:ascii="Arial Narrow" w:hAnsi="Arial Narrow"/>
                <w:sz w:val="20"/>
                <w:szCs w:val="16"/>
                <w:lang w:val="en-US"/>
              </w:rPr>
              <w:t>DECIDE</w:t>
            </w:r>
          </w:p>
        </w:tc>
        <w:tc>
          <w:tcPr>
            <w:tcW w:w="436" w:type="pct"/>
            <w:shd w:val="clear" w:color="auto" w:fill="auto"/>
            <w:vAlign w:val="center"/>
          </w:tcPr>
          <w:p w:rsidR="00211142" w:rsidRPr="00C0474D" w:rsidRDefault="00211142" w:rsidP="007F1017">
            <w:pPr>
              <w:jc w:val="center"/>
              <w:rPr>
                <w:rFonts w:ascii="Arial Narrow" w:hAnsi="Arial Narrow"/>
                <w:sz w:val="20"/>
                <w:szCs w:val="16"/>
                <w:lang w:val="en-US"/>
              </w:rPr>
            </w:pPr>
            <w:r w:rsidRPr="00C0474D">
              <w:rPr>
                <w:rFonts w:ascii="Arial Narrow" w:hAnsi="Arial Narrow"/>
                <w:sz w:val="20"/>
                <w:szCs w:val="16"/>
                <w:lang w:val="en-US"/>
              </w:rPr>
              <w:t>1,841</w:t>
            </w:r>
          </w:p>
        </w:tc>
        <w:tc>
          <w:tcPr>
            <w:tcW w:w="998" w:type="pct"/>
            <w:shd w:val="clear" w:color="auto" w:fill="auto"/>
            <w:vAlign w:val="center"/>
          </w:tcPr>
          <w:p w:rsidR="00211142" w:rsidRPr="00C0474D" w:rsidRDefault="00211142" w:rsidP="00211142">
            <w:pPr>
              <w:jc w:val="center"/>
              <w:rPr>
                <w:rFonts w:ascii="Arial Narrow" w:hAnsi="Arial Narrow"/>
                <w:sz w:val="20"/>
                <w:szCs w:val="16"/>
                <w:lang w:val="en-US"/>
              </w:rPr>
            </w:pPr>
            <w:r w:rsidRPr="00C0474D">
              <w:rPr>
                <w:rFonts w:ascii="Arial Narrow" w:hAnsi="Arial Narrow"/>
                <w:sz w:val="20"/>
                <w:szCs w:val="16"/>
                <w:lang w:val="en-US"/>
              </w:rPr>
              <w:t>MC, R, DB</w:t>
            </w:r>
          </w:p>
          <w:p w:rsidR="00211142" w:rsidRPr="00C0474D" w:rsidRDefault="00211142" w:rsidP="00211142">
            <w:pPr>
              <w:jc w:val="center"/>
              <w:rPr>
                <w:rFonts w:ascii="Arial Narrow" w:hAnsi="Arial Narrow"/>
                <w:sz w:val="20"/>
                <w:szCs w:val="16"/>
                <w:lang w:val="en-US"/>
              </w:rPr>
            </w:pPr>
            <w:r w:rsidRPr="00C0474D">
              <w:rPr>
                <w:rFonts w:ascii="Arial Narrow" w:hAnsi="Arial Narrow"/>
                <w:sz w:val="20"/>
                <w:szCs w:val="16"/>
                <w:lang w:val="en-US"/>
              </w:rPr>
              <w:t>2-3 years</w:t>
            </w:r>
          </w:p>
        </w:tc>
        <w:tc>
          <w:tcPr>
            <w:tcW w:w="594" w:type="pct"/>
            <w:shd w:val="clear" w:color="auto" w:fill="auto"/>
            <w:vAlign w:val="center"/>
          </w:tcPr>
          <w:p w:rsidR="00211142" w:rsidRPr="00C0474D" w:rsidRDefault="00211142" w:rsidP="007F1017">
            <w:pPr>
              <w:jc w:val="center"/>
              <w:rPr>
                <w:rFonts w:ascii="Arial Narrow" w:hAnsi="Arial Narrow"/>
                <w:sz w:val="20"/>
                <w:szCs w:val="16"/>
                <w:lang w:val="en-US"/>
              </w:rPr>
            </w:pPr>
            <w:r w:rsidRPr="00C0474D">
              <w:rPr>
                <w:rFonts w:ascii="Arial Narrow" w:hAnsi="Arial Narrow"/>
                <w:sz w:val="20"/>
                <w:szCs w:val="16"/>
                <w:lang w:val="en-US"/>
              </w:rPr>
              <w:t>Low</w:t>
            </w:r>
          </w:p>
        </w:tc>
        <w:tc>
          <w:tcPr>
            <w:tcW w:w="849" w:type="pct"/>
            <w:shd w:val="clear" w:color="auto" w:fill="auto"/>
            <w:vAlign w:val="center"/>
          </w:tcPr>
          <w:p w:rsidR="00211142" w:rsidRPr="00C0474D" w:rsidRDefault="00211142" w:rsidP="007F1017">
            <w:pPr>
              <w:jc w:val="center"/>
              <w:rPr>
                <w:rFonts w:ascii="Arial Narrow" w:hAnsi="Arial Narrow"/>
                <w:sz w:val="20"/>
                <w:szCs w:val="16"/>
                <w:lang w:val="en-US"/>
              </w:rPr>
            </w:pPr>
            <w:r w:rsidRPr="00C0474D">
              <w:rPr>
                <w:rFonts w:ascii="Arial Narrow" w:hAnsi="Arial Narrow"/>
                <w:sz w:val="20"/>
                <w:szCs w:val="16"/>
                <w:lang w:val="en-US"/>
              </w:rPr>
              <w:t>Active RRMS</w:t>
            </w:r>
          </w:p>
        </w:tc>
        <w:tc>
          <w:tcPr>
            <w:tcW w:w="1348" w:type="pct"/>
            <w:shd w:val="clear" w:color="auto" w:fill="auto"/>
            <w:vAlign w:val="center"/>
          </w:tcPr>
          <w:p w:rsidR="00211142" w:rsidRPr="00C0474D" w:rsidRDefault="00211142" w:rsidP="009A045B">
            <w:pPr>
              <w:jc w:val="center"/>
              <w:rPr>
                <w:rFonts w:ascii="Arial Narrow" w:hAnsi="Arial Narrow"/>
                <w:sz w:val="20"/>
                <w:szCs w:val="16"/>
                <w:lang w:val="en-US"/>
              </w:rPr>
            </w:pPr>
            <w:r w:rsidRPr="00C0474D">
              <w:rPr>
                <w:rFonts w:ascii="Arial Narrow" w:hAnsi="Arial Narrow"/>
                <w:sz w:val="20"/>
                <w:szCs w:val="16"/>
                <w:lang w:val="en-US"/>
              </w:rPr>
              <w:t xml:space="preserve">Relapse rates, </w:t>
            </w:r>
          </w:p>
          <w:p w:rsidR="00211142" w:rsidRPr="00C0474D" w:rsidRDefault="00211142" w:rsidP="007F1017">
            <w:pPr>
              <w:jc w:val="center"/>
              <w:rPr>
                <w:rFonts w:ascii="Arial Narrow" w:hAnsi="Arial Narrow"/>
                <w:sz w:val="20"/>
                <w:szCs w:val="16"/>
                <w:lang w:val="en-US"/>
              </w:rPr>
            </w:pPr>
            <w:r w:rsidRPr="00C0474D">
              <w:rPr>
                <w:rFonts w:ascii="Arial Narrow" w:hAnsi="Arial Narrow"/>
                <w:sz w:val="20"/>
                <w:szCs w:val="16"/>
                <w:lang w:val="en-US"/>
              </w:rPr>
              <w:t>disability progression</w:t>
            </w:r>
          </w:p>
        </w:tc>
      </w:tr>
      <w:tr w:rsidR="007F1017" w:rsidRPr="00C0474D" w:rsidTr="00E22A0D">
        <w:tc>
          <w:tcPr>
            <w:tcW w:w="5000" w:type="pct"/>
            <w:gridSpan w:val="6"/>
            <w:shd w:val="clear" w:color="auto" w:fill="auto"/>
            <w:vAlign w:val="center"/>
          </w:tcPr>
          <w:p w:rsidR="007F1017" w:rsidRPr="00C0474D" w:rsidRDefault="005528B2" w:rsidP="007F1017">
            <w:pPr>
              <w:jc w:val="left"/>
              <w:rPr>
                <w:rFonts w:ascii="Arial Narrow" w:hAnsi="Arial Narrow"/>
                <w:b/>
                <w:sz w:val="20"/>
                <w:szCs w:val="16"/>
                <w:lang w:val="en-US"/>
              </w:rPr>
            </w:pPr>
            <w:proofErr w:type="spellStart"/>
            <w:r w:rsidRPr="00C0474D">
              <w:rPr>
                <w:rFonts w:ascii="Arial Narrow" w:hAnsi="Arial Narrow"/>
                <w:b/>
                <w:sz w:val="20"/>
                <w:szCs w:val="16"/>
                <w:lang w:val="en-US"/>
              </w:rPr>
              <w:t>Fingolimod</w:t>
            </w:r>
            <w:proofErr w:type="spellEnd"/>
            <w:r w:rsidRPr="00C0474D">
              <w:rPr>
                <w:rFonts w:ascii="Arial Narrow" w:hAnsi="Arial Narrow"/>
                <w:b/>
                <w:sz w:val="20"/>
                <w:szCs w:val="16"/>
                <w:lang w:val="en-US"/>
              </w:rPr>
              <w:t xml:space="preserve"> vs placebo</w:t>
            </w:r>
          </w:p>
        </w:tc>
      </w:tr>
      <w:tr w:rsidR="00211142" w:rsidRPr="00C0474D" w:rsidTr="00211142">
        <w:tc>
          <w:tcPr>
            <w:tcW w:w="775" w:type="pct"/>
            <w:shd w:val="clear" w:color="auto" w:fill="auto"/>
            <w:vAlign w:val="center"/>
          </w:tcPr>
          <w:p w:rsidR="00211142" w:rsidRPr="00C0474D" w:rsidRDefault="00211142" w:rsidP="007F1017">
            <w:pPr>
              <w:jc w:val="left"/>
              <w:rPr>
                <w:rFonts w:ascii="Arial Narrow" w:hAnsi="Arial Narrow"/>
                <w:sz w:val="20"/>
                <w:szCs w:val="16"/>
                <w:lang w:val="en-US"/>
              </w:rPr>
            </w:pPr>
            <w:r w:rsidRPr="00C0474D">
              <w:rPr>
                <w:rFonts w:ascii="Arial Narrow" w:hAnsi="Arial Narrow"/>
                <w:sz w:val="20"/>
                <w:szCs w:val="16"/>
                <w:lang w:val="en-US"/>
              </w:rPr>
              <w:t>FREEDOMS</w:t>
            </w:r>
          </w:p>
        </w:tc>
        <w:tc>
          <w:tcPr>
            <w:tcW w:w="436" w:type="pct"/>
            <w:shd w:val="clear" w:color="auto" w:fill="auto"/>
            <w:vAlign w:val="center"/>
          </w:tcPr>
          <w:p w:rsidR="00211142" w:rsidRPr="00C0474D" w:rsidRDefault="00211142" w:rsidP="007F1017">
            <w:pPr>
              <w:jc w:val="center"/>
              <w:rPr>
                <w:rFonts w:ascii="Arial Narrow" w:hAnsi="Arial Narrow"/>
                <w:sz w:val="20"/>
                <w:szCs w:val="16"/>
                <w:lang w:val="en-US"/>
              </w:rPr>
            </w:pPr>
            <w:r w:rsidRPr="00C0474D">
              <w:rPr>
                <w:rFonts w:ascii="Arial Narrow" w:hAnsi="Arial Narrow"/>
                <w:sz w:val="20"/>
                <w:szCs w:val="16"/>
                <w:lang w:val="en-US"/>
              </w:rPr>
              <w:t>1,272</w:t>
            </w:r>
          </w:p>
        </w:tc>
        <w:tc>
          <w:tcPr>
            <w:tcW w:w="998" w:type="pct"/>
            <w:shd w:val="clear" w:color="auto" w:fill="auto"/>
            <w:vAlign w:val="center"/>
          </w:tcPr>
          <w:p w:rsidR="00211142" w:rsidRPr="00C0474D" w:rsidRDefault="00211142" w:rsidP="009A045B">
            <w:pPr>
              <w:jc w:val="center"/>
              <w:rPr>
                <w:rFonts w:ascii="Arial Narrow" w:hAnsi="Arial Narrow"/>
                <w:sz w:val="20"/>
                <w:szCs w:val="16"/>
                <w:lang w:val="en-US"/>
              </w:rPr>
            </w:pPr>
            <w:r w:rsidRPr="00C0474D">
              <w:rPr>
                <w:rFonts w:ascii="Arial Narrow" w:hAnsi="Arial Narrow"/>
                <w:sz w:val="20"/>
                <w:szCs w:val="16"/>
                <w:lang w:val="en-US"/>
              </w:rPr>
              <w:t>MC, R, DB</w:t>
            </w:r>
          </w:p>
          <w:p w:rsidR="00211142" w:rsidRPr="00C0474D" w:rsidRDefault="00211142" w:rsidP="007F1017">
            <w:pPr>
              <w:jc w:val="center"/>
              <w:rPr>
                <w:rFonts w:ascii="Arial Narrow" w:hAnsi="Arial Narrow"/>
                <w:sz w:val="20"/>
                <w:szCs w:val="16"/>
                <w:lang w:val="en-US"/>
              </w:rPr>
            </w:pPr>
            <w:r w:rsidRPr="00C0474D">
              <w:rPr>
                <w:rFonts w:ascii="Arial Narrow" w:hAnsi="Arial Narrow"/>
                <w:sz w:val="20"/>
                <w:szCs w:val="16"/>
                <w:lang w:val="en-US"/>
              </w:rPr>
              <w:t>2 years</w:t>
            </w:r>
          </w:p>
        </w:tc>
        <w:tc>
          <w:tcPr>
            <w:tcW w:w="594" w:type="pct"/>
            <w:shd w:val="clear" w:color="auto" w:fill="auto"/>
            <w:vAlign w:val="center"/>
          </w:tcPr>
          <w:p w:rsidR="00211142" w:rsidRPr="00C0474D" w:rsidRDefault="00211142" w:rsidP="007F1017">
            <w:pPr>
              <w:jc w:val="center"/>
              <w:rPr>
                <w:rFonts w:ascii="Arial Narrow" w:hAnsi="Arial Narrow"/>
                <w:sz w:val="20"/>
                <w:szCs w:val="16"/>
                <w:lang w:val="en-US"/>
              </w:rPr>
            </w:pPr>
            <w:r w:rsidRPr="00C0474D">
              <w:rPr>
                <w:rFonts w:ascii="Arial Narrow" w:hAnsi="Arial Narrow"/>
                <w:sz w:val="20"/>
                <w:szCs w:val="16"/>
                <w:lang w:val="en-US"/>
              </w:rPr>
              <w:t>Low</w:t>
            </w:r>
          </w:p>
        </w:tc>
        <w:tc>
          <w:tcPr>
            <w:tcW w:w="849" w:type="pct"/>
            <w:shd w:val="clear" w:color="auto" w:fill="auto"/>
            <w:vAlign w:val="center"/>
          </w:tcPr>
          <w:p w:rsidR="00211142" w:rsidRPr="00C0474D" w:rsidRDefault="00211142" w:rsidP="007F1017">
            <w:pPr>
              <w:jc w:val="center"/>
              <w:rPr>
                <w:rFonts w:ascii="Arial Narrow" w:hAnsi="Arial Narrow"/>
                <w:sz w:val="20"/>
                <w:szCs w:val="16"/>
                <w:lang w:val="en-US"/>
              </w:rPr>
            </w:pPr>
            <w:r w:rsidRPr="00C0474D">
              <w:rPr>
                <w:rFonts w:ascii="Arial Narrow" w:hAnsi="Arial Narrow"/>
                <w:sz w:val="20"/>
                <w:szCs w:val="16"/>
                <w:lang w:val="en-US"/>
              </w:rPr>
              <w:t>Active RRMS</w:t>
            </w:r>
          </w:p>
        </w:tc>
        <w:tc>
          <w:tcPr>
            <w:tcW w:w="1348" w:type="pct"/>
            <w:shd w:val="clear" w:color="auto" w:fill="auto"/>
            <w:vAlign w:val="center"/>
          </w:tcPr>
          <w:p w:rsidR="00211142" w:rsidRPr="00C0474D" w:rsidRDefault="00211142" w:rsidP="009A045B">
            <w:pPr>
              <w:jc w:val="center"/>
              <w:rPr>
                <w:rFonts w:ascii="Arial Narrow" w:hAnsi="Arial Narrow"/>
                <w:sz w:val="20"/>
                <w:szCs w:val="16"/>
                <w:lang w:val="en-US"/>
              </w:rPr>
            </w:pPr>
            <w:r w:rsidRPr="00C0474D">
              <w:rPr>
                <w:rFonts w:ascii="Arial Narrow" w:hAnsi="Arial Narrow"/>
                <w:sz w:val="20"/>
                <w:szCs w:val="16"/>
                <w:lang w:val="en-US"/>
              </w:rPr>
              <w:t xml:space="preserve">Relapse rates, </w:t>
            </w:r>
          </w:p>
          <w:p w:rsidR="00211142" w:rsidRPr="00C0474D" w:rsidRDefault="00211142" w:rsidP="007F1017">
            <w:pPr>
              <w:jc w:val="center"/>
              <w:rPr>
                <w:rFonts w:ascii="Arial Narrow" w:hAnsi="Arial Narrow"/>
                <w:sz w:val="20"/>
                <w:szCs w:val="16"/>
                <w:lang w:val="en-US"/>
              </w:rPr>
            </w:pPr>
            <w:r w:rsidRPr="00C0474D">
              <w:rPr>
                <w:rFonts w:ascii="Arial Narrow" w:hAnsi="Arial Narrow"/>
                <w:sz w:val="20"/>
                <w:szCs w:val="16"/>
                <w:lang w:val="en-US"/>
              </w:rPr>
              <w:t>disability progression</w:t>
            </w:r>
          </w:p>
        </w:tc>
      </w:tr>
      <w:tr w:rsidR="00211142" w:rsidRPr="00C0474D" w:rsidTr="00211142">
        <w:tc>
          <w:tcPr>
            <w:tcW w:w="775" w:type="pct"/>
            <w:shd w:val="clear" w:color="auto" w:fill="auto"/>
            <w:vAlign w:val="center"/>
          </w:tcPr>
          <w:p w:rsidR="00211142" w:rsidRPr="00C0474D" w:rsidRDefault="00211142" w:rsidP="007F1017">
            <w:pPr>
              <w:jc w:val="left"/>
              <w:rPr>
                <w:rFonts w:ascii="Arial Narrow" w:hAnsi="Arial Narrow"/>
                <w:sz w:val="20"/>
                <w:szCs w:val="16"/>
                <w:lang w:val="en-US"/>
              </w:rPr>
            </w:pPr>
            <w:r w:rsidRPr="00C0474D">
              <w:rPr>
                <w:rFonts w:ascii="Arial Narrow" w:hAnsi="Arial Narrow"/>
                <w:sz w:val="20"/>
                <w:szCs w:val="16"/>
                <w:lang w:val="en-US"/>
              </w:rPr>
              <w:t>FREEDOMS II</w:t>
            </w:r>
          </w:p>
        </w:tc>
        <w:tc>
          <w:tcPr>
            <w:tcW w:w="436" w:type="pct"/>
            <w:shd w:val="clear" w:color="auto" w:fill="auto"/>
            <w:vAlign w:val="center"/>
          </w:tcPr>
          <w:p w:rsidR="00211142" w:rsidRPr="00C0474D" w:rsidRDefault="00211142" w:rsidP="007F1017">
            <w:pPr>
              <w:jc w:val="center"/>
              <w:rPr>
                <w:rFonts w:ascii="Arial Narrow" w:hAnsi="Arial Narrow"/>
                <w:sz w:val="20"/>
                <w:szCs w:val="16"/>
                <w:lang w:val="en-US"/>
              </w:rPr>
            </w:pPr>
            <w:r w:rsidRPr="00C0474D">
              <w:rPr>
                <w:rFonts w:ascii="Arial Narrow" w:hAnsi="Arial Narrow"/>
                <w:sz w:val="20"/>
                <w:szCs w:val="16"/>
                <w:lang w:val="en-US"/>
              </w:rPr>
              <w:t>1,083</w:t>
            </w:r>
          </w:p>
        </w:tc>
        <w:tc>
          <w:tcPr>
            <w:tcW w:w="998" w:type="pct"/>
            <w:shd w:val="clear" w:color="auto" w:fill="auto"/>
            <w:vAlign w:val="center"/>
          </w:tcPr>
          <w:p w:rsidR="00211142" w:rsidRPr="00C0474D" w:rsidRDefault="00211142" w:rsidP="009A045B">
            <w:pPr>
              <w:jc w:val="center"/>
              <w:rPr>
                <w:rFonts w:ascii="Arial Narrow" w:hAnsi="Arial Narrow"/>
                <w:sz w:val="20"/>
                <w:szCs w:val="16"/>
                <w:lang w:val="en-US"/>
              </w:rPr>
            </w:pPr>
            <w:r w:rsidRPr="00C0474D">
              <w:rPr>
                <w:rFonts w:ascii="Arial Narrow" w:hAnsi="Arial Narrow"/>
                <w:sz w:val="20"/>
                <w:szCs w:val="16"/>
                <w:lang w:val="en-US"/>
              </w:rPr>
              <w:t>MC, R, DB</w:t>
            </w:r>
          </w:p>
          <w:p w:rsidR="00211142" w:rsidRPr="00C0474D" w:rsidRDefault="00211142" w:rsidP="007F1017">
            <w:pPr>
              <w:jc w:val="center"/>
              <w:rPr>
                <w:rFonts w:ascii="Arial Narrow" w:hAnsi="Arial Narrow"/>
                <w:sz w:val="20"/>
                <w:szCs w:val="16"/>
                <w:lang w:val="en-US"/>
              </w:rPr>
            </w:pPr>
            <w:r w:rsidRPr="00C0474D">
              <w:rPr>
                <w:rFonts w:ascii="Arial Narrow" w:hAnsi="Arial Narrow"/>
                <w:sz w:val="20"/>
                <w:szCs w:val="16"/>
                <w:lang w:val="en-US"/>
              </w:rPr>
              <w:t>2 years</w:t>
            </w:r>
          </w:p>
        </w:tc>
        <w:tc>
          <w:tcPr>
            <w:tcW w:w="594" w:type="pct"/>
            <w:shd w:val="clear" w:color="auto" w:fill="auto"/>
            <w:vAlign w:val="center"/>
          </w:tcPr>
          <w:p w:rsidR="00211142" w:rsidRPr="00C0474D" w:rsidRDefault="00211142" w:rsidP="007F1017">
            <w:pPr>
              <w:jc w:val="center"/>
              <w:rPr>
                <w:rFonts w:ascii="Arial Narrow" w:hAnsi="Arial Narrow"/>
                <w:sz w:val="20"/>
                <w:szCs w:val="16"/>
                <w:lang w:val="en-US"/>
              </w:rPr>
            </w:pPr>
            <w:r w:rsidRPr="00C0474D">
              <w:rPr>
                <w:rFonts w:ascii="Arial Narrow" w:hAnsi="Arial Narrow"/>
                <w:sz w:val="20"/>
                <w:szCs w:val="16"/>
                <w:lang w:val="en-US"/>
              </w:rPr>
              <w:t>Low</w:t>
            </w:r>
          </w:p>
        </w:tc>
        <w:tc>
          <w:tcPr>
            <w:tcW w:w="849" w:type="pct"/>
            <w:shd w:val="clear" w:color="auto" w:fill="auto"/>
            <w:vAlign w:val="center"/>
          </w:tcPr>
          <w:p w:rsidR="00211142" w:rsidRPr="00C0474D" w:rsidRDefault="00211142" w:rsidP="007F1017">
            <w:pPr>
              <w:jc w:val="center"/>
              <w:rPr>
                <w:rFonts w:ascii="Arial Narrow" w:hAnsi="Arial Narrow"/>
                <w:sz w:val="20"/>
                <w:szCs w:val="16"/>
                <w:lang w:val="en-US"/>
              </w:rPr>
            </w:pPr>
            <w:r w:rsidRPr="00C0474D">
              <w:rPr>
                <w:rFonts w:ascii="Arial Narrow" w:hAnsi="Arial Narrow"/>
                <w:sz w:val="20"/>
                <w:szCs w:val="16"/>
                <w:lang w:val="en-US"/>
              </w:rPr>
              <w:t>Active RRMS</w:t>
            </w:r>
          </w:p>
        </w:tc>
        <w:tc>
          <w:tcPr>
            <w:tcW w:w="1348" w:type="pct"/>
            <w:shd w:val="clear" w:color="auto" w:fill="auto"/>
            <w:vAlign w:val="center"/>
          </w:tcPr>
          <w:p w:rsidR="00211142" w:rsidRPr="00C0474D" w:rsidRDefault="00211142" w:rsidP="009A045B">
            <w:pPr>
              <w:jc w:val="center"/>
              <w:rPr>
                <w:rFonts w:ascii="Arial Narrow" w:hAnsi="Arial Narrow"/>
                <w:sz w:val="20"/>
                <w:szCs w:val="16"/>
                <w:lang w:val="en-US"/>
              </w:rPr>
            </w:pPr>
            <w:r w:rsidRPr="00C0474D">
              <w:rPr>
                <w:rFonts w:ascii="Arial Narrow" w:hAnsi="Arial Narrow"/>
                <w:sz w:val="20"/>
                <w:szCs w:val="16"/>
                <w:lang w:val="en-US"/>
              </w:rPr>
              <w:t xml:space="preserve">Relapse rates, </w:t>
            </w:r>
          </w:p>
          <w:p w:rsidR="00211142" w:rsidRPr="00C0474D" w:rsidRDefault="00211142" w:rsidP="007F1017">
            <w:pPr>
              <w:jc w:val="center"/>
              <w:rPr>
                <w:rFonts w:ascii="Arial Narrow" w:hAnsi="Arial Narrow"/>
                <w:sz w:val="20"/>
                <w:szCs w:val="16"/>
                <w:lang w:val="en-US"/>
              </w:rPr>
            </w:pPr>
            <w:r w:rsidRPr="00C0474D">
              <w:rPr>
                <w:rFonts w:ascii="Arial Narrow" w:hAnsi="Arial Narrow"/>
                <w:sz w:val="20"/>
                <w:szCs w:val="16"/>
                <w:lang w:val="en-US"/>
              </w:rPr>
              <w:t>disability progression</w:t>
            </w:r>
          </w:p>
        </w:tc>
      </w:tr>
      <w:tr w:rsidR="00211142" w:rsidRPr="00C0474D" w:rsidTr="00211142">
        <w:tc>
          <w:tcPr>
            <w:tcW w:w="775" w:type="pct"/>
            <w:shd w:val="clear" w:color="auto" w:fill="auto"/>
            <w:vAlign w:val="center"/>
          </w:tcPr>
          <w:p w:rsidR="00211142" w:rsidRPr="00C0474D" w:rsidRDefault="00211142" w:rsidP="007F1017">
            <w:pPr>
              <w:jc w:val="left"/>
              <w:rPr>
                <w:rFonts w:ascii="Arial Narrow" w:hAnsi="Arial Narrow"/>
                <w:sz w:val="20"/>
                <w:szCs w:val="16"/>
                <w:lang w:val="en-US"/>
              </w:rPr>
            </w:pPr>
            <w:r w:rsidRPr="00C0474D">
              <w:rPr>
                <w:rFonts w:ascii="Arial Narrow" w:hAnsi="Arial Narrow"/>
                <w:sz w:val="20"/>
                <w:szCs w:val="16"/>
                <w:lang w:val="en-US"/>
              </w:rPr>
              <w:t>Meta-analysis</w:t>
            </w:r>
          </w:p>
        </w:tc>
        <w:tc>
          <w:tcPr>
            <w:tcW w:w="436" w:type="pct"/>
            <w:shd w:val="clear" w:color="auto" w:fill="auto"/>
            <w:vAlign w:val="center"/>
          </w:tcPr>
          <w:p w:rsidR="00211142" w:rsidRPr="00C0474D" w:rsidRDefault="00211142" w:rsidP="007F1017">
            <w:pPr>
              <w:jc w:val="center"/>
              <w:rPr>
                <w:rFonts w:ascii="Arial Narrow" w:hAnsi="Arial Narrow"/>
                <w:sz w:val="20"/>
                <w:szCs w:val="16"/>
                <w:lang w:val="en-US"/>
              </w:rPr>
            </w:pPr>
            <w:r w:rsidRPr="00C0474D">
              <w:rPr>
                <w:rFonts w:ascii="Arial Narrow" w:hAnsi="Arial Narrow"/>
                <w:sz w:val="20"/>
                <w:szCs w:val="16"/>
                <w:lang w:val="en-US"/>
              </w:rPr>
              <w:t>2,355</w:t>
            </w:r>
          </w:p>
        </w:tc>
        <w:tc>
          <w:tcPr>
            <w:tcW w:w="2441" w:type="pct"/>
            <w:gridSpan w:val="3"/>
            <w:shd w:val="clear" w:color="auto" w:fill="auto"/>
            <w:vAlign w:val="center"/>
          </w:tcPr>
          <w:p w:rsidR="00211142" w:rsidRPr="00C0474D" w:rsidRDefault="00211142" w:rsidP="007F1017">
            <w:pPr>
              <w:jc w:val="center"/>
              <w:rPr>
                <w:rFonts w:ascii="Arial Narrow" w:hAnsi="Arial Narrow"/>
                <w:sz w:val="20"/>
                <w:szCs w:val="16"/>
                <w:lang w:val="en-US"/>
              </w:rPr>
            </w:pPr>
            <w:r w:rsidRPr="00C0474D">
              <w:rPr>
                <w:rFonts w:ascii="Arial Narrow" w:hAnsi="Arial Narrow"/>
                <w:sz w:val="20"/>
                <w:szCs w:val="16"/>
                <w:lang w:val="en-US"/>
              </w:rPr>
              <w:t>Included FREEDOMS and FREEDOMS II results</w:t>
            </w:r>
          </w:p>
        </w:tc>
        <w:tc>
          <w:tcPr>
            <w:tcW w:w="1348" w:type="pct"/>
            <w:shd w:val="clear" w:color="auto" w:fill="auto"/>
            <w:vAlign w:val="center"/>
          </w:tcPr>
          <w:p w:rsidR="00211142" w:rsidRPr="00C0474D" w:rsidRDefault="00211142" w:rsidP="00211142">
            <w:pPr>
              <w:jc w:val="center"/>
              <w:rPr>
                <w:rFonts w:ascii="Arial Narrow" w:hAnsi="Arial Narrow"/>
                <w:sz w:val="20"/>
                <w:szCs w:val="16"/>
                <w:lang w:val="en-US"/>
              </w:rPr>
            </w:pPr>
            <w:r w:rsidRPr="00C0474D">
              <w:rPr>
                <w:rFonts w:ascii="Arial Narrow" w:hAnsi="Arial Narrow"/>
                <w:sz w:val="20"/>
                <w:szCs w:val="16"/>
                <w:lang w:val="en-US"/>
              </w:rPr>
              <w:t xml:space="preserve">Relapse rates, </w:t>
            </w:r>
          </w:p>
          <w:p w:rsidR="00211142" w:rsidRPr="00C0474D" w:rsidRDefault="00211142" w:rsidP="00211142">
            <w:pPr>
              <w:jc w:val="center"/>
              <w:rPr>
                <w:rFonts w:ascii="Arial Narrow" w:hAnsi="Arial Narrow"/>
                <w:sz w:val="20"/>
                <w:szCs w:val="16"/>
                <w:lang w:val="en-US"/>
              </w:rPr>
            </w:pPr>
            <w:r w:rsidRPr="00C0474D">
              <w:rPr>
                <w:rFonts w:ascii="Arial Narrow" w:hAnsi="Arial Narrow"/>
                <w:sz w:val="20"/>
                <w:szCs w:val="16"/>
                <w:lang w:val="en-US"/>
              </w:rPr>
              <w:t>disability progression</w:t>
            </w:r>
          </w:p>
        </w:tc>
      </w:tr>
      <w:tr w:rsidR="00211142" w:rsidRPr="00C0474D" w:rsidTr="005528B2">
        <w:tc>
          <w:tcPr>
            <w:tcW w:w="5000" w:type="pct"/>
            <w:gridSpan w:val="6"/>
            <w:shd w:val="clear" w:color="auto" w:fill="auto"/>
            <w:vAlign w:val="center"/>
          </w:tcPr>
          <w:p w:rsidR="00211142" w:rsidRPr="00C0474D" w:rsidRDefault="00211142" w:rsidP="005528B2">
            <w:pPr>
              <w:jc w:val="left"/>
              <w:rPr>
                <w:rFonts w:ascii="Arial Narrow" w:hAnsi="Arial Narrow"/>
                <w:sz w:val="20"/>
                <w:szCs w:val="16"/>
                <w:lang w:val="en-US"/>
              </w:rPr>
            </w:pPr>
            <w:proofErr w:type="spellStart"/>
            <w:r w:rsidRPr="00C0474D">
              <w:rPr>
                <w:rFonts w:ascii="Arial Narrow" w:hAnsi="Arial Narrow"/>
                <w:b/>
                <w:sz w:val="20"/>
                <w:szCs w:val="16"/>
                <w:lang w:val="en-US"/>
              </w:rPr>
              <w:t>Fingolimod</w:t>
            </w:r>
            <w:proofErr w:type="spellEnd"/>
            <w:r w:rsidRPr="00C0474D">
              <w:rPr>
                <w:rFonts w:ascii="Arial Narrow" w:hAnsi="Arial Narrow"/>
                <w:b/>
                <w:sz w:val="20"/>
                <w:szCs w:val="16"/>
                <w:lang w:val="en-US"/>
              </w:rPr>
              <w:t xml:space="preserve"> vs. IM interferon beta-1a</w:t>
            </w:r>
          </w:p>
        </w:tc>
      </w:tr>
      <w:tr w:rsidR="00211142" w:rsidRPr="00C0474D" w:rsidTr="00211142">
        <w:tc>
          <w:tcPr>
            <w:tcW w:w="775" w:type="pct"/>
            <w:shd w:val="clear" w:color="auto" w:fill="auto"/>
            <w:vAlign w:val="center"/>
          </w:tcPr>
          <w:p w:rsidR="00211142" w:rsidRPr="00C0474D" w:rsidRDefault="00211142" w:rsidP="007F1017">
            <w:pPr>
              <w:jc w:val="left"/>
              <w:rPr>
                <w:rFonts w:ascii="Arial Narrow" w:hAnsi="Arial Narrow"/>
                <w:sz w:val="20"/>
                <w:szCs w:val="16"/>
                <w:lang w:val="en-US"/>
              </w:rPr>
            </w:pPr>
            <w:r w:rsidRPr="00C0474D">
              <w:rPr>
                <w:rFonts w:ascii="Arial Narrow" w:hAnsi="Arial Narrow"/>
                <w:sz w:val="20"/>
                <w:szCs w:val="16"/>
                <w:lang w:val="en-US"/>
              </w:rPr>
              <w:t>TRANSFORMS</w:t>
            </w:r>
          </w:p>
        </w:tc>
        <w:tc>
          <w:tcPr>
            <w:tcW w:w="436" w:type="pct"/>
            <w:shd w:val="clear" w:color="auto" w:fill="auto"/>
            <w:vAlign w:val="center"/>
          </w:tcPr>
          <w:p w:rsidR="00211142" w:rsidRPr="00C0474D" w:rsidRDefault="00211142" w:rsidP="007F1017">
            <w:pPr>
              <w:jc w:val="center"/>
              <w:rPr>
                <w:rFonts w:ascii="Arial Narrow" w:hAnsi="Arial Narrow"/>
                <w:sz w:val="20"/>
                <w:szCs w:val="16"/>
                <w:lang w:val="en-US"/>
              </w:rPr>
            </w:pPr>
            <w:r w:rsidRPr="00C0474D">
              <w:rPr>
                <w:rFonts w:ascii="Arial Narrow" w:hAnsi="Arial Narrow"/>
                <w:sz w:val="20"/>
                <w:szCs w:val="16"/>
                <w:lang w:val="en-US"/>
              </w:rPr>
              <w:t>1,292</w:t>
            </w:r>
          </w:p>
        </w:tc>
        <w:tc>
          <w:tcPr>
            <w:tcW w:w="998" w:type="pct"/>
            <w:shd w:val="clear" w:color="auto" w:fill="auto"/>
            <w:vAlign w:val="center"/>
          </w:tcPr>
          <w:p w:rsidR="00211142" w:rsidRPr="00C0474D" w:rsidRDefault="00211142" w:rsidP="009A045B">
            <w:pPr>
              <w:jc w:val="center"/>
              <w:rPr>
                <w:rFonts w:ascii="Arial Narrow" w:hAnsi="Arial Narrow"/>
                <w:sz w:val="20"/>
                <w:szCs w:val="16"/>
                <w:lang w:val="en-US"/>
              </w:rPr>
            </w:pPr>
            <w:r w:rsidRPr="00C0474D">
              <w:rPr>
                <w:rFonts w:ascii="Arial Narrow" w:hAnsi="Arial Narrow"/>
                <w:sz w:val="20"/>
                <w:szCs w:val="16"/>
                <w:lang w:val="en-US"/>
              </w:rPr>
              <w:t>MC, R, DB</w:t>
            </w:r>
          </w:p>
          <w:p w:rsidR="00211142" w:rsidRPr="00C0474D" w:rsidRDefault="00211142" w:rsidP="007F1017">
            <w:pPr>
              <w:jc w:val="center"/>
              <w:rPr>
                <w:rFonts w:ascii="Arial Narrow" w:hAnsi="Arial Narrow"/>
                <w:sz w:val="20"/>
                <w:szCs w:val="16"/>
                <w:lang w:val="en-US"/>
              </w:rPr>
            </w:pPr>
            <w:r w:rsidRPr="00C0474D">
              <w:rPr>
                <w:rFonts w:ascii="Arial Narrow" w:hAnsi="Arial Narrow"/>
                <w:sz w:val="20"/>
                <w:szCs w:val="16"/>
                <w:lang w:val="en-US"/>
              </w:rPr>
              <w:t>1 year</w:t>
            </w:r>
          </w:p>
        </w:tc>
        <w:tc>
          <w:tcPr>
            <w:tcW w:w="594" w:type="pct"/>
            <w:shd w:val="clear" w:color="auto" w:fill="auto"/>
            <w:vAlign w:val="center"/>
          </w:tcPr>
          <w:p w:rsidR="00211142" w:rsidRPr="00C0474D" w:rsidRDefault="00211142" w:rsidP="007F1017">
            <w:pPr>
              <w:jc w:val="center"/>
              <w:rPr>
                <w:rFonts w:ascii="Arial Narrow" w:hAnsi="Arial Narrow"/>
                <w:sz w:val="20"/>
                <w:szCs w:val="16"/>
                <w:lang w:val="en-US"/>
              </w:rPr>
            </w:pPr>
            <w:r w:rsidRPr="00C0474D">
              <w:rPr>
                <w:rFonts w:ascii="Arial Narrow" w:hAnsi="Arial Narrow"/>
                <w:sz w:val="20"/>
                <w:szCs w:val="16"/>
                <w:lang w:val="en-US"/>
              </w:rPr>
              <w:t>Low</w:t>
            </w:r>
          </w:p>
        </w:tc>
        <w:tc>
          <w:tcPr>
            <w:tcW w:w="849" w:type="pct"/>
            <w:shd w:val="clear" w:color="auto" w:fill="auto"/>
            <w:vAlign w:val="center"/>
          </w:tcPr>
          <w:p w:rsidR="00211142" w:rsidRPr="00C0474D" w:rsidRDefault="00211142" w:rsidP="007F1017">
            <w:pPr>
              <w:jc w:val="center"/>
              <w:rPr>
                <w:rFonts w:ascii="Arial Narrow" w:hAnsi="Arial Narrow"/>
                <w:sz w:val="20"/>
                <w:szCs w:val="16"/>
                <w:lang w:val="en-US"/>
              </w:rPr>
            </w:pPr>
            <w:r w:rsidRPr="00C0474D">
              <w:rPr>
                <w:rFonts w:ascii="Arial Narrow" w:hAnsi="Arial Narrow"/>
                <w:sz w:val="20"/>
                <w:szCs w:val="16"/>
                <w:lang w:val="en-US"/>
              </w:rPr>
              <w:t>Active RRMS</w:t>
            </w:r>
          </w:p>
        </w:tc>
        <w:tc>
          <w:tcPr>
            <w:tcW w:w="1348" w:type="pct"/>
            <w:shd w:val="clear" w:color="auto" w:fill="auto"/>
            <w:vAlign w:val="center"/>
          </w:tcPr>
          <w:p w:rsidR="00211142" w:rsidRPr="00C0474D" w:rsidRDefault="00211142" w:rsidP="009A045B">
            <w:pPr>
              <w:jc w:val="center"/>
              <w:rPr>
                <w:rFonts w:ascii="Arial Narrow" w:hAnsi="Arial Narrow"/>
                <w:sz w:val="20"/>
                <w:szCs w:val="16"/>
                <w:lang w:val="en-US"/>
              </w:rPr>
            </w:pPr>
            <w:r w:rsidRPr="00C0474D">
              <w:rPr>
                <w:rFonts w:ascii="Arial Narrow" w:hAnsi="Arial Narrow"/>
                <w:sz w:val="20"/>
                <w:szCs w:val="16"/>
                <w:lang w:val="en-US"/>
              </w:rPr>
              <w:t xml:space="preserve">Relapse rates, </w:t>
            </w:r>
          </w:p>
          <w:p w:rsidR="00211142" w:rsidRPr="00C0474D" w:rsidRDefault="00211142" w:rsidP="007F1017">
            <w:pPr>
              <w:jc w:val="center"/>
              <w:rPr>
                <w:rFonts w:ascii="Arial Narrow" w:hAnsi="Arial Narrow"/>
                <w:sz w:val="20"/>
                <w:szCs w:val="16"/>
                <w:lang w:val="en-US"/>
              </w:rPr>
            </w:pPr>
            <w:r w:rsidRPr="00C0474D">
              <w:rPr>
                <w:rFonts w:ascii="Arial Narrow" w:hAnsi="Arial Narrow"/>
                <w:sz w:val="20"/>
                <w:szCs w:val="16"/>
                <w:lang w:val="en-US"/>
              </w:rPr>
              <w:t>disability progression</w:t>
            </w:r>
          </w:p>
        </w:tc>
      </w:tr>
    </w:tbl>
    <w:p w:rsidR="007F1017" w:rsidRPr="00C0474D" w:rsidRDefault="00211142" w:rsidP="00211142">
      <w:pPr>
        <w:pStyle w:val="TableFooter"/>
        <w:ind w:left="720"/>
      </w:pPr>
      <w:r w:rsidRPr="00C0474D">
        <w:t>Abbreviations: DB, double blind; IM, intramuscular; MC, multi-centre</w:t>
      </w:r>
      <w:r w:rsidR="007F1017" w:rsidRPr="00C0474D">
        <w:t xml:space="preserve">; </w:t>
      </w:r>
      <w:r w:rsidRPr="00C0474D">
        <w:t xml:space="preserve">R, </w:t>
      </w:r>
      <w:r w:rsidR="007F1017" w:rsidRPr="00C0474D">
        <w:t>randomised</w:t>
      </w:r>
      <w:r w:rsidRPr="00C0474D">
        <w:t>; RRMS, relapsing-remitting multiple sclerosis</w:t>
      </w:r>
    </w:p>
    <w:p w:rsidR="00B60939" w:rsidRPr="00C0474D" w:rsidRDefault="007F1017" w:rsidP="00E22A0D">
      <w:pPr>
        <w:pStyle w:val="TableFooter"/>
        <w:ind w:firstLine="720"/>
        <w:rPr>
          <w:szCs w:val="18"/>
        </w:rPr>
      </w:pPr>
      <w:r w:rsidRPr="00C0474D">
        <w:rPr>
          <w:szCs w:val="18"/>
        </w:rPr>
        <w:t>So</w:t>
      </w:r>
      <w:r w:rsidR="00211142" w:rsidRPr="00C0474D">
        <w:rPr>
          <w:szCs w:val="18"/>
        </w:rPr>
        <w:t>urce: Constructed</w:t>
      </w:r>
      <w:r w:rsidRPr="00C0474D">
        <w:rPr>
          <w:szCs w:val="18"/>
        </w:rPr>
        <w:t xml:space="preserve"> during the evaluation</w:t>
      </w:r>
    </w:p>
    <w:p w:rsidR="00B60939" w:rsidRPr="00C0474D" w:rsidRDefault="00B60939" w:rsidP="00B60939">
      <w:pPr>
        <w:rPr>
          <w:szCs w:val="22"/>
        </w:rPr>
      </w:pPr>
    </w:p>
    <w:p w:rsidR="00211142" w:rsidRPr="005F1038" w:rsidRDefault="00211142" w:rsidP="005F1038">
      <w:pPr>
        <w:pStyle w:val="ListParagraph"/>
        <w:widowControl/>
        <w:numPr>
          <w:ilvl w:val="1"/>
          <w:numId w:val="9"/>
        </w:numPr>
        <w:ind w:left="720" w:hanging="720"/>
      </w:pPr>
      <w:r w:rsidRPr="005F1038">
        <w:t xml:space="preserve">There were differences </w:t>
      </w:r>
      <w:r w:rsidR="008F3C8C" w:rsidRPr="005F1038">
        <w:t xml:space="preserve">across the trials </w:t>
      </w:r>
      <w:r w:rsidRPr="005F1038">
        <w:t>in treatment durations</w:t>
      </w:r>
      <w:r w:rsidR="00F30728" w:rsidRPr="005F1038">
        <w:t xml:space="preserve">; with the SELECT and </w:t>
      </w:r>
      <w:r w:rsidRPr="005F1038">
        <w:t xml:space="preserve"> TRANSFORMS studies having a one year duration; the FREED</w:t>
      </w:r>
      <w:r w:rsidR="00F30728" w:rsidRPr="005F1038">
        <w:t>OMS and FREEDOMS II studies having</w:t>
      </w:r>
      <w:r w:rsidRPr="005F1038">
        <w:t xml:space="preserve"> a two year duration; and the DECIDE study having a 2-3 year duration</w:t>
      </w:r>
      <w:r w:rsidR="00F30728" w:rsidRPr="005F1038">
        <w:t xml:space="preserve">. The submission attempted to address this issue by </w:t>
      </w:r>
      <w:r w:rsidR="0063385B" w:rsidRPr="005F1038">
        <w:t>limiting analyses to matched</w:t>
      </w:r>
      <w:r w:rsidR="00F30728" w:rsidRPr="005F1038">
        <w:t xml:space="preserve"> time points as well as using outcome measures that incorporate a time component (annualised relapse rates, time-to-event analyses).</w:t>
      </w:r>
    </w:p>
    <w:p w:rsidR="00211142" w:rsidRPr="00C0474D" w:rsidRDefault="00211142" w:rsidP="00211142">
      <w:pPr>
        <w:ind w:left="709"/>
        <w:rPr>
          <w:szCs w:val="22"/>
        </w:rPr>
      </w:pPr>
    </w:p>
    <w:p w:rsidR="00E36C7D" w:rsidRPr="005F1038" w:rsidRDefault="00211142" w:rsidP="005F1038">
      <w:pPr>
        <w:pStyle w:val="ListParagraph"/>
        <w:widowControl/>
        <w:numPr>
          <w:ilvl w:val="1"/>
          <w:numId w:val="9"/>
        </w:numPr>
        <w:ind w:left="720" w:hanging="720"/>
      </w:pPr>
      <w:r w:rsidRPr="005F1038">
        <w:t xml:space="preserve">There were differences </w:t>
      </w:r>
      <w:r w:rsidR="008F3C8C" w:rsidRPr="005F1038">
        <w:t xml:space="preserve">across the trials </w:t>
      </w:r>
      <w:r w:rsidRPr="005F1038">
        <w:t xml:space="preserve">in the enrolled patient populations; with the </w:t>
      </w:r>
      <w:proofErr w:type="spellStart"/>
      <w:r w:rsidRPr="005F1038">
        <w:t>daclizumab</w:t>
      </w:r>
      <w:proofErr w:type="spellEnd"/>
      <w:r w:rsidRPr="005F1038">
        <w:t xml:space="preserve"> trials (SELECT, DECIDE) generally including patients with higher baseline disabilit</w:t>
      </w:r>
      <w:r w:rsidR="00F30728" w:rsidRPr="005F1038">
        <w:t xml:space="preserve">y and </w:t>
      </w:r>
      <w:r w:rsidR="002F06D2" w:rsidRPr="005F1038">
        <w:t>magnetic resonance imaging (</w:t>
      </w:r>
      <w:r w:rsidR="00F30728" w:rsidRPr="005F1038">
        <w:t>MRI</w:t>
      </w:r>
      <w:r w:rsidR="002F06D2" w:rsidRPr="005F1038">
        <w:t>)</w:t>
      </w:r>
      <w:r w:rsidR="00F30728" w:rsidRPr="005F1038">
        <w:t xml:space="preserve"> disease activity and</w:t>
      </w:r>
      <w:r w:rsidRPr="005F1038">
        <w:t xml:space="preserve"> the </w:t>
      </w:r>
      <w:proofErr w:type="spellStart"/>
      <w:r w:rsidRPr="005F1038">
        <w:t>fingolimod</w:t>
      </w:r>
      <w:proofErr w:type="spellEnd"/>
      <w:r w:rsidRPr="005F1038">
        <w:t xml:space="preserve"> trials (FREEDOMS, FREEDOMS II, TRANSFORMS) </w:t>
      </w:r>
      <w:r w:rsidR="008F3C8C" w:rsidRPr="005F1038">
        <w:t xml:space="preserve">generally </w:t>
      </w:r>
      <w:r w:rsidRPr="005F1038">
        <w:t>including more treatment-experienced patients with longer durations of the disease</w:t>
      </w:r>
      <w:r w:rsidR="00F30728" w:rsidRPr="005F1038">
        <w:t>.</w:t>
      </w:r>
    </w:p>
    <w:p w:rsidR="00211142" w:rsidRPr="00C0474D" w:rsidRDefault="00211142" w:rsidP="00B60939">
      <w:pPr>
        <w:rPr>
          <w:szCs w:val="22"/>
        </w:rPr>
      </w:pPr>
    </w:p>
    <w:p w:rsidR="00B60939" w:rsidRPr="00C0474D" w:rsidRDefault="00B60939" w:rsidP="00D44DDE">
      <w:pPr>
        <w:pStyle w:val="Heading2"/>
      </w:pPr>
      <w:bookmarkStart w:id="9" w:name="_Toc450127246"/>
      <w:r w:rsidRPr="00C0474D">
        <w:t>Comparative effectiveness</w:t>
      </w:r>
      <w:bookmarkEnd w:id="9"/>
    </w:p>
    <w:p w:rsidR="00B60939" w:rsidRPr="00C0474D" w:rsidRDefault="00B60939" w:rsidP="008E6D36">
      <w:pPr>
        <w:keepNext/>
        <w:keepLines/>
        <w:rPr>
          <w:szCs w:val="22"/>
        </w:rPr>
      </w:pPr>
    </w:p>
    <w:p w:rsidR="000328F6" w:rsidRPr="005F1038" w:rsidRDefault="008F3C8C" w:rsidP="005F1038">
      <w:pPr>
        <w:pStyle w:val="ListParagraph"/>
        <w:widowControl/>
        <w:numPr>
          <w:ilvl w:val="1"/>
          <w:numId w:val="9"/>
        </w:numPr>
        <w:ind w:left="720" w:hanging="720"/>
      </w:pPr>
      <w:r w:rsidRPr="005F1038">
        <w:t>The results of the i</w:t>
      </w:r>
      <w:r w:rsidR="004B00F1" w:rsidRPr="005F1038">
        <w:t xml:space="preserve">ndirect comparison of </w:t>
      </w:r>
      <w:proofErr w:type="spellStart"/>
      <w:r w:rsidR="004B00F1" w:rsidRPr="005F1038">
        <w:t>daclizumab</w:t>
      </w:r>
      <w:proofErr w:type="spellEnd"/>
      <w:r w:rsidR="004B00F1" w:rsidRPr="005F1038">
        <w:t xml:space="preserve"> v</w:t>
      </w:r>
      <w:r w:rsidR="002927F6" w:rsidRPr="005F1038">
        <w:t>ersu</w:t>
      </w:r>
      <w:r w:rsidR="004B00F1" w:rsidRPr="005F1038">
        <w:t xml:space="preserve">s </w:t>
      </w:r>
      <w:proofErr w:type="spellStart"/>
      <w:r w:rsidR="004B00F1" w:rsidRPr="005F1038">
        <w:t>fingolimod</w:t>
      </w:r>
      <w:proofErr w:type="spellEnd"/>
      <w:r w:rsidR="004B00F1" w:rsidRPr="005F1038">
        <w:t xml:space="preserve"> using placebo </w:t>
      </w:r>
      <w:r w:rsidRPr="005F1038">
        <w:t xml:space="preserve">as the </w:t>
      </w:r>
      <w:r w:rsidR="004B00F1" w:rsidRPr="005F1038">
        <w:t>common comparator</w:t>
      </w:r>
      <w:r w:rsidRPr="005F1038">
        <w:t xml:space="preserve"> is presented in the table below</w:t>
      </w:r>
      <w:r w:rsidR="004B00F1" w:rsidRPr="005F1038">
        <w:t>.</w:t>
      </w:r>
    </w:p>
    <w:p w:rsidR="007F1017" w:rsidRPr="00C0474D" w:rsidRDefault="007F1017" w:rsidP="007F1017">
      <w:pPr>
        <w:widowControl/>
        <w:rPr>
          <w:szCs w:val="22"/>
        </w:rPr>
      </w:pPr>
    </w:p>
    <w:p w:rsidR="004B00F1" w:rsidRPr="00C0474D" w:rsidRDefault="004B00F1" w:rsidP="00D57FBB">
      <w:pPr>
        <w:keepNext/>
        <w:ind w:firstLine="720"/>
        <w:rPr>
          <w:rFonts w:ascii="Arial Narrow" w:hAnsi="Arial Narrow"/>
          <w:b/>
          <w:sz w:val="20"/>
        </w:rPr>
      </w:pPr>
      <w:r w:rsidRPr="00C0474D">
        <w:rPr>
          <w:rFonts w:ascii="Arial Narrow" w:hAnsi="Arial Narrow"/>
          <w:b/>
          <w:sz w:val="20"/>
        </w:rPr>
        <w:t xml:space="preserve">Table 3: Indirect comparison </w:t>
      </w:r>
      <w:proofErr w:type="spellStart"/>
      <w:r w:rsidRPr="00C0474D">
        <w:rPr>
          <w:rFonts w:ascii="Arial Narrow" w:hAnsi="Arial Narrow"/>
          <w:b/>
          <w:sz w:val="20"/>
        </w:rPr>
        <w:t>daclizumab</w:t>
      </w:r>
      <w:proofErr w:type="spellEnd"/>
      <w:r w:rsidRPr="00C0474D">
        <w:rPr>
          <w:rFonts w:ascii="Arial Narrow" w:hAnsi="Arial Narrow"/>
          <w:b/>
          <w:sz w:val="20"/>
        </w:rPr>
        <w:t xml:space="preserve"> vs. </w:t>
      </w:r>
      <w:proofErr w:type="spellStart"/>
      <w:r w:rsidRPr="00C0474D">
        <w:rPr>
          <w:rFonts w:ascii="Arial Narrow" w:hAnsi="Arial Narrow"/>
          <w:b/>
          <w:sz w:val="20"/>
        </w:rPr>
        <w:t>fingolimod</w:t>
      </w:r>
      <w:proofErr w:type="spellEnd"/>
      <w:r w:rsidRPr="00C0474D">
        <w:rPr>
          <w:rFonts w:ascii="Arial Narrow" w:hAnsi="Arial Narrow"/>
          <w:b/>
          <w:sz w:val="20"/>
        </w:rPr>
        <w:t xml:space="preserve"> using a placebo common comparator </w:t>
      </w:r>
    </w:p>
    <w:tbl>
      <w:tblPr>
        <w:tblW w:w="4517" w:type="pct"/>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9"/>
        <w:gridCol w:w="1250"/>
        <w:gridCol w:w="1250"/>
        <w:gridCol w:w="1251"/>
        <w:gridCol w:w="2689"/>
      </w:tblGrid>
      <w:tr w:rsidR="004B00F1" w:rsidRPr="00C0474D" w:rsidTr="000B76A6">
        <w:trPr>
          <w:tblHeader/>
        </w:trPr>
        <w:tc>
          <w:tcPr>
            <w:tcW w:w="1909" w:type="dxa"/>
            <w:tcBorders>
              <w:left w:val="single" w:sz="4" w:space="0" w:color="auto"/>
              <w:bottom w:val="single" w:sz="4" w:space="0" w:color="auto"/>
              <w:right w:val="single" w:sz="4" w:space="0" w:color="auto"/>
            </w:tcBorders>
            <w:tcMar>
              <w:right w:w="28" w:type="dxa"/>
            </w:tcMar>
            <w:vAlign w:val="center"/>
          </w:tcPr>
          <w:p w:rsidR="004B00F1" w:rsidRPr="00C0474D" w:rsidRDefault="004B00F1" w:rsidP="000B76A6">
            <w:pPr>
              <w:pStyle w:val="TableHeading"/>
              <w:spacing w:before="0" w:after="0"/>
              <w:jc w:val="center"/>
              <w:rPr>
                <w:rFonts w:cs="Arial"/>
              </w:rPr>
            </w:pPr>
            <w:r w:rsidRPr="00C0474D">
              <w:rPr>
                <w:rFonts w:cs="Arial"/>
              </w:rPr>
              <w:t>Trial</w:t>
            </w:r>
          </w:p>
        </w:tc>
        <w:tc>
          <w:tcPr>
            <w:tcW w:w="1250" w:type="dxa"/>
            <w:tcBorders>
              <w:top w:val="single" w:sz="4" w:space="0" w:color="auto"/>
              <w:left w:val="nil"/>
              <w:right w:val="single" w:sz="4" w:space="0" w:color="auto"/>
            </w:tcBorders>
            <w:vAlign w:val="center"/>
          </w:tcPr>
          <w:p w:rsidR="004B00F1" w:rsidRPr="00C0474D" w:rsidRDefault="004B00F1" w:rsidP="000B76A6">
            <w:pPr>
              <w:pStyle w:val="TableHeading"/>
              <w:spacing w:before="0" w:after="0"/>
              <w:jc w:val="center"/>
              <w:rPr>
                <w:rFonts w:cs="Arial"/>
              </w:rPr>
            </w:pPr>
            <w:proofErr w:type="spellStart"/>
            <w:r w:rsidRPr="00C0474D">
              <w:rPr>
                <w:rFonts w:cs="Arial"/>
              </w:rPr>
              <w:t>Daclizumab</w:t>
            </w:r>
            <w:proofErr w:type="spellEnd"/>
          </w:p>
          <w:p w:rsidR="004B00F1" w:rsidRPr="00C0474D" w:rsidRDefault="004B00F1" w:rsidP="000B76A6">
            <w:pPr>
              <w:pStyle w:val="TableHeading"/>
              <w:spacing w:before="0" w:after="0"/>
              <w:jc w:val="center"/>
              <w:rPr>
                <w:rFonts w:cs="Arial"/>
              </w:rPr>
            </w:pPr>
            <w:r w:rsidRPr="00C0474D">
              <w:rPr>
                <w:rFonts w:cs="Arial"/>
              </w:rPr>
              <w:t>150</w:t>
            </w:r>
            <w:r w:rsidR="001D01C3" w:rsidRPr="00C0474D">
              <w:rPr>
                <w:rFonts w:cs="Arial"/>
              </w:rPr>
              <w:t> </w:t>
            </w:r>
            <w:r w:rsidRPr="00C0474D">
              <w:rPr>
                <w:rFonts w:cs="Arial"/>
              </w:rPr>
              <w:t>mg</w:t>
            </w:r>
          </w:p>
        </w:tc>
        <w:tc>
          <w:tcPr>
            <w:tcW w:w="1250" w:type="dxa"/>
            <w:tcBorders>
              <w:top w:val="single" w:sz="4" w:space="0" w:color="auto"/>
              <w:left w:val="single" w:sz="4" w:space="0" w:color="auto"/>
              <w:right w:val="single" w:sz="4" w:space="0" w:color="auto"/>
            </w:tcBorders>
            <w:vAlign w:val="center"/>
          </w:tcPr>
          <w:p w:rsidR="004B00F1" w:rsidRPr="00C0474D" w:rsidRDefault="004B00F1" w:rsidP="000B76A6">
            <w:pPr>
              <w:pStyle w:val="TableHeading"/>
              <w:spacing w:before="0" w:after="0"/>
              <w:jc w:val="center"/>
              <w:rPr>
                <w:rFonts w:cs="Arial"/>
              </w:rPr>
            </w:pPr>
            <w:r w:rsidRPr="00C0474D">
              <w:rPr>
                <w:rFonts w:cs="Arial"/>
              </w:rPr>
              <w:t>Placebo</w:t>
            </w:r>
          </w:p>
        </w:tc>
        <w:tc>
          <w:tcPr>
            <w:tcW w:w="1251" w:type="dxa"/>
            <w:tcBorders>
              <w:top w:val="single" w:sz="4" w:space="0" w:color="auto"/>
              <w:left w:val="single" w:sz="4" w:space="0" w:color="auto"/>
              <w:right w:val="double" w:sz="4" w:space="0" w:color="auto"/>
            </w:tcBorders>
            <w:vAlign w:val="center"/>
          </w:tcPr>
          <w:p w:rsidR="004B00F1" w:rsidRPr="00C0474D" w:rsidRDefault="004B00F1" w:rsidP="000B76A6">
            <w:pPr>
              <w:pStyle w:val="TableHeading"/>
              <w:spacing w:before="0" w:after="0"/>
              <w:jc w:val="center"/>
              <w:rPr>
                <w:rFonts w:cs="Arial"/>
              </w:rPr>
            </w:pPr>
            <w:proofErr w:type="spellStart"/>
            <w:r w:rsidRPr="00C0474D">
              <w:rPr>
                <w:rFonts w:cs="Arial"/>
              </w:rPr>
              <w:t>Fingolimod</w:t>
            </w:r>
            <w:proofErr w:type="spellEnd"/>
          </w:p>
          <w:p w:rsidR="004B00F1" w:rsidRPr="00C0474D" w:rsidRDefault="004B00F1" w:rsidP="000B76A6">
            <w:pPr>
              <w:pStyle w:val="TableHeading"/>
              <w:spacing w:before="0" w:after="0"/>
              <w:jc w:val="center"/>
              <w:rPr>
                <w:rFonts w:cs="Arial"/>
              </w:rPr>
            </w:pPr>
            <w:r w:rsidRPr="00C0474D">
              <w:rPr>
                <w:rFonts w:cs="Arial"/>
              </w:rPr>
              <w:t>0.5</w:t>
            </w:r>
            <w:r w:rsidR="001D01C3" w:rsidRPr="00C0474D">
              <w:rPr>
                <w:rFonts w:cs="Arial"/>
              </w:rPr>
              <w:t> </w:t>
            </w:r>
            <w:r w:rsidRPr="00C0474D">
              <w:rPr>
                <w:rFonts w:cs="Arial"/>
              </w:rPr>
              <w:t>mg</w:t>
            </w:r>
          </w:p>
        </w:tc>
        <w:tc>
          <w:tcPr>
            <w:tcW w:w="2689" w:type="dxa"/>
            <w:tcBorders>
              <w:left w:val="double" w:sz="4" w:space="0" w:color="auto"/>
              <w:right w:val="single" w:sz="4" w:space="0" w:color="auto"/>
            </w:tcBorders>
            <w:vAlign w:val="center"/>
          </w:tcPr>
          <w:p w:rsidR="004B00F1" w:rsidRPr="00C0474D" w:rsidRDefault="004B00F1" w:rsidP="000B76A6">
            <w:pPr>
              <w:pStyle w:val="TableHeading"/>
              <w:spacing w:before="0" w:after="0"/>
              <w:jc w:val="center"/>
              <w:rPr>
                <w:rFonts w:cs="Arial"/>
              </w:rPr>
            </w:pPr>
            <w:r w:rsidRPr="00C0474D">
              <w:rPr>
                <w:rFonts w:cs="Arial"/>
              </w:rPr>
              <w:t xml:space="preserve">Treatment difference </w:t>
            </w:r>
          </w:p>
          <w:p w:rsidR="004B00F1" w:rsidRPr="00C0474D" w:rsidRDefault="004B00F1" w:rsidP="000B76A6">
            <w:pPr>
              <w:pStyle w:val="TableHeading"/>
              <w:spacing w:before="0" w:after="0"/>
              <w:jc w:val="center"/>
              <w:rPr>
                <w:rFonts w:cs="Arial"/>
              </w:rPr>
            </w:pPr>
            <w:r w:rsidRPr="00C0474D">
              <w:rPr>
                <w:rFonts w:cs="Arial"/>
              </w:rPr>
              <w:t>(95% CI)</w:t>
            </w:r>
          </w:p>
        </w:tc>
      </w:tr>
      <w:tr w:rsidR="004B00F1" w:rsidRPr="00C0474D" w:rsidTr="000B76A6">
        <w:tc>
          <w:tcPr>
            <w:tcW w:w="8349" w:type="dxa"/>
            <w:gridSpan w:val="5"/>
            <w:tcBorders>
              <w:top w:val="single" w:sz="4" w:space="0" w:color="auto"/>
              <w:left w:val="single" w:sz="4" w:space="0" w:color="auto"/>
              <w:bottom w:val="single" w:sz="4" w:space="0" w:color="auto"/>
              <w:right w:val="single" w:sz="4" w:space="0" w:color="auto"/>
            </w:tcBorders>
            <w:tcMar>
              <w:right w:w="28" w:type="dxa"/>
            </w:tcMar>
            <w:vAlign w:val="center"/>
          </w:tcPr>
          <w:p w:rsidR="004B00F1" w:rsidRPr="00C0474D" w:rsidRDefault="004B00F1" w:rsidP="000B76A6">
            <w:pPr>
              <w:pStyle w:val="TableText0"/>
              <w:keepNext w:val="0"/>
              <w:spacing w:before="0" w:after="0"/>
              <w:rPr>
                <w:rFonts w:cs="Arial"/>
                <w:b/>
                <w:vertAlign w:val="superscript"/>
              </w:rPr>
            </w:pPr>
            <w:r w:rsidRPr="00C0474D">
              <w:rPr>
                <w:rFonts w:cs="Arial"/>
                <w:b/>
              </w:rPr>
              <w:t>Annualised relapse rate (95% CI)</w:t>
            </w:r>
          </w:p>
        </w:tc>
      </w:tr>
      <w:tr w:rsidR="004B00F1" w:rsidRPr="00C0474D" w:rsidTr="000B76A6">
        <w:tc>
          <w:tcPr>
            <w:tcW w:w="1909" w:type="dxa"/>
            <w:tcBorders>
              <w:top w:val="single" w:sz="4" w:space="0" w:color="auto"/>
              <w:left w:val="single" w:sz="4" w:space="0" w:color="auto"/>
              <w:bottom w:val="single" w:sz="4" w:space="0" w:color="auto"/>
              <w:right w:val="single" w:sz="4" w:space="0" w:color="auto"/>
            </w:tcBorders>
            <w:tcMar>
              <w:right w:w="28" w:type="dxa"/>
            </w:tcMar>
            <w:vAlign w:val="center"/>
          </w:tcPr>
          <w:p w:rsidR="004B00F1" w:rsidRPr="00C0474D" w:rsidRDefault="004B00F1" w:rsidP="000B76A6">
            <w:pPr>
              <w:pStyle w:val="TableText0"/>
              <w:keepNext w:val="0"/>
              <w:spacing w:before="0" w:after="0"/>
              <w:rPr>
                <w:rFonts w:cs="Arial"/>
              </w:rPr>
            </w:pPr>
            <w:r w:rsidRPr="00C0474D">
              <w:rPr>
                <w:rFonts w:cs="Arial"/>
              </w:rPr>
              <w:t>SELECT, 1 year</w:t>
            </w:r>
          </w:p>
          <w:p w:rsidR="004B00F1" w:rsidRPr="00C0474D" w:rsidRDefault="004B00F1" w:rsidP="000B76A6">
            <w:pPr>
              <w:pStyle w:val="TableText0"/>
              <w:keepNext w:val="0"/>
              <w:spacing w:before="0" w:after="0"/>
              <w:rPr>
                <w:rFonts w:cs="Arial"/>
              </w:rPr>
            </w:pPr>
            <w:r w:rsidRPr="00C0474D">
              <w:rPr>
                <w:rFonts w:cs="Arial"/>
              </w:rPr>
              <w:t>(N = 397)</w:t>
            </w:r>
          </w:p>
        </w:tc>
        <w:tc>
          <w:tcPr>
            <w:tcW w:w="1250" w:type="dxa"/>
            <w:tcBorders>
              <w:top w:val="single" w:sz="4" w:space="0" w:color="auto"/>
              <w:left w:val="single" w:sz="4" w:space="0" w:color="auto"/>
              <w:bottom w:val="single" w:sz="4" w:space="0" w:color="auto"/>
              <w:right w:val="single" w:sz="4" w:space="0" w:color="auto"/>
            </w:tcBorders>
            <w:vAlign w:val="center"/>
          </w:tcPr>
          <w:p w:rsidR="004B00F1" w:rsidRPr="00C0474D" w:rsidRDefault="004B00F1" w:rsidP="000B76A6">
            <w:pPr>
              <w:pStyle w:val="TableText0"/>
              <w:keepNext w:val="0"/>
              <w:spacing w:before="0" w:after="0"/>
              <w:jc w:val="center"/>
              <w:rPr>
                <w:rFonts w:cs="Arial"/>
              </w:rPr>
            </w:pPr>
            <w:r w:rsidRPr="00C0474D">
              <w:rPr>
                <w:rFonts w:cs="Arial"/>
              </w:rPr>
              <w:t xml:space="preserve">0.21 </w:t>
            </w:r>
          </w:p>
          <w:p w:rsidR="004B00F1" w:rsidRPr="00C0474D" w:rsidRDefault="004B00F1" w:rsidP="000B76A6">
            <w:pPr>
              <w:pStyle w:val="TableText0"/>
              <w:keepNext w:val="0"/>
              <w:spacing w:before="0" w:after="0"/>
              <w:jc w:val="center"/>
              <w:rPr>
                <w:rFonts w:cs="Arial"/>
              </w:rPr>
            </w:pPr>
            <w:r w:rsidRPr="00C0474D">
              <w:rPr>
                <w:rFonts w:cs="Arial"/>
              </w:rPr>
              <w:t>(0.16, 0.29)</w:t>
            </w:r>
          </w:p>
        </w:tc>
        <w:tc>
          <w:tcPr>
            <w:tcW w:w="1250" w:type="dxa"/>
            <w:tcBorders>
              <w:top w:val="single" w:sz="4" w:space="0" w:color="auto"/>
              <w:left w:val="single" w:sz="4" w:space="0" w:color="auto"/>
              <w:bottom w:val="single" w:sz="4" w:space="0" w:color="auto"/>
              <w:right w:val="single" w:sz="4" w:space="0" w:color="auto"/>
            </w:tcBorders>
            <w:vAlign w:val="center"/>
          </w:tcPr>
          <w:p w:rsidR="004B00F1" w:rsidRPr="00C0474D" w:rsidRDefault="004B00F1" w:rsidP="000B76A6">
            <w:pPr>
              <w:pStyle w:val="TableText0"/>
              <w:keepNext w:val="0"/>
              <w:spacing w:before="0" w:after="0"/>
              <w:jc w:val="center"/>
              <w:rPr>
                <w:rFonts w:cs="Arial"/>
              </w:rPr>
            </w:pPr>
            <w:r w:rsidRPr="00C0474D">
              <w:rPr>
                <w:rFonts w:cs="Arial"/>
              </w:rPr>
              <w:t xml:space="preserve">0.46 </w:t>
            </w:r>
          </w:p>
          <w:p w:rsidR="004B00F1" w:rsidRPr="00C0474D" w:rsidRDefault="004B00F1" w:rsidP="000B76A6">
            <w:pPr>
              <w:pStyle w:val="TableText0"/>
              <w:keepNext w:val="0"/>
              <w:spacing w:before="0" w:after="0"/>
              <w:jc w:val="center"/>
              <w:rPr>
                <w:rFonts w:cs="Arial"/>
              </w:rPr>
            </w:pPr>
            <w:r w:rsidRPr="00C0474D">
              <w:rPr>
                <w:rFonts w:cs="Arial"/>
              </w:rPr>
              <w:t>(0.37, 0.57)</w:t>
            </w:r>
          </w:p>
        </w:tc>
        <w:tc>
          <w:tcPr>
            <w:tcW w:w="1251" w:type="dxa"/>
            <w:tcBorders>
              <w:top w:val="single" w:sz="4" w:space="0" w:color="auto"/>
              <w:left w:val="single" w:sz="4" w:space="0" w:color="auto"/>
              <w:bottom w:val="single" w:sz="4" w:space="0" w:color="auto"/>
              <w:right w:val="double" w:sz="4" w:space="0" w:color="auto"/>
            </w:tcBorders>
            <w:vAlign w:val="center"/>
          </w:tcPr>
          <w:p w:rsidR="004B00F1" w:rsidRPr="00C0474D" w:rsidRDefault="004B00F1" w:rsidP="000B76A6">
            <w:pPr>
              <w:pStyle w:val="TableText0"/>
              <w:keepNext w:val="0"/>
              <w:spacing w:before="0" w:after="0"/>
              <w:jc w:val="center"/>
              <w:rPr>
                <w:rFonts w:cs="Arial"/>
              </w:rPr>
            </w:pPr>
            <w:r w:rsidRPr="00C0474D">
              <w:rPr>
                <w:rFonts w:cs="Arial"/>
              </w:rPr>
              <w:t>-</w:t>
            </w:r>
          </w:p>
        </w:tc>
        <w:tc>
          <w:tcPr>
            <w:tcW w:w="2689" w:type="dxa"/>
            <w:tcBorders>
              <w:top w:val="single" w:sz="4" w:space="0" w:color="auto"/>
              <w:left w:val="double" w:sz="4" w:space="0" w:color="auto"/>
              <w:bottom w:val="single" w:sz="4" w:space="0" w:color="auto"/>
              <w:right w:val="single" w:sz="4" w:space="0" w:color="auto"/>
            </w:tcBorders>
            <w:vAlign w:val="center"/>
          </w:tcPr>
          <w:p w:rsidR="004B00F1" w:rsidRPr="00C0474D" w:rsidRDefault="004B00F1" w:rsidP="000B76A6">
            <w:pPr>
              <w:pStyle w:val="TableText0"/>
              <w:keepNext w:val="0"/>
              <w:spacing w:before="0" w:after="0"/>
              <w:jc w:val="center"/>
              <w:rPr>
                <w:rFonts w:cs="Arial"/>
                <w:b/>
              </w:rPr>
            </w:pPr>
            <w:r w:rsidRPr="00C0474D">
              <w:rPr>
                <w:rFonts w:cs="Arial"/>
                <w:b/>
              </w:rPr>
              <w:t>Rate ratio: 0.46 (0.32, 0.67)</w:t>
            </w:r>
          </w:p>
        </w:tc>
      </w:tr>
      <w:tr w:rsidR="004B00F1" w:rsidRPr="00C0474D" w:rsidTr="000B76A6">
        <w:tc>
          <w:tcPr>
            <w:tcW w:w="1909" w:type="dxa"/>
            <w:tcBorders>
              <w:top w:val="single" w:sz="4" w:space="0" w:color="auto"/>
              <w:left w:val="single" w:sz="4" w:space="0" w:color="auto"/>
              <w:bottom w:val="single" w:sz="4" w:space="0" w:color="auto"/>
              <w:right w:val="single" w:sz="4" w:space="0" w:color="auto"/>
            </w:tcBorders>
            <w:tcMar>
              <w:right w:w="28" w:type="dxa"/>
            </w:tcMar>
            <w:vAlign w:val="center"/>
          </w:tcPr>
          <w:p w:rsidR="004B00F1" w:rsidRPr="00C0474D" w:rsidRDefault="004B00F1" w:rsidP="000B76A6">
            <w:pPr>
              <w:pStyle w:val="TableText0"/>
              <w:keepNext w:val="0"/>
              <w:spacing w:before="0" w:after="0"/>
              <w:rPr>
                <w:rFonts w:cs="Arial"/>
              </w:rPr>
            </w:pPr>
            <w:r w:rsidRPr="00C0474D">
              <w:rPr>
                <w:rFonts w:cs="Arial"/>
              </w:rPr>
              <w:t>FREEDOMS, 2 year</w:t>
            </w:r>
          </w:p>
          <w:p w:rsidR="004B00F1" w:rsidRPr="00C0474D" w:rsidRDefault="004B00F1" w:rsidP="000B76A6">
            <w:pPr>
              <w:pStyle w:val="TableText0"/>
              <w:keepNext w:val="0"/>
              <w:spacing w:before="0" w:after="0"/>
              <w:rPr>
                <w:rFonts w:cs="Arial"/>
              </w:rPr>
            </w:pPr>
            <w:r w:rsidRPr="00C0474D">
              <w:rPr>
                <w:rFonts w:cs="Arial"/>
              </w:rPr>
              <w:t>(N = 843)</w:t>
            </w:r>
          </w:p>
        </w:tc>
        <w:tc>
          <w:tcPr>
            <w:tcW w:w="1250" w:type="dxa"/>
            <w:tcBorders>
              <w:top w:val="single" w:sz="4" w:space="0" w:color="auto"/>
              <w:left w:val="single" w:sz="4" w:space="0" w:color="auto"/>
              <w:bottom w:val="single" w:sz="4" w:space="0" w:color="auto"/>
              <w:right w:val="single" w:sz="4" w:space="0" w:color="auto"/>
            </w:tcBorders>
            <w:vAlign w:val="center"/>
          </w:tcPr>
          <w:p w:rsidR="004B00F1" w:rsidRPr="00C0474D" w:rsidRDefault="004B00F1" w:rsidP="000B76A6">
            <w:pPr>
              <w:pStyle w:val="TableText0"/>
              <w:keepNext w:val="0"/>
              <w:spacing w:before="0" w:after="0"/>
              <w:jc w:val="center"/>
              <w:rPr>
                <w:rFonts w:cs="Arial"/>
              </w:rPr>
            </w:pPr>
            <w:r w:rsidRPr="00C0474D">
              <w:rPr>
                <w:rFonts w:cs="Arial"/>
              </w:rPr>
              <w:t>-</w:t>
            </w:r>
          </w:p>
        </w:tc>
        <w:tc>
          <w:tcPr>
            <w:tcW w:w="1250" w:type="dxa"/>
            <w:tcBorders>
              <w:top w:val="single" w:sz="4" w:space="0" w:color="auto"/>
              <w:left w:val="single" w:sz="4" w:space="0" w:color="auto"/>
              <w:bottom w:val="single" w:sz="4" w:space="0" w:color="auto"/>
              <w:right w:val="single" w:sz="4" w:space="0" w:color="auto"/>
            </w:tcBorders>
            <w:vAlign w:val="center"/>
          </w:tcPr>
          <w:p w:rsidR="004B00F1" w:rsidRPr="00C0474D" w:rsidRDefault="004B00F1" w:rsidP="000B76A6">
            <w:pPr>
              <w:pStyle w:val="TableText0"/>
              <w:keepNext w:val="0"/>
              <w:spacing w:before="0" w:after="0"/>
              <w:jc w:val="center"/>
              <w:rPr>
                <w:rFonts w:cs="Arial"/>
              </w:rPr>
            </w:pPr>
            <w:r w:rsidRPr="00C0474D">
              <w:rPr>
                <w:rFonts w:cs="Arial"/>
              </w:rPr>
              <w:t xml:space="preserve">0.40 </w:t>
            </w:r>
          </w:p>
          <w:p w:rsidR="004B00F1" w:rsidRPr="00C0474D" w:rsidRDefault="004B00F1" w:rsidP="000B76A6">
            <w:pPr>
              <w:pStyle w:val="TableText0"/>
              <w:keepNext w:val="0"/>
              <w:spacing w:before="0" w:after="0"/>
              <w:jc w:val="center"/>
              <w:rPr>
                <w:rFonts w:cs="Arial"/>
              </w:rPr>
            </w:pPr>
            <w:r w:rsidRPr="00C0474D">
              <w:rPr>
                <w:rFonts w:cs="Arial"/>
              </w:rPr>
              <w:t>(0.34, 0.47)</w:t>
            </w:r>
          </w:p>
        </w:tc>
        <w:tc>
          <w:tcPr>
            <w:tcW w:w="1251" w:type="dxa"/>
            <w:tcBorders>
              <w:top w:val="single" w:sz="4" w:space="0" w:color="auto"/>
              <w:left w:val="single" w:sz="4" w:space="0" w:color="auto"/>
              <w:bottom w:val="single" w:sz="4" w:space="0" w:color="auto"/>
              <w:right w:val="double" w:sz="4" w:space="0" w:color="auto"/>
            </w:tcBorders>
            <w:vAlign w:val="center"/>
          </w:tcPr>
          <w:p w:rsidR="004B00F1" w:rsidRPr="00C0474D" w:rsidRDefault="004B00F1" w:rsidP="000B76A6">
            <w:pPr>
              <w:pStyle w:val="TableText0"/>
              <w:keepNext w:val="0"/>
              <w:spacing w:before="0" w:after="0"/>
              <w:jc w:val="center"/>
              <w:rPr>
                <w:rFonts w:cs="Arial"/>
              </w:rPr>
            </w:pPr>
            <w:r w:rsidRPr="00C0474D">
              <w:rPr>
                <w:rFonts w:cs="Arial"/>
              </w:rPr>
              <w:t xml:space="preserve">0.18 </w:t>
            </w:r>
          </w:p>
          <w:p w:rsidR="004B00F1" w:rsidRPr="00C0474D" w:rsidRDefault="004B00F1" w:rsidP="000B76A6">
            <w:pPr>
              <w:pStyle w:val="TableText0"/>
              <w:keepNext w:val="0"/>
              <w:spacing w:before="0" w:after="0"/>
              <w:jc w:val="center"/>
              <w:rPr>
                <w:rFonts w:cs="Arial"/>
              </w:rPr>
            </w:pPr>
            <w:r w:rsidRPr="00C0474D">
              <w:rPr>
                <w:rFonts w:cs="Arial"/>
              </w:rPr>
              <w:t>(0.15, 0.22)</w:t>
            </w:r>
          </w:p>
        </w:tc>
        <w:tc>
          <w:tcPr>
            <w:tcW w:w="2689" w:type="dxa"/>
            <w:tcBorders>
              <w:top w:val="single" w:sz="4" w:space="0" w:color="auto"/>
              <w:left w:val="double" w:sz="4" w:space="0" w:color="auto"/>
              <w:bottom w:val="single" w:sz="4" w:space="0" w:color="auto"/>
              <w:right w:val="single" w:sz="4" w:space="0" w:color="auto"/>
            </w:tcBorders>
            <w:shd w:val="clear" w:color="auto" w:fill="FFFFFF"/>
            <w:vAlign w:val="center"/>
          </w:tcPr>
          <w:p w:rsidR="004B00F1" w:rsidRPr="00C0474D" w:rsidRDefault="004B00F1" w:rsidP="000B76A6">
            <w:pPr>
              <w:pStyle w:val="TableText0"/>
              <w:spacing w:before="0" w:after="0"/>
              <w:jc w:val="center"/>
              <w:rPr>
                <w:rFonts w:cs="Arial"/>
                <w:b/>
              </w:rPr>
            </w:pPr>
            <w:r w:rsidRPr="00C0474D">
              <w:rPr>
                <w:rFonts w:cs="Arial"/>
                <w:b/>
              </w:rPr>
              <w:t>Rate ratio: 0.45 (0.34, 0.59)</w:t>
            </w:r>
          </w:p>
        </w:tc>
      </w:tr>
      <w:tr w:rsidR="004B00F1" w:rsidRPr="00C0474D" w:rsidTr="000B76A6">
        <w:tc>
          <w:tcPr>
            <w:tcW w:w="1909" w:type="dxa"/>
            <w:tcBorders>
              <w:top w:val="single" w:sz="4" w:space="0" w:color="auto"/>
              <w:left w:val="single" w:sz="4" w:space="0" w:color="auto"/>
              <w:bottom w:val="single" w:sz="4" w:space="0" w:color="auto"/>
              <w:right w:val="single" w:sz="4" w:space="0" w:color="auto"/>
            </w:tcBorders>
            <w:tcMar>
              <w:right w:w="28" w:type="dxa"/>
            </w:tcMar>
            <w:vAlign w:val="center"/>
          </w:tcPr>
          <w:p w:rsidR="004B00F1" w:rsidRPr="00C0474D" w:rsidRDefault="004B00F1" w:rsidP="000B76A6">
            <w:pPr>
              <w:pStyle w:val="TableText0"/>
              <w:keepNext w:val="0"/>
              <w:spacing w:before="0" w:after="0"/>
              <w:rPr>
                <w:rFonts w:cs="Arial"/>
              </w:rPr>
            </w:pPr>
            <w:r w:rsidRPr="00C0474D">
              <w:rPr>
                <w:rFonts w:cs="Arial"/>
              </w:rPr>
              <w:t>FREEDOMS II, 2 year</w:t>
            </w:r>
          </w:p>
          <w:p w:rsidR="004B00F1" w:rsidRPr="00C0474D" w:rsidRDefault="004B00F1" w:rsidP="000B76A6">
            <w:pPr>
              <w:pStyle w:val="TableText0"/>
              <w:keepNext w:val="0"/>
              <w:spacing w:before="0" w:after="0"/>
              <w:rPr>
                <w:rFonts w:cs="Arial"/>
              </w:rPr>
            </w:pPr>
            <w:r w:rsidRPr="00C0474D">
              <w:rPr>
                <w:rFonts w:cs="Arial"/>
              </w:rPr>
              <w:t>(N = 713)</w:t>
            </w:r>
          </w:p>
        </w:tc>
        <w:tc>
          <w:tcPr>
            <w:tcW w:w="1250" w:type="dxa"/>
            <w:tcBorders>
              <w:top w:val="single" w:sz="4" w:space="0" w:color="auto"/>
              <w:left w:val="single" w:sz="4" w:space="0" w:color="auto"/>
              <w:bottom w:val="single" w:sz="4" w:space="0" w:color="auto"/>
              <w:right w:val="single" w:sz="4" w:space="0" w:color="auto"/>
            </w:tcBorders>
            <w:vAlign w:val="center"/>
          </w:tcPr>
          <w:p w:rsidR="004B00F1" w:rsidRPr="00C0474D" w:rsidRDefault="004B00F1" w:rsidP="000B76A6">
            <w:pPr>
              <w:pStyle w:val="TableText0"/>
              <w:keepNext w:val="0"/>
              <w:spacing w:before="0" w:after="0"/>
              <w:jc w:val="center"/>
              <w:rPr>
                <w:rFonts w:cs="Arial"/>
              </w:rPr>
            </w:pPr>
            <w:r w:rsidRPr="00C0474D">
              <w:rPr>
                <w:rFonts w:cs="Arial"/>
              </w:rPr>
              <w:t>-</w:t>
            </w:r>
          </w:p>
        </w:tc>
        <w:tc>
          <w:tcPr>
            <w:tcW w:w="1250" w:type="dxa"/>
            <w:tcBorders>
              <w:top w:val="single" w:sz="4" w:space="0" w:color="auto"/>
              <w:left w:val="single" w:sz="4" w:space="0" w:color="auto"/>
              <w:bottom w:val="single" w:sz="4" w:space="0" w:color="auto"/>
              <w:right w:val="single" w:sz="4" w:space="0" w:color="auto"/>
            </w:tcBorders>
            <w:vAlign w:val="center"/>
          </w:tcPr>
          <w:p w:rsidR="004B00F1" w:rsidRPr="00C0474D" w:rsidRDefault="004B00F1" w:rsidP="000B76A6">
            <w:pPr>
              <w:pStyle w:val="TableText0"/>
              <w:keepNext w:val="0"/>
              <w:spacing w:before="0" w:after="0"/>
              <w:jc w:val="center"/>
              <w:rPr>
                <w:rFonts w:cs="Arial"/>
              </w:rPr>
            </w:pPr>
            <w:r w:rsidRPr="00C0474D">
              <w:rPr>
                <w:rFonts w:cs="Arial"/>
              </w:rPr>
              <w:t xml:space="preserve">0.40 </w:t>
            </w:r>
          </w:p>
          <w:p w:rsidR="004B00F1" w:rsidRPr="00C0474D" w:rsidRDefault="004B00F1" w:rsidP="000B76A6">
            <w:pPr>
              <w:pStyle w:val="TableText0"/>
              <w:keepNext w:val="0"/>
              <w:spacing w:before="0" w:after="0"/>
              <w:jc w:val="center"/>
              <w:rPr>
                <w:rFonts w:cs="Arial"/>
              </w:rPr>
            </w:pPr>
            <w:r w:rsidRPr="00C0474D">
              <w:rPr>
                <w:rFonts w:cs="Arial"/>
              </w:rPr>
              <w:t>(0.34, 0.48)</w:t>
            </w:r>
          </w:p>
        </w:tc>
        <w:tc>
          <w:tcPr>
            <w:tcW w:w="1251" w:type="dxa"/>
            <w:tcBorders>
              <w:top w:val="single" w:sz="4" w:space="0" w:color="auto"/>
              <w:left w:val="single" w:sz="4" w:space="0" w:color="auto"/>
              <w:bottom w:val="single" w:sz="4" w:space="0" w:color="auto"/>
              <w:right w:val="double" w:sz="4" w:space="0" w:color="auto"/>
            </w:tcBorders>
            <w:vAlign w:val="center"/>
          </w:tcPr>
          <w:p w:rsidR="004B00F1" w:rsidRPr="00C0474D" w:rsidRDefault="004B00F1" w:rsidP="000B76A6">
            <w:pPr>
              <w:pStyle w:val="TableText0"/>
              <w:keepNext w:val="0"/>
              <w:spacing w:before="0" w:after="0"/>
              <w:jc w:val="center"/>
              <w:rPr>
                <w:rFonts w:cs="Arial"/>
              </w:rPr>
            </w:pPr>
            <w:r w:rsidRPr="00C0474D">
              <w:rPr>
                <w:rFonts w:cs="Arial"/>
              </w:rPr>
              <w:t xml:space="preserve">0.21 </w:t>
            </w:r>
          </w:p>
          <w:p w:rsidR="004B00F1" w:rsidRPr="00C0474D" w:rsidRDefault="004B00F1" w:rsidP="000B76A6">
            <w:pPr>
              <w:pStyle w:val="TableText0"/>
              <w:keepNext w:val="0"/>
              <w:spacing w:before="0" w:after="0"/>
              <w:jc w:val="center"/>
              <w:rPr>
                <w:rFonts w:cs="Arial"/>
              </w:rPr>
            </w:pPr>
            <w:r w:rsidRPr="00C0474D">
              <w:rPr>
                <w:rFonts w:cs="Arial"/>
              </w:rPr>
              <w:t>(0.17, 0.25)</w:t>
            </w:r>
          </w:p>
        </w:tc>
        <w:tc>
          <w:tcPr>
            <w:tcW w:w="2689" w:type="dxa"/>
            <w:tcBorders>
              <w:top w:val="single" w:sz="4" w:space="0" w:color="auto"/>
              <w:left w:val="double" w:sz="4" w:space="0" w:color="auto"/>
              <w:bottom w:val="single" w:sz="4" w:space="0" w:color="auto"/>
              <w:right w:val="single" w:sz="4" w:space="0" w:color="auto"/>
            </w:tcBorders>
            <w:shd w:val="clear" w:color="auto" w:fill="FFFFFF"/>
            <w:vAlign w:val="center"/>
          </w:tcPr>
          <w:p w:rsidR="004B00F1" w:rsidRPr="00C0474D" w:rsidRDefault="004B00F1" w:rsidP="000B76A6">
            <w:pPr>
              <w:pStyle w:val="TableText0"/>
              <w:spacing w:before="0" w:after="0"/>
              <w:jc w:val="center"/>
              <w:rPr>
                <w:rFonts w:cs="Arial"/>
                <w:b/>
              </w:rPr>
            </w:pPr>
            <w:r w:rsidRPr="00C0474D">
              <w:rPr>
                <w:rFonts w:cs="Arial"/>
                <w:b/>
              </w:rPr>
              <w:t xml:space="preserve">Rate ratio: 0.52 (0.40, 0.66) </w:t>
            </w:r>
          </w:p>
        </w:tc>
      </w:tr>
      <w:tr w:rsidR="004B00F1" w:rsidRPr="00C0474D" w:rsidTr="000B76A6">
        <w:tc>
          <w:tcPr>
            <w:tcW w:w="5660" w:type="dxa"/>
            <w:gridSpan w:val="4"/>
            <w:tcBorders>
              <w:top w:val="single" w:sz="4" w:space="0" w:color="auto"/>
              <w:left w:val="single" w:sz="4" w:space="0" w:color="auto"/>
              <w:bottom w:val="single" w:sz="4" w:space="0" w:color="auto"/>
              <w:right w:val="double" w:sz="4" w:space="0" w:color="auto"/>
            </w:tcBorders>
            <w:tcMar>
              <w:right w:w="28" w:type="dxa"/>
            </w:tcMar>
            <w:vAlign w:val="center"/>
          </w:tcPr>
          <w:p w:rsidR="004B00F1" w:rsidRPr="00C0474D" w:rsidRDefault="004B00F1" w:rsidP="000B76A6">
            <w:pPr>
              <w:pStyle w:val="TableText0"/>
              <w:keepNext w:val="0"/>
              <w:spacing w:before="0" w:after="0"/>
              <w:jc w:val="right"/>
              <w:rPr>
                <w:rFonts w:cs="Arial"/>
              </w:rPr>
            </w:pPr>
            <w:r w:rsidRPr="00C0474D">
              <w:rPr>
                <w:rFonts w:cs="Arial"/>
              </w:rPr>
              <w:t xml:space="preserve">Meta-analysis of </w:t>
            </w:r>
            <w:proofErr w:type="spellStart"/>
            <w:r w:rsidRPr="00C0474D">
              <w:rPr>
                <w:rFonts w:cs="Arial"/>
              </w:rPr>
              <w:t>fingolimod</w:t>
            </w:r>
            <w:proofErr w:type="spellEnd"/>
            <w:r w:rsidRPr="00C0474D">
              <w:rPr>
                <w:rFonts w:cs="Arial"/>
              </w:rPr>
              <w:t xml:space="preserve"> trials (I</w:t>
            </w:r>
            <w:r w:rsidRPr="00C0474D">
              <w:rPr>
                <w:rFonts w:cs="Arial"/>
                <w:vertAlign w:val="superscript"/>
              </w:rPr>
              <w:t>2</w:t>
            </w:r>
            <w:r w:rsidRPr="00C0474D">
              <w:rPr>
                <w:rFonts w:cs="Arial"/>
              </w:rPr>
              <w:t xml:space="preserve"> = 0%)</w:t>
            </w:r>
          </w:p>
        </w:tc>
        <w:tc>
          <w:tcPr>
            <w:tcW w:w="2689" w:type="dxa"/>
            <w:tcBorders>
              <w:top w:val="single" w:sz="4" w:space="0" w:color="auto"/>
              <w:left w:val="double" w:sz="4" w:space="0" w:color="auto"/>
              <w:bottom w:val="single" w:sz="4" w:space="0" w:color="auto"/>
              <w:right w:val="single" w:sz="4" w:space="0" w:color="auto"/>
            </w:tcBorders>
            <w:shd w:val="clear" w:color="auto" w:fill="FFFFFF"/>
            <w:vAlign w:val="center"/>
          </w:tcPr>
          <w:p w:rsidR="004B00F1" w:rsidRPr="00C0474D" w:rsidRDefault="004B00F1" w:rsidP="000B76A6">
            <w:pPr>
              <w:pStyle w:val="TableText0"/>
              <w:spacing w:before="0" w:after="0"/>
              <w:jc w:val="center"/>
              <w:rPr>
                <w:rFonts w:cs="Arial"/>
                <w:b/>
              </w:rPr>
            </w:pPr>
            <w:r w:rsidRPr="00C0474D">
              <w:rPr>
                <w:rFonts w:cs="Arial"/>
                <w:b/>
              </w:rPr>
              <w:t>Rate ratio: 0.49 (0.40, 0.58)</w:t>
            </w:r>
          </w:p>
        </w:tc>
      </w:tr>
      <w:tr w:rsidR="004B00F1" w:rsidRPr="00C0474D" w:rsidTr="000B76A6">
        <w:tc>
          <w:tcPr>
            <w:tcW w:w="5660" w:type="dxa"/>
            <w:gridSpan w:val="4"/>
            <w:tcBorders>
              <w:top w:val="single" w:sz="4" w:space="0" w:color="auto"/>
              <w:left w:val="single" w:sz="4" w:space="0" w:color="auto"/>
              <w:bottom w:val="single" w:sz="4" w:space="0" w:color="auto"/>
              <w:right w:val="double" w:sz="4" w:space="0" w:color="auto"/>
            </w:tcBorders>
            <w:tcMar>
              <w:right w:w="28" w:type="dxa"/>
            </w:tcMar>
            <w:vAlign w:val="center"/>
          </w:tcPr>
          <w:p w:rsidR="004B00F1" w:rsidRPr="00C0474D" w:rsidRDefault="004B00F1" w:rsidP="000B76A6">
            <w:pPr>
              <w:pStyle w:val="TableText0"/>
              <w:spacing w:before="0" w:after="0"/>
              <w:jc w:val="right"/>
              <w:rPr>
                <w:rFonts w:cs="Arial"/>
              </w:rPr>
            </w:pPr>
            <w:r w:rsidRPr="00C0474D">
              <w:rPr>
                <w:rFonts w:cs="Arial"/>
              </w:rPr>
              <w:t xml:space="preserve">Indirect estimate of effect </w:t>
            </w:r>
          </w:p>
          <w:p w:rsidR="004B00F1" w:rsidRPr="00C0474D" w:rsidRDefault="004B00F1" w:rsidP="000B76A6">
            <w:pPr>
              <w:pStyle w:val="TableText0"/>
              <w:keepNext w:val="0"/>
              <w:spacing w:before="0" w:after="0"/>
              <w:jc w:val="right"/>
              <w:rPr>
                <w:rFonts w:cs="Arial"/>
              </w:rPr>
            </w:pPr>
            <w:r w:rsidRPr="00C0474D">
              <w:rPr>
                <w:rFonts w:cs="Arial"/>
              </w:rPr>
              <w:t xml:space="preserve">(results &lt; 1 favour </w:t>
            </w:r>
            <w:proofErr w:type="spellStart"/>
            <w:r w:rsidRPr="00C0474D">
              <w:rPr>
                <w:rFonts w:cs="Arial"/>
              </w:rPr>
              <w:t>daclizumab</w:t>
            </w:r>
            <w:proofErr w:type="spellEnd"/>
            <w:r w:rsidRPr="00C0474D">
              <w:rPr>
                <w:rFonts w:cs="Arial"/>
              </w:rPr>
              <w:t>)</w:t>
            </w:r>
          </w:p>
        </w:tc>
        <w:tc>
          <w:tcPr>
            <w:tcW w:w="2689" w:type="dxa"/>
            <w:tcBorders>
              <w:top w:val="single" w:sz="4" w:space="0" w:color="auto"/>
              <w:left w:val="double" w:sz="4" w:space="0" w:color="auto"/>
              <w:bottom w:val="single" w:sz="4" w:space="0" w:color="auto"/>
              <w:right w:val="single" w:sz="4" w:space="0" w:color="auto"/>
            </w:tcBorders>
            <w:shd w:val="clear" w:color="auto" w:fill="FFFFFF"/>
            <w:vAlign w:val="center"/>
          </w:tcPr>
          <w:p w:rsidR="004B00F1" w:rsidRPr="00C0474D" w:rsidRDefault="004B00F1" w:rsidP="000B76A6">
            <w:pPr>
              <w:pStyle w:val="TableText0"/>
              <w:spacing w:before="0" w:after="0"/>
              <w:jc w:val="center"/>
              <w:rPr>
                <w:rFonts w:cs="Arial"/>
              </w:rPr>
            </w:pPr>
            <w:r w:rsidRPr="00C0474D">
              <w:rPr>
                <w:rFonts w:cs="Arial"/>
              </w:rPr>
              <w:t>Rate ratio: 0.95 (0.63, 1.43)</w:t>
            </w:r>
          </w:p>
        </w:tc>
      </w:tr>
      <w:tr w:rsidR="004B00F1" w:rsidRPr="00C0474D" w:rsidTr="000B76A6">
        <w:tc>
          <w:tcPr>
            <w:tcW w:w="8349" w:type="dxa"/>
            <w:gridSpan w:val="5"/>
            <w:tcBorders>
              <w:top w:val="single" w:sz="4" w:space="0" w:color="auto"/>
              <w:left w:val="single" w:sz="4" w:space="0" w:color="auto"/>
              <w:bottom w:val="single" w:sz="4" w:space="0" w:color="auto"/>
              <w:right w:val="single" w:sz="4" w:space="0" w:color="auto"/>
            </w:tcBorders>
            <w:tcMar>
              <w:right w:w="28" w:type="dxa"/>
            </w:tcMar>
            <w:vAlign w:val="center"/>
          </w:tcPr>
          <w:p w:rsidR="004B00F1" w:rsidRPr="00C0474D" w:rsidRDefault="004B00F1" w:rsidP="000B76A6">
            <w:pPr>
              <w:pStyle w:val="TableText0"/>
              <w:keepNext w:val="0"/>
              <w:spacing w:before="0" w:after="0"/>
              <w:rPr>
                <w:rFonts w:cs="Arial"/>
                <w:b/>
                <w:vertAlign w:val="superscript"/>
              </w:rPr>
            </w:pPr>
            <w:r w:rsidRPr="00C0474D">
              <w:rPr>
                <w:rFonts w:cs="Arial"/>
                <w:b/>
              </w:rPr>
              <w:t>Time to 3-month sustained disability progression, n/N (%)</w:t>
            </w:r>
          </w:p>
        </w:tc>
      </w:tr>
      <w:tr w:rsidR="004B00F1" w:rsidRPr="00C0474D" w:rsidTr="000B76A6">
        <w:tc>
          <w:tcPr>
            <w:tcW w:w="1909" w:type="dxa"/>
            <w:tcBorders>
              <w:top w:val="single" w:sz="4" w:space="0" w:color="auto"/>
              <w:left w:val="single" w:sz="4" w:space="0" w:color="auto"/>
              <w:bottom w:val="single" w:sz="4" w:space="0" w:color="auto"/>
              <w:right w:val="single" w:sz="4" w:space="0" w:color="auto"/>
            </w:tcBorders>
            <w:tcMar>
              <w:right w:w="28" w:type="dxa"/>
            </w:tcMar>
            <w:vAlign w:val="center"/>
          </w:tcPr>
          <w:p w:rsidR="004B00F1" w:rsidRPr="00C0474D" w:rsidRDefault="004B00F1" w:rsidP="000B76A6">
            <w:pPr>
              <w:pStyle w:val="TableText0"/>
              <w:keepNext w:val="0"/>
              <w:spacing w:before="0" w:after="0"/>
              <w:rPr>
                <w:rFonts w:cs="Arial"/>
              </w:rPr>
            </w:pPr>
            <w:r w:rsidRPr="00C0474D">
              <w:rPr>
                <w:rFonts w:cs="Arial"/>
              </w:rPr>
              <w:t>SELECT, 1 year</w:t>
            </w:r>
          </w:p>
          <w:p w:rsidR="004B00F1" w:rsidRPr="00C0474D" w:rsidRDefault="004B00F1" w:rsidP="000B76A6">
            <w:pPr>
              <w:pStyle w:val="TableText0"/>
              <w:keepNext w:val="0"/>
              <w:spacing w:before="0" w:after="0"/>
              <w:rPr>
                <w:rFonts w:cs="Arial"/>
              </w:rPr>
            </w:pPr>
            <w:r w:rsidRPr="00C0474D">
              <w:rPr>
                <w:rFonts w:cs="Arial"/>
              </w:rPr>
              <w:t>(N = 397)</w:t>
            </w:r>
          </w:p>
        </w:tc>
        <w:tc>
          <w:tcPr>
            <w:tcW w:w="1250" w:type="dxa"/>
            <w:tcBorders>
              <w:top w:val="single" w:sz="4" w:space="0" w:color="auto"/>
              <w:left w:val="single" w:sz="4" w:space="0" w:color="auto"/>
              <w:bottom w:val="single" w:sz="4" w:space="0" w:color="auto"/>
              <w:right w:val="single" w:sz="4" w:space="0" w:color="auto"/>
            </w:tcBorders>
            <w:vAlign w:val="center"/>
          </w:tcPr>
          <w:p w:rsidR="004B00F1" w:rsidRPr="00C0474D" w:rsidRDefault="004B00F1" w:rsidP="000B76A6">
            <w:pPr>
              <w:pStyle w:val="TableText0"/>
              <w:keepNext w:val="0"/>
              <w:spacing w:before="0" w:after="0"/>
              <w:jc w:val="center"/>
              <w:rPr>
                <w:rFonts w:cs="Arial"/>
              </w:rPr>
            </w:pPr>
            <w:r w:rsidRPr="00C0474D">
              <w:rPr>
                <w:rFonts w:cs="Arial"/>
              </w:rPr>
              <w:t>12/201</w:t>
            </w:r>
          </w:p>
          <w:p w:rsidR="004B00F1" w:rsidRPr="00C0474D" w:rsidRDefault="004B00F1" w:rsidP="000B76A6">
            <w:pPr>
              <w:pStyle w:val="TableText0"/>
              <w:keepNext w:val="0"/>
              <w:spacing w:before="0" w:after="0"/>
              <w:jc w:val="center"/>
              <w:rPr>
                <w:rFonts w:cs="Arial"/>
              </w:rPr>
            </w:pPr>
            <w:r w:rsidRPr="00C0474D">
              <w:rPr>
                <w:rFonts w:cs="Arial"/>
              </w:rPr>
              <w:t>(6.0%)</w:t>
            </w:r>
          </w:p>
        </w:tc>
        <w:tc>
          <w:tcPr>
            <w:tcW w:w="1250" w:type="dxa"/>
            <w:tcBorders>
              <w:top w:val="single" w:sz="4" w:space="0" w:color="auto"/>
              <w:left w:val="single" w:sz="4" w:space="0" w:color="auto"/>
              <w:bottom w:val="single" w:sz="4" w:space="0" w:color="auto"/>
              <w:right w:val="single" w:sz="4" w:space="0" w:color="auto"/>
            </w:tcBorders>
            <w:vAlign w:val="center"/>
          </w:tcPr>
          <w:p w:rsidR="004B00F1" w:rsidRPr="00C0474D" w:rsidRDefault="004B00F1" w:rsidP="000B76A6">
            <w:pPr>
              <w:pStyle w:val="TableText0"/>
              <w:keepNext w:val="0"/>
              <w:spacing w:before="0" w:after="0"/>
              <w:jc w:val="center"/>
              <w:rPr>
                <w:rFonts w:cs="Arial"/>
              </w:rPr>
            </w:pPr>
            <w:r w:rsidRPr="00C0474D">
              <w:rPr>
                <w:rFonts w:cs="Arial"/>
              </w:rPr>
              <w:t>26/196</w:t>
            </w:r>
          </w:p>
          <w:p w:rsidR="004B00F1" w:rsidRPr="00C0474D" w:rsidRDefault="004B00F1" w:rsidP="000B76A6">
            <w:pPr>
              <w:pStyle w:val="TableText0"/>
              <w:keepNext w:val="0"/>
              <w:spacing w:before="0" w:after="0"/>
              <w:jc w:val="center"/>
              <w:rPr>
                <w:rFonts w:cs="Arial"/>
              </w:rPr>
            </w:pPr>
            <w:r w:rsidRPr="00C0474D">
              <w:rPr>
                <w:rFonts w:cs="Arial"/>
              </w:rPr>
              <w:t>(13.3%)</w:t>
            </w:r>
          </w:p>
        </w:tc>
        <w:tc>
          <w:tcPr>
            <w:tcW w:w="1251" w:type="dxa"/>
            <w:tcBorders>
              <w:top w:val="single" w:sz="4" w:space="0" w:color="auto"/>
              <w:left w:val="single" w:sz="4" w:space="0" w:color="auto"/>
              <w:bottom w:val="single" w:sz="4" w:space="0" w:color="auto"/>
              <w:right w:val="double" w:sz="4" w:space="0" w:color="auto"/>
            </w:tcBorders>
            <w:vAlign w:val="center"/>
          </w:tcPr>
          <w:p w:rsidR="004B00F1" w:rsidRPr="00C0474D" w:rsidRDefault="004B00F1" w:rsidP="000B76A6">
            <w:pPr>
              <w:pStyle w:val="TableText0"/>
              <w:keepNext w:val="0"/>
              <w:spacing w:before="0" w:after="0"/>
              <w:jc w:val="center"/>
              <w:rPr>
                <w:rFonts w:cs="Arial"/>
              </w:rPr>
            </w:pPr>
            <w:r w:rsidRPr="00C0474D">
              <w:rPr>
                <w:rFonts w:cs="Arial"/>
              </w:rPr>
              <w:t>-</w:t>
            </w:r>
          </w:p>
        </w:tc>
        <w:tc>
          <w:tcPr>
            <w:tcW w:w="2689" w:type="dxa"/>
            <w:tcBorders>
              <w:top w:val="single" w:sz="4" w:space="0" w:color="auto"/>
              <w:left w:val="double" w:sz="4" w:space="0" w:color="auto"/>
              <w:bottom w:val="single" w:sz="4" w:space="0" w:color="auto"/>
              <w:right w:val="single" w:sz="4" w:space="0" w:color="auto"/>
            </w:tcBorders>
            <w:vAlign w:val="center"/>
          </w:tcPr>
          <w:p w:rsidR="004B00F1" w:rsidRPr="00C0474D" w:rsidRDefault="004B00F1" w:rsidP="000B76A6">
            <w:pPr>
              <w:pStyle w:val="TableText0"/>
              <w:keepNext w:val="0"/>
              <w:spacing w:before="0" w:after="0"/>
              <w:jc w:val="center"/>
              <w:rPr>
                <w:rFonts w:cs="Arial"/>
                <w:b/>
              </w:rPr>
            </w:pPr>
            <w:r w:rsidRPr="00C0474D">
              <w:rPr>
                <w:rFonts w:cs="Arial"/>
                <w:b/>
              </w:rPr>
              <w:t>Hazard ratio: 0.43 (0.21, 0.88)</w:t>
            </w:r>
          </w:p>
        </w:tc>
      </w:tr>
      <w:tr w:rsidR="004B00F1" w:rsidRPr="00C0474D" w:rsidTr="000B76A6">
        <w:tc>
          <w:tcPr>
            <w:tcW w:w="1909" w:type="dxa"/>
            <w:tcBorders>
              <w:top w:val="single" w:sz="4" w:space="0" w:color="auto"/>
              <w:left w:val="single" w:sz="4" w:space="0" w:color="auto"/>
              <w:bottom w:val="single" w:sz="4" w:space="0" w:color="auto"/>
              <w:right w:val="single" w:sz="4" w:space="0" w:color="auto"/>
            </w:tcBorders>
            <w:tcMar>
              <w:right w:w="28" w:type="dxa"/>
            </w:tcMar>
            <w:vAlign w:val="center"/>
          </w:tcPr>
          <w:p w:rsidR="004B00F1" w:rsidRPr="00C0474D" w:rsidRDefault="004B00F1" w:rsidP="000B76A6">
            <w:pPr>
              <w:pStyle w:val="TableText0"/>
              <w:keepNext w:val="0"/>
              <w:spacing w:before="0" w:after="0"/>
              <w:rPr>
                <w:rFonts w:cs="Arial"/>
              </w:rPr>
            </w:pPr>
            <w:r w:rsidRPr="00C0474D">
              <w:rPr>
                <w:rFonts w:cs="Arial"/>
              </w:rPr>
              <w:t>FREEDOMS, 2 year</w:t>
            </w:r>
          </w:p>
          <w:p w:rsidR="004B00F1" w:rsidRPr="00C0474D" w:rsidRDefault="004B00F1" w:rsidP="000B76A6">
            <w:pPr>
              <w:pStyle w:val="TableText0"/>
              <w:keepNext w:val="0"/>
              <w:spacing w:before="0" w:after="0"/>
              <w:rPr>
                <w:rFonts w:cs="Arial"/>
              </w:rPr>
            </w:pPr>
            <w:r w:rsidRPr="00C0474D">
              <w:rPr>
                <w:rFonts w:cs="Arial"/>
              </w:rPr>
              <w:t>(N = 843)</w:t>
            </w:r>
          </w:p>
        </w:tc>
        <w:tc>
          <w:tcPr>
            <w:tcW w:w="1250" w:type="dxa"/>
            <w:tcBorders>
              <w:top w:val="single" w:sz="4" w:space="0" w:color="auto"/>
              <w:left w:val="single" w:sz="4" w:space="0" w:color="auto"/>
              <w:bottom w:val="single" w:sz="4" w:space="0" w:color="auto"/>
              <w:right w:val="single" w:sz="4" w:space="0" w:color="auto"/>
            </w:tcBorders>
            <w:vAlign w:val="center"/>
          </w:tcPr>
          <w:p w:rsidR="004B00F1" w:rsidRPr="00C0474D" w:rsidRDefault="004B00F1" w:rsidP="000B76A6">
            <w:pPr>
              <w:pStyle w:val="TableText0"/>
              <w:keepNext w:val="0"/>
              <w:spacing w:before="0" w:after="0"/>
              <w:jc w:val="center"/>
              <w:rPr>
                <w:rFonts w:cs="Arial"/>
              </w:rPr>
            </w:pPr>
            <w:r w:rsidRPr="00C0474D">
              <w:rPr>
                <w:rFonts w:cs="Arial"/>
              </w:rPr>
              <w:t>-</w:t>
            </w:r>
          </w:p>
        </w:tc>
        <w:tc>
          <w:tcPr>
            <w:tcW w:w="1250" w:type="dxa"/>
            <w:tcBorders>
              <w:top w:val="single" w:sz="4" w:space="0" w:color="auto"/>
              <w:left w:val="single" w:sz="4" w:space="0" w:color="auto"/>
              <w:bottom w:val="single" w:sz="4" w:space="0" w:color="auto"/>
              <w:right w:val="single" w:sz="4" w:space="0" w:color="auto"/>
            </w:tcBorders>
            <w:vAlign w:val="center"/>
          </w:tcPr>
          <w:p w:rsidR="004B00F1" w:rsidRPr="00C0474D" w:rsidRDefault="004B00F1" w:rsidP="000B76A6">
            <w:pPr>
              <w:pStyle w:val="TableText0"/>
              <w:keepNext w:val="0"/>
              <w:spacing w:before="0" w:after="0"/>
              <w:jc w:val="center"/>
              <w:rPr>
                <w:rFonts w:cs="Arial"/>
              </w:rPr>
            </w:pPr>
            <w:r w:rsidRPr="00C0474D">
              <w:rPr>
                <w:rFonts w:cs="Arial"/>
              </w:rPr>
              <w:t>101/418</w:t>
            </w:r>
          </w:p>
          <w:p w:rsidR="004B00F1" w:rsidRPr="00C0474D" w:rsidRDefault="004B00F1" w:rsidP="000B76A6">
            <w:pPr>
              <w:pStyle w:val="TableText0"/>
              <w:keepNext w:val="0"/>
              <w:spacing w:before="0" w:after="0"/>
              <w:jc w:val="center"/>
              <w:rPr>
                <w:rFonts w:cs="Arial"/>
              </w:rPr>
            </w:pPr>
            <w:r w:rsidRPr="00C0474D">
              <w:rPr>
                <w:rFonts w:cs="Arial"/>
              </w:rPr>
              <w:t>(24.1%)</w:t>
            </w:r>
          </w:p>
        </w:tc>
        <w:tc>
          <w:tcPr>
            <w:tcW w:w="1251" w:type="dxa"/>
            <w:tcBorders>
              <w:top w:val="single" w:sz="4" w:space="0" w:color="auto"/>
              <w:left w:val="single" w:sz="4" w:space="0" w:color="auto"/>
              <w:bottom w:val="single" w:sz="4" w:space="0" w:color="auto"/>
              <w:right w:val="double" w:sz="4" w:space="0" w:color="auto"/>
            </w:tcBorders>
            <w:vAlign w:val="center"/>
          </w:tcPr>
          <w:p w:rsidR="004B00F1" w:rsidRPr="00C0474D" w:rsidRDefault="004B00F1" w:rsidP="000B76A6">
            <w:pPr>
              <w:pStyle w:val="TableText0"/>
              <w:keepNext w:val="0"/>
              <w:spacing w:before="0" w:after="0"/>
              <w:jc w:val="center"/>
              <w:rPr>
                <w:rFonts w:cs="Arial"/>
              </w:rPr>
            </w:pPr>
            <w:r w:rsidRPr="00C0474D">
              <w:rPr>
                <w:rFonts w:cs="Arial"/>
              </w:rPr>
              <w:t>75/425</w:t>
            </w:r>
          </w:p>
          <w:p w:rsidR="004B00F1" w:rsidRPr="00C0474D" w:rsidRDefault="004B00F1" w:rsidP="000B76A6">
            <w:pPr>
              <w:pStyle w:val="TableText0"/>
              <w:keepNext w:val="0"/>
              <w:spacing w:before="0" w:after="0"/>
              <w:jc w:val="center"/>
              <w:rPr>
                <w:rFonts w:cs="Arial"/>
              </w:rPr>
            </w:pPr>
            <w:r w:rsidRPr="00C0474D">
              <w:rPr>
                <w:rFonts w:cs="Arial"/>
              </w:rPr>
              <w:t>(17.7%)</w:t>
            </w:r>
          </w:p>
        </w:tc>
        <w:tc>
          <w:tcPr>
            <w:tcW w:w="2689" w:type="dxa"/>
            <w:tcBorders>
              <w:top w:val="single" w:sz="4" w:space="0" w:color="auto"/>
              <w:left w:val="double" w:sz="4" w:space="0" w:color="auto"/>
              <w:bottom w:val="single" w:sz="4" w:space="0" w:color="auto"/>
              <w:right w:val="single" w:sz="4" w:space="0" w:color="auto"/>
            </w:tcBorders>
            <w:shd w:val="clear" w:color="auto" w:fill="FFFFFF"/>
            <w:vAlign w:val="center"/>
          </w:tcPr>
          <w:p w:rsidR="004B00F1" w:rsidRPr="00C0474D" w:rsidRDefault="004B00F1" w:rsidP="000B76A6">
            <w:pPr>
              <w:pStyle w:val="TableText0"/>
              <w:spacing w:before="0" w:after="0"/>
              <w:jc w:val="center"/>
              <w:rPr>
                <w:rFonts w:cs="Arial"/>
                <w:b/>
              </w:rPr>
            </w:pPr>
            <w:r w:rsidRPr="00C0474D">
              <w:rPr>
                <w:rFonts w:cs="Arial"/>
                <w:b/>
              </w:rPr>
              <w:t>Hazard ratio: 0.70 (0.52, 0.96)</w:t>
            </w:r>
          </w:p>
        </w:tc>
      </w:tr>
      <w:tr w:rsidR="004B00F1" w:rsidRPr="00C0474D" w:rsidTr="000B76A6">
        <w:tc>
          <w:tcPr>
            <w:tcW w:w="1909" w:type="dxa"/>
            <w:tcBorders>
              <w:top w:val="single" w:sz="4" w:space="0" w:color="auto"/>
              <w:left w:val="single" w:sz="4" w:space="0" w:color="auto"/>
              <w:bottom w:val="single" w:sz="4" w:space="0" w:color="auto"/>
              <w:right w:val="single" w:sz="4" w:space="0" w:color="auto"/>
            </w:tcBorders>
            <w:tcMar>
              <w:right w:w="28" w:type="dxa"/>
            </w:tcMar>
            <w:vAlign w:val="center"/>
          </w:tcPr>
          <w:p w:rsidR="004B00F1" w:rsidRPr="00C0474D" w:rsidRDefault="004B00F1" w:rsidP="000B76A6">
            <w:pPr>
              <w:pStyle w:val="TableText0"/>
              <w:keepNext w:val="0"/>
              <w:spacing w:before="0" w:after="0"/>
              <w:rPr>
                <w:rFonts w:cs="Arial"/>
              </w:rPr>
            </w:pPr>
            <w:r w:rsidRPr="00C0474D">
              <w:rPr>
                <w:rFonts w:cs="Arial"/>
              </w:rPr>
              <w:t>FREEDOMS II, 2 year</w:t>
            </w:r>
          </w:p>
          <w:p w:rsidR="004B00F1" w:rsidRPr="00C0474D" w:rsidRDefault="004B00F1" w:rsidP="000B76A6">
            <w:pPr>
              <w:pStyle w:val="TableText0"/>
              <w:keepNext w:val="0"/>
              <w:spacing w:before="0" w:after="0"/>
              <w:rPr>
                <w:rFonts w:cs="Arial"/>
              </w:rPr>
            </w:pPr>
            <w:r w:rsidRPr="00C0474D">
              <w:rPr>
                <w:rFonts w:cs="Arial"/>
              </w:rPr>
              <w:t>(N = 713)</w:t>
            </w:r>
          </w:p>
        </w:tc>
        <w:tc>
          <w:tcPr>
            <w:tcW w:w="1250" w:type="dxa"/>
            <w:tcBorders>
              <w:top w:val="single" w:sz="4" w:space="0" w:color="auto"/>
              <w:left w:val="single" w:sz="4" w:space="0" w:color="auto"/>
              <w:bottom w:val="single" w:sz="4" w:space="0" w:color="auto"/>
              <w:right w:val="single" w:sz="4" w:space="0" w:color="auto"/>
            </w:tcBorders>
            <w:vAlign w:val="center"/>
          </w:tcPr>
          <w:p w:rsidR="004B00F1" w:rsidRPr="00C0474D" w:rsidRDefault="004B00F1" w:rsidP="000B76A6">
            <w:pPr>
              <w:pStyle w:val="TableText0"/>
              <w:keepNext w:val="0"/>
              <w:spacing w:before="0" w:after="0"/>
              <w:jc w:val="center"/>
              <w:rPr>
                <w:rFonts w:cs="Arial"/>
              </w:rPr>
            </w:pPr>
            <w:r w:rsidRPr="00C0474D">
              <w:rPr>
                <w:rFonts w:cs="Arial"/>
              </w:rPr>
              <w:t>-</w:t>
            </w:r>
          </w:p>
        </w:tc>
        <w:tc>
          <w:tcPr>
            <w:tcW w:w="1250" w:type="dxa"/>
            <w:tcBorders>
              <w:top w:val="single" w:sz="4" w:space="0" w:color="auto"/>
              <w:left w:val="single" w:sz="4" w:space="0" w:color="auto"/>
              <w:bottom w:val="single" w:sz="4" w:space="0" w:color="auto"/>
              <w:right w:val="single" w:sz="4" w:space="0" w:color="auto"/>
            </w:tcBorders>
            <w:vAlign w:val="center"/>
          </w:tcPr>
          <w:p w:rsidR="004B00F1" w:rsidRPr="00C0474D" w:rsidRDefault="004B00F1" w:rsidP="000B76A6">
            <w:pPr>
              <w:pStyle w:val="TableText0"/>
              <w:keepNext w:val="0"/>
              <w:spacing w:before="0" w:after="0"/>
              <w:jc w:val="center"/>
              <w:rPr>
                <w:rFonts w:cs="Arial"/>
              </w:rPr>
            </w:pPr>
            <w:r w:rsidRPr="00C0474D">
              <w:rPr>
                <w:rFonts w:cs="Arial"/>
              </w:rPr>
              <w:t>103/355</w:t>
            </w:r>
          </w:p>
          <w:p w:rsidR="004B00F1" w:rsidRPr="00C0474D" w:rsidRDefault="004B00F1" w:rsidP="000B76A6">
            <w:pPr>
              <w:pStyle w:val="TableText0"/>
              <w:keepNext w:val="0"/>
              <w:spacing w:before="0" w:after="0"/>
              <w:jc w:val="center"/>
              <w:rPr>
                <w:rFonts w:cs="Arial"/>
              </w:rPr>
            </w:pPr>
            <w:r w:rsidRPr="00C0474D">
              <w:rPr>
                <w:rFonts w:cs="Arial"/>
              </w:rPr>
              <w:t>(29.0%)</w:t>
            </w:r>
          </w:p>
        </w:tc>
        <w:tc>
          <w:tcPr>
            <w:tcW w:w="1251" w:type="dxa"/>
            <w:tcBorders>
              <w:top w:val="single" w:sz="4" w:space="0" w:color="auto"/>
              <w:left w:val="single" w:sz="4" w:space="0" w:color="auto"/>
              <w:bottom w:val="single" w:sz="4" w:space="0" w:color="auto"/>
              <w:right w:val="double" w:sz="4" w:space="0" w:color="auto"/>
            </w:tcBorders>
            <w:vAlign w:val="center"/>
          </w:tcPr>
          <w:p w:rsidR="004B00F1" w:rsidRPr="00C0474D" w:rsidRDefault="004B00F1" w:rsidP="000B76A6">
            <w:pPr>
              <w:pStyle w:val="TableText0"/>
              <w:keepNext w:val="0"/>
              <w:spacing w:before="0" w:after="0"/>
              <w:jc w:val="center"/>
              <w:rPr>
                <w:rFonts w:cs="Arial"/>
              </w:rPr>
            </w:pPr>
            <w:r w:rsidRPr="00C0474D">
              <w:rPr>
                <w:rFonts w:cs="Arial"/>
              </w:rPr>
              <w:t>91/358</w:t>
            </w:r>
          </w:p>
          <w:p w:rsidR="004B00F1" w:rsidRPr="00C0474D" w:rsidRDefault="004B00F1" w:rsidP="000B76A6">
            <w:pPr>
              <w:pStyle w:val="TableText0"/>
              <w:keepNext w:val="0"/>
              <w:spacing w:before="0" w:after="0"/>
              <w:jc w:val="center"/>
              <w:rPr>
                <w:rFonts w:cs="Arial"/>
              </w:rPr>
            </w:pPr>
            <w:r w:rsidRPr="00C0474D">
              <w:rPr>
                <w:rFonts w:cs="Arial"/>
              </w:rPr>
              <w:t>(25.3%)</w:t>
            </w:r>
          </w:p>
        </w:tc>
        <w:tc>
          <w:tcPr>
            <w:tcW w:w="2689" w:type="dxa"/>
            <w:tcBorders>
              <w:top w:val="single" w:sz="4" w:space="0" w:color="auto"/>
              <w:left w:val="double" w:sz="4" w:space="0" w:color="auto"/>
              <w:bottom w:val="single" w:sz="4" w:space="0" w:color="auto"/>
              <w:right w:val="single" w:sz="4" w:space="0" w:color="auto"/>
            </w:tcBorders>
            <w:shd w:val="clear" w:color="auto" w:fill="FFFFFF"/>
            <w:vAlign w:val="center"/>
          </w:tcPr>
          <w:p w:rsidR="004B00F1" w:rsidRPr="00C0474D" w:rsidRDefault="004B00F1" w:rsidP="000B76A6">
            <w:pPr>
              <w:pStyle w:val="TableText0"/>
              <w:spacing w:before="0" w:after="0"/>
              <w:jc w:val="center"/>
              <w:rPr>
                <w:rFonts w:cs="Arial"/>
              </w:rPr>
            </w:pPr>
            <w:r w:rsidRPr="00C0474D">
              <w:rPr>
                <w:rFonts w:cs="Arial"/>
              </w:rPr>
              <w:t xml:space="preserve">Hazard ratio: 0.83 (0.61, 1.12) </w:t>
            </w:r>
          </w:p>
        </w:tc>
      </w:tr>
      <w:tr w:rsidR="004B00F1" w:rsidRPr="00C0474D" w:rsidTr="000B76A6">
        <w:tc>
          <w:tcPr>
            <w:tcW w:w="5660" w:type="dxa"/>
            <w:gridSpan w:val="4"/>
            <w:tcBorders>
              <w:top w:val="single" w:sz="4" w:space="0" w:color="auto"/>
              <w:left w:val="single" w:sz="4" w:space="0" w:color="auto"/>
              <w:bottom w:val="single" w:sz="4" w:space="0" w:color="auto"/>
              <w:right w:val="double" w:sz="4" w:space="0" w:color="auto"/>
            </w:tcBorders>
            <w:tcMar>
              <w:right w:w="28" w:type="dxa"/>
            </w:tcMar>
            <w:vAlign w:val="center"/>
          </w:tcPr>
          <w:p w:rsidR="004B00F1" w:rsidRPr="00C0474D" w:rsidRDefault="004B00F1" w:rsidP="000B76A6">
            <w:pPr>
              <w:pStyle w:val="TableText0"/>
              <w:keepNext w:val="0"/>
              <w:spacing w:before="0" w:after="0"/>
              <w:jc w:val="right"/>
              <w:rPr>
                <w:rFonts w:cs="Arial"/>
              </w:rPr>
            </w:pPr>
            <w:r w:rsidRPr="00C0474D">
              <w:rPr>
                <w:rFonts w:cs="Arial"/>
              </w:rPr>
              <w:t xml:space="preserve">Meta-analysis of </w:t>
            </w:r>
            <w:proofErr w:type="spellStart"/>
            <w:r w:rsidRPr="00C0474D">
              <w:rPr>
                <w:rFonts w:cs="Arial"/>
              </w:rPr>
              <w:t>fingolimod</w:t>
            </w:r>
            <w:proofErr w:type="spellEnd"/>
            <w:r w:rsidRPr="00C0474D">
              <w:rPr>
                <w:rFonts w:cs="Arial"/>
              </w:rPr>
              <w:t xml:space="preserve"> trials (I</w:t>
            </w:r>
            <w:r w:rsidRPr="00C0474D">
              <w:rPr>
                <w:rFonts w:cs="Arial"/>
                <w:vertAlign w:val="superscript"/>
              </w:rPr>
              <w:t>2</w:t>
            </w:r>
            <w:r w:rsidRPr="00C0474D">
              <w:rPr>
                <w:rFonts w:cs="Arial"/>
              </w:rPr>
              <w:t xml:space="preserve"> = 0%)</w:t>
            </w:r>
          </w:p>
        </w:tc>
        <w:tc>
          <w:tcPr>
            <w:tcW w:w="2689" w:type="dxa"/>
            <w:tcBorders>
              <w:top w:val="single" w:sz="4" w:space="0" w:color="auto"/>
              <w:left w:val="double" w:sz="4" w:space="0" w:color="auto"/>
              <w:bottom w:val="single" w:sz="4" w:space="0" w:color="auto"/>
              <w:right w:val="single" w:sz="4" w:space="0" w:color="auto"/>
            </w:tcBorders>
            <w:shd w:val="clear" w:color="auto" w:fill="FFFFFF"/>
            <w:vAlign w:val="center"/>
          </w:tcPr>
          <w:p w:rsidR="004B00F1" w:rsidRPr="00C0474D" w:rsidRDefault="004B00F1" w:rsidP="000B76A6">
            <w:pPr>
              <w:pStyle w:val="TableText0"/>
              <w:spacing w:before="0" w:after="0"/>
              <w:jc w:val="center"/>
              <w:rPr>
                <w:rFonts w:cs="Arial"/>
                <w:b/>
              </w:rPr>
            </w:pPr>
            <w:r w:rsidRPr="00C0474D">
              <w:rPr>
                <w:rFonts w:cs="Arial"/>
                <w:b/>
              </w:rPr>
              <w:t>Hazard ratio: 0.76 (0.61, 0.95)</w:t>
            </w:r>
          </w:p>
        </w:tc>
      </w:tr>
      <w:tr w:rsidR="004B00F1" w:rsidRPr="00C0474D" w:rsidTr="000B76A6">
        <w:tc>
          <w:tcPr>
            <w:tcW w:w="5660" w:type="dxa"/>
            <w:gridSpan w:val="4"/>
            <w:tcBorders>
              <w:top w:val="single" w:sz="4" w:space="0" w:color="auto"/>
              <w:left w:val="single" w:sz="4" w:space="0" w:color="auto"/>
              <w:bottom w:val="single" w:sz="4" w:space="0" w:color="auto"/>
              <w:right w:val="double" w:sz="4" w:space="0" w:color="auto"/>
            </w:tcBorders>
            <w:tcMar>
              <w:right w:w="28" w:type="dxa"/>
            </w:tcMar>
            <w:vAlign w:val="center"/>
          </w:tcPr>
          <w:p w:rsidR="004B00F1" w:rsidRPr="00C0474D" w:rsidRDefault="004B00F1" w:rsidP="000B76A6">
            <w:pPr>
              <w:pStyle w:val="TableText0"/>
              <w:spacing w:before="0" w:after="0"/>
              <w:jc w:val="right"/>
              <w:rPr>
                <w:rFonts w:cs="Arial"/>
              </w:rPr>
            </w:pPr>
            <w:r w:rsidRPr="00C0474D">
              <w:rPr>
                <w:rFonts w:cs="Arial"/>
              </w:rPr>
              <w:t xml:space="preserve">Indirect estimate of effect </w:t>
            </w:r>
          </w:p>
          <w:p w:rsidR="004B00F1" w:rsidRPr="00C0474D" w:rsidRDefault="004B00F1" w:rsidP="000B76A6">
            <w:pPr>
              <w:pStyle w:val="TableText0"/>
              <w:keepNext w:val="0"/>
              <w:spacing w:before="0" w:after="0"/>
              <w:jc w:val="right"/>
              <w:rPr>
                <w:rFonts w:cs="Arial"/>
              </w:rPr>
            </w:pPr>
            <w:r w:rsidRPr="00C0474D">
              <w:rPr>
                <w:rFonts w:cs="Arial"/>
              </w:rPr>
              <w:t xml:space="preserve">(results &lt; 1 favour </w:t>
            </w:r>
            <w:proofErr w:type="spellStart"/>
            <w:r w:rsidRPr="00C0474D">
              <w:rPr>
                <w:rFonts w:cs="Arial"/>
              </w:rPr>
              <w:t>daclizumab</w:t>
            </w:r>
            <w:proofErr w:type="spellEnd"/>
            <w:r w:rsidRPr="00C0474D">
              <w:rPr>
                <w:rFonts w:cs="Arial"/>
              </w:rPr>
              <w:t>)</w:t>
            </w:r>
          </w:p>
        </w:tc>
        <w:tc>
          <w:tcPr>
            <w:tcW w:w="2689" w:type="dxa"/>
            <w:tcBorders>
              <w:top w:val="single" w:sz="4" w:space="0" w:color="auto"/>
              <w:left w:val="double" w:sz="4" w:space="0" w:color="auto"/>
              <w:bottom w:val="single" w:sz="4" w:space="0" w:color="auto"/>
              <w:right w:val="single" w:sz="4" w:space="0" w:color="auto"/>
            </w:tcBorders>
            <w:shd w:val="clear" w:color="auto" w:fill="FFFFFF"/>
            <w:vAlign w:val="center"/>
          </w:tcPr>
          <w:p w:rsidR="004B00F1" w:rsidRPr="00C0474D" w:rsidRDefault="004B00F1" w:rsidP="000B76A6">
            <w:pPr>
              <w:pStyle w:val="TableText0"/>
              <w:spacing w:before="0" w:after="0"/>
              <w:jc w:val="center"/>
              <w:rPr>
                <w:rFonts w:cs="Arial"/>
              </w:rPr>
            </w:pPr>
            <w:r w:rsidRPr="00C0474D">
              <w:rPr>
                <w:rFonts w:cs="Arial"/>
              </w:rPr>
              <w:t>Hazard ratio: 0.56 (0.27, 1.19)</w:t>
            </w:r>
          </w:p>
        </w:tc>
      </w:tr>
      <w:tr w:rsidR="004B00F1" w:rsidRPr="00C0474D" w:rsidTr="000B76A6">
        <w:tc>
          <w:tcPr>
            <w:tcW w:w="8349" w:type="dxa"/>
            <w:gridSpan w:val="5"/>
            <w:tcBorders>
              <w:top w:val="single" w:sz="4" w:space="0" w:color="auto"/>
              <w:left w:val="single" w:sz="4" w:space="0" w:color="auto"/>
              <w:bottom w:val="single" w:sz="4" w:space="0" w:color="auto"/>
              <w:right w:val="single" w:sz="4" w:space="0" w:color="auto"/>
            </w:tcBorders>
            <w:tcMar>
              <w:right w:w="28" w:type="dxa"/>
            </w:tcMar>
            <w:vAlign w:val="center"/>
          </w:tcPr>
          <w:p w:rsidR="004B00F1" w:rsidRPr="00C0474D" w:rsidRDefault="004B00F1" w:rsidP="000B76A6">
            <w:pPr>
              <w:pStyle w:val="TableText0"/>
              <w:keepNext w:val="0"/>
              <w:spacing w:before="0" w:after="0"/>
              <w:rPr>
                <w:rFonts w:cs="Arial"/>
                <w:b/>
                <w:vertAlign w:val="superscript"/>
              </w:rPr>
            </w:pPr>
            <w:r w:rsidRPr="00C0474D">
              <w:rPr>
                <w:rFonts w:cs="Arial"/>
                <w:b/>
              </w:rPr>
              <w:t>Time to 6-month sustained disability progression, n/N (%)</w:t>
            </w:r>
          </w:p>
        </w:tc>
      </w:tr>
      <w:tr w:rsidR="004B00F1" w:rsidRPr="00C0474D" w:rsidTr="000B76A6">
        <w:tc>
          <w:tcPr>
            <w:tcW w:w="1909" w:type="dxa"/>
            <w:tcBorders>
              <w:top w:val="single" w:sz="4" w:space="0" w:color="auto"/>
              <w:left w:val="single" w:sz="4" w:space="0" w:color="auto"/>
              <w:bottom w:val="single" w:sz="4" w:space="0" w:color="auto"/>
              <w:right w:val="single" w:sz="4" w:space="0" w:color="auto"/>
            </w:tcBorders>
            <w:tcMar>
              <w:right w:w="28" w:type="dxa"/>
            </w:tcMar>
            <w:vAlign w:val="center"/>
          </w:tcPr>
          <w:p w:rsidR="004B00F1" w:rsidRPr="00C0474D" w:rsidRDefault="004B00F1" w:rsidP="000B76A6">
            <w:pPr>
              <w:pStyle w:val="TableText0"/>
              <w:keepNext w:val="0"/>
              <w:spacing w:before="0" w:after="0"/>
              <w:rPr>
                <w:rFonts w:cs="Arial"/>
              </w:rPr>
            </w:pPr>
            <w:r w:rsidRPr="00C0474D">
              <w:rPr>
                <w:rFonts w:cs="Arial"/>
              </w:rPr>
              <w:t>SELECT, 1 year</w:t>
            </w:r>
          </w:p>
          <w:p w:rsidR="004B00F1" w:rsidRPr="00C0474D" w:rsidRDefault="004B00F1" w:rsidP="000B76A6">
            <w:pPr>
              <w:pStyle w:val="TableText0"/>
              <w:keepNext w:val="0"/>
              <w:spacing w:before="0" w:after="0"/>
              <w:rPr>
                <w:rFonts w:cs="Arial"/>
              </w:rPr>
            </w:pPr>
            <w:r w:rsidRPr="00C0474D">
              <w:rPr>
                <w:rFonts w:cs="Arial"/>
              </w:rPr>
              <w:t>(N = 397)</w:t>
            </w:r>
          </w:p>
        </w:tc>
        <w:tc>
          <w:tcPr>
            <w:tcW w:w="1250" w:type="dxa"/>
            <w:tcBorders>
              <w:top w:val="single" w:sz="4" w:space="0" w:color="auto"/>
              <w:left w:val="single" w:sz="4" w:space="0" w:color="auto"/>
              <w:bottom w:val="single" w:sz="4" w:space="0" w:color="auto"/>
              <w:right w:val="single" w:sz="4" w:space="0" w:color="auto"/>
            </w:tcBorders>
            <w:vAlign w:val="center"/>
          </w:tcPr>
          <w:p w:rsidR="004B00F1" w:rsidRPr="00C0474D" w:rsidRDefault="004B00F1" w:rsidP="000B76A6">
            <w:pPr>
              <w:pStyle w:val="TableText0"/>
              <w:keepNext w:val="0"/>
              <w:spacing w:before="0" w:after="0"/>
              <w:jc w:val="center"/>
              <w:rPr>
                <w:rFonts w:cs="Arial"/>
              </w:rPr>
            </w:pPr>
            <w:r w:rsidRPr="00C0474D">
              <w:rPr>
                <w:rFonts w:cs="Arial"/>
              </w:rPr>
              <w:t>5/201</w:t>
            </w:r>
          </w:p>
          <w:p w:rsidR="004B00F1" w:rsidRPr="00C0474D" w:rsidRDefault="004B00F1" w:rsidP="000B76A6">
            <w:pPr>
              <w:pStyle w:val="TableText0"/>
              <w:keepNext w:val="0"/>
              <w:spacing w:before="0" w:after="0"/>
              <w:jc w:val="center"/>
              <w:rPr>
                <w:rFonts w:cs="Arial"/>
              </w:rPr>
            </w:pPr>
            <w:r w:rsidRPr="00C0474D">
              <w:rPr>
                <w:rFonts w:cs="Arial"/>
              </w:rPr>
              <w:t>(2.6%)</w:t>
            </w:r>
          </w:p>
        </w:tc>
        <w:tc>
          <w:tcPr>
            <w:tcW w:w="1250" w:type="dxa"/>
            <w:tcBorders>
              <w:top w:val="single" w:sz="4" w:space="0" w:color="auto"/>
              <w:left w:val="single" w:sz="4" w:space="0" w:color="auto"/>
              <w:bottom w:val="single" w:sz="4" w:space="0" w:color="auto"/>
              <w:right w:val="single" w:sz="4" w:space="0" w:color="auto"/>
            </w:tcBorders>
            <w:vAlign w:val="center"/>
          </w:tcPr>
          <w:p w:rsidR="004B00F1" w:rsidRPr="00C0474D" w:rsidRDefault="004B00F1" w:rsidP="000B76A6">
            <w:pPr>
              <w:pStyle w:val="TableText0"/>
              <w:keepNext w:val="0"/>
              <w:spacing w:before="0" w:after="0"/>
              <w:jc w:val="center"/>
              <w:rPr>
                <w:rFonts w:cs="Arial"/>
              </w:rPr>
            </w:pPr>
            <w:r w:rsidRPr="00C0474D">
              <w:rPr>
                <w:rFonts w:cs="Arial"/>
              </w:rPr>
              <w:t>22/196</w:t>
            </w:r>
          </w:p>
          <w:p w:rsidR="004B00F1" w:rsidRPr="00C0474D" w:rsidRDefault="004B00F1" w:rsidP="000B76A6">
            <w:pPr>
              <w:pStyle w:val="TableText0"/>
              <w:keepNext w:val="0"/>
              <w:spacing w:before="0" w:after="0"/>
              <w:jc w:val="center"/>
              <w:rPr>
                <w:rFonts w:cs="Arial"/>
              </w:rPr>
            </w:pPr>
            <w:r w:rsidRPr="00C0474D">
              <w:rPr>
                <w:rFonts w:cs="Arial"/>
              </w:rPr>
              <w:t>(11.1%)</w:t>
            </w:r>
          </w:p>
        </w:tc>
        <w:tc>
          <w:tcPr>
            <w:tcW w:w="1251" w:type="dxa"/>
            <w:tcBorders>
              <w:top w:val="single" w:sz="4" w:space="0" w:color="auto"/>
              <w:left w:val="single" w:sz="4" w:space="0" w:color="auto"/>
              <w:bottom w:val="single" w:sz="4" w:space="0" w:color="auto"/>
              <w:right w:val="double" w:sz="4" w:space="0" w:color="auto"/>
            </w:tcBorders>
            <w:vAlign w:val="center"/>
          </w:tcPr>
          <w:p w:rsidR="004B00F1" w:rsidRPr="00C0474D" w:rsidRDefault="004B00F1" w:rsidP="000B76A6">
            <w:pPr>
              <w:pStyle w:val="TableText0"/>
              <w:keepNext w:val="0"/>
              <w:spacing w:before="0" w:after="0"/>
              <w:jc w:val="center"/>
              <w:rPr>
                <w:rFonts w:cs="Arial"/>
              </w:rPr>
            </w:pPr>
            <w:r w:rsidRPr="00C0474D">
              <w:rPr>
                <w:rFonts w:cs="Arial"/>
              </w:rPr>
              <w:t>-</w:t>
            </w:r>
          </w:p>
        </w:tc>
        <w:tc>
          <w:tcPr>
            <w:tcW w:w="2689" w:type="dxa"/>
            <w:tcBorders>
              <w:top w:val="single" w:sz="4" w:space="0" w:color="auto"/>
              <w:left w:val="double" w:sz="4" w:space="0" w:color="auto"/>
              <w:bottom w:val="single" w:sz="4" w:space="0" w:color="auto"/>
              <w:right w:val="single" w:sz="4" w:space="0" w:color="auto"/>
            </w:tcBorders>
            <w:vAlign w:val="center"/>
          </w:tcPr>
          <w:p w:rsidR="004B00F1" w:rsidRPr="00C0474D" w:rsidRDefault="004B00F1" w:rsidP="000B76A6">
            <w:pPr>
              <w:pStyle w:val="TableText0"/>
              <w:keepNext w:val="0"/>
              <w:spacing w:before="0" w:after="0"/>
              <w:jc w:val="center"/>
              <w:rPr>
                <w:rFonts w:cs="Arial"/>
                <w:b/>
              </w:rPr>
            </w:pPr>
            <w:r w:rsidRPr="00C0474D">
              <w:rPr>
                <w:rFonts w:cs="Arial"/>
                <w:b/>
              </w:rPr>
              <w:t>Hazard ratio: 0.24 (0.09, 0.63)</w:t>
            </w:r>
          </w:p>
        </w:tc>
      </w:tr>
      <w:tr w:rsidR="004B00F1" w:rsidRPr="00C0474D" w:rsidTr="000B76A6">
        <w:tc>
          <w:tcPr>
            <w:tcW w:w="1909" w:type="dxa"/>
            <w:tcBorders>
              <w:top w:val="single" w:sz="4" w:space="0" w:color="auto"/>
              <w:left w:val="single" w:sz="4" w:space="0" w:color="auto"/>
              <w:bottom w:val="single" w:sz="4" w:space="0" w:color="auto"/>
              <w:right w:val="single" w:sz="4" w:space="0" w:color="auto"/>
            </w:tcBorders>
            <w:tcMar>
              <w:right w:w="28" w:type="dxa"/>
            </w:tcMar>
            <w:vAlign w:val="center"/>
          </w:tcPr>
          <w:p w:rsidR="004B00F1" w:rsidRPr="00C0474D" w:rsidRDefault="004B00F1" w:rsidP="000B76A6">
            <w:pPr>
              <w:pStyle w:val="TableText0"/>
              <w:keepNext w:val="0"/>
              <w:spacing w:before="0" w:after="0"/>
              <w:rPr>
                <w:rFonts w:cs="Arial"/>
              </w:rPr>
            </w:pPr>
            <w:r w:rsidRPr="00C0474D">
              <w:rPr>
                <w:rFonts w:cs="Arial"/>
              </w:rPr>
              <w:t>FREEDOMS, 2 year</w:t>
            </w:r>
          </w:p>
          <w:p w:rsidR="004B00F1" w:rsidRPr="00C0474D" w:rsidRDefault="004B00F1" w:rsidP="000B76A6">
            <w:pPr>
              <w:pStyle w:val="TableText0"/>
              <w:keepNext w:val="0"/>
              <w:spacing w:before="0" w:after="0"/>
              <w:rPr>
                <w:rFonts w:cs="Arial"/>
                <w:vertAlign w:val="superscript"/>
              </w:rPr>
            </w:pPr>
            <w:r w:rsidRPr="00C0474D">
              <w:rPr>
                <w:rFonts w:cs="Arial"/>
              </w:rPr>
              <w:t>(N = 843)</w:t>
            </w:r>
          </w:p>
        </w:tc>
        <w:tc>
          <w:tcPr>
            <w:tcW w:w="1250" w:type="dxa"/>
            <w:tcBorders>
              <w:top w:val="single" w:sz="4" w:space="0" w:color="auto"/>
              <w:left w:val="single" w:sz="4" w:space="0" w:color="auto"/>
              <w:bottom w:val="single" w:sz="4" w:space="0" w:color="auto"/>
              <w:right w:val="single" w:sz="4" w:space="0" w:color="auto"/>
            </w:tcBorders>
            <w:vAlign w:val="center"/>
          </w:tcPr>
          <w:p w:rsidR="004B00F1" w:rsidRPr="00C0474D" w:rsidRDefault="004B00F1" w:rsidP="000B76A6">
            <w:pPr>
              <w:pStyle w:val="TableText0"/>
              <w:keepNext w:val="0"/>
              <w:spacing w:before="0" w:after="0"/>
              <w:jc w:val="center"/>
              <w:rPr>
                <w:rFonts w:cs="Arial"/>
              </w:rPr>
            </w:pPr>
            <w:r w:rsidRPr="00C0474D">
              <w:rPr>
                <w:rFonts w:cs="Arial"/>
              </w:rPr>
              <w:t>-</w:t>
            </w:r>
          </w:p>
        </w:tc>
        <w:tc>
          <w:tcPr>
            <w:tcW w:w="1250" w:type="dxa"/>
            <w:tcBorders>
              <w:top w:val="single" w:sz="4" w:space="0" w:color="auto"/>
              <w:left w:val="single" w:sz="4" w:space="0" w:color="auto"/>
              <w:bottom w:val="single" w:sz="4" w:space="0" w:color="auto"/>
              <w:right w:val="single" w:sz="4" w:space="0" w:color="auto"/>
            </w:tcBorders>
            <w:vAlign w:val="center"/>
          </w:tcPr>
          <w:p w:rsidR="004B00F1" w:rsidRPr="00C0474D" w:rsidRDefault="004B00F1" w:rsidP="000B76A6">
            <w:pPr>
              <w:pStyle w:val="TableText0"/>
              <w:keepNext w:val="0"/>
              <w:spacing w:before="0" w:after="0"/>
              <w:jc w:val="center"/>
              <w:rPr>
                <w:rFonts w:cs="Arial"/>
              </w:rPr>
            </w:pPr>
            <w:r w:rsidRPr="00C0474D">
              <w:rPr>
                <w:rFonts w:cs="Arial"/>
              </w:rPr>
              <w:t>79/418</w:t>
            </w:r>
          </w:p>
          <w:p w:rsidR="004B00F1" w:rsidRPr="00C0474D" w:rsidRDefault="004B00F1" w:rsidP="000B76A6">
            <w:pPr>
              <w:pStyle w:val="TableText0"/>
              <w:keepNext w:val="0"/>
              <w:spacing w:before="0" w:after="0"/>
              <w:jc w:val="center"/>
              <w:rPr>
                <w:rFonts w:cs="Arial"/>
              </w:rPr>
            </w:pPr>
            <w:r w:rsidRPr="00C0474D">
              <w:rPr>
                <w:rFonts w:cs="Arial"/>
              </w:rPr>
              <w:t>(19.0%)</w:t>
            </w:r>
          </w:p>
        </w:tc>
        <w:tc>
          <w:tcPr>
            <w:tcW w:w="1251" w:type="dxa"/>
            <w:tcBorders>
              <w:top w:val="single" w:sz="4" w:space="0" w:color="auto"/>
              <w:left w:val="single" w:sz="4" w:space="0" w:color="auto"/>
              <w:bottom w:val="single" w:sz="4" w:space="0" w:color="auto"/>
              <w:right w:val="double" w:sz="4" w:space="0" w:color="auto"/>
            </w:tcBorders>
            <w:vAlign w:val="center"/>
          </w:tcPr>
          <w:p w:rsidR="004B00F1" w:rsidRPr="00C0474D" w:rsidRDefault="004B00F1" w:rsidP="000B76A6">
            <w:pPr>
              <w:pStyle w:val="TableText0"/>
              <w:keepNext w:val="0"/>
              <w:spacing w:before="0" w:after="0"/>
              <w:jc w:val="center"/>
              <w:rPr>
                <w:rFonts w:cs="Arial"/>
              </w:rPr>
            </w:pPr>
            <w:r w:rsidRPr="00C0474D">
              <w:rPr>
                <w:rFonts w:cs="Arial"/>
              </w:rPr>
              <w:t>53/425</w:t>
            </w:r>
          </w:p>
          <w:p w:rsidR="004B00F1" w:rsidRPr="00C0474D" w:rsidRDefault="004B00F1" w:rsidP="000B76A6">
            <w:pPr>
              <w:pStyle w:val="TableText0"/>
              <w:keepNext w:val="0"/>
              <w:spacing w:before="0" w:after="0"/>
              <w:jc w:val="center"/>
              <w:rPr>
                <w:rFonts w:cs="Arial"/>
              </w:rPr>
            </w:pPr>
            <w:r w:rsidRPr="00C0474D">
              <w:rPr>
                <w:rFonts w:cs="Arial"/>
              </w:rPr>
              <w:t>(12.5%)</w:t>
            </w:r>
          </w:p>
        </w:tc>
        <w:tc>
          <w:tcPr>
            <w:tcW w:w="2689" w:type="dxa"/>
            <w:tcBorders>
              <w:top w:val="single" w:sz="4" w:space="0" w:color="auto"/>
              <w:left w:val="double" w:sz="4" w:space="0" w:color="auto"/>
              <w:bottom w:val="single" w:sz="4" w:space="0" w:color="auto"/>
              <w:right w:val="single" w:sz="4" w:space="0" w:color="auto"/>
            </w:tcBorders>
            <w:shd w:val="clear" w:color="auto" w:fill="FFFFFF"/>
            <w:vAlign w:val="center"/>
          </w:tcPr>
          <w:p w:rsidR="004B00F1" w:rsidRPr="00C0474D" w:rsidRDefault="004B00F1" w:rsidP="000B76A6">
            <w:pPr>
              <w:pStyle w:val="TableText0"/>
              <w:spacing w:before="0" w:after="0"/>
              <w:jc w:val="center"/>
              <w:rPr>
                <w:rFonts w:cs="Arial"/>
                <w:b/>
              </w:rPr>
            </w:pPr>
            <w:r w:rsidRPr="00C0474D">
              <w:rPr>
                <w:rFonts w:cs="Arial"/>
                <w:b/>
              </w:rPr>
              <w:t>Hazard ratio: 0.63 (0.44, 0.90)</w:t>
            </w:r>
          </w:p>
        </w:tc>
      </w:tr>
      <w:tr w:rsidR="004B00F1" w:rsidRPr="00C0474D" w:rsidTr="000B76A6">
        <w:tc>
          <w:tcPr>
            <w:tcW w:w="1909" w:type="dxa"/>
            <w:tcBorders>
              <w:top w:val="single" w:sz="4" w:space="0" w:color="auto"/>
              <w:left w:val="single" w:sz="4" w:space="0" w:color="auto"/>
              <w:bottom w:val="single" w:sz="4" w:space="0" w:color="auto"/>
              <w:right w:val="single" w:sz="4" w:space="0" w:color="auto"/>
            </w:tcBorders>
            <w:tcMar>
              <w:right w:w="28" w:type="dxa"/>
            </w:tcMar>
            <w:vAlign w:val="center"/>
          </w:tcPr>
          <w:p w:rsidR="004B00F1" w:rsidRPr="00C0474D" w:rsidRDefault="004B00F1" w:rsidP="000B76A6">
            <w:pPr>
              <w:pStyle w:val="TableText0"/>
              <w:keepNext w:val="0"/>
              <w:spacing w:before="0" w:after="0"/>
              <w:rPr>
                <w:rFonts w:cs="Arial"/>
              </w:rPr>
            </w:pPr>
            <w:r w:rsidRPr="00C0474D">
              <w:rPr>
                <w:rFonts w:cs="Arial"/>
              </w:rPr>
              <w:t>FREEDOMS II, 2 year</w:t>
            </w:r>
          </w:p>
          <w:p w:rsidR="004B00F1" w:rsidRPr="00C0474D" w:rsidRDefault="004B00F1" w:rsidP="000B76A6">
            <w:pPr>
              <w:pStyle w:val="TableText0"/>
              <w:keepNext w:val="0"/>
              <w:spacing w:before="0" w:after="0"/>
              <w:rPr>
                <w:rFonts w:cs="Arial"/>
                <w:vertAlign w:val="superscript"/>
              </w:rPr>
            </w:pPr>
            <w:r w:rsidRPr="00C0474D">
              <w:rPr>
                <w:rFonts w:cs="Arial"/>
              </w:rPr>
              <w:t>(N = 713)</w:t>
            </w:r>
          </w:p>
        </w:tc>
        <w:tc>
          <w:tcPr>
            <w:tcW w:w="1250" w:type="dxa"/>
            <w:tcBorders>
              <w:top w:val="single" w:sz="4" w:space="0" w:color="auto"/>
              <w:left w:val="single" w:sz="4" w:space="0" w:color="auto"/>
              <w:bottom w:val="single" w:sz="4" w:space="0" w:color="auto"/>
              <w:right w:val="single" w:sz="4" w:space="0" w:color="auto"/>
            </w:tcBorders>
            <w:vAlign w:val="center"/>
          </w:tcPr>
          <w:p w:rsidR="004B00F1" w:rsidRPr="00C0474D" w:rsidRDefault="004B00F1" w:rsidP="000B76A6">
            <w:pPr>
              <w:pStyle w:val="TableText0"/>
              <w:keepNext w:val="0"/>
              <w:spacing w:before="0" w:after="0"/>
              <w:jc w:val="center"/>
              <w:rPr>
                <w:rFonts w:cs="Arial"/>
              </w:rPr>
            </w:pPr>
            <w:r w:rsidRPr="00C0474D">
              <w:rPr>
                <w:rFonts w:cs="Arial"/>
              </w:rPr>
              <w:t>-</w:t>
            </w:r>
          </w:p>
        </w:tc>
        <w:tc>
          <w:tcPr>
            <w:tcW w:w="1250" w:type="dxa"/>
            <w:tcBorders>
              <w:top w:val="single" w:sz="4" w:space="0" w:color="auto"/>
              <w:left w:val="single" w:sz="4" w:space="0" w:color="auto"/>
              <w:bottom w:val="single" w:sz="4" w:space="0" w:color="auto"/>
              <w:right w:val="single" w:sz="4" w:space="0" w:color="auto"/>
            </w:tcBorders>
            <w:vAlign w:val="center"/>
          </w:tcPr>
          <w:p w:rsidR="004B00F1" w:rsidRPr="00C0474D" w:rsidRDefault="004B00F1" w:rsidP="000B76A6">
            <w:pPr>
              <w:pStyle w:val="TableText0"/>
              <w:keepNext w:val="0"/>
              <w:spacing w:before="0" w:after="0"/>
              <w:jc w:val="center"/>
              <w:rPr>
                <w:rFonts w:cs="Arial"/>
              </w:rPr>
            </w:pPr>
            <w:r w:rsidRPr="00C0474D">
              <w:rPr>
                <w:rFonts w:cs="Arial"/>
              </w:rPr>
              <w:t>63/355</w:t>
            </w:r>
          </w:p>
          <w:p w:rsidR="004B00F1" w:rsidRPr="00C0474D" w:rsidRDefault="004B00F1" w:rsidP="000B76A6">
            <w:pPr>
              <w:pStyle w:val="TableText0"/>
              <w:keepNext w:val="0"/>
              <w:spacing w:before="0" w:after="0"/>
              <w:jc w:val="center"/>
              <w:rPr>
                <w:rFonts w:cs="Arial"/>
              </w:rPr>
            </w:pPr>
            <w:r w:rsidRPr="00C0474D">
              <w:rPr>
                <w:rFonts w:cs="Arial"/>
              </w:rPr>
              <w:t>(17.8%)</w:t>
            </w:r>
          </w:p>
        </w:tc>
        <w:tc>
          <w:tcPr>
            <w:tcW w:w="1251" w:type="dxa"/>
            <w:tcBorders>
              <w:top w:val="single" w:sz="4" w:space="0" w:color="auto"/>
              <w:left w:val="single" w:sz="4" w:space="0" w:color="auto"/>
              <w:bottom w:val="single" w:sz="4" w:space="0" w:color="auto"/>
              <w:right w:val="double" w:sz="4" w:space="0" w:color="auto"/>
            </w:tcBorders>
            <w:vAlign w:val="center"/>
          </w:tcPr>
          <w:p w:rsidR="004B00F1" w:rsidRPr="00C0474D" w:rsidRDefault="004B00F1" w:rsidP="000B76A6">
            <w:pPr>
              <w:pStyle w:val="TableText0"/>
              <w:keepNext w:val="0"/>
              <w:spacing w:before="0" w:after="0"/>
              <w:jc w:val="center"/>
              <w:rPr>
                <w:rFonts w:cs="Arial"/>
              </w:rPr>
            </w:pPr>
            <w:r w:rsidRPr="00C0474D">
              <w:rPr>
                <w:rFonts w:cs="Arial"/>
              </w:rPr>
              <w:t>49/358</w:t>
            </w:r>
          </w:p>
          <w:p w:rsidR="004B00F1" w:rsidRPr="00C0474D" w:rsidRDefault="004B00F1" w:rsidP="000B76A6">
            <w:pPr>
              <w:pStyle w:val="TableText0"/>
              <w:keepNext w:val="0"/>
              <w:spacing w:before="0" w:after="0"/>
              <w:jc w:val="center"/>
              <w:rPr>
                <w:rFonts w:cs="Arial"/>
              </w:rPr>
            </w:pPr>
            <w:r w:rsidRPr="00C0474D">
              <w:rPr>
                <w:rFonts w:cs="Arial"/>
              </w:rPr>
              <w:t>(13.8%)</w:t>
            </w:r>
          </w:p>
        </w:tc>
        <w:tc>
          <w:tcPr>
            <w:tcW w:w="2689" w:type="dxa"/>
            <w:tcBorders>
              <w:top w:val="single" w:sz="4" w:space="0" w:color="auto"/>
              <w:left w:val="double" w:sz="4" w:space="0" w:color="auto"/>
              <w:bottom w:val="single" w:sz="4" w:space="0" w:color="auto"/>
              <w:right w:val="single" w:sz="4" w:space="0" w:color="auto"/>
            </w:tcBorders>
            <w:shd w:val="clear" w:color="auto" w:fill="FFFFFF"/>
            <w:vAlign w:val="center"/>
          </w:tcPr>
          <w:p w:rsidR="004B00F1" w:rsidRPr="00C0474D" w:rsidRDefault="004B00F1" w:rsidP="000B76A6">
            <w:pPr>
              <w:pStyle w:val="TableText0"/>
              <w:spacing w:before="0" w:after="0"/>
              <w:jc w:val="center"/>
              <w:rPr>
                <w:rFonts w:cs="Arial"/>
              </w:rPr>
            </w:pPr>
            <w:r w:rsidRPr="00C0474D">
              <w:rPr>
                <w:rFonts w:cs="Arial"/>
              </w:rPr>
              <w:t>Hazard ratio: 0.72 (0.48, 1.07)</w:t>
            </w:r>
          </w:p>
        </w:tc>
      </w:tr>
      <w:tr w:rsidR="004B00F1" w:rsidRPr="00C0474D" w:rsidTr="000B76A6">
        <w:tc>
          <w:tcPr>
            <w:tcW w:w="5660" w:type="dxa"/>
            <w:gridSpan w:val="4"/>
            <w:tcBorders>
              <w:top w:val="single" w:sz="4" w:space="0" w:color="auto"/>
              <w:left w:val="single" w:sz="4" w:space="0" w:color="auto"/>
              <w:bottom w:val="single" w:sz="4" w:space="0" w:color="auto"/>
              <w:right w:val="double" w:sz="4" w:space="0" w:color="auto"/>
            </w:tcBorders>
            <w:tcMar>
              <w:right w:w="28" w:type="dxa"/>
            </w:tcMar>
            <w:vAlign w:val="center"/>
          </w:tcPr>
          <w:p w:rsidR="004B00F1" w:rsidRPr="00C0474D" w:rsidRDefault="004B00F1" w:rsidP="000B76A6">
            <w:pPr>
              <w:pStyle w:val="TableText0"/>
              <w:keepNext w:val="0"/>
              <w:spacing w:before="0" w:after="0"/>
              <w:jc w:val="right"/>
              <w:rPr>
                <w:rFonts w:cs="Arial"/>
              </w:rPr>
            </w:pPr>
            <w:r w:rsidRPr="00C0474D">
              <w:rPr>
                <w:rFonts w:cs="Arial"/>
              </w:rPr>
              <w:t xml:space="preserve">Meta-analysis of </w:t>
            </w:r>
            <w:proofErr w:type="spellStart"/>
            <w:r w:rsidRPr="00C0474D">
              <w:rPr>
                <w:rFonts w:cs="Arial"/>
              </w:rPr>
              <w:t>fingolimod</w:t>
            </w:r>
            <w:proofErr w:type="spellEnd"/>
            <w:r w:rsidRPr="00C0474D">
              <w:rPr>
                <w:rFonts w:cs="Arial"/>
              </w:rPr>
              <w:t xml:space="preserve"> trials (I</w:t>
            </w:r>
            <w:r w:rsidRPr="00C0474D">
              <w:rPr>
                <w:rFonts w:cs="Arial"/>
                <w:vertAlign w:val="superscript"/>
              </w:rPr>
              <w:t>2</w:t>
            </w:r>
            <w:r w:rsidRPr="00C0474D">
              <w:rPr>
                <w:rFonts w:cs="Arial"/>
              </w:rPr>
              <w:t xml:space="preserve"> =0%) </w:t>
            </w:r>
          </w:p>
        </w:tc>
        <w:tc>
          <w:tcPr>
            <w:tcW w:w="2689" w:type="dxa"/>
            <w:tcBorders>
              <w:top w:val="single" w:sz="4" w:space="0" w:color="auto"/>
              <w:left w:val="double" w:sz="4" w:space="0" w:color="auto"/>
              <w:bottom w:val="single" w:sz="4" w:space="0" w:color="auto"/>
              <w:right w:val="single" w:sz="4" w:space="0" w:color="auto"/>
            </w:tcBorders>
            <w:shd w:val="clear" w:color="auto" w:fill="FFFFFF"/>
            <w:vAlign w:val="center"/>
          </w:tcPr>
          <w:p w:rsidR="004B00F1" w:rsidRPr="00C0474D" w:rsidRDefault="004B00F1" w:rsidP="000B76A6">
            <w:pPr>
              <w:pStyle w:val="TableText0"/>
              <w:spacing w:before="0" w:after="0"/>
              <w:jc w:val="center"/>
              <w:rPr>
                <w:rFonts w:cs="Arial"/>
                <w:b/>
              </w:rPr>
            </w:pPr>
            <w:r w:rsidRPr="00C0474D">
              <w:rPr>
                <w:rFonts w:cs="Arial"/>
                <w:b/>
              </w:rPr>
              <w:t>Hazard ratio: 0.67 (0.51, 0.87)</w:t>
            </w:r>
          </w:p>
        </w:tc>
      </w:tr>
      <w:tr w:rsidR="004B00F1" w:rsidRPr="00C0474D" w:rsidTr="000B76A6">
        <w:tc>
          <w:tcPr>
            <w:tcW w:w="5660" w:type="dxa"/>
            <w:gridSpan w:val="4"/>
            <w:tcBorders>
              <w:top w:val="single" w:sz="4" w:space="0" w:color="auto"/>
              <w:left w:val="single" w:sz="4" w:space="0" w:color="auto"/>
              <w:bottom w:val="single" w:sz="4" w:space="0" w:color="auto"/>
              <w:right w:val="double" w:sz="4" w:space="0" w:color="auto"/>
            </w:tcBorders>
            <w:tcMar>
              <w:right w:w="28" w:type="dxa"/>
            </w:tcMar>
            <w:vAlign w:val="center"/>
          </w:tcPr>
          <w:p w:rsidR="004B00F1" w:rsidRPr="00C0474D" w:rsidRDefault="004B00F1" w:rsidP="000B76A6">
            <w:pPr>
              <w:pStyle w:val="TableText0"/>
              <w:spacing w:before="0" w:after="0"/>
              <w:jc w:val="right"/>
              <w:rPr>
                <w:rFonts w:cs="Arial"/>
              </w:rPr>
            </w:pPr>
            <w:r w:rsidRPr="00C0474D">
              <w:rPr>
                <w:rFonts w:cs="Arial"/>
              </w:rPr>
              <w:t xml:space="preserve">Indirect estimate of effect </w:t>
            </w:r>
          </w:p>
          <w:p w:rsidR="004B00F1" w:rsidRPr="00C0474D" w:rsidRDefault="004B00F1" w:rsidP="000B76A6">
            <w:pPr>
              <w:pStyle w:val="TableText0"/>
              <w:keepNext w:val="0"/>
              <w:spacing w:before="0" w:after="0"/>
              <w:jc w:val="right"/>
              <w:rPr>
                <w:rFonts w:cs="Arial"/>
              </w:rPr>
            </w:pPr>
            <w:r w:rsidRPr="00C0474D">
              <w:rPr>
                <w:rFonts w:cs="Arial"/>
              </w:rPr>
              <w:t xml:space="preserve">(results &lt; 1 favour </w:t>
            </w:r>
            <w:proofErr w:type="spellStart"/>
            <w:r w:rsidRPr="00C0474D">
              <w:rPr>
                <w:rFonts w:cs="Arial"/>
              </w:rPr>
              <w:t>daclizumab</w:t>
            </w:r>
            <w:proofErr w:type="spellEnd"/>
            <w:r w:rsidRPr="00C0474D">
              <w:rPr>
                <w:rFonts w:cs="Arial"/>
              </w:rPr>
              <w:t>)</w:t>
            </w:r>
          </w:p>
        </w:tc>
        <w:tc>
          <w:tcPr>
            <w:tcW w:w="2689" w:type="dxa"/>
            <w:tcBorders>
              <w:top w:val="single" w:sz="4" w:space="0" w:color="auto"/>
              <w:left w:val="double" w:sz="4" w:space="0" w:color="auto"/>
              <w:bottom w:val="single" w:sz="4" w:space="0" w:color="auto"/>
              <w:right w:val="single" w:sz="4" w:space="0" w:color="auto"/>
            </w:tcBorders>
            <w:shd w:val="clear" w:color="auto" w:fill="FFFFFF"/>
            <w:vAlign w:val="center"/>
          </w:tcPr>
          <w:p w:rsidR="004B00F1" w:rsidRPr="00C0474D" w:rsidRDefault="004B00F1" w:rsidP="000B76A6">
            <w:pPr>
              <w:pStyle w:val="TableText0"/>
              <w:spacing w:before="0" w:after="0"/>
              <w:jc w:val="center"/>
              <w:rPr>
                <w:rFonts w:cs="Arial"/>
                <w:b/>
              </w:rPr>
            </w:pPr>
            <w:r w:rsidRPr="00C0474D">
              <w:rPr>
                <w:rFonts w:cs="Arial"/>
                <w:b/>
              </w:rPr>
              <w:t>Hazard ratio: 0.36 (0.13, 0.99)</w:t>
            </w:r>
          </w:p>
        </w:tc>
      </w:tr>
    </w:tbl>
    <w:p w:rsidR="004B00F1" w:rsidRPr="00C0474D" w:rsidRDefault="004B00F1" w:rsidP="004B00F1">
      <w:pPr>
        <w:ind w:firstLine="720"/>
        <w:rPr>
          <w:rFonts w:ascii="Arial Narrow" w:hAnsi="Arial Narrow"/>
          <w:sz w:val="18"/>
          <w:szCs w:val="18"/>
        </w:rPr>
      </w:pPr>
      <w:r w:rsidRPr="00C0474D">
        <w:rPr>
          <w:rFonts w:ascii="Arial Narrow" w:hAnsi="Arial Narrow"/>
          <w:sz w:val="18"/>
          <w:szCs w:val="18"/>
        </w:rPr>
        <w:t>Abbreviations: CI, confidence interval</w:t>
      </w:r>
    </w:p>
    <w:p w:rsidR="004B00F1" w:rsidRPr="00C0474D" w:rsidRDefault="004B00F1" w:rsidP="004B00F1">
      <w:pPr>
        <w:ind w:left="720"/>
        <w:rPr>
          <w:rFonts w:ascii="Arial Narrow" w:hAnsi="Arial Narrow"/>
          <w:sz w:val="18"/>
          <w:szCs w:val="18"/>
        </w:rPr>
      </w:pPr>
      <w:r w:rsidRPr="00C0474D">
        <w:rPr>
          <w:rFonts w:ascii="Arial Narrow" w:hAnsi="Arial Narrow"/>
          <w:sz w:val="18"/>
          <w:szCs w:val="18"/>
        </w:rPr>
        <w:t xml:space="preserve">Source: Table B.6-2 (p 80), Table B.6-3 (p 81), Table B.6-11 (p 89), Table B.6-13 (p 92), Table B.6-15 (p 96) of the submission; </w:t>
      </w:r>
    </w:p>
    <w:p w:rsidR="004B00F1" w:rsidRPr="00C0474D" w:rsidRDefault="004B00F1" w:rsidP="00E22A0D">
      <w:pPr>
        <w:ind w:firstLine="720"/>
        <w:rPr>
          <w:rStyle w:val="CommentReference"/>
        </w:rPr>
      </w:pPr>
    </w:p>
    <w:p w:rsidR="00D57FBB" w:rsidRPr="00D157A3" w:rsidRDefault="004B00F1" w:rsidP="005F1038">
      <w:pPr>
        <w:pStyle w:val="ListParagraph"/>
        <w:widowControl/>
        <w:numPr>
          <w:ilvl w:val="1"/>
          <w:numId w:val="9"/>
        </w:numPr>
        <w:ind w:left="720" w:hanging="720"/>
      </w:pPr>
      <w:r w:rsidRPr="005F1038">
        <w:t xml:space="preserve">There was no statistically significant difference in relapse outcomes between </w:t>
      </w:r>
      <w:proofErr w:type="spellStart"/>
      <w:r w:rsidRPr="005F1038">
        <w:t>daclizumab</w:t>
      </w:r>
      <w:proofErr w:type="spellEnd"/>
      <w:r w:rsidRPr="005F1038">
        <w:t xml:space="preserve"> and </w:t>
      </w:r>
      <w:proofErr w:type="spellStart"/>
      <w:r w:rsidRPr="005F1038">
        <w:t>fingolimod</w:t>
      </w:r>
      <w:proofErr w:type="spellEnd"/>
      <w:r w:rsidRPr="005F1038">
        <w:t xml:space="preserve">. The indirect analysis of disability progression outcomes </w:t>
      </w:r>
      <w:r w:rsidR="008F3C8C" w:rsidRPr="005F1038">
        <w:t xml:space="preserve">appeared to </w:t>
      </w:r>
      <w:r w:rsidR="00816EED" w:rsidRPr="005F1038">
        <w:t>favour</w:t>
      </w:r>
      <w:r w:rsidRPr="005F1038">
        <w:t xml:space="preserve"> </w:t>
      </w:r>
      <w:proofErr w:type="spellStart"/>
      <w:r w:rsidRPr="005F1038">
        <w:t>daclizumab</w:t>
      </w:r>
      <w:proofErr w:type="spellEnd"/>
      <w:r w:rsidRPr="005F1038">
        <w:t xml:space="preserve"> </w:t>
      </w:r>
      <w:r w:rsidR="008F3C8C" w:rsidRPr="005F1038">
        <w:t>over</w:t>
      </w:r>
      <w:r w:rsidRPr="005F1038">
        <w:t xml:space="preserve"> </w:t>
      </w:r>
      <w:proofErr w:type="spellStart"/>
      <w:r w:rsidRPr="005F1038">
        <w:t>fingolimod</w:t>
      </w:r>
      <w:proofErr w:type="spellEnd"/>
      <w:r w:rsidR="008F3C8C" w:rsidRPr="005F1038">
        <w:t>, however, t</w:t>
      </w:r>
      <w:r w:rsidR="00D57FBB" w:rsidRPr="005F1038">
        <w:t xml:space="preserve">he </w:t>
      </w:r>
      <w:r w:rsidR="0015695F" w:rsidRPr="005F1038">
        <w:t xml:space="preserve">evaluation noted the </w:t>
      </w:r>
      <w:r w:rsidR="00D57FBB" w:rsidRPr="005F1038">
        <w:t>indirect analyses should be interpreted with caution given the concerns regarding the exchangeability of the included trials and the robustness of outcome measures to account for difference</w:t>
      </w:r>
      <w:r w:rsidR="009A045B" w:rsidRPr="005F1038">
        <w:t>s</w:t>
      </w:r>
      <w:r w:rsidR="00D57FBB" w:rsidRPr="005F1038">
        <w:t xml:space="preserve"> in study duration.</w:t>
      </w:r>
      <w:r w:rsidR="007F4EB3" w:rsidRPr="005F1038">
        <w:t xml:space="preserve"> </w:t>
      </w:r>
      <w:r w:rsidR="00623F42" w:rsidRPr="005F1038">
        <w:t xml:space="preserve">The PBAC noted differences across the </w:t>
      </w:r>
      <w:proofErr w:type="spellStart"/>
      <w:r w:rsidR="00623F42" w:rsidRPr="005F1038">
        <w:t>daclizumab</w:t>
      </w:r>
      <w:proofErr w:type="spellEnd"/>
      <w:r w:rsidR="00623F42" w:rsidRPr="005F1038">
        <w:t xml:space="preserve"> and </w:t>
      </w:r>
      <w:proofErr w:type="spellStart"/>
      <w:r w:rsidR="00623F42" w:rsidRPr="005F1038">
        <w:t>fingolimod</w:t>
      </w:r>
      <w:proofErr w:type="spellEnd"/>
      <w:r w:rsidR="00623F42" w:rsidRPr="005F1038">
        <w:t xml:space="preserve"> trials in the results for the placebo treatment groups </w:t>
      </w:r>
      <w:r w:rsidR="00116B1F" w:rsidRPr="005F1038">
        <w:t xml:space="preserve">and that this indicated </w:t>
      </w:r>
      <w:r w:rsidR="00623F42" w:rsidRPr="005F1038">
        <w:t xml:space="preserve">that there may be exchangeability issues. </w:t>
      </w:r>
      <w:r w:rsidR="007F4EB3" w:rsidRPr="005F1038">
        <w:t xml:space="preserve">The PBAC </w:t>
      </w:r>
      <w:r w:rsidR="00623F42" w:rsidRPr="005F1038">
        <w:t xml:space="preserve">further </w:t>
      </w:r>
      <w:r w:rsidR="007F4EB3" w:rsidRPr="005F1038">
        <w:t xml:space="preserve">noted that a non-inferiority margin </w:t>
      </w:r>
      <w:r w:rsidR="00623F42" w:rsidRPr="005F1038">
        <w:t>was not proposed in the submission and that non-inferiority was claimed based on lack of a statistically significant difference. The PBAC considered this approach was not robust, especially given the wide 95% confidence limits for the indirect comparisons</w:t>
      </w:r>
      <w:r w:rsidR="007F4EB3" w:rsidRPr="005F1038">
        <w:t>.</w:t>
      </w:r>
    </w:p>
    <w:p w:rsidR="00D57FBB" w:rsidRPr="00C0474D" w:rsidRDefault="00D57FBB" w:rsidP="004B00F1">
      <w:pPr>
        <w:ind w:left="720"/>
        <w:rPr>
          <w:szCs w:val="22"/>
        </w:rPr>
      </w:pPr>
    </w:p>
    <w:p w:rsidR="00D57FBB" w:rsidRPr="005F1038" w:rsidRDefault="0061104D" w:rsidP="005F1038">
      <w:pPr>
        <w:pStyle w:val="ListParagraph"/>
        <w:widowControl/>
        <w:numPr>
          <w:ilvl w:val="1"/>
          <w:numId w:val="9"/>
        </w:numPr>
        <w:ind w:left="720" w:hanging="720"/>
      </w:pPr>
      <w:r w:rsidRPr="005F1038">
        <w:t>The results of the i</w:t>
      </w:r>
      <w:r w:rsidR="00D57FBB" w:rsidRPr="005F1038">
        <w:t xml:space="preserve">ndirect comparison of </w:t>
      </w:r>
      <w:proofErr w:type="spellStart"/>
      <w:r w:rsidR="00D57FBB" w:rsidRPr="005F1038">
        <w:t>daclizumab</w:t>
      </w:r>
      <w:proofErr w:type="spellEnd"/>
      <w:r w:rsidR="00D57FBB" w:rsidRPr="005F1038">
        <w:t xml:space="preserve"> v</w:t>
      </w:r>
      <w:r w:rsidR="002927F6" w:rsidRPr="005F1038">
        <w:t>ersu</w:t>
      </w:r>
      <w:r w:rsidR="00D57FBB" w:rsidRPr="005F1038">
        <w:t xml:space="preserve">s </w:t>
      </w:r>
      <w:proofErr w:type="spellStart"/>
      <w:r w:rsidR="00D57FBB" w:rsidRPr="005F1038">
        <w:t>fingolimod</w:t>
      </w:r>
      <w:proofErr w:type="spellEnd"/>
      <w:r w:rsidR="00D57FBB" w:rsidRPr="005F1038">
        <w:t xml:space="preserve"> using IM </w:t>
      </w:r>
      <w:r w:rsidR="00070C59" w:rsidRPr="005F1038">
        <w:t>IFN β-1a</w:t>
      </w:r>
      <w:r w:rsidR="00734774" w:rsidRPr="005F1038">
        <w:t xml:space="preserve"> </w:t>
      </w:r>
      <w:r w:rsidR="00D57FBB" w:rsidRPr="005F1038">
        <w:t>as the common comparator</w:t>
      </w:r>
      <w:r w:rsidR="007727D7" w:rsidRPr="005F1038">
        <w:t xml:space="preserve"> is summarised in </w:t>
      </w:r>
      <w:r w:rsidR="00343780" w:rsidRPr="005F1038">
        <w:t>T</w:t>
      </w:r>
      <w:r w:rsidR="007727D7" w:rsidRPr="005F1038">
        <w:t>able 4</w:t>
      </w:r>
      <w:r w:rsidR="00FA29DF" w:rsidRPr="005F1038">
        <w:t>.</w:t>
      </w:r>
    </w:p>
    <w:p w:rsidR="00D57FBB" w:rsidRPr="00C0474D" w:rsidRDefault="00D57FBB" w:rsidP="004B00F1">
      <w:pPr>
        <w:ind w:left="720"/>
        <w:rPr>
          <w:szCs w:val="22"/>
        </w:rPr>
      </w:pPr>
    </w:p>
    <w:p w:rsidR="00D57FBB" w:rsidRPr="00C0474D" w:rsidRDefault="00D57FBB" w:rsidP="0056297D">
      <w:pPr>
        <w:keepNext/>
        <w:ind w:left="720"/>
        <w:rPr>
          <w:rFonts w:ascii="Arial Narrow" w:hAnsi="Arial Narrow"/>
          <w:b/>
          <w:sz w:val="20"/>
        </w:rPr>
      </w:pPr>
      <w:r w:rsidRPr="00C0474D">
        <w:rPr>
          <w:rFonts w:ascii="Arial Narrow" w:hAnsi="Arial Narrow"/>
          <w:b/>
          <w:sz w:val="20"/>
        </w:rPr>
        <w:t>Tabl</w:t>
      </w:r>
      <w:r w:rsidR="0056297D" w:rsidRPr="00C0474D">
        <w:rPr>
          <w:rFonts w:ascii="Arial Narrow" w:hAnsi="Arial Narrow"/>
          <w:b/>
          <w:sz w:val="20"/>
        </w:rPr>
        <w:t xml:space="preserve">e </w:t>
      </w:r>
      <w:r w:rsidRPr="00C0474D">
        <w:rPr>
          <w:rFonts w:ascii="Arial Narrow" w:hAnsi="Arial Narrow"/>
          <w:b/>
          <w:sz w:val="20"/>
        </w:rPr>
        <w:t xml:space="preserve">4: Indirect comparison of </w:t>
      </w:r>
      <w:proofErr w:type="spellStart"/>
      <w:r w:rsidRPr="00C0474D">
        <w:rPr>
          <w:rFonts w:ascii="Arial Narrow" w:hAnsi="Arial Narrow"/>
          <w:b/>
          <w:sz w:val="20"/>
        </w:rPr>
        <w:t>daclizumab</w:t>
      </w:r>
      <w:proofErr w:type="spellEnd"/>
      <w:r w:rsidRPr="00C0474D">
        <w:rPr>
          <w:rFonts w:ascii="Arial Narrow" w:hAnsi="Arial Narrow"/>
          <w:b/>
          <w:sz w:val="20"/>
        </w:rPr>
        <w:t xml:space="preserve"> vs. </w:t>
      </w:r>
      <w:proofErr w:type="spellStart"/>
      <w:r w:rsidRPr="00C0474D">
        <w:rPr>
          <w:rFonts w:ascii="Arial Narrow" w:hAnsi="Arial Narrow"/>
          <w:b/>
          <w:sz w:val="20"/>
        </w:rPr>
        <w:t>fingolimod</w:t>
      </w:r>
      <w:proofErr w:type="spellEnd"/>
      <w:r w:rsidRPr="00C0474D">
        <w:rPr>
          <w:rFonts w:ascii="Arial Narrow" w:hAnsi="Arial Narrow"/>
          <w:b/>
          <w:sz w:val="20"/>
        </w:rPr>
        <w:t xml:space="preserve"> using IM interferon beta-1a as the common comparator </w:t>
      </w:r>
    </w:p>
    <w:tbl>
      <w:tblPr>
        <w:tblW w:w="4524" w:type="pct"/>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9"/>
        <w:gridCol w:w="1253"/>
        <w:gridCol w:w="1254"/>
        <w:gridCol w:w="1254"/>
        <w:gridCol w:w="2692"/>
      </w:tblGrid>
      <w:tr w:rsidR="00D57FBB" w:rsidRPr="00C0474D" w:rsidTr="000B76A6">
        <w:trPr>
          <w:tblHeader/>
        </w:trPr>
        <w:tc>
          <w:tcPr>
            <w:tcW w:w="1909" w:type="dxa"/>
            <w:tcBorders>
              <w:left w:val="single" w:sz="4" w:space="0" w:color="auto"/>
              <w:bottom w:val="single" w:sz="4" w:space="0" w:color="auto"/>
              <w:right w:val="single" w:sz="4" w:space="0" w:color="auto"/>
            </w:tcBorders>
            <w:tcMar>
              <w:right w:w="28" w:type="dxa"/>
            </w:tcMar>
            <w:vAlign w:val="center"/>
          </w:tcPr>
          <w:p w:rsidR="00D57FBB" w:rsidRPr="00C0474D" w:rsidRDefault="00D57FBB" w:rsidP="000B76A6">
            <w:pPr>
              <w:pStyle w:val="TableHeading"/>
              <w:spacing w:before="0" w:after="0"/>
              <w:jc w:val="center"/>
              <w:rPr>
                <w:rFonts w:cs="Arial"/>
              </w:rPr>
            </w:pPr>
            <w:r w:rsidRPr="00C0474D">
              <w:rPr>
                <w:rFonts w:cs="Arial"/>
              </w:rPr>
              <w:t>Trial</w:t>
            </w:r>
          </w:p>
        </w:tc>
        <w:tc>
          <w:tcPr>
            <w:tcW w:w="1253" w:type="dxa"/>
            <w:tcBorders>
              <w:top w:val="single" w:sz="4" w:space="0" w:color="auto"/>
              <w:left w:val="nil"/>
              <w:right w:val="single" w:sz="4" w:space="0" w:color="auto"/>
            </w:tcBorders>
            <w:vAlign w:val="center"/>
          </w:tcPr>
          <w:p w:rsidR="00D57FBB" w:rsidRPr="00C0474D" w:rsidRDefault="00D57FBB" w:rsidP="000B76A6">
            <w:pPr>
              <w:pStyle w:val="TableHeading"/>
              <w:spacing w:before="0" w:after="0"/>
              <w:jc w:val="center"/>
              <w:rPr>
                <w:rFonts w:cs="Arial"/>
              </w:rPr>
            </w:pPr>
            <w:proofErr w:type="spellStart"/>
            <w:r w:rsidRPr="00C0474D">
              <w:rPr>
                <w:rFonts w:cs="Arial"/>
              </w:rPr>
              <w:t>Daclizumab</w:t>
            </w:r>
            <w:proofErr w:type="spellEnd"/>
          </w:p>
          <w:p w:rsidR="00D57FBB" w:rsidRPr="00C0474D" w:rsidRDefault="00D57FBB" w:rsidP="000B76A6">
            <w:pPr>
              <w:pStyle w:val="TableHeading"/>
              <w:spacing w:before="0" w:after="0"/>
              <w:jc w:val="center"/>
              <w:rPr>
                <w:rFonts w:cs="Arial"/>
              </w:rPr>
            </w:pPr>
            <w:r w:rsidRPr="00C0474D">
              <w:rPr>
                <w:rFonts w:cs="Arial"/>
              </w:rPr>
              <w:t>150</w:t>
            </w:r>
            <w:r w:rsidR="0089732D" w:rsidRPr="00C0474D">
              <w:rPr>
                <w:rFonts w:cs="Arial"/>
              </w:rPr>
              <w:t> </w:t>
            </w:r>
            <w:r w:rsidRPr="00C0474D">
              <w:rPr>
                <w:rFonts w:cs="Arial"/>
              </w:rPr>
              <w:t>mg</w:t>
            </w:r>
          </w:p>
        </w:tc>
        <w:tc>
          <w:tcPr>
            <w:tcW w:w="1254" w:type="dxa"/>
            <w:tcBorders>
              <w:top w:val="single" w:sz="4" w:space="0" w:color="auto"/>
              <w:left w:val="single" w:sz="4" w:space="0" w:color="auto"/>
              <w:right w:val="single" w:sz="4" w:space="0" w:color="auto"/>
            </w:tcBorders>
            <w:vAlign w:val="center"/>
          </w:tcPr>
          <w:p w:rsidR="00D57FBB" w:rsidRPr="00C0474D" w:rsidRDefault="00D57FBB" w:rsidP="000B76A6">
            <w:pPr>
              <w:pStyle w:val="TableHeading"/>
              <w:spacing w:before="0" w:after="0"/>
              <w:jc w:val="center"/>
              <w:rPr>
                <w:rFonts w:cs="Arial"/>
              </w:rPr>
            </w:pPr>
            <w:r w:rsidRPr="00C0474D">
              <w:rPr>
                <w:rFonts w:cs="Arial"/>
              </w:rPr>
              <w:t xml:space="preserve">IM </w:t>
            </w:r>
            <w:r w:rsidR="00734774" w:rsidRPr="00070C59">
              <w:rPr>
                <w:szCs w:val="22"/>
              </w:rPr>
              <w:t>IFN β-1a</w:t>
            </w:r>
          </w:p>
        </w:tc>
        <w:tc>
          <w:tcPr>
            <w:tcW w:w="1254" w:type="dxa"/>
            <w:tcBorders>
              <w:top w:val="single" w:sz="4" w:space="0" w:color="auto"/>
              <w:left w:val="single" w:sz="4" w:space="0" w:color="auto"/>
              <w:right w:val="double" w:sz="4" w:space="0" w:color="auto"/>
            </w:tcBorders>
            <w:vAlign w:val="center"/>
          </w:tcPr>
          <w:p w:rsidR="00D57FBB" w:rsidRPr="00C0474D" w:rsidRDefault="00D57FBB" w:rsidP="000B76A6">
            <w:pPr>
              <w:pStyle w:val="TableHeading"/>
              <w:spacing w:before="0" w:after="0"/>
              <w:jc w:val="center"/>
              <w:rPr>
                <w:rFonts w:cs="Arial"/>
              </w:rPr>
            </w:pPr>
            <w:proofErr w:type="spellStart"/>
            <w:r w:rsidRPr="00C0474D">
              <w:rPr>
                <w:rFonts w:cs="Arial"/>
              </w:rPr>
              <w:t>Fingolimod</w:t>
            </w:r>
            <w:proofErr w:type="spellEnd"/>
          </w:p>
          <w:p w:rsidR="00D57FBB" w:rsidRPr="00C0474D" w:rsidRDefault="00D57FBB" w:rsidP="000B76A6">
            <w:pPr>
              <w:pStyle w:val="TableHeading"/>
              <w:spacing w:before="0" w:after="0"/>
              <w:jc w:val="center"/>
              <w:rPr>
                <w:rFonts w:cs="Arial"/>
              </w:rPr>
            </w:pPr>
            <w:r w:rsidRPr="00C0474D">
              <w:rPr>
                <w:rFonts w:cs="Arial"/>
              </w:rPr>
              <w:t>0.5</w:t>
            </w:r>
            <w:r w:rsidR="0089732D" w:rsidRPr="00C0474D">
              <w:rPr>
                <w:rFonts w:cs="Arial"/>
              </w:rPr>
              <w:t> </w:t>
            </w:r>
            <w:r w:rsidRPr="00C0474D">
              <w:rPr>
                <w:rFonts w:cs="Arial"/>
              </w:rPr>
              <w:t>mg</w:t>
            </w:r>
          </w:p>
        </w:tc>
        <w:tc>
          <w:tcPr>
            <w:tcW w:w="2692" w:type="dxa"/>
            <w:tcBorders>
              <w:left w:val="double" w:sz="4" w:space="0" w:color="auto"/>
              <w:right w:val="single" w:sz="4" w:space="0" w:color="auto"/>
            </w:tcBorders>
            <w:vAlign w:val="center"/>
          </w:tcPr>
          <w:p w:rsidR="00D57FBB" w:rsidRPr="00C0474D" w:rsidRDefault="00D57FBB" w:rsidP="000B76A6">
            <w:pPr>
              <w:pStyle w:val="TableHeading"/>
              <w:spacing w:before="0" w:after="0"/>
              <w:jc w:val="center"/>
              <w:rPr>
                <w:rFonts w:cs="Arial"/>
              </w:rPr>
            </w:pPr>
            <w:r w:rsidRPr="00C0474D">
              <w:rPr>
                <w:rFonts w:cs="Arial"/>
              </w:rPr>
              <w:t xml:space="preserve">Treatment difference </w:t>
            </w:r>
          </w:p>
          <w:p w:rsidR="00D57FBB" w:rsidRPr="00C0474D" w:rsidRDefault="00D57FBB" w:rsidP="000B76A6">
            <w:pPr>
              <w:pStyle w:val="TableHeading"/>
              <w:spacing w:before="0" w:after="0"/>
              <w:jc w:val="center"/>
              <w:rPr>
                <w:rFonts w:cs="Arial"/>
              </w:rPr>
            </w:pPr>
            <w:r w:rsidRPr="00C0474D">
              <w:rPr>
                <w:rFonts w:cs="Arial"/>
              </w:rPr>
              <w:t>(95% CI)</w:t>
            </w:r>
          </w:p>
        </w:tc>
      </w:tr>
      <w:tr w:rsidR="00D57FBB" w:rsidRPr="00C0474D" w:rsidTr="000B76A6">
        <w:tc>
          <w:tcPr>
            <w:tcW w:w="8362" w:type="dxa"/>
            <w:gridSpan w:val="5"/>
            <w:tcBorders>
              <w:top w:val="single" w:sz="4" w:space="0" w:color="auto"/>
              <w:left w:val="single" w:sz="4" w:space="0" w:color="auto"/>
              <w:bottom w:val="single" w:sz="4" w:space="0" w:color="auto"/>
              <w:right w:val="single" w:sz="4" w:space="0" w:color="auto"/>
            </w:tcBorders>
            <w:tcMar>
              <w:right w:w="28" w:type="dxa"/>
            </w:tcMar>
            <w:vAlign w:val="center"/>
          </w:tcPr>
          <w:p w:rsidR="00D57FBB" w:rsidRPr="00C0474D" w:rsidRDefault="00D57FBB" w:rsidP="000B76A6">
            <w:pPr>
              <w:pStyle w:val="TableText0"/>
              <w:keepNext w:val="0"/>
              <w:spacing w:before="0" w:after="0"/>
              <w:rPr>
                <w:rFonts w:cs="Arial"/>
                <w:b/>
                <w:vertAlign w:val="superscript"/>
              </w:rPr>
            </w:pPr>
            <w:r w:rsidRPr="00C0474D">
              <w:rPr>
                <w:rFonts w:cs="Arial"/>
                <w:b/>
              </w:rPr>
              <w:t>Annualised relapse rate at one year (95% CI)</w:t>
            </w:r>
          </w:p>
        </w:tc>
      </w:tr>
      <w:tr w:rsidR="00D57FBB" w:rsidRPr="00C0474D" w:rsidTr="000B76A6">
        <w:tc>
          <w:tcPr>
            <w:tcW w:w="1909" w:type="dxa"/>
            <w:tcBorders>
              <w:top w:val="single" w:sz="4" w:space="0" w:color="auto"/>
              <w:left w:val="single" w:sz="4" w:space="0" w:color="auto"/>
              <w:bottom w:val="single" w:sz="4" w:space="0" w:color="auto"/>
              <w:right w:val="single" w:sz="4" w:space="0" w:color="auto"/>
            </w:tcBorders>
            <w:tcMar>
              <w:right w:w="28" w:type="dxa"/>
            </w:tcMar>
            <w:vAlign w:val="center"/>
          </w:tcPr>
          <w:p w:rsidR="00D57FBB" w:rsidRPr="00C0474D" w:rsidRDefault="00D57FBB" w:rsidP="000B76A6">
            <w:pPr>
              <w:pStyle w:val="TableText0"/>
              <w:keepNext w:val="0"/>
              <w:spacing w:before="0" w:after="0"/>
              <w:rPr>
                <w:rFonts w:cs="Arial"/>
              </w:rPr>
            </w:pPr>
            <w:r w:rsidRPr="00C0474D">
              <w:rPr>
                <w:rFonts w:cs="Arial"/>
              </w:rPr>
              <w:t>DECIDE, 1 year</w:t>
            </w:r>
          </w:p>
          <w:p w:rsidR="00D57FBB" w:rsidRPr="00C0474D" w:rsidRDefault="00D57FBB" w:rsidP="000B76A6">
            <w:pPr>
              <w:pStyle w:val="TableText0"/>
              <w:keepNext w:val="0"/>
              <w:spacing w:before="0" w:after="0"/>
              <w:rPr>
                <w:rFonts w:cs="Arial"/>
              </w:rPr>
            </w:pPr>
            <w:r w:rsidRPr="00C0474D">
              <w:rPr>
                <w:rFonts w:cs="Arial"/>
              </w:rPr>
              <w:t>(N = 1,841)</w:t>
            </w:r>
          </w:p>
        </w:tc>
        <w:tc>
          <w:tcPr>
            <w:tcW w:w="1253" w:type="dxa"/>
            <w:tcBorders>
              <w:top w:val="single" w:sz="4" w:space="0" w:color="auto"/>
              <w:left w:val="single" w:sz="4" w:space="0" w:color="auto"/>
              <w:bottom w:val="single" w:sz="4" w:space="0" w:color="auto"/>
              <w:right w:val="single" w:sz="4" w:space="0" w:color="auto"/>
            </w:tcBorders>
            <w:vAlign w:val="center"/>
          </w:tcPr>
          <w:p w:rsidR="00D57FBB" w:rsidRPr="00C0474D" w:rsidRDefault="00D57FBB" w:rsidP="000B76A6">
            <w:pPr>
              <w:pStyle w:val="TableText0"/>
              <w:keepNext w:val="0"/>
              <w:spacing w:before="0" w:after="0"/>
              <w:jc w:val="center"/>
              <w:rPr>
                <w:rFonts w:cs="Arial"/>
              </w:rPr>
            </w:pPr>
            <w:r w:rsidRPr="00C0474D">
              <w:rPr>
                <w:rFonts w:cs="Arial"/>
              </w:rPr>
              <w:t xml:space="preserve">0.25 </w:t>
            </w:r>
          </w:p>
          <w:p w:rsidR="00D57FBB" w:rsidRPr="00C0474D" w:rsidRDefault="00D57FBB" w:rsidP="000B76A6">
            <w:pPr>
              <w:pStyle w:val="TableText0"/>
              <w:keepNext w:val="0"/>
              <w:spacing w:before="0" w:after="0"/>
              <w:jc w:val="center"/>
              <w:rPr>
                <w:rFonts w:cs="Arial"/>
              </w:rPr>
            </w:pPr>
            <w:r w:rsidRPr="00C0474D">
              <w:rPr>
                <w:rFonts w:cs="Arial"/>
              </w:rPr>
              <w:t>(0.22, 0.30)</w:t>
            </w:r>
          </w:p>
        </w:tc>
        <w:tc>
          <w:tcPr>
            <w:tcW w:w="1254" w:type="dxa"/>
            <w:tcBorders>
              <w:top w:val="single" w:sz="4" w:space="0" w:color="auto"/>
              <w:left w:val="single" w:sz="4" w:space="0" w:color="auto"/>
              <w:bottom w:val="single" w:sz="4" w:space="0" w:color="auto"/>
              <w:right w:val="single" w:sz="4" w:space="0" w:color="auto"/>
            </w:tcBorders>
            <w:vAlign w:val="center"/>
          </w:tcPr>
          <w:p w:rsidR="00D57FBB" w:rsidRPr="00C0474D" w:rsidRDefault="00D57FBB" w:rsidP="000B76A6">
            <w:pPr>
              <w:pStyle w:val="TableText0"/>
              <w:keepNext w:val="0"/>
              <w:spacing w:before="0" w:after="0"/>
              <w:jc w:val="center"/>
              <w:rPr>
                <w:rFonts w:cs="Arial"/>
              </w:rPr>
            </w:pPr>
            <w:r w:rsidRPr="00C0474D">
              <w:rPr>
                <w:rFonts w:cs="Arial"/>
              </w:rPr>
              <w:t xml:space="preserve">0.43 </w:t>
            </w:r>
          </w:p>
          <w:p w:rsidR="00D57FBB" w:rsidRPr="00C0474D" w:rsidRDefault="00D57FBB" w:rsidP="000B76A6">
            <w:pPr>
              <w:pStyle w:val="TableText0"/>
              <w:keepNext w:val="0"/>
              <w:spacing w:before="0" w:after="0"/>
              <w:jc w:val="center"/>
              <w:rPr>
                <w:rFonts w:cs="Arial"/>
              </w:rPr>
            </w:pPr>
            <w:r w:rsidRPr="00C0474D">
              <w:rPr>
                <w:rFonts w:cs="Arial"/>
              </w:rPr>
              <w:t>(0.38, 0.49)</w:t>
            </w:r>
          </w:p>
        </w:tc>
        <w:tc>
          <w:tcPr>
            <w:tcW w:w="1254" w:type="dxa"/>
            <w:tcBorders>
              <w:top w:val="single" w:sz="4" w:space="0" w:color="auto"/>
              <w:left w:val="single" w:sz="4" w:space="0" w:color="auto"/>
              <w:bottom w:val="single" w:sz="4" w:space="0" w:color="auto"/>
              <w:right w:val="double" w:sz="4" w:space="0" w:color="auto"/>
            </w:tcBorders>
            <w:vAlign w:val="center"/>
          </w:tcPr>
          <w:p w:rsidR="00D57FBB" w:rsidRPr="00C0474D" w:rsidRDefault="00D57FBB" w:rsidP="000B76A6">
            <w:pPr>
              <w:pStyle w:val="TableText0"/>
              <w:keepNext w:val="0"/>
              <w:spacing w:before="0" w:after="0"/>
              <w:jc w:val="center"/>
              <w:rPr>
                <w:rFonts w:cs="Arial"/>
              </w:rPr>
            </w:pPr>
            <w:r w:rsidRPr="00C0474D">
              <w:rPr>
                <w:rFonts w:cs="Arial"/>
              </w:rPr>
              <w:t>-</w:t>
            </w:r>
          </w:p>
        </w:tc>
        <w:tc>
          <w:tcPr>
            <w:tcW w:w="2692" w:type="dxa"/>
            <w:tcBorders>
              <w:top w:val="single" w:sz="4" w:space="0" w:color="auto"/>
              <w:left w:val="double" w:sz="4" w:space="0" w:color="auto"/>
              <w:bottom w:val="single" w:sz="4" w:space="0" w:color="auto"/>
              <w:right w:val="single" w:sz="4" w:space="0" w:color="auto"/>
            </w:tcBorders>
            <w:vAlign w:val="center"/>
          </w:tcPr>
          <w:p w:rsidR="00D57FBB" w:rsidRPr="00C0474D" w:rsidRDefault="00D57FBB" w:rsidP="000B76A6">
            <w:pPr>
              <w:pStyle w:val="TableText0"/>
              <w:keepNext w:val="0"/>
              <w:spacing w:before="0" w:after="0"/>
              <w:jc w:val="center"/>
              <w:rPr>
                <w:rFonts w:cs="Arial"/>
                <w:b/>
              </w:rPr>
            </w:pPr>
            <w:r w:rsidRPr="00C0474D">
              <w:rPr>
                <w:rFonts w:cs="Arial"/>
                <w:b/>
              </w:rPr>
              <w:t>Rate ratio: 0.59 (0.49, 0.72)</w:t>
            </w:r>
          </w:p>
        </w:tc>
      </w:tr>
      <w:tr w:rsidR="00D57FBB" w:rsidRPr="00C0474D" w:rsidTr="000B76A6">
        <w:tc>
          <w:tcPr>
            <w:tcW w:w="1909" w:type="dxa"/>
            <w:tcBorders>
              <w:top w:val="single" w:sz="4" w:space="0" w:color="auto"/>
              <w:left w:val="single" w:sz="4" w:space="0" w:color="auto"/>
              <w:bottom w:val="single" w:sz="4" w:space="0" w:color="auto"/>
              <w:right w:val="single" w:sz="4" w:space="0" w:color="auto"/>
            </w:tcBorders>
            <w:tcMar>
              <w:right w:w="28" w:type="dxa"/>
            </w:tcMar>
            <w:vAlign w:val="center"/>
          </w:tcPr>
          <w:p w:rsidR="00D57FBB" w:rsidRPr="00C0474D" w:rsidRDefault="00D57FBB" w:rsidP="000B76A6">
            <w:pPr>
              <w:pStyle w:val="TableText0"/>
              <w:keepNext w:val="0"/>
              <w:spacing w:before="0" w:after="0"/>
              <w:rPr>
                <w:rFonts w:cs="Arial"/>
              </w:rPr>
            </w:pPr>
            <w:r w:rsidRPr="00C0474D">
              <w:rPr>
                <w:rFonts w:cs="Arial"/>
              </w:rPr>
              <w:t>TRANSFORMS, 1 year</w:t>
            </w:r>
          </w:p>
          <w:p w:rsidR="00D57FBB" w:rsidRPr="00C0474D" w:rsidRDefault="00D57FBB" w:rsidP="000B76A6">
            <w:pPr>
              <w:pStyle w:val="TableText0"/>
              <w:keepNext w:val="0"/>
              <w:spacing w:before="0" w:after="0"/>
              <w:rPr>
                <w:rFonts w:cs="Arial"/>
              </w:rPr>
            </w:pPr>
            <w:r w:rsidRPr="00C0474D">
              <w:rPr>
                <w:rFonts w:cs="Arial"/>
              </w:rPr>
              <w:t>(N = 843)</w:t>
            </w:r>
          </w:p>
        </w:tc>
        <w:tc>
          <w:tcPr>
            <w:tcW w:w="1253" w:type="dxa"/>
            <w:tcBorders>
              <w:top w:val="single" w:sz="4" w:space="0" w:color="auto"/>
              <w:left w:val="single" w:sz="4" w:space="0" w:color="auto"/>
              <w:bottom w:val="single" w:sz="4" w:space="0" w:color="auto"/>
              <w:right w:val="single" w:sz="4" w:space="0" w:color="auto"/>
            </w:tcBorders>
            <w:vAlign w:val="center"/>
          </w:tcPr>
          <w:p w:rsidR="00D57FBB" w:rsidRPr="00C0474D" w:rsidRDefault="00D57FBB" w:rsidP="000B76A6">
            <w:pPr>
              <w:pStyle w:val="TableText0"/>
              <w:keepNext w:val="0"/>
              <w:spacing w:before="0" w:after="0"/>
              <w:jc w:val="center"/>
              <w:rPr>
                <w:rFonts w:cs="Arial"/>
              </w:rPr>
            </w:pPr>
            <w:r w:rsidRPr="00C0474D">
              <w:rPr>
                <w:rFonts w:cs="Arial"/>
              </w:rPr>
              <w:t>-</w:t>
            </w:r>
          </w:p>
        </w:tc>
        <w:tc>
          <w:tcPr>
            <w:tcW w:w="1254" w:type="dxa"/>
            <w:tcBorders>
              <w:top w:val="single" w:sz="4" w:space="0" w:color="auto"/>
              <w:left w:val="single" w:sz="4" w:space="0" w:color="auto"/>
              <w:bottom w:val="single" w:sz="4" w:space="0" w:color="auto"/>
              <w:right w:val="single" w:sz="4" w:space="0" w:color="auto"/>
            </w:tcBorders>
            <w:vAlign w:val="center"/>
          </w:tcPr>
          <w:p w:rsidR="00D57FBB" w:rsidRPr="00C0474D" w:rsidRDefault="00D57FBB" w:rsidP="000B76A6">
            <w:pPr>
              <w:pStyle w:val="TableText0"/>
              <w:keepNext w:val="0"/>
              <w:spacing w:before="0" w:after="0"/>
              <w:jc w:val="center"/>
              <w:rPr>
                <w:rFonts w:cs="Arial"/>
              </w:rPr>
            </w:pPr>
            <w:r w:rsidRPr="00C0474D">
              <w:rPr>
                <w:rFonts w:cs="Arial"/>
              </w:rPr>
              <w:t xml:space="preserve">0.33 </w:t>
            </w:r>
          </w:p>
          <w:p w:rsidR="00D57FBB" w:rsidRPr="00C0474D" w:rsidRDefault="00D57FBB" w:rsidP="000B76A6">
            <w:pPr>
              <w:pStyle w:val="TableText0"/>
              <w:keepNext w:val="0"/>
              <w:spacing w:before="0" w:after="0"/>
              <w:jc w:val="center"/>
              <w:rPr>
                <w:rFonts w:cs="Arial"/>
              </w:rPr>
            </w:pPr>
            <w:r w:rsidRPr="00C0474D">
              <w:rPr>
                <w:rFonts w:cs="Arial"/>
              </w:rPr>
              <w:t>(0.26, 0.42)</w:t>
            </w:r>
          </w:p>
        </w:tc>
        <w:tc>
          <w:tcPr>
            <w:tcW w:w="1254" w:type="dxa"/>
            <w:tcBorders>
              <w:top w:val="single" w:sz="4" w:space="0" w:color="auto"/>
              <w:left w:val="single" w:sz="4" w:space="0" w:color="auto"/>
              <w:bottom w:val="single" w:sz="4" w:space="0" w:color="auto"/>
              <w:right w:val="double" w:sz="4" w:space="0" w:color="auto"/>
            </w:tcBorders>
            <w:vAlign w:val="center"/>
          </w:tcPr>
          <w:p w:rsidR="00D57FBB" w:rsidRPr="00C0474D" w:rsidRDefault="00D57FBB" w:rsidP="000B76A6">
            <w:pPr>
              <w:pStyle w:val="TableText0"/>
              <w:keepNext w:val="0"/>
              <w:spacing w:before="0" w:after="0"/>
              <w:jc w:val="center"/>
              <w:rPr>
                <w:rFonts w:cs="Arial"/>
              </w:rPr>
            </w:pPr>
            <w:r w:rsidRPr="00C0474D">
              <w:rPr>
                <w:rFonts w:cs="Arial"/>
              </w:rPr>
              <w:t xml:space="preserve">0.16 </w:t>
            </w:r>
          </w:p>
          <w:p w:rsidR="00D57FBB" w:rsidRPr="00C0474D" w:rsidRDefault="00D57FBB" w:rsidP="000B76A6">
            <w:pPr>
              <w:pStyle w:val="TableText0"/>
              <w:keepNext w:val="0"/>
              <w:spacing w:before="0" w:after="0"/>
              <w:jc w:val="center"/>
              <w:rPr>
                <w:rFonts w:cs="Arial"/>
              </w:rPr>
            </w:pPr>
            <w:r w:rsidRPr="00C0474D">
              <w:rPr>
                <w:rFonts w:cs="Arial"/>
              </w:rPr>
              <w:t>(0.12, 0.21)</w:t>
            </w:r>
          </w:p>
        </w:tc>
        <w:tc>
          <w:tcPr>
            <w:tcW w:w="2692" w:type="dxa"/>
            <w:tcBorders>
              <w:top w:val="single" w:sz="4" w:space="0" w:color="auto"/>
              <w:left w:val="double" w:sz="4" w:space="0" w:color="auto"/>
              <w:bottom w:val="single" w:sz="4" w:space="0" w:color="auto"/>
              <w:right w:val="single" w:sz="4" w:space="0" w:color="auto"/>
            </w:tcBorders>
            <w:shd w:val="clear" w:color="auto" w:fill="FFFFFF"/>
            <w:vAlign w:val="center"/>
          </w:tcPr>
          <w:p w:rsidR="00D57FBB" w:rsidRPr="00C0474D" w:rsidRDefault="00D57FBB" w:rsidP="000B76A6">
            <w:pPr>
              <w:pStyle w:val="TableText0"/>
              <w:spacing w:before="0" w:after="0"/>
              <w:jc w:val="center"/>
              <w:rPr>
                <w:rFonts w:cs="Arial"/>
                <w:b/>
              </w:rPr>
            </w:pPr>
            <w:r w:rsidRPr="00C0474D">
              <w:rPr>
                <w:rFonts w:cs="Arial"/>
                <w:b/>
              </w:rPr>
              <w:t>Rate ratio: 0.48 (0.36, 0.64)</w:t>
            </w:r>
          </w:p>
        </w:tc>
      </w:tr>
      <w:tr w:rsidR="00D57FBB" w:rsidRPr="00C0474D" w:rsidTr="000B76A6">
        <w:tc>
          <w:tcPr>
            <w:tcW w:w="5670" w:type="dxa"/>
            <w:gridSpan w:val="4"/>
            <w:tcBorders>
              <w:top w:val="single" w:sz="4" w:space="0" w:color="auto"/>
              <w:left w:val="single" w:sz="4" w:space="0" w:color="auto"/>
              <w:bottom w:val="single" w:sz="4" w:space="0" w:color="auto"/>
              <w:right w:val="double" w:sz="4" w:space="0" w:color="auto"/>
            </w:tcBorders>
            <w:tcMar>
              <w:right w:w="28" w:type="dxa"/>
            </w:tcMar>
            <w:vAlign w:val="center"/>
          </w:tcPr>
          <w:p w:rsidR="00D57FBB" w:rsidRPr="00C0474D" w:rsidRDefault="00D57FBB" w:rsidP="000B76A6">
            <w:pPr>
              <w:pStyle w:val="TableText0"/>
              <w:spacing w:before="0" w:after="0"/>
              <w:jc w:val="right"/>
              <w:rPr>
                <w:rFonts w:cs="Arial"/>
              </w:rPr>
            </w:pPr>
            <w:r w:rsidRPr="00C0474D">
              <w:rPr>
                <w:rFonts w:cs="Arial"/>
              </w:rPr>
              <w:t xml:space="preserve">Indirect estimate of effect </w:t>
            </w:r>
          </w:p>
          <w:p w:rsidR="00D57FBB" w:rsidRPr="00C0474D" w:rsidRDefault="00D57FBB" w:rsidP="000B76A6">
            <w:pPr>
              <w:pStyle w:val="TableText0"/>
              <w:keepNext w:val="0"/>
              <w:spacing w:before="0" w:after="0"/>
              <w:jc w:val="right"/>
              <w:rPr>
                <w:rFonts w:cs="Arial"/>
              </w:rPr>
            </w:pPr>
            <w:r w:rsidRPr="00C0474D">
              <w:rPr>
                <w:rFonts w:cs="Arial"/>
              </w:rPr>
              <w:t xml:space="preserve">(results &lt; 1 favour </w:t>
            </w:r>
            <w:proofErr w:type="spellStart"/>
            <w:r w:rsidRPr="00C0474D">
              <w:rPr>
                <w:rFonts w:cs="Arial"/>
              </w:rPr>
              <w:t>daclizumab</w:t>
            </w:r>
            <w:proofErr w:type="spellEnd"/>
            <w:r w:rsidRPr="00C0474D">
              <w:rPr>
                <w:rFonts w:cs="Arial"/>
              </w:rPr>
              <w:t>)</w:t>
            </w:r>
          </w:p>
        </w:tc>
        <w:tc>
          <w:tcPr>
            <w:tcW w:w="2692" w:type="dxa"/>
            <w:tcBorders>
              <w:top w:val="single" w:sz="4" w:space="0" w:color="auto"/>
              <w:left w:val="double" w:sz="4" w:space="0" w:color="auto"/>
              <w:bottom w:val="single" w:sz="4" w:space="0" w:color="auto"/>
              <w:right w:val="single" w:sz="4" w:space="0" w:color="auto"/>
            </w:tcBorders>
            <w:shd w:val="clear" w:color="auto" w:fill="FFFFFF"/>
            <w:vAlign w:val="center"/>
          </w:tcPr>
          <w:p w:rsidR="00D57FBB" w:rsidRPr="00C0474D" w:rsidRDefault="00D57FBB" w:rsidP="000B76A6">
            <w:pPr>
              <w:pStyle w:val="TableText0"/>
              <w:spacing w:before="0" w:after="0"/>
              <w:jc w:val="center"/>
              <w:rPr>
                <w:rFonts w:cs="Arial"/>
              </w:rPr>
            </w:pPr>
            <w:r w:rsidRPr="00C0474D">
              <w:rPr>
                <w:rFonts w:cs="Arial"/>
              </w:rPr>
              <w:t>Rate ratio: 1.23 (0.87, 1.74)</w:t>
            </w:r>
          </w:p>
        </w:tc>
      </w:tr>
      <w:tr w:rsidR="00D57FBB" w:rsidRPr="00C0474D" w:rsidTr="000B76A6">
        <w:tc>
          <w:tcPr>
            <w:tcW w:w="8362" w:type="dxa"/>
            <w:gridSpan w:val="5"/>
            <w:tcBorders>
              <w:top w:val="single" w:sz="4" w:space="0" w:color="auto"/>
              <w:left w:val="single" w:sz="4" w:space="0" w:color="auto"/>
              <w:bottom w:val="single" w:sz="4" w:space="0" w:color="auto"/>
              <w:right w:val="single" w:sz="4" w:space="0" w:color="auto"/>
            </w:tcBorders>
            <w:tcMar>
              <w:right w:w="28" w:type="dxa"/>
            </w:tcMar>
            <w:vAlign w:val="center"/>
          </w:tcPr>
          <w:p w:rsidR="00D57FBB" w:rsidRPr="00C0474D" w:rsidRDefault="00D57FBB" w:rsidP="000B76A6">
            <w:pPr>
              <w:pStyle w:val="TableText0"/>
              <w:keepNext w:val="0"/>
              <w:spacing w:before="0" w:after="0"/>
              <w:rPr>
                <w:rFonts w:cs="Arial"/>
                <w:b/>
                <w:vertAlign w:val="superscript"/>
              </w:rPr>
            </w:pPr>
            <w:r w:rsidRPr="00C0474D">
              <w:rPr>
                <w:rFonts w:cs="Arial"/>
                <w:b/>
              </w:rPr>
              <w:t>Proportion of patients with 3-month sustained disability at one year, n/N (%)</w:t>
            </w:r>
          </w:p>
        </w:tc>
      </w:tr>
      <w:tr w:rsidR="00D57FBB" w:rsidRPr="00C0474D" w:rsidTr="000B76A6">
        <w:tc>
          <w:tcPr>
            <w:tcW w:w="1909" w:type="dxa"/>
            <w:tcBorders>
              <w:top w:val="single" w:sz="4" w:space="0" w:color="auto"/>
              <w:left w:val="single" w:sz="4" w:space="0" w:color="auto"/>
              <w:bottom w:val="single" w:sz="4" w:space="0" w:color="auto"/>
              <w:right w:val="single" w:sz="4" w:space="0" w:color="auto"/>
            </w:tcBorders>
            <w:tcMar>
              <w:right w:w="28" w:type="dxa"/>
            </w:tcMar>
            <w:vAlign w:val="center"/>
          </w:tcPr>
          <w:p w:rsidR="00D57FBB" w:rsidRPr="00C0474D" w:rsidRDefault="00D57FBB" w:rsidP="000B76A6">
            <w:pPr>
              <w:pStyle w:val="TableText0"/>
              <w:keepNext w:val="0"/>
              <w:spacing w:before="0" w:after="0"/>
              <w:rPr>
                <w:rFonts w:cs="Arial"/>
              </w:rPr>
            </w:pPr>
            <w:r w:rsidRPr="00C0474D">
              <w:rPr>
                <w:rFonts w:cs="Arial"/>
              </w:rPr>
              <w:t>DECIDE, 1 year</w:t>
            </w:r>
          </w:p>
          <w:p w:rsidR="00D57FBB" w:rsidRPr="00C0474D" w:rsidRDefault="00D57FBB" w:rsidP="000B76A6">
            <w:pPr>
              <w:pStyle w:val="TableText0"/>
              <w:keepNext w:val="0"/>
              <w:spacing w:before="0" w:after="0"/>
              <w:rPr>
                <w:rFonts w:cs="Arial"/>
              </w:rPr>
            </w:pPr>
            <w:r w:rsidRPr="00C0474D">
              <w:rPr>
                <w:rFonts w:cs="Arial"/>
              </w:rPr>
              <w:t>(N = 1,841)</w:t>
            </w:r>
          </w:p>
        </w:tc>
        <w:tc>
          <w:tcPr>
            <w:tcW w:w="1253" w:type="dxa"/>
            <w:tcBorders>
              <w:top w:val="single" w:sz="4" w:space="0" w:color="auto"/>
              <w:left w:val="single" w:sz="4" w:space="0" w:color="auto"/>
              <w:bottom w:val="single" w:sz="4" w:space="0" w:color="auto"/>
              <w:right w:val="single" w:sz="4" w:space="0" w:color="auto"/>
            </w:tcBorders>
            <w:vAlign w:val="center"/>
          </w:tcPr>
          <w:p w:rsidR="00D57FBB" w:rsidRPr="00C0474D" w:rsidRDefault="00D57FBB" w:rsidP="000B76A6">
            <w:pPr>
              <w:pStyle w:val="TableText0"/>
              <w:keepNext w:val="0"/>
              <w:spacing w:before="0" w:after="0"/>
              <w:jc w:val="center"/>
              <w:rPr>
                <w:rFonts w:cs="Arial"/>
              </w:rPr>
            </w:pPr>
            <w:r w:rsidRPr="00C0474D">
              <w:rPr>
                <w:rFonts w:cs="Arial"/>
              </w:rPr>
              <w:t>59/919</w:t>
            </w:r>
          </w:p>
          <w:p w:rsidR="00D57FBB" w:rsidRPr="00C0474D" w:rsidRDefault="00D57FBB" w:rsidP="000B76A6">
            <w:pPr>
              <w:pStyle w:val="TableText0"/>
              <w:keepNext w:val="0"/>
              <w:spacing w:before="0" w:after="0"/>
              <w:jc w:val="center"/>
              <w:rPr>
                <w:rFonts w:cs="Arial"/>
              </w:rPr>
            </w:pPr>
            <w:r w:rsidRPr="00C0474D">
              <w:rPr>
                <w:rFonts w:cs="Arial"/>
              </w:rPr>
              <w:t>(6.4%)</w:t>
            </w:r>
          </w:p>
        </w:tc>
        <w:tc>
          <w:tcPr>
            <w:tcW w:w="1254" w:type="dxa"/>
            <w:tcBorders>
              <w:top w:val="single" w:sz="4" w:space="0" w:color="auto"/>
              <w:left w:val="single" w:sz="4" w:space="0" w:color="auto"/>
              <w:bottom w:val="single" w:sz="4" w:space="0" w:color="auto"/>
              <w:right w:val="single" w:sz="4" w:space="0" w:color="auto"/>
            </w:tcBorders>
            <w:vAlign w:val="center"/>
          </w:tcPr>
          <w:p w:rsidR="00D57FBB" w:rsidRPr="00C0474D" w:rsidRDefault="00D57FBB" w:rsidP="000B76A6">
            <w:pPr>
              <w:pStyle w:val="TableText0"/>
              <w:keepNext w:val="0"/>
              <w:spacing w:before="0" w:after="0"/>
              <w:jc w:val="center"/>
              <w:rPr>
                <w:rFonts w:cs="Arial"/>
              </w:rPr>
            </w:pPr>
            <w:r w:rsidRPr="00C0474D">
              <w:rPr>
                <w:rFonts w:cs="Arial"/>
              </w:rPr>
              <w:t>75/922</w:t>
            </w:r>
          </w:p>
          <w:p w:rsidR="00D57FBB" w:rsidRPr="00C0474D" w:rsidRDefault="00D57FBB" w:rsidP="000B76A6">
            <w:pPr>
              <w:pStyle w:val="TableText0"/>
              <w:keepNext w:val="0"/>
              <w:spacing w:before="0" w:after="0"/>
              <w:jc w:val="center"/>
              <w:rPr>
                <w:rFonts w:cs="Arial"/>
              </w:rPr>
            </w:pPr>
            <w:r w:rsidRPr="00C0474D">
              <w:rPr>
                <w:rFonts w:cs="Arial"/>
              </w:rPr>
              <w:t>(8.1%)</w:t>
            </w:r>
          </w:p>
        </w:tc>
        <w:tc>
          <w:tcPr>
            <w:tcW w:w="1254" w:type="dxa"/>
            <w:tcBorders>
              <w:top w:val="single" w:sz="4" w:space="0" w:color="auto"/>
              <w:left w:val="single" w:sz="4" w:space="0" w:color="auto"/>
              <w:bottom w:val="single" w:sz="4" w:space="0" w:color="auto"/>
              <w:right w:val="double" w:sz="4" w:space="0" w:color="auto"/>
            </w:tcBorders>
            <w:vAlign w:val="center"/>
          </w:tcPr>
          <w:p w:rsidR="00D57FBB" w:rsidRPr="00C0474D" w:rsidRDefault="00D57FBB" w:rsidP="000B76A6">
            <w:pPr>
              <w:pStyle w:val="TableText0"/>
              <w:keepNext w:val="0"/>
              <w:spacing w:before="0" w:after="0"/>
              <w:jc w:val="center"/>
              <w:rPr>
                <w:rFonts w:cs="Arial"/>
              </w:rPr>
            </w:pPr>
            <w:r w:rsidRPr="00C0474D">
              <w:rPr>
                <w:rFonts w:cs="Arial"/>
              </w:rPr>
              <w:t>-</w:t>
            </w:r>
          </w:p>
        </w:tc>
        <w:tc>
          <w:tcPr>
            <w:tcW w:w="2692" w:type="dxa"/>
            <w:tcBorders>
              <w:top w:val="single" w:sz="4" w:space="0" w:color="auto"/>
              <w:left w:val="double" w:sz="4" w:space="0" w:color="auto"/>
              <w:bottom w:val="single" w:sz="4" w:space="0" w:color="auto"/>
              <w:right w:val="single" w:sz="4" w:space="0" w:color="auto"/>
            </w:tcBorders>
            <w:vAlign w:val="center"/>
          </w:tcPr>
          <w:p w:rsidR="00D57FBB" w:rsidRPr="00C0474D" w:rsidRDefault="00D57FBB" w:rsidP="000B76A6">
            <w:pPr>
              <w:pStyle w:val="TableText0"/>
              <w:keepNext w:val="0"/>
              <w:spacing w:before="0" w:after="0"/>
              <w:jc w:val="center"/>
              <w:rPr>
                <w:rFonts w:cs="Arial"/>
              </w:rPr>
            </w:pPr>
            <w:r w:rsidRPr="00C0474D">
              <w:rPr>
                <w:rFonts w:cs="Arial"/>
              </w:rPr>
              <w:t>Relative risk: 0.79 (0.57, 1.10)</w:t>
            </w:r>
          </w:p>
        </w:tc>
      </w:tr>
      <w:tr w:rsidR="00D57FBB" w:rsidRPr="00C0474D" w:rsidTr="000B76A6">
        <w:tc>
          <w:tcPr>
            <w:tcW w:w="1909" w:type="dxa"/>
            <w:tcBorders>
              <w:top w:val="single" w:sz="4" w:space="0" w:color="auto"/>
              <w:left w:val="single" w:sz="4" w:space="0" w:color="auto"/>
              <w:bottom w:val="single" w:sz="4" w:space="0" w:color="auto"/>
              <w:right w:val="single" w:sz="4" w:space="0" w:color="auto"/>
            </w:tcBorders>
            <w:tcMar>
              <w:right w:w="28" w:type="dxa"/>
            </w:tcMar>
            <w:vAlign w:val="center"/>
          </w:tcPr>
          <w:p w:rsidR="00D57FBB" w:rsidRPr="00C0474D" w:rsidRDefault="00D57FBB" w:rsidP="000B76A6">
            <w:pPr>
              <w:pStyle w:val="TableText0"/>
              <w:keepNext w:val="0"/>
              <w:spacing w:before="0" w:after="0"/>
              <w:rPr>
                <w:rFonts w:cs="Arial"/>
              </w:rPr>
            </w:pPr>
            <w:r w:rsidRPr="00C0474D">
              <w:rPr>
                <w:rFonts w:cs="Arial"/>
              </w:rPr>
              <w:t>TRANSFORMS, 1 year</w:t>
            </w:r>
          </w:p>
          <w:p w:rsidR="00D57FBB" w:rsidRPr="00C0474D" w:rsidRDefault="00D57FBB" w:rsidP="000B76A6">
            <w:pPr>
              <w:pStyle w:val="TableText0"/>
              <w:keepNext w:val="0"/>
              <w:spacing w:before="0" w:after="0"/>
              <w:rPr>
                <w:rFonts w:cs="Arial"/>
              </w:rPr>
            </w:pPr>
            <w:r w:rsidRPr="00C0474D">
              <w:rPr>
                <w:rFonts w:cs="Arial"/>
              </w:rPr>
              <w:t>(N = 843)</w:t>
            </w:r>
          </w:p>
        </w:tc>
        <w:tc>
          <w:tcPr>
            <w:tcW w:w="1253" w:type="dxa"/>
            <w:tcBorders>
              <w:top w:val="single" w:sz="4" w:space="0" w:color="auto"/>
              <w:left w:val="single" w:sz="4" w:space="0" w:color="auto"/>
              <w:bottom w:val="single" w:sz="4" w:space="0" w:color="auto"/>
              <w:right w:val="single" w:sz="4" w:space="0" w:color="auto"/>
            </w:tcBorders>
            <w:vAlign w:val="center"/>
          </w:tcPr>
          <w:p w:rsidR="00D57FBB" w:rsidRPr="00C0474D" w:rsidRDefault="00D57FBB" w:rsidP="000B76A6">
            <w:pPr>
              <w:pStyle w:val="TableText0"/>
              <w:keepNext w:val="0"/>
              <w:spacing w:before="0" w:after="0"/>
              <w:jc w:val="center"/>
              <w:rPr>
                <w:rFonts w:cs="Arial"/>
              </w:rPr>
            </w:pPr>
            <w:r w:rsidRPr="00C0474D">
              <w:rPr>
                <w:rFonts w:cs="Arial"/>
              </w:rPr>
              <w:t>-</w:t>
            </w:r>
          </w:p>
        </w:tc>
        <w:tc>
          <w:tcPr>
            <w:tcW w:w="1254" w:type="dxa"/>
            <w:tcBorders>
              <w:top w:val="single" w:sz="4" w:space="0" w:color="auto"/>
              <w:left w:val="single" w:sz="4" w:space="0" w:color="auto"/>
              <w:bottom w:val="single" w:sz="4" w:space="0" w:color="auto"/>
              <w:right w:val="single" w:sz="4" w:space="0" w:color="auto"/>
            </w:tcBorders>
            <w:vAlign w:val="center"/>
          </w:tcPr>
          <w:p w:rsidR="00D57FBB" w:rsidRPr="00C0474D" w:rsidRDefault="00D57FBB" w:rsidP="000B76A6">
            <w:pPr>
              <w:pStyle w:val="TableText0"/>
              <w:keepNext w:val="0"/>
              <w:spacing w:before="0" w:after="0"/>
              <w:jc w:val="center"/>
              <w:rPr>
                <w:rFonts w:cs="Arial"/>
              </w:rPr>
            </w:pPr>
            <w:r w:rsidRPr="00C0474D">
              <w:rPr>
                <w:rFonts w:cs="Arial"/>
              </w:rPr>
              <w:t>34/431</w:t>
            </w:r>
          </w:p>
          <w:p w:rsidR="00D57FBB" w:rsidRPr="00C0474D" w:rsidRDefault="00D57FBB" w:rsidP="000B76A6">
            <w:pPr>
              <w:pStyle w:val="TableText0"/>
              <w:keepNext w:val="0"/>
              <w:spacing w:before="0" w:after="0"/>
              <w:jc w:val="center"/>
              <w:rPr>
                <w:rFonts w:cs="Arial"/>
              </w:rPr>
            </w:pPr>
            <w:r w:rsidRPr="00C0474D">
              <w:rPr>
                <w:rFonts w:cs="Arial"/>
              </w:rPr>
              <w:t>(7.9%)</w:t>
            </w:r>
          </w:p>
        </w:tc>
        <w:tc>
          <w:tcPr>
            <w:tcW w:w="1254" w:type="dxa"/>
            <w:tcBorders>
              <w:top w:val="single" w:sz="4" w:space="0" w:color="auto"/>
              <w:left w:val="single" w:sz="4" w:space="0" w:color="auto"/>
              <w:bottom w:val="single" w:sz="4" w:space="0" w:color="auto"/>
              <w:right w:val="double" w:sz="4" w:space="0" w:color="auto"/>
            </w:tcBorders>
            <w:vAlign w:val="center"/>
          </w:tcPr>
          <w:p w:rsidR="00D57FBB" w:rsidRPr="00C0474D" w:rsidRDefault="00D57FBB" w:rsidP="000B76A6">
            <w:pPr>
              <w:pStyle w:val="TableText0"/>
              <w:keepNext w:val="0"/>
              <w:spacing w:before="0" w:after="0"/>
              <w:jc w:val="center"/>
              <w:rPr>
                <w:rFonts w:cs="Arial"/>
              </w:rPr>
            </w:pPr>
            <w:r w:rsidRPr="00C0474D">
              <w:rPr>
                <w:rFonts w:cs="Arial"/>
              </w:rPr>
              <w:t>25/429</w:t>
            </w:r>
          </w:p>
          <w:p w:rsidR="00D57FBB" w:rsidRPr="00C0474D" w:rsidRDefault="00D57FBB" w:rsidP="000B76A6">
            <w:pPr>
              <w:pStyle w:val="TableText0"/>
              <w:keepNext w:val="0"/>
              <w:spacing w:before="0" w:after="0"/>
              <w:jc w:val="center"/>
              <w:rPr>
                <w:rFonts w:cs="Arial"/>
              </w:rPr>
            </w:pPr>
            <w:r w:rsidRPr="00C0474D">
              <w:rPr>
                <w:rFonts w:cs="Arial"/>
              </w:rPr>
              <w:t>(5.8%)</w:t>
            </w:r>
          </w:p>
        </w:tc>
        <w:tc>
          <w:tcPr>
            <w:tcW w:w="2692" w:type="dxa"/>
            <w:tcBorders>
              <w:top w:val="single" w:sz="4" w:space="0" w:color="auto"/>
              <w:left w:val="double" w:sz="4" w:space="0" w:color="auto"/>
              <w:bottom w:val="single" w:sz="4" w:space="0" w:color="auto"/>
              <w:right w:val="single" w:sz="4" w:space="0" w:color="auto"/>
            </w:tcBorders>
            <w:shd w:val="clear" w:color="auto" w:fill="FFFFFF"/>
            <w:vAlign w:val="center"/>
          </w:tcPr>
          <w:p w:rsidR="00D57FBB" w:rsidRPr="00C0474D" w:rsidRDefault="00D57FBB" w:rsidP="000B76A6">
            <w:pPr>
              <w:pStyle w:val="TableText0"/>
              <w:spacing w:before="0" w:after="0"/>
              <w:jc w:val="center"/>
              <w:rPr>
                <w:rFonts w:cs="Arial"/>
              </w:rPr>
            </w:pPr>
            <w:r w:rsidRPr="00C0474D">
              <w:rPr>
                <w:rFonts w:cs="Arial"/>
              </w:rPr>
              <w:t>Relative risk: 0.74 (0.45, 1.22)</w:t>
            </w:r>
          </w:p>
        </w:tc>
      </w:tr>
      <w:tr w:rsidR="00D57FBB" w:rsidRPr="00C0474D" w:rsidTr="000B76A6">
        <w:tc>
          <w:tcPr>
            <w:tcW w:w="5670" w:type="dxa"/>
            <w:gridSpan w:val="4"/>
            <w:tcBorders>
              <w:top w:val="single" w:sz="4" w:space="0" w:color="auto"/>
              <w:left w:val="single" w:sz="4" w:space="0" w:color="auto"/>
              <w:bottom w:val="single" w:sz="4" w:space="0" w:color="auto"/>
              <w:right w:val="double" w:sz="4" w:space="0" w:color="auto"/>
            </w:tcBorders>
            <w:tcMar>
              <w:right w:w="28" w:type="dxa"/>
            </w:tcMar>
            <w:vAlign w:val="center"/>
          </w:tcPr>
          <w:p w:rsidR="00D57FBB" w:rsidRPr="00C0474D" w:rsidRDefault="00D57FBB" w:rsidP="000B76A6">
            <w:pPr>
              <w:pStyle w:val="TableText0"/>
              <w:spacing w:before="0" w:after="0"/>
              <w:jc w:val="right"/>
              <w:rPr>
                <w:rFonts w:cs="Arial"/>
              </w:rPr>
            </w:pPr>
            <w:r w:rsidRPr="00C0474D">
              <w:rPr>
                <w:rFonts w:cs="Arial"/>
              </w:rPr>
              <w:t xml:space="preserve">Indirect estimate of effect </w:t>
            </w:r>
          </w:p>
          <w:p w:rsidR="00D57FBB" w:rsidRPr="00C0474D" w:rsidRDefault="00D57FBB" w:rsidP="000B76A6">
            <w:pPr>
              <w:pStyle w:val="TableText0"/>
              <w:keepNext w:val="0"/>
              <w:spacing w:before="0" w:after="0"/>
              <w:jc w:val="right"/>
              <w:rPr>
                <w:rFonts w:cs="Arial"/>
              </w:rPr>
            </w:pPr>
            <w:r w:rsidRPr="00C0474D">
              <w:rPr>
                <w:rFonts w:cs="Arial"/>
              </w:rPr>
              <w:t xml:space="preserve">(results &lt; 1 favour </w:t>
            </w:r>
            <w:proofErr w:type="spellStart"/>
            <w:r w:rsidRPr="00C0474D">
              <w:rPr>
                <w:rFonts w:cs="Arial"/>
              </w:rPr>
              <w:t>daclizumab</w:t>
            </w:r>
            <w:proofErr w:type="spellEnd"/>
            <w:r w:rsidRPr="00C0474D">
              <w:rPr>
                <w:rFonts w:cs="Arial"/>
              </w:rPr>
              <w:t>)</w:t>
            </w:r>
          </w:p>
        </w:tc>
        <w:tc>
          <w:tcPr>
            <w:tcW w:w="2692" w:type="dxa"/>
            <w:tcBorders>
              <w:top w:val="single" w:sz="4" w:space="0" w:color="auto"/>
              <w:left w:val="double" w:sz="4" w:space="0" w:color="auto"/>
              <w:bottom w:val="single" w:sz="4" w:space="0" w:color="auto"/>
              <w:right w:val="single" w:sz="4" w:space="0" w:color="auto"/>
            </w:tcBorders>
            <w:shd w:val="clear" w:color="auto" w:fill="FFFFFF"/>
            <w:vAlign w:val="center"/>
          </w:tcPr>
          <w:p w:rsidR="00D57FBB" w:rsidRPr="00C0474D" w:rsidRDefault="00D57FBB" w:rsidP="000B76A6">
            <w:pPr>
              <w:pStyle w:val="TableText0"/>
              <w:spacing w:before="0" w:after="0"/>
              <w:jc w:val="center"/>
              <w:rPr>
                <w:rFonts w:cs="Arial"/>
                <w:b/>
              </w:rPr>
            </w:pPr>
            <w:r w:rsidRPr="00C0474D">
              <w:rPr>
                <w:rFonts w:cs="Arial"/>
              </w:rPr>
              <w:t>Relative risk: 1.07 (0.59, 1.94)</w:t>
            </w:r>
          </w:p>
        </w:tc>
      </w:tr>
    </w:tbl>
    <w:p w:rsidR="00D57FBB" w:rsidRPr="00C0474D" w:rsidRDefault="00D57FBB" w:rsidP="0056297D">
      <w:pPr>
        <w:ind w:firstLine="720"/>
        <w:rPr>
          <w:rFonts w:ascii="Arial Narrow" w:hAnsi="Arial Narrow"/>
          <w:sz w:val="18"/>
          <w:szCs w:val="18"/>
        </w:rPr>
      </w:pPr>
      <w:r w:rsidRPr="00C0474D">
        <w:rPr>
          <w:rFonts w:ascii="Arial Narrow" w:hAnsi="Arial Narrow"/>
          <w:sz w:val="18"/>
          <w:szCs w:val="18"/>
        </w:rPr>
        <w:t>Abbreviations: CI, confidence interval</w:t>
      </w:r>
    </w:p>
    <w:p w:rsidR="00D57FBB" w:rsidRPr="00C0474D" w:rsidRDefault="00D57FBB" w:rsidP="0056297D">
      <w:pPr>
        <w:ind w:firstLine="720"/>
        <w:rPr>
          <w:rFonts w:ascii="Arial Narrow" w:hAnsi="Arial Narrow"/>
          <w:sz w:val="18"/>
          <w:szCs w:val="18"/>
        </w:rPr>
      </w:pPr>
      <w:r w:rsidRPr="00C0474D">
        <w:rPr>
          <w:rFonts w:ascii="Arial Narrow" w:hAnsi="Arial Narrow"/>
          <w:sz w:val="18"/>
          <w:szCs w:val="18"/>
        </w:rPr>
        <w:t xml:space="preserve">Source: </w:t>
      </w:r>
      <w:r w:rsidR="0056297D" w:rsidRPr="00C0474D">
        <w:rPr>
          <w:rFonts w:ascii="Arial Narrow" w:hAnsi="Arial Narrow"/>
          <w:sz w:val="18"/>
          <w:szCs w:val="18"/>
        </w:rPr>
        <w:t xml:space="preserve">Table B.6-2 (p 80), Table B.6-4 (p 84), Table B.6-12 (p 90), </w:t>
      </w:r>
      <w:r w:rsidRPr="00C0474D">
        <w:rPr>
          <w:rFonts w:ascii="Arial Narrow" w:hAnsi="Arial Narrow"/>
          <w:sz w:val="18"/>
          <w:szCs w:val="18"/>
        </w:rPr>
        <w:t xml:space="preserve">Table B.6-14 (p 94-95) of the submission </w:t>
      </w:r>
    </w:p>
    <w:p w:rsidR="009A045B" w:rsidRPr="00C0474D" w:rsidRDefault="009A045B" w:rsidP="00D57FBB">
      <w:pPr>
        <w:rPr>
          <w:rFonts w:ascii="Arial Narrow" w:hAnsi="Arial Narrow"/>
          <w:sz w:val="18"/>
          <w:szCs w:val="18"/>
        </w:rPr>
      </w:pPr>
    </w:p>
    <w:p w:rsidR="00A03486" w:rsidRPr="005F1038" w:rsidRDefault="00A03486" w:rsidP="005F1038">
      <w:pPr>
        <w:pStyle w:val="ListParagraph"/>
        <w:widowControl/>
        <w:numPr>
          <w:ilvl w:val="1"/>
          <w:numId w:val="9"/>
        </w:numPr>
        <w:ind w:left="720" w:hanging="720"/>
      </w:pPr>
      <w:r w:rsidRPr="005F1038">
        <w:t>There were no statistically significant difference</w:t>
      </w:r>
      <w:r w:rsidR="00FB42A9" w:rsidRPr="005F1038">
        <w:t>s</w:t>
      </w:r>
      <w:r w:rsidRPr="005F1038">
        <w:t xml:space="preserve"> in relapse or disability outcomes between </w:t>
      </w:r>
      <w:proofErr w:type="spellStart"/>
      <w:r w:rsidRPr="005F1038">
        <w:t>daclizumab</w:t>
      </w:r>
      <w:proofErr w:type="spellEnd"/>
      <w:r w:rsidRPr="005F1038">
        <w:t xml:space="preserve"> and </w:t>
      </w:r>
      <w:proofErr w:type="spellStart"/>
      <w:r w:rsidRPr="005F1038">
        <w:t>fingolimod</w:t>
      </w:r>
      <w:proofErr w:type="spellEnd"/>
      <w:r w:rsidRPr="005F1038">
        <w:t xml:space="preserve">. </w:t>
      </w:r>
      <w:r w:rsidR="0069691F" w:rsidRPr="005F1038">
        <w:t xml:space="preserve">As </w:t>
      </w:r>
      <w:r w:rsidR="00BD1A16" w:rsidRPr="005F1038">
        <w:t>for the indirect comparison using placebo</w:t>
      </w:r>
      <w:r w:rsidR="0069691F" w:rsidRPr="005F1038">
        <w:t xml:space="preserve">, there were </w:t>
      </w:r>
      <w:r w:rsidRPr="005F1038">
        <w:t xml:space="preserve">concerns </w:t>
      </w:r>
      <w:r w:rsidR="0015695F" w:rsidRPr="005F1038">
        <w:t xml:space="preserve">noted during the evaluation </w:t>
      </w:r>
      <w:r w:rsidRPr="005F1038">
        <w:t>regarding the exchangeability of the included trials and the robustness of outcome measures to account for differences in study duration.</w:t>
      </w:r>
      <w:r w:rsidR="00BD1A16" w:rsidRPr="005F1038">
        <w:t xml:space="preserve"> The PBAC noted</w:t>
      </w:r>
      <w:r w:rsidR="0015695F" w:rsidRPr="005F1038">
        <w:t xml:space="preserve"> the indirect comparison using </w:t>
      </w:r>
      <w:r w:rsidR="00777578" w:rsidRPr="005F1038">
        <w:t>IM IFN β-1a as the common comparator did not support a difference in disability outcomes.</w:t>
      </w:r>
    </w:p>
    <w:p w:rsidR="00A03486" w:rsidRPr="00C0474D" w:rsidRDefault="00A03486" w:rsidP="00D57FBB">
      <w:pPr>
        <w:rPr>
          <w:rFonts w:ascii="Arial Narrow" w:hAnsi="Arial Narrow"/>
          <w:sz w:val="18"/>
          <w:szCs w:val="18"/>
        </w:rPr>
      </w:pPr>
    </w:p>
    <w:p w:rsidR="00B07B82" w:rsidRPr="005F1038" w:rsidRDefault="005A2382" w:rsidP="005F1038">
      <w:pPr>
        <w:pStyle w:val="ListParagraph"/>
        <w:widowControl/>
        <w:numPr>
          <w:ilvl w:val="1"/>
          <w:numId w:val="9"/>
        </w:numPr>
        <w:ind w:left="720" w:hanging="720"/>
      </w:pPr>
      <w:r w:rsidRPr="005F1038">
        <w:t xml:space="preserve">A </w:t>
      </w:r>
      <w:r w:rsidR="0056297D" w:rsidRPr="005F1038">
        <w:t xml:space="preserve">direct comparison of </w:t>
      </w:r>
      <w:proofErr w:type="spellStart"/>
      <w:r w:rsidR="0056297D" w:rsidRPr="005F1038">
        <w:t>daclizumab</w:t>
      </w:r>
      <w:proofErr w:type="spellEnd"/>
      <w:r w:rsidR="0056297D" w:rsidRPr="005F1038">
        <w:t xml:space="preserve"> v</w:t>
      </w:r>
      <w:r w:rsidR="002927F6" w:rsidRPr="005F1038">
        <w:t>ersu</w:t>
      </w:r>
      <w:r w:rsidR="0056297D" w:rsidRPr="005F1038">
        <w:t xml:space="preserve">s IM </w:t>
      </w:r>
      <w:r w:rsidR="00734774" w:rsidRPr="005F1038">
        <w:t>IFN β-1a</w:t>
      </w:r>
      <w:r w:rsidRPr="005F1038">
        <w:t xml:space="preserve"> was presented in the submission as supportive evidence</w:t>
      </w:r>
      <w:r w:rsidR="00FB42A9" w:rsidRPr="005F1038">
        <w:t>.</w:t>
      </w:r>
      <w:r w:rsidR="00800670" w:rsidRPr="005F1038">
        <w:t xml:space="preserve"> </w:t>
      </w:r>
      <w:proofErr w:type="spellStart"/>
      <w:r w:rsidR="0056297D" w:rsidRPr="005F1038">
        <w:t>Daclizumab</w:t>
      </w:r>
      <w:proofErr w:type="spellEnd"/>
      <w:r w:rsidR="0056297D" w:rsidRPr="005F1038">
        <w:t xml:space="preserve"> was associated with statistically significant improvements in both relapse outcomes and MRI measures compared to IM </w:t>
      </w:r>
      <w:r w:rsidR="00734774" w:rsidRPr="005F1038">
        <w:t>IFN β-1a</w:t>
      </w:r>
      <w:r w:rsidR="0056297D" w:rsidRPr="005F1038">
        <w:t xml:space="preserve">. There was no difference in confirmed disability progression events between treatments although additional analyses suggested that results favour </w:t>
      </w:r>
      <w:proofErr w:type="spellStart"/>
      <w:r w:rsidR="0056297D" w:rsidRPr="005F1038">
        <w:t>daclizumab</w:t>
      </w:r>
      <w:proofErr w:type="spellEnd"/>
      <w:r w:rsidR="0056297D" w:rsidRPr="005F1038">
        <w:t xml:space="preserve"> when disability progression was relaxed to include tentative cases. </w:t>
      </w:r>
      <w:r w:rsidR="003950B2" w:rsidRPr="005F1038">
        <w:t xml:space="preserve">The PBAC noted </w:t>
      </w:r>
      <w:r w:rsidRPr="005F1038">
        <w:t xml:space="preserve">the </w:t>
      </w:r>
      <w:r w:rsidR="003950B2" w:rsidRPr="005F1038">
        <w:t>lack of demonstration of superiority over IFN β-1a for the endpoint of progression of disability</w:t>
      </w:r>
      <w:r w:rsidRPr="005F1038">
        <w:t xml:space="preserve"> was an issue raised in the TGA Delegate’s Overview</w:t>
      </w:r>
      <w:r w:rsidR="003950B2" w:rsidRPr="005F1038">
        <w:t>.</w:t>
      </w:r>
    </w:p>
    <w:p w:rsidR="00800670" w:rsidRPr="00800670" w:rsidRDefault="00800670" w:rsidP="00B33B3B">
      <w:pPr>
        <w:pStyle w:val="PBACHeading1"/>
        <w:ind w:left="720"/>
      </w:pPr>
    </w:p>
    <w:p w:rsidR="00B07B82" w:rsidRPr="005F1038" w:rsidRDefault="00B07B82" w:rsidP="005F1038">
      <w:pPr>
        <w:pStyle w:val="ListParagraph"/>
        <w:widowControl/>
        <w:numPr>
          <w:ilvl w:val="1"/>
          <w:numId w:val="9"/>
        </w:numPr>
        <w:ind w:left="720" w:hanging="720"/>
      </w:pPr>
      <w:r w:rsidRPr="005F1038">
        <w:t xml:space="preserve">The ESC recalled the previous PBAC consideration of </w:t>
      </w:r>
      <w:r w:rsidR="00587A10" w:rsidRPr="005F1038">
        <w:t>DMF</w:t>
      </w:r>
      <w:r w:rsidRPr="005F1038">
        <w:t xml:space="preserve"> in July 2013, in which the submission requested listing on a cost minimisation basis with </w:t>
      </w:r>
      <w:proofErr w:type="spellStart"/>
      <w:r w:rsidRPr="005F1038">
        <w:t>fingolimod</w:t>
      </w:r>
      <w:proofErr w:type="spellEnd"/>
      <w:r w:rsidRPr="005F1038">
        <w:t xml:space="preserve">. The PBAC did not accept the superiority claim for </w:t>
      </w:r>
      <w:r w:rsidR="00587A10" w:rsidRPr="005F1038">
        <w:t>DMF</w:t>
      </w:r>
      <w:r w:rsidRPr="005F1038">
        <w:t xml:space="preserve"> over pooled ABCR therapies as </w:t>
      </w:r>
      <w:r w:rsidR="00804DE3" w:rsidRPr="005F1038">
        <w:t xml:space="preserve">the level of </w:t>
      </w:r>
      <w:r w:rsidRPr="005F1038">
        <w:t>heterogeneity between the various trial populations made the indirect co</w:t>
      </w:r>
      <w:r w:rsidR="002A0157" w:rsidRPr="005F1038">
        <w:t xml:space="preserve">mparison difficult to interpret. </w:t>
      </w:r>
      <w:r w:rsidR="00587A10" w:rsidRPr="005F1038">
        <w:t>DMF</w:t>
      </w:r>
      <w:r w:rsidR="002A0157" w:rsidRPr="005F1038">
        <w:t xml:space="preserve"> was recommended</w:t>
      </w:r>
      <w:r w:rsidRPr="005F1038">
        <w:t xml:space="preserve"> on a cost-minimisation basis with</w:t>
      </w:r>
      <w:r w:rsidR="002A0157" w:rsidRPr="005F1038">
        <w:t xml:space="preserve"> ABCR therapies based on </w:t>
      </w:r>
      <w:r w:rsidR="00CE05C9" w:rsidRPr="005F1038">
        <w:t>a</w:t>
      </w:r>
      <w:r w:rsidR="002A0157" w:rsidRPr="005F1038">
        <w:t xml:space="preserve"> </w:t>
      </w:r>
      <w:r w:rsidRPr="005F1038">
        <w:t xml:space="preserve">comparison of </w:t>
      </w:r>
      <w:r w:rsidR="00587A10" w:rsidRPr="005F1038">
        <w:t>DMF</w:t>
      </w:r>
      <w:r w:rsidRPr="005F1038">
        <w:t xml:space="preserve"> and </w:t>
      </w:r>
      <w:proofErr w:type="spellStart"/>
      <w:r w:rsidRPr="005F1038">
        <w:t>glatiramer</w:t>
      </w:r>
      <w:proofErr w:type="spellEnd"/>
      <w:r w:rsidRPr="005F1038">
        <w:t xml:space="preserve"> acetate</w:t>
      </w:r>
      <w:r w:rsidR="00F773D7" w:rsidRPr="005F1038">
        <w:t xml:space="preserve"> presented in that</w:t>
      </w:r>
      <w:r w:rsidR="00CE05C9" w:rsidRPr="005F1038">
        <w:t xml:space="preserve"> submission</w:t>
      </w:r>
      <w:r w:rsidRPr="005F1038">
        <w:t>.</w:t>
      </w:r>
      <w:r w:rsidR="00FB06A1" w:rsidRPr="005F1038">
        <w:t xml:space="preserve"> </w:t>
      </w:r>
    </w:p>
    <w:p w:rsidR="002A0157" w:rsidRPr="00774C27" w:rsidRDefault="002A0157" w:rsidP="00B33B3B">
      <w:pPr>
        <w:pStyle w:val="PBACHeading1"/>
        <w:ind w:left="720"/>
      </w:pPr>
    </w:p>
    <w:p w:rsidR="002A0157" w:rsidRPr="005F1038" w:rsidRDefault="00FD077B" w:rsidP="005F1038">
      <w:pPr>
        <w:pStyle w:val="ListParagraph"/>
        <w:widowControl/>
        <w:numPr>
          <w:ilvl w:val="1"/>
          <w:numId w:val="9"/>
        </w:numPr>
        <w:ind w:left="720" w:hanging="720"/>
      </w:pPr>
      <w:r w:rsidRPr="005F1038">
        <w:t>The PBAC considered that other injectable treatments are likely to be relevant comparators</w:t>
      </w:r>
      <w:r w:rsidR="00BB255B" w:rsidRPr="005F1038">
        <w:t xml:space="preserve"> noting that the clinical place of </w:t>
      </w:r>
      <w:proofErr w:type="spellStart"/>
      <w:r w:rsidR="00BB255B" w:rsidRPr="005F1038">
        <w:t>daclizumab</w:t>
      </w:r>
      <w:proofErr w:type="spellEnd"/>
      <w:r w:rsidR="00BB255B" w:rsidRPr="005F1038">
        <w:t xml:space="preserve"> in the treatment of M</w:t>
      </w:r>
      <w:r w:rsidR="00343780" w:rsidRPr="005F1038">
        <w:t>S</w:t>
      </w:r>
      <w:r w:rsidR="00BB255B" w:rsidRPr="005F1038">
        <w:t xml:space="preserve"> was currently unknown</w:t>
      </w:r>
      <w:r w:rsidRPr="005F1038">
        <w:t>.</w:t>
      </w:r>
    </w:p>
    <w:p w:rsidR="008E6D36" w:rsidRDefault="008E6D36" w:rsidP="008834B0">
      <w:bookmarkStart w:id="10" w:name="_Toc450127247"/>
    </w:p>
    <w:p w:rsidR="00B60939" w:rsidRPr="00C0474D" w:rsidRDefault="00B60939" w:rsidP="00D44DDE">
      <w:pPr>
        <w:pStyle w:val="Heading2"/>
      </w:pPr>
      <w:r w:rsidRPr="00C0474D">
        <w:t>Comparative harms</w:t>
      </w:r>
      <w:bookmarkEnd w:id="10"/>
    </w:p>
    <w:p w:rsidR="00B60939" w:rsidRPr="00C0474D" w:rsidRDefault="00B60939" w:rsidP="00B60939">
      <w:pPr>
        <w:ind w:left="720" w:hanging="720"/>
        <w:rPr>
          <w:szCs w:val="22"/>
        </w:rPr>
      </w:pPr>
    </w:p>
    <w:p w:rsidR="00B60939" w:rsidRPr="005F1038" w:rsidRDefault="0056297D" w:rsidP="005F1038">
      <w:pPr>
        <w:pStyle w:val="ListParagraph"/>
        <w:widowControl/>
        <w:numPr>
          <w:ilvl w:val="1"/>
          <w:numId w:val="9"/>
        </w:numPr>
        <w:ind w:left="720" w:hanging="720"/>
      </w:pPr>
      <w:r w:rsidRPr="005F1038">
        <w:t xml:space="preserve">A series of indirect comparisons of safety outcomes between </w:t>
      </w:r>
      <w:proofErr w:type="spellStart"/>
      <w:r w:rsidRPr="005F1038">
        <w:t>daclizumab</w:t>
      </w:r>
      <w:proofErr w:type="spellEnd"/>
      <w:r w:rsidRPr="005F1038">
        <w:t xml:space="preserve"> and </w:t>
      </w:r>
      <w:proofErr w:type="spellStart"/>
      <w:r w:rsidRPr="005F1038">
        <w:t>fingolimod</w:t>
      </w:r>
      <w:proofErr w:type="spellEnd"/>
      <w:r w:rsidRPr="005F1038">
        <w:t xml:space="preserve"> were presented in the submission (any adverse event, serious adverse events, adverse events leading to discontinuation, infections, and liver enzyme abnormalities). These analyses did not identify any statistically significant difference in adverse events between treatments.</w:t>
      </w:r>
    </w:p>
    <w:p w:rsidR="00CC33C1" w:rsidRDefault="00CC33C1" w:rsidP="00B33B3B">
      <w:pPr>
        <w:pStyle w:val="PBACHeading1"/>
        <w:ind w:left="720"/>
      </w:pPr>
    </w:p>
    <w:p w:rsidR="00CC33C1" w:rsidRPr="005F1038" w:rsidRDefault="00CA3321" w:rsidP="005F1038">
      <w:pPr>
        <w:pStyle w:val="ListParagraph"/>
        <w:widowControl/>
        <w:numPr>
          <w:ilvl w:val="1"/>
          <w:numId w:val="9"/>
        </w:numPr>
        <w:ind w:left="720" w:hanging="720"/>
      </w:pPr>
      <w:r w:rsidRPr="005F1038">
        <w:t>The PBAC considered the</w:t>
      </w:r>
      <w:r w:rsidR="00CC33C1" w:rsidRPr="005F1038">
        <w:t xml:space="preserve"> analyses largely non-informative given that there were substantial differences in the incidence of adverse events (particularly serious events) between common comparator arms, the </w:t>
      </w:r>
      <w:r w:rsidR="00BB255B" w:rsidRPr="005F1038">
        <w:t>lack of</w:t>
      </w:r>
      <w:r w:rsidR="00CC33C1" w:rsidRPr="005F1038">
        <w:t xml:space="preserve"> statistical power to detect a meaningful difference in adverse event rates, the analyses were confounded by </w:t>
      </w:r>
      <w:r w:rsidR="00BB255B" w:rsidRPr="005F1038">
        <w:t>event</w:t>
      </w:r>
      <w:r w:rsidR="001B1DDF" w:rsidRPr="005F1038">
        <w:t>s</w:t>
      </w:r>
      <w:r w:rsidR="00BB255B" w:rsidRPr="005F1038">
        <w:t xml:space="preserve"> of</w:t>
      </w:r>
      <w:r w:rsidR="00CC33C1" w:rsidRPr="005F1038">
        <w:t xml:space="preserve"> MS relapse </w:t>
      </w:r>
      <w:r w:rsidR="00BB255B" w:rsidRPr="005F1038">
        <w:t xml:space="preserve">being </w:t>
      </w:r>
      <w:r w:rsidR="00CC33C1" w:rsidRPr="005F1038">
        <w:t xml:space="preserve">classified as adverse events and differences in study duration </w:t>
      </w:r>
      <w:r w:rsidR="00BB255B" w:rsidRPr="005F1038">
        <w:t xml:space="preserve">across </w:t>
      </w:r>
      <w:r w:rsidR="00CC33C1" w:rsidRPr="005F1038">
        <w:t xml:space="preserve">the </w:t>
      </w:r>
      <w:proofErr w:type="spellStart"/>
      <w:r w:rsidR="00CC33C1" w:rsidRPr="005F1038">
        <w:t>daclizumab</w:t>
      </w:r>
      <w:proofErr w:type="spellEnd"/>
      <w:r w:rsidR="00CC33C1" w:rsidRPr="005F1038">
        <w:t xml:space="preserve"> and </w:t>
      </w:r>
      <w:proofErr w:type="spellStart"/>
      <w:r w:rsidR="00CC33C1" w:rsidRPr="005F1038">
        <w:t>fingolimod</w:t>
      </w:r>
      <w:proofErr w:type="spellEnd"/>
      <w:r w:rsidR="00BB255B" w:rsidRPr="005F1038">
        <w:t xml:space="preserve"> trials</w:t>
      </w:r>
      <w:r w:rsidR="00CC33C1" w:rsidRPr="005F1038">
        <w:t>.</w:t>
      </w:r>
      <w:r w:rsidRPr="005F1038">
        <w:t xml:space="preserve"> </w:t>
      </w:r>
    </w:p>
    <w:p w:rsidR="0056297D" w:rsidRPr="00EC103B" w:rsidRDefault="0056297D" w:rsidP="00EC103B">
      <w:pPr>
        <w:widowControl/>
        <w:rPr>
          <w:szCs w:val="22"/>
        </w:rPr>
      </w:pPr>
    </w:p>
    <w:p w:rsidR="005940BA" w:rsidRPr="005F1038" w:rsidRDefault="0056297D" w:rsidP="005F1038">
      <w:pPr>
        <w:pStyle w:val="ListParagraph"/>
        <w:widowControl/>
        <w:numPr>
          <w:ilvl w:val="1"/>
          <w:numId w:val="9"/>
        </w:numPr>
        <w:ind w:left="720" w:hanging="720"/>
      </w:pPr>
      <w:r w:rsidRPr="005F1038">
        <w:t xml:space="preserve">Based on data from the included clinical trials, the most frequent treatment-related adverse events associated with </w:t>
      </w:r>
      <w:proofErr w:type="spellStart"/>
      <w:r w:rsidRPr="005F1038">
        <w:t>daclizumab</w:t>
      </w:r>
      <w:proofErr w:type="spellEnd"/>
      <w:r w:rsidRPr="005F1038">
        <w:t xml:space="preserve"> were general disorders (pyrexia, injection-site pain, influenza-like illness, fatigue, injection site erythema, injection site bruising), cutaneous events (rash, eczema), infections and infestations (</w:t>
      </w:r>
      <w:proofErr w:type="spellStart"/>
      <w:r w:rsidRPr="005F1038">
        <w:t>nasopharyngitis</w:t>
      </w:r>
      <w:proofErr w:type="spellEnd"/>
      <w:r w:rsidRPr="005F1038">
        <w:t xml:space="preserve">, upper respiratory tract infection, pharyngitis), investigations (ALT increased, AST increased, LFT abnormal, GGT increased), nervous system disorders (headache), gastrointestinal disorders (nausea), blood and lymphatic system disorders (lymphadenopathy, </w:t>
      </w:r>
      <w:proofErr w:type="spellStart"/>
      <w:r w:rsidRPr="005F1038">
        <w:t>lymphopenia</w:t>
      </w:r>
      <w:proofErr w:type="spellEnd"/>
      <w:r w:rsidRPr="005F1038">
        <w:t>).</w:t>
      </w:r>
      <w:r w:rsidR="00BB255B" w:rsidRPr="005F1038">
        <w:t xml:space="preserve"> </w:t>
      </w:r>
      <w:r w:rsidR="005940BA" w:rsidRPr="005F1038">
        <w:t xml:space="preserve">Treatment with </w:t>
      </w:r>
      <w:proofErr w:type="spellStart"/>
      <w:r w:rsidR="005940BA" w:rsidRPr="005F1038">
        <w:t>daclizumab</w:t>
      </w:r>
      <w:proofErr w:type="spellEnd"/>
      <w:r w:rsidR="005940BA" w:rsidRPr="005F1038">
        <w:t xml:space="preserve"> was associated with an increased incidence of serious infections and serious cutaneous events. </w:t>
      </w:r>
      <w:r w:rsidR="001B1DDF" w:rsidRPr="005F1038">
        <w:t xml:space="preserve">The PBAC noted that steroids may be used more frequently to manage skin reactions associated with </w:t>
      </w:r>
      <w:proofErr w:type="spellStart"/>
      <w:r w:rsidR="001B1DDF" w:rsidRPr="005F1038">
        <w:t>daclizumab</w:t>
      </w:r>
      <w:proofErr w:type="spellEnd"/>
      <w:r w:rsidR="001B1DDF" w:rsidRPr="005F1038">
        <w:t xml:space="preserve">. </w:t>
      </w:r>
      <w:r w:rsidR="005940BA" w:rsidRPr="005F1038">
        <w:t>The most frequent adverse event leading to treatment discontinuation was liver enzyme abnormalities.</w:t>
      </w:r>
    </w:p>
    <w:p w:rsidR="005940BA" w:rsidRPr="002F06D2" w:rsidRDefault="005940BA" w:rsidP="002F06D2">
      <w:pPr>
        <w:pStyle w:val="ListParagraph"/>
        <w:widowControl/>
        <w:rPr>
          <w:szCs w:val="22"/>
        </w:rPr>
      </w:pPr>
    </w:p>
    <w:p w:rsidR="005940BA" w:rsidRPr="005F1038" w:rsidRDefault="005940BA" w:rsidP="005F1038">
      <w:pPr>
        <w:pStyle w:val="ListParagraph"/>
        <w:widowControl/>
        <w:numPr>
          <w:ilvl w:val="1"/>
          <w:numId w:val="9"/>
        </w:numPr>
        <w:ind w:left="720" w:hanging="720"/>
      </w:pPr>
      <w:r w:rsidRPr="005F1038">
        <w:t xml:space="preserve">Based on the Development Safety Update Report, important identified risks associated with </w:t>
      </w:r>
      <w:proofErr w:type="spellStart"/>
      <w:r w:rsidRPr="005F1038">
        <w:t>daclizumab</w:t>
      </w:r>
      <w:proofErr w:type="spellEnd"/>
      <w:r w:rsidRPr="005F1038">
        <w:t xml:space="preserve"> treatment included transaminase elevations and serious hepatic injury; cutaneous and serious cutaneous events; infections and serious infections; </w:t>
      </w:r>
      <w:r w:rsidR="00FB42A9" w:rsidRPr="005F1038">
        <w:t xml:space="preserve">and </w:t>
      </w:r>
      <w:r w:rsidRPr="005F1038">
        <w:t>colitis. Important potential risks associated with biological therapies included anaphylaxis, opportunistic infection and malignancy.</w:t>
      </w:r>
    </w:p>
    <w:p w:rsidR="005940BA" w:rsidRPr="005F1038" w:rsidRDefault="005940BA" w:rsidP="005F1038">
      <w:pPr>
        <w:pStyle w:val="ListParagraph"/>
        <w:widowControl/>
      </w:pPr>
    </w:p>
    <w:p w:rsidR="005940BA" w:rsidRPr="005F1038" w:rsidRDefault="005940BA" w:rsidP="005F1038">
      <w:pPr>
        <w:pStyle w:val="ListParagraph"/>
        <w:widowControl/>
        <w:numPr>
          <w:ilvl w:val="1"/>
          <w:numId w:val="9"/>
        </w:numPr>
        <w:ind w:left="720" w:hanging="720"/>
      </w:pPr>
      <w:r w:rsidRPr="005F1038">
        <w:t xml:space="preserve">Two treatment-related deaths were reported with </w:t>
      </w:r>
      <w:proofErr w:type="spellStart"/>
      <w:r w:rsidRPr="005F1038">
        <w:t>daclizumab</w:t>
      </w:r>
      <w:proofErr w:type="spellEnd"/>
      <w:r w:rsidRPr="005F1038">
        <w:t xml:space="preserve"> therapy in the clinical trial program (serious rash with subsequent psoas abscess resulting in local thrombosis and acute ischaemic colitis; </w:t>
      </w:r>
      <w:r w:rsidR="00FB42A9" w:rsidRPr="005F1038">
        <w:t xml:space="preserve">and </w:t>
      </w:r>
      <w:r w:rsidRPr="005F1038">
        <w:t xml:space="preserve">autoimmune hepatitis). The occurrence of autoimmune hepatitis resulted in the requirement for monthly liver function testing with </w:t>
      </w:r>
      <w:proofErr w:type="spellStart"/>
      <w:r w:rsidRPr="005F1038">
        <w:t>daclizumab</w:t>
      </w:r>
      <w:proofErr w:type="spellEnd"/>
      <w:r w:rsidRPr="005F1038">
        <w:t xml:space="preserve"> therapy.</w:t>
      </w:r>
    </w:p>
    <w:p w:rsidR="00466054" w:rsidRPr="00C0474D" w:rsidRDefault="00466054" w:rsidP="00466054">
      <w:pPr>
        <w:pStyle w:val="ListParagraph"/>
        <w:rPr>
          <w:szCs w:val="22"/>
        </w:rPr>
      </w:pPr>
    </w:p>
    <w:p w:rsidR="00466054" w:rsidRPr="005F1038" w:rsidRDefault="00A03486" w:rsidP="005F1038">
      <w:pPr>
        <w:pStyle w:val="ListParagraph"/>
        <w:widowControl/>
        <w:numPr>
          <w:ilvl w:val="1"/>
          <w:numId w:val="9"/>
        </w:numPr>
        <w:ind w:left="720" w:hanging="720"/>
      </w:pPr>
      <w:r w:rsidRPr="00C0474D">
        <w:t>There are</w:t>
      </w:r>
      <w:r w:rsidR="00466054" w:rsidRPr="00C0474D">
        <w:t xml:space="preserve"> limited long-term data on the safety of </w:t>
      </w:r>
      <w:proofErr w:type="spellStart"/>
      <w:r w:rsidR="00466054" w:rsidRPr="00C0474D">
        <w:t>daclizumab</w:t>
      </w:r>
      <w:proofErr w:type="spellEnd"/>
      <w:r w:rsidR="00466054" w:rsidRPr="00C0474D">
        <w:t xml:space="preserve"> for the treatment of multiple sclerosis.</w:t>
      </w:r>
      <w:r w:rsidR="00CA3321">
        <w:t xml:space="preserve"> The PBAC </w:t>
      </w:r>
      <w:r w:rsidR="001B1DDF">
        <w:t xml:space="preserve">also </w:t>
      </w:r>
      <w:r w:rsidR="00CA3321">
        <w:t xml:space="preserve">noted that </w:t>
      </w:r>
      <w:r w:rsidR="00CA3321" w:rsidRPr="00CA3321">
        <w:t xml:space="preserve">a potential risk of depression associated with </w:t>
      </w:r>
      <w:proofErr w:type="spellStart"/>
      <w:r w:rsidR="00CA3321" w:rsidRPr="00CA3321">
        <w:t>daclizumab</w:t>
      </w:r>
      <w:proofErr w:type="spellEnd"/>
      <w:r w:rsidR="00CA3321" w:rsidRPr="00CA3321">
        <w:t xml:space="preserve"> treatment</w:t>
      </w:r>
      <w:r w:rsidR="00F74907">
        <w:t xml:space="preserve"> was identified in the TGA Delegate’s Overview</w:t>
      </w:r>
      <w:r w:rsidR="00CA3321" w:rsidRPr="00CA3321">
        <w:t>.</w:t>
      </w:r>
    </w:p>
    <w:p w:rsidR="00662085" w:rsidRPr="00662085" w:rsidRDefault="00662085" w:rsidP="00662085">
      <w:pPr>
        <w:pStyle w:val="ListParagraph"/>
        <w:rPr>
          <w:szCs w:val="22"/>
        </w:rPr>
      </w:pPr>
    </w:p>
    <w:p w:rsidR="00B60939" w:rsidRPr="00C0474D" w:rsidRDefault="00B60939" w:rsidP="00D44DDE">
      <w:pPr>
        <w:pStyle w:val="Heading2"/>
      </w:pPr>
      <w:bookmarkStart w:id="11" w:name="_Toc450127248"/>
      <w:r w:rsidRPr="00C0474D">
        <w:t>Clinical claim</w:t>
      </w:r>
      <w:bookmarkEnd w:id="11"/>
    </w:p>
    <w:p w:rsidR="00B60939" w:rsidRPr="00C0474D" w:rsidRDefault="00B60939" w:rsidP="00B60939">
      <w:pPr>
        <w:ind w:left="720" w:hanging="720"/>
        <w:rPr>
          <w:szCs w:val="22"/>
        </w:rPr>
      </w:pPr>
    </w:p>
    <w:p w:rsidR="004B00F1" w:rsidRPr="005F1038" w:rsidRDefault="004B00F1" w:rsidP="005F1038">
      <w:pPr>
        <w:pStyle w:val="ListParagraph"/>
        <w:widowControl/>
        <w:numPr>
          <w:ilvl w:val="1"/>
          <w:numId w:val="9"/>
        </w:numPr>
        <w:ind w:left="720" w:hanging="720"/>
      </w:pPr>
      <w:r w:rsidRPr="005F1038">
        <w:t xml:space="preserve">The submission described </w:t>
      </w:r>
      <w:proofErr w:type="spellStart"/>
      <w:r w:rsidRPr="005F1038">
        <w:t>daclizumab</w:t>
      </w:r>
      <w:proofErr w:type="spellEnd"/>
      <w:r w:rsidRPr="005F1038">
        <w:t xml:space="preserve"> as non-inferior in terms of efficacy and non-inferior in terms of safety compared to </w:t>
      </w:r>
      <w:proofErr w:type="spellStart"/>
      <w:r w:rsidRPr="005F1038">
        <w:t>fingolimod</w:t>
      </w:r>
      <w:proofErr w:type="spellEnd"/>
      <w:r w:rsidRPr="005F1038">
        <w:t xml:space="preserve">. The </w:t>
      </w:r>
      <w:r w:rsidR="00F87FE8" w:rsidRPr="005F1038">
        <w:t xml:space="preserve">PBAC considered the </w:t>
      </w:r>
      <w:r w:rsidRPr="005F1038">
        <w:t>efficacy claim may be reasonable but the safet</w:t>
      </w:r>
      <w:r w:rsidR="004E006F" w:rsidRPr="005F1038">
        <w:t>y claim was</w:t>
      </w:r>
      <w:r w:rsidRPr="005F1038">
        <w:t xml:space="preserve"> inadequately supported by the available data.</w:t>
      </w:r>
    </w:p>
    <w:p w:rsidR="00CA3321" w:rsidRPr="008E6D36" w:rsidRDefault="00CA3321" w:rsidP="00CA3321">
      <w:pPr>
        <w:pStyle w:val="ListParagraph"/>
        <w:widowControl/>
        <w:rPr>
          <w:szCs w:val="22"/>
        </w:rPr>
      </w:pPr>
    </w:p>
    <w:p w:rsidR="004B00F1" w:rsidRPr="005F1038" w:rsidRDefault="004B00F1" w:rsidP="005F1038">
      <w:pPr>
        <w:pStyle w:val="ListParagraph"/>
        <w:widowControl/>
        <w:numPr>
          <w:ilvl w:val="1"/>
          <w:numId w:val="9"/>
        </w:numPr>
        <w:ind w:left="720" w:hanging="720"/>
      </w:pPr>
      <w:r w:rsidRPr="005F1038">
        <w:t xml:space="preserve">The submission described </w:t>
      </w:r>
      <w:proofErr w:type="spellStart"/>
      <w:r w:rsidRPr="005F1038">
        <w:t>daclizumab</w:t>
      </w:r>
      <w:proofErr w:type="spellEnd"/>
      <w:r w:rsidRPr="005F1038">
        <w:t xml:space="preserve"> as superior in terms of efficacy and similar in terms of safety compared to IM </w:t>
      </w:r>
      <w:r w:rsidR="00734774" w:rsidRPr="005F1038">
        <w:t>IFN β-1a</w:t>
      </w:r>
      <w:r w:rsidRPr="005F1038">
        <w:t xml:space="preserve">. The </w:t>
      </w:r>
      <w:r w:rsidR="00F87FE8" w:rsidRPr="005F1038">
        <w:t xml:space="preserve">PBAC considered the </w:t>
      </w:r>
      <w:r w:rsidRPr="005F1038">
        <w:t>efficacy claim may be reasonable</w:t>
      </w:r>
      <w:r w:rsidR="001B1DDF" w:rsidRPr="005F1038">
        <w:t xml:space="preserve"> for the relapse outcomes and MRI measures, but not for the progression of disability. The PBAC considered</w:t>
      </w:r>
      <w:r w:rsidRPr="005F1038">
        <w:t xml:space="preserve"> </w:t>
      </w:r>
      <w:proofErr w:type="spellStart"/>
      <w:r w:rsidRPr="005F1038">
        <w:t>daclizumab</w:t>
      </w:r>
      <w:proofErr w:type="spellEnd"/>
      <w:r w:rsidRPr="005F1038">
        <w:t xml:space="preserve"> to have a worse safety profile compared to IM </w:t>
      </w:r>
      <w:r w:rsidR="00734774" w:rsidRPr="005F1038">
        <w:t>IFN β-1a</w:t>
      </w:r>
      <w:r w:rsidRPr="005F1038">
        <w:t>.</w:t>
      </w:r>
    </w:p>
    <w:p w:rsidR="00CA3321" w:rsidRPr="00C0474D" w:rsidRDefault="00CA3321" w:rsidP="00B60939">
      <w:pPr>
        <w:ind w:left="720" w:hanging="720"/>
        <w:rPr>
          <w:szCs w:val="22"/>
        </w:rPr>
      </w:pPr>
    </w:p>
    <w:p w:rsidR="00B60939" w:rsidRPr="00C0474D" w:rsidRDefault="00B60939" w:rsidP="00D44DDE">
      <w:pPr>
        <w:pStyle w:val="Heading2"/>
      </w:pPr>
      <w:bookmarkStart w:id="12" w:name="_Toc450127249"/>
      <w:r w:rsidRPr="00C0474D">
        <w:t>Economic analysis</w:t>
      </w:r>
      <w:bookmarkEnd w:id="12"/>
      <w:r w:rsidR="00491B3A" w:rsidRPr="00C0474D">
        <w:t xml:space="preserve"> </w:t>
      </w:r>
    </w:p>
    <w:p w:rsidR="00A86E8B" w:rsidRPr="00C0474D" w:rsidRDefault="00A86E8B" w:rsidP="00A86E8B">
      <w:pPr>
        <w:widowControl/>
        <w:rPr>
          <w:szCs w:val="22"/>
        </w:rPr>
      </w:pPr>
    </w:p>
    <w:p w:rsidR="00ED702D" w:rsidRPr="005F1038" w:rsidRDefault="00D32899" w:rsidP="005F1038">
      <w:pPr>
        <w:pStyle w:val="ListParagraph"/>
        <w:widowControl/>
        <w:numPr>
          <w:ilvl w:val="1"/>
          <w:numId w:val="9"/>
        </w:numPr>
        <w:ind w:left="720" w:hanging="720"/>
      </w:pPr>
      <w:r w:rsidRPr="005F1038">
        <w:t xml:space="preserve">The submission presented a cost </w:t>
      </w:r>
      <w:r w:rsidR="00ED702D" w:rsidRPr="005F1038">
        <w:t xml:space="preserve">minimisation analysis of </w:t>
      </w:r>
      <w:proofErr w:type="spellStart"/>
      <w:r w:rsidR="00ED702D" w:rsidRPr="005F1038">
        <w:t>daclizumab</w:t>
      </w:r>
      <w:proofErr w:type="spellEnd"/>
      <w:r w:rsidR="00ED702D" w:rsidRPr="005F1038">
        <w:t xml:space="preserve"> versus </w:t>
      </w:r>
      <w:proofErr w:type="spellStart"/>
      <w:r w:rsidR="00ED702D" w:rsidRPr="005F1038">
        <w:t>fingolimod</w:t>
      </w:r>
      <w:proofErr w:type="spellEnd"/>
      <w:r w:rsidR="00ED702D" w:rsidRPr="005F1038">
        <w:t xml:space="preserve"> for the treatment of relapsing-remitting multiple sclerosis.</w:t>
      </w:r>
      <w:r w:rsidR="008F7060" w:rsidRPr="005F1038">
        <w:t xml:space="preserve"> The PBAC noted the unclear clinical place for </w:t>
      </w:r>
      <w:proofErr w:type="spellStart"/>
      <w:r w:rsidR="008F7060" w:rsidRPr="005F1038">
        <w:t>daclizumab</w:t>
      </w:r>
      <w:proofErr w:type="spellEnd"/>
      <w:r w:rsidR="008F7060" w:rsidRPr="005F1038">
        <w:t xml:space="preserve"> and therefore that a comparison versus </w:t>
      </w:r>
      <w:proofErr w:type="spellStart"/>
      <w:r w:rsidR="008F7060" w:rsidRPr="005F1038">
        <w:t>fingolimod</w:t>
      </w:r>
      <w:proofErr w:type="spellEnd"/>
      <w:r w:rsidR="008F7060" w:rsidRPr="005F1038">
        <w:t xml:space="preserve"> may not be appropriate. The PBAC further noted tha</w:t>
      </w:r>
      <w:r w:rsidR="009248D0" w:rsidRPr="005F1038">
        <w:t>t</w:t>
      </w:r>
      <w:r w:rsidR="008F7060" w:rsidRPr="005F1038">
        <w:t xml:space="preserve"> a cost minimisation analysis may not be appropriate given </w:t>
      </w:r>
      <w:r w:rsidR="0099422F" w:rsidRPr="005F1038">
        <w:t xml:space="preserve">the </w:t>
      </w:r>
      <w:r w:rsidR="008F7060" w:rsidRPr="005F1038">
        <w:t>claim of non-inferior safety was not adequately supported.</w:t>
      </w:r>
    </w:p>
    <w:p w:rsidR="00ED702D" w:rsidRPr="005F1038" w:rsidRDefault="00ED702D" w:rsidP="005F1038">
      <w:pPr>
        <w:pStyle w:val="ListParagraph"/>
        <w:widowControl/>
      </w:pPr>
    </w:p>
    <w:p w:rsidR="00ED702D" w:rsidRPr="005F1038" w:rsidRDefault="00ED702D" w:rsidP="005F1038">
      <w:pPr>
        <w:pStyle w:val="ListParagraph"/>
        <w:widowControl/>
        <w:numPr>
          <w:ilvl w:val="1"/>
          <w:numId w:val="9"/>
        </w:numPr>
        <w:ind w:left="720" w:hanging="720"/>
      </w:pPr>
      <w:r w:rsidRPr="005F1038">
        <w:t xml:space="preserve">The </w:t>
      </w:r>
      <w:proofErr w:type="spellStart"/>
      <w:r w:rsidRPr="005F1038">
        <w:t>equi</w:t>
      </w:r>
      <w:proofErr w:type="spellEnd"/>
      <w:r w:rsidRPr="005F1038">
        <w:t xml:space="preserve">-effective doses were based on the recommended dosing regimens outlined in the relevant product information documents: </w:t>
      </w:r>
    </w:p>
    <w:p w:rsidR="00ED702D" w:rsidRPr="00C0474D" w:rsidRDefault="00ED702D" w:rsidP="00ED702D">
      <w:pPr>
        <w:pStyle w:val="ListParagraph"/>
        <w:widowControl/>
        <w:rPr>
          <w:szCs w:val="22"/>
        </w:rPr>
      </w:pPr>
    </w:p>
    <w:p w:rsidR="00ED702D" w:rsidRPr="00C0474D" w:rsidRDefault="00ED702D" w:rsidP="00ED702D">
      <w:pPr>
        <w:pStyle w:val="ListParagraph"/>
        <w:widowControl/>
        <w:jc w:val="center"/>
        <w:rPr>
          <w:szCs w:val="22"/>
        </w:rPr>
      </w:pPr>
      <w:proofErr w:type="spellStart"/>
      <w:r w:rsidRPr="00C0474D">
        <w:rPr>
          <w:szCs w:val="22"/>
        </w:rPr>
        <w:t>Daclizumab</w:t>
      </w:r>
      <w:proofErr w:type="spellEnd"/>
      <w:r w:rsidRPr="00C0474D">
        <w:rPr>
          <w:szCs w:val="22"/>
        </w:rPr>
        <w:t xml:space="preserve"> 150</w:t>
      </w:r>
      <w:r w:rsidR="0089732D" w:rsidRPr="00C0474D">
        <w:rPr>
          <w:szCs w:val="22"/>
        </w:rPr>
        <w:t> </w:t>
      </w:r>
      <w:r w:rsidRPr="00C0474D">
        <w:rPr>
          <w:szCs w:val="22"/>
        </w:rPr>
        <w:t xml:space="preserve">mg once monthly = </w:t>
      </w:r>
      <w:proofErr w:type="spellStart"/>
      <w:r w:rsidRPr="00C0474D">
        <w:rPr>
          <w:szCs w:val="22"/>
        </w:rPr>
        <w:t>Fingolimod</w:t>
      </w:r>
      <w:proofErr w:type="spellEnd"/>
      <w:r w:rsidRPr="00C0474D">
        <w:rPr>
          <w:szCs w:val="22"/>
        </w:rPr>
        <w:t xml:space="preserve"> 0.5</w:t>
      </w:r>
      <w:r w:rsidR="0089732D" w:rsidRPr="00C0474D">
        <w:rPr>
          <w:szCs w:val="22"/>
        </w:rPr>
        <w:t> </w:t>
      </w:r>
      <w:r w:rsidRPr="00C0474D">
        <w:rPr>
          <w:szCs w:val="22"/>
        </w:rPr>
        <w:t>mg once daily</w:t>
      </w:r>
    </w:p>
    <w:p w:rsidR="00ED702D" w:rsidRPr="00C0474D" w:rsidRDefault="00ED702D" w:rsidP="00ED702D">
      <w:pPr>
        <w:widowControl/>
        <w:rPr>
          <w:szCs w:val="22"/>
        </w:rPr>
      </w:pPr>
    </w:p>
    <w:p w:rsidR="00ED702D" w:rsidRPr="00C0474D" w:rsidRDefault="00ED702D" w:rsidP="00ED702D">
      <w:pPr>
        <w:pStyle w:val="ListParagraph"/>
        <w:widowControl/>
        <w:rPr>
          <w:szCs w:val="22"/>
        </w:rPr>
      </w:pPr>
      <w:r w:rsidRPr="00C0474D">
        <w:rPr>
          <w:szCs w:val="22"/>
        </w:rPr>
        <w:t xml:space="preserve">The submission acknowledged that the </w:t>
      </w:r>
      <w:proofErr w:type="spellStart"/>
      <w:r w:rsidRPr="00C0474D">
        <w:rPr>
          <w:szCs w:val="22"/>
        </w:rPr>
        <w:t>daclizumab</w:t>
      </w:r>
      <w:proofErr w:type="spellEnd"/>
      <w:r w:rsidRPr="00C0474D">
        <w:rPr>
          <w:szCs w:val="22"/>
        </w:rPr>
        <w:t xml:space="preserve"> clinical trials used a dosage regimen of 150</w:t>
      </w:r>
      <w:r w:rsidR="0089732D" w:rsidRPr="00C0474D">
        <w:rPr>
          <w:szCs w:val="22"/>
        </w:rPr>
        <w:t> </w:t>
      </w:r>
      <w:r w:rsidRPr="00C0474D">
        <w:rPr>
          <w:szCs w:val="22"/>
        </w:rPr>
        <w:t xml:space="preserve">mg every four weeks rather than monthly dosing. However, the submission argued that the dosing window of 28 days </w:t>
      </w:r>
      <w:r w:rsidR="00F71C6D">
        <w:rPr>
          <w:szCs w:val="22"/>
        </w:rPr>
        <w:t>±</w:t>
      </w:r>
      <w:r w:rsidRPr="00C0474D">
        <w:rPr>
          <w:szCs w:val="22"/>
        </w:rPr>
        <w:t xml:space="preserve"> 3 days in the SELECT trial and 28 days </w:t>
      </w:r>
      <w:r w:rsidR="00F71C6D">
        <w:rPr>
          <w:szCs w:val="22"/>
        </w:rPr>
        <w:t>±</w:t>
      </w:r>
      <w:r w:rsidRPr="00C0474D">
        <w:rPr>
          <w:szCs w:val="22"/>
        </w:rPr>
        <w:t xml:space="preserve"> 4 days in the DECIDE trial was broadly equivalent to monthly dosing.</w:t>
      </w:r>
      <w:r w:rsidR="00C013E3">
        <w:rPr>
          <w:szCs w:val="22"/>
        </w:rPr>
        <w:t xml:space="preserve"> </w:t>
      </w:r>
      <w:r w:rsidRPr="00C0474D">
        <w:rPr>
          <w:szCs w:val="22"/>
        </w:rPr>
        <w:t xml:space="preserve">The </w:t>
      </w:r>
      <w:r w:rsidR="008F7060">
        <w:rPr>
          <w:szCs w:val="22"/>
        </w:rPr>
        <w:t xml:space="preserve">evaluation considered the </w:t>
      </w:r>
      <w:r w:rsidRPr="00C0474D">
        <w:rPr>
          <w:szCs w:val="22"/>
        </w:rPr>
        <w:t>argument was not adequately supported for the purpose of calculating dose equivalence as the majority of patients in the clinical trials appear</w:t>
      </w:r>
      <w:r w:rsidR="000A728A" w:rsidRPr="00C0474D">
        <w:rPr>
          <w:szCs w:val="22"/>
        </w:rPr>
        <w:t>ed</w:t>
      </w:r>
      <w:r w:rsidRPr="00C0474D">
        <w:rPr>
          <w:szCs w:val="22"/>
        </w:rPr>
        <w:t xml:space="preserve"> to have been administered 13 packs per year which is consistent with a four week dosage regimen rather than a monthly regimen.</w:t>
      </w:r>
    </w:p>
    <w:p w:rsidR="00CF616E" w:rsidRPr="00C0474D" w:rsidRDefault="00CF616E" w:rsidP="00ED702D">
      <w:pPr>
        <w:pStyle w:val="ListParagraph"/>
        <w:widowControl/>
        <w:rPr>
          <w:szCs w:val="22"/>
        </w:rPr>
      </w:pPr>
    </w:p>
    <w:p w:rsidR="00662085" w:rsidRPr="00CA1C4F" w:rsidRDefault="00662085" w:rsidP="00CA1C4F">
      <w:pPr>
        <w:pStyle w:val="ListParagraph"/>
        <w:widowControl/>
        <w:numPr>
          <w:ilvl w:val="1"/>
          <w:numId w:val="9"/>
        </w:numPr>
        <w:ind w:left="720" w:hanging="720"/>
      </w:pPr>
      <w:r w:rsidRPr="00CA1C4F">
        <w:t xml:space="preserve">The </w:t>
      </w:r>
      <w:r w:rsidR="004C0B53" w:rsidRPr="00CA1C4F">
        <w:t xml:space="preserve">PSCR argued the unconstrained environment of clinical practice </w:t>
      </w:r>
      <w:r w:rsidR="008F7060" w:rsidRPr="00CA1C4F">
        <w:t xml:space="preserve">(compared with </w:t>
      </w:r>
      <w:r w:rsidR="004C0B53" w:rsidRPr="00CA1C4F">
        <w:t>the controlled environment of a clinical trial</w:t>
      </w:r>
      <w:r w:rsidR="008F7060" w:rsidRPr="00CA1C4F">
        <w:t>)</w:t>
      </w:r>
      <w:r w:rsidR="004C0B53" w:rsidRPr="00CA1C4F">
        <w:t xml:space="preserve"> would most likely result in monthly administrations of </w:t>
      </w:r>
      <w:proofErr w:type="spellStart"/>
      <w:r w:rsidR="004C0B53" w:rsidRPr="00CA1C4F">
        <w:t>daclizumab</w:t>
      </w:r>
      <w:proofErr w:type="spellEnd"/>
      <w:r w:rsidR="004C0B53" w:rsidRPr="00CA1C4F">
        <w:t xml:space="preserve">. </w:t>
      </w:r>
      <w:r w:rsidR="0072368F" w:rsidRPr="00CA1C4F">
        <w:t>The ESC noted the clinical trial protocols were one injection every 28 days plus or minus 4 days, and that the vast majority of participants received 13 doses per year, and</w:t>
      </w:r>
      <w:r w:rsidR="0003397A" w:rsidRPr="00CA1C4F">
        <w:t xml:space="preserve"> therefore</w:t>
      </w:r>
      <w:r w:rsidR="0072368F" w:rsidRPr="00CA1C4F">
        <w:t xml:space="preserve"> considered that one injection every four weeks was </w:t>
      </w:r>
      <w:r w:rsidR="004C0B53" w:rsidRPr="00CA1C4F">
        <w:t>the appropriate dosing regimen</w:t>
      </w:r>
      <w:r w:rsidR="0003397A" w:rsidRPr="00CA1C4F">
        <w:t xml:space="preserve">, resulting in </w:t>
      </w:r>
      <w:proofErr w:type="spellStart"/>
      <w:r w:rsidR="0003397A" w:rsidRPr="00CA1C4F">
        <w:t>equi</w:t>
      </w:r>
      <w:proofErr w:type="spellEnd"/>
      <w:r w:rsidR="0003397A" w:rsidRPr="00CA1C4F">
        <w:t xml:space="preserve">-effective doses of </w:t>
      </w:r>
      <w:proofErr w:type="spellStart"/>
      <w:r w:rsidR="0003397A" w:rsidRPr="00CA1C4F">
        <w:t>daclizumab</w:t>
      </w:r>
      <w:proofErr w:type="spellEnd"/>
      <w:r w:rsidR="0003397A" w:rsidRPr="00CA1C4F">
        <w:t xml:space="preserve"> 150 mg once </w:t>
      </w:r>
      <w:r w:rsidR="00B659D6" w:rsidRPr="00CA1C4F">
        <w:t>every</w:t>
      </w:r>
      <w:r w:rsidR="0003397A" w:rsidRPr="00CA1C4F">
        <w:t xml:space="preserve"> 4 weeks </w:t>
      </w:r>
      <w:r w:rsidR="00B15FAE" w:rsidRPr="00CA1C4F">
        <w:t>and</w:t>
      </w:r>
      <w:r w:rsidR="0003397A" w:rsidRPr="00CA1C4F">
        <w:t xml:space="preserve"> </w:t>
      </w:r>
      <w:proofErr w:type="spellStart"/>
      <w:r w:rsidR="0003397A" w:rsidRPr="00CA1C4F">
        <w:t>fingolimod</w:t>
      </w:r>
      <w:proofErr w:type="spellEnd"/>
      <w:r w:rsidR="0003397A" w:rsidRPr="00CA1C4F">
        <w:t xml:space="preserve"> 0.5 mg once daily.</w:t>
      </w:r>
    </w:p>
    <w:p w:rsidR="00662085" w:rsidRDefault="00662085" w:rsidP="00B33B3B">
      <w:pPr>
        <w:pStyle w:val="PBACHeading1"/>
        <w:ind w:left="720"/>
      </w:pPr>
    </w:p>
    <w:p w:rsidR="00ED702D" w:rsidRPr="00C0474D" w:rsidRDefault="00CF616E" w:rsidP="005F1038">
      <w:pPr>
        <w:pStyle w:val="ListParagraph"/>
        <w:keepNext/>
        <w:keepLines/>
        <w:widowControl/>
        <w:numPr>
          <w:ilvl w:val="1"/>
          <w:numId w:val="9"/>
        </w:numPr>
        <w:rPr>
          <w:szCs w:val="22"/>
        </w:rPr>
      </w:pPr>
      <w:r w:rsidRPr="00C0474D">
        <w:rPr>
          <w:szCs w:val="22"/>
        </w:rPr>
        <w:t xml:space="preserve">The cost minimisation analysis </w:t>
      </w:r>
      <w:r w:rsidR="008F7060">
        <w:rPr>
          <w:szCs w:val="22"/>
        </w:rPr>
        <w:t>i</w:t>
      </w:r>
      <w:r w:rsidRPr="00C0474D">
        <w:rPr>
          <w:szCs w:val="22"/>
        </w:rPr>
        <w:t>s summarised in the table below</w:t>
      </w:r>
      <w:r w:rsidR="00FB42A9" w:rsidRPr="00C0474D">
        <w:rPr>
          <w:szCs w:val="22"/>
        </w:rPr>
        <w:t>.</w:t>
      </w:r>
    </w:p>
    <w:p w:rsidR="00CF616E" w:rsidRPr="00C0474D" w:rsidRDefault="00CF616E" w:rsidP="008E6D36">
      <w:pPr>
        <w:pStyle w:val="ListParagraph"/>
        <w:keepNext/>
        <w:keepLines/>
        <w:widowControl/>
        <w:rPr>
          <w:szCs w:val="22"/>
        </w:rPr>
      </w:pPr>
    </w:p>
    <w:p w:rsidR="00ED702D" w:rsidRPr="00C0474D" w:rsidRDefault="00ED702D" w:rsidP="008E6D36">
      <w:pPr>
        <w:keepNext/>
        <w:keepLines/>
        <w:ind w:firstLine="720"/>
        <w:rPr>
          <w:rFonts w:ascii="Arial Narrow" w:hAnsi="Arial Narrow"/>
          <w:b/>
          <w:sz w:val="20"/>
        </w:rPr>
      </w:pPr>
      <w:r w:rsidRPr="00C0474D">
        <w:rPr>
          <w:rFonts w:ascii="Arial Narrow" w:hAnsi="Arial Narrow"/>
          <w:b/>
          <w:sz w:val="20"/>
        </w:rPr>
        <w:t>Table 5: Cost minimisation analysis</w:t>
      </w:r>
    </w:p>
    <w:tbl>
      <w:tblPr>
        <w:tblW w:w="4515" w:type="pct"/>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9"/>
        <w:gridCol w:w="1327"/>
      </w:tblGrid>
      <w:tr w:rsidR="00ED702D" w:rsidRPr="00C0474D" w:rsidTr="00ED702D">
        <w:trPr>
          <w:tblHeader/>
        </w:trPr>
        <w:tc>
          <w:tcPr>
            <w:tcW w:w="4205" w:type="pct"/>
            <w:tcBorders>
              <w:left w:val="single" w:sz="4" w:space="0" w:color="auto"/>
              <w:bottom w:val="single" w:sz="4" w:space="0" w:color="auto"/>
            </w:tcBorders>
            <w:shd w:val="clear" w:color="auto" w:fill="auto"/>
            <w:vAlign w:val="bottom"/>
          </w:tcPr>
          <w:p w:rsidR="00ED702D" w:rsidRPr="00C0474D" w:rsidRDefault="00ED702D" w:rsidP="008E6D36">
            <w:pPr>
              <w:keepNext/>
              <w:keepLines/>
              <w:jc w:val="center"/>
              <w:rPr>
                <w:rFonts w:ascii="Arial Narrow" w:hAnsi="Arial Narrow"/>
                <w:b/>
                <w:bCs/>
                <w:sz w:val="20"/>
              </w:rPr>
            </w:pPr>
          </w:p>
        </w:tc>
        <w:tc>
          <w:tcPr>
            <w:tcW w:w="795" w:type="pct"/>
            <w:tcBorders>
              <w:bottom w:val="single" w:sz="4" w:space="0" w:color="auto"/>
              <w:right w:val="single" w:sz="4" w:space="0" w:color="auto"/>
            </w:tcBorders>
            <w:shd w:val="clear" w:color="auto" w:fill="auto"/>
            <w:vAlign w:val="bottom"/>
          </w:tcPr>
          <w:p w:rsidR="00ED702D" w:rsidRPr="00C0474D" w:rsidRDefault="00ED702D" w:rsidP="008E6D36">
            <w:pPr>
              <w:keepNext/>
              <w:keepLines/>
              <w:jc w:val="center"/>
              <w:rPr>
                <w:rFonts w:ascii="Arial Narrow" w:hAnsi="Arial Narrow"/>
                <w:b/>
                <w:bCs/>
                <w:sz w:val="20"/>
              </w:rPr>
            </w:pPr>
            <w:r w:rsidRPr="00C0474D">
              <w:rPr>
                <w:rFonts w:ascii="Arial Narrow" w:hAnsi="Arial Narrow"/>
                <w:b/>
                <w:bCs/>
                <w:sz w:val="20"/>
              </w:rPr>
              <w:t>Cost</w:t>
            </w:r>
          </w:p>
        </w:tc>
      </w:tr>
      <w:tr w:rsidR="00ED702D" w:rsidRPr="00C0474D" w:rsidTr="00ED70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ED702D" w:rsidRPr="00C0474D" w:rsidRDefault="00ED702D" w:rsidP="008E6D36">
            <w:pPr>
              <w:keepNext/>
              <w:keepLines/>
              <w:rPr>
                <w:rFonts w:ascii="Arial Narrow" w:hAnsi="Arial Narrow"/>
                <w:b/>
                <w:sz w:val="20"/>
              </w:rPr>
            </w:pPr>
            <w:proofErr w:type="spellStart"/>
            <w:r w:rsidRPr="00C0474D">
              <w:rPr>
                <w:rFonts w:ascii="Arial Narrow" w:hAnsi="Arial Narrow"/>
                <w:b/>
                <w:sz w:val="20"/>
              </w:rPr>
              <w:t>Fingolimod</w:t>
            </w:r>
            <w:proofErr w:type="spellEnd"/>
            <w:r w:rsidRPr="00C0474D">
              <w:rPr>
                <w:rFonts w:ascii="Arial Narrow" w:hAnsi="Arial Narrow"/>
                <w:b/>
                <w:sz w:val="20"/>
              </w:rPr>
              <w:t xml:space="preserve"> 0.5</w:t>
            </w:r>
            <w:r w:rsidR="00F41D91" w:rsidRPr="00C0474D">
              <w:rPr>
                <w:rFonts w:ascii="Arial Narrow" w:hAnsi="Arial Narrow"/>
                <w:b/>
                <w:sz w:val="20"/>
              </w:rPr>
              <w:t> </w:t>
            </w:r>
            <w:r w:rsidRPr="00C0474D">
              <w:rPr>
                <w:rFonts w:ascii="Arial Narrow" w:hAnsi="Arial Narrow"/>
                <w:b/>
                <w:sz w:val="20"/>
              </w:rPr>
              <w:t>mg tablets</w:t>
            </w:r>
          </w:p>
        </w:tc>
      </w:tr>
      <w:tr w:rsidR="00ED702D" w:rsidRPr="00C0474D" w:rsidTr="00ED70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205" w:type="pct"/>
            <w:tcBorders>
              <w:top w:val="single" w:sz="4" w:space="0" w:color="auto"/>
              <w:left w:val="single" w:sz="4" w:space="0" w:color="auto"/>
              <w:bottom w:val="single" w:sz="4" w:space="0" w:color="auto"/>
              <w:right w:val="single" w:sz="4" w:space="0" w:color="auto"/>
            </w:tcBorders>
            <w:shd w:val="clear" w:color="auto" w:fill="auto"/>
            <w:vAlign w:val="bottom"/>
          </w:tcPr>
          <w:p w:rsidR="00ED702D" w:rsidRPr="00C0474D" w:rsidRDefault="00ED702D" w:rsidP="008E6D36">
            <w:pPr>
              <w:keepNext/>
              <w:keepLines/>
              <w:rPr>
                <w:rFonts w:ascii="Arial Narrow" w:hAnsi="Arial Narrow"/>
                <w:sz w:val="20"/>
              </w:rPr>
            </w:pPr>
            <w:r w:rsidRPr="00C0474D">
              <w:rPr>
                <w:rFonts w:ascii="Arial Narrow" w:hAnsi="Arial Narrow"/>
                <w:sz w:val="20"/>
              </w:rPr>
              <w:t>Drug acquisition costs (DPMQ)</w:t>
            </w:r>
          </w:p>
        </w:tc>
        <w:tc>
          <w:tcPr>
            <w:tcW w:w="795" w:type="pct"/>
            <w:tcBorders>
              <w:top w:val="single" w:sz="4" w:space="0" w:color="auto"/>
              <w:left w:val="single" w:sz="4" w:space="0" w:color="auto"/>
              <w:bottom w:val="single" w:sz="4" w:space="0" w:color="auto"/>
              <w:right w:val="single" w:sz="4" w:space="0" w:color="auto"/>
            </w:tcBorders>
            <w:shd w:val="clear" w:color="auto" w:fill="auto"/>
            <w:vAlign w:val="center"/>
          </w:tcPr>
          <w:p w:rsidR="00ED702D" w:rsidRPr="00C0474D" w:rsidRDefault="00ED702D" w:rsidP="008E6D36">
            <w:pPr>
              <w:keepNext/>
              <w:keepLines/>
              <w:jc w:val="center"/>
              <w:rPr>
                <w:rFonts w:ascii="Arial Narrow" w:hAnsi="Arial Narrow"/>
                <w:sz w:val="20"/>
              </w:rPr>
            </w:pPr>
            <w:r w:rsidRPr="00C0474D">
              <w:rPr>
                <w:rFonts w:ascii="Arial Narrow" w:hAnsi="Arial Narrow"/>
                <w:sz w:val="20"/>
              </w:rPr>
              <w:t>$</w:t>
            </w:r>
            <w:r w:rsidRPr="00EC3181">
              <w:rPr>
                <w:rFonts w:ascii="Arial Narrow" w:hAnsi="Arial Narrow"/>
                <w:sz w:val="20"/>
              </w:rPr>
              <w:t>2,313.49</w:t>
            </w:r>
          </w:p>
        </w:tc>
      </w:tr>
      <w:tr w:rsidR="00ED702D" w:rsidRPr="00C0474D" w:rsidTr="00ED70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205" w:type="pct"/>
            <w:tcBorders>
              <w:top w:val="single" w:sz="4" w:space="0" w:color="auto"/>
              <w:left w:val="single" w:sz="4" w:space="0" w:color="auto"/>
              <w:bottom w:val="single" w:sz="4" w:space="0" w:color="auto"/>
              <w:right w:val="single" w:sz="4" w:space="0" w:color="auto"/>
            </w:tcBorders>
            <w:shd w:val="clear" w:color="auto" w:fill="auto"/>
            <w:vAlign w:val="bottom"/>
          </w:tcPr>
          <w:p w:rsidR="00ED702D" w:rsidRPr="00C0474D" w:rsidRDefault="00ED702D" w:rsidP="008E6D36">
            <w:pPr>
              <w:keepNext/>
              <w:keepLines/>
              <w:jc w:val="left"/>
              <w:rPr>
                <w:rFonts w:ascii="Arial Narrow" w:hAnsi="Arial Narrow"/>
                <w:sz w:val="20"/>
              </w:rPr>
            </w:pPr>
            <w:r w:rsidRPr="00C0474D">
              <w:rPr>
                <w:rFonts w:ascii="Arial Narrow" w:hAnsi="Arial Narrow"/>
                <w:sz w:val="20"/>
              </w:rPr>
              <w:t>Drug acquisition costs (AEMP)</w:t>
            </w:r>
          </w:p>
        </w:tc>
        <w:tc>
          <w:tcPr>
            <w:tcW w:w="795" w:type="pct"/>
            <w:tcBorders>
              <w:top w:val="single" w:sz="4" w:space="0" w:color="auto"/>
              <w:left w:val="single" w:sz="4" w:space="0" w:color="auto"/>
              <w:bottom w:val="single" w:sz="4" w:space="0" w:color="auto"/>
              <w:right w:val="single" w:sz="4" w:space="0" w:color="auto"/>
            </w:tcBorders>
            <w:shd w:val="clear" w:color="auto" w:fill="auto"/>
            <w:vAlign w:val="center"/>
          </w:tcPr>
          <w:p w:rsidR="00ED702D" w:rsidRPr="00C0474D" w:rsidRDefault="00ED702D" w:rsidP="008E6D36">
            <w:pPr>
              <w:keepNext/>
              <w:keepLines/>
              <w:jc w:val="center"/>
              <w:rPr>
                <w:rFonts w:ascii="Arial Narrow" w:hAnsi="Arial Narrow"/>
                <w:sz w:val="20"/>
              </w:rPr>
            </w:pPr>
            <w:r w:rsidRPr="00C0474D">
              <w:rPr>
                <w:rFonts w:ascii="Arial Narrow" w:hAnsi="Arial Narrow"/>
                <w:sz w:val="20"/>
              </w:rPr>
              <w:t>$</w:t>
            </w:r>
            <w:r w:rsidRPr="00471302">
              <w:rPr>
                <w:rFonts w:ascii="Arial Narrow" w:hAnsi="Arial Narrow"/>
                <w:sz w:val="20"/>
              </w:rPr>
              <w:t>2,166.62</w:t>
            </w:r>
          </w:p>
        </w:tc>
      </w:tr>
      <w:tr w:rsidR="00ED702D" w:rsidRPr="00C0474D" w:rsidTr="00ED70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205" w:type="pct"/>
            <w:tcBorders>
              <w:top w:val="single" w:sz="4" w:space="0" w:color="auto"/>
              <w:left w:val="single" w:sz="4" w:space="0" w:color="auto"/>
              <w:bottom w:val="single" w:sz="4" w:space="0" w:color="auto"/>
              <w:right w:val="single" w:sz="4" w:space="0" w:color="auto"/>
            </w:tcBorders>
            <w:shd w:val="clear" w:color="auto" w:fill="auto"/>
            <w:vAlign w:val="bottom"/>
          </w:tcPr>
          <w:p w:rsidR="00ED702D" w:rsidRPr="00C0474D" w:rsidRDefault="00ED702D" w:rsidP="008E6D36">
            <w:pPr>
              <w:keepNext/>
              <w:keepLines/>
              <w:jc w:val="left"/>
              <w:rPr>
                <w:rFonts w:ascii="Arial Narrow" w:hAnsi="Arial Narrow"/>
                <w:sz w:val="20"/>
              </w:rPr>
            </w:pPr>
            <w:r w:rsidRPr="00C0474D">
              <w:rPr>
                <w:rFonts w:ascii="Arial Narrow" w:hAnsi="Arial Narrow"/>
                <w:sz w:val="20"/>
              </w:rPr>
              <w:t>Scripts per year</w:t>
            </w:r>
          </w:p>
        </w:tc>
        <w:tc>
          <w:tcPr>
            <w:tcW w:w="795" w:type="pct"/>
            <w:tcBorders>
              <w:top w:val="single" w:sz="4" w:space="0" w:color="auto"/>
              <w:left w:val="single" w:sz="4" w:space="0" w:color="auto"/>
              <w:bottom w:val="single" w:sz="4" w:space="0" w:color="auto"/>
              <w:right w:val="single" w:sz="4" w:space="0" w:color="auto"/>
            </w:tcBorders>
            <w:shd w:val="clear" w:color="auto" w:fill="auto"/>
            <w:vAlign w:val="center"/>
          </w:tcPr>
          <w:p w:rsidR="00ED702D" w:rsidRPr="00C0474D" w:rsidRDefault="00ED702D" w:rsidP="008E6D36">
            <w:pPr>
              <w:keepNext/>
              <w:keepLines/>
              <w:jc w:val="center"/>
              <w:rPr>
                <w:rFonts w:ascii="Arial Narrow" w:hAnsi="Arial Narrow"/>
                <w:sz w:val="20"/>
              </w:rPr>
            </w:pPr>
            <w:r w:rsidRPr="004D6469">
              <w:rPr>
                <w:rFonts w:ascii="Arial Narrow" w:hAnsi="Arial Narrow"/>
                <w:sz w:val="20"/>
              </w:rPr>
              <w:t>13.04</w:t>
            </w:r>
          </w:p>
        </w:tc>
      </w:tr>
      <w:tr w:rsidR="00ED702D" w:rsidRPr="00C0474D" w:rsidTr="00ED70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205" w:type="pct"/>
            <w:tcBorders>
              <w:top w:val="single" w:sz="4" w:space="0" w:color="auto"/>
              <w:left w:val="single" w:sz="4" w:space="0" w:color="auto"/>
              <w:bottom w:val="single" w:sz="4" w:space="0" w:color="auto"/>
              <w:right w:val="single" w:sz="4" w:space="0" w:color="auto"/>
            </w:tcBorders>
            <w:shd w:val="clear" w:color="auto" w:fill="auto"/>
            <w:vAlign w:val="bottom"/>
          </w:tcPr>
          <w:p w:rsidR="00ED702D" w:rsidRPr="00C0474D" w:rsidRDefault="00ED702D" w:rsidP="008E6D36">
            <w:pPr>
              <w:keepNext/>
              <w:keepLines/>
              <w:jc w:val="left"/>
              <w:rPr>
                <w:rFonts w:ascii="Arial Narrow" w:hAnsi="Arial Narrow"/>
                <w:sz w:val="20"/>
              </w:rPr>
            </w:pPr>
            <w:r w:rsidRPr="00C0474D">
              <w:rPr>
                <w:rFonts w:ascii="Arial Narrow" w:hAnsi="Arial Narrow"/>
                <w:sz w:val="20"/>
              </w:rPr>
              <w:t>Annual cost of therapy</w:t>
            </w:r>
            <w:r w:rsidR="00A83BD0" w:rsidRPr="00C0474D">
              <w:rPr>
                <w:rFonts w:ascii="Arial Narrow" w:hAnsi="Arial Narrow"/>
                <w:sz w:val="20"/>
              </w:rPr>
              <w:t xml:space="preserve"> (AEMP)</w:t>
            </w:r>
          </w:p>
        </w:tc>
        <w:tc>
          <w:tcPr>
            <w:tcW w:w="795" w:type="pct"/>
            <w:tcBorders>
              <w:top w:val="single" w:sz="4" w:space="0" w:color="auto"/>
              <w:left w:val="single" w:sz="4" w:space="0" w:color="auto"/>
              <w:bottom w:val="single" w:sz="4" w:space="0" w:color="auto"/>
              <w:right w:val="single" w:sz="4" w:space="0" w:color="auto"/>
            </w:tcBorders>
            <w:shd w:val="clear" w:color="auto" w:fill="auto"/>
            <w:vAlign w:val="center"/>
          </w:tcPr>
          <w:p w:rsidR="00ED702D" w:rsidRPr="00C0474D" w:rsidRDefault="00ED702D" w:rsidP="008E6D36">
            <w:pPr>
              <w:keepNext/>
              <w:keepLines/>
              <w:jc w:val="center"/>
              <w:rPr>
                <w:rFonts w:ascii="Arial Narrow" w:hAnsi="Arial Narrow"/>
                <w:sz w:val="20"/>
              </w:rPr>
            </w:pPr>
            <w:r w:rsidRPr="00C0474D">
              <w:rPr>
                <w:rFonts w:ascii="Arial Narrow" w:hAnsi="Arial Narrow"/>
                <w:sz w:val="20"/>
              </w:rPr>
              <w:t>$</w:t>
            </w:r>
            <w:r w:rsidRPr="004D6469">
              <w:rPr>
                <w:rFonts w:ascii="Arial Narrow" w:hAnsi="Arial Narrow"/>
                <w:sz w:val="20"/>
              </w:rPr>
              <w:t>28,252.72</w:t>
            </w:r>
          </w:p>
        </w:tc>
      </w:tr>
      <w:tr w:rsidR="00ED702D" w:rsidRPr="00C0474D" w:rsidTr="00ED70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ED702D" w:rsidRPr="00C0474D" w:rsidRDefault="00ED702D" w:rsidP="008E6D36">
            <w:pPr>
              <w:keepNext/>
              <w:keepLines/>
              <w:rPr>
                <w:rFonts w:ascii="Arial Narrow" w:hAnsi="Arial Narrow"/>
                <w:b/>
                <w:sz w:val="20"/>
              </w:rPr>
            </w:pPr>
            <w:proofErr w:type="spellStart"/>
            <w:r w:rsidRPr="00C0474D">
              <w:rPr>
                <w:rFonts w:ascii="Arial Narrow" w:hAnsi="Arial Narrow"/>
                <w:b/>
                <w:sz w:val="20"/>
              </w:rPr>
              <w:t>Daclizumab</w:t>
            </w:r>
            <w:proofErr w:type="spellEnd"/>
            <w:r w:rsidRPr="00C0474D">
              <w:rPr>
                <w:rFonts w:ascii="Arial Narrow" w:hAnsi="Arial Narrow"/>
                <w:b/>
                <w:sz w:val="20"/>
              </w:rPr>
              <w:t xml:space="preserve"> 150</w:t>
            </w:r>
            <w:r w:rsidR="00F41D91" w:rsidRPr="00C0474D">
              <w:rPr>
                <w:rFonts w:ascii="Arial Narrow" w:hAnsi="Arial Narrow"/>
                <w:b/>
                <w:sz w:val="20"/>
              </w:rPr>
              <w:t> </w:t>
            </w:r>
            <w:r w:rsidRPr="00C0474D">
              <w:rPr>
                <w:rFonts w:ascii="Arial Narrow" w:hAnsi="Arial Narrow"/>
                <w:b/>
                <w:sz w:val="20"/>
              </w:rPr>
              <w:t>mg injection</w:t>
            </w:r>
          </w:p>
        </w:tc>
      </w:tr>
      <w:tr w:rsidR="00ED702D" w:rsidRPr="00C0474D" w:rsidTr="00ED70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205" w:type="pct"/>
            <w:tcBorders>
              <w:top w:val="single" w:sz="4" w:space="0" w:color="auto"/>
              <w:left w:val="single" w:sz="4" w:space="0" w:color="auto"/>
              <w:bottom w:val="single" w:sz="4" w:space="0" w:color="auto"/>
              <w:right w:val="single" w:sz="4" w:space="0" w:color="auto"/>
            </w:tcBorders>
            <w:shd w:val="clear" w:color="auto" w:fill="auto"/>
            <w:vAlign w:val="bottom"/>
          </w:tcPr>
          <w:p w:rsidR="00ED702D" w:rsidRPr="00C0474D" w:rsidRDefault="00ED702D" w:rsidP="008E6D36">
            <w:pPr>
              <w:keepNext/>
              <w:keepLines/>
              <w:jc w:val="left"/>
              <w:rPr>
                <w:rFonts w:ascii="Arial Narrow" w:hAnsi="Arial Narrow"/>
                <w:sz w:val="20"/>
              </w:rPr>
            </w:pPr>
            <w:r w:rsidRPr="00C0474D">
              <w:rPr>
                <w:rFonts w:ascii="Arial Narrow" w:hAnsi="Arial Narrow"/>
                <w:sz w:val="20"/>
              </w:rPr>
              <w:t xml:space="preserve">Annual cost of </w:t>
            </w:r>
            <w:r w:rsidR="00475F8D" w:rsidRPr="00C0474D">
              <w:rPr>
                <w:rFonts w:ascii="Arial Narrow" w:hAnsi="Arial Narrow"/>
                <w:sz w:val="20"/>
              </w:rPr>
              <w:t xml:space="preserve">monthly </w:t>
            </w:r>
            <w:r w:rsidRPr="00C0474D">
              <w:rPr>
                <w:rFonts w:ascii="Arial Narrow" w:hAnsi="Arial Narrow"/>
                <w:sz w:val="20"/>
              </w:rPr>
              <w:t xml:space="preserve">liver </w:t>
            </w:r>
            <w:r w:rsidR="006E0493" w:rsidRPr="00C0474D">
              <w:rPr>
                <w:rFonts w:ascii="Arial Narrow" w:hAnsi="Arial Narrow"/>
                <w:sz w:val="20"/>
              </w:rPr>
              <w:t>function testing (12 x MBS 66512</w:t>
            </w:r>
            <w:r w:rsidRPr="00C0474D">
              <w:rPr>
                <w:rFonts w:ascii="Arial Narrow" w:hAnsi="Arial Narrow"/>
                <w:sz w:val="20"/>
              </w:rPr>
              <w:t>, $17.70)</w:t>
            </w:r>
          </w:p>
        </w:tc>
        <w:tc>
          <w:tcPr>
            <w:tcW w:w="795" w:type="pct"/>
            <w:tcBorders>
              <w:top w:val="single" w:sz="4" w:space="0" w:color="auto"/>
              <w:left w:val="single" w:sz="4" w:space="0" w:color="auto"/>
              <w:bottom w:val="single" w:sz="4" w:space="0" w:color="auto"/>
              <w:right w:val="single" w:sz="4" w:space="0" w:color="auto"/>
            </w:tcBorders>
            <w:shd w:val="clear" w:color="auto" w:fill="auto"/>
            <w:vAlign w:val="center"/>
          </w:tcPr>
          <w:p w:rsidR="00ED702D" w:rsidRPr="00C0474D" w:rsidRDefault="00ED702D" w:rsidP="008E6D36">
            <w:pPr>
              <w:keepNext/>
              <w:keepLines/>
              <w:jc w:val="center"/>
              <w:rPr>
                <w:rFonts w:ascii="Arial Narrow" w:hAnsi="Arial Narrow"/>
                <w:sz w:val="20"/>
              </w:rPr>
            </w:pPr>
            <w:r w:rsidRPr="00C0474D">
              <w:rPr>
                <w:rFonts w:ascii="Arial Narrow" w:hAnsi="Arial Narrow"/>
                <w:sz w:val="20"/>
              </w:rPr>
              <w:t>$</w:t>
            </w:r>
            <w:r w:rsidRPr="004D6469">
              <w:rPr>
                <w:rFonts w:ascii="Arial Narrow" w:hAnsi="Arial Narrow"/>
                <w:sz w:val="20"/>
              </w:rPr>
              <w:t>212.40</w:t>
            </w:r>
          </w:p>
        </w:tc>
      </w:tr>
      <w:tr w:rsidR="00ED702D" w:rsidRPr="00C0474D" w:rsidTr="00ED70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205" w:type="pct"/>
            <w:tcBorders>
              <w:top w:val="single" w:sz="4" w:space="0" w:color="auto"/>
              <w:left w:val="single" w:sz="4" w:space="0" w:color="auto"/>
              <w:bottom w:val="single" w:sz="4" w:space="0" w:color="auto"/>
              <w:right w:val="single" w:sz="4" w:space="0" w:color="auto"/>
            </w:tcBorders>
            <w:shd w:val="clear" w:color="auto" w:fill="auto"/>
            <w:vAlign w:val="bottom"/>
          </w:tcPr>
          <w:p w:rsidR="00ED702D" w:rsidRPr="00C0474D" w:rsidRDefault="00ED702D" w:rsidP="008E6D36">
            <w:pPr>
              <w:keepNext/>
              <w:keepLines/>
              <w:jc w:val="left"/>
              <w:rPr>
                <w:rFonts w:ascii="Arial Narrow" w:hAnsi="Arial Narrow"/>
                <w:sz w:val="20"/>
              </w:rPr>
            </w:pPr>
            <w:r w:rsidRPr="00C0474D">
              <w:rPr>
                <w:rFonts w:ascii="Arial Narrow" w:hAnsi="Arial Narrow"/>
                <w:sz w:val="20"/>
              </w:rPr>
              <w:t>Annual cost of therapy</w:t>
            </w:r>
            <w:r w:rsidR="00A83BD0" w:rsidRPr="00C0474D">
              <w:rPr>
                <w:rFonts w:ascii="Arial Narrow" w:hAnsi="Arial Narrow"/>
                <w:sz w:val="20"/>
              </w:rPr>
              <w:t xml:space="preserve"> (AEMP)</w:t>
            </w:r>
          </w:p>
        </w:tc>
        <w:tc>
          <w:tcPr>
            <w:tcW w:w="795" w:type="pct"/>
            <w:tcBorders>
              <w:top w:val="single" w:sz="4" w:space="0" w:color="auto"/>
              <w:left w:val="single" w:sz="4" w:space="0" w:color="auto"/>
              <w:bottom w:val="single" w:sz="4" w:space="0" w:color="auto"/>
              <w:right w:val="single" w:sz="4" w:space="0" w:color="auto"/>
            </w:tcBorders>
            <w:shd w:val="clear" w:color="auto" w:fill="auto"/>
            <w:vAlign w:val="center"/>
          </w:tcPr>
          <w:p w:rsidR="00ED702D" w:rsidRPr="00C0474D" w:rsidRDefault="00ED702D" w:rsidP="008E6D36">
            <w:pPr>
              <w:keepNext/>
              <w:keepLines/>
              <w:jc w:val="center"/>
              <w:rPr>
                <w:rFonts w:ascii="Arial Narrow" w:hAnsi="Arial Narrow"/>
                <w:sz w:val="20"/>
              </w:rPr>
            </w:pPr>
            <w:r w:rsidRPr="00C0474D">
              <w:rPr>
                <w:rFonts w:ascii="Arial Narrow" w:hAnsi="Arial Narrow"/>
                <w:sz w:val="20"/>
              </w:rPr>
              <w:t>$</w:t>
            </w:r>
            <w:r w:rsidR="00B33B3B">
              <w:rPr>
                <w:rFonts w:ascii="Arial Narrow" w:hAnsi="Arial Narrow"/>
                <w:noProof/>
                <w:color w:val="000000"/>
                <w:sz w:val="20"/>
                <w:highlight w:val="black"/>
              </w:rPr>
              <w:t>'''''''''''''''''''''''</w:t>
            </w:r>
          </w:p>
        </w:tc>
      </w:tr>
      <w:tr w:rsidR="00ED702D" w:rsidRPr="00C0474D" w:rsidTr="00ED70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205" w:type="pct"/>
            <w:tcBorders>
              <w:top w:val="single" w:sz="4" w:space="0" w:color="auto"/>
              <w:left w:val="single" w:sz="4" w:space="0" w:color="auto"/>
              <w:bottom w:val="single" w:sz="4" w:space="0" w:color="auto"/>
              <w:right w:val="single" w:sz="4" w:space="0" w:color="auto"/>
            </w:tcBorders>
            <w:shd w:val="clear" w:color="auto" w:fill="auto"/>
            <w:vAlign w:val="bottom"/>
          </w:tcPr>
          <w:p w:rsidR="00ED702D" w:rsidRPr="00C0474D" w:rsidRDefault="00ED702D" w:rsidP="008E6D36">
            <w:pPr>
              <w:keepNext/>
              <w:keepLines/>
              <w:jc w:val="left"/>
              <w:rPr>
                <w:rFonts w:ascii="Arial Narrow" w:hAnsi="Arial Narrow"/>
                <w:sz w:val="20"/>
              </w:rPr>
            </w:pPr>
            <w:r w:rsidRPr="00C0474D">
              <w:rPr>
                <w:rFonts w:ascii="Arial Narrow" w:hAnsi="Arial Narrow"/>
                <w:sz w:val="20"/>
              </w:rPr>
              <w:t>Scripts per year</w:t>
            </w:r>
          </w:p>
        </w:tc>
        <w:tc>
          <w:tcPr>
            <w:tcW w:w="795" w:type="pct"/>
            <w:tcBorders>
              <w:top w:val="single" w:sz="4" w:space="0" w:color="auto"/>
              <w:left w:val="single" w:sz="4" w:space="0" w:color="auto"/>
              <w:bottom w:val="single" w:sz="4" w:space="0" w:color="auto"/>
              <w:right w:val="single" w:sz="4" w:space="0" w:color="auto"/>
            </w:tcBorders>
            <w:shd w:val="clear" w:color="auto" w:fill="auto"/>
            <w:vAlign w:val="center"/>
          </w:tcPr>
          <w:p w:rsidR="00ED702D" w:rsidRPr="00B33B3B" w:rsidRDefault="00B33B3B" w:rsidP="008E6D36">
            <w:pPr>
              <w:keepNext/>
              <w:keepLines/>
              <w:jc w:val="center"/>
              <w:rPr>
                <w:rFonts w:ascii="Arial Narrow" w:hAnsi="Arial Narrow"/>
                <w:sz w:val="20"/>
                <w:highlight w:val="black"/>
              </w:rPr>
            </w:pPr>
            <w:r>
              <w:rPr>
                <w:rFonts w:ascii="Arial Narrow" w:hAnsi="Arial Narrow"/>
                <w:noProof/>
                <w:color w:val="000000"/>
                <w:sz w:val="20"/>
                <w:highlight w:val="black"/>
              </w:rPr>
              <w:t>''''''</w:t>
            </w:r>
          </w:p>
        </w:tc>
      </w:tr>
      <w:tr w:rsidR="00ED702D" w:rsidRPr="00C0474D" w:rsidTr="00ED70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205" w:type="pct"/>
            <w:tcBorders>
              <w:top w:val="single" w:sz="4" w:space="0" w:color="auto"/>
              <w:left w:val="single" w:sz="4" w:space="0" w:color="auto"/>
              <w:bottom w:val="single" w:sz="4" w:space="0" w:color="auto"/>
              <w:right w:val="single" w:sz="4" w:space="0" w:color="auto"/>
            </w:tcBorders>
            <w:shd w:val="clear" w:color="auto" w:fill="auto"/>
            <w:vAlign w:val="bottom"/>
          </w:tcPr>
          <w:p w:rsidR="00ED702D" w:rsidRPr="00C0474D" w:rsidRDefault="00ED702D" w:rsidP="008E6D36">
            <w:pPr>
              <w:keepNext/>
              <w:keepLines/>
              <w:rPr>
                <w:rFonts w:ascii="Arial Narrow" w:hAnsi="Arial Narrow"/>
                <w:sz w:val="20"/>
              </w:rPr>
            </w:pPr>
            <w:r w:rsidRPr="00C0474D">
              <w:rPr>
                <w:rFonts w:ascii="Arial Narrow" w:hAnsi="Arial Narrow"/>
                <w:sz w:val="20"/>
              </w:rPr>
              <w:t>Drug acquisition costs (AEMP)</w:t>
            </w:r>
          </w:p>
        </w:tc>
        <w:tc>
          <w:tcPr>
            <w:tcW w:w="795" w:type="pct"/>
            <w:tcBorders>
              <w:top w:val="single" w:sz="4" w:space="0" w:color="auto"/>
              <w:left w:val="single" w:sz="4" w:space="0" w:color="auto"/>
              <w:bottom w:val="single" w:sz="4" w:space="0" w:color="auto"/>
              <w:right w:val="single" w:sz="4" w:space="0" w:color="auto"/>
            </w:tcBorders>
            <w:shd w:val="clear" w:color="auto" w:fill="auto"/>
            <w:vAlign w:val="center"/>
          </w:tcPr>
          <w:p w:rsidR="00ED702D" w:rsidRPr="00C0474D" w:rsidRDefault="00ED702D" w:rsidP="008E6D36">
            <w:pPr>
              <w:keepNext/>
              <w:keepLines/>
              <w:jc w:val="center"/>
              <w:rPr>
                <w:rFonts w:ascii="Arial Narrow" w:hAnsi="Arial Narrow"/>
                <w:sz w:val="20"/>
              </w:rPr>
            </w:pPr>
            <w:r w:rsidRPr="00C0474D">
              <w:rPr>
                <w:rFonts w:ascii="Arial Narrow" w:hAnsi="Arial Narrow"/>
                <w:sz w:val="20"/>
              </w:rPr>
              <w:t>$</w:t>
            </w:r>
            <w:r w:rsidR="00B33B3B">
              <w:rPr>
                <w:rFonts w:ascii="Arial Narrow" w:hAnsi="Arial Narrow"/>
                <w:noProof/>
                <w:color w:val="000000"/>
                <w:sz w:val="20"/>
                <w:highlight w:val="black"/>
              </w:rPr>
              <w:t>'''''''''''''''''''</w:t>
            </w:r>
          </w:p>
        </w:tc>
      </w:tr>
      <w:tr w:rsidR="00ED702D" w:rsidRPr="00C0474D" w:rsidTr="00ED70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205" w:type="pct"/>
            <w:tcBorders>
              <w:top w:val="single" w:sz="4" w:space="0" w:color="auto"/>
              <w:left w:val="single" w:sz="4" w:space="0" w:color="auto"/>
              <w:bottom w:val="single" w:sz="4" w:space="0" w:color="auto"/>
              <w:right w:val="single" w:sz="4" w:space="0" w:color="auto"/>
            </w:tcBorders>
            <w:shd w:val="clear" w:color="auto" w:fill="auto"/>
            <w:vAlign w:val="bottom"/>
          </w:tcPr>
          <w:p w:rsidR="00ED702D" w:rsidRPr="00C0474D" w:rsidRDefault="00ED702D" w:rsidP="008E6D36">
            <w:pPr>
              <w:keepNext/>
              <w:keepLines/>
              <w:jc w:val="left"/>
              <w:rPr>
                <w:rFonts w:ascii="Arial Narrow" w:hAnsi="Arial Narrow"/>
                <w:sz w:val="20"/>
                <w:vertAlign w:val="superscript"/>
              </w:rPr>
            </w:pPr>
            <w:r w:rsidRPr="00C0474D">
              <w:rPr>
                <w:rFonts w:ascii="Arial Narrow" w:hAnsi="Arial Narrow"/>
                <w:sz w:val="20"/>
              </w:rPr>
              <w:t>Drug acquisition costs (DPMQ)</w:t>
            </w:r>
            <w:r w:rsidRPr="00C0474D">
              <w:rPr>
                <w:rFonts w:ascii="Arial Narrow" w:hAnsi="Arial Narrow"/>
                <w:sz w:val="20"/>
                <w:vertAlign w:val="superscript"/>
              </w:rPr>
              <w:t>a</w:t>
            </w:r>
          </w:p>
        </w:tc>
        <w:tc>
          <w:tcPr>
            <w:tcW w:w="795" w:type="pct"/>
            <w:tcBorders>
              <w:top w:val="single" w:sz="4" w:space="0" w:color="auto"/>
              <w:left w:val="single" w:sz="4" w:space="0" w:color="auto"/>
              <w:bottom w:val="single" w:sz="4" w:space="0" w:color="auto"/>
              <w:right w:val="single" w:sz="4" w:space="0" w:color="auto"/>
            </w:tcBorders>
            <w:shd w:val="clear" w:color="auto" w:fill="auto"/>
            <w:vAlign w:val="center"/>
          </w:tcPr>
          <w:p w:rsidR="00ED702D" w:rsidRPr="00C0474D" w:rsidRDefault="00ED702D" w:rsidP="008E6D36">
            <w:pPr>
              <w:keepNext/>
              <w:keepLines/>
              <w:jc w:val="center"/>
              <w:rPr>
                <w:rFonts w:ascii="Arial Narrow" w:hAnsi="Arial Narrow"/>
                <w:sz w:val="20"/>
              </w:rPr>
            </w:pPr>
            <w:r w:rsidRPr="00C0474D">
              <w:rPr>
                <w:rFonts w:ascii="Arial Narrow" w:hAnsi="Arial Narrow"/>
                <w:sz w:val="20"/>
              </w:rPr>
              <w:t>$</w:t>
            </w:r>
            <w:r w:rsidR="00B33B3B">
              <w:rPr>
                <w:rFonts w:ascii="Arial Narrow" w:hAnsi="Arial Narrow"/>
                <w:noProof/>
                <w:color w:val="000000"/>
                <w:sz w:val="20"/>
                <w:highlight w:val="black"/>
              </w:rPr>
              <w:t>''''''''''''''''''''</w:t>
            </w:r>
          </w:p>
        </w:tc>
      </w:tr>
      <w:tr w:rsidR="00ED702D" w:rsidRPr="00C0474D" w:rsidTr="00ED70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ED702D" w:rsidRPr="00C0474D" w:rsidRDefault="00ED702D" w:rsidP="008E6D36">
            <w:pPr>
              <w:keepNext/>
              <w:keepLines/>
              <w:rPr>
                <w:rFonts w:ascii="Arial Narrow" w:hAnsi="Arial Narrow"/>
                <w:b/>
                <w:sz w:val="20"/>
              </w:rPr>
            </w:pPr>
            <w:proofErr w:type="spellStart"/>
            <w:r w:rsidRPr="00C0474D">
              <w:rPr>
                <w:rFonts w:ascii="Arial Narrow" w:hAnsi="Arial Narrow"/>
                <w:b/>
                <w:sz w:val="20"/>
              </w:rPr>
              <w:t>Daclizumab</w:t>
            </w:r>
            <w:proofErr w:type="spellEnd"/>
            <w:r w:rsidRPr="00C0474D">
              <w:rPr>
                <w:rFonts w:ascii="Arial Narrow" w:hAnsi="Arial Narrow"/>
                <w:b/>
                <w:sz w:val="20"/>
              </w:rPr>
              <w:t xml:space="preserve"> 150</w:t>
            </w:r>
            <w:r w:rsidR="00F41D91" w:rsidRPr="00C0474D">
              <w:rPr>
                <w:rFonts w:ascii="Arial Narrow" w:hAnsi="Arial Narrow"/>
                <w:b/>
                <w:sz w:val="20"/>
              </w:rPr>
              <w:t> </w:t>
            </w:r>
            <w:r w:rsidRPr="00C0474D">
              <w:rPr>
                <w:rFonts w:ascii="Arial Narrow" w:hAnsi="Arial Narrow"/>
                <w:b/>
                <w:sz w:val="20"/>
              </w:rPr>
              <w:t>mg injection (sensitivity analyses assuming no difference in script duration)</w:t>
            </w:r>
          </w:p>
        </w:tc>
      </w:tr>
      <w:tr w:rsidR="00ED702D" w:rsidRPr="00C0474D" w:rsidTr="00ED70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205" w:type="pct"/>
            <w:tcBorders>
              <w:top w:val="single" w:sz="4" w:space="0" w:color="auto"/>
              <w:left w:val="single" w:sz="4" w:space="0" w:color="auto"/>
              <w:bottom w:val="single" w:sz="4" w:space="0" w:color="auto"/>
              <w:right w:val="single" w:sz="4" w:space="0" w:color="auto"/>
            </w:tcBorders>
            <w:shd w:val="clear" w:color="auto" w:fill="auto"/>
            <w:vAlign w:val="bottom"/>
          </w:tcPr>
          <w:p w:rsidR="00ED702D" w:rsidRPr="00C0474D" w:rsidRDefault="00ED702D" w:rsidP="008E6D36">
            <w:pPr>
              <w:keepNext/>
              <w:keepLines/>
              <w:jc w:val="left"/>
              <w:rPr>
                <w:rFonts w:ascii="Arial Narrow" w:hAnsi="Arial Narrow"/>
                <w:sz w:val="20"/>
              </w:rPr>
            </w:pPr>
            <w:r w:rsidRPr="00C0474D">
              <w:rPr>
                <w:rFonts w:ascii="Arial Narrow" w:hAnsi="Arial Narrow"/>
                <w:sz w:val="20"/>
              </w:rPr>
              <w:t xml:space="preserve">Annual cost of </w:t>
            </w:r>
            <w:r w:rsidR="00475F8D" w:rsidRPr="00C0474D">
              <w:rPr>
                <w:rFonts w:ascii="Arial Narrow" w:hAnsi="Arial Narrow"/>
                <w:sz w:val="20"/>
              </w:rPr>
              <w:t xml:space="preserve">monthly </w:t>
            </w:r>
            <w:r w:rsidRPr="00C0474D">
              <w:rPr>
                <w:rFonts w:ascii="Arial Narrow" w:hAnsi="Arial Narrow"/>
                <w:sz w:val="20"/>
              </w:rPr>
              <w:t xml:space="preserve">liver </w:t>
            </w:r>
            <w:r w:rsidR="006E0493" w:rsidRPr="00C0474D">
              <w:rPr>
                <w:rFonts w:ascii="Arial Narrow" w:hAnsi="Arial Narrow"/>
                <w:sz w:val="20"/>
              </w:rPr>
              <w:t>function testing (12 x MBS 66512</w:t>
            </w:r>
            <w:r w:rsidRPr="00C0474D">
              <w:rPr>
                <w:rFonts w:ascii="Arial Narrow" w:hAnsi="Arial Narrow"/>
                <w:sz w:val="20"/>
              </w:rPr>
              <w:t>, $17.70)</w:t>
            </w:r>
          </w:p>
        </w:tc>
        <w:tc>
          <w:tcPr>
            <w:tcW w:w="795" w:type="pct"/>
            <w:tcBorders>
              <w:top w:val="single" w:sz="4" w:space="0" w:color="auto"/>
              <w:left w:val="single" w:sz="4" w:space="0" w:color="auto"/>
              <w:bottom w:val="single" w:sz="4" w:space="0" w:color="auto"/>
              <w:right w:val="single" w:sz="4" w:space="0" w:color="auto"/>
            </w:tcBorders>
            <w:shd w:val="clear" w:color="auto" w:fill="auto"/>
            <w:vAlign w:val="center"/>
          </w:tcPr>
          <w:p w:rsidR="00ED702D" w:rsidRPr="00C0474D" w:rsidRDefault="00ED702D" w:rsidP="008E6D36">
            <w:pPr>
              <w:keepNext/>
              <w:keepLines/>
              <w:jc w:val="center"/>
              <w:rPr>
                <w:rFonts w:ascii="Arial Narrow" w:hAnsi="Arial Narrow"/>
                <w:sz w:val="20"/>
              </w:rPr>
            </w:pPr>
            <w:r w:rsidRPr="00C0474D">
              <w:rPr>
                <w:rFonts w:ascii="Arial Narrow" w:hAnsi="Arial Narrow"/>
                <w:sz w:val="20"/>
              </w:rPr>
              <w:t>$</w:t>
            </w:r>
            <w:r w:rsidRPr="004D6469">
              <w:rPr>
                <w:rFonts w:ascii="Arial Narrow" w:hAnsi="Arial Narrow"/>
                <w:sz w:val="20"/>
              </w:rPr>
              <w:t>212.40</w:t>
            </w:r>
          </w:p>
        </w:tc>
      </w:tr>
      <w:tr w:rsidR="00ED702D" w:rsidRPr="00C0474D" w:rsidTr="00ED70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205" w:type="pct"/>
            <w:tcBorders>
              <w:top w:val="single" w:sz="4" w:space="0" w:color="auto"/>
              <w:left w:val="single" w:sz="4" w:space="0" w:color="auto"/>
              <w:bottom w:val="single" w:sz="4" w:space="0" w:color="auto"/>
              <w:right w:val="single" w:sz="4" w:space="0" w:color="auto"/>
            </w:tcBorders>
            <w:shd w:val="clear" w:color="auto" w:fill="auto"/>
            <w:vAlign w:val="bottom"/>
          </w:tcPr>
          <w:p w:rsidR="00ED702D" w:rsidRPr="00C0474D" w:rsidRDefault="00ED702D" w:rsidP="008E6D36">
            <w:pPr>
              <w:keepNext/>
              <w:keepLines/>
              <w:jc w:val="left"/>
              <w:rPr>
                <w:rFonts w:ascii="Arial Narrow" w:hAnsi="Arial Narrow"/>
                <w:sz w:val="20"/>
              </w:rPr>
            </w:pPr>
            <w:r w:rsidRPr="00C0474D">
              <w:rPr>
                <w:rFonts w:ascii="Arial Narrow" w:hAnsi="Arial Narrow"/>
                <w:sz w:val="20"/>
              </w:rPr>
              <w:t>Annual cost of therapy</w:t>
            </w:r>
            <w:r w:rsidR="00A83BD0" w:rsidRPr="00C0474D">
              <w:rPr>
                <w:rFonts w:ascii="Arial Narrow" w:hAnsi="Arial Narrow"/>
                <w:sz w:val="20"/>
              </w:rPr>
              <w:t xml:space="preserve"> (AEMP)</w:t>
            </w:r>
          </w:p>
        </w:tc>
        <w:tc>
          <w:tcPr>
            <w:tcW w:w="795" w:type="pct"/>
            <w:tcBorders>
              <w:top w:val="single" w:sz="4" w:space="0" w:color="auto"/>
              <w:left w:val="single" w:sz="4" w:space="0" w:color="auto"/>
              <w:bottom w:val="single" w:sz="4" w:space="0" w:color="auto"/>
              <w:right w:val="single" w:sz="4" w:space="0" w:color="auto"/>
            </w:tcBorders>
            <w:shd w:val="clear" w:color="auto" w:fill="auto"/>
            <w:vAlign w:val="center"/>
          </w:tcPr>
          <w:p w:rsidR="00ED702D" w:rsidRPr="00C0474D" w:rsidRDefault="00ED702D" w:rsidP="008E6D36">
            <w:pPr>
              <w:keepNext/>
              <w:keepLines/>
              <w:jc w:val="center"/>
              <w:rPr>
                <w:rFonts w:ascii="Arial Narrow" w:hAnsi="Arial Narrow"/>
                <w:sz w:val="20"/>
              </w:rPr>
            </w:pPr>
            <w:r w:rsidRPr="00C0474D">
              <w:rPr>
                <w:rFonts w:ascii="Arial Narrow" w:hAnsi="Arial Narrow"/>
                <w:sz w:val="20"/>
              </w:rPr>
              <w:t>$</w:t>
            </w:r>
            <w:r w:rsidR="00B33B3B">
              <w:rPr>
                <w:rFonts w:ascii="Arial Narrow" w:hAnsi="Arial Narrow"/>
                <w:noProof/>
                <w:color w:val="000000"/>
                <w:sz w:val="20"/>
                <w:highlight w:val="black"/>
              </w:rPr>
              <w:t>'''''''''''''''''''''''''</w:t>
            </w:r>
          </w:p>
        </w:tc>
      </w:tr>
      <w:tr w:rsidR="00ED702D" w:rsidRPr="00C0474D" w:rsidTr="00ED70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205" w:type="pct"/>
            <w:tcBorders>
              <w:top w:val="single" w:sz="4" w:space="0" w:color="auto"/>
              <w:left w:val="single" w:sz="4" w:space="0" w:color="auto"/>
              <w:bottom w:val="single" w:sz="4" w:space="0" w:color="auto"/>
              <w:right w:val="single" w:sz="4" w:space="0" w:color="auto"/>
            </w:tcBorders>
            <w:shd w:val="clear" w:color="auto" w:fill="auto"/>
            <w:vAlign w:val="bottom"/>
          </w:tcPr>
          <w:p w:rsidR="00ED702D" w:rsidRPr="00C0474D" w:rsidRDefault="00ED702D" w:rsidP="008E6D36">
            <w:pPr>
              <w:keepNext/>
              <w:keepLines/>
              <w:jc w:val="left"/>
              <w:rPr>
                <w:rFonts w:ascii="Arial Narrow" w:hAnsi="Arial Narrow"/>
                <w:sz w:val="20"/>
              </w:rPr>
            </w:pPr>
            <w:r w:rsidRPr="00C0474D">
              <w:rPr>
                <w:rFonts w:ascii="Arial Narrow" w:hAnsi="Arial Narrow"/>
                <w:sz w:val="20"/>
              </w:rPr>
              <w:t>Scripts per year</w:t>
            </w:r>
          </w:p>
        </w:tc>
        <w:tc>
          <w:tcPr>
            <w:tcW w:w="795" w:type="pct"/>
            <w:tcBorders>
              <w:top w:val="single" w:sz="4" w:space="0" w:color="auto"/>
              <w:left w:val="single" w:sz="4" w:space="0" w:color="auto"/>
              <w:bottom w:val="single" w:sz="4" w:space="0" w:color="auto"/>
              <w:right w:val="single" w:sz="4" w:space="0" w:color="auto"/>
            </w:tcBorders>
            <w:shd w:val="clear" w:color="auto" w:fill="auto"/>
            <w:vAlign w:val="center"/>
          </w:tcPr>
          <w:p w:rsidR="00ED702D" w:rsidRPr="00B33B3B" w:rsidRDefault="00B33B3B" w:rsidP="008E6D36">
            <w:pPr>
              <w:keepNext/>
              <w:keepLines/>
              <w:jc w:val="center"/>
              <w:rPr>
                <w:rFonts w:ascii="Arial Narrow" w:hAnsi="Arial Narrow"/>
                <w:sz w:val="20"/>
                <w:highlight w:val="black"/>
              </w:rPr>
            </w:pPr>
            <w:r>
              <w:rPr>
                <w:rFonts w:ascii="Arial Narrow" w:hAnsi="Arial Narrow"/>
                <w:noProof/>
                <w:color w:val="000000"/>
                <w:sz w:val="20"/>
                <w:highlight w:val="black"/>
              </w:rPr>
              <w:t>'''''''''''''</w:t>
            </w:r>
          </w:p>
        </w:tc>
      </w:tr>
      <w:tr w:rsidR="00ED702D" w:rsidRPr="00C0474D" w:rsidTr="00ED70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205" w:type="pct"/>
            <w:tcBorders>
              <w:top w:val="single" w:sz="4" w:space="0" w:color="auto"/>
              <w:left w:val="single" w:sz="4" w:space="0" w:color="auto"/>
              <w:bottom w:val="single" w:sz="4" w:space="0" w:color="auto"/>
              <w:right w:val="single" w:sz="4" w:space="0" w:color="auto"/>
            </w:tcBorders>
            <w:shd w:val="clear" w:color="auto" w:fill="auto"/>
            <w:vAlign w:val="bottom"/>
          </w:tcPr>
          <w:p w:rsidR="00ED702D" w:rsidRPr="00C0474D" w:rsidRDefault="00ED702D" w:rsidP="008E6D36">
            <w:pPr>
              <w:keepNext/>
              <w:keepLines/>
              <w:rPr>
                <w:rFonts w:ascii="Arial Narrow" w:hAnsi="Arial Narrow"/>
                <w:sz w:val="20"/>
              </w:rPr>
            </w:pPr>
            <w:r w:rsidRPr="00C0474D">
              <w:rPr>
                <w:rFonts w:ascii="Arial Narrow" w:hAnsi="Arial Narrow"/>
                <w:sz w:val="20"/>
              </w:rPr>
              <w:t>Drug acquisition costs (AEMP)</w:t>
            </w:r>
          </w:p>
        </w:tc>
        <w:tc>
          <w:tcPr>
            <w:tcW w:w="795" w:type="pct"/>
            <w:tcBorders>
              <w:top w:val="single" w:sz="4" w:space="0" w:color="auto"/>
              <w:left w:val="single" w:sz="4" w:space="0" w:color="auto"/>
              <w:bottom w:val="single" w:sz="4" w:space="0" w:color="auto"/>
              <w:right w:val="single" w:sz="4" w:space="0" w:color="auto"/>
            </w:tcBorders>
            <w:shd w:val="clear" w:color="auto" w:fill="auto"/>
            <w:vAlign w:val="center"/>
          </w:tcPr>
          <w:p w:rsidR="00ED702D" w:rsidRPr="00C0474D" w:rsidRDefault="00ED702D" w:rsidP="008E6D36">
            <w:pPr>
              <w:keepNext/>
              <w:keepLines/>
              <w:jc w:val="center"/>
              <w:rPr>
                <w:rFonts w:ascii="Arial Narrow" w:hAnsi="Arial Narrow"/>
                <w:sz w:val="20"/>
              </w:rPr>
            </w:pPr>
            <w:r w:rsidRPr="00C0474D">
              <w:rPr>
                <w:rFonts w:ascii="Arial Narrow" w:hAnsi="Arial Narrow"/>
                <w:sz w:val="20"/>
              </w:rPr>
              <w:t>$</w:t>
            </w:r>
            <w:r w:rsidR="00B33B3B">
              <w:rPr>
                <w:rFonts w:ascii="Arial Narrow" w:hAnsi="Arial Narrow"/>
                <w:noProof/>
                <w:color w:val="000000"/>
                <w:sz w:val="20"/>
                <w:highlight w:val="black"/>
              </w:rPr>
              <w:t>'''''''''''''''''''''</w:t>
            </w:r>
          </w:p>
        </w:tc>
      </w:tr>
      <w:tr w:rsidR="00ED702D" w:rsidRPr="00C0474D" w:rsidTr="00ED70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205" w:type="pct"/>
            <w:tcBorders>
              <w:top w:val="single" w:sz="4" w:space="0" w:color="auto"/>
              <w:left w:val="single" w:sz="4" w:space="0" w:color="auto"/>
              <w:bottom w:val="single" w:sz="4" w:space="0" w:color="auto"/>
              <w:right w:val="single" w:sz="4" w:space="0" w:color="auto"/>
            </w:tcBorders>
            <w:shd w:val="clear" w:color="auto" w:fill="auto"/>
            <w:vAlign w:val="bottom"/>
          </w:tcPr>
          <w:p w:rsidR="00ED702D" w:rsidRPr="00C0474D" w:rsidRDefault="00ED702D" w:rsidP="008E6D36">
            <w:pPr>
              <w:keepNext/>
              <w:keepLines/>
              <w:jc w:val="left"/>
              <w:rPr>
                <w:rFonts w:ascii="Arial Narrow" w:hAnsi="Arial Narrow"/>
                <w:sz w:val="20"/>
                <w:vertAlign w:val="superscript"/>
              </w:rPr>
            </w:pPr>
            <w:r w:rsidRPr="00C0474D">
              <w:rPr>
                <w:rFonts w:ascii="Arial Narrow" w:hAnsi="Arial Narrow"/>
                <w:sz w:val="20"/>
              </w:rPr>
              <w:t>Drug acquisition costs (DPMQ)</w:t>
            </w:r>
            <w:r w:rsidRPr="00C0474D">
              <w:rPr>
                <w:rFonts w:ascii="Arial Narrow" w:hAnsi="Arial Narrow"/>
                <w:sz w:val="20"/>
                <w:vertAlign w:val="superscript"/>
              </w:rPr>
              <w:t>a</w:t>
            </w:r>
          </w:p>
        </w:tc>
        <w:tc>
          <w:tcPr>
            <w:tcW w:w="795" w:type="pct"/>
            <w:tcBorders>
              <w:top w:val="single" w:sz="4" w:space="0" w:color="auto"/>
              <w:left w:val="single" w:sz="4" w:space="0" w:color="auto"/>
              <w:bottom w:val="single" w:sz="4" w:space="0" w:color="auto"/>
              <w:right w:val="single" w:sz="4" w:space="0" w:color="auto"/>
            </w:tcBorders>
            <w:shd w:val="clear" w:color="auto" w:fill="auto"/>
            <w:vAlign w:val="center"/>
          </w:tcPr>
          <w:p w:rsidR="00ED702D" w:rsidRPr="00C0474D" w:rsidRDefault="00ED702D" w:rsidP="008E6D36">
            <w:pPr>
              <w:keepNext/>
              <w:keepLines/>
              <w:jc w:val="center"/>
              <w:rPr>
                <w:rFonts w:ascii="Arial Narrow" w:hAnsi="Arial Narrow"/>
                <w:sz w:val="20"/>
              </w:rPr>
            </w:pPr>
            <w:r w:rsidRPr="00C0474D">
              <w:rPr>
                <w:rFonts w:ascii="Arial Narrow" w:hAnsi="Arial Narrow"/>
                <w:sz w:val="20"/>
              </w:rPr>
              <w:t>$</w:t>
            </w:r>
            <w:r w:rsidR="00B33B3B">
              <w:rPr>
                <w:rFonts w:ascii="Arial Narrow" w:hAnsi="Arial Narrow"/>
                <w:noProof/>
                <w:color w:val="000000"/>
                <w:sz w:val="20"/>
                <w:highlight w:val="black"/>
              </w:rPr>
              <w:t>'''''''''''''''''''''''</w:t>
            </w:r>
          </w:p>
        </w:tc>
      </w:tr>
    </w:tbl>
    <w:p w:rsidR="00ED702D" w:rsidRPr="00C0474D" w:rsidRDefault="00ED702D" w:rsidP="008E6D36">
      <w:pPr>
        <w:keepNext/>
        <w:keepLines/>
        <w:ind w:firstLine="720"/>
        <w:rPr>
          <w:rFonts w:ascii="Arial Narrow" w:hAnsi="Arial Narrow"/>
          <w:sz w:val="18"/>
          <w:szCs w:val="18"/>
        </w:rPr>
      </w:pPr>
      <w:r w:rsidRPr="00C0474D">
        <w:rPr>
          <w:rFonts w:ascii="Arial Narrow" w:hAnsi="Arial Narrow"/>
          <w:sz w:val="18"/>
          <w:szCs w:val="18"/>
        </w:rPr>
        <w:t>Abbreviations: AEMP, approved ex-manufacturer price; DPMQ, dispensed price per maximum quantity</w:t>
      </w:r>
    </w:p>
    <w:p w:rsidR="00ED702D" w:rsidRPr="00C0474D" w:rsidRDefault="00ED702D" w:rsidP="008E6D36">
      <w:pPr>
        <w:keepNext/>
        <w:keepLines/>
        <w:ind w:firstLine="720"/>
        <w:rPr>
          <w:rFonts w:ascii="Arial Narrow" w:hAnsi="Arial Narrow"/>
          <w:sz w:val="18"/>
          <w:szCs w:val="18"/>
        </w:rPr>
      </w:pPr>
      <w:r w:rsidRPr="00C0474D">
        <w:rPr>
          <w:rFonts w:ascii="Arial Narrow" w:hAnsi="Arial Narrow"/>
          <w:sz w:val="18"/>
          <w:szCs w:val="18"/>
        </w:rPr>
        <w:t>Source: Table D.2-3 (p 134) of the submission</w:t>
      </w:r>
    </w:p>
    <w:p w:rsidR="00ED702D" w:rsidRPr="00C0474D" w:rsidRDefault="00ED702D" w:rsidP="008E6D36">
      <w:pPr>
        <w:keepNext/>
        <w:keepLines/>
        <w:ind w:firstLine="720"/>
        <w:rPr>
          <w:rFonts w:ascii="Arial Narrow" w:hAnsi="Arial Narrow"/>
          <w:sz w:val="18"/>
          <w:szCs w:val="18"/>
        </w:rPr>
      </w:pPr>
      <w:r w:rsidRPr="00C0474D">
        <w:rPr>
          <w:rFonts w:ascii="Arial Narrow" w:hAnsi="Arial Narrow"/>
          <w:sz w:val="18"/>
          <w:szCs w:val="18"/>
          <w:vertAlign w:val="superscript"/>
        </w:rPr>
        <w:t xml:space="preserve">a </w:t>
      </w:r>
      <w:r w:rsidRPr="00C0474D">
        <w:rPr>
          <w:rFonts w:ascii="Arial Narrow" w:hAnsi="Arial Narrow"/>
          <w:sz w:val="18"/>
          <w:szCs w:val="18"/>
        </w:rPr>
        <w:t>Wholesaler mark-up $69.94, AHI fee $70.00 and dispensing fee $6.93</w:t>
      </w:r>
    </w:p>
    <w:p w:rsidR="00ED702D" w:rsidRPr="00C0474D" w:rsidRDefault="00ED702D" w:rsidP="00C013E3">
      <w:pPr>
        <w:pStyle w:val="ListParagraph"/>
        <w:widowControl/>
        <w:rPr>
          <w:szCs w:val="22"/>
        </w:rPr>
      </w:pPr>
    </w:p>
    <w:p w:rsidR="00CF616E" w:rsidRPr="00CA1C4F" w:rsidRDefault="00CF616E" w:rsidP="00CA1C4F">
      <w:pPr>
        <w:pStyle w:val="ListParagraph"/>
        <w:widowControl/>
        <w:numPr>
          <w:ilvl w:val="1"/>
          <w:numId w:val="9"/>
        </w:numPr>
        <w:ind w:left="709" w:hanging="709"/>
        <w:rPr>
          <w:szCs w:val="22"/>
        </w:rPr>
      </w:pPr>
      <w:r w:rsidRPr="00CA1C4F">
        <w:rPr>
          <w:szCs w:val="22"/>
        </w:rPr>
        <w:t xml:space="preserve">Based on </w:t>
      </w:r>
      <w:r w:rsidR="000A728A" w:rsidRPr="00CA1C4F">
        <w:rPr>
          <w:szCs w:val="22"/>
        </w:rPr>
        <w:t xml:space="preserve">the </w:t>
      </w:r>
      <w:r w:rsidR="00D32899" w:rsidRPr="00CA1C4F">
        <w:rPr>
          <w:szCs w:val="22"/>
        </w:rPr>
        <w:t xml:space="preserve">cost </w:t>
      </w:r>
      <w:r w:rsidRPr="00CA1C4F">
        <w:rPr>
          <w:szCs w:val="22"/>
        </w:rPr>
        <w:t>minimisation analysis</w:t>
      </w:r>
      <w:r w:rsidR="005844BA" w:rsidRPr="00CA1C4F">
        <w:rPr>
          <w:szCs w:val="22"/>
        </w:rPr>
        <w:t xml:space="preserve"> assuming monthly dosing of </w:t>
      </w:r>
      <w:proofErr w:type="spellStart"/>
      <w:r w:rsidR="005844BA" w:rsidRPr="00CA1C4F">
        <w:rPr>
          <w:szCs w:val="22"/>
        </w:rPr>
        <w:t>daclizumab</w:t>
      </w:r>
      <w:proofErr w:type="spellEnd"/>
      <w:r w:rsidRPr="00CA1C4F">
        <w:rPr>
          <w:szCs w:val="22"/>
        </w:rPr>
        <w:t xml:space="preserve">, the published DPMQ for </w:t>
      </w:r>
      <w:proofErr w:type="spellStart"/>
      <w:r w:rsidRPr="00CA1C4F">
        <w:rPr>
          <w:szCs w:val="22"/>
        </w:rPr>
        <w:t>daclizumab</w:t>
      </w:r>
      <w:proofErr w:type="spellEnd"/>
      <w:r w:rsidRPr="00CA1C4F">
        <w:rPr>
          <w:szCs w:val="22"/>
        </w:rPr>
        <w:t xml:space="preserve"> was $</w:t>
      </w:r>
      <w:r w:rsidR="00B33B3B" w:rsidRPr="00CA1C4F">
        <w:rPr>
          <w:noProof/>
          <w:color w:val="000000"/>
          <w:szCs w:val="22"/>
          <w:highlight w:val="black"/>
        </w:rPr>
        <w:t>'''''''''''''''''''</w:t>
      </w:r>
      <w:r w:rsidRPr="00CA1C4F">
        <w:rPr>
          <w:szCs w:val="22"/>
        </w:rPr>
        <w:t xml:space="preserve"> (</w:t>
      </w:r>
      <w:r w:rsidR="005844BA" w:rsidRPr="00CA1C4F">
        <w:rPr>
          <w:szCs w:val="22"/>
        </w:rPr>
        <w:t xml:space="preserve">the DPMQ calculated in the submission </w:t>
      </w:r>
      <w:r w:rsidRPr="00CA1C4F">
        <w:rPr>
          <w:szCs w:val="22"/>
        </w:rPr>
        <w:t>was $</w:t>
      </w:r>
      <w:r w:rsidR="00B33B3B" w:rsidRPr="00CA1C4F">
        <w:rPr>
          <w:noProof/>
          <w:color w:val="000000"/>
          <w:szCs w:val="22"/>
          <w:highlight w:val="black"/>
        </w:rPr>
        <w:t>''''''''''''''''''''</w:t>
      </w:r>
      <w:r w:rsidRPr="00CA1C4F">
        <w:rPr>
          <w:szCs w:val="22"/>
        </w:rPr>
        <w:t xml:space="preserve"> but </w:t>
      </w:r>
      <w:r w:rsidR="005844BA" w:rsidRPr="00CA1C4F">
        <w:rPr>
          <w:szCs w:val="22"/>
        </w:rPr>
        <w:t xml:space="preserve">this </w:t>
      </w:r>
      <w:r w:rsidRPr="00CA1C4F">
        <w:rPr>
          <w:szCs w:val="22"/>
        </w:rPr>
        <w:t>did not appropriate</w:t>
      </w:r>
      <w:r w:rsidR="000A728A" w:rsidRPr="00CA1C4F">
        <w:rPr>
          <w:szCs w:val="22"/>
        </w:rPr>
        <w:t>ly</w:t>
      </w:r>
      <w:r w:rsidRPr="00CA1C4F">
        <w:rPr>
          <w:szCs w:val="22"/>
        </w:rPr>
        <w:t xml:space="preserve"> account for ex-manufacturer prices).</w:t>
      </w:r>
      <w:r w:rsidR="00135E00" w:rsidRPr="00CA1C4F">
        <w:rPr>
          <w:szCs w:val="22"/>
        </w:rPr>
        <w:t xml:space="preserve"> </w:t>
      </w:r>
    </w:p>
    <w:p w:rsidR="00CF616E" w:rsidRPr="00C013E3" w:rsidRDefault="00CF616E" w:rsidP="00CA1C4F">
      <w:pPr>
        <w:pStyle w:val="ListParagraph"/>
        <w:widowControl/>
        <w:ind w:left="709" w:hanging="709"/>
        <w:rPr>
          <w:szCs w:val="22"/>
        </w:rPr>
      </w:pPr>
    </w:p>
    <w:p w:rsidR="00CF616E" w:rsidRPr="00C013E3" w:rsidRDefault="000A728A" w:rsidP="00CA1C4F">
      <w:pPr>
        <w:pStyle w:val="ListParagraph"/>
        <w:widowControl/>
        <w:numPr>
          <w:ilvl w:val="1"/>
          <w:numId w:val="9"/>
        </w:numPr>
        <w:ind w:left="709" w:hanging="709"/>
        <w:rPr>
          <w:szCs w:val="22"/>
        </w:rPr>
      </w:pPr>
      <w:r w:rsidRPr="00C013E3">
        <w:rPr>
          <w:szCs w:val="22"/>
        </w:rPr>
        <w:t>The claim of monthly versus</w:t>
      </w:r>
      <w:r w:rsidR="00CF616E" w:rsidRPr="00C013E3">
        <w:rPr>
          <w:szCs w:val="22"/>
        </w:rPr>
        <w:t xml:space="preserve"> once every four week</w:t>
      </w:r>
      <w:r w:rsidR="001B208F" w:rsidRPr="00C013E3">
        <w:rPr>
          <w:szCs w:val="22"/>
        </w:rPr>
        <w:t>s</w:t>
      </w:r>
      <w:r w:rsidR="00CF616E" w:rsidRPr="00C013E3">
        <w:rPr>
          <w:szCs w:val="22"/>
        </w:rPr>
        <w:t xml:space="preserve"> dosing with </w:t>
      </w:r>
      <w:proofErr w:type="spellStart"/>
      <w:r w:rsidR="00CF616E" w:rsidRPr="00C013E3">
        <w:rPr>
          <w:szCs w:val="22"/>
        </w:rPr>
        <w:t>daclizumab</w:t>
      </w:r>
      <w:proofErr w:type="spellEnd"/>
      <w:r w:rsidR="00CF616E" w:rsidRPr="00C013E3">
        <w:rPr>
          <w:szCs w:val="22"/>
        </w:rPr>
        <w:t xml:space="preserve"> had a substantial impact on pricing calculations as the submission assumed a difference in script duration between </w:t>
      </w:r>
      <w:proofErr w:type="spellStart"/>
      <w:r w:rsidR="00CF616E" w:rsidRPr="00C013E3">
        <w:rPr>
          <w:szCs w:val="22"/>
        </w:rPr>
        <w:t>daclizumab</w:t>
      </w:r>
      <w:proofErr w:type="spellEnd"/>
      <w:r w:rsidR="00CF616E" w:rsidRPr="00C013E3">
        <w:rPr>
          <w:szCs w:val="22"/>
        </w:rPr>
        <w:t xml:space="preserve"> (</w:t>
      </w:r>
      <w:r w:rsidR="00B33B3B">
        <w:rPr>
          <w:noProof/>
          <w:color w:val="000000"/>
          <w:szCs w:val="22"/>
          <w:highlight w:val="black"/>
        </w:rPr>
        <w:t>'''''''</w:t>
      </w:r>
      <w:r w:rsidR="00CF616E" w:rsidRPr="00C013E3">
        <w:rPr>
          <w:szCs w:val="22"/>
        </w:rPr>
        <w:t xml:space="preserve"> scripts per year) and </w:t>
      </w:r>
      <w:proofErr w:type="spellStart"/>
      <w:r w:rsidR="00CF616E" w:rsidRPr="00C013E3">
        <w:rPr>
          <w:szCs w:val="22"/>
        </w:rPr>
        <w:t>fingolimod</w:t>
      </w:r>
      <w:proofErr w:type="spellEnd"/>
      <w:r w:rsidR="00CF616E" w:rsidRPr="00C013E3">
        <w:rPr>
          <w:szCs w:val="22"/>
        </w:rPr>
        <w:t xml:space="preserve"> (28 days per pack, </w:t>
      </w:r>
      <w:r w:rsidR="00B33B3B">
        <w:rPr>
          <w:noProof/>
          <w:color w:val="000000"/>
          <w:szCs w:val="22"/>
          <w:highlight w:val="black"/>
        </w:rPr>
        <w:t>''''''</w:t>
      </w:r>
      <w:r w:rsidR="00CF616E" w:rsidRPr="00C013E3">
        <w:rPr>
          <w:szCs w:val="22"/>
        </w:rPr>
        <w:t xml:space="preserve"> scripts per year). Assuming no difference in script duration between treatments resulted in a published DPMQ of $</w:t>
      </w:r>
      <w:r w:rsidR="00B33B3B">
        <w:rPr>
          <w:noProof/>
          <w:color w:val="000000"/>
          <w:szCs w:val="22"/>
          <w:highlight w:val="black"/>
        </w:rPr>
        <w:t>'''''''''''''''''''</w:t>
      </w:r>
      <w:r w:rsidR="00CF616E" w:rsidRPr="00C013E3">
        <w:rPr>
          <w:szCs w:val="22"/>
        </w:rPr>
        <w:t xml:space="preserve"> for </w:t>
      </w:r>
      <w:proofErr w:type="spellStart"/>
      <w:r w:rsidR="00CF616E" w:rsidRPr="00C013E3">
        <w:rPr>
          <w:szCs w:val="22"/>
        </w:rPr>
        <w:t>daclizumab</w:t>
      </w:r>
      <w:proofErr w:type="spellEnd"/>
      <w:r w:rsidR="00CF616E" w:rsidRPr="00C013E3">
        <w:rPr>
          <w:szCs w:val="22"/>
        </w:rPr>
        <w:t>.</w:t>
      </w:r>
      <w:r w:rsidR="00B717C3" w:rsidRPr="00C013E3">
        <w:rPr>
          <w:szCs w:val="22"/>
        </w:rPr>
        <w:t xml:space="preserve"> The PBAC </w:t>
      </w:r>
      <w:r w:rsidR="00135E00" w:rsidRPr="00C013E3">
        <w:rPr>
          <w:szCs w:val="22"/>
        </w:rPr>
        <w:t>accepted that based on the clinical trial the most appropriate dosing regi</w:t>
      </w:r>
      <w:r w:rsidR="00083773" w:rsidRPr="00C013E3">
        <w:rPr>
          <w:szCs w:val="22"/>
        </w:rPr>
        <w:t xml:space="preserve">men for </w:t>
      </w:r>
      <w:proofErr w:type="spellStart"/>
      <w:r w:rsidR="00083773" w:rsidRPr="00C013E3">
        <w:rPr>
          <w:szCs w:val="22"/>
        </w:rPr>
        <w:t>daclizumab</w:t>
      </w:r>
      <w:proofErr w:type="spellEnd"/>
      <w:r w:rsidR="00083773" w:rsidRPr="00C013E3">
        <w:rPr>
          <w:szCs w:val="22"/>
        </w:rPr>
        <w:t xml:space="preserve"> was 4 weekly.</w:t>
      </w:r>
    </w:p>
    <w:p w:rsidR="00E6079D" w:rsidRPr="00C013E3" w:rsidRDefault="00E6079D" w:rsidP="00CA1C4F">
      <w:pPr>
        <w:pStyle w:val="ListParagraph"/>
        <w:widowControl/>
        <w:ind w:left="709" w:hanging="709"/>
        <w:rPr>
          <w:szCs w:val="22"/>
        </w:rPr>
      </w:pPr>
    </w:p>
    <w:p w:rsidR="00E6079D" w:rsidRPr="00C013E3" w:rsidRDefault="00E6079D" w:rsidP="00CA1C4F">
      <w:pPr>
        <w:pStyle w:val="ListParagraph"/>
        <w:widowControl/>
        <w:numPr>
          <w:ilvl w:val="1"/>
          <w:numId w:val="9"/>
        </w:numPr>
        <w:ind w:left="709" w:hanging="709"/>
        <w:rPr>
          <w:szCs w:val="22"/>
        </w:rPr>
      </w:pPr>
      <w:r w:rsidRPr="00C013E3">
        <w:rPr>
          <w:szCs w:val="22"/>
        </w:rPr>
        <w:t xml:space="preserve">The submission noted that the PBS listing of </w:t>
      </w:r>
      <w:proofErr w:type="spellStart"/>
      <w:r w:rsidRPr="00C013E3">
        <w:rPr>
          <w:szCs w:val="22"/>
        </w:rPr>
        <w:t>fingolimod</w:t>
      </w:r>
      <w:proofErr w:type="spellEnd"/>
      <w:r w:rsidRPr="00C013E3">
        <w:rPr>
          <w:szCs w:val="22"/>
        </w:rPr>
        <w:t xml:space="preserve"> is subject to a special pricing arrangement and that published prices do not reflect the effective price subsidised by </w:t>
      </w:r>
      <w:r w:rsidR="000A728A" w:rsidRPr="00C013E3">
        <w:rPr>
          <w:szCs w:val="22"/>
        </w:rPr>
        <w:t xml:space="preserve">the </w:t>
      </w:r>
      <w:r w:rsidRPr="00C013E3">
        <w:rPr>
          <w:szCs w:val="22"/>
        </w:rPr>
        <w:t xml:space="preserve">government. The submission requested that </w:t>
      </w:r>
      <w:proofErr w:type="spellStart"/>
      <w:r w:rsidRPr="00C013E3">
        <w:rPr>
          <w:szCs w:val="22"/>
        </w:rPr>
        <w:t>daclizumab</w:t>
      </w:r>
      <w:proofErr w:type="spellEnd"/>
      <w:r w:rsidRPr="00C013E3">
        <w:rPr>
          <w:szCs w:val="22"/>
        </w:rPr>
        <w:t xml:space="preserve"> have a similar special pricing arrangement to </w:t>
      </w:r>
      <w:proofErr w:type="spellStart"/>
      <w:r w:rsidRPr="00C013E3">
        <w:rPr>
          <w:szCs w:val="22"/>
        </w:rPr>
        <w:t>fingolimod</w:t>
      </w:r>
      <w:proofErr w:type="spellEnd"/>
      <w:r w:rsidRPr="00C013E3">
        <w:rPr>
          <w:szCs w:val="22"/>
        </w:rPr>
        <w:t xml:space="preserve"> (i.e. cost minimised effective price adjusted for differences in monitoring costs).</w:t>
      </w:r>
    </w:p>
    <w:p w:rsidR="00C25D9C" w:rsidRPr="00C0474D" w:rsidRDefault="00C25D9C" w:rsidP="00C013E3">
      <w:pPr>
        <w:pStyle w:val="ListParagraph"/>
        <w:widowControl/>
        <w:rPr>
          <w:szCs w:val="22"/>
        </w:rPr>
      </w:pPr>
    </w:p>
    <w:p w:rsidR="00C50769" w:rsidRPr="00CA1C4F" w:rsidRDefault="00C50769" w:rsidP="00CA1C4F">
      <w:pPr>
        <w:pStyle w:val="ListParagraph"/>
        <w:widowControl/>
        <w:numPr>
          <w:ilvl w:val="1"/>
          <w:numId w:val="9"/>
        </w:numPr>
        <w:ind w:left="720" w:hanging="720"/>
      </w:pPr>
      <w:r w:rsidRPr="00CA1C4F">
        <w:t xml:space="preserve">The ESC noted that </w:t>
      </w:r>
      <w:proofErr w:type="spellStart"/>
      <w:r w:rsidRPr="00CA1C4F">
        <w:t>fingolimod</w:t>
      </w:r>
      <w:proofErr w:type="spellEnd"/>
      <w:r w:rsidRPr="00CA1C4F">
        <w:t xml:space="preserve"> is not the least expensive alternative therapy. The ESC further noted that the PBAC could only recommend a higher price for </w:t>
      </w:r>
      <w:proofErr w:type="spellStart"/>
      <w:r w:rsidRPr="00CA1C4F">
        <w:t>daclizumab</w:t>
      </w:r>
      <w:proofErr w:type="spellEnd"/>
      <w:r w:rsidRPr="00CA1C4F">
        <w:t xml:space="preserve"> if it is satisfied that it provides, for some patients, a significant improvement in efficacy or reduction of toxicity over the alternative therapy</w:t>
      </w:r>
      <w:r w:rsidR="00B15FAE" w:rsidRPr="00CA1C4F">
        <w:t xml:space="preserve"> or therapies</w:t>
      </w:r>
      <w:r w:rsidRPr="00CA1C4F">
        <w:t>. The</w:t>
      </w:r>
      <w:r w:rsidR="00135E00" w:rsidRPr="00CA1C4F">
        <w:t xml:space="preserve"> PBAC noted the ESC advice and </w:t>
      </w:r>
      <w:r w:rsidR="008F7060" w:rsidRPr="00CA1C4F">
        <w:t xml:space="preserve">considered </w:t>
      </w:r>
      <w:r w:rsidR="00135E00" w:rsidRPr="00CA1C4F">
        <w:t>that the</w:t>
      </w:r>
      <w:r w:rsidRPr="00CA1C4F">
        <w:t xml:space="preserve"> alternative therap</w:t>
      </w:r>
      <w:r w:rsidR="005844BA" w:rsidRPr="00CA1C4F">
        <w:t>ies include ABCR therapies</w:t>
      </w:r>
      <w:r w:rsidR="002D35BA" w:rsidRPr="00CA1C4F">
        <w:t>.</w:t>
      </w:r>
    </w:p>
    <w:p w:rsidR="00C50769" w:rsidRDefault="00C50769" w:rsidP="00B33B3B">
      <w:pPr>
        <w:pStyle w:val="PBACHeading1"/>
      </w:pPr>
    </w:p>
    <w:p w:rsidR="00C50769" w:rsidRPr="00C0474D" w:rsidRDefault="00C50769" w:rsidP="00D44DDE">
      <w:pPr>
        <w:pStyle w:val="Heading2"/>
      </w:pPr>
      <w:bookmarkStart w:id="13" w:name="_Toc450127250"/>
      <w:r w:rsidRPr="00D44DDE">
        <w:t>Drug cost/patient/year:</w:t>
      </w:r>
      <w:bookmarkEnd w:id="13"/>
      <w:r w:rsidR="00910E91">
        <w:t xml:space="preserve"> $</w:t>
      </w:r>
      <w:r w:rsidR="00B33B3B">
        <w:rPr>
          <w:noProof/>
          <w:color w:val="000000"/>
          <w:highlight w:val="black"/>
        </w:rPr>
        <w:t>'''''''''''''''</w:t>
      </w:r>
      <w:r w:rsidR="008F7060">
        <w:t xml:space="preserve"> (proposed published price)</w:t>
      </w:r>
    </w:p>
    <w:p w:rsidR="00C50769" w:rsidRDefault="00C50769" w:rsidP="00B33B3B">
      <w:pPr>
        <w:pStyle w:val="PBACHeading1"/>
        <w:ind w:left="720"/>
      </w:pPr>
    </w:p>
    <w:p w:rsidR="00E6079D" w:rsidRDefault="00C50769" w:rsidP="00CA1C4F">
      <w:pPr>
        <w:pStyle w:val="ListParagraph"/>
        <w:widowControl/>
        <w:numPr>
          <w:ilvl w:val="1"/>
          <w:numId w:val="9"/>
        </w:numPr>
        <w:ind w:left="709" w:hanging="709"/>
        <w:rPr>
          <w:szCs w:val="22"/>
        </w:rPr>
      </w:pPr>
      <w:r>
        <w:rPr>
          <w:szCs w:val="22"/>
        </w:rPr>
        <w:t>The</w:t>
      </w:r>
      <w:r w:rsidR="00E6079D" w:rsidRPr="00C0474D">
        <w:rPr>
          <w:szCs w:val="22"/>
        </w:rPr>
        <w:t xml:space="preserve"> estimated annual cost of </w:t>
      </w:r>
      <w:proofErr w:type="spellStart"/>
      <w:r w:rsidR="00E6079D" w:rsidRPr="00C0474D">
        <w:rPr>
          <w:szCs w:val="22"/>
        </w:rPr>
        <w:t>daclizumab</w:t>
      </w:r>
      <w:proofErr w:type="spellEnd"/>
      <w:r w:rsidR="00E6079D" w:rsidRPr="00C0474D">
        <w:rPr>
          <w:szCs w:val="22"/>
        </w:rPr>
        <w:t xml:space="preserve"> using the proposed p</w:t>
      </w:r>
      <w:r w:rsidR="000A728A" w:rsidRPr="00C0474D">
        <w:rPr>
          <w:szCs w:val="22"/>
        </w:rPr>
        <w:t>ublished DPMQ is</w:t>
      </w:r>
      <w:r w:rsidR="00E6079D" w:rsidRPr="00C0474D">
        <w:rPr>
          <w:szCs w:val="22"/>
        </w:rPr>
        <w:t xml:space="preserve"> </w:t>
      </w:r>
      <w:r w:rsidR="00C013E3" w:rsidRPr="00C0474D">
        <w:rPr>
          <w:szCs w:val="22"/>
        </w:rPr>
        <w:t xml:space="preserve">DPMQ was </w:t>
      </w:r>
      <w:r w:rsidR="00E6079D" w:rsidRPr="00C0474D">
        <w:rPr>
          <w:szCs w:val="22"/>
        </w:rPr>
        <w:t>$</w:t>
      </w:r>
      <w:r w:rsidR="00B33B3B">
        <w:rPr>
          <w:noProof/>
          <w:color w:val="000000"/>
          <w:szCs w:val="22"/>
          <w:highlight w:val="black"/>
        </w:rPr>
        <w:t>'''''''''''''''</w:t>
      </w:r>
      <w:r w:rsidR="00E6079D" w:rsidRPr="00C0474D">
        <w:rPr>
          <w:szCs w:val="22"/>
        </w:rPr>
        <w:t xml:space="preserve"> (</w:t>
      </w:r>
      <w:r w:rsidR="00B33B3B">
        <w:rPr>
          <w:noProof/>
          <w:color w:val="000000"/>
          <w:szCs w:val="22"/>
          <w:highlight w:val="black"/>
        </w:rPr>
        <w:t>''''''</w:t>
      </w:r>
      <w:r w:rsidR="00E6079D" w:rsidRPr="00C0474D">
        <w:rPr>
          <w:szCs w:val="22"/>
        </w:rPr>
        <w:t xml:space="preserve"> scripts per year</w:t>
      </w:r>
      <w:r w:rsidR="001B208F" w:rsidRPr="00C0474D">
        <w:rPr>
          <w:szCs w:val="22"/>
        </w:rPr>
        <w:t>; $</w:t>
      </w:r>
      <w:r w:rsidR="00B33B3B">
        <w:rPr>
          <w:noProof/>
          <w:color w:val="000000"/>
          <w:szCs w:val="22"/>
          <w:highlight w:val="black"/>
        </w:rPr>
        <w:t>'''''''''''''''''''</w:t>
      </w:r>
      <w:r w:rsidR="001B208F" w:rsidRPr="00C0474D">
        <w:rPr>
          <w:szCs w:val="22"/>
        </w:rPr>
        <w:t xml:space="preserve"> per script</w:t>
      </w:r>
      <w:r w:rsidR="00E6079D" w:rsidRPr="00C0474D">
        <w:rPr>
          <w:szCs w:val="22"/>
        </w:rPr>
        <w:t>)</w:t>
      </w:r>
      <w:r w:rsidR="001B208F" w:rsidRPr="00C0474D">
        <w:rPr>
          <w:szCs w:val="22"/>
        </w:rPr>
        <w:t>.</w:t>
      </w:r>
    </w:p>
    <w:p w:rsidR="00C013E3" w:rsidRPr="008E6D36" w:rsidRDefault="00C013E3" w:rsidP="00C013E3">
      <w:pPr>
        <w:pStyle w:val="ListParagraph"/>
        <w:widowControl/>
        <w:rPr>
          <w:szCs w:val="22"/>
        </w:rPr>
      </w:pPr>
    </w:p>
    <w:p w:rsidR="00135E00" w:rsidRPr="00135E00" w:rsidRDefault="00E6079D" w:rsidP="00CA1C4F">
      <w:pPr>
        <w:pStyle w:val="ListParagraph"/>
        <w:widowControl/>
        <w:numPr>
          <w:ilvl w:val="1"/>
          <w:numId w:val="9"/>
        </w:numPr>
        <w:ind w:left="709" w:hanging="709"/>
        <w:rPr>
          <w:szCs w:val="22"/>
        </w:rPr>
      </w:pPr>
      <w:r w:rsidRPr="00C0474D">
        <w:rPr>
          <w:szCs w:val="22"/>
        </w:rPr>
        <w:t xml:space="preserve">The estimated annual cost of </w:t>
      </w:r>
      <w:proofErr w:type="spellStart"/>
      <w:r w:rsidRPr="00C0474D">
        <w:rPr>
          <w:szCs w:val="22"/>
        </w:rPr>
        <w:t>fingolimod</w:t>
      </w:r>
      <w:proofErr w:type="spellEnd"/>
      <w:r w:rsidRPr="00C0474D">
        <w:rPr>
          <w:szCs w:val="22"/>
        </w:rPr>
        <w:t xml:space="preserve"> using the current published DPMQ was $</w:t>
      </w:r>
      <w:r w:rsidR="00B33B3B">
        <w:rPr>
          <w:noProof/>
          <w:color w:val="000000"/>
          <w:szCs w:val="22"/>
          <w:highlight w:val="black"/>
        </w:rPr>
        <w:t>''''''''''''''''''</w:t>
      </w:r>
      <w:r w:rsidRPr="00C0474D">
        <w:rPr>
          <w:szCs w:val="22"/>
        </w:rPr>
        <w:t xml:space="preserve"> (</w:t>
      </w:r>
      <w:r w:rsidR="00B33B3B">
        <w:rPr>
          <w:noProof/>
          <w:color w:val="000000"/>
          <w:szCs w:val="22"/>
          <w:highlight w:val="black"/>
        </w:rPr>
        <w:t>''''''</w:t>
      </w:r>
      <w:r w:rsidRPr="0004221E">
        <w:rPr>
          <w:szCs w:val="22"/>
        </w:rPr>
        <w:t xml:space="preserve"> </w:t>
      </w:r>
      <w:r w:rsidRPr="00C0474D">
        <w:rPr>
          <w:szCs w:val="22"/>
        </w:rPr>
        <w:t>scripts per year</w:t>
      </w:r>
      <w:r w:rsidR="001B208F" w:rsidRPr="00C0474D">
        <w:rPr>
          <w:szCs w:val="22"/>
        </w:rPr>
        <w:t>; $</w:t>
      </w:r>
      <w:r w:rsidR="001B208F" w:rsidRPr="0004221E">
        <w:rPr>
          <w:szCs w:val="22"/>
        </w:rPr>
        <w:t>2,313.49</w:t>
      </w:r>
      <w:r w:rsidR="001B208F" w:rsidRPr="00C0474D">
        <w:rPr>
          <w:szCs w:val="22"/>
        </w:rPr>
        <w:t xml:space="preserve"> per script</w:t>
      </w:r>
      <w:r w:rsidRPr="00C0474D">
        <w:rPr>
          <w:szCs w:val="22"/>
        </w:rPr>
        <w:t>).</w:t>
      </w:r>
    </w:p>
    <w:p w:rsidR="00B60939" w:rsidRPr="00C0474D" w:rsidRDefault="00B60939" w:rsidP="001456B0">
      <w:pPr>
        <w:rPr>
          <w:szCs w:val="22"/>
        </w:rPr>
      </w:pPr>
    </w:p>
    <w:p w:rsidR="00B60939" w:rsidRPr="00C0474D" w:rsidRDefault="00B60939" w:rsidP="00D44DDE">
      <w:pPr>
        <w:pStyle w:val="Heading2"/>
      </w:pPr>
      <w:bookmarkStart w:id="14" w:name="_Toc450127251"/>
      <w:r w:rsidRPr="00C0474D">
        <w:t>Estimated PBS usage &amp; financial implications</w:t>
      </w:r>
      <w:bookmarkEnd w:id="14"/>
    </w:p>
    <w:p w:rsidR="00B60939" w:rsidRPr="00C0474D" w:rsidRDefault="00B60939" w:rsidP="00B60939">
      <w:pPr>
        <w:ind w:left="720" w:hanging="720"/>
        <w:rPr>
          <w:b/>
          <w:szCs w:val="22"/>
        </w:rPr>
      </w:pPr>
    </w:p>
    <w:p w:rsidR="00CA1C4F" w:rsidRPr="00CA1C4F" w:rsidRDefault="000A728A" w:rsidP="00CA1C4F">
      <w:pPr>
        <w:pStyle w:val="ListParagraph"/>
        <w:widowControl/>
        <w:numPr>
          <w:ilvl w:val="1"/>
          <w:numId w:val="9"/>
        </w:numPr>
        <w:ind w:left="709" w:hanging="709"/>
        <w:rPr>
          <w:szCs w:val="22"/>
        </w:rPr>
      </w:pPr>
      <w:r w:rsidRPr="00C0474D">
        <w:t>This submission was</w:t>
      </w:r>
      <w:r w:rsidR="003640D5" w:rsidRPr="00C0474D">
        <w:t xml:space="preserve"> not</w:t>
      </w:r>
      <w:r w:rsidR="00C25D9C" w:rsidRPr="00C0474D">
        <w:t xml:space="preserve"> considered by DUSC</w:t>
      </w:r>
      <w:r w:rsidR="00C25D9C" w:rsidRPr="004B5087">
        <w:rPr>
          <w:color w:val="0070C0"/>
        </w:rPr>
        <w:t>.</w:t>
      </w:r>
    </w:p>
    <w:p w:rsidR="003640D5" w:rsidRPr="004B5087" w:rsidRDefault="00C25D9C" w:rsidP="00CA1C4F">
      <w:pPr>
        <w:pStyle w:val="ListParagraph"/>
        <w:widowControl/>
        <w:ind w:left="709"/>
        <w:rPr>
          <w:szCs w:val="22"/>
        </w:rPr>
      </w:pPr>
      <w:r w:rsidRPr="004B5087">
        <w:rPr>
          <w:color w:val="0070C0"/>
        </w:rPr>
        <w:t xml:space="preserve">  </w:t>
      </w:r>
    </w:p>
    <w:p w:rsidR="003640D5" w:rsidRPr="00C0474D" w:rsidRDefault="003640D5" w:rsidP="00CA1C4F">
      <w:pPr>
        <w:pStyle w:val="ListParagraph"/>
        <w:widowControl/>
        <w:numPr>
          <w:ilvl w:val="1"/>
          <w:numId w:val="9"/>
        </w:numPr>
        <w:ind w:left="709" w:hanging="709"/>
      </w:pPr>
      <w:r w:rsidRPr="00C0474D">
        <w:rPr>
          <w:szCs w:val="22"/>
        </w:rPr>
        <w:t>The submission used a market share</w:t>
      </w:r>
      <w:r w:rsidR="001B208F" w:rsidRPr="00C0474D">
        <w:rPr>
          <w:szCs w:val="22"/>
        </w:rPr>
        <w:t xml:space="preserve"> approach</w:t>
      </w:r>
      <w:r w:rsidRPr="00C0474D">
        <w:rPr>
          <w:szCs w:val="22"/>
        </w:rPr>
        <w:t xml:space="preserve"> to estimate the utilisation/financial implications associated with the PBS listing of </w:t>
      </w:r>
      <w:proofErr w:type="spellStart"/>
      <w:r w:rsidRPr="00C0474D">
        <w:rPr>
          <w:szCs w:val="22"/>
        </w:rPr>
        <w:t>daclizumab</w:t>
      </w:r>
      <w:proofErr w:type="spellEnd"/>
      <w:r w:rsidRPr="00C0474D">
        <w:rPr>
          <w:szCs w:val="22"/>
        </w:rPr>
        <w:t>.</w:t>
      </w:r>
    </w:p>
    <w:p w:rsidR="003640D5" w:rsidRPr="004461A1" w:rsidRDefault="003640D5" w:rsidP="003640D5">
      <w:pPr>
        <w:widowControl/>
      </w:pPr>
    </w:p>
    <w:p w:rsidR="003640D5" w:rsidRPr="00C0474D" w:rsidRDefault="003640D5" w:rsidP="003640D5">
      <w:pPr>
        <w:ind w:firstLine="720"/>
        <w:rPr>
          <w:rFonts w:ascii="Arial Narrow" w:hAnsi="Arial Narrow"/>
          <w:b/>
          <w:sz w:val="20"/>
        </w:rPr>
      </w:pPr>
      <w:r w:rsidRPr="00C0474D">
        <w:rPr>
          <w:rFonts w:ascii="Arial Narrow" w:hAnsi="Arial Narrow"/>
          <w:b/>
          <w:sz w:val="20"/>
        </w:rPr>
        <w:t xml:space="preserve">Table 6: Estimated utilisation and cost to the PBS in the first five years of listing </w:t>
      </w:r>
    </w:p>
    <w:tbl>
      <w:tblPr>
        <w:tblW w:w="4516" w:type="pct"/>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5"/>
        <w:gridCol w:w="1192"/>
        <w:gridCol w:w="1192"/>
        <w:gridCol w:w="1194"/>
        <w:gridCol w:w="1192"/>
        <w:gridCol w:w="1192"/>
      </w:tblGrid>
      <w:tr w:rsidR="003640D5" w:rsidRPr="00C0474D" w:rsidTr="003640D5">
        <w:trPr>
          <w:tblHeader/>
        </w:trPr>
        <w:tc>
          <w:tcPr>
            <w:tcW w:w="1429" w:type="pct"/>
            <w:tcBorders>
              <w:left w:val="single" w:sz="4" w:space="0" w:color="auto"/>
              <w:bottom w:val="single" w:sz="4" w:space="0" w:color="auto"/>
            </w:tcBorders>
            <w:shd w:val="clear" w:color="auto" w:fill="auto"/>
            <w:vAlign w:val="bottom"/>
            <w:hideMark/>
          </w:tcPr>
          <w:p w:rsidR="003640D5" w:rsidRPr="00C0474D" w:rsidRDefault="003640D5" w:rsidP="009A045B">
            <w:pPr>
              <w:rPr>
                <w:rFonts w:ascii="Arial Narrow" w:hAnsi="Arial Narrow"/>
                <w:sz w:val="20"/>
                <w:lang w:eastAsia="en-AU"/>
              </w:rPr>
            </w:pPr>
          </w:p>
        </w:tc>
        <w:tc>
          <w:tcPr>
            <w:tcW w:w="714" w:type="pct"/>
            <w:tcBorders>
              <w:bottom w:val="single" w:sz="4" w:space="0" w:color="auto"/>
            </w:tcBorders>
            <w:shd w:val="clear" w:color="auto" w:fill="auto"/>
            <w:vAlign w:val="bottom"/>
            <w:hideMark/>
          </w:tcPr>
          <w:p w:rsidR="003640D5" w:rsidRPr="00C0474D" w:rsidRDefault="003640D5" w:rsidP="009A045B">
            <w:pPr>
              <w:jc w:val="center"/>
              <w:rPr>
                <w:rFonts w:ascii="Arial Narrow" w:hAnsi="Arial Narrow"/>
                <w:b/>
                <w:bCs/>
                <w:sz w:val="20"/>
                <w:lang w:eastAsia="en-AU"/>
              </w:rPr>
            </w:pPr>
            <w:r w:rsidRPr="00C0474D">
              <w:rPr>
                <w:rFonts w:ascii="Arial Narrow" w:hAnsi="Arial Narrow"/>
                <w:b/>
                <w:bCs/>
                <w:sz w:val="20"/>
                <w:lang w:eastAsia="en-AU"/>
              </w:rPr>
              <w:t>Year 1</w:t>
            </w:r>
          </w:p>
          <w:p w:rsidR="003640D5" w:rsidRPr="00C0474D" w:rsidRDefault="003640D5" w:rsidP="009A045B">
            <w:pPr>
              <w:jc w:val="center"/>
              <w:rPr>
                <w:rFonts w:ascii="Arial Narrow" w:hAnsi="Arial Narrow"/>
                <w:b/>
                <w:bCs/>
                <w:sz w:val="20"/>
                <w:lang w:eastAsia="en-AU"/>
              </w:rPr>
            </w:pPr>
            <w:r w:rsidRPr="00C0474D">
              <w:rPr>
                <w:rFonts w:ascii="Arial Narrow" w:hAnsi="Arial Narrow"/>
                <w:b/>
                <w:bCs/>
                <w:sz w:val="20"/>
                <w:lang w:eastAsia="en-AU"/>
              </w:rPr>
              <w:t>(2017)</w:t>
            </w:r>
          </w:p>
        </w:tc>
        <w:tc>
          <w:tcPr>
            <w:tcW w:w="714" w:type="pct"/>
            <w:tcBorders>
              <w:bottom w:val="single" w:sz="4" w:space="0" w:color="auto"/>
            </w:tcBorders>
            <w:shd w:val="clear" w:color="auto" w:fill="auto"/>
            <w:vAlign w:val="bottom"/>
            <w:hideMark/>
          </w:tcPr>
          <w:p w:rsidR="003640D5" w:rsidRPr="00C0474D" w:rsidRDefault="003640D5" w:rsidP="009A045B">
            <w:pPr>
              <w:jc w:val="center"/>
              <w:rPr>
                <w:rFonts w:ascii="Arial Narrow" w:hAnsi="Arial Narrow"/>
                <w:b/>
                <w:bCs/>
                <w:sz w:val="20"/>
                <w:lang w:eastAsia="en-AU"/>
              </w:rPr>
            </w:pPr>
            <w:r w:rsidRPr="00C0474D">
              <w:rPr>
                <w:rFonts w:ascii="Arial Narrow" w:hAnsi="Arial Narrow"/>
                <w:b/>
                <w:bCs/>
                <w:sz w:val="20"/>
                <w:lang w:eastAsia="en-AU"/>
              </w:rPr>
              <w:t>Year 2</w:t>
            </w:r>
          </w:p>
          <w:p w:rsidR="003640D5" w:rsidRPr="00C0474D" w:rsidRDefault="003640D5" w:rsidP="009A045B">
            <w:pPr>
              <w:jc w:val="center"/>
              <w:rPr>
                <w:rFonts w:ascii="Arial Narrow" w:hAnsi="Arial Narrow"/>
                <w:b/>
                <w:bCs/>
                <w:sz w:val="20"/>
                <w:lang w:eastAsia="en-AU"/>
              </w:rPr>
            </w:pPr>
            <w:r w:rsidRPr="00C0474D">
              <w:rPr>
                <w:rFonts w:ascii="Arial Narrow" w:hAnsi="Arial Narrow"/>
                <w:b/>
                <w:bCs/>
                <w:sz w:val="20"/>
                <w:lang w:eastAsia="en-AU"/>
              </w:rPr>
              <w:t>(2018)</w:t>
            </w:r>
          </w:p>
        </w:tc>
        <w:tc>
          <w:tcPr>
            <w:tcW w:w="715" w:type="pct"/>
            <w:tcBorders>
              <w:bottom w:val="single" w:sz="4" w:space="0" w:color="auto"/>
            </w:tcBorders>
            <w:shd w:val="clear" w:color="auto" w:fill="auto"/>
            <w:vAlign w:val="bottom"/>
            <w:hideMark/>
          </w:tcPr>
          <w:p w:rsidR="003640D5" w:rsidRPr="00C0474D" w:rsidRDefault="003640D5" w:rsidP="009A045B">
            <w:pPr>
              <w:jc w:val="center"/>
              <w:rPr>
                <w:rFonts w:ascii="Arial Narrow" w:hAnsi="Arial Narrow"/>
                <w:b/>
                <w:bCs/>
                <w:sz w:val="20"/>
                <w:lang w:eastAsia="en-AU"/>
              </w:rPr>
            </w:pPr>
            <w:r w:rsidRPr="00C0474D">
              <w:rPr>
                <w:rFonts w:ascii="Arial Narrow" w:hAnsi="Arial Narrow"/>
                <w:b/>
                <w:bCs/>
                <w:sz w:val="20"/>
                <w:lang w:eastAsia="en-AU"/>
              </w:rPr>
              <w:t>Year 3</w:t>
            </w:r>
          </w:p>
          <w:p w:rsidR="003640D5" w:rsidRPr="00C0474D" w:rsidRDefault="003640D5" w:rsidP="009A045B">
            <w:pPr>
              <w:jc w:val="center"/>
              <w:rPr>
                <w:rFonts w:ascii="Arial Narrow" w:hAnsi="Arial Narrow"/>
                <w:b/>
                <w:bCs/>
                <w:sz w:val="20"/>
                <w:lang w:eastAsia="en-AU"/>
              </w:rPr>
            </w:pPr>
            <w:r w:rsidRPr="00C0474D">
              <w:rPr>
                <w:rFonts w:ascii="Arial Narrow" w:hAnsi="Arial Narrow"/>
                <w:b/>
                <w:bCs/>
                <w:sz w:val="20"/>
                <w:lang w:eastAsia="en-AU"/>
              </w:rPr>
              <w:t>(2019)</w:t>
            </w:r>
          </w:p>
        </w:tc>
        <w:tc>
          <w:tcPr>
            <w:tcW w:w="714" w:type="pct"/>
            <w:tcBorders>
              <w:bottom w:val="single" w:sz="4" w:space="0" w:color="auto"/>
            </w:tcBorders>
            <w:shd w:val="clear" w:color="auto" w:fill="auto"/>
            <w:vAlign w:val="bottom"/>
            <w:hideMark/>
          </w:tcPr>
          <w:p w:rsidR="003640D5" w:rsidRPr="00C0474D" w:rsidRDefault="003640D5" w:rsidP="009A045B">
            <w:pPr>
              <w:jc w:val="center"/>
              <w:rPr>
                <w:rFonts w:ascii="Arial Narrow" w:hAnsi="Arial Narrow"/>
                <w:b/>
                <w:bCs/>
                <w:sz w:val="20"/>
                <w:lang w:eastAsia="en-AU"/>
              </w:rPr>
            </w:pPr>
            <w:r w:rsidRPr="00C0474D">
              <w:rPr>
                <w:rFonts w:ascii="Arial Narrow" w:hAnsi="Arial Narrow"/>
                <w:b/>
                <w:bCs/>
                <w:sz w:val="20"/>
                <w:lang w:eastAsia="en-AU"/>
              </w:rPr>
              <w:t>Year 4</w:t>
            </w:r>
          </w:p>
          <w:p w:rsidR="003640D5" w:rsidRPr="00C0474D" w:rsidRDefault="003640D5" w:rsidP="009A045B">
            <w:pPr>
              <w:jc w:val="center"/>
              <w:rPr>
                <w:rFonts w:ascii="Arial Narrow" w:hAnsi="Arial Narrow"/>
                <w:b/>
                <w:bCs/>
                <w:sz w:val="20"/>
                <w:lang w:eastAsia="en-AU"/>
              </w:rPr>
            </w:pPr>
            <w:r w:rsidRPr="00C0474D">
              <w:rPr>
                <w:rFonts w:ascii="Arial Narrow" w:hAnsi="Arial Narrow"/>
                <w:b/>
                <w:bCs/>
                <w:sz w:val="20"/>
                <w:lang w:eastAsia="en-AU"/>
              </w:rPr>
              <w:t>(2020)</w:t>
            </w:r>
          </w:p>
        </w:tc>
        <w:tc>
          <w:tcPr>
            <w:tcW w:w="714" w:type="pct"/>
            <w:tcBorders>
              <w:bottom w:val="single" w:sz="4" w:space="0" w:color="auto"/>
              <w:right w:val="single" w:sz="4" w:space="0" w:color="auto"/>
            </w:tcBorders>
            <w:shd w:val="clear" w:color="auto" w:fill="auto"/>
            <w:vAlign w:val="bottom"/>
            <w:hideMark/>
          </w:tcPr>
          <w:p w:rsidR="003640D5" w:rsidRPr="00C0474D" w:rsidRDefault="003640D5" w:rsidP="009A045B">
            <w:pPr>
              <w:jc w:val="center"/>
              <w:rPr>
                <w:rFonts w:ascii="Arial Narrow" w:hAnsi="Arial Narrow"/>
                <w:b/>
                <w:bCs/>
                <w:sz w:val="20"/>
                <w:lang w:eastAsia="en-AU"/>
              </w:rPr>
            </w:pPr>
            <w:r w:rsidRPr="00C0474D">
              <w:rPr>
                <w:rFonts w:ascii="Arial Narrow" w:hAnsi="Arial Narrow"/>
                <w:b/>
                <w:bCs/>
                <w:sz w:val="20"/>
                <w:lang w:eastAsia="en-AU"/>
              </w:rPr>
              <w:t>Year 5</w:t>
            </w:r>
          </w:p>
          <w:p w:rsidR="003640D5" w:rsidRPr="00C0474D" w:rsidRDefault="003640D5" w:rsidP="009A045B">
            <w:pPr>
              <w:jc w:val="center"/>
              <w:rPr>
                <w:rFonts w:ascii="Arial Narrow" w:hAnsi="Arial Narrow"/>
                <w:b/>
                <w:bCs/>
                <w:sz w:val="20"/>
                <w:lang w:eastAsia="en-AU"/>
              </w:rPr>
            </w:pPr>
            <w:r w:rsidRPr="00C0474D">
              <w:rPr>
                <w:rFonts w:ascii="Arial Narrow" w:hAnsi="Arial Narrow"/>
                <w:b/>
                <w:bCs/>
                <w:sz w:val="20"/>
                <w:lang w:eastAsia="en-AU"/>
              </w:rPr>
              <w:t>(2021)</w:t>
            </w:r>
          </w:p>
        </w:tc>
      </w:tr>
      <w:tr w:rsidR="003640D5" w:rsidRPr="00C0474D" w:rsidTr="003640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2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3640D5" w:rsidRPr="00C0474D" w:rsidRDefault="003640D5" w:rsidP="009A045B">
            <w:pPr>
              <w:rPr>
                <w:rFonts w:ascii="Arial Narrow" w:hAnsi="Arial Narrow"/>
                <w:sz w:val="20"/>
                <w:lang w:eastAsia="en-AU"/>
              </w:rPr>
            </w:pPr>
            <w:r w:rsidRPr="00C0474D">
              <w:rPr>
                <w:rFonts w:ascii="Arial Narrow" w:hAnsi="Arial Narrow"/>
                <w:sz w:val="20"/>
                <w:lang w:eastAsia="en-AU"/>
              </w:rPr>
              <w:t>Projected PBS scripts for MS therapies</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rsidR="003640D5" w:rsidRPr="00B33B3B" w:rsidRDefault="00B33B3B" w:rsidP="009A045B">
            <w:pPr>
              <w:jc w:val="center"/>
              <w:rPr>
                <w:rFonts w:ascii="Arial Narrow" w:hAnsi="Arial Narrow"/>
                <w:sz w:val="20"/>
                <w:highlight w:val="black"/>
              </w:rPr>
            </w:pPr>
            <w:r>
              <w:rPr>
                <w:rFonts w:ascii="Arial Narrow" w:hAnsi="Arial Narrow"/>
                <w:noProof/>
                <w:color w:val="000000"/>
                <w:sz w:val="20"/>
                <w:highlight w:val="black"/>
              </w:rPr>
              <w:t>'''''''''''''''''''''</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rsidR="003640D5" w:rsidRPr="00B33B3B" w:rsidRDefault="00B33B3B" w:rsidP="009A045B">
            <w:pPr>
              <w:jc w:val="center"/>
              <w:rPr>
                <w:rFonts w:ascii="Arial Narrow" w:hAnsi="Arial Narrow"/>
                <w:sz w:val="20"/>
                <w:highlight w:val="black"/>
              </w:rPr>
            </w:pPr>
            <w:r>
              <w:rPr>
                <w:rFonts w:ascii="Arial Narrow" w:hAnsi="Arial Narrow"/>
                <w:noProof/>
                <w:color w:val="000000"/>
                <w:sz w:val="20"/>
                <w:highlight w:val="black"/>
              </w:rPr>
              <w:t>'''''''''''''''''''''</w:t>
            </w:r>
          </w:p>
        </w:tc>
        <w:tc>
          <w:tcPr>
            <w:tcW w:w="715" w:type="pct"/>
            <w:tcBorders>
              <w:top w:val="single" w:sz="4" w:space="0" w:color="auto"/>
              <w:left w:val="single" w:sz="4" w:space="0" w:color="auto"/>
              <w:bottom w:val="single" w:sz="4" w:space="0" w:color="auto"/>
              <w:right w:val="single" w:sz="4" w:space="0" w:color="auto"/>
            </w:tcBorders>
            <w:shd w:val="clear" w:color="auto" w:fill="auto"/>
            <w:vAlign w:val="center"/>
          </w:tcPr>
          <w:p w:rsidR="003640D5" w:rsidRPr="00B33B3B" w:rsidRDefault="00B33B3B" w:rsidP="009A045B">
            <w:pPr>
              <w:jc w:val="center"/>
              <w:rPr>
                <w:rFonts w:ascii="Arial Narrow" w:hAnsi="Arial Narrow"/>
                <w:sz w:val="20"/>
                <w:highlight w:val="black"/>
              </w:rPr>
            </w:pPr>
            <w:r>
              <w:rPr>
                <w:rFonts w:ascii="Arial Narrow" w:hAnsi="Arial Narrow"/>
                <w:noProof/>
                <w:color w:val="000000"/>
                <w:sz w:val="20"/>
                <w:highlight w:val="black"/>
              </w:rPr>
              <w:t>'''''''''''''''''''''</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rsidR="003640D5" w:rsidRPr="00B33B3B" w:rsidRDefault="00B33B3B" w:rsidP="009A045B">
            <w:pPr>
              <w:jc w:val="center"/>
              <w:rPr>
                <w:rFonts w:ascii="Arial Narrow" w:hAnsi="Arial Narrow"/>
                <w:sz w:val="20"/>
                <w:highlight w:val="black"/>
              </w:rPr>
            </w:pPr>
            <w:r>
              <w:rPr>
                <w:rFonts w:ascii="Arial Narrow" w:hAnsi="Arial Narrow"/>
                <w:noProof/>
                <w:color w:val="000000"/>
                <w:sz w:val="20"/>
                <w:highlight w:val="black"/>
              </w:rPr>
              <w:t>'''''''''''''''''''</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rsidR="003640D5" w:rsidRPr="00B33B3B" w:rsidRDefault="00B33B3B" w:rsidP="009A045B">
            <w:pPr>
              <w:jc w:val="center"/>
              <w:rPr>
                <w:rFonts w:ascii="Arial Narrow" w:hAnsi="Arial Narrow"/>
                <w:sz w:val="20"/>
                <w:highlight w:val="black"/>
              </w:rPr>
            </w:pPr>
            <w:r>
              <w:rPr>
                <w:rFonts w:ascii="Arial Narrow" w:hAnsi="Arial Narrow"/>
                <w:noProof/>
                <w:color w:val="000000"/>
                <w:sz w:val="20"/>
                <w:highlight w:val="black"/>
              </w:rPr>
              <w:t>''''''''''''''''''</w:t>
            </w:r>
          </w:p>
        </w:tc>
      </w:tr>
      <w:tr w:rsidR="003640D5" w:rsidRPr="00C0474D" w:rsidTr="003640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2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3640D5" w:rsidRPr="00C0474D" w:rsidRDefault="003640D5" w:rsidP="009A045B">
            <w:pPr>
              <w:rPr>
                <w:rFonts w:ascii="Arial Narrow" w:hAnsi="Arial Narrow"/>
                <w:sz w:val="20"/>
                <w:lang w:eastAsia="en-AU"/>
              </w:rPr>
            </w:pPr>
            <w:proofErr w:type="spellStart"/>
            <w:r w:rsidRPr="00C0474D">
              <w:rPr>
                <w:rFonts w:ascii="Arial Narrow" w:hAnsi="Arial Narrow"/>
                <w:sz w:val="20"/>
                <w:lang w:eastAsia="en-AU"/>
              </w:rPr>
              <w:t>Fingolimod</w:t>
            </w:r>
            <w:proofErr w:type="spellEnd"/>
            <w:r w:rsidRPr="00C0474D">
              <w:rPr>
                <w:rFonts w:ascii="Arial Narrow" w:hAnsi="Arial Narrow"/>
                <w:sz w:val="20"/>
                <w:lang w:eastAsia="en-AU"/>
              </w:rPr>
              <w:t xml:space="preserve"> market share</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rsidR="003640D5" w:rsidRPr="00C0474D" w:rsidRDefault="00B33B3B" w:rsidP="009A045B">
            <w:pPr>
              <w:jc w:val="center"/>
              <w:rPr>
                <w:rFonts w:ascii="Arial Narrow" w:hAnsi="Arial Narrow"/>
                <w:sz w:val="20"/>
              </w:rPr>
            </w:pPr>
            <w:r>
              <w:rPr>
                <w:rFonts w:ascii="Arial Narrow" w:hAnsi="Arial Narrow"/>
                <w:noProof/>
                <w:color w:val="000000"/>
                <w:sz w:val="20"/>
                <w:highlight w:val="black"/>
              </w:rPr>
              <w:t>''''''''''</w:t>
            </w:r>
            <w:r w:rsidR="003640D5" w:rsidRPr="00C0474D">
              <w:rPr>
                <w:rFonts w:ascii="Arial Narrow" w:hAnsi="Arial Narrow"/>
                <w:sz w:val="20"/>
              </w:rPr>
              <w:t>%</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rsidR="003640D5" w:rsidRPr="00C0474D" w:rsidRDefault="00B33B3B" w:rsidP="009A045B">
            <w:pPr>
              <w:jc w:val="center"/>
              <w:rPr>
                <w:rFonts w:ascii="Arial Narrow" w:hAnsi="Arial Narrow"/>
                <w:sz w:val="20"/>
              </w:rPr>
            </w:pPr>
            <w:r>
              <w:rPr>
                <w:rFonts w:ascii="Arial Narrow" w:hAnsi="Arial Narrow"/>
                <w:noProof/>
                <w:color w:val="000000"/>
                <w:sz w:val="20"/>
                <w:highlight w:val="black"/>
              </w:rPr>
              <w:t>''''''''''</w:t>
            </w:r>
            <w:r w:rsidR="003640D5" w:rsidRPr="00C0474D">
              <w:rPr>
                <w:rFonts w:ascii="Arial Narrow" w:hAnsi="Arial Narrow"/>
                <w:sz w:val="20"/>
              </w:rPr>
              <w:t>%</w:t>
            </w:r>
          </w:p>
        </w:tc>
        <w:tc>
          <w:tcPr>
            <w:tcW w:w="715" w:type="pct"/>
            <w:tcBorders>
              <w:top w:val="single" w:sz="4" w:space="0" w:color="auto"/>
              <w:left w:val="single" w:sz="4" w:space="0" w:color="auto"/>
              <w:bottom w:val="single" w:sz="4" w:space="0" w:color="auto"/>
              <w:right w:val="single" w:sz="4" w:space="0" w:color="auto"/>
            </w:tcBorders>
            <w:shd w:val="clear" w:color="auto" w:fill="auto"/>
            <w:vAlign w:val="center"/>
          </w:tcPr>
          <w:p w:rsidR="003640D5" w:rsidRPr="00C0474D" w:rsidRDefault="00B33B3B" w:rsidP="009A045B">
            <w:pPr>
              <w:jc w:val="center"/>
              <w:rPr>
                <w:rFonts w:ascii="Arial Narrow" w:hAnsi="Arial Narrow"/>
                <w:sz w:val="20"/>
              </w:rPr>
            </w:pPr>
            <w:r>
              <w:rPr>
                <w:rFonts w:ascii="Arial Narrow" w:hAnsi="Arial Narrow"/>
                <w:noProof/>
                <w:color w:val="000000"/>
                <w:sz w:val="20"/>
                <w:highlight w:val="black"/>
              </w:rPr>
              <w:t>''''''''''</w:t>
            </w:r>
            <w:r w:rsidR="003640D5" w:rsidRPr="00C0474D">
              <w:rPr>
                <w:rFonts w:ascii="Arial Narrow" w:hAnsi="Arial Narrow"/>
                <w:sz w:val="20"/>
              </w:rPr>
              <w:t>%</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rsidR="003640D5" w:rsidRPr="00C0474D" w:rsidRDefault="00B33B3B" w:rsidP="009A045B">
            <w:pPr>
              <w:jc w:val="center"/>
              <w:rPr>
                <w:rFonts w:ascii="Arial Narrow" w:hAnsi="Arial Narrow"/>
                <w:sz w:val="20"/>
              </w:rPr>
            </w:pPr>
            <w:r>
              <w:rPr>
                <w:rFonts w:ascii="Arial Narrow" w:hAnsi="Arial Narrow"/>
                <w:noProof/>
                <w:color w:val="000000"/>
                <w:sz w:val="20"/>
                <w:highlight w:val="black"/>
              </w:rPr>
              <w:t>''''''''''</w:t>
            </w:r>
            <w:r w:rsidR="003640D5" w:rsidRPr="00C0474D">
              <w:rPr>
                <w:rFonts w:ascii="Arial Narrow" w:hAnsi="Arial Narrow"/>
                <w:sz w:val="20"/>
              </w:rPr>
              <w:t>%</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rsidR="003640D5" w:rsidRPr="00C0474D" w:rsidRDefault="00B33B3B" w:rsidP="009A045B">
            <w:pPr>
              <w:jc w:val="center"/>
              <w:rPr>
                <w:rFonts w:ascii="Arial Narrow" w:hAnsi="Arial Narrow"/>
                <w:sz w:val="20"/>
              </w:rPr>
            </w:pPr>
            <w:r>
              <w:rPr>
                <w:rFonts w:ascii="Arial Narrow" w:hAnsi="Arial Narrow"/>
                <w:noProof/>
                <w:color w:val="000000"/>
                <w:sz w:val="20"/>
                <w:highlight w:val="black"/>
              </w:rPr>
              <w:t>''''''''''</w:t>
            </w:r>
            <w:r w:rsidR="003640D5" w:rsidRPr="00C0474D">
              <w:rPr>
                <w:rFonts w:ascii="Arial Narrow" w:hAnsi="Arial Narrow"/>
                <w:sz w:val="20"/>
              </w:rPr>
              <w:t>%</w:t>
            </w:r>
          </w:p>
        </w:tc>
      </w:tr>
      <w:tr w:rsidR="003640D5" w:rsidRPr="00C0474D" w:rsidTr="003640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29" w:type="pct"/>
            <w:tcBorders>
              <w:top w:val="single" w:sz="4" w:space="0" w:color="auto"/>
              <w:left w:val="single" w:sz="4" w:space="0" w:color="auto"/>
              <w:bottom w:val="single" w:sz="4" w:space="0" w:color="auto"/>
              <w:right w:val="single" w:sz="4" w:space="0" w:color="auto"/>
            </w:tcBorders>
            <w:shd w:val="clear" w:color="auto" w:fill="auto"/>
            <w:vAlign w:val="bottom"/>
          </w:tcPr>
          <w:p w:rsidR="003640D5" w:rsidRPr="00C0474D" w:rsidRDefault="003640D5" w:rsidP="009A045B">
            <w:pPr>
              <w:rPr>
                <w:rFonts w:ascii="Arial Narrow" w:hAnsi="Arial Narrow"/>
                <w:sz w:val="20"/>
                <w:lang w:eastAsia="en-AU"/>
              </w:rPr>
            </w:pPr>
            <w:r w:rsidRPr="00C0474D">
              <w:rPr>
                <w:rFonts w:ascii="Arial Narrow" w:hAnsi="Arial Narrow"/>
                <w:sz w:val="20"/>
                <w:lang w:eastAsia="en-AU"/>
              </w:rPr>
              <w:t xml:space="preserve">Projected </w:t>
            </w:r>
            <w:proofErr w:type="spellStart"/>
            <w:r w:rsidRPr="00C0474D">
              <w:rPr>
                <w:rFonts w:ascii="Arial Narrow" w:hAnsi="Arial Narrow"/>
                <w:sz w:val="20"/>
                <w:lang w:eastAsia="en-AU"/>
              </w:rPr>
              <w:t>fingolimod</w:t>
            </w:r>
            <w:proofErr w:type="spellEnd"/>
            <w:r w:rsidRPr="00C0474D">
              <w:rPr>
                <w:rFonts w:ascii="Arial Narrow" w:hAnsi="Arial Narrow"/>
                <w:sz w:val="20"/>
                <w:lang w:eastAsia="en-AU"/>
              </w:rPr>
              <w:t xml:space="preserve"> scripts</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rsidR="003640D5" w:rsidRPr="00B33B3B" w:rsidRDefault="00B33B3B" w:rsidP="009A045B">
            <w:pPr>
              <w:jc w:val="center"/>
              <w:rPr>
                <w:rFonts w:ascii="Arial Narrow" w:hAnsi="Arial Narrow"/>
                <w:sz w:val="20"/>
                <w:highlight w:val="black"/>
              </w:rPr>
            </w:pPr>
            <w:r>
              <w:rPr>
                <w:rFonts w:ascii="Arial Narrow" w:hAnsi="Arial Narrow"/>
                <w:noProof/>
                <w:color w:val="000000"/>
                <w:sz w:val="20"/>
                <w:highlight w:val="black"/>
              </w:rPr>
              <w:t>''''''''''''''''''</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rsidR="003640D5" w:rsidRPr="00B33B3B" w:rsidRDefault="00B33B3B" w:rsidP="009A045B">
            <w:pPr>
              <w:jc w:val="center"/>
              <w:rPr>
                <w:rFonts w:ascii="Arial Narrow" w:hAnsi="Arial Narrow"/>
                <w:sz w:val="20"/>
                <w:highlight w:val="black"/>
              </w:rPr>
            </w:pPr>
            <w:r>
              <w:rPr>
                <w:rFonts w:ascii="Arial Narrow" w:hAnsi="Arial Narrow"/>
                <w:noProof/>
                <w:color w:val="000000"/>
                <w:sz w:val="20"/>
                <w:highlight w:val="black"/>
              </w:rPr>
              <w:t>''''''''''''''''''</w:t>
            </w:r>
          </w:p>
        </w:tc>
        <w:tc>
          <w:tcPr>
            <w:tcW w:w="715" w:type="pct"/>
            <w:tcBorders>
              <w:top w:val="single" w:sz="4" w:space="0" w:color="auto"/>
              <w:left w:val="single" w:sz="4" w:space="0" w:color="auto"/>
              <w:bottom w:val="single" w:sz="4" w:space="0" w:color="auto"/>
              <w:right w:val="single" w:sz="4" w:space="0" w:color="auto"/>
            </w:tcBorders>
            <w:shd w:val="clear" w:color="auto" w:fill="auto"/>
            <w:vAlign w:val="center"/>
          </w:tcPr>
          <w:p w:rsidR="003640D5" w:rsidRPr="00B33B3B" w:rsidRDefault="00B33B3B" w:rsidP="009A045B">
            <w:pPr>
              <w:jc w:val="center"/>
              <w:rPr>
                <w:rFonts w:ascii="Arial Narrow" w:hAnsi="Arial Narrow"/>
                <w:sz w:val="20"/>
                <w:highlight w:val="black"/>
              </w:rPr>
            </w:pPr>
            <w:r>
              <w:rPr>
                <w:rFonts w:ascii="Arial Narrow" w:hAnsi="Arial Narrow"/>
                <w:noProof/>
                <w:color w:val="000000"/>
                <w:sz w:val="20"/>
                <w:highlight w:val="black"/>
              </w:rPr>
              <w:t>'''''''''''''''</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rsidR="003640D5" w:rsidRPr="00B33B3B" w:rsidRDefault="00B33B3B" w:rsidP="009A045B">
            <w:pPr>
              <w:jc w:val="center"/>
              <w:rPr>
                <w:rFonts w:ascii="Arial Narrow" w:hAnsi="Arial Narrow"/>
                <w:sz w:val="20"/>
                <w:highlight w:val="black"/>
              </w:rPr>
            </w:pPr>
            <w:r>
              <w:rPr>
                <w:rFonts w:ascii="Arial Narrow" w:hAnsi="Arial Narrow"/>
                <w:noProof/>
                <w:color w:val="000000"/>
                <w:sz w:val="20"/>
                <w:highlight w:val="black"/>
              </w:rPr>
              <w:t>''''''''''''''''''''</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rsidR="003640D5" w:rsidRPr="00B33B3B" w:rsidRDefault="00B33B3B" w:rsidP="009A045B">
            <w:pPr>
              <w:jc w:val="center"/>
              <w:rPr>
                <w:rFonts w:ascii="Arial Narrow" w:hAnsi="Arial Narrow"/>
                <w:sz w:val="20"/>
                <w:highlight w:val="black"/>
              </w:rPr>
            </w:pPr>
            <w:r>
              <w:rPr>
                <w:rFonts w:ascii="Arial Narrow" w:hAnsi="Arial Narrow"/>
                <w:noProof/>
                <w:color w:val="000000"/>
                <w:sz w:val="20"/>
                <w:highlight w:val="black"/>
              </w:rPr>
              <w:t>''''''''''''''''''''</w:t>
            </w:r>
          </w:p>
        </w:tc>
      </w:tr>
      <w:tr w:rsidR="003640D5" w:rsidRPr="00C0474D" w:rsidTr="003640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29" w:type="pct"/>
            <w:tcBorders>
              <w:top w:val="single" w:sz="4" w:space="0" w:color="auto"/>
              <w:left w:val="single" w:sz="4" w:space="0" w:color="auto"/>
              <w:bottom w:val="single" w:sz="4" w:space="0" w:color="auto"/>
              <w:right w:val="single" w:sz="4" w:space="0" w:color="auto"/>
            </w:tcBorders>
            <w:shd w:val="clear" w:color="auto" w:fill="auto"/>
            <w:vAlign w:val="bottom"/>
          </w:tcPr>
          <w:p w:rsidR="003640D5" w:rsidRPr="00C0474D" w:rsidRDefault="003640D5" w:rsidP="009A045B">
            <w:pPr>
              <w:rPr>
                <w:rFonts w:ascii="Arial Narrow" w:hAnsi="Arial Narrow"/>
                <w:sz w:val="20"/>
                <w:lang w:eastAsia="en-AU"/>
              </w:rPr>
            </w:pPr>
            <w:proofErr w:type="spellStart"/>
            <w:r w:rsidRPr="00C0474D">
              <w:rPr>
                <w:rFonts w:ascii="Arial Narrow" w:hAnsi="Arial Narrow"/>
                <w:sz w:val="20"/>
                <w:lang w:eastAsia="en-AU"/>
              </w:rPr>
              <w:t>Daclizumab</w:t>
            </w:r>
            <w:proofErr w:type="spellEnd"/>
            <w:r w:rsidRPr="00C0474D">
              <w:rPr>
                <w:rFonts w:ascii="Arial Narrow" w:hAnsi="Arial Narrow"/>
                <w:sz w:val="20"/>
                <w:lang w:eastAsia="en-AU"/>
              </w:rPr>
              <w:t xml:space="preserve"> uptake </w:t>
            </w:r>
            <w:proofErr w:type="spellStart"/>
            <w:r w:rsidRPr="00C0474D">
              <w:rPr>
                <w:rFonts w:ascii="Arial Narrow" w:hAnsi="Arial Narrow"/>
                <w:sz w:val="20"/>
                <w:lang w:eastAsia="en-AU"/>
              </w:rPr>
              <w:t>rate</w:t>
            </w:r>
            <w:r w:rsidRPr="00C0474D">
              <w:rPr>
                <w:rFonts w:ascii="Arial Narrow" w:hAnsi="Arial Narrow"/>
                <w:sz w:val="20"/>
                <w:vertAlign w:val="superscript"/>
                <w:lang w:eastAsia="en-AU"/>
              </w:rPr>
              <w:t>a</w:t>
            </w:r>
            <w:proofErr w:type="spellEnd"/>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rsidR="003640D5" w:rsidRPr="00C0474D" w:rsidRDefault="00B33B3B" w:rsidP="009A045B">
            <w:pPr>
              <w:jc w:val="center"/>
              <w:rPr>
                <w:rFonts w:ascii="Arial Narrow" w:hAnsi="Arial Narrow"/>
                <w:sz w:val="20"/>
              </w:rPr>
            </w:pPr>
            <w:r>
              <w:rPr>
                <w:rFonts w:ascii="Arial Narrow" w:hAnsi="Arial Narrow"/>
                <w:noProof/>
                <w:color w:val="000000"/>
                <w:sz w:val="20"/>
                <w:highlight w:val="black"/>
              </w:rPr>
              <w:t>''''''''''</w:t>
            </w:r>
            <w:r w:rsidR="003640D5" w:rsidRPr="00C0474D">
              <w:rPr>
                <w:rFonts w:ascii="Arial Narrow" w:hAnsi="Arial Narrow"/>
                <w:sz w:val="20"/>
              </w:rPr>
              <w:t>%</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rsidR="003640D5" w:rsidRPr="00C0474D" w:rsidRDefault="00B33B3B" w:rsidP="009A045B">
            <w:pPr>
              <w:jc w:val="center"/>
              <w:rPr>
                <w:rFonts w:ascii="Arial Narrow" w:hAnsi="Arial Narrow"/>
                <w:sz w:val="20"/>
              </w:rPr>
            </w:pPr>
            <w:r>
              <w:rPr>
                <w:rFonts w:ascii="Arial Narrow" w:hAnsi="Arial Narrow"/>
                <w:noProof/>
                <w:color w:val="000000"/>
                <w:sz w:val="20"/>
                <w:highlight w:val="black"/>
              </w:rPr>
              <w:t>''''''''''''</w:t>
            </w:r>
            <w:r w:rsidR="003640D5" w:rsidRPr="00C0474D">
              <w:rPr>
                <w:rFonts w:ascii="Arial Narrow" w:hAnsi="Arial Narrow"/>
                <w:sz w:val="20"/>
              </w:rPr>
              <w:t>%</w:t>
            </w:r>
          </w:p>
        </w:tc>
        <w:tc>
          <w:tcPr>
            <w:tcW w:w="715" w:type="pct"/>
            <w:tcBorders>
              <w:top w:val="single" w:sz="4" w:space="0" w:color="auto"/>
              <w:left w:val="single" w:sz="4" w:space="0" w:color="auto"/>
              <w:bottom w:val="single" w:sz="4" w:space="0" w:color="auto"/>
              <w:right w:val="single" w:sz="4" w:space="0" w:color="auto"/>
            </w:tcBorders>
            <w:shd w:val="clear" w:color="auto" w:fill="auto"/>
            <w:vAlign w:val="center"/>
          </w:tcPr>
          <w:p w:rsidR="003640D5" w:rsidRPr="00C0474D" w:rsidRDefault="00B33B3B" w:rsidP="009A045B">
            <w:pPr>
              <w:jc w:val="center"/>
              <w:rPr>
                <w:rFonts w:ascii="Arial Narrow" w:hAnsi="Arial Narrow"/>
                <w:sz w:val="20"/>
              </w:rPr>
            </w:pPr>
            <w:r>
              <w:rPr>
                <w:rFonts w:ascii="Arial Narrow" w:hAnsi="Arial Narrow"/>
                <w:noProof/>
                <w:color w:val="000000"/>
                <w:sz w:val="20"/>
                <w:highlight w:val="black"/>
              </w:rPr>
              <w:t>'''''''''''''</w:t>
            </w:r>
            <w:r w:rsidR="003640D5" w:rsidRPr="00C0474D">
              <w:rPr>
                <w:rFonts w:ascii="Arial Narrow" w:hAnsi="Arial Narrow"/>
                <w:sz w:val="20"/>
              </w:rPr>
              <w:t>%</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rsidR="003640D5" w:rsidRPr="00C0474D" w:rsidRDefault="00B33B3B" w:rsidP="009A045B">
            <w:pPr>
              <w:jc w:val="center"/>
              <w:rPr>
                <w:rFonts w:ascii="Arial Narrow" w:hAnsi="Arial Narrow"/>
                <w:sz w:val="20"/>
              </w:rPr>
            </w:pPr>
            <w:r>
              <w:rPr>
                <w:rFonts w:ascii="Arial Narrow" w:hAnsi="Arial Narrow"/>
                <w:noProof/>
                <w:color w:val="000000"/>
                <w:sz w:val="20"/>
                <w:highlight w:val="black"/>
              </w:rPr>
              <w:t>'''''''''''''</w:t>
            </w:r>
            <w:r w:rsidR="003640D5" w:rsidRPr="00C0474D">
              <w:rPr>
                <w:rFonts w:ascii="Arial Narrow" w:hAnsi="Arial Narrow"/>
                <w:sz w:val="20"/>
              </w:rPr>
              <w:t>%</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rsidR="003640D5" w:rsidRPr="00C0474D" w:rsidRDefault="00B33B3B" w:rsidP="009A045B">
            <w:pPr>
              <w:jc w:val="center"/>
              <w:rPr>
                <w:rFonts w:ascii="Arial Narrow" w:hAnsi="Arial Narrow"/>
                <w:sz w:val="20"/>
              </w:rPr>
            </w:pPr>
            <w:r>
              <w:rPr>
                <w:rFonts w:ascii="Arial Narrow" w:hAnsi="Arial Narrow"/>
                <w:noProof/>
                <w:color w:val="000000"/>
                <w:sz w:val="20"/>
                <w:highlight w:val="black"/>
              </w:rPr>
              <w:t>'''''''''''''</w:t>
            </w:r>
            <w:r w:rsidR="003640D5" w:rsidRPr="00C0474D">
              <w:rPr>
                <w:rFonts w:ascii="Arial Narrow" w:hAnsi="Arial Narrow"/>
                <w:sz w:val="20"/>
              </w:rPr>
              <w:t>%</w:t>
            </w:r>
          </w:p>
        </w:tc>
      </w:tr>
      <w:tr w:rsidR="003640D5" w:rsidRPr="00C0474D" w:rsidTr="003640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29" w:type="pct"/>
            <w:tcBorders>
              <w:top w:val="single" w:sz="4" w:space="0" w:color="auto"/>
              <w:left w:val="single" w:sz="4" w:space="0" w:color="auto"/>
              <w:bottom w:val="single" w:sz="4" w:space="0" w:color="auto"/>
              <w:right w:val="single" w:sz="4" w:space="0" w:color="auto"/>
            </w:tcBorders>
            <w:shd w:val="clear" w:color="auto" w:fill="auto"/>
            <w:vAlign w:val="bottom"/>
          </w:tcPr>
          <w:p w:rsidR="003640D5" w:rsidRPr="00C0474D" w:rsidRDefault="003640D5" w:rsidP="009A045B">
            <w:pPr>
              <w:tabs>
                <w:tab w:val="right" w:pos="3045"/>
              </w:tabs>
              <w:rPr>
                <w:rFonts w:ascii="Arial Narrow" w:hAnsi="Arial Narrow"/>
                <w:sz w:val="20"/>
                <w:lang w:eastAsia="en-AU"/>
              </w:rPr>
            </w:pPr>
            <w:r w:rsidRPr="00C0474D">
              <w:rPr>
                <w:rFonts w:ascii="Arial Narrow" w:hAnsi="Arial Narrow"/>
                <w:sz w:val="20"/>
                <w:lang w:eastAsia="en-AU"/>
              </w:rPr>
              <w:t>Substituted scripts</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rsidR="003640D5" w:rsidRPr="00B33B3B" w:rsidRDefault="00B33B3B" w:rsidP="009A045B">
            <w:pPr>
              <w:jc w:val="center"/>
              <w:rPr>
                <w:rFonts w:ascii="Arial Narrow" w:hAnsi="Arial Narrow"/>
                <w:sz w:val="20"/>
                <w:highlight w:val="black"/>
              </w:rPr>
            </w:pPr>
            <w:r>
              <w:rPr>
                <w:rFonts w:ascii="Arial Narrow" w:hAnsi="Arial Narrow"/>
                <w:noProof/>
                <w:color w:val="000000"/>
                <w:sz w:val="20"/>
                <w:highlight w:val="black"/>
              </w:rPr>
              <w:t>''''''''''''</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rsidR="003640D5" w:rsidRPr="00B33B3B" w:rsidRDefault="00B33B3B" w:rsidP="009A045B">
            <w:pPr>
              <w:jc w:val="center"/>
              <w:rPr>
                <w:rFonts w:ascii="Arial Narrow" w:hAnsi="Arial Narrow"/>
                <w:sz w:val="20"/>
                <w:highlight w:val="black"/>
              </w:rPr>
            </w:pPr>
            <w:r>
              <w:rPr>
                <w:rFonts w:ascii="Arial Narrow" w:hAnsi="Arial Narrow"/>
                <w:noProof/>
                <w:color w:val="000000"/>
                <w:sz w:val="20"/>
                <w:highlight w:val="black"/>
              </w:rPr>
              <w:t>''''''''''''''''''</w:t>
            </w:r>
          </w:p>
        </w:tc>
        <w:tc>
          <w:tcPr>
            <w:tcW w:w="715" w:type="pct"/>
            <w:tcBorders>
              <w:top w:val="single" w:sz="4" w:space="0" w:color="auto"/>
              <w:left w:val="single" w:sz="4" w:space="0" w:color="auto"/>
              <w:bottom w:val="single" w:sz="4" w:space="0" w:color="auto"/>
              <w:right w:val="single" w:sz="4" w:space="0" w:color="auto"/>
            </w:tcBorders>
            <w:shd w:val="clear" w:color="auto" w:fill="auto"/>
            <w:vAlign w:val="center"/>
          </w:tcPr>
          <w:p w:rsidR="003640D5" w:rsidRPr="00B33B3B" w:rsidRDefault="00B33B3B" w:rsidP="009A045B">
            <w:pPr>
              <w:jc w:val="center"/>
              <w:rPr>
                <w:rFonts w:ascii="Arial Narrow" w:hAnsi="Arial Narrow"/>
                <w:sz w:val="20"/>
                <w:highlight w:val="black"/>
              </w:rPr>
            </w:pPr>
            <w:r>
              <w:rPr>
                <w:rFonts w:ascii="Arial Narrow" w:hAnsi="Arial Narrow"/>
                <w:noProof/>
                <w:color w:val="000000"/>
                <w:sz w:val="20"/>
                <w:highlight w:val="black"/>
              </w:rPr>
              <w:t>'''''''''''''''''</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rsidR="003640D5" w:rsidRPr="00B33B3B" w:rsidRDefault="00B33B3B" w:rsidP="009A045B">
            <w:pPr>
              <w:jc w:val="center"/>
              <w:rPr>
                <w:rFonts w:ascii="Arial Narrow" w:hAnsi="Arial Narrow"/>
                <w:sz w:val="20"/>
                <w:highlight w:val="black"/>
              </w:rPr>
            </w:pPr>
            <w:r>
              <w:rPr>
                <w:rFonts w:ascii="Arial Narrow" w:hAnsi="Arial Narrow"/>
                <w:noProof/>
                <w:color w:val="000000"/>
                <w:sz w:val="20"/>
                <w:highlight w:val="black"/>
              </w:rPr>
              <w:t>''''''''''''''''</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rsidR="003640D5" w:rsidRPr="00B33B3B" w:rsidRDefault="00B33B3B" w:rsidP="009A045B">
            <w:pPr>
              <w:jc w:val="center"/>
              <w:rPr>
                <w:rFonts w:ascii="Arial Narrow" w:hAnsi="Arial Narrow"/>
                <w:sz w:val="20"/>
                <w:highlight w:val="black"/>
              </w:rPr>
            </w:pPr>
            <w:r>
              <w:rPr>
                <w:rFonts w:ascii="Arial Narrow" w:hAnsi="Arial Narrow"/>
                <w:noProof/>
                <w:color w:val="000000"/>
                <w:sz w:val="20"/>
                <w:highlight w:val="black"/>
              </w:rPr>
              <w:t>'''''''''''''''</w:t>
            </w:r>
          </w:p>
        </w:tc>
      </w:tr>
      <w:tr w:rsidR="003640D5" w:rsidRPr="00C0474D" w:rsidTr="003640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29" w:type="pct"/>
            <w:tcBorders>
              <w:top w:val="single" w:sz="4" w:space="0" w:color="auto"/>
              <w:left w:val="single" w:sz="4" w:space="0" w:color="auto"/>
              <w:bottom w:val="single" w:sz="4" w:space="0" w:color="auto"/>
              <w:right w:val="single" w:sz="4" w:space="0" w:color="auto"/>
            </w:tcBorders>
            <w:shd w:val="clear" w:color="auto" w:fill="auto"/>
            <w:vAlign w:val="bottom"/>
          </w:tcPr>
          <w:p w:rsidR="003640D5" w:rsidRPr="00C0474D" w:rsidRDefault="003640D5" w:rsidP="009A045B">
            <w:pPr>
              <w:tabs>
                <w:tab w:val="right" w:pos="3045"/>
              </w:tabs>
              <w:jc w:val="left"/>
              <w:rPr>
                <w:rFonts w:ascii="Arial Narrow" w:hAnsi="Arial Narrow"/>
                <w:sz w:val="20"/>
                <w:lang w:eastAsia="en-AU"/>
              </w:rPr>
            </w:pPr>
            <w:r w:rsidRPr="00C0474D">
              <w:rPr>
                <w:rFonts w:ascii="Arial Narrow" w:hAnsi="Arial Narrow"/>
                <w:sz w:val="20"/>
                <w:lang w:eastAsia="en-AU"/>
              </w:rPr>
              <w:t xml:space="preserve">Equivalent </w:t>
            </w:r>
            <w:proofErr w:type="spellStart"/>
            <w:r w:rsidRPr="00C0474D">
              <w:rPr>
                <w:rFonts w:ascii="Arial Narrow" w:hAnsi="Arial Narrow"/>
                <w:sz w:val="20"/>
                <w:lang w:eastAsia="en-AU"/>
              </w:rPr>
              <w:t>daclizumab</w:t>
            </w:r>
            <w:proofErr w:type="spellEnd"/>
            <w:r w:rsidRPr="00C0474D">
              <w:rPr>
                <w:rFonts w:ascii="Arial Narrow" w:hAnsi="Arial Narrow"/>
                <w:sz w:val="20"/>
                <w:lang w:eastAsia="en-AU"/>
              </w:rPr>
              <w:t xml:space="preserve"> scripts (script duration adjustment; 30.4 vs 28 days)</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rsidR="003640D5" w:rsidRPr="00B33B3B" w:rsidRDefault="00B33B3B" w:rsidP="009A045B">
            <w:pPr>
              <w:jc w:val="center"/>
              <w:rPr>
                <w:rFonts w:ascii="Arial Narrow" w:hAnsi="Arial Narrow"/>
                <w:sz w:val="20"/>
                <w:highlight w:val="black"/>
              </w:rPr>
            </w:pPr>
            <w:r>
              <w:rPr>
                <w:rFonts w:ascii="Arial Narrow" w:hAnsi="Arial Narrow"/>
                <w:noProof/>
                <w:color w:val="000000"/>
                <w:sz w:val="20"/>
                <w:highlight w:val="black"/>
              </w:rPr>
              <w:t>''''''''''''''</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rsidR="003640D5" w:rsidRPr="00B33B3B" w:rsidRDefault="00B33B3B" w:rsidP="009A045B">
            <w:pPr>
              <w:jc w:val="center"/>
              <w:rPr>
                <w:rFonts w:ascii="Arial Narrow" w:hAnsi="Arial Narrow"/>
                <w:sz w:val="20"/>
                <w:highlight w:val="black"/>
              </w:rPr>
            </w:pPr>
            <w:r>
              <w:rPr>
                <w:rFonts w:ascii="Arial Narrow" w:hAnsi="Arial Narrow"/>
                <w:noProof/>
                <w:color w:val="000000"/>
                <w:sz w:val="20"/>
                <w:highlight w:val="black"/>
              </w:rPr>
              <w:t>'''''''''''''''</w:t>
            </w:r>
          </w:p>
        </w:tc>
        <w:tc>
          <w:tcPr>
            <w:tcW w:w="715" w:type="pct"/>
            <w:tcBorders>
              <w:top w:val="single" w:sz="4" w:space="0" w:color="auto"/>
              <w:left w:val="single" w:sz="4" w:space="0" w:color="auto"/>
              <w:bottom w:val="single" w:sz="4" w:space="0" w:color="auto"/>
              <w:right w:val="single" w:sz="4" w:space="0" w:color="auto"/>
            </w:tcBorders>
            <w:shd w:val="clear" w:color="auto" w:fill="auto"/>
            <w:vAlign w:val="center"/>
          </w:tcPr>
          <w:p w:rsidR="003640D5" w:rsidRPr="00B33B3B" w:rsidRDefault="00B33B3B" w:rsidP="009A045B">
            <w:pPr>
              <w:jc w:val="center"/>
              <w:rPr>
                <w:rFonts w:ascii="Arial Narrow" w:hAnsi="Arial Narrow"/>
                <w:sz w:val="20"/>
                <w:highlight w:val="black"/>
              </w:rPr>
            </w:pPr>
            <w:r>
              <w:rPr>
                <w:rFonts w:ascii="Arial Narrow" w:hAnsi="Arial Narrow"/>
                <w:noProof/>
                <w:color w:val="000000"/>
                <w:sz w:val="20"/>
                <w:highlight w:val="black"/>
              </w:rPr>
              <w:t>'''''''''''''''</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rsidR="003640D5" w:rsidRPr="00B33B3B" w:rsidRDefault="00B33B3B" w:rsidP="009A045B">
            <w:pPr>
              <w:jc w:val="center"/>
              <w:rPr>
                <w:rFonts w:ascii="Arial Narrow" w:hAnsi="Arial Narrow"/>
                <w:sz w:val="20"/>
                <w:highlight w:val="black"/>
              </w:rPr>
            </w:pPr>
            <w:r>
              <w:rPr>
                <w:rFonts w:ascii="Arial Narrow" w:hAnsi="Arial Narrow"/>
                <w:noProof/>
                <w:color w:val="000000"/>
                <w:sz w:val="20"/>
                <w:highlight w:val="black"/>
              </w:rPr>
              <w:t>'''''''''''''''</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rsidR="003640D5" w:rsidRPr="00B33B3B" w:rsidRDefault="00B33B3B" w:rsidP="009A045B">
            <w:pPr>
              <w:jc w:val="center"/>
              <w:rPr>
                <w:rFonts w:ascii="Arial Narrow" w:hAnsi="Arial Narrow"/>
                <w:sz w:val="20"/>
                <w:highlight w:val="black"/>
              </w:rPr>
            </w:pPr>
            <w:r>
              <w:rPr>
                <w:rFonts w:ascii="Arial Narrow" w:hAnsi="Arial Narrow"/>
                <w:noProof/>
                <w:color w:val="000000"/>
                <w:sz w:val="20"/>
                <w:highlight w:val="black"/>
              </w:rPr>
              <w:t>'''''''''''''''''</w:t>
            </w:r>
          </w:p>
        </w:tc>
      </w:tr>
      <w:tr w:rsidR="003640D5" w:rsidRPr="00C0474D" w:rsidTr="003640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29" w:type="pct"/>
            <w:tcBorders>
              <w:top w:val="single" w:sz="4" w:space="0" w:color="auto"/>
              <w:left w:val="single" w:sz="4" w:space="0" w:color="auto"/>
              <w:bottom w:val="single" w:sz="4" w:space="0" w:color="auto"/>
              <w:right w:val="single" w:sz="4" w:space="0" w:color="auto"/>
            </w:tcBorders>
            <w:shd w:val="clear" w:color="auto" w:fill="auto"/>
            <w:vAlign w:val="bottom"/>
          </w:tcPr>
          <w:p w:rsidR="003640D5" w:rsidRPr="00C0474D" w:rsidRDefault="003640D5" w:rsidP="009A045B">
            <w:pPr>
              <w:tabs>
                <w:tab w:val="right" w:pos="3045"/>
              </w:tabs>
              <w:jc w:val="left"/>
              <w:rPr>
                <w:rFonts w:ascii="Arial Narrow" w:hAnsi="Arial Narrow"/>
                <w:sz w:val="20"/>
                <w:lang w:eastAsia="en-AU"/>
              </w:rPr>
            </w:pPr>
            <w:r w:rsidRPr="00C0474D">
              <w:rPr>
                <w:rFonts w:ascii="Arial Narrow" w:hAnsi="Arial Narrow"/>
                <w:sz w:val="20"/>
                <w:lang w:eastAsia="en-AU"/>
              </w:rPr>
              <w:t xml:space="preserve">Cost of </w:t>
            </w:r>
            <w:proofErr w:type="spellStart"/>
            <w:r w:rsidRPr="00C0474D">
              <w:rPr>
                <w:rFonts w:ascii="Arial Narrow" w:hAnsi="Arial Narrow"/>
                <w:sz w:val="20"/>
                <w:lang w:eastAsia="en-AU"/>
              </w:rPr>
              <w:t>daclizumab</w:t>
            </w:r>
            <w:proofErr w:type="spellEnd"/>
            <w:r w:rsidRPr="00C0474D">
              <w:rPr>
                <w:rFonts w:ascii="Arial Narrow" w:hAnsi="Arial Narrow"/>
                <w:sz w:val="20"/>
                <w:lang w:eastAsia="en-AU"/>
              </w:rPr>
              <w:t xml:space="preserve"> (published DPMQ)</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rsidR="003640D5" w:rsidRPr="00C0474D" w:rsidRDefault="003640D5" w:rsidP="009A045B">
            <w:pPr>
              <w:jc w:val="center"/>
              <w:rPr>
                <w:rFonts w:ascii="Arial Narrow" w:hAnsi="Arial Narrow"/>
                <w:sz w:val="20"/>
              </w:rPr>
            </w:pPr>
            <w:r w:rsidRPr="00C0474D">
              <w:rPr>
                <w:rFonts w:ascii="Arial Narrow" w:hAnsi="Arial Narrow"/>
                <w:sz w:val="20"/>
              </w:rPr>
              <w:t>$</w:t>
            </w:r>
            <w:r w:rsidR="00B33B3B">
              <w:rPr>
                <w:rFonts w:ascii="Arial Narrow" w:hAnsi="Arial Narrow"/>
                <w:noProof/>
                <w:color w:val="000000"/>
                <w:sz w:val="20"/>
                <w:highlight w:val="black"/>
              </w:rPr>
              <w:t>'''''''''''''''''''''''''</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rsidR="003640D5" w:rsidRPr="00C0474D" w:rsidRDefault="003640D5" w:rsidP="009A045B">
            <w:pPr>
              <w:jc w:val="center"/>
              <w:rPr>
                <w:rFonts w:ascii="Arial Narrow" w:hAnsi="Arial Narrow"/>
                <w:sz w:val="20"/>
              </w:rPr>
            </w:pPr>
            <w:r w:rsidRPr="00C0474D">
              <w:rPr>
                <w:rFonts w:ascii="Arial Narrow" w:hAnsi="Arial Narrow"/>
                <w:sz w:val="20"/>
              </w:rPr>
              <w:t>$</w:t>
            </w:r>
            <w:r w:rsidR="00B33B3B">
              <w:rPr>
                <w:rFonts w:ascii="Arial Narrow" w:hAnsi="Arial Narrow"/>
                <w:noProof/>
                <w:color w:val="000000"/>
                <w:sz w:val="20"/>
                <w:highlight w:val="black"/>
              </w:rPr>
              <w:t>'''''''''''''''''''''''''</w:t>
            </w:r>
          </w:p>
        </w:tc>
        <w:tc>
          <w:tcPr>
            <w:tcW w:w="715" w:type="pct"/>
            <w:tcBorders>
              <w:top w:val="single" w:sz="4" w:space="0" w:color="auto"/>
              <w:left w:val="single" w:sz="4" w:space="0" w:color="auto"/>
              <w:bottom w:val="single" w:sz="4" w:space="0" w:color="auto"/>
              <w:right w:val="single" w:sz="4" w:space="0" w:color="auto"/>
            </w:tcBorders>
            <w:shd w:val="clear" w:color="auto" w:fill="auto"/>
            <w:vAlign w:val="center"/>
          </w:tcPr>
          <w:p w:rsidR="003640D5" w:rsidRPr="00C0474D" w:rsidRDefault="003640D5" w:rsidP="009A045B">
            <w:pPr>
              <w:jc w:val="center"/>
              <w:rPr>
                <w:rFonts w:ascii="Arial Narrow" w:hAnsi="Arial Narrow"/>
                <w:sz w:val="20"/>
              </w:rPr>
            </w:pPr>
            <w:r w:rsidRPr="00C0474D">
              <w:rPr>
                <w:rFonts w:ascii="Arial Narrow" w:hAnsi="Arial Narrow"/>
                <w:sz w:val="20"/>
              </w:rPr>
              <w:t>$</w:t>
            </w:r>
            <w:r w:rsidR="00B33B3B">
              <w:rPr>
                <w:rFonts w:ascii="Arial Narrow" w:hAnsi="Arial Narrow"/>
                <w:noProof/>
                <w:color w:val="000000"/>
                <w:sz w:val="20"/>
                <w:highlight w:val="black"/>
              </w:rPr>
              <w:t>'''''''''''''''''''''''''''</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rsidR="003640D5" w:rsidRPr="00C0474D" w:rsidRDefault="003640D5" w:rsidP="009A045B">
            <w:pPr>
              <w:jc w:val="center"/>
              <w:rPr>
                <w:rFonts w:ascii="Arial Narrow" w:hAnsi="Arial Narrow"/>
                <w:sz w:val="20"/>
              </w:rPr>
            </w:pPr>
            <w:r w:rsidRPr="00C0474D">
              <w:rPr>
                <w:rFonts w:ascii="Arial Narrow" w:hAnsi="Arial Narrow"/>
                <w:sz w:val="20"/>
              </w:rPr>
              <w:t>$</w:t>
            </w:r>
            <w:r w:rsidR="00B33B3B">
              <w:rPr>
                <w:rFonts w:ascii="Arial Narrow" w:hAnsi="Arial Narrow"/>
                <w:noProof/>
                <w:color w:val="000000"/>
                <w:sz w:val="20"/>
                <w:highlight w:val="black"/>
              </w:rPr>
              <w:t>'''''''''''''''''''''''''</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rsidR="003640D5" w:rsidRPr="00C0474D" w:rsidRDefault="003640D5" w:rsidP="009A045B">
            <w:pPr>
              <w:jc w:val="center"/>
              <w:rPr>
                <w:rFonts w:ascii="Arial Narrow" w:hAnsi="Arial Narrow"/>
                <w:sz w:val="20"/>
              </w:rPr>
            </w:pPr>
            <w:r w:rsidRPr="00C0474D">
              <w:rPr>
                <w:rFonts w:ascii="Arial Narrow" w:hAnsi="Arial Narrow"/>
                <w:sz w:val="20"/>
              </w:rPr>
              <w:t>$</w:t>
            </w:r>
            <w:r w:rsidR="00B33B3B">
              <w:rPr>
                <w:rFonts w:ascii="Arial Narrow" w:hAnsi="Arial Narrow"/>
                <w:noProof/>
                <w:color w:val="000000"/>
                <w:sz w:val="20"/>
                <w:highlight w:val="black"/>
              </w:rPr>
              <w:t>''''''''''''''''''''''''''''</w:t>
            </w:r>
          </w:p>
        </w:tc>
      </w:tr>
      <w:tr w:rsidR="003640D5" w:rsidRPr="00C0474D" w:rsidTr="003640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29" w:type="pct"/>
            <w:tcBorders>
              <w:top w:val="single" w:sz="4" w:space="0" w:color="auto"/>
              <w:left w:val="single" w:sz="4" w:space="0" w:color="auto"/>
              <w:bottom w:val="single" w:sz="4" w:space="0" w:color="auto"/>
              <w:right w:val="single" w:sz="4" w:space="0" w:color="auto"/>
            </w:tcBorders>
            <w:shd w:val="clear" w:color="auto" w:fill="auto"/>
            <w:vAlign w:val="bottom"/>
          </w:tcPr>
          <w:p w:rsidR="003640D5" w:rsidRPr="00C0474D" w:rsidRDefault="003640D5" w:rsidP="009A045B">
            <w:pPr>
              <w:tabs>
                <w:tab w:val="right" w:pos="3045"/>
              </w:tabs>
              <w:jc w:val="left"/>
              <w:rPr>
                <w:rFonts w:ascii="Arial Narrow" w:hAnsi="Arial Narrow"/>
                <w:sz w:val="20"/>
                <w:lang w:eastAsia="en-AU"/>
              </w:rPr>
            </w:pPr>
            <w:r w:rsidRPr="00C0474D">
              <w:rPr>
                <w:rFonts w:ascii="Arial Narrow" w:hAnsi="Arial Narrow"/>
                <w:sz w:val="20"/>
                <w:lang w:eastAsia="en-AU"/>
              </w:rPr>
              <w:t>Patient co-payments ($23.51 per script)</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rsidR="003640D5" w:rsidRPr="00C0474D" w:rsidRDefault="003640D5" w:rsidP="009A045B">
            <w:pPr>
              <w:jc w:val="center"/>
              <w:rPr>
                <w:rFonts w:ascii="Arial Narrow" w:hAnsi="Arial Narrow"/>
                <w:sz w:val="20"/>
              </w:rPr>
            </w:pPr>
            <w:r w:rsidRPr="00C0474D">
              <w:rPr>
                <w:rFonts w:ascii="Arial Narrow" w:hAnsi="Arial Narrow"/>
                <w:sz w:val="20"/>
              </w:rPr>
              <w:t>-$</w:t>
            </w:r>
            <w:r w:rsidR="00B33B3B">
              <w:rPr>
                <w:rFonts w:ascii="Arial Narrow" w:hAnsi="Arial Narrow"/>
                <w:noProof/>
                <w:color w:val="000000"/>
                <w:sz w:val="20"/>
                <w:highlight w:val="black"/>
              </w:rPr>
              <w:t>''''''''''''''''</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rsidR="003640D5" w:rsidRPr="00C0474D" w:rsidRDefault="003640D5" w:rsidP="009A045B">
            <w:pPr>
              <w:jc w:val="center"/>
              <w:rPr>
                <w:rFonts w:ascii="Arial Narrow" w:hAnsi="Arial Narrow"/>
                <w:sz w:val="20"/>
              </w:rPr>
            </w:pPr>
            <w:r w:rsidRPr="00C0474D">
              <w:rPr>
                <w:rFonts w:ascii="Arial Narrow" w:hAnsi="Arial Narrow"/>
                <w:sz w:val="20"/>
              </w:rPr>
              <w:t>-$</w:t>
            </w:r>
            <w:r w:rsidR="00B33B3B">
              <w:rPr>
                <w:rFonts w:ascii="Arial Narrow" w:hAnsi="Arial Narrow"/>
                <w:noProof/>
                <w:color w:val="000000"/>
                <w:sz w:val="20"/>
                <w:highlight w:val="black"/>
              </w:rPr>
              <w:t>'''''''''''''''''''''</w:t>
            </w:r>
          </w:p>
        </w:tc>
        <w:tc>
          <w:tcPr>
            <w:tcW w:w="715" w:type="pct"/>
            <w:tcBorders>
              <w:top w:val="single" w:sz="4" w:space="0" w:color="auto"/>
              <w:left w:val="single" w:sz="4" w:space="0" w:color="auto"/>
              <w:bottom w:val="single" w:sz="4" w:space="0" w:color="auto"/>
              <w:right w:val="single" w:sz="4" w:space="0" w:color="auto"/>
            </w:tcBorders>
            <w:shd w:val="clear" w:color="auto" w:fill="auto"/>
            <w:vAlign w:val="center"/>
          </w:tcPr>
          <w:p w:rsidR="003640D5" w:rsidRPr="00C0474D" w:rsidRDefault="003640D5" w:rsidP="009A045B">
            <w:pPr>
              <w:jc w:val="center"/>
              <w:rPr>
                <w:rFonts w:ascii="Arial Narrow" w:hAnsi="Arial Narrow"/>
                <w:sz w:val="20"/>
              </w:rPr>
            </w:pPr>
            <w:r w:rsidRPr="00C0474D">
              <w:rPr>
                <w:rFonts w:ascii="Arial Narrow" w:hAnsi="Arial Narrow"/>
                <w:sz w:val="20"/>
              </w:rPr>
              <w:t>-$</w:t>
            </w:r>
            <w:r w:rsidR="00B33B3B">
              <w:rPr>
                <w:rFonts w:ascii="Arial Narrow" w:hAnsi="Arial Narrow"/>
                <w:noProof/>
                <w:color w:val="000000"/>
                <w:sz w:val="20"/>
                <w:highlight w:val="black"/>
              </w:rPr>
              <w:t>''''''''''''''''''''</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rsidR="003640D5" w:rsidRPr="00C0474D" w:rsidRDefault="003640D5" w:rsidP="009A045B">
            <w:pPr>
              <w:jc w:val="center"/>
              <w:rPr>
                <w:rFonts w:ascii="Arial Narrow" w:hAnsi="Arial Narrow"/>
                <w:sz w:val="20"/>
              </w:rPr>
            </w:pPr>
            <w:r w:rsidRPr="00C0474D">
              <w:rPr>
                <w:rFonts w:ascii="Arial Narrow" w:hAnsi="Arial Narrow"/>
                <w:sz w:val="20"/>
              </w:rPr>
              <w:t>-$</w:t>
            </w:r>
            <w:r w:rsidR="00B33B3B">
              <w:rPr>
                <w:rFonts w:ascii="Arial Narrow" w:hAnsi="Arial Narrow"/>
                <w:noProof/>
                <w:color w:val="000000"/>
                <w:sz w:val="20"/>
                <w:highlight w:val="black"/>
              </w:rPr>
              <w:t>'''''''''''''''''''</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rsidR="003640D5" w:rsidRPr="00C0474D" w:rsidRDefault="003640D5" w:rsidP="009A045B">
            <w:pPr>
              <w:jc w:val="center"/>
              <w:rPr>
                <w:rFonts w:ascii="Arial Narrow" w:hAnsi="Arial Narrow"/>
                <w:sz w:val="20"/>
              </w:rPr>
            </w:pPr>
            <w:r w:rsidRPr="00C0474D">
              <w:rPr>
                <w:rFonts w:ascii="Arial Narrow" w:hAnsi="Arial Narrow"/>
                <w:sz w:val="20"/>
              </w:rPr>
              <w:t>-$</w:t>
            </w:r>
            <w:r w:rsidR="00B33B3B">
              <w:rPr>
                <w:rFonts w:ascii="Arial Narrow" w:hAnsi="Arial Narrow"/>
                <w:noProof/>
                <w:color w:val="000000"/>
                <w:sz w:val="20"/>
                <w:highlight w:val="black"/>
              </w:rPr>
              <w:t>'''''''''''''''''</w:t>
            </w:r>
          </w:p>
        </w:tc>
      </w:tr>
      <w:tr w:rsidR="003640D5" w:rsidRPr="00C0474D" w:rsidTr="003640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2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3640D5" w:rsidRPr="00C0474D" w:rsidRDefault="003640D5" w:rsidP="009A045B">
            <w:pPr>
              <w:tabs>
                <w:tab w:val="right" w:pos="3045"/>
              </w:tabs>
              <w:rPr>
                <w:rFonts w:ascii="Arial Narrow" w:hAnsi="Arial Narrow"/>
                <w:sz w:val="20"/>
                <w:lang w:eastAsia="en-AU"/>
              </w:rPr>
            </w:pPr>
            <w:r w:rsidRPr="00C0474D">
              <w:rPr>
                <w:rFonts w:ascii="Arial Narrow" w:hAnsi="Arial Narrow"/>
                <w:sz w:val="20"/>
                <w:lang w:eastAsia="en-AU"/>
              </w:rPr>
              <w:t xml:space="preserve">Total cost of </w:t>
            </w:r>
            <w:proofErr w:type="spellStart"/>
            <w:r w:rsidRPr="00C0474D">
              <w:rPr>
                <w:rFonts w:ascii="Arial Narrow" w:hAnsi="Arial Narrow"/>
                <w:sz w:val="20"/>
                <w:lang w:eastAsia="en-AU"/>
              </w:rPr>
              <w:t>daclizumab</w:t>
            </w:r>
            <w:proofErr w:type="spellEnd"/>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rsidR="003640D5" w:rsidRPr="00C0474D" w:rsidRDefault="003640D5" w:rsidP="009A045B">
            <w:pPr>
              <w:jc w:val="center"/>
              <w:rPr>
                <w:rFonts w:ascii="Arial Narrow" w:hAnsi="Arial Narrow"/>
                <w:sz w:val="20"/>
              </w:rPr>
            </w:pPr>
            <w:r w:rsidRPr="00C0474D">
              <w:rPr>
                <w:rFonts w:ascii="Arial Narrow" w:hAnsi="Arial Narrow"/>
                <w:sz w:val="20"/>
              </w:rPr>
              <w:t>$</w:t>
            </w:r>
            <w:r w:rsidR="00B33B3B">
              <w:rPr>
                <w:rFonts w:ascii="Arial Narrow" w:hAnsi="Arial Narrow"/>
                <w:noProof/>
                <w:color w:val="000000"/>
                <w:sz w:val="20"/>
                <w:highlight w:val="black"/>
              </w:rPr>
              <w:t>''''''''''''''''''''''''''</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rsidR="003640D5" w:rsidRPr="00C0474D" w:rsidRDefault="003640D5" w:rsidP="009A045B">
            <w:pPr>
              <w:jc w:val="center"/>
              <w:rPr>
                <w:rFonts w:ascii="Arial Narrow" w:hAnsi="Arial Narrow"/>
                <w:sz w:val="20"/>
              </w:rPr>
            </w:pPr>
            <w:r w:rsidRPr="00C0474D">
              <w:rPr>
                <w:rFonts w:ascii="Arial Narrow" w:hAnsi="Arial Narrow"/>
                <w:sz w:val="20"/>
              </w:rPr>
              <w:t>$</w:t>
            </w:r>
            <w:r w:rsidR="00B33B3B">
              <w:rPr>
                <w:rFonts w:ascii="Arial Narrow" w:hAnsi="Arial Narrow"/>
                <w:noProof/>
                <w:color w:val="000000"/>
                <w:sz w:val="20"/>
                <w:highlight w:val="black"/>
              </w:rPr>
              <w:t>'''''''''''''''''''''''''</w:t>
            </w:r>
          </w:p>
        </w:tc>
        <w:tc>
          <w:tcPr>
            <w:tcW w:w="715" w:type="pct"/>
            <w:tcBorders>
              <w:top w:val="single" w:sz="4" w:space="0" w:color="auto"/>
              <w:left w:val="single" w:sz="4" w:space="0" w:color="auto"/>
              <w:bottom w:val="single" w:sz="4" w:space="0" w:color="auto"/>
              <w:right w:val="single" w:sz="4" w:space="0" w:color="auto"/>
            </w:tcBorders>
            <w:shd w:val="clear" w:color="auto" w:fill="auto"/>
            <w:vAlign w:val="center"/>
          </w:tcPr>
          <w:p w:rsidR="003640D5" w:rsidRPr="00C0474D" w:rsidRDefault="003640D5" w:rsidP="009A045B">
            <w:pPr>
              <w:jc w:val="center"/>
              <w:rPr>
                <w:rFonts w:ascii="Arial Narrow" w:hAnsi="Arial Narrow"/>
                <w:sz w:val="20"/>
              </w:rPr>
            </w:pPr>
            <w:r w:rsidRPr="00C0474D">
              <w:rPr>
                <w:rFonts w:ascii="Arial Narrow" w:hAnsi="Arial Narrow"/>
                <w:sz w:val="20"/>
              </w:rPr>
              <w:t>$</w:t>
            </w:r>
            <w:r w:rsidR="00B33B3B">
              <w:rPr>
                <w:rFonts w:ascii="Arial Narrow" w:hAnsi="Arial Narrow"/>
                <w:noProof/>
                <w:color w:val="000000"/>
                <w:sz w:val="20"/>
                <w:highlight w:val="black"/>
              </w:rPr>
              <w:t>''''''''''''''''''''''''''</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rsidR="003640D5" w:rsidRPr="00C0474D" w:rsidRDefault="003640D5" w:rsidP="009A045B">
            <w:pPr>
              <w:jc w:val="center"/>
              <w:rPr>
                <w:rFonts w:ascii="Arial Narrow" w:hAnsi="Arial Narrow"/>
                <w:sz w:val="20"/>
              </w:rPr>
            </w:pPr>
            <w:r w:rsidRPr="00C0474D">
              <w:rPr>
                <w:rFonts w:ascii="Arial Narrow" w:hAnsi="Arial Narrow"/>
                <w:sz w:val="20"/>
              </w:rPr>
              <w:t>$</w:t>
            </w:r>
            <w:r w:rsidR="00B33B3B">
              <w:rPr>
                <w:rFonts w:ascii="Arial Narrow" w:hAnsi="Arial Narrow"/>
                <w:noProof/>
                <w:color w:val="000000"/>
                <w:sz w:val="20"/>
                <w:highlight w:val="black"/>
              </w:rPr>
              <w:t>''''''''''''''''''''''''''</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rsidR="003640D5" w:rsidRPr="00C0474D" w:rsidRDefault="003640D5" w:rsidP="009A045B">
            <w:pPr>
              <w:jc w:val="center"/>
              <w:rPr>
                <w:rFonts w:ascii="Arial Narrow" w:hAnsi="Arial Narrow"/>
                <w:sz w:val="20"/>
              </w:rPr>
            </w:pPr>
            <w:r w:rsidRPr="00C0474D">
              <w:rPr>
                <w:rFonts w:ascii="Arial Narrow" w:hAnsi="Arial Narrow"/>
                <w:sz w:val="20"/>
              </w:rPr>
              <w:t>$</w:t>
            </w:r>
            <w:r w:rsidR="00B33B3B">
              <w:rPr>
                <w:rFonts w:ascii="Arial Narrow" w:hAnsi="Arial Narrow"/>
                <w:noProof/>
                <w:color w:val="000000"/>
                <w:sz w:val="20"/>
                <w:highlight w:val="black"/>
              </w:rPr>
              <w:t>''''''''''''''''''''''''</w:t>
            </w:r>
          </w:p>
        </w:tc>
      </w:tr>
      <w:tr w:rsidR="003640D5" w:rsidRPr="00C0474D" w:rsidTr="003640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29" w:type="pct"/>
            <w:tcBorders>
              <w:top w:val="single" w:sz="4" w:space="0" w:color="auto"/>
              <w:left w:val="single" w:sz="4" w:space="0" w:color="auto"/>
              <w:bottom w:val="single" w:sz="4" w:space="0" w:color="auto"/>
              <w:right w:val="single" w:sz="4" w:space="0" w:color="auto"/>
            </w:tcBorders>
            <w:shd w:val="clear" w:color="auto" w:fill="auto"/>
            <w:vAlign w:val="bottom"/>
          </w:tcPr>
          <w:p w:rsidR="003640D5" w:rsidRPr="00C0474D" w:rsidRDefault="003640D5" w:rsidP="009A045B">
            <w:pPr>
              <w:tabs>
                <w:tab w:val="right" w:pos="3045"/>
              </w:tabs>
              <w:rPr>
                <w:rFonts w:ascii="Arial Narrow" w:hAnsi="Arial Narrow"/>
                <w:sz w:val="20"/>
                <w:lang w:eastAsia="en-AU"/>
              </w:rPr>
            </w:pPr>
            <w:r w:rsidRPr="00C0474D">
              <w:rPr>
                <w:rFonts w:ascii="Arial Narrow" w:hAnsi="Arial Narrow"/>
                <w:sz w:val="20"/>
                <w:lang w:eastAsia="en-AU"/>
              </w:rPr>
              <w:t xml:space="preserve">Cost of substituted </w:t>
            </w:r>
            <w:proofErr w:type="spellStart"/>
            <w:r w:rsidRPr="00C0474D">
              <w:rPr>
                <w:rFonts w:ascii="Arial Narrow" w:hAnsi="Arial Narrow"/>
                <w:sz w:val="20"/>
                <w:lang w:eastAsia="en-AU"/>
              </w:rPr>
              <w:t>fingolimod</w:t>
            </w:r>
            <w:proofErr w:type="spellEnd"/>
            <w:r w:rsidRPr="00C0474D">
              <w:rPr>
                <w:rFonts w:ascii="Arial Narrow" w:hAnsi="Arial Narrow"/>
                <w:sz w:val="20"/>
                <w:lang w:eastAsia="en-AU"/>
              </w:rPr>
              <w:t xml:space="preserve"> scripts (published DPMQ less co-pay)</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rsidR="003640D5" w:rsidRPr="00C0474D" w:rsidRDefault="003640D5" w:rsidP="009A045B">
            <w:pPr>
              <w:jc w:val="center"/>
              <w:rPr>
                <w:rFonts w:ascii="Arial Narrow" w:hAnsi="Arial Narrow"/>
                <w:sz w:val="20"/>
              </w:rPr>
            </w:pPr>
            <w:r w:rsidRPr="00C0474D">
              <w:rPr>
                <w:rFonts w:ascii="Arial Narrow" w:hAnsi="Arial Narrow"/>
                <w:sz w:val="20"/>
              </w:rPr>
              <w:t>-$</w:t>
            </w:r>
            <w:r w:rsidR="00B33B3B">
              <w:rPr>
                <w:rFonts w:ascii="Arial Narrow" w:hAnsi="Arial Narrow"/>
                <w:noProof/>
                <w:color w:val="000000"/>
                <w:sz w:val="20"/>
                <w:highlight w:val="black"/>
              </w:rPr>
              <w:t>''''''''''''''''''''''''''</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rsidR="003640D5" w:rsidRPr="00C0474D" w:rsidRDefault="003640D5" w:rsidP="009A045B">
            <w:pPr>
              <w:jc w:val="center"/>
              <w:rPr>
                <w:rFonts w:ascii="Arial Narrow" w:hAnsi="Arial Narrow"/>
                <w:sz w:val="20"/>
              </w:rPr>
            </w:pPr>
            <w:r w:rsidRPr="00C0474D">
              <w:rPr>
                <w:rFonts w:ascii="Arial Narrow" w:hAnsi="Arial Narrow"/>
                <w:sz w:val="20"/>
              </w:rPr>
              <w:t>-$</w:t>
            </w:r>
            <w:r w:rsidR="00B33B3B">
              <w:rPr>
                <w:rFonts w:ascii="Arial Narrow" w:hAnsi="Arial Narrow"/>
                <w:noProof/>
                <w:color w:val="000000"/>
                <w:sz w:val="20"/>
                <w:highlight w:val="black"/>
              </w:rPr>
              <w:t>''''''''''''''''''''''''''</w:t>
            </w:r>
          </w:p>
        </w:tc>
        <w:tc>
          <w:tcPr>
            <w:tcW w:w="715" w:type="pct"/>
            <w:tcBorders>
              <w:top w:val="single" w:sz="4" w:space="0" w:color="auto"/>
              <w:left w:val="single" w:sz="4" w:space="0" w:color="auto"/>
              <w:bottom w:val="single" w:sz="4" w:space="0" w:color="auto"/>
              <w:right w:val="single" w:sz="4" w:space="0" w:color="auto"/>
            </w:tcBorders>
            <w:shd w:val="clear" w:color="auto" w:fill="auto"/>
            <w:vAlign w:val="center"/>
          </w:tcPr>
          <w:p w:rsidR="003640D5" w:rsidRPr="00C0474D" w:rsidRDefault="003640D5" w:rsidP="009A045B">
            <w:pPr>
              <w:jc w:val="center"/>
              <w:rPr>
                <w:rFonts w:ascii="Arial Narrow" w:hAnsi="Arial Narrow"/>
                <w:sz w:val="20"/>
              </w:rPr>
            </w:pPr>
            <w:r w:rsidRPr="00C0474D">
              <w:rPr>
                <w:rFonts w:ascii="Arial Narrow" w:hAnsi="Arial Narrow"/>
                <w:sz w:val="20"/>
              </w:rPr>
              <w:t>-$</w:t>
            </w:r>
            <w:r w:rsidR="00B33B3B">
              <w:rPr>
                <w:rFonts w:ascii="Arial Narrow" w:hAnsi="Arial Narrow"/>
                <w:noProof/>
                <w:color w:val="000000"/>
                <w:sz w:val="20"/>
                <w:highlight w:val="black"/>
              </w:rPr>
              <w:t>''''''''''''''''''''''''''''</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rsidR="003640D5" w:rsidRPr="00C0474D" w:rsidRDefault="003640D5" w:rsidP="009A045B">
            <w:pPr>
              <w:jc w:val="center"/>
              <w:rPr>
                <w:rFonts w:ascii="Arial Narrow" w:hAnsi="Arial Narrow"/>
                <w:sz w:val="20"/>
              </w:rPr>
            </w:pPr>
            <w:r w:rsidRPr="00C0474D">
              <w:rPr>
                <w:rFonts w:ascii="Arial Narrow" w:hAnsi="Arial Narrow"/>
                <w:sz w:val="20"/>
              </w:rPr>
              <w:t>-$</w:t>
            </w:r>
            <w:r w:rsidR="00B33B3B">
              <w:rPr>
                <w:rFonts w:ascii="Arial Narrow" w:hAnsi="Arial Narrow"/>
                <w:noProof/>
                <w:color w:val="000000"/>
                <w:sz w:val="20"/>
                <w:highlight w:val="black"/>
              </w:rPr>
              <w:t>'''''''''''''''''''''''''''</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rsidR="003640D5" w:rsidRPr="00C0474D" w:rsidRDefault="003640D5" w:rsidP="009A045B">
            <w:pPr>
              <w:jc w:val="center"/>
              <w:rPr>
                <w:rFonts w:ascii="Arial Narrow" w:hAnsi="Arial Narrow"/>
                <w:sz w:val="20"/>
              </w:rPr>
            </w:pPr>
            <w:r w:rsidRPr="00C0474D">
              <w:rPr>
                <w:rFonts w:ascii="Arial Narrow" w:hAnsi="Arial Narrow"/>
                <w:sz w:val="20"/>
              </w:rPr>
              <w:t>-$</w:t>
            </w:r>
            <w:r w:rsidR="00B33B3B">
              <w:rPr>
                <w:rFonts w:ascii="Arial Narrow" w:hAnsi="Arial Narrow"/>
                <w:noProof/>
                <w:color w:val="000000"/>
                <w:sz w:val="20"/>
                <w:highlight w:val="black"/>
              </w:rPr>
              <w:t>'''''''''''''''''''''''''''</w:t>
            </w:r>
          </w:p>
        </w:tc>
      </w:tr>
      <w:tr w:rsidR="003640D5" w:rsidRPr="00C0474D" w:rsidTr="003640D5">
        <w:tc>
          <w:tcPr>
            <w:tcW w:w="1429" w:type="pct"/>
            <w:shd w:val="clear" w:color="auto" w:fill="auto"/>
            <w:vAlign w:val="bottom"/>
          </w:tcPr>
          <w:p w:rsidR="003640D5" w:rsidRPr="00C0474D" w:rsidRDefault="003640D5" w:rsidP="009A045B">
            <w:pPr>
              <w:rPr>
                <w:rFonts w:ascii="Arial Narrow" w:hAnsi="Arial Narrow"/>
                <w:b/>
                <w:sz w:val="20"/>
                <w:lang w:eastAsia="en-AU"/>
              </w:rPr>
            </w:pPr>
            <w:r w:rsidRPr="00C0474D">
              <w:rPr>
                <w:rFonts w:ascii="Arial Narrow" w:hAnsi="Arial Narrow"/>
                <w:b/>
                <w:sz w:val="20"/>
                <w:lang w:eastAsia="en-AU"/>
              </w:rPr>
              <w:t>Net cost to the PBS/RPBS</w:t>
            </w:r>
          </w:p>
        </w:tc>
        <w:tc>
          <w:tcPr>
            <w:tcW w:w="714" w:type="pct"/>
            <w:shd w:val="clear" w:color="auto" w:fill="auto"/>
            <w:noWrap/>
            <w:vAlign w:val="center"/>
          </w:tcPr>
          <w:p w:rsidR="003640D5" w:rsidRPr="00C0474D" w:rsidRDefault="003640D5" w:rsidP="009A045B">
            <w:pPr>
              <w:jc w:val="center"/>
              <w:rPr>
                <w:rFonts w:ascii="Arial Narrow" w:hAnsi="Arial Narrow"/>
                <w:b/>
                <w:sz w:val="20"/>
              </w:rPr>
            </w:pPr>
            <w:r w:rsidRPr="00C0474D">
              <w:rPr>
                <w:rFonts w:ascii="Arial Narrow" w:hAnsi="Arial Narrow"/>
                <w:b/>
                <w:sz w:val="20"/>
              </w:rPr>
              <w:t>-$</w:t>
            </w:r>
            <w:r w:rsidR="00B33B3B">
              <w:rPr>
                <w:rFonts w:ascii="Arial Narrow" w:hAnsi="Arial Narrow"/>
                <w:b/>
                <w:noProof/>
                <w:color w:val="000000"/>
                <w:sz w:val="20"/>
                <w:highlight w:val="black"/>
              </w:rPr>
              <w:t>''''''''''''</w:t>
            </w:r>
          </w:p>
        </w:tc>
        <w:tc>
          <w:tcPr>
            <w:tcW w:w="714" w:type="pct"/>
            <w:shd w:val="clear" w:color="auto" w:fill="auto"/>
            <w:noWrap/>
            <w:vAlign w:val="center"/>
          </w:tcPr>
          <w:p w:rsidR="003640D5" w:rsidRPr="00C0474D" w:rsidRDefault="003640D5" w:rsidP="009A045B">
            <w:pPr>
              <w:jc w:val="center"/>
              <w:rPr>
                <w:rFonts w:ascii="Arial Narrow" w:hAnsi="Arial Narrow"/>
                <w:b/>
                <w:sz w:val="20"/>
              </w:rPr>
            </w:pPr>
            <w:r w:rsidRPr="00C0474D">
              <w:rPr>
                <w:rFonts w:ascii="Arial Narrow" w:hAnsi="Arial Narrow"/>
                <w:b/>
                <w:sz w:val="20"/>
              </w:rPr>
              <w:t>-$</w:t>
            </w:r>
            <w:r w:rsidR="00B33B3B">
              <w:rPr>
                <w:rFonts w:ascii="Arial Narrow" w:hAnsi="Arial Narrow"/>
                <w:b/>
                <w:noProof/>
                <w:color w:val="000000"/>
                <w:sz w:val="20"/>
                <w:highlight w:val="black"/>
              </w:rPr>
              <w:t>'''''''''''''''''</w:t>
            </w:r>
          </w:p>
        </w:tc>
        <w:tc>
          <w:tcPr>
            <w:tcW w:w="715" w:type="pct"/>
            <w:shd w:val="clear" w:color="auto" w:fill="auto"/>
            <w:noWrap/>
            <w:vAlign w:val="center"/>
          </w:tcPr>
          <w:p w:rsidR="003640D5" w:rsidRPr="00C0474D" w:rsidRDefault="003640D5" w:rsidP="009A045B">
            <w:pPr>
              <w:jc w:val="center"/>
              <w:rPr>
                <w:rFonts w:ascii="Arial Narrow" w:hAnsi="Arial Narrow"/>
                <w:b/>
                <w:sz w:val="20"/>
              </w:rPr>
            </w:pPr>
            <w:r w:rsidRPr="00C0474D">
              <w:rPr>
                <w:rFonts w:ascii="Arial Narrow" w:hAnsi="Arial Narrow"/>
                <w:b/>
                <w:sz w:val="20"/>
              </w:rPr>
              <w:t>-$</w:t>
            </w:r>
            <w:r w:rsidR="00B33B3B">
              <w:rPr>
                <w:rFonts w:ascii="Arial Narrow" w:hAnsi="Arial Narrow"/>
                <w:b/>
                <w:noProof/>
                <w:color w:val="000000"/>
                <w:sz w:val="20"/>
                <w:highlight w:val="black"/>
              </w:rPr>
              <w:t>'''''''''''''''</w:t>
            </w:r>
          </w:p>
        </w:tc>
        <w:tc>
          <w:tcPr>
            <w:tcW w:w="714" w:type="pct"/>
            <w:shd w:val="clear" w:color="auto" w:fill="auto"/>
            <w:noWrap/>
            <w:vAlign w:val="center"/>
          </w:tcPr>
          <w:p w:rsidR="003640D5" w:rsidRPr="00C0474D" w:rsidRDefault="003640D5" w:rsidP="009A045B">
            <w:pPr>
              <w:jc w:val="center"/>
              <w:rPr>
                <w:rFonts w:ascii="Arial Narrow" w:hAnsi="Arial Narrow"/>
                <w:b/>
                <w:sz w:val="20"/>
              </w:rPr>
            </w:pPr>
            <w:r w:rsidRPr="00C0474D">
              <w:rPr>
                <w:rFonts w:ascii="Arial Narrow" w:hAnsi="Arial Narrow"/>
                <w:b/>
                <w:sz w:val="20"/>
              </w:rPr>
              <w:t>-$</w:t>
            </w:r>
            <w:r w:rsidR="00B33B3B">
              <w:rPr>
                <w:rFonts w:ascii="Arial Narrow" w:hAnsi="Arial Narrow"/>
                <w:b/>
                <w:noProof/>
                <w:color w:val="000000"/>
                <w:sz w:val="20"/>
                <w:highlight w:val="black"/>
              </w:rPr>
              <w:t>'''''''''''''''''</w:t>
            </w:r>
          </w:p>
        </w:tc>
        <w:tc>
          <w:tcPr>
            <w:tcW w:w="714" w:type="pct"/>
            <w:shd w:val="clear" w:color="auto" w:fill="auto"/>
            <w:noWrap/>
            <w:vAlign w:val="center"/>
          </w:tcPr>
          <w:p w:rsidR="003640D5" w:rsidRPr="00C0474D" w:rsidRDefault="003640D5" w:rsidP="009A045B">
            <w:pPr>
              <w:jc w:val="center"/>
              <w:rPr>
                <w:rFonts w:ascii="Arial Narrow" w:hAnsi="Arial Narrow"/>
                <w:b/>
                <w:sz w:val="20"/>
              </w:rPr>
            </w:pPr>
            <w:r w:rsidRPr="00C0474D">
              <w:rPr>
                <w:rFonts w:ascii="Arial Narrow" w:hAnsi="Arial Narrow"/>
                <w:b/>
                <w:sz w:val="20"/>
              </w:rPr>
              <w:t>-$</w:t>
            </w:r>
            <w:r w:rsidR="00B33B3B">
              <w:rPr>
                <w:rFonts w:ascii="Arial Narrow" w:hAnsi="Arial Narrow"/>
                <w:b/>
                <w:noProof/>
                <w:color w:val="000000"/>
                <w:sz w:val="20"/>
                <w:highlight w:val="black"/>
              </w:rPr>
              <w:t>'''''''''''''''''</w:t>
            </w:r>
          </w:p>
        </w:tc>
      </w:tr>
      <w:tr w:rsidR="003640D5" w:rsidRPr="00C0474D" w:rsidTr="003640D5">
        <w:tc>
          <w:tcPr>
            <w:tcW w:w="1429" w:type="pct"/>
            <w:shd w:val="clear" w:color="auto" w:fill="auto"/>
            <w:vAlign w:val="bottom"/>
          </w:tcPr>
          <w:p w:rsidR="003640D5" w:rsidRPr="00C0474D" w:rsidRDefault="003640D5" w:rsidP="009A045B">
            <w:pPr>
              <w:rPr>
                <w:rFonts w:ascii="Arial Narrow" w:hAnsi="Arial Narrow"/>
                <w:sz w:val="20"/>
                <w:lang w:eastAsia="en-AU"/>
              </w:rPr>
            </w:pPr>
            <w:r w:rsidRPr="00C0474D">
              <w:rPr>
                <w:rFonts w:ascii="Arial Narrow" w:hAnsi="Arial Narrow"/>
                <w:sz w:val="20"/>
                <w:lang w:eastAsia="en-AU"/>
              </w:rPr>
              <w:t xml:space="preserve">Cost of liver function testing </w:t>
            </w:r>
          </w:p>
          <w:p w:rsidR="003640D5" w:rsidRPr="00C0474D" w:rsidRDefault="003640D5" w:rsidP="009A045B">
            <w:pPr>
              <w:rPr>
                <w:rFonts w:ascii="Arial Narrow" w:hAnsi="Arial Narrow"/>
                <w:sz w:val="20"/>
                <w:lang w:eastAsia="en-AU"/>
              </w:rPr>
            </w:pPr>
            <w:r w:rsidRPr="00C0474D">
              <w:rPr>
                <w:rFonts w:ascii="Arial Narrow" w:hAnsi="Arial Narrow"/>
                <w:sz w:val="20"/>
                <w:lang w:eastAsia="en-AU"/>
              </w:rPr>
              <w:t>($17.70 per script)</w:t>
            </w:r>
          </w:p>
        </w:tc>
        <w:tc>
          <w:tcPr>
            <w:tcW w:w="714" w:type="pct"/>
            <w:shd w:val="clear" w:color="auto" w:fill="auto"/>
            <w:noWrap/>
            <w:vAlign w:val="center"/>
          </w:tcPr>
          <w:p w:rsidR="003640D5" w:rsidRPr="00C0474D" w:rsidRDefault="003640D5" w:rsidP="009A045B">
            <w:pPr>
              <w:jc w:val="center"/>
              <w:rPr>
                <w:rFonts w:ascii="Arial Narrow" w:hAnsi="Arial Narrow"/>
                <w:sz w:val="20"/>
              </w:rPr>
            </w:pPr>
            <w:r w:rsidRPr="00C0474D">
              <w:rPr>
                <w:rFonts w:ascii="Arial Narrow" w:hAnsi="Arial Narrow"/>
                <w:sz w:val="20"/>
              </w:rPr>
              <w:t>$</w:t>
            </w:r>
            <w:r w:rsidR="00B33B3B">
              <w:rPr>
                <w:rFonts w:ascii="Arial Narrow" w:hAnsi="Arial Narrow"/>
                <w:noProof/>
                <w:color w:val="000000"/>
                <w:sz w:val="20"/>
                <w:highlight w:val="black"/>
              </w:rPr>
              <w:t>''''''''''''''''</w:t>
            </w:r>
          </w:p>
        </w:tc>
        <w:tc>
          <w:tcPr>
            <w:tcW w:w="714" w:type="pct"/>
            <w:shd w:val="clear" w:color="auto" w:fill="auto"/>
            <w:noWrap/>
            <w:vAlign w:val="center"/>
          </w:tcPr>
          <w:p w:rsidR="003640D5" w:rsidRPr="00C0474D" w:rsidRDefault="003640D5" w:rsidP="009A045B">
            <w:pPr>
              <w:jc w:val="center"/>
              <w:rPr>
                <w:rFonts w:ascii="Arial Narrow" w:hAnsi="Arial Narrow"/>
                <w:sz w:val="20"/>
              </w:rPr>
            </w:pPr>
            <w:r w:rsidRPr="00C0474D">
              <w:rPr>
                <w:rFonts w:ascii="Arial Narrow" w:hAnsi="Arial Narrow"/>
                <w:sz w:val="20"/>
              </w:rPr>
              <w:t>$</w:t>
            </w:r>
            <w:r w:rsidR="00B33B3B">
              <w:rPr>
                <w:rFonts w:ascii="Arial Narrow" w:hAnsi="Arial Narrow"/>
                <w:noProof/>
                <w:color w:val="000000"/>
                <w:sz w:val="20"/>
                <w:highlight w:val="black"/>
              </w:rPr>
              <w:t>'''''''''''''''''</w:t>
            </w:r>
          </w:p>
        </w:tc>
        <w:tc>
          <w:tcPr>
            <w:tcW w:w="715" w:type="pct"/>
            <w:shd w:val="clear" w:color="auto" w:fill="auto"/>
            <w:noWrap/>
            <w:vAlign w:val="center"/>
          </w:tcPr>
          <w:p w:rsidR="003640D5" w:rsidRPr="00C0474D" w:rsidRDefault="003640D5" w:rsidP="009A045B">
            <w:pPr>
              <w:jc w:val="center"/>
              <w:rPr>
                <w:rFonts w:ascii="Arial Narrow" w:hAnsi="Arial Narrow"/>
                <w:sz w:val="20"/>
              </w:rPr>
            </w:pPr>
            <w:r w:rsidRPr="00C0474D">
              <w:rPr>
                <w:rFonts w:ascii="Arial Narrow" w:hAnsi="Arial Narrow"/>
                <w:sz w:val="20"/>
              </w:rPr>
              <w:t>$</w:t>
            </w:r>
            <w:r w:rsidR="00B33B3B">
              <w:rPr>
                <w:rFonts w:ascii="Arial Narrow" w:hAnsi="Arial Narrow"/>
                <w:noProof/>
                <w:color w:val="000000"/>
                <w:sz w:val="20"/>
                <w:highlight w:val="black"/>
              </w:rPr>
              <w:t>''''''''''''''''''''</w:t>
            </w:r>
          </w:p>
        </w:tc>
        <w:tc>
          <w:tcPr>
            <w:tcW w:w="714" w:type="pct"/>
            <w:shd w:val="clear" w:color="auto" w:fill="auto"/>
            <w:noWrap/>
            <w:vAlign w:val="center"/>
          </w:tcPr>
          <w:p w:rsidR="003640D5" w:rsidRPr="00C0474D" w:rsidRDefault="003640D5" w:rsidP="009A045B">
            <w:pPr>
              <w:jc w:val="center"/>
              <w:rPr>
                <w:rFonts w:ascii="Arial Narrow" w:hAnsi="Arial Narrow"/>
                <w:sz w:val="20"/>
              </w:rPr>
            </w:pPr>
            <w:r w:rsidRPr="00C0474D">
              <w:rPr>
                <w:rFonts w:ascii="Arial Narrow" w:hAnsi="Arial Narrow"/>
                <w:sz w:val="20"/>
              </w:rPr>
              <w:t>$</w:t>
            </w:r>
            <w:r w:rsidR="00B33B3B">
              <w:rPr>
                <w:rFonts w:ascii="Arial Narrow" w:hAnsi="Arial Narrow"/>
                <w:noProof/>
                <w:color w:val="000000"/>
                <w:sz w:val="20"/>
                <w:highlight w:val="black"/>
              </w:rPr>
              <w:t>'''''''''''''''''''</w:t>
            </w:r>
          </w:p>
        </w:tc>
        <w:tc>
          <w:tcPr>
            <w:tcW w:w="714" w:type="pct"/>
            <w:shd w:val="clear" w:color="auto" w:fill="auto"/>
            <w:noWrap/>
            <w:vAlign w:val="center"/>
          </w:tcPr>
          <w:p w:rsidR="003640D5" w:rsidRPr="00C0474D" w:rsidRDefault="003640D5" w:rsidP="009A045B">
            <w:pPr>
              <w:jc w:val="center"/>
              <w:rPr>
                <w:rFonts w:ascii="Arial Narrow" w:hAnsi="Arial Narrow"/>
                <w:sz w:val="20"/>
              </w:rPr>
            </w:pPr>
            <w:r w:rsidRPr="00C0474D">
              <w:rPr>
                <w:rFonts w:ascii="Arial Narrow" w:hAnsi="Arial Narrow"/>
                <w:sz w:val="20"/>
              </w:rPr>
              <w:t>$</w:t>
            </w:r>
            <w:r w:rsidR="00B33B3B">
              <w:rPr>
                <w:rFonts w:ascii="Arial Narrow" w:hAnsi="Arial Narrow"/>
                <w:noProof/>
                <w:color w:val="000000"/>
                <w:sz w:val="20"/>
                <w:highlight w:val="black"/>
              </w:rPr>
              <w:t>'''''''''''''''''</w:t>
            </w:r>
          </w:p>
        </w:tc>
      </w:tr>
      <w:tr w:rsidR="003640D5" w:rsidRPr="00C0474D" w:rsidTr="003640D5">
        <w:tc>
          <w:tcPr>
            <w:tcW w:w="1429" w:type="pct"/>
            <w:shd w:val="clear" w:color="auto" w:fill="auto"/>
            <w:vAlign w:val="bottom"/>
          </w:tcPr>
          <w:p w:rsidR="003640D5" w:rsidRPr="00C0474D" w:rsidRDefault="003640D5" w:rsidP="009A045B">
            <w:pPr>
              <w:rPr>
                <w:rFonts w:ascii="Arial Narrow" w:hAnsi="Arial Narrow"/>
                <w:b/>
                <w:sz w:val="20"/>
                <w:vertAlign w:val="superscript"/>
                <w:lang w:eastAsia="en-AU"/>
              </w:rPr>
            </w:pPr>
            <w:r w:rsidRPr="00C0474D">
              <w:rPr>
                <w:rFonts w:ascii="Arial Narrow" w:hAnsi="Arial Narrow"/>
                <w:b/>
                <w:sz w:val="20"/>
                <w:lang w:eastAsia="en-AU"/>
              </w:rPr>
              <w:t xml:space="preserve">Net cost to </w:t>
            </w:r>
            <w:proofErr w:type="spellStart"/>
            <w:r w:rsidRPr="00C0474D">
              <w:rPr>
                <w:rFonts w:ascii="Arial Narrow" w:hAnsi="Arial Narrow"/>
                <w:b/>
                <w:sz w:val="20"/>
                <w:lang w:eastAsia="en-AU"/>
              </w:rPr>
              <w:t>government</w:t>
            </w:r>
            <w:r w:rsidRPr="00C0474D">
              <w:rPr>
                <w:rFonts w:ascii="Arial Narrow" w:hAnsi="Arial Narrow"/>
                <w:b/>
                <w:sz w:val="20"/>
                <w:vertAlign w:val="superscript"/>
                <w:lang w:eastAsia="en-AU"/>
              </w:rPr>
              <w:t>b</w:t>
            </w:r>
            <w:proofErr w:type="spellEnd"/>
          </w:p>
        </w:tc>
        <w:tc>
          <w:tcPr>
            <w:tcW w:w="714" w:type="pct"/>
            <w:shd w:val="clear" w:color="auto" w:fill="auto"/>
            <w:noWrap/>
            <w:vAlign w:val="center"/>
          </w:tcPr>
          <w:p w:rsidR="003640D5" w:rsidRPr="00C0474D" w:rsidRDefault="003640D5" w:rsidP="009A045B">
            <w:pPr>
              <w:jc w:val="center"/>
              <w:rPr>
                <w:rFonts w:ascii="Arial Narrow" w:hAnsi="Arial Narrow"/>
                <w:b/>
                <w:sz w:val="20"/>
              </w:rPr>
            </w:pPr>
            <w:r w:rsidRPr="00C0474D">
              <w:rPr>
                <w:rFonts w:ascii="Arial Narrow" w:hAnsi="Arial Narrow"/>
                <w:b/>
                <w:sz w:val="20"/>
              </w:rPr>
              <w:t>$</w:t>
            </w:r>
            <w:r w:rsidR="00B33B3B">
              <w:rPr>
                <w:rFonts w:ascii="Arial Narrow" w:hAnsi="Arial Narrow"/>
                <w:b/>
                <w:noProof/>
                <w:color w:val="000000"/>
                <w:sz w:val="20"/>
                <w:highlight w:val="black"/>
              </w:rPr>
              <w:t>'''''''''''</w:t>
            </w:r>
          </w:p>
        </w:tc>
        <w:tc>
          <w:tcPr>
            <w:tcW w:w="714" w:type="pct"/>
            <w:shd w:val="clear" w:color="auto" w:fill="auto"/>
            <w:noWrap/>
            <w:vAlign w:val="center"/>
          </w:tcPr>
          <w:p w:rsidR="003640D5" w:rsidRPr="00C0474D" w:rsidRDefault="003640D5" w:rsidP="009A045B">
            <w:pPr>
              <w:jc w:val="center"/>
              <w:rPr>
                <w:rFonts w:ascii="Arial Narrow" w:hAnsi="Arial Narrow"/>
                <w:b/>
                <w:sz w:val="20"/>
              </w:rPr>
            </w:pPr>
            <w:r w:rsidRPr="00C0474D">
              <w:rPr>
                <w:rFonts w:ascii="Arial Narrow" w:hAnsi="Arial Narrow"/>
                <w:b/>
                <w:sz w:val="20"/>
              </w:rPr>
              <w:t>$</w:t>
            </w:r>
            <w:r w:rsidR="00B33B3B">
              <w:rPr>
                <w:rFonts w:ascii="Arial Narrow" w:hAnsi="Arial Narrow"/>
                <w:b/>
                <w:noProof/>
                <w:color w:val="000000"/>
                <w:sz w:val="20"/>
                <w:highlight w:val="black"/>
              </w:rPr>
              <w:t>''''''''''''''</w:t>
            </w:r>
          </w:p>
        </w:tc>
        <w:tc>
          <w:tcPr>
            <w:tcW w:w="715" w:type="pct"/>
            <w:shd w:val="clear" w:color="auto" w:fill="auto"/>
            <w:noWrap/>
            <w:vAlign w:val="center"/>
          </w:tcPr>
          <w:p w:rsidR="003640D5" w:rsidRPr="00C0474D" w:rsidRDefault="003640D5" w:rsidP="009A045B">
            <w:pPr>
              <w:jc w:val="center"/>
              <w:rPr>
                <w:rFonts w:ascii="Arial Narrow" w:hAnsi="Arial Narrow"/>
                <w:b/>
                <w:sz w:val="20"/>
              </w:rPr>
            </w:pPr>
            <w:r w:rsidRPr="00C0474D">
              <w:rPr>
                <w:rFonts w:ascii="Arial Narrow" w:hAnsi="Arial Narrow"/>
                <w:b/>
                <w:sz w:val="20"/>
              </w:rPr>
              <w:t>$</w:t>
            </w:r>
            <w:r w:rsidR="00B33B3B">
              <w:rPr>
                <w:rFonts w:ascii="Arial Narrow" w:hAnsi="Arial Narrow"/>
                <w:b/>
                <w:noProof/>
                <w:color w:val="000000"/>
                <w:sz w:val="20"/>
                <w:highlight w:val="black"/>
              </w:rPr>
              <w:t>'''''''''''''</w:t>
            </w:r>
          </w:p>
        </w:tc>
        <w:tc>
          <w:tcPr>
            <w:tcW w:w="714" w:type="pct"/>
            <w:shd w:val="clear" w:color="auto" w:fill="auto"/>
            <w:noWrap/>
            <w:vAlign w:val="center"/>
          </w:tcPr>
          <w:p w:rsidR="003640D5" w:rsidRPr="00C0474D" w:rsidRDefault="003640D5" w:rsidP="009A045B">
            <w:pPr>
              <w:jc w:val="center"/>
              <w:rPr>
                <w:rFonts w:ascii="Arial Narrow" w:hAnsi="Arial Narrow"/>
                <w:b/>
                <w:sz w:val="20"/>
              </w:rPr>
            </w:pPr>
            <w:r w:rsidRPr="00C0474D">
              <w:rPr>
                <w:rFonts w:ascii="Arial Narrow" w:hAnsi="Arial Narrow"/>
                <w:b/>
                <w:sz w:val="20"/>
              </w:rPr>
              <w:t>$</w:t>
            </w:r>
            <w:r w:rsidR="00B33B3B">
              <w:rPr>
                <w:rFonts w:ascii="Arial Narrow" w:hAnsi="Arial Narrow"/>
                <w:b/>
                <w:noProof/>
                <w:color w:val="000000"/>
                <w:sz w:val="20"/>
                <w:highlight w:val="black"/>
              </w:rPr>
              <w:t>'''''''''''''</w:t>
            </w:r>
          </w:p>
        </w:tc>
        <w:tc>
          <w:tcPr>
            <w:tcW w:w="714" w:type="pct"/>
            <w:shd w:val="clear" w:color="auto" w:fill="auto"/>
            <w:noWrap/>
            <w:vAlign w:val="center"/>
          </w:tcPr>
          <w:p w:rsidR="003640D5" w:rsidRPr="00C0474D" w:rsidRDefault="003640D5" w:rsidP="009A045B">
            <w:pPr>
              <w:jc w:val="center"/>
              <w:rPr>
                <w:rFonts w:ascii="Arial Narrow" w:hAnsi="Arial Narrow"/>
                <w:b/>
                <w:sz w:val="20"/>
              </w:rPr>
            </w:pPr>
            <w:r w:rsidRPr="00C0474D">
              <w:rPr>
                <w:rFonts w:ascii="Arial Narrow" w:hAnsi="Arial Narrow"/>
                <w:b/>
                <w:sz w:val="20"/>
              </w:rPr>
              <w:t>$</w:t>
            </w:r>
            <w:r w:rsidR="00B33B3B">
              <w:rPr>
                <w:rFonts w:ascii="Arial Narrow" w:hAnsi="Arial Narrow"/>
                <w:b/>
                <w:noProof/>
                <w:color w:val="000000"/>
                <w:sz w:val="20"/>
                <w:highlight w:val="black"/>
              </w:rPr>
              <w:t>'''''''''''''</w:t>
            </w:r>
          </w:p>
        </w:tc>
      </w:tr>
    </w:tbl>
    <w:p w:rsidR="003640D5" w:rsidRPr="00C0474D" w:rsidRDefault="003640D5" w:rsidP="003640D5">
      <w:pPr>
        <w:pStyle w:val="ListParagraph"/>
        <w:rPr>
          <w:rFonts w:ascii="Arial Narrow" w:hAnsi="Arial Narrow"/>
          <w:sz w:val="18"/>
          <w:szCs w:val="18"/>
        </w:rPr>
      </w:pPr>
      <w:r w:rsidRPr="00C0474D">
        <w:rPr>
          <w:rFonts w:ascii="Arial Narrow" w:hAnsi="Arial Narrow"/>
          <w:sz w:val="18"/>
          <w:szCs w:val="18"/>
        </w:rPr>
        <w:t>Abbreviations: DPMQ, dispensed price for maximum quantity; MS, multiple sclerosis; PBS, Pharmaceutical Benefits Scheme; RPBS Repatriation Pharmaceutical Benefits Scheme</w:t>
      </w:r>
    </w:p>
    <w:p w:rsidR="003640D5" w:rsidRPr="00C0474D" w:rsidRDefault="003640D5" w:rsidP="003640D5">
      <w:pPr>
        <w:pStyle w:val="COMBody"/>
        <w:ind w:left="720"/>
        <w:rPr>
          <w:rFonts w:ascii="Arial Narrow" w:hAnsi="Arial Narrow"/>
          <w:sz w:val="18"/>
        </w:rPr>
      </w:pPr>
      <w:r w:rsidRPr="00C0474D">
        <w:rPr>
          <w:rFonts w:ascii="Arial Narrow" w:hAnsi="Arial Narrow"/>
          <w:sz w:val="18"/>
        </w:rPr>
        <w:t>Source: Table E.1-3 (p 138), Table E.1-4 (p 139), Table E.1-5 (p 140), Table E.2-1 (p 142), Table E.2-2 (p 142), Table E.4-1 (p 143), Table E.5-2 (p 144), Table E.5-3 (p 144) of the submission</w:t>
      </w:r>
    </w:p>
    <w:p w:rsidR="003640D5" w:rsidRPr="00C0474D" w:rsidRDefault="003640D5" w:rsidP="003640D5">
      <w:pPr>
        <w:pStyle w:val="COMBody"/>
        <w:ind w:firstLine="720"/>
        <w:rPr>
          <w:rFonts w:ascii="Arial Narrow" w:hAnsi="Arial Narrow"/>
          <w:sz w:val="18"/>
        </w:rPr>
      </w:pPr>
      <w:r w:rsidRPr="00C0474D">
        <w:rPr>
          <w:rFonts w:ascii="Arial Narrow" w:hAnsi="Arial Narrow"/>
          <w:sz w:val="18"/>
          <w:vertAlign w:val="superscript"/>
        </w:rPr>
        <w:t>a</w:t>
      </w:r>
      <w:r w:rsidRPr="00C0474D">
        <w:rPr>
          <w:rFonts w:ascii="Arial Narrow" w:hAnsi="Arial Narrow"/>
          <w:sz w:val="18"/>
        </w:rPr>
        <w:t xml:space="preserve"> Uptake rates are the equivalent of 2%, 5%, 7%, 9% and 10% of the overall PBS market for MS therapies</w:t>
      </w:r>
    </w:p>
    <w:p w:rsidR="003640D5" w:rsidRPr="00C0474D" w:rsidRDefault="003640D5" w:rsidP="003640D5">
      <w:pPr>
        <w:pStyle w:val="COMBody"/>
        <w:ind w:firstLine="720"/>
        <w:rPr>
          <w:rFonts w:ascii="Arial Narrow" w:hAnsi="Arial Narrow"/>
          <w:sz w:val="18"/>
        </w:rPr>
      </w:pPr>
      <w:r w:rsidRPr="00C0474D">
        <w:rPr>
          <w:rFonts w:ascii="Arial Narrow" w:hAnsi="Arial Narrow"/>
          <w:sz w:val="18"/>
          <w:vertAlign w:val="superscript"/>
        </w:rPr>
        <w:t>b</w:t>
      </w:r>
      <w:r w:rsidRPr="00C0474D">
        <w:rPr>
          <w:rFonts w:ascii="Arial Narrow" w:hAnsi="Arial Narrow"/>
          <w:sz w:val="18"/>
        </w:rPr>
        <w:t xml:space="preserve"> Corrected estimate accounting for patient co-payments</w:t>
      </w:r>
    </w:p>
    <w:p w:rsidR="00C25D9C" w:rsidRPr="00C0474D" w:rsidRDefault="00C25D9C" w:rsidP="00C25D9C">
      <w:pPr>
        <w:widowControl/>
        <w:rPr>
          <w:szCs w:val="22"/>
        </w:rPr>
      </w:pPr>
    </w:p>
    <w:p w:rsidR="00EC3181" w:rsidRPr="00EC3181" w:rsidRDefault="00EC3181" w:rsidP="00EC3181">
      <w:pPr>
        <w:pStyle w:val="ListParagraph"/>
        <w:widowControl/>
        <w:rPr>
          <w:szCs w:val="22"/>
        </w:rPr>
      </w:pPr>
      <w:r w:rsidRPr="00EC3181">
        <w:rPr>
          <w:szCs w:val="22"/>
        </w:rPr>
        <w:t>The redacted table shows that at year 5, the estimated</w:t>
      </w:r>
      <w:r w:rsidR="00761DA3">
        <w:rPr>
          <w:szCs w:val="22"/>
        </w:rPr>
        <w:t xml:space="preserve"> number of </w:t>
      </w:r>
      <w:proofErr w:type="spellStart"/>
      <w:r w:rsidR="00761DA3">
        <w:rPr>
          <w:szCs w:val="22"/>
        </w:rPr>
        <w:t>daclizumab</w:t>
      </w:r>
      <w:proofErr w:type="spellEnd"/>
      <w:r w:rsidR="00761DA3">
        <w:rPr>
          <w:szCs w:val="22"/>
        </w:rPr>
        <w:t xml:space="preserve"> scripts would be 10,000 – 50,000, and the net saving</w:t>
      </w:r>
      <w:r w:rsidRPr="00EC3181">
        <w:rPr>
          <w:szCs w:val="22"/>
        </w:rPr>
        <w:t xml:space="preserve"> to the PBS would be less than </w:t>
      </w:r>
      <w:r w:rsidR="00761DA3">
        <w:rPr>
          <w:szCs w:val="22"/>
        </w:rPr>
        <w:t>$</w:t>
      </w:r>
      <w:r w:rsidRPr="00EC3181">
        <w:rPr>
          <w:szCs w:val="22"/>
        </w:rPr>
        <w:t>10</w:t>
      </w:r>
      <w:r w:rsidR="00761DA3">
        <w:rPr>
          <w:szCs w:val="22"/>
        </w:rPr>
        <w:t> million</w:t>
      </w:r>
      <w:r w:rsidRPr="00EC3181">
        <w:rPr>
          <w:szCs w:val="22"/>
        </w:rPr>
        <w:t xml:space="preserve"> per year.</w:t>
      </w:r>
      <w:r w:rsidR="006325D3">
        <w:rPr>
          <w:szCs w:val="22"/>
        </w:rPr>
        <w:t xml:space="preserve"> The net cost to government after the cost of liver function testing would be less than $10 million per year.</w:t>
      </w:r>
    </w:p>
    <w:p w:rsidR="00EC3181" w:rsidRDefault="00EC3181" w:rsidP="00EC3181">
      <w:pPr>
        <w:pStyle w:val="ListParagraph"/>
        <w:widowControl/>
        <w:rPr>
          <w:szCs w:val="22"/>
        </w:rPr>
      </w:pPr>
    </w:p>
    <w:p w:rsidR="00EC3181" w:rsidRPr="00CA1C4F" w:rsidRDefault="00EC3181" w:rsidP="00CA1C4F">
      <w:pPr>
        <w:pStyle w:val="ListParagraph"/>
        <w:widowControl/>
      </w:pPr>
    </w:p>
    <w:p w:rsidR="00C25D9C" w:rsidRPr="00CA1C4F" w:rsidRDefault="003640D5" w:rsidP="00CA1C4F">
      <w:pPr>
        <w:pStyle w:val="ListParagraph"/>
        <w:widowControl/>
        <w:numPr>
          <w:ilvl w:val="1"/>
          <w:numId w:val="9"/>
        </w:numPr>
        <w:ind w:left="720" w:hanging="720"/>
      </w:pPr>
      <w:r w:rsidRPr="00CA1C4F">
        <w:t>The</w:t>
      </w:r>
      <w:r w:rsidR="00910E91" w:rsidRPr="00CA1C4F">
        <w:t xml:space="preserve"> evaluation considered the</w:t>
      </w:r>
      <w:r w:rsidRPr="00CA1C4F">
        <w:t xml:space="preserve"> budget impact estimate uncertain due to the rapidly changing dynamics of the PBS </w:t>
      </w:r>
      <w:r w:rsidR="008F7060" w:rsidRPr="00CA1C4F">
        <w:t>MS</w:t>
      </w:r>
      <w:r w:rsidRPr="00CA1C4F">
        <w:t xml:space="preserve"> market, the poorly justified assumption </w:t>
      </w:r>
      <w:r w:rsidR="00910E91" w:rsidRPr="00CA1C4F">
        <w:t>for</w:t>
      </w:r>
      <w:r w:rsidRPr="00CA1C4F">
        <w:t xml:space="preserve"> the expected up</w:t>
      </w:r>
      <w:r w:rsidR="00F47330" w:rsidRPr="00CA1C4F">
        <w:t xml:space="preserve">take of </w:t>
      </w:r>
      <w:proofErr w:type="spellStart"/>
      <w:r w:rsidR="00F47330" w:rsidRPr="00CA1C4F">
        <w:t>daclizumab</w:t>
      </w:r>
      <w:proofErr w:type="spellEnd"/>
      <w:r w:rsidR="00F47330" w:rsidRPr="00CA1C4F">
        <w:t>,</w:t>
      </w:r>
      <w:r w:rsidRPr="00CA1C4F">
        <w:t xml:space="preserve"> the u</w:t>
      </w:r>
      <w:r w:rsidR="001B208F" w:rsidRPr="00CA1C4F">
        <w:t xml:space="preserve">nrealistic assumption that </w:t>
      </w:r>
      <w:proofErr w:type="spellStart"/>
      <w:r w:rsidR="001B208F" w:rsidRPr="00CA1C4F">
        <w:t>dacl</w:t>
      </w:r>
      <w:r w:rsidRPr="00CA1C4F">
        <w:t>izumab</w:t>
      </w:r>
      <w:proofErr w:type="spellEnd"/>
      <w:r w:rsidRPr="00CA1C4F">
        <w:t xml:space="preserve"> will only replace </w:t>
      </w:r>
      <w:proofErr w:type="spellStart"/>
      <w:r w:rsidRPr="00CA1C4F">
        <w:t>fingolimod</w:t>
      </w:r>
      <w:proofErr w:type="spellEnd"/>
      <w:r w:rsidRPr="00CA1C4F">
        <w:t xml:space="preserve"> in practice</w:t>
      </w:r>
      <w:r w:rsidR="00F47330" w:rsidRPr="00CA1C4F">
        <w:t xml:space="preserve"> and costs that are based on published rather than effective prices</w:t>
      </w:r>
      <w:r w:rsidRPr="00CA1C4F">
        <w:t>.</w:t>
      </w:r>
      <w:r w:rsidR="00EA7263" w:rsidRPr="00CA1C4F">
        <w:t xml:space="preserve">  The PBAC noted that the uptake rate in </w:t>
      </w:r>
      <w:r w:rsidR="00910E91" w:rsidRPr="00CA1C4F">
        <w:t xml:space="preserve">first </w:t>
      </w:r>
      <w:r w:rsidR="00EA7263" w:rsidRPr="00CA1C4F">
        <w:t xml:space="preserve">year was based on </w:t>
      </w:r>
      <w:r w:rsidR="008F7060" w:rsidRPr="00CA1C4F">
        <w:t xml:space="preserve">the </w:t>
      </w:r>
      <w:r w:rsidR="00EA7263" w:rsidRPr="00CA1C4F">
        <w:t>peg-</w:t>
      </w:r>
      <w:r w:rsidR="004461A1" w:rsidRPr="00CA1C4F">
        <w:t>interferon</w:t>
      </w:r>
      <w:r w:rsidR="00EA7263" w:rsidRPr="00CA1C4F">
        <w:t xml:space="preserve"> b</w:t>
      </w:r>
      <w:r w:rsidR="00997D14" w:rsidRPr="00CA1C4F">
        <w:t>eta</w:t>
      </w:r>
      <w:r w:rsidR="00EA7263" w:rsidRPr="00CA1C4F">
        <w:t xml:space="preserve">-1a market share, </w:t>
      </w:r>
      <w:r w:rsidR="00910E91" w:rsidRPr="00CA1C4F">
        <w:t xml:space="preserve">and </w:t>
      </w:r>
      <w:r w:rsidR="00EA7263" w:rsidRPr="00CA1C4F">
        <w:t>arbitrary assumptions were used in subsequent years.</w:t>
      </w:r>
    </w:p>
    <w:p w:rsidR="00AC725E" w:rsidRDefault="00AC725E" w:rsidP="00B33B3B">
      <w:pPr>
        <w:pStyle w:val="PBACHeading1"/>
        <w:ind w:left="720"/>
      </w:pPr>
    </w:p>
    <w:p w:rsidR="00AC725E" w:rsidRPr="00CA1C4F" w:rsidRDefault="00AC725E" w:rsidP="00CA1C4F">
      <w:pPr>
        <w:pStyle w:val="ListParagraph"/>
        <w:widowControl/>
        <w:numPr>
          <w:ilvl w:val="1"/>
          <w:numId w:val="9"/>
        </w:numPr>
        <w:ind w:left="720" w:hanging="720"/>
      </w:pPr>
      <w:r w:rsidRPr="00CA1C4F">
        <w:t xml:space="preserve">The </w:t>
      </w:r>
      <w:r w:rsidR="004C0B53" w:rsidRPr="00CA1C4F">
        <w:t>PSCR</w:t>
      </w:r>
      <w:r w:rsidR="00DF5C33" w:rsidRPr="00CA1C4F">
        <w:t xml:space="preserve"> (p1)</w:t>
      </w:r>
      <w:r w:rsidR="004C0B53" w:rsidRPr="00CA1C4F">
        <w:t xml:space="preserve"> contended that </w:t>
      </w:r>
      <w:proofErr w:type="spellStart"/>
      <w:r w:rsidR="004C0B53" w:rsidRPr="00CA1C4F">
        <w:t>daclizumab</w:t>
      </w:r>
      <w:proofErr w:type="spellEnd"/>
      <w:r w:rsidR="004C0B53" w:rsidRPr="00CA1C4F">
        <w:t xml:space="preserve"> </w:t>
      </w:r>
      <w:r w:rsidR="00DF5C33" w:rsidRPr="00CA1C4F">
        <w:t>wa</w:t>
      </w:r>
      <w:r w:rsidR="004C0B53" w:rsidRPr="00CA1C4F">
        <w:t xml:space="preserve">s unlikely to replace other injectable therapies for RRMS because it has superior efficacy compared to interferon beta-1a, and therefore it and other injectable therapies would not substitute for </w:t>
      </w:r>
      <w:proofErr w:type="spellStart"/>
      <w:r w:rsidR="004C0B53" w:rsidRPr="00CA1C4F">
        <w:t>daclizumab</w:t>
      </w:r>
      <w:proofErr w:type="spellEnd"/>
      <w:r w:rsidR="004C0B53" w:rsidRPr="00CA1C4F">
        <w:t xml:space="preserve">. The ESC agreed with the PSCR, but considered that given the likely clinical place of </w:t>
      </w:r>
      <w:proofErr w:type="spellStart"/>
      <w:r w:rsidR="004C0B53" w:rsidRPr="00CA1C4F">
        <w:t>daclizumab</w:t>
      </w:r>
      <w:proofErr w:type="spellEnd"/>
      <w:r w:rsidR="004C0B53" w:rsidRPr="00CA1C4F">
        <w:t xml:space="preserve"> it would substitute</w:t>
      </w:r>
      <w:r w:rsidR="00DF5C33" w:rsidRPr="00CA1C4F">
        <w:t xml:space="preserve"> both</w:t>
      </w:r>
      <w:r w:rsidR="004C0B53" w:rsidRPr="00CA1C4F">
        <w:t xml:space="preserve"> </w:t>
      </w:r>
      <w:r w:rsidR="00B15FAE" w:rsidRPr="00CA1C4F">
        <w:t>DMF</w:t>
      </w:r>
      <w:r w:rsidR="004C0B53" w:rsidRPr="00CA1C4F">
        <w:t xml:space="preserve"> </w:t>
      </w:r>
      <w:r w:rsidR="00DF5C33" w:rsidRPr="00CA1C4F">
        <w:t>and</w:t>
      </w:r>
      <w:r w:rsidR="004C0B53" w:rsidRPr="00CA1C4F">
        <w:t xml:space="preserve"> </w:t>
      </w:r>
      <w:proofErr w:type="spellStart"/>
      <w:r w:rsidR="004C0B53" w:rsidRPr="00CA1C4F">
        <w:t>fingolimod</w:t>
      </w:r>
      <w:proofErr w:type="spellEnd"/>
      <w:r w:rsidR="004C0B53" w:rsidRPr="00CA1C4F">
        <w:t>.</w:t>
      </w:r>
      <w:r w:rsidR="00EA7263" w:rsidRPr="00CA1C4F">
        <w:t xml:space="preserve">  The PBAC agreed with the ESC </w:t>
      </w:r>
      <w:r w:rsidR="00203379" w:rsidRPr="00CA1C4F">
        <w:t xml:space="preserve">and </w:t>
      </w:r>
      <w:r w:rsidR="00EA7263" w:rsidRPr="00CA1C4F">
        <w:t xml:space="preserve">considered that the other injectable may </w:t>
      </w:r>
      <w:r w:rsidR="000B2184" w:rsidRPr="00CA1C4F">
        <w:t xml:space="preserve">also </w:t>
      </w:r>
      <w:r w:rsidR="00EA7263" w:rsidRPr="00CA1C4F">
        <w:t xml:space="preserve">be substituted by </w:t>
      </w:r>
      <w:proofErr w:type="spellStart"/>
      <w:r w:rsidR="00EA7263" w:rsidRPr="00CA1C4F">
        <w:t>daclizumab</w:t>
      </w:r>
      <w:proofErr w:type="spellEnd"/>
      <w:r w:rsidR="00EA7263" w:rsidRPr="00CA1C4F">
        <w:t>.</w:t>
      </w:r>
    </w:p>
    <w:p w:rsidR="0074607D" w:rsidRDefault="0074607D" w:rsidP="0074607D">
      <w:pPr>
        <w:pStyle w:val="ListParagraph"/>
        <w:widowControl/>
        <w:rPr>
          <w:szCs w:val="22"/>
        </w:rPr>
      </w:pPr>
    </w:p>
    <w:p w:rsidR="00576972" w:rsidRPr="00CA1C4F" w:rsidRDefault="0074607D" w:rsidP="00CA1C4F">
      <w:pPr>
        <w:pStyle w:val="ListParagraph"/>
        <w:widowControl/>
        <w:numPr>
          <w:ilvl w:val="1"/>
          <w:numId w:val="9"/>
        </w:numPr>
        <w:ind w:left="720" w:hanging="720"/>
      </w:pPr>
      <w:r w:rsidRPr="00CA1C4F">
        <w:t xml:space="preserve">The PBAC indicated that the assumption that </w:t>
      </w:r>
      <w:proofErr w:type="spellStart"/>
      <w:r w:rsidRPr="00CA1C4F">
        <w:t>daclizumab</w:t>
      </w:r>
      <w:proofErr w:type="spellEnd"/>
      <w:r w:rsidRPr="00CA1C4F">
        <w:t xml:space="preserve"> would only replace </w:t>
      </w:r>
      <w:proofErr w:type="spellStart"/>
      <w:r w:rsidRPr="00CA1C4F">
        <w:t>fingolimod</w:t>
      </w:r>
      <w:proofErr w:type="spellEnd"/>
      <w:r w:rsidRPr="00CA1C4F">
        <w:t xml:space="preserve"> likely substantially underestimated the net cost to government based on</w:t>
      </w:r>
      <w:r w:rsidR="008300C9" w:rsidRPr="00CA1C4F">
        <w:t xml:space="preserve"> </w:t>
      </w:r>
      <w:r w:rsidRPr="00CA1C4F">
        <w:t xml:space="preserve">a cost minimisation to </w:t>
      </w:r>
      <w:proofErr w:type="spellStart"/>
      <w:r w:rsidRPr="00CA1C4F">
        <w:t>fingolimod</w:t>
      </w:r>
      <w:proofErr w:type="spellEnd"/>
      <w:r w:rsidRPr="00CA1C4F">
        <w:t>.</w:t>
      </w:r>
    </w:p>
    <w:p w:rsidR="0074607D" w:rsidRPr="0074607D" w:rsidRDefault="0074607D" w:rsidP="0074607D">
      <w:pPr>
        <w:pStyle w:val="ListParagraph"/>
        <w:widowControl/>
        <w:rPr>
          <w:szCs w:val="22"/>
        </w:rPr>
      </w:pPr>
    </w:p>
    <w:p w:rsidR="00576972" w:rsidRPr="00C0474D" w:rsidRDefault="00576972" w:rsidP="00D44DDE">
      <w:pPr>
        <w:pStyle w:val="Heading2"/>
      </w:pPr>
      <w:bookmarkStart w:id="15" w:name="_Toc450127252"/>
      <w:r w:rsidRPr="00C0474D">
        <w:t>Quality Use of Medicines</w:t>
      </w:r>
      <w:bookmarkEnd w:id="15"/>
    </w:p>
    <w:p w:rsidR="00576972" w:rsidRPr="00C0474D" w:rsidRDefault="00576972" w:rsidP="00576972">
      <w:pPr>
        <w:widowControl/>
        <w:rPr>
          <w:szCs w:val="22"/>
        </w:rPr>
      </w:pPr>
    </w:p>
    <w:p w:rsidR="00576972" w:rsidRPr="00CA1C4F" w:rsidRDefault="00E6079D" w:rsidP="00CA1C4F">
      <w:pPr>
        <w:pStyle w:val="ListParagraph"/>
        <w:widowControl/>
        <w:numPr>
          <w:ilvl w:val="1"/>
          <w:numId w:val="9"/>
        </w:numPr>
        <w:ind w:left="720" w:hanging="720"/>
      </w:pPr>
      <w:r w:rsidRPr="00CA1C4F">
        <w:t xml:space="preserve">The submission proposed a Risk Management Plan for </w:t>
      </w:r>
      <w:proofErr w:type="spellStart"/>
      <w:r w:rsidRPr="00CA1C4F">
        <w:t>daclizumab</w:t>
      </w:r>
      <w:proofErr w:type="spellEnd"/>
      <w:r w:rsidRPr="00CA1C4F">
        <w:t xml:space="preserve"> which includes routine pharmacovigilance with periodic safety update reports to monitor safety concerns.</w:t>
      </w:r>
    </w:p>
    <w:p w:rsidR="00576972" w:rsidRPr="00C0474D" w:rsidRDefault="00576972" w:rsidP="00576972">
      <w:pPr>
        <w:widowControl/>
        <w:rPr>
          <w:szCs w:val="22"/>
        </w:rPr>
      </w:pPr>
    </w:p>
    <w:p w:rsidR="00576972" w:rsidRPr="00C0474D" w:rsidRDefault="00576972" w:rsidP="00D44DDE">
      <w:pPr>
        <w:pStyle w:val="Heading2"/>
      </w:pPr>
      <w:bookmarkStart w:id="16" w:name="_Toc450127253"/>
      <w:r w:rsidRPr="00C0474D">
        <w:t>Financial Management – Risk Sharing Arrangements</w:t>
      </w:r>
      <w:bookmarkEnd w:id="16"/>
    </w:p>
    <w:p w:rsidR="00C25D9C" w:rsidRPr="00C0474D" w:rsidRDefault="00C25D9C" w:rsidP="00576972">
      <w:pPr>
        <w:widowControl/>
        <w:rPr>
          <w:szCs w:val="22"/>
        </w:rPr>
      </w:pPr>
    </w:p>
    <w:p w:rsidR="00E6079D" w:rsidRPr="00CA1C4F" w:rsidRDefault="00E6079D" w:rsidP="00CA1C4F">
      <w:pPr>
        <w:pStyle w:val="ListParagraph"/>
        <w:widowControl/>
        <w:numPr>
          <w:ilvl w:val="1"/>
          <w:numId w:val="9"/>
        </w:numPr>
        <w:ind w:left="720" w:hanging="720"/>
      </w:pPr>
      <w:r w:rsidRPr="00CA1C4F">
        <w:t xml:space="preserve">The submission noted that </w:t>
      </w:r>
      <w:proofErr w:type="spellStart"/>
      <w:r w:rsidRPr="00CA1C4F">
        <w:t>fingolimod</w:t>
      </w:r>
      <w:proofErr w:type="spellEnd"/>
      <w:r w:rsidRPr="00CA1C4F">
        <w:t xml:space="preserve"> is subject to a special pricing arrangement. The submission stated that the sponsor is willing to negotiate a similar special pricing arrangement f</w:t>
      </w:r>
      <w:r w:rsidR="00D32899" w:rsidRPr="00CA1C4F">
        <w:t xml:space="preserve">or </w:t>
      </w:r>
      <w:proofErr w:type="spellStart"/>
      <w:r w:rsidR="00D32899" w:rsidRPr="00CA1C4F">
        <w:t>daclizumab</w:t>
      </w:r>
      <w:proofErr w:type="spellEnd"/>
      <w:r w:rsidR="00D32899" w:rsidRPr="00CA1C4F">
        <w:t xml:space="preserve"> based on the cost </w:t>
      </w:r>
      <w:r w:rsidRPr="00CA1C4F">
        <w:t xml:space="preserve">minimisation analysis once the actual effective price of </w:t>
      </w:r>
      <w:proofErr w:type="spellStart"/>
      <w:r w:rsidRPr="00CA1C4F">
        <w:t>fingolimod</w:t>
      </w:r>
      <w:proofErr w:type="spellEnd"/>
      <w:r w:rsidRPr="00CA1C4F">
        <w:t xml:space="preserve"> can be made known to the sponsor.</w:t>
      </w:r>
    </w:p>
    <w:p w:rsidR="00E6079D" w:rsidRPr="00C0474D" w:rsidRDefault="00E6079D" w:rsidP="00E6079D">
      <w:pPr>
        <w:pStyle w:val="ListParagraph"/>
        <w:widowControl/>
        <w:rPr>
          <w:szCs w:val="22"/>
        </w:rPr>
      </w:pPr>
    </w:p>
    <w:p w:rsidR="00C25D9C" w:rsidRDefault="00E6079D" w:rsidP="00E6079D">
      <w:pPr>
        <w:pStyle w:val="ListParagraph"/>
        <w:widowControl/>
        <w:rPr>
          <w:szCs w:val="22"/>
        </w:rPr>
      </w:pPr>
      <w:r w:rsidRPr="00C0474D">
        <w:rPr>
          <w:szCs w:val="22"/>
        </w:rPr>
        <w:t xml:space="preserve">The submission </w:t>
      </w:r>
      <w:r w:rsidR="00203379">
        <w:rPr>
          <w:szCs w:val="22"/>
        </w:rPr>
        <w:t>stated</w:t>
      </w:r>
      <w:r w:rsidR="00203379" w:rsidRPr="00C0474D">
        <w:rPr>
          <w:szCs w:val="22"/>
        </w:rPr>
        <w:t xml:space="preserve"> </w:t>
      </w:r>
      <w:r w:rsidRPr="00C0474D">
        <w:rPr>
          <w:szCs w:val="22"/>
        </w:rPr>
        <w:t xml:space="preserve">that the sponsor was willing to discuss other appropriate risk management arrangements. </w:t>
      </w:r>
    </w:p>
    <w:p w:rsidR="00216AB3" w:rsidRDefault="00216AB3" w:rsidP="00E6079D">
      <w:pPr>
        <w:pStyle w:val="ListParagraph"/>
        <w:widowControl/>
        <w:rPr>
          <w:szCs w:val="22"/>
        </w:rPr>
      </w:pPr>
    </w:p>
    <w:p w:rsidR="00216AB3" w:rsidRPr="00D44DDE" w:rsidRDefault="00216AB3" w:rsidP="00D44DDE">
      <w:pPr>
        <w:pStyle w:val="PBACHeading1"/>
        <w:ind w:left="1440" w:hanging="720"/>
        <w:rPr>
          <w:b w:val="0"/>
          <w:i/>
        </w:rPr>
      </w:pPr>
      <w:r w:rsidRPr="00D44DDE">
        <w:rPr>
          <w:b w:val="0"/>
          <w:i/>
        </w:rPr>
        <w:t>For more detail on PBAC’s view, see section 7 “PBAC outcome”</w:t>
      </w:r>
    </w:p>
    <w:p w:rsidR="008834B0" w:rsidRDefault="008834B0" w:rsidP="00B33B3B">
      <w:pPr>
        <w:pStyle w:val="PBACHeading1"/>
        <w:ind w:left="1440"/>
      </w:pPr>
    </w:p>
    <w:p w:rsidR="00736793" w:rsidRDefault="00736793" w:rsidP="00B33B3B">
      <w:pPr>
        <w:pStyle w:val="PBACHeading1"/>
        <w:ind w:left="1440"/>
      </w:pPr>
    </w:p>
    <w:p w:rsidR="008834B0" w:rsidRPr="003400C6" w:rsidRDefault="008834B0" w:rsidP="00CF6B32">
      <w:pPr>
        <w:pStyle w:val="Heading1"/>
        <w:numPr>
          <w:ilvl w:val="0"/>
          <w:numId w:val="9"/>
        </w:numPr>
        <w:ind w:left="709" w:hanging="709"/>
      </w:pPr>
      <w:r w:rsidRPr="003400C6">
        <w:t>PBAC Outcome</w:t>
      </w:r>
    </w:p>
    <w:p w:rsidR="008834B0" w:rsidRPr="003400C6" w:rsidRDefault="008834B0" w:rsidP="008834B0">
      <w:pPr>
        <w:rPr>
          <w:bCs/>
          <w:lang w:val="en-GB"/>
        </w:rPr>
      </w:pPr>
    </w:p>
    <w:p w:rsidR="00C031D2" w:rsidRPr="00CA1C4F" w:rsidRDefault="008834B0" w:rsidP="00CA1C4F">
      <w:pPr>
        <w:pStyle w:val="ListParagraph"/>
        <w:widowControl/>
        <w:numPr>
          <w:ilvl w:val="1"/>
          <w:numId w:val="9"/>
        </w:numPr>
        <w:ind w:left="720" w:hanging="720"/>
      </w:pPr>
      <w:r w:rsidRPr="00CA1C4F">
        <w:t xml:space="preserve">The PBAC </w:t>
      </w:r>
      <w:r w:rsidR="0074607D" w:rsidRPr="00CA1C4F">
        <w:t>d</w:t>
      </w:r>
      <w:r w:rsidR="00D1324C" w:rsidRPr="00CA1C4F">
        <w:t>ef</w:t>
      </w:r>
      <w:r w:rsidR="0074607D" w:rsidRPr="00CA1C4F">
        <w:t>er</w:t>
      </w:r>
      <w:r w:rsidR="00D1324C" w:rsidRPr="00CA1C4F">
        <w:t>r</w:t>
      </w:r>
      <w:r w:rsidR="0074607D" w:rsidRPr="00CA1C4F">
        <w:t>ed</w:t>
      </w:r>
      <w:r w:rsidRPr="00CA1C4F">
        <w:t xml:space="preserve"> the listing of </w:t>
      </w:r>
      <w:proofErr w:type="spellStart"/>
      <w:r w:rsidR="0074607D" w:rsidRPr="00CA1C4F">
        <w:t>daclizumab</w:t>
      </w:r>
      <w:proofErr w:type="spellEnd"/>
      <w:r w:rsidRPr="00CA1C4F">
        <w:t xml:space="preserve">, on the basis that </w:t>
      </w:r>
      <w:r w:rsidR="0074607D" w:rsidRPr="00CA1C4F">
        <w:t xml:space="preserve">the clinical place for </w:t>
      </w:r>
      <w:r w:rsidR="003400C6" w:rsidRPr="00CA1C4F">
        <w:t xml:space="preserve">which </w:t>
      </w:r>
      <w:r w:rsidR="0074607D" w:rsidRPr="00CA1C4F">
        <w:t xml:space="preserve">TGA registration </w:t>
      </w:r>
      <w:r w:rsidR="003400C6" w:rsidRPr="00CA1C4F">
        <w:t xml:space="preserve">may be approved </w:t>
      </w:r>
      <w:r w:rsidR="0074607D" w:rsidRPr="00CA1C4F">
        <w:t>was unclear and that this would have a significant impact on the choice of comparator for any cost minimisation analysis</w:t>
      </w:r>
      <w:r w:rsidR="0035011F" w:rsidRPr="00CA1C4F">
        <w:t xml:space="preserve"> and the wording of any possible restriction</w:t>
      </w:r>
      <w:r w:rsidR="0074607D" w:rsidRPr="00CA1C4F">
        <w:t>.</w:t>
      </w:r>
      <w:r w:rsidR="00C031D2" w:rsidRPr="00C031D2">
        <w:t xml:space="preserve"> </w:t>
      </w:r>
      <w:r w:rsidR="00C031D2" w:rsidRPr="00CA1C4F">
        <w:t xml:space="preserve">The TGA Delegate's Overview was provided as a late paper for the July 2016 PBAC meeting. The Overview noted that the place in therapy of </w:t>
      </w:r>
      <w:proofErr w:type="spellStart"/>
      <w:r w:rsidR="00C031D2" w:rsidRPr="00CA1C4F">
        <w:t>daclizumab</w:t>
      </w:r>
      <w:proofErr w:type="spellEnd"/>
      <w:r w:rsidR="00C031D2" w:rsidRPr="00CA1C4F">
        <w:t xml:space="preserve"> is not clear due to the lack of demonstration of superiority over </w:t>
      </w:r>
      <w:r w:rsidR="009979EF" w:rsidRPr="00CA1C4F">
        <w:t xml:space="preserve">interferon beta-1a </w:t>
      </w:r>
      <w:r w:rsidR="00C013E3" w:rsidRPr="00CA1C4F">
        <w:t>(</w:t>
      </w:r>
      <w:r w:rsidR="00C031D2" w:rsidRPr="00CA1C4F">
        <w:t>IFN β-1a</w:t>
      </w:r>
      <w:r w:rsidR="00C013E3" w:rsidRPr="00CA1C4F">
        <w:t>)</w:t>
      </w:r>
      <w:r w:rsidR="00C031D2" w:rsidRPr="00CA1C4F">
        <w:t xml:space="preserve"> for the endpoint of progression of disability and that </w:t>
      </w:r>
      <w:proofErr w:type="spellStart"/>
      <w:r w:rsidR="00C031D2" w:rsidRPr="00CA1C4F">
        <w:t>daclizumab</w:t>
      </w:r>
      <w:proofErr w:type="spellEnd"/>
      <w:r w:rsidR="00C031D2" w:rsidRPr="00CA1C4F">
        <w:t xml:space="preserve"> presents more risk of serious adverse effects than IFN β-1a. Given these factors it was considered not clear by the Delegate as to whether use of </w:t>
      </w:r>
      <w:proofErr w:type="spellStart"/>
      <w:r w:rsidR="00C031D2" w:rsidRPr="00CA1C4F">
        <w:t>daclizumab</w:t>
      </w:r>
      <w:proofErr w:type="spellEnd"/>
      <w:r w:rsidR="00C031D2" w:rsidRPr="00CA1C4F">
        <w:t xml:space="preserve"> should be permitted at all or whether restricting its use to patients who have failed initial treatment would be appropriate. </w:t>
      </w:r>
    </w:p>
    <w:p w:rsidR="00C031D2" w:rsidRPr="00C031D2" w:rsidRDefault="00C031D2" w:rsidP="00D60252">
      <w:pPr>
        <w:ind w:left="720"/>
        <w:rPr>
          <w:bCs/>
          <w:lang w:val="en-GB"/>
        </w:rPr>
      </w:pPr>
    </w:p>
    <w:p w:rsidR="008834B0" w:rsidRPr="00CA1C4F" w:rsidRDefault="003400C6" w:rsidP="00CA1C4F">
      <w:pPr>
        <w:pStyle w:val="ListParagraph"/>
        <w:widowControl/>
        <w:numPr>
          <w:ilvl w:val="1"/>
          <w:numId w:val="9"/>
        </w:numPr>
        <w:ind w:left="720" w:hanging="720"/>
      </w:pPr>
      <w:r w:rsidRPr="00CA1C4F">
        <w:t xml:space="preserve">The PBAC did not consider that </w:t>
      </w:r>
      <w:proofErr w:type="spellStart"/>
      <w:r w:rsidRPr="00CA1C4F">
        <w:t>fingolimod</w:t>
      </w:r>
      <w:proofErr w:type="spellEnd"/>
      <w:r w:rsidRPr="00CA1C4F">
        <w:t xml:space="preserve"> was the only comparator for </w:t>
      </w:r>
      <w:proofErr w:type="spellStart"/>
      <w:r w:rsidRPr="00CA1C4F">
        <w:t>daclizumab</w:t>
      </w:r>
      <w:proofErr w:type="spellEnd"/>
      <w:r w:rsidRPr="00CA1C4F">
        <w:t xml:space="preserve"> and that DMF and possibly other injectable therapies for MS were appropriate comparators as they would likely be replaced by </w:t>
      </w:r>
      <w:proofErr w:type="spellStart"/>
      <w:r w:rsidRPr="00CA1C4F">
        <w:t>daclizumab</w:t>
      </w:r>
      <w:proofErr w:type="spellEnd"/>
      <w:r w:rsidRPr="00CA1C4F">
        <w:t>.</w:t>
      </w:r>
    </w:p>
    <w:p w:rsidR="00F636C3" w:rsidRDefault="00F636C3" w:rsidP="00F636C3">
      <w:pPr>
        <w:ind w:left="720"/>
        <w:rPr>
          <w:bCs/>
          <w:lang w:val="en-GB"/>
        </w:rPr>
      </w:pPr>
    </w:p>
    <w:p w:rsidR="00576ED6" w:rsidRPr="00CA1C4F" w:rsidRDefault="006D7ACA" w:rsidP="00CA1C4F">
      <w:pPr>
        <w:pStyle w:val="ListParagraph"/>
        <w:widowControl/>
        <w:numPr>
          <w:ilvl w:val="1"/>
          <w:numId w:val="9"/>
        </w:numPr>
        <w:ind w:left="720" w:hanging="720"/>
      </w:pPr>
      <w:r w:rsidRPr="00CA1C4F">
        <w:t xml:space="preserve">The PBAC </w:t>
      </w:r>
      <w:r w:rsidR="008F16D9" w:rsidRPr="00CA1C4F">
        <w:t xml:space="preserve">noted that no head to head trials </w:t>
      </w:r>
      <w:r w:rsidR="00F636C3" w:rsidRPr="00CA1C4F">
        <w:t xml:space="preserve">comparing </w:t>
      </w:r>
      <w:proofErr w:type="spellStart"/>
      <w:r w:rsidR="00F636C3" w:rsidRPr="00CA1C4F">
        <w:t>daclizumab</w:t>
      </w:r>
      <w:proofErr w:type="spellEnd"/>
      <w:r w:rsidR="00F636C3" w:rsidRPr="00CA1C4F">
        <w:t xml:space="preserve"> to </w:t>
      </w:r>
      <w:proofErr w:type="spellStart"/>
      <w:r w:rsidR="00F636C3" w:rsidRPr="00CA1C4F">
        <w:t>fingolimod</w:t>
      </w:r>
      <w:proofErr w:type="spellEnd"/>
      <w:r w:rsidR="00F636C3" w:rsidRPr="00CA1C4F">
        <w:t xml:space="preserve"> were available and </w:t>
      </w:r>
      <w:r w:rsidR="00D60252" w:rsidRPr="00CA1C4F">
        <w:t>that the comparison was based on</w:t>
      </w:r>
      <w:r w:rsidR="00F636C3" w:rsidRPr="00CA1C4F">
        <w:t xml:space="preserve"> indirect comparisons using </w:t>
      </w:r>
      <w:r w:rsidR="00D60252" w:rsidRPr="00CA1C4F">
        <w:t xml:space="preserve">either </w:t>
      </w:r>
      <w:r w:rsidR="00F636C3" w:rsidRPr="00CA1C4F">
        <w:t xml:space="preserve">placebo </w:t>
      </w:r>
      <w:r w:rsidR="00D60252" w:rsidRPr="00CA1C4F">
        <w:t>or</w:t>
      </w:r>
      <w:r w:rsidR="00F636C3" w:rsidRPr="00CA1C4F">
        <w:t xml:space="preserve"> IM </w:t>
      </w:r>
      <w:r w:rsidR="00070C59" w:rsidRPr="00CA1C4F">
        <w:t>IFN β-1a</w:t>
      </w:r>
      <w:r w:rsidR="00734774" w:rsidRPr="00CA1C4F">
        <w:t xml:space="preserve"> </w:t>
      </w:r>
      <w:r w:rsidR="00F636C3" w:rsidRPr="00CA1C4F">
        <w:t xml:space="preserve">as the common comparator. The PBAC considered that there were significant </w:t>
      </w:r>
      <w:r w:rsidR="00D60252" w:rsidRPr="00CA1C4F">
        <w:t xml:space="preserve">exchangeability </w:t>
      </w:r>
      <w:r w:rsidR="00F636C3" w:rsidRPr="00CA1C4F">
        <w:t>issues between the studies including, the durations which limited the analys</w:t>
      </w:r>
      <w:r w:rsidR="00D60252" w:rsidRPr="00CA1C4F">
        <w:t>e</w:t>
      </w:r>
      <w:r w:rsidR="00F636C3" w:rsidRPr="00CA1C4F">
        <w:t xml:space="preserve">s to matched time points and patient characteristics such as baseline disability, differences in MRI disease activity, past treatment experience and duration of the disease, all of which </w:t>
      </w:r>
      <w:r w:rsidR="00D60252" w:rsidRPr="00CA1C4F">
        <w:t xml:space="preserve">reduced </w:t>
      </w:r>
      <w:r w:rsidR="00F636C3" w:rsidRPr="00CA1C4F">
        <w:t xml:space="preserve">the </w:t>
      </w:r>
      <w:r w:rsidR="00D60252" w:rsidRPr="00CA1C4F">
        <w:t>reliability of the conclusions</w:t>
      </w:r>
      <w:r w:rsidR="00FB6D13" w:rsidRPr="00CA1C4F">
        <w:t>.</w:t>
      </w:r>
      <w:r w:rsidR="00D60252" w:rsidRPr="00CA1C4F">
        <w:t xml:space="preserve"> The differences across the </w:t>
      </w:r>
      <w:proofErr w:type="spellStart"/>
      <w:r w:rsidR="00D60252" w:rsidRPr="00CA1C4F">
        <w:t>daclizumab</w:t>
      </w:r>
      <w:proofErr w:type="spellEnd"/>
      <w:r w:rsidR="00D60252" w:rsidRPr="00CA1C4F">
        <w:t xml:space="preserve"> and </w:t>
      </w:r>
      <w:proofErr w:type="spellStart"/>
      <w:r w:rsidR="00D60252" w:rsidRPr="00CA1C4F">
        <w:t>fingolimod</w:t>
      </w:r>
      <w:proofErr w:type="spellEnd"/>
      <w:r w:rsidR="00D60252" w:rsidRPr="00CA1C4F">
        <w:t xml:space="preserve"> trials in the results for the placebo treatment groups further suggested that there may be exchangeability issues. The PBAC noted that a non-inferiority margin was not proposed in the submission and that non-inferiority was claimed based on lack of a statistically significant difference. The PBAC considered this approach was not robust, especially given the wide 95% confidence limits for the indirect comparisons.</w:t>
      </w:r>
    </w:p>
    <w:p w:rsidR="00A92918" w:rsidRPr="00A31E7D" w:rsidRDefault="00A92918" w:rsidP="00A92918">
      <w:pPr>
        <w:ind w:left="720"/>
        <w:rPr>
          <w:bCs/>
          <w:lang w:val="en-GB"/>
        </w:rPr>
      </w:pPr>
    </w:p>
    <w:p w:rsidR="00A31E7D" w:rsidRPr="00CA1C4F" w:rsidRDefault="00A92918" w:rsidP="00CA1C4F">
      <w:pPr>
        <w:pStyle w:val="ListParagraph"/>
        <w:widowControl/>
        <w:numPr>
          <w:ilvl w:val="1"/>
          <w:numId w:val="9"/>
        </w:numPr>
        <w:ind w:left="720" w:hanging="720"/>
      </w:pPr>
      <w:r w:rsidRPr="00CA1C4F">
        <w:t xml:space="preserve">While the </w:t>
      </w:r>
      <w:r w:rsidR="00D60252" w:rsidRPr="00CA1C4F">
        <w:t>comparison using placebo as the common comparator</w:t>
      </w:r>
      <w:r w:rsidRPr="00CA1C4F">
        <w:t xml:space="preserve"> indicated that there was an apparent improvement in disability progression outcomes with </w:t>
      </w:r>
      <w:proofErr w:type="spellStart"/>
      <w:r w:rsidRPr="00CA1C4F">
        <w:t>daclizumab</w:t>
      </w:r>
      <w:proofErr w:type="spellEnd"/>
      <w:r w:rsidRPr="00CA1C4F">
        <w:t xml:space="preserve"> treatment versus </w:t>
      </w:r>
      <w:proofErr w:type="spellStart"/>
      <w:r w:rsidRPr="00CA1C4F">
        <w:t>fingolimod</w:t>
      </w:r>
      <w:proofErr w:type="spellEnd"/>
      <w:r w:rsidRPr="00CA1C4F">
        <w:t xml:space="preserve"> this was not </w:t>
      </w:r>
      <w:r w:rsidR="00D60252" w:rsidRPr="00CA1C4F">
        <w:t xml:space="preserve">demonstrated </w:t>
      </w:r>
      <w:r w:rsidR="0044334F" w:rsidRPr="00CA1C4F">
        <w:t>for</w:t>
      </w:r>
      <w:r w:rsidRPr="00CA1C4F">
        <w:t xml:space="preserve"> the indirect comparison using IM IFN β-1a as the common comparator. The PBAC noted </w:t>
      </w:r>
      <w:r w:rsidR="0044334F" w:rsidRPr="00CA1C4F">
        <w:t>the</w:t>
      </w:r>
      <w:r w:rsidRPr="00CA1C4F">
        <w:t xml:space="preserve"> lack of demonstration of superiority over IFN β-1a for the endpoint of progression of disability.</w:t>
      </w:r>
    </w:p>
    <w:p w:rsidR="00C543AC" w:rsidRPr="00A92918" w:rsidRDefault="00C543AC" w:rsidP="00B33B3B">
      <w:pPr>
        <w:pStyle w:val="PBACHeading1"/>
        <w:ind w:left="720"/>
        <w:rPr>
          <w:lang w:val="en-GB"/>
        </w:rPr>
      </w:pPr>
    </w:p>
    <w:p w:rsidR="00070C59" w:rsidRPr="00CA1C4F" w:rsidRDefault="00A92918" w:rsidP="00CA1C4F">
      <w:pPr>
        <w:pStyle w:val="ListParagraph"/>
        <w:widowControl/>
        <w:numPr>
          <w:ilvl w:val="1"/>
          <w:numId w:val="9"/>
        </w:numPr>
        <w:ind w:left="720" w:hanging="720"/>
      </w:pPr>
      <w:r w:rsidRPr="00CA1C4F">
        <w:t xml:space="preserve">The PBAC considered that the comparison of the safety data between </w:t>
      </w:r>
      <w:proofErr w:type="spellStart"/>
      <w:r w:rsidRPr="00CA1C4F">
        <w:t>daclizumab</w:t>
      </w:r>
      <w:proofErr w:type="spellEnd"/>
      <w:r w:rsidRPr="00CA1C4F">
        <w:t xml:space="preserve"> and </w:t>
      </w:r>
      <w:proofErr w:type="spellStart"/>
      <w:r w:rsidRPr="00CA1C4F">
        <w:t>fingolimod</w:t>
      </w:r>
      <w:proofErr w:type="spellEnd"/>
      <w:r w:rsidRPr="00CA1C4F">
        <w:t xml:space="preserve"> was largely </w:t>
      </w:r>
      <w:r w:rsidR="00070C59" w:rsidRPr="00CA1C4F">
        <w:t>non-</w:t>
      </w:r>
      <w:r w:rsidRPr="00CA1C4F">
        <w:t>informative</w:t>
      </w:r>
      <w:r w:rsidR="00070C59" w:rsidRPr="00CA1C4F">
        <w:t>.</w:t>
      </w:r>
      <w:r w:rsidR="00FA0D28" w:rsidRPr="00CA1C4F">
        <w:t xml:space="preserve"> </w:t>
      </w:r>
      <w:r w:rsidR="00FA0D28">
        <w:t xml:space="preserve">The PBAC noted that </w:t>
      </w:r>
      <w:r w:rsidR="0044334F">
        <w:t xml:space="preserve">there are limited long-term data on the safety of </w:t>
      </w:r>
      <w:proofErr w:type="spellStart"/>
      <w:r w:rsidR="0044334F">
        <w:t>daclizumab</w:t>
      </w:r>
      <w:proofErr w:type="spellEnd"/>
      <w:r w:rsidR="0044334F">
        <w:t xml:space="preserve"> for the treatment of MS, and that </w:t>
      </w:r>
      <w:r w:rsidR="00FA0D28">
        <w:t xml:space="preserve">the TGA </w:t>
      </w:r>
      <w:r w:rsidR="0044334F">
        <w:t>D</w:t>
      </w:r>
      <w:r w:rsidR="00FA0D28">
        <w:t xml:space="preserve">elegates </w:t>
      </w:r>
      <w:r w:rsidR="0044334F">
        <w:t>O</w:t>
      </w:r>
      <w:r w:rsidR="00FA0D28">
        <w:t xml:space="preserve">verview also </w:t>
      </w:r>
      <w:r w:rsidR="00FA0D28" w:rsidRPr="00CA3321">
        <w:t xml:space="preserve">identified a potential risk of depression associated with </w:t>
      </w:r>
      <w:proofErr w:type="spellStart"/>
      <w:r w:rsidR="00FA0D28" w:rsidRPr="00CA3321">
        <w:t>daclizumab</w:t>
      </w:r>
      <w:proofErr w:type="spellEnd"/>
      <w:r w:rsidR="00FA0D28" w:rsidRPr="00CA3321">
        <w:t xml:space="preserve"> treatment.</w:t>
      </w:r>
    </w:p>
    <w:p w:rsidR="00083773" w:rsidRPr="00CA3321" w:rsidRDefault="00083773" w:rsidP="00083773">
      <w:pPr>
        <w:pStyle w:val="ListParagraph"/>
        <w:widowControl/>
        <w:rPr>
          <w:szCs w:val="22"/>
        </w:rPr>
      </w:pPr>
    </w:p>
    <w:p w:rsidR="0044334F" w:rsidRPr="00CA1C4F" w:rsidRDefault="0044334F" w:rsidP="00CA1C4F">
      <w:pPr>
        <w:pStyle w:val="ListParagraph"/>
        <w:widowControl/>
        <w:numPr>
          <w:ilvl w:val="1"/>
          <w:numId w:val="9"/>
        </w:numPr>
        <w:ind w:left="720" w:hanging="720"/>
      </w:pPr>
      <w:r w:rsidRPr="00CA1C4F">
        <w:t>The PBAC considered that the claim of non-inferior efficacy</w:t>
      </w:r>
      <w:r w:rsidR="000D188A" w:rsidRPr="00CA1C4F">
        <w:t xml:space="preserve"> compared</w:t>
      </w:r>
      <w:r w:rsidRPr="00CA1C4F">
        <w:t xml:space="preserve"> to </w:t>
      </w:r>
      <w:proofErr w:type="spellStart"/>
      <w:r w:rsidRPr="00CA1C4F">
        <w:t>fingolimod</w:t>
      </w:r>
      <w:proofErr w:type="spellEnd"/>
      <w:r w:rsidRPr="00CA1C4F">
        <w:t xml:space="preserve"> may be reasonable but the claim </w:t>
      </w:r>
      <w:r w:rsidR="000D188A" w:rsidRPr="00CA1C4F">
        <w:t xml:space="preserve">of non-inferior safety compared to </w:t>
      </w:r>
      <w:r w:rsidRPr="00CA1C4F">
        <w:t xml:space="preserve">was </w:t>
      </w:r>
      <w:proofErr w:type="spellStart"/>
      <w:r w:rsidR="00816EED" w:rsidRPr="00CA1C4F">
        <w:t>fingolimod</w:t>
      </w:r>
      <w:proofErr w:type="spellEnd"/>
      <w:r w:rsidR="00816EED" w:rsidRPr="00CA1C4F">
        <w:t xml:space="preserve"> </w:t>
      </w:r>
      <w:r w:rsidRPr="00CA1C4F">
        <w:t>inadequately supported by the available data.</w:t>
      </w:r>
    </w:p>
    <w:p w:rsidR="0044334F" w:rsidRPr="008E6D36" w:rsidRDefault="0044334F" w:rsidP="0044334F">
      <w:pPr>
        <w:pStyle w:val="ListParagraph"/>
        <w:widowControl/>
        <w:rPr>
          <w:szCs w:val="22"/>
        </w:rPr>
      </w:pPr>
    </w:p>
    <w:p w:rsidR="000D188A" w:rsidRPr="00CA1C4F" w:rsidRDefault="0044334F" w:rsidP="00CA1C4F">
      <w:pPr>
        <w:pStyle w:val="ListParagraph"/>
        <w:widowControl/>
        <w:numPr>
          <w:ilvl w:val="1"/>
          <w:numId w:val="9"/>
        </w:numPr>
        <w:ind w:left="720" w:hanging="720"/>
      </w:pPr>
      <w:r w:rsidRPr="00CA1C4F">
        <w:t xml:space="preserve">The PBAC considered the claim </w:t>
      </w:r>
      <w:r w:rsidR="000D188A" w:rsidRPr="00CA1C4F">
        <w:t xml:space="preserve">of superior efficacy compared to IM IFN β-1a </w:t>
      </w:r>
      <w:r w:rsidRPr="00CA1C4F">
        <w:t xml:space="preserve">may be reasonable for the relapse outcomes and MRI measures, but not for the progression of disability. The PBAC considered </w:t>
      </w:r>
      <w:proofErr w:type="spellStart"/>
      <w:r w:rsidRPr="00CA1C4F">
        <w:t>daclizumab</w:t>
      </w:r>
      <w:proofErr w:type="spellEnd"/>
      <w:r w:rsidRPr="00CA1C4F">
        <w:t xml:space="preserve"> to have a worse safety profile compared to IM IFN β-1a.</w:t>
      </w:r>
    </w:p>
    <w:p w:rsidR="00FA0D28" w:rsidRPr="00FA0D28" w:rsidRDefault="00FA0D28" w:rsidP="00D5409A">
      <w:pPr>
        <w:pStyle w:val="ListParagraph"/>
        <w:rPr>
          <w:bCs/>
          <w:lang w:val="en-GB"/>
        </w:rPr>
      </w:pPr>
    </w:p>
    <w:p w:rsidR="00A92918" w:rsidRPr="00CA1C4F" w:rsidRDefault="00D5409A" w:rsidP="00CA1C4F">
      <w:pPr>
        <w:pStyle w:val="ListParagraph"/>
        <w:widowControl/>
        <w:numPr>
          <w:ilvl w:val="1"/>
          <w:numId w:val="9"/>
        </w:numPr>
        <w:ind w:left="720" w:hanging="720"/>
      </w:pPr>
      <w:r w:rsidRPr="00CA1C4F">
        <w:t>The PBAC considered tha</w:t>
      </w:r>
      <w:r w:rsidR="00C34704" w:rsidRPr="00CA1C4F">
        <w:t xml:space="preserve">t the </w:t>
      </w:r>
      <w:proofErr w:type="spellStart"/>
      <w:r w:rsidR="00C34704" w:rsidRPr="00CA1C4F">
        <w:t>equi</w:t>
      </w:r>
      <w:proofErr w:type="spellEnd"/>
      <w:r w:rsidR="00C34704" w:rsidRPr="00CA1C4F">
        <w:t>-effective doses should be based on the tr</w:t>
      </w:r>
      <w:r w:rsidR="00872893" w:rsidRPr="00CA1C4F">
        <w:t>i</w:t>
      </w:r>
      <w:r w:rsidR="00C34704" w:rsidRPr="00CA1C4F">
        <w:t xml:space="preserve">al data and the therefore </w:t>
      </w:r>
      <w:r w:rsidR="00872893" w:rsidRPr="00CA1C4F">
        <w:t xml:space="preserve">the </w:t>
      </w:r>
      <w:proofErr w:type="spellStart"/>
      <w:r w:rsidR="00872893" w:rsidRPr="00CA1C4F">
        <w:t>equi</w:t>
      </w:r>
      <w:proofErr w:type="spellEnd"/>
      <w:r w:rsidR="00872893" w:rsidRPr="00CA1C4F">
        <w:t xml:space="preserve">-effective doses are </w:t>
      </w:r>
      <w:proofErr w:type="spellStart"/>
      <w:r w:rsidR="00872893" w:rsidRPr="00CA1C4F">
        <w:t>daclizumab</w:t>
      </w:r>
      <w:proofErr w:type="spellEnd"/>
      <w:r w:rsidR="00872893" w:rsidRPr="00CA1C4F">
        <w:t xml:space="preserve"> 150 mg once every 4 weeks and </w:t>
      </w:r>
      <w:proofErr w:type="spellStart"/>
      <w:r w:rsidR="00872893" w:rsidRPr="00CA1C4F">
        <w:t>fingolimod</w:t>
      </w:r>
      <w:proofErr w:type="spellEnd"/>
      <w:r w:rsidR="00872893" w:rsidRPr="00CA1C4F">
        <w:t xml:space="preserve"> 0.5 mg once daily.</w:t>
      </w:r>
    </w:p>
    <w:p w:rsidR="00C34704" w:rsidRDefault="00C34704" w:rsidP="00C34704">
      <w:pPr>
        <w:ind w:left="720"/>
        <w:rPr>
          <w:bCs/>
          <w:lang w:val="en-GB"/>
        </w:rPr>
      </w:pPr>
    </w:p>
    <w:p w:rsidR="00C34704" w:rsidRPr="00CA1C4F" w:rsidRDefault="00C34704" w:rsidP="00CA1C4F">
      <w:pPr>
        <w:pStyle w:val="ListParagraph"/>
        <w:widowControl/>
        <w:numPr>
          <w:ilvl w:val="1"/>
          <w:numId w:val="9"/>
        </w:numPr>
        <w:ind w:left="720" w:hanging="720"/>
      </w:pPr>
      <w:r w:rsidRPr="00CA1C4F">
        <w:t>The PBAC considered that the financial estimates in the submission were not reliable</w:t>
      </w:r>
      <w:r w:rsidR="00AD59C0" w:rsidRPr="00CA1C4F">
        <w:t xml:space="preserve"> based on the initial uptake rate being based on the </w:t>
      </w:r>
      <w:proofErr w:type="spellStart"/>
      <w:r w:rsidR="00AD59C0" w:rsidRPr="00CA1C4F">
        <w:t>peg</w:t>
      </w:r>
      <w:r w:rsidR="004461A1" w:rsidRPr="00CA1C4F">
        <w:t>interferon</w:t>
      </w:r>
      <w:proofErr w:type="spellEnd"/>
      <w:r w:rsidR="00AD59C0" w:rsidRPr="00CA1C4F">
        <w:t xml:space="preserve"> b</w:t>
      </w:r>
      <w:r w:rsidR="004461A1" w:rsidRPr="00CA1C4F">
        <w:t>eta</w:t>
      </w:r>
      <w:r w:rsidR="00AD59C0" w:rsidRPr="00CA1C4F">
        <w:t>-1a market share, then arbitrary assumptions</w:t>
      </w:r>
      <w:r w:rsidRPr="00CA1C4F">
        <w:t xml:space="preserve"> </w:t>
      </w:r>
      <w:r w:rsidR="00AD59C0" w:rsidRPr="00CA1C4F">
        <w:t xml:space="preserve">thereafter and the assumption that </w:t>
      </w:r>
      <w:proofErr w:type="spellStart"/>
      <w:r w:rsidR="00AD59C0" w:rsidRPr="00CA1C4F">
        <w:t>daclizumab</w:t>
      </w:r>
      <w:proofErr w:type="spellEnd"/>
      <w:r w:rsidR="00AD59C0" w:rsidRPr="00CA1C4F">
        <w:t xml:space="preserve"> would only replace </w:t>
      </w:r>
      <w:proofErr w:type="spellStart"/>
      <w:r w:rsidR="00AD59C0" w:rsidRPr="00CA1C4F">
        <w:t>fingolimod</w:t>
      </w:r>
      <w:proofErr w:type="spellEnd"/>
      <w:r w:rsidR="00AD59C0" w:rsidRPr="00CA1C4F">
        <w:t>.</w:t>
      </w:r>
    </w:p>
    <w:p w:rsidR="00B704AD" w:rsidRDefault="00B704AD" w:rsidP="00BD5FB2">
      <w:pPr>
        <w:ind w:left="720"/>
        <w:rPr>
          <w:bCs/>
          <w:lang w:val="en-GB"/>
        </w:rPr>
      </w:pPr>
    </w:p>
    <w:p w:rsidR="0064706E" w:rsidRPr="00CA1C4F" w:rsidRDefault="0064706E" w:rsidP="00CA1C4F">
      <w:pPr>
        <w:pStyle w:val="ListParagraph"/>
        <w:widowControl/>
        <w:numPr>
          <w:ilvl w:val="1"/>
          <w:numId w:val="9"/>
        </w:numPr>
        <w:ind w:left="720" w:hanging="720"/>
      </w:pPr>
      <w:bookmarkStart w:id="17" w:name="_GoBack"/>
      <w:r w:rsidRPr="00CA1C4F">
        <w:t xml:space="preserve">The PBAC considered that the </w:t>
      </w:r>
      <w:r w:rsidR="00B704AD" w:rsidRPr="00CA1C4F">
        <w:t xml:space="preserve">any </w:t>
      </w:r>
      <w:r w:rsidR="00816EED" w:rsidRPr="00CA1C4F">
        <w:t xml:space="preserve">reconsideration or </w:t>
      </w:r>
      <w:r w:rsidR="00B704AD" w:rsidRPr="00CA1C4F">
        <w:t xml:space="preserve">resubmission would need to include a comparison with a comparator appropriate to the clinical place of </w:t>
      </w:r>
      <w:proofErr w:type="spellStart"/>
      <w:r w:rsidR="00B704AD" w:rsidRPr="00CA1C4F">
        <w:t>daclizumab</w:t>
      </w:r>
      <w:proofErr w:type="spellEnd"/>
      <w:r w:rsidR="00B704AD" w:rsidRPr="00CA1C4F">
        <w:t xml:space="preserve"> as defined in the TGA registration.</w:t>
      </w:r>
    </w:p>
    <w:bookmarkEnd w:id="17"/>
    <w:p w:rsidR="008834B0" w:rsidRPr="008834B0" w:rsidRDefault="008834B0" w:rsidP="008834B0">
      <w:pPr>
        <w:rPr>
          <w:b/>
          <w:highlight w:val="yellow"/>
          <w:lang w:val="en-GB"/>
        </w:rPr>
      </w:pPr>
    </w:p>
    <w:p w:rsidR="008834B0" w:rsidRPr="002F30A5" w:rsidRDefault="008834B0" w:rsidP="008834B0">
      <w:pPr>
        <w:rPr>
          <w:b/>
          <w:bCs/>
          <w:lang w:val="en-GB"/>
        </w:rPr>
      </w:pPr>
    </w:p>
    <w:p w:rsidR="008834B0" w:rsidRPr="002F30A5" w:rsidRDefault="008834B0" w:rsidP="008834B0">
      <w:pPr>
        <w:rPr>
          <w:b/>
          <w:bCs/>
          <w:lang w:val="en-GB"/>
        </w:rPr>
      </w:pPr>
      <w:r w:rsidRPr="002F30A5">
        <w:rPr>
          <w:b/>
          <w:bCs/>
          <w:lang w:val="en-GB"/>
        </w:rPr>
        <w:t>Outcome:</w:t>
      </w:r>
    </w:p>
    <w:p w:rsidR="00E22A0D" w:rsidRDefault="00BD5FB2" w:rsidP="00ED702D">
      <w:pPr>
        <w:rPr>
          <w:bCs/>
          <w:lang w:val="en-GB"/>
        </w:rPr>
      </w:pPr>
      <w:r w:rsidRPr="002F30A5">
        <w:rPr>
          <w:bCs/>
          <w:lang w:val="en-GB"/>
        </w:rPr>
        <w:t>Deferred</w:t>
      </w:r>
    </w:p>
    <w:p w:rsidR="009248D0" w:rsidRDefault="009248D0" w:rsidP="00ED702D">
      <w:pPr>
        <w:rPr>
          <w:bCs/>
          <w:lang w:val="en-GB"/>
        </w:rPr>
      </w:pPr>
    </w:p>
    <w:p w:rsidR="009248D0" w:rsidRPr="009248D0" w:rsidRDefault="009248D0" w:rsidP="00CF6B32">
      <w:pPr>
        <w:pStyle w:val="Heading1"/>
        <w:numPr>
          <w:ilvl w:val="0"/>
          <w:numId w:val="9"/>
        </w:numPr>
        <w:ind w:left="709" w:hanging="709"/>
      </w:pPr>
      <w:r w:rsidRPr="009248D0">
        <w:t>Context for Decision</w:t>
      </w:r>
    </w:p>
    <w:p w:rsidR="009248D0" w:rsidRDefault="009248D0" w:rsidP="009248D0">
      <w:pPr>
        <w:ind w:left="426"/>
      </w:pPr>
    </w:p>
    <w:p w:rsidR="009248D0" w:rsidRPr="009248D0" w:rsidRDefault="009248D0" w:rsidP="009248D0">
      <w:pPr>
        <w:pStyle w:val="ListParagraph"/>
        <w:widowControl/>
        <w:rPr>
          <w:bCs/>
          <w:lang w:val="en-GB"/>
        </w:rPr>
      </w:pPr>
      <w:r w:rsidRPr="009248D0">
        <w:rPr>
          <w:bCs/>
          <w:lang w:val="en-GB"/>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9248D0" w:rsidRDefault="009248D0" w:rsidP="009248D0">
      <w:pPr>
        <w:ind w:left="426"/>
      </w:pPr>
    </w:p>
    <w:p w:rsidR="009248D0" w:rsidRPr="009248D0" w:rsidRDefault="009248D0" w:rsidP="00CF6B32">
      <w:pPr>
        <w:pStyle w:val="Heading1"/>
        <w:numPr>
          <w:ilvl w:val="0"/>
          <w:numId w:val="9"/>
        </w:numPr>
        <w:ind w:left="709" w:hanging="709"/>
      </w:pPr>
      <w:r w:rsidRPr="009248D0">
        <w:t>Sponsor’s Comment</w:t>
      </w:r>
    </w:p>
    <w:p w:rsidR="009248D0" w:rsidRDefault="009248D0" w:rsidP="009248D0">
      <w:pPr>
        <w:ind w:left="426"/>
        <w:rPr>
          <w:bCs/>
          <w:highlight w:val="yellow"/>
          <w:lang w:val="en-GB"/>
        </w:rPr>
      </w:pPr>
    </w:p>
    <w:p w:rsidR="00711B30" w:rsidRPr="00B33B3B" w:rsidRDefault="00711B30" w:rsidP="00711B30">
      <w:pPr>
        <w:ind w:left="720"/>
        <w:rPr>
          <w:bCs/>
          <w:lang w:val="en-GB"/>
        </w:rPr>
      </w:pPr>
      <w:r w:rsidRPr="00B33B3B">
        <w:rPr>
          <w:bCs/>
          <w:lang w:val="en-GB"/>
        </w:rPr>
        <w:t xml:space="preserve">The sponsor acknowledges the deferred decision for </w:t>
      </w:r>
      <w:proofErr w:type="spellStart"/>
      <w:r w:rsidRPr="00B33B3B">
        <w:rPr>
          <w:bCs/>
          <w:lang w:val="en-GB"/>
        </w:rPr>
        <w:t>daclizumab</w:t>
      </w:r>
      <w:proofErr w:type="spellEnd"/>
      <w:r w:rsidRPr="00B33B3B">
        <w:rPr>
          <w:bCs/>
          <w:lang w:val="en-GB"/>
        </w:rPr>
        <w:t xml:space="preserve"> based on the issues raised in the TGA Delegate’s Overview and the lack of clarity around the clinical place for </w:t>
      </w:r>
      <w:proofErr w:type="spellStart"/>
      <w:r w:rsidRPr="00B33B3B">
        <w:rPr>
          <w:bCs/>
          <w:lang w:val="en-GB"/>
        </w:rPr>
        <w:t>daclizumab</w:t>
      </w:r>
      <w:proofErr w:type="spellEnd"/>
      <w:r w:rsidRPr="00B33B3B">
        <w:rPr>
          <w:bCs/>
          <w:lang w:val="en-GB"/>
        </w:rPr>
        <w:t xml:space="preserve"> at that time. The concerns highlighted by the Delegate in paragraphs 3.2 and 3.3 have been addressed and the TGA registration is now finalised. </w:t>
      </w:r>
    </w:p>
    <w:p w:rsidR="00711B30" w:rsidRPr="00B33B3B" w:rsidRDefault="00711B30" w:rsidP="00711B30">
      <w:pPr>
        <w:ind w:left="720"/>
        <w:rPr>
          <w:bCs/>
          <w:lang w:val="en-GB"/>
        </w:rPr>
      </w:pPr>
    </w:p>
    <w:p w:rsidR="00711B30" w:rsidRPr="00B33B3B" w:rsidRDefault="00711B30" w:rsidP="00711B30">
      <w:pPr>
        <w:ind w:left="720"/>
        <w:rPr>
          <w:bCs/>
          <w:lang w:val="en-GB"/>
        </w:rPr>
      </w:pPr>
      <w:r w:rsidRPr="00B33B3B">
        <w:rPr>
          <w:bCs/>
          <w:lang w:val="en-GB"/>
        </w:rPr>
        <w:t xml:space="preserve">The clinical place of therapy has been confirmed by the following indication:  “ZINBRYTA is indicated for the treatment of relapsing forms of multiple sclerosis (MS) to delay the progression of physical disability and to reduce the frequency of relapse.”  This indication is aligned with that included in the July 2016 PBAC submission.  </w:t>
      </w:r>
      <w:proofErr w:type="spellStart"/>
      <w:r w:rsidRPr="00B33B3B">
        <w:rPr>
          <w:bCs/>
          <w:lang w:val="en-GB"/>
        </w:rPr>
        <w:t>Biogen</w:t>
      </w:r>
      <w:proofErr w:type="spellEnd"/>
      <w:r w:rsidRPr="00B33B3B">
        <w:rPr>
          <w:bCs/>
          <w:lang w:val="en-GB"/>
        </w:rPr>
        <w:t xml:space="preserve"> look forward to working with the PBAC towards reimbursement for patients with MS.</w:t>
      </w:r>
    </w:p>
    <w:p w:rsidR="009248D0" w:rsidRPr="00317677" w:rsidRDefault="009248D0" w:rsidP="00ED702D">
      <w:pPr>
        <w:rPr>
          <w:bCs/>
          <w:lang w:val="en-GB"/>
        </w:rPr>
      </w:pPr>
    </w:p>
    <w:sectPr w:rsidR="009248D0" w:rsidRPr="00317677" w:rsidSect="00C0474D">
      <w:headerReference w:type="default" r:id="rId9"/>
      <w:footerReference w:type="default" r:id="rId10"/>
      <w:pgSz w:w="11906" w:h="16838"/>
      <w:pgMar w:top="1440" w:right="1440" w:bottom="1440" w:left="1440" w:header="1440" w:footer="1440" w:gutter="0"/>
      <w:pgNumType w:start="1"/>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C88876B" w15:done="0"/>
  <w15:commentEx w15:paraId="2251CE84" w15:done="0"/>
  <w15:commentEx w15:paraId="3E39240B" w15:done="0"/>
  <w15:commentEx w15:paraId="7FAF96EA" w15:done="0"/>
  <w15:commentEx w15:paraId="3E74E510" w15:done="0"/>
  <w15:commentEx w15:paraId="3E9E933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1038" w:rsidRDefault="005F1038" w:rsidP="00124A51">
      <w:r>
        <w:separator/>
      </w:r>
    </w:p>
  </w:endnote>
  <w:endnote w:type="continuationSeparator" w:id="0">
    <w:p w:rsidR="005F1038" w:rsidRDefault="005F1038" w:rsidP="00124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old">
    <w:panose1 w:val="020B0704020202020204"/>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7770429"/>
      <w:docPartObj>
        <w:docPartGallery w:val="Page Numbers (Bottom of Page)"/>
        <w:docPartUnique/>
      </w:docPartObj>
    </w:sdtPr>
    <w:sdtEndPr>
      <w:rPr>
        <w:noProof/>
      </w:rPr>
    </w:sdtEndPr>
    <w:sdtContent>
      <w:p w:rsidR="005F1038" w:rsidRDefault="005F1038">
        <w:pPr>
          <w:pStyle w:val="Footer"/>
          <w:jc w:val="center"/>
        </w:pPr>
      </w:p>
      <w:p w:rsidR="005F1038" w:rsidRDefault="005F1038">
        <w:pPr>
          <w:pStyle w:val="Footer"/>
          <w:jc w:val="center"/>
        </w:pPr>
        <w:r>
          <w:fldChar w:fldCharType="begin"/>
        </w:r>
        <w:r>
          <w:instrText xml:space="preserve"> PAGE   \* MERGEFORMAT </w:instrText>
        </w:r>
        <w:r>
          <w:fldChar w:fldCharType="separate"/>
        </w:r>
        <w:r w:rsidR="00CA1C4F">
          <w:rPr>
            <w:noProof/>
          </w:rPr>
          <w:t>17</w:t>
        </w:r>
        <w:r>
          <w:rPr>
            <w:noProof/>
          </w:rPr>
          <w:fldChar w:fldCharType="end"/>
        </w:r>
      </w:p>
    </w:sdtContent>
  </w:sdt>
  <w:p w:rsidR="005F1038" w:rsidRPr="00015886" w:rsidRDefault="005F1038" w:rsidP="00015886">
    <w:pPr>
      <w:ind w:right="360"/>
      <w:jc w:val="center"/>
      <w:rPr>
        <w:b/>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1038" w:rsidRDefault="005F1038" w:rsidP="00124A51">
      <w:r>
        <w:separator/>
      </w:r>
    </w:p>
  </w:footnote>
  <w:footnote w:type="continuationSeparator" w:id="0">
    <w:p w:rsidR="005F1038" w:rsidRDefault="005F1038" w:rsidP="00124A51">
      <w:r>
        <w:continuationSeparator/>
      </w:r>
    </w:p>
  </w:footnote>
  <w:footnote w:id="1">
    <w:p w:rsidR="005F1038" w:rsidRPr="00736793" w:rsidRDefault="005F1038" w:rsidP="00CE05C9">
      <w:pPr>
        <w:pStyle w:val="FootnoteText"/>
        <w:jc w:val="left"/>
        <w:rPr>
          <w:sz w:val="18"/>
        </w:rPr>
      </w:pPr>
      <w:r w:rsidRPr="00736793">
        <w:rPr>
          <w:rStyle w:val="FootnoteReference"/>
          <w:sz w:val="18"/>
        </w:rPr>
        <w:footnoteRef/>
      </w:r>
      <w:r w:rsidRPr="00736793">
        <w:rPr>
          <w:sz w:val="18"/>
        </w:rPr>
        <w:t xml:space="preserve"> </w:t>
      </w:r>
      <w:r w:rsidRPr="00736793">
        <w:rPr>
          <w:i/>
          <w:sz w:val="18"/>
        </w:rPr>
        <w:t xml:space="preserve">PBAC Drug Utilisation Sub-Committee (2015). Multiple sclerosis: predicted versus actual analysis. Available at </w:t>
      </w:r>
      <w:hyperlink r:id="rId1" w:history="1">
        <w:r w:rsidRPr="00736793">
          <w:rPr>
            <w:rStyle w:val="Hyperlink"/>
            <w:i/>
            <w:sz w:val="18"/>
          </w:rPr>
          <w:t>http://www.pbs.gov.au/info/industry/listing/participants/public-release-docs/multiple-sclerosis-dusc-prd-2015-10-abstract</w:t>
        </w:r>
      </w:hyperlink>
      <w:r w:rsidRPr="00736793">
        <w:rPr>
          <w:sz w:val="18"/>
        </w:rPr>
        <w:t xml:space="preserve"> </w:t>
      </w:r>
    </w:p>
  </w:footnote>
  <w:footnote w:id="2">
    <w:p w:rsidR="005F1038" w:rsidRPr="00736793" w:rsidRDefault="005F1038" w:rsidP="00993F46">
      <w:pPr>
        <w:pStyle w:val="FootnoteText"/>
        <w:jc w:val="left"/>
        <w:rPr>
          <w:bCs/>
          <w:i/>
          <w:sz w:val="18"/>
          <w:szCs w:val="22"/>
        </w:rPr>
      </w:pPr>
      <w:r w:rsidRPr="00736793">
        <w:rPr>
          <w:rStyle w:val="FootnoteReference"/>
          <w:sz w:val="18"/>
        </w:rPr>
        <w:footnoteRef/>
      </w:r>
      <w:r w:rsidRPr="00736793">
        <w:rPr>
          <w:sz w:val="18"/>
        </w:rPr>
        <w:t xml:space="preserve"> </w:t>
      </w:r>
      <w:r w:rsidRPr="00736793">
        <w:rPr>
          <w:bCs/>
          <w:i/>
          <w:sz w:val="18"/>
          <w:szCs w:val="22"/>
        </w:rPr>
        <w:t xml:space="preserve">Broadly, Simon A, Barnett, Michael H et al. A new era in the treatment of multiple sclerosis. Medical Journal of Australia 2015; 203: 139-141. Open access available at: </w:t>
      </w:r>
      <w:hyperlink r:id="rId2" w:history="1">
        <w:r w:rsidRPr="00736793">
          <w:rPr>
            <w:rStyle w:val="Hyperlink"/>
            <w:bCs/>
            <w:i/>
            <w:sz w:val="18"/>
            <w:szCs w:val="22"/>
          </w:rPr>
          <w:t>https://www.mja.com.au/journal/2015/203/3/new-era-treatment-multiple-sclerosis</w:t>
        </w:r>
      </w:hyperlink>
      <w:r w:rsidRPr="00736793">
        <w:rPr>
          <w:bCs/>
          <w:i/>
          <w:sz w:val="18"/>
          <w:szCs w:val="22"/>
        </w:rPr>
        <w:t>.</w:t>
      </w:r>
    </w:p>
    <w:p w:rsidR="005F1038" w:rsidRPr="00736793" w:rsidRDefault="005F1038" w:rsidP="00993F46">
      <w:pPr>
        <w:pStyle w:val="FootnoteText"/>
        <w:jc w:val="left"/>
        <w:rPr>
          <w:sz w:val="18"/>
        </w:rPr>
      </w:pPr>
      <w:r w:rsidRPr="00736793">
        <w:rPr>
          <w:bCs/>
          <w:i/>
          <w:sz w:val="18"/>
          <w:szCs w:val="22"/>
        </w:rPr>
        <w:t xml:space="preserve"> Appendix at: </w:t>
      </w:r>
      <w:hyperlink r:id="rId3" w:history="1">
        <w:r w:rsidRPr="00736793">
          <w:rPr>
            <w:rStyle w:val="Hyperlink"/>
            <w:bCs/>
            <w:i/>
            <w:sz w:val="18"/>
            <w:szCs w:val="22"/>
          </w:rPr>
          <w:t>https://www.mja.com.au/sites/default/files/issues/203_03/10.5694mja14.01218_Appendix%201.pdf</w:t>
        </w:r>
      </w:hyperlink>
      <w:r w:rsidRPr="00736793">
        <w:rPr>
          <w:bCs/>
          <w:i/>
          <w:sz w:val="18"/>
          <w:szCs w:val="22"/>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1038" w:rsidRPr="00DF217D" w:rsidRDefault="005F1038" w:rsidP="00774C27">
    <w:pPr>
      <w:pStyle w:val="Header"/>
      <w:ind w:left="360"/>
      <w:jc w:val="center"/>
      <w:rPr>
        <w:i/>
        <w:color w:val="808080"/>
      </w:rPr>
    </w:pPr>
    <w:r>
      <w:rPr>
        <w:i/>
        <w:color w:val="808080"/>
      </w:rPr>
      <w:t xml:space="preserve">Public Summary Document </w:t>
    </w:r>
    <w:r w:rsidRPr="00DF217D">
      <w:rPr>
        <w:i/>
        <w:color w:val="808080"/>
      </w:rPr>
      <w:t xml:space="preserve">– </w:t>
    </w:r>
    <w:r>
      <w:rPr>
        <w:i/>
        <w:color w:val="808080"/>
      </w:rPr>
      <w:t xml:space="preserve">July 2016 </w:t>
    </w:r>
    <w:r w:rsidRPr="00DF217D">
      <w:rPr>
        <w:i/>
        <w:color w:val="808080"/>
      </w:rPr>
      <w:t>PBAC</w:t>
    </w:r>
    <w:r>
      <w:rPr>
        <w:i/>
        <w:color w:val="808080"/>
      </w:rPr>
      <w:t xml:space="preserve"> </w:t>
    </w:r>
    <w:r w:rsidRPr="00DF217D">
      <w:rPr>
        <w:i/>
        <w:color w:val="808080"/>
      </w:rPr>
      <w:t>Meeting</w:t>
    </w:r>
  </w:p>
  <w:p w:rsidR="005F1038" w:rsidRPr="00EE07D3" w:rsidRDefault="005F1038">
    <w:pPr>
      <w:pStyle w:val="Header"/>
      <w:rPr>
        <w:color w:val="D9D9D9" w:themeColor="background1" w:themeShade="D9"/>
      </w:rPr>
    </w:pPr>
  </w:p>
  <w:p w:rsidR="005F1038" w:rsidRPr="008C7ECB" w:rsidRDefault="005F103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10A81F93"/>
    <w:multiLevelType w:val="hybridMultilevel"/>
    <w:tmpl w:val="AD5C4CD8"/>
    <w:lvl w:ilvl="0" w:tplc="6D5AAB4A">
      <w:start w:val="1"/>
      <w:numFmt w:val="decimal"/>
      <w:lvlText w:val="%1."/>
      <w:lvlJc w:val="left"/>
      <w:pPr>
        <w:ind w:left="1778" w:hanging="360"/>
      </w:pPr>
      <w:rPr>
        <w:rFonts w:hint="default"/>
      </w:rPr>
    </w:lvl>
    <w:lvl w:ilvl="1" w:tplc="0C090019" w:tentative="1">
      <w:start w:val="1"/>
      <w:numFmt w:val="lowerLetter"/>
      <w:lvlText w:val="%2."/>
      <w:lvlJc w:val="left"/>
      <w:pPr>
        <w:ind w:left="2498" w:hanging="360"/>
      </w:pPr>
    </w:lvl>
    <w:lvl w:ilvl="2" w:tplc="0C09001B" w:tentative="1">
      <w:start w:val="1"/>
      <w:numFmt w:val="lowerRoman"/>
      <w:lvlText w:val="%3."/>
      <w:lvlJc w:val="right"/>
      <w:pPr>
        <w:ind w:left="3218" w:hanging="180"/>
      </w:pPr>
    </w:lvl>
    <w:lvl w:ilvl="3" w:tplc="0C09000F" w:tentative="1">
      <w:start w:val="1"/>
      <w:numFmt w:val="decimal"/>
      <w:lvlText w:val="%4."/>
      <w:lvlJc w:val="left"/>
      <w:pPr>
        <w:ind w:left="3938" w:hanging="360"/>
      </w:pPr>
    </w:lvl>
    <w:lvl w:ilvl="4" w:tplc="0C090019" w:tentative="1">
      <w:start w:val="1"/>
      <w:numFmt w:val="lowerLetter"/>
      <w:lvlText w:val="%5."/>
      <w:lvlJc w:val="left"/>
      <w:pPr>
        <w:ind w:left="4658" w:hanging="360"/>
      </w:pPr>
    </w:lvl>
    <w:lvl w:ilvl="5" w:tplc="0C09001B" w:tentative="1">
      <w:start w:val="1"/>
      <w:numFmt w:val="lowerRoman"/>
      <w:lvlText w:val="%6."/>
      <w:lvlJc w:val="right"/>
      <w:pPr>
        <w:ind w:left="5378" w:hanging="180"/>
      </w:pPr>
    </w:lvl>
    <w:lvl w:ilvl="6" w:tplc="0C09000F" w:tentative="1">
      <w:start w:val="1"/>
      <w:numFmt w:val="decimal"/>
      <w:lvlText w:val="%7."/>
      <w:lvlJc w:val="left"/>
      <w:pPr>
        <w:ind w:left="6098" w:hanging="360"/>
      </w:pPr>
    </w:lvl>
    <w:lvl w:ilvl="7" w:tplc="0C090019" w:tentative="1">
      <w:start w:val="1"/>
      <w:numFmt w:val="lowerLetter"/>
      <w:lvlText w:val="%8."/>
      <w:lvlJc w:val="left"/>
      <w:pPr>
        <w:ind w:left="6818" w:hanging="360"/>
      </w:pPr>
    </w:lvl>
    <w:lvl w:ilvl="8" w:tplc="0C09001B" w:tentative="1">
      <w:start w:val="1"/>
      <w:numFmt w:val="lowerRoman"/>
      <w:lvlText w:val="%9."/>
      <w:lvlJc w:val="right"/>
      <w:pPr>
        <w:ind w:left="7538" w:hanging="180"/>
      </w:pPr>
    </w:lvl>
  </w:abstractNum>
  <w:abstractNum w:abstractNumId="3">
    <w:nsid w:val="1E3A54BD"/>
    <w:multiLevelType w:val="hybridMultilevel"/>
    <w:tmpl w:val="3B464536"/>
    <w:lvl w:ilvl="0" w:tplc="0C090001">
      <w:start w:val="1"/>
      <w:numFmt w:val="bullet"/>
      <w:lvlText w:val=""/>
      <w:lvlJc w:val="left"/>
      <w:pPr>
        <w:ind w:left="1028"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nsid w:val="2258329E"/>
    <w:multiLevelType w:val="hybridMultilevel"/>
    <w:tmpl w:val="0C3009A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2EAE00C4"/>
    <w:multiLevelType w:val="multilevel"/>
    <w:tmpl w:val="0E342342"/>
    <w:lvl w:ilvl="0">
      <w:start w:val="1"/>
      <w:numFmt w:val="decimal"/>
      <w:lvlText w:val="%1."/>
      <w:lvlJc w:val="left"/>
      <w:pPr>
        <w:ind w:left="1778" w:hanging="36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7">
    <w:nsid w:val="4CF0654F"/>
    <w:multiLevelType w:val="multilevel"/>
    <w:tmpl w:val="CE9CE55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56E97D40"/>
    <w:multiLevelType w:val="multilevel"/>
    <w:tmpl w:val="C84C999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5F62030E"/>
    <w:multiLevelType w:val="hybridMultilevel"/>
    <w:tmpl w:val="AE3EF602"/>
    <w:lvl w:ilvl="0" w:tplc="4E3002CA">
      <w:start w:val="1"/>
      <w:numFmt w:val="decimal"/>
      <w:lvlText w:val="%1."/>
      <w:lvlJc w:val="left"/>
      <w:pPr>
        <w:ind w:left="720" w:hanging="360"/>
      </w:pPr>
      <w:rPr>
        <w:rFonts w:ascii="Times New Roman" w:hAnsi="Times New Roman" w:cs="Times New Roman" w:hint="default"/>
        <w:color w:val="auto"/>
        <w:sz w:val="24"/>
      </w:rPr>
    </w:lvl>
    <w:lvl w:ilvl="1" w:tplc="0C090019">
      <w:start w:val="1"/>
      <w:numFmt w:val="lowerLetter"/>
      <w:lvlText w:val="%2."/>
      <w:lvlJc w:val="left"/>
      <w:pPr>
        <w:ind w:left="1440" w:hanging="360"/>
      </w:pPr>
    </w:lvl>
    <w:lvl w:ilvl="2" w:tplc="0C09001B">
      <w:start w:val="1"/>
      <w:numFmt w:val="lowerRoman"/>
      <w:lvlText w:val="%3."/>
      <w:lvlJc w:val="right"/>
      <w:pPr>
        <w:ind w:left="174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784D033C"/>
    <w:multiLevelType w:val="multilevel"/>
    <w:tmpl w:val="BE3EDC80"/>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1"/>
  </w:num>
  <w:num w:numId="2">
    <w:abstractNumId w:val="3"/>
  </w:num>
  <w:num w:numId="3">
    <w:abstractNumId w:val="4"/>
  </w:num>
  <w:num w:numId="4">
    <w:abstractNumId w:val="8"/>
  </w:num>
  <w:num w:numId="5">
    <w:abstractNumId w:val="1"/>
  </w:num>
  <w:num w:numId="6">
    <w:abstractNumId w:val="0"/>
  </w:num>
  <w:num w:numId="7">
    <w:abstractNumId w:val="5"/>
  </w:num>
  <w:num w:numId="8">
    <w:abstractNumId w:val="2"/>
  </w:num>
  <w:num w:numId="9">
    <w:abstractNumId w:val="6"/>
  </w:num>
  <w:num w:numId="10">
    <w:abstractNumId w:val="10"/>
  </w:num>
  <w:num w:numId="11">
    <w:abstractNumId w:val="7"/>
  </w:num>
  <w:num w:numId="12">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E79"/>
    <w:rsid w:val="00000641"/>
    <w:rsid w:val="00000790"/>
    <w:rsid w:val="000008E0"/>
    <w:rsid w:val="00001026"/>
    <w:rsid w:val="0000110B"/>
    <w:rsid w:val="000013DD"/>
    <w:rsid w:val="00002803"/>
    <w:rsid w:val="00003499"/>
    <w:rsid w:val="000056F0"/>
    <w:rsid w:val="000061DD"/>
    <w:rsid w:val="00007D93"/>
    <w:rsid w:val="00007EC4"/>
    <w:rsid w:val="00010FF5"/>
    <w:rsid w:val="00013190"/>
    <w:rsid w:val="00013247"/>
    <w:rsid w:val="00013C4D"/>
    <w:rsid w:val="00015356"/>
    <w:rsid w:val="00015886"/>
    <w:rsid w:val="000162EF"/>
    <w:rsid w:val="0001648D"/>
    <w:rsid w:val="0002225F"/>
    <w:rsid w:val="00023763"/>
    <w:rsid w:val="000254FC"/>
    <w:rsid w:val="000255F7"/>
    <w:rsid w:val="00030E87"/>
    <w:rsid w:val="00031252"/>
    <w:rsid w:val="0003158C"/>
    <w:rsid w:val="000328F6"/>
    <w:rsid w:val="0003397A"/>
    <w:rsid w:val="00037CFD"/>
    <w:rsid w:val="00040895"/>
    <w:rsid w:val="0004221E"/>
    <w:rsid w:val="00043C37"/>
    <w:rsid w:val="00043F2F"/>
    <w:rsid w:val="00045D2F"/>
    <w:rsid w:val="000467C8"/>
    <w:rsid w:val="00047398"/>
    <w:rsid w:val="00047654"/>
    <w:rsid w:val="00053BC1"/>
    <w:rsid w:val="000546D7"/>
    <w:rsid w:val="0005517A"/>
    <w:rsid w:val="00055B7A"/>
    <w:rsid w:val="00055CA1"/>
    <w:rsid w:val="00057CD8"/>
    <w:rsid w:val="00064D57"/>
    <w:rsid w:val="0006693F"/>
    <w:rsid w:val="00070C59"/>
    <w:rsid w:val="00070D0D"/>
    <w:rsid w:val="00071248"/>
    <w:rsid w:val="000720B9"/>
    <w:rsid w:val="00073B15"/>
    <w:rsid w:val="00073BAD"/>
    <w:rsid w:val="0007405E"/>
    <w:rsid w:val="00074C85"/>
    <w:rsid w:val="000812CA"/>
    <w:rsid w:val="000818A9"/>
    <w:rsid w:val="00083773"/>
    <w:rsid w:val="0008561D"/>
    <w:rsid w:val="000870ED"/>
    <w:rsid w:val="00090C7E"/>
    <w:rsid w:val="00090E3A"/>
    <w:rsid w:val="00092E65"/>
    <w:rsid w:val="000A2A84"/>
    <w:rsid w:val="000A4A21"/>
    <w:rsid w:val="000A57EC"/>
    <w:rsid w:val="000A58DA"/>
    <w:rsid w:val="000A728A"/>
    <w:rsid w:val="000B2184"/>
    <w:rsid w:val="000B38BE"/>
    <w:rsid w:val="000B543D"/>
    <w:rsid w:val="000B5A08"/>
    <w:rsid w:val="000B5A6B"/>
    <w:rsid w:val="000B73C6"/>
    <w:rsid w:val="000B76A6"/>
    <w:rsid w:val="000B7E61"/>
    <w:rsid w:val="000C02CD"/>
    <w:rsid w:val="000C0FEF"/>
    <w:rsid w:val="000C5AF1"/>
    <w:rsid w:val="000C6B0C"/>
    <w:rsid w:val="000D0ED7"/>
    <w:rsid w:val="000D188A"/>
    <w:rsid w:val="000D1BFC"/>
    <w:rsid w:val="000D20EC"/>
    <w:rsid w:val="000D2E2C"/>
    <w:rsid w:val="000D304E"/>
    <w:rsid w:val="000D3CB6"/>
    <w:rsid w:val="000D59BF"/>
    <w:rsid w:val="000D6F73"/>
    <w:rsid w:val="000D7D79"/>
    <w:rsid w:val="000E1325"/>
    <w:rsid w:val="000E1C14"/>
    <w:rsid w:val="000E3398"/>
    <w:rsid w:val="000E4722"/>
    <w:rsid w:val="000E523A"/>
    <w:rsid w:val="000E75BF"/>
    <w:rsid w:val="000E7E6C"/>
    <w:rsid w:val="000F080C"/>
    <w:rsid w:val="000F0C18"/>
    <w:rsid w:val="000F1D21"/>
    <w:rsid w:val="000F44C3"/>
    <w:rsid w:val="000F4BB8"/>
    <w:rsid w:val="000F66D5"/>
    <w:rsid w:val="000F7127"/>
    <w:rsid w:val="000F7708"/>
    <w:rsid w:val="000F7830"/>
    <w:rsid w:val="00100332"/>
    <w:rsid w:val="00100F8A"/>
    <w:rsid w:val="0010251A"/>
    <w:rsid w:val="001026EC"/>
    <w:rsid w:val="00103EC4"/>
    <w:rsid w:val="0011032E"/>
    <w:rsid w:val="00110818"/>
    <w:rsid w:val="00112C05"/>
    <w:rsid w:val="0011348B"/>
    <w:rsid w:val="00116B1F"/>
    <w:rsid w:val="00116E22"/>
    <w:rsid w:val="001177B3"/>
    <w:rsid w:val="00121799"/>
    <w:rsid w:val="00122277"/>
    <w:rsid w:val="001222FC"/>
    <w:rsid w:val="00123776"/>
    <w:rsid w:val="00124A51"/>
    <w:rsid w:val="00124D1F"/>
    <w:rsid w:val="001265AC"/>
    <w:rsid w:val="00126621"/>
    <w:rsid w:val="001301E9"/>
    <w:rsid w:val="00130891"/>
    <w:rsid w:val="001341CC"/>
    <w:rsid w:val="00135E00"/>
    <w:rsid w:val="00137645"/>
    <w:rsid w:val="0014015A"/>
    <w:rsid w:val="00140E99"/>
    <w:rsid w:val="0014102E"/>
    <w:rsid w:val="00141703"/>
    <w:rsid w:val="00141A72"/>
    <w:rsid w:val="00143908"/>
    <w:rsid w:val="00145540"/>
    <w:rsid w:val="001456B0"/>
    <w:rsid w:val="0014652A"/>
    <w:rsid w:val="00146C87"/>
    <w:rsid w:val="0015455F"/>
    <w:rsid w:val="00155FF5"/>
    <w:rsid w:val="0015695F"/>
    <w:rsid w:val="00157000"/>
    <w:rsid w:val="00157130"/>
    <w:rsid w:val="00157650"/>
    <w:rsid w:val="00161203"/>
    <w:rsid w:val="00162113"/>
    <w:rsid w:val="00162291"/>
    <w:rsid w:val="00162913"/>
    <w:rsid w:val="00163EFF"/>
    <w:rsid w:val="001661FB"/>
    <w:rsid w:val="001708B8"/>
    <w:rsid w:val="00172098"/>
    <w:rsid w:val="00172C0A"/>
    <w:rsid w:val="001740E7"/>
    <w:rsid w:val="0017416C"/>
    <w:rsid w:val="0017477A"/>
    <w:rsid w:val="00176AD8"/>
    <w:rsid w:val="001778D3"/>
    <w:rsid w:val="00180104"/>
    <w:rsid w:val="00180ECC"/>
    <w:rsid w:val="00181851"/>
    <w:rsid w:val="00184351"/>
    <w:rsid w:val="001849A5"/>
    <w:rsid w:val="00185DEE"/>
    <w:rsid w:val="001869F2"/>
    <w:rsid w:val="0018752F"/>
    <w:rsid w:val="00190199"/>
    <w:rsid w:val="00194695"/>
    <w:rsid w:val="00194D9C"/>
    <w:rsid w:val="00195222"/>
    <w:rsid w:val="00196A9B"/>
    <w:rsid w:val="00196AC2"/>
    <w:rsid w:val="00197500"/>
    <w:rsid w:val="0019752D"/>
    <w:rsid w:val="001975D8"/>
    <w:rsid w:val="001977B6"/>
    <w:rsid w:val="001A1726"/>
    <w:rsid w:val="001A23D0"/>
    <w:rsid w:val="001A286B"/>
    <w:rsid w:val="001A4B09"/>
    <w:rsid w:val="001A6D0D"/>
    <w:rsid w:val="001A7755"/>
    <w:rsid w:val="001A79B0"/>
    <w:rsid w:val="001B1DDF"/>
    <w:rsid w:val="001B2024"/>
    <w:rsid w:val="001B208F"/>
    <w:rsid w:val="001B2EC7"/>
    <w:rsid w:val="001B3443"/>
    <w:rsid w:val="001B3683"/>
    <w:rsid w:val="001B399B"/>
    <w:rsid w:val="001B68FB"/>
    <w:rsid w:val="001C0FC5"/>
    <w:rsid w:val="001C4FBB"/>
    <w:rsid w:val="001C632D"/>
    <w:rsid w:val="001C6AC5"/>
    <w:rsid w:val="001C6E66"/>
    <w:rsid w:val="001D01C3"/>
    <w:rsid w:val="001D0C3C"/>
    <w:rsid w:val="001D4C17"/>
    <w:rsid w:val="001D68EC"/>
    <w:rsid w:val="001D6E1D"/>
    <w:rsid w:val="001E1760"/>
    <w:rsid w:val="001E1F15"/>
    <w:rsid w:val="001E238E"/>
    <w:rsid w:val="001E2B1E"/>
    <w:rsid w:val="001E52EB"/>
    <w:rsid w:val="001E666B"/>
    <w:rsid w:val="001E6742"/>
    <w:rsid w:val="001E740C"/>
    <w:rsid w:val="001F1235"/>
    <w:rsid w:val="001F1275"/>
    <w:rsid w:val="001F1CB3"/>
    <w:rsid w:val="001F3FCF"/>
    <w:rsid w:val="001F423F"/>
    <w:rsid w:val="001F7361"/>
    <w:rsid w:val="001F7C89"/>
    <w:rsid w:val="00202BCF"/>
    <w:rsid w:val="00203379"/>
    <w:rsid w:val="0020385F"/>
    <w:rsid w:val="00203DFB"/>
    <w:rsid w:val="002044DC"/>
    <w:rsid w:val="002069D8"/>
    <w:rsid w:val="00207021"/>
    <w:rsid w:val="00207569"/>
    <w:rsid w:val="00207D00"/>
    <w:rsid w:val="002105C1"/>
    <w:rsid w:val="00211142"/>
    <w:rsid w:val="0021304E"/>
    <w:rsid w:val="002134C2"/>
    <w:rsid w:val="00213D01"/>
    <w:rsid w:val="00214531"/>
    <w:rsid w:val="00214CC1"/>
    <w:rsid w:val="00216561"/>
    <w:rsid w:val="002167C0"/>
    <w:rsid w:val="00216AB3"/>
    <w:rsid w:val="00222BE2"/>
    <w:rsid w:val="002237D2"/>
    <w:rsid w:val="00223B49"/>
    <w:rsid w:val="00224DD4"/>
    <w:rsid w:val="002270F8"/>
    <w:rsid w:val="002279C2"/>
    <w:rsid w:val="00227F6E"/>
    <w:rsid w:val="002309CC"/>
    <w:rsid w:val="0023301A"/>
    <w:rsid w:val="00234779"/>
    <w:rsid w:val="002367CE"/>
    <w:rsid w:val="002423EA"/>
    <w:rsid w:val="002429DC"/>
    <w:rsid w:val="0024420F"/>
    <w:rsid w:val="00244A0A"/>
    <w:rsid w:val="00246383"/>
    <w:rsid w:val="00246813"/>
    <w:rsid w:val="0025139E"/>
    <w:rsid w:val="00252233"/>
    <w:rsid w:val="00254DCF"/>
    <w:rsid w:val="0025534B"/>
    <w:rsid w:val="00255BB7"/>
    <w:rsid w:val="00257C7C"/>
    <w:rsid w:val="00260193"/>
    <w:rsid w:val="00260386"/>
    <w:rsid w:val="00261234"/>
    <w:rsid w:val="00261F22"/>
    <w:rsid w:val="00262090"/>
    <w:rsid w:val="00262A87"/>
    <w:rsid w:val="00263BE1"/>
    <w:rsid w:val="00267398"/>
    <w:rsid w:val="00271873"/>
    <w:rsid w:val="00273F83"/>
    <w:rsid w:val="0027468E"/>
    <w:rsid w:val="00275C5A"/>
    <w:rsid w:val="0027686D"/>
    <w:rsid w:val="00276F0A"/>
    <w:rsid w:val="002805BD"/>
    <w:rsid w:val="00281014"/>
    <w:rsid w:val="00282A85"/>
    <w:rsid w:val="00282CB1"/>
    <w:rsid w:val="00285E6B"/>
    <w:rsid w:val="00286A82"/>
    <w:rsid w:val="00287EE9"/>
    <w:rsid w:val="0029054E"/>
    <w:rsid w:val="002927F6"/>
    <w:rsid w:val="00292C8B"/>
    <w:rsid w:val="002962EB"/>
    <w:rsid w:val="002A0157"/>
    <w:rsid w:val="002A020D"/>
    <w:rsid w:val="002A14AB"/>
    <w:rsid w:val="002A1AEB"/>
    <w:rsid w:val="002A2074"/>
    <w:rsid w:val="002A2C14"/>
    <w:rsid w:val="002A2E21"/>
    <w:rsid w:val="002A303A"/>
    <w:rsid w:val="002B1C1F"/>
    <w:rsid w:val="002B2232"/>
    <w:rsid w:val="002B29BE"/>
    <w:rsid w:val="002B3A94"/>
    <w:rsid w:val="002B432F"/>
    <w:rsid w:val="002B6443"/>
    <w:rsid w:val="002B6CCE"/>
    <w:rsid w:val="002B769F"/>
    <w:rsid w:val="002B7B7D"/>
    <w:rsid w:val="002C2775"/>
    <w:rsid w:val="002C27C1"/>
    <w:rsid w:val="002C2A17"/>
    <w:rsid w:val="002C32E9"/>
    <w:rsid w:val="002C3F6F"/>
    <w:rsid w:val="002C5AA0"/>
    <w:rsid w:val="002C6043"/>
    <w:rsid w:val="002C6639"/>
    <w:rsid w:val="002C66E5"/>
    <w:rsid w:val="002D23B9"/>
    <w:rsid w:val="002D2427"/>
    <w:rsid w:val="002D293E"/>
    <w:rsid w:val="002D2AF6"/>
    <w:rsid w:val="002D35BA"/>
    <w:rsid w:val="002D7A0B"/>
    <w:rsid w:val="002D7D3D"/>
    <w:rsid w:val="002E0282"/>
    <w:rsid w:val="002E28F1"/>
    <w:rsid w:val="002E3B4D"/>
    <w:rsid w:val="002E5628"/>
    <w:rsid w:val="002E66E5"/>
    <w:rsid w:val="002E69F7"/>
    <w:rsid w:val="002E75AC"/>
    <w:rsid w:val="002F0130"/>
    <w:rsid w:val="002F06D2"/>
    <w:rsid w:val="002F1134"/>
    <w:rsid w:val="002F1179"/>
    <w:rsid w:val="002F30A5"/>
    <w:rsid w:val="002F3E09"/>
    <w:rsid w:val="002F4E09"/>
    <w:rsid w:val="00301017"/>
    <w:rsid w:val="00301895"/>
    <w:rsid w:val="0030569A"/>
    <w:rsid w:val="0030604C"/>
    <w:rsid w:val="0030786C"/>
    <w:rsid w:val="0031031A"/>
    <w:rsid w:val="00310981"/>
    <w:rsid w:val="003122EE"/>
    <w:rsid w:val="00315498"/>
    <w:rsid w:val="00317677"/>
    <w:rsid w:val="00317B1D"/>
    <w:rsid w:val="00317DD7"/>
    <w:rsid w:val="00320DE1"/>
    <w:rsid w:val="00321061"/>
    <w:rsid w:val="003228D4"/>
    <w:rsid w:val="00327A8B"/>
    <w:rsid w:val="00331792"/>
    <w:rsid w:val="003366C9"/>
    <w:rsid w:val="00336746"/>
    <w:rsid w:val="00336AF3"/>
    <w:rsid w:val="003371B0"/>
    <w:rsid w:val="003400C6"/>
    <w:rsid w:val="003414BC"/>
    <w:rsid w:val="003436C4"/>
    <w:rsid w:val="00343780"/>
    <w:rsid w:val="003444C7"/>
    <w:rsid w:val="00345453"/>
    <w:rsid w:val="003460A3"/>
    <w:rsid w:val="0035011F"/>
    <w:rsid w:val="0035044A"/>
    <w:rsid w:val="003512BE"/>
    <w:rsid w:val="0035620E"/>
    <w:rsid w:val="003613F3"/>
    <w:rsid w:val="003618AB"/>
    <w:rsid w:val="003625D0"/>
    <w:rsid w:val="00363BF7"/>
    <w:rsid w:val="003640D5"/>
    <w:rsid w:val="00365790"/>
    <w:rsid w:val="003740C7"/>
    <w:rsid w:val="00374911"/>
    <w:rsid w:val="00374954"/>
    <w:rsid w:val="00377E15"/>
    <w:rsid w:val="00380EAD"/>
    <w:rsid w:val="0038309A"/>
    <w:rsid w:val="0038365C"/>
    <w:rsid w:val="00383B0B"/>
    <w:rsid w:val="00385F05"/>
    <w:rsid w:val="00386F93"/>
    <w:rsid w:val="003912A7"/>
    <w:rsid w:val="00392337"/>
    <w:rsid w:val="003950B2"/>
    <w:rsid w:val="00395D84"/>
    <w:rsid w:val="00396FD0"/>
    <w:rsid w:val="003A0A14"/>
    <w:rsid w:val="003A0EAE"/>
    <w:rsid w:val="003A1A7A"/>
    <w:rsid w:val="003A6F30"/>
    <w:rsid w:val="003B6F82"/>
    <w:rsid w:val="003C2D13"/>
    <w:rsid w:val="003C5267"/>
    <w:rsid w:val="003C58F8"/>
    <w:rsid w:val="003C6646"/>
    <w:rsid w:val="003C723E"/>
    <w:rsid w:val="003C7A38"/>
    <w:rsid w:val="003D1828"/>
    <w:rsid w:val="003D2422"/>
    <w:rsid w:val="003D2468"/>
    <w:rsid w:val="003D5935"/>
    <w:rsid w:val="003E3AA3"/>
    <w:rsid w:val="003E3C06"/>
    <w:rsid w:val="003E5B69"/>
    <w:rsid w:val="003E6594"/>
    <w:rsid w:val="003E673B"/>
    <w:rsid w:val="003F0013"/>
    <w:rsid w:val="003F1D6A"/>
    <w:rsid w:val="003F4156"/>
    <w:rsid w:val="003F59CE"/>
    <w:rsid w:val="003F6A0E"/>
    <w:rsid w:val="003F6C9E"/>
    <w:rsid w:val="003F74BF"/>
    <w:rsid w:val="004007B7"/>
    <w:rsid w:val="00401439"/>
    <w:rsid w:val="00402631"/>
    <w:rsid w:val="00402799"/>
    <w:rsid w:val="00405800"/>
    <w:rsid w:val="00405840"/>
    <w:rsid w:val="00406890"/>
    <w:rsid w:val="00406F81"/>
    <w:rsid w:val="00407952"/>
    <w:rsid w:val="004101DF"/>
    <w:rsid w:val="00410708"/>
    <w:rsid w:val="00410EC7"/>
    <w:rsid w:val="00413CE5"/>
    <w:rsid w:val="00414476"/>
    <w:rsid w:val="004168E5"/>
    <w:rsid w:val="004169D6"/>
    <w:rsid w:val="00417EB7"/>
    <w:rsid w:val="00420B9F"/>
    <w:rsid w:val="00423845"/>
    <w:rsid w:val="0042569E"/>
    <w:rsid w:val="004261FE"/>
    <w:rsid w:val="004271DF"/>
    <w:rsid w:val="0042784F"/>
    <w:rsid w:val="00430314"/>
    <w:rsid w:val="004319F8"/>
    <w:rsid w:val="00432D74"/>
    <w:rsid w:val="00433044"/>
    <w:rsid w:val="0043546D"/>
    <w:rsid w:val="00436D14"/>
    <w:rsid w:val="00437B90"/>
    <w:rsid w:val="004409CE"/>
    <w:rsid w:val="004429DB"/>
    <w:rsid w:val="0044334F"/>
    <w:rsid w:val="004439BD"/>
    <w:rsid w:val="004443A7"/>
    <w:rsid w:val="00444E6C"/>
    <w:rsid w:val="00445E72"/>
    <w:rsid w:val="004461A1"/>
    <w:rsid w:val="004464EB"/>
    <w:rsid w:val="004513AA"/>
    <w:rsid w:val="0045270F"/>
    <w:rsid w:val="00452ECF"/>
    <w:rsid w:val="0045572F"/>
    <w:rsid w:val="00455D45"/>
    <w:rsid w:val="0045779D"/>
    <w:rsid w:val="0046041B"/>
    <w:rsid w:val="00461EFC"/>
    <w:rsid w:val="00464595"/>
    <w:rsid w:val="00465093"/>
    <w:rsid w:val="00465888"/>
    <w:rsid w:val="00466030"/>
    <w:rsid w:val="00466054"/>
    <w:rsid w:val="00467231"/>
    <w:rsid w:val="00471302"/>
    <w:rsid w:val="00472BC1"/>
    <w:rsid w:val="00475F8D"/>
    <w:rsid w:val="00476230"/>
    <w:rsid w:val="004765D0"/>
    <w:rsid w:val="00482319"/>
    <w:rsid w:val="00483CAC"/>
    <w:rsid w:val="004867A1"/>
    <w:rsid w:val="004867E2"/>
    <w:rsid w:val="004877D8"/>
    <w:rsid w:val="00487AFB"/>
    <w:rsid w:val="00490496"/>
    <w:rsid w:val="00491493"/>
    <w:rsid w:val="00491B3A"/>
    <w:rsid w:val="00492CFD"/>
    <w:rsid w:val="004959F3"/>
    <w:rsid w:val="004962D2"/>
    <w:rsid w:val="00497EC6"/>
    <w:rsid w:val="004A0DA1"/>
    <w:rsid w:val="004A1FF4"/>
    <w:rsid w:val="004A30F0"/>
    <w:rsid w:val="004A6597"/>
    <w:rsid w:val="004B00F1"/>
    <w:rsid w:val="004B1CB4"/>
    <w:rsid w:val="004B2F18"/>
    <w:rsid w:val="004B3DDB"/>
    <w:rsid w:val="004B44FD"/>
    <w:rsid w:val="004B4BCA"/>
    <w:rsid w:val="004B5087"/>
    <w:rsid w:val="004B5BC9"/>
    <w:rsid w:val="004B5CFC"/>
    <w:rsid w:val="004C09F9"/>
    <w:rsid w:val="004C0B53"/>
    <w:rsid w:val="004C0C6C"/>
    <w:rsid w:val="004C0F79"/>
    <w:rsid w:val="004C4AED"/>
    <w:rsid w:val="004C664E"/>
    <w:rsid w:val="004D0EC1"/>
    <w:rsid w:val="004D6469"/>
    <w:rsid w:val="004D6758"/>
    <w:rsid w:val="004D78DA"/>
    <w:rsid w:val="004E006F"/>
    <w:rsid w:val="004E0EB8"/>
    <w:rsid w:val="004E20DB"/>
    <w:rsid w:val="004E2ADC"/>
    <w:rsid w:val="004E2B96"/>
    <w:rsid w:val="004E37C5"/>
    <w:rsid w:val="004E43B2"/>
    <w:rsid w:val="004E4CF0"/>
    <w:rsid w:val="004E6C6E"/>
    <w:rsid w:val="004F1D02"/>
    <w:rsid w:val="004F2679"/>
    <w:rsid w:val="004F3F82"/>
    <w:rsid w:val="004F56C9"/>
    <w:rsid w:val="004F5BB6"/>
    <w:rsid w:val="004F7865"/>
    <w:rsid w:val="00500797"/>
    <w:rsid w:val="00503052"/>
    <w:rsid w:val="00505133"/>
    <w:rsid w:val="00506928"/>
    <w:rsid w:val="00510F94"/>
    <w:rsid w:val="00512585"/>
    <w:rsid w:val="00512E3F"/>
    <w:rsid w:val="0051322E"/>
    <w:rsid w:val="00513678"/>
    <w:rsid w:val="00513E07"/>
    <w:rsid w:val="005152B5"/>
    <w:rsid w:val="005166F6"/>
    <w:rsid w:val="005206A2"/>
    <w:rsid w:val="00520E84"/>
    <w:rsid w:val="00521319"/>
    <w:rsid w:val="00523C28"/>
    <w:rsid w:val="005248E8"/>
    <w:rsid w:val="00524CBC"/>
    <w:rsid w:val="00531F5C"/>
    <w:rsid w:val="00536EE9"/>
    <w:rsid w:val="00537CFA"/>
    <w:rsid w:val="0054031A"/>
    <w:rsid w:val="005407CD"/>
    <w:rsid w:val="00545169"/>
    <w:rsid w:val="0054666F"/>
    <w:rsid w:val="005477E0"/>
    <w:rsid w:val="00551B4E"/>
    <w:rsid w:val="00551CF8"/>
    <w:rsid w:val="005528B2"/>
    <w:rsid w:val="00552BD3"/>
    <w:rsid w:val="00554BE4"/>
    <w:rsid w:val="00555109"/>
    <w:rsid w:val="00555FE7"/>
    <w:rsid w:val="005603FC"/>
    <w:rsid w:val="0056297D"/>
    <w:rsid w:val="00563B6C"/>
    <w:rsid w:val="00565D99"/>
    <w:rsid w:val="00566396"/>
    <w:rsid w:val="0056696F"/>
    <w:rsid w:val="00570346"/>
    <w:rsid w:val="005713F2"/>
    <w:rsid w:val="005730D2"/>
    <w:rsid w:val="00573799"/>
    <w:rsid w:val="00573C49"/>
    <w:rsid w:val="005743DF"/>
    <w:rsid w:val="00575760"/>
    <w:rsid w:val="005758CF"/>
    <w:rsid w:val="00575D8D"/>
    <w:rsid w:val="00576330"/>
    <w:rsid w:val="00576972"/>
    <w:rsid w:val="00576CAC"/>
    <w:rsid w:val="00576ED6"/>
    <w:rsid w:val="005779F9"/>
    <w:rsid w:val="005801A2"/>
    <w:rsid w:val="00582371"/>
    <w:rsid w:val="00583699"/>
    <w:rsid w:val="005844BA"/>
    <w:rsid w:val="005879D6"/>
    <w:rsid w:val="00587A10"/>
    <w:rsid w:val="00587DCE"/>
    <w:rsid w:val="005932C8"/>
    <w:rsid w:val="005938A5"/>
    <w:rsid w:val="005940BA"/>
    <w:rsid w:val="00595FA8"/>
    <w:rsid w:val="005A2382"/>
    <w:rsid w:val="005A710B"/>
    <w:rsid w:val="005B1044"/>
    <w:rsid w:val="005B2319"/>
    <w:rsid w:val="005B34FD"/>
    <w:rsid w:val="005B3BE0"/>
    <w:rsid w:val="005B5181"/>
    <w:rsid w:val="005B5857"/>
    <w:rsid w:val="005B65B3"/>
    <w:rsid w:val="005B6A9E"/>
    <w:rsid w:val="005B6B64"/>
    <w:rsid w:val="005B72A7"/>
    <w:rsid w:val="005C001C"/>
    <w:rsid w:val="005C1B83"/>
    <w:rsid w:val="005C346B"/>
    <w:rsid w:val="005C6ACF"/>
    <w:rsid w:val="005C729B"/>
    <w:rsid w:val="005D044D"/>
    <w:rsid w:val="005D18AD"/>
    <w:rsid w:val="005D1D79"/>
    <w:rsid w:val="005D513E"/>
    <w:rsid w:val="005D53BF"/>
    <w:rsid w:val="005D6D69"/>
    <w:rsid w:val="005E0C81"/>
    <w:rsid w:val="005E166D"/>
    <w:rsid w:val="005E2CDF"/>
    <w:rsid w:val="005E3D8C"/>
    <w:rsid w:val="005E40A3"/>
    <w:rsid w:val="005E40F9"/>
    <w:rsid w:val="005E412C"/>
    <w:rsid w:val="005E4D8B"/>
    <w:rsid w:val="005E73C0"/>
    <w:rsid w:val="005F1038"/>
    <w:rsid w:val="005F1FD9"/>
    <w:rsid w:val="005F2706"/>
    <w:rsid w:val="005F3FFB"/>
    <w:rsid w:val="005F57DD"/>
    <w:rsid w:val="005F6662"/>
    <w:rsid w:val="005F6A8F"/>
    <w:rsid w:val="006004F6"/>
    <w:rsid w:val="00600F85"/>
    <w:rsid w:val="00602063"/>
    <w:rsid w:val="00602CE7"/>
    <w:rsid w:val="00603E00"/>
    <w:rsid w:val="0060586C"/>
    <w:rsid w:val="00607669"/>
    <w:rsid w:val="0061104D"/>
    <w:rsid w:val="00612F97"/>
    <w:rsid w:val="006134B3"/>
    <w:rsid w:val="0061473A"/>
    <w:rsid w:val="00614B02"/>
    <w:rsid w:val="00616142"/>
    <w:rsid w:val="00616802"/>
    <w:rsid w:val="00616897"/>
    <w:rsid w:val="00617E12"/>
    <w:rsid w:val="00617E13"/>
    <w:rsid w:val="00621477"/>
    <w:rsid w:val="00623A96"/>
    <w:rsid w:val="00623F42"/>
    <w:rsid w:val="00625567"/>
    <w:rsid w:val="0063002E"/>
    <w:rsid w:val="006304CE"/>
    <w:rsid w:val="00630958"/>
    <w:rsid w:val="00631D6B"/>
    <w:rsid w:val="006323A9"/>
    <w:rsid w:val="006325D3"/>
    <w:rsid w:val="00633098"/>
    <w:rsid w:val="00633717"/>
    <w:rsid w:val="0063385B"/>
    <w:rsid w:val="006338B8"/>
    <w:rsid w:val="006346BC"/>
    <w:rsid w:val="0063479F"/>
    <w:rsid w:val="006364A1"/>
    <w:rsid w:val="00636990"/>
    <w:rsid w:val="00637079"/>
    <w:rsid w:val="00637671"/>
    <w:rsid w:val="00637700"/>
    <w:rsid w:val="00637BFD"/>
    <w:rsid w:val="006421EA"/>
    <w:rsid w:val="00643F03"/>
    <w:rsid w:val="00644440"/>
    <w:rsid w:val="00645E07"/>
    <w:rsid w:val="0064706E"/>
    <w:rsid w:val="006471CC"/>
    <w:rsid w:val="0065007B"/>
    <w:rsid w:val="0065079F"/>
    <w:rsid w:val="00651E43"/>
    <w:rsid w:val="00654C7F"/>
    <w:rsid w:val="00655C76"/>
    <w:rsid w:val="006564CB"/>
    <w:rsid w:val="00661E6F"/>
    <w:rsid w:val="00662085"/>
    <w:rsid w:val="00662A78"/>
    <w:rsid w:val="00665391"/>
    <w:rsid w:val="00671455"/>
    <w:rsid w:val="00671CA0"/>
    <w:rsid w:val="00674822"/>
    <w:rsid w:val="00674E42"/>
    <w:rsid w:val="006800DB"/>
    <w:rsid w:val="00681306"/>
    <w:rsid w:val="0068153D"/>
    <w:rsid w:val="00682112"/>
    <w:rsid w:val="00684B0B"/>
    <w:rsid w:val="00684F3D"/>
    <w:rsid w:val="00685B3B"/>
    <w:rsid w:val="006872BA"/>
    <w:rsid w:val="0069020B"/>
    <w:rsid w:val="006917D7"/>
    <w:rsid w:val="00691CC4"/>
    <w:rsid w:val="0069298F"/>
    <w:rsid w:val="0069306A"/>
    <w:rsid w:val="00694F44"/>
    <w:rsid w:val="0069520C"/>
    <w:rsid w:val="0069691F"/>
    <w:rsid w:val="006A1F0A"/>
    <w:rsid w:val="006A61FF"/>
    <w:rsid w:val="006B2E83"/>
    <w:rsid w:val="006B41C0"/>
    <w:rsid w:val="006C2235"/>
    <w:rsid w:val="006C2A8E"/>
    <w:rsid w:val="006C2B29"/>
    <w:rsid w:val="006C34E0"/>
    <w:rsid w:val="006C5063"/>
    <w:rsid w:val="006C60A5"/>
    <w:rsid w:val="006C74C1"/>
    <w:rsid w:val="006D082F"/>
    <w:rsid w:val="006D3C7D"/>
    <w:rsid w:val="006D48B2"/>
    <w:rsid w:val="006D5D5F"/>
    <w:rsid w:val="006D6464"/>
    <w:rsid w:val="006D6AF7"/>
    <w:rsid w:val="006D70B1"/>
    <w:rsid w:val="006D733E"/>
    <w:rsid w:val="006D7ACA"/>
    <w:rsid w:val="006E0493"/>
    <w:rsid w:val="006E1B6A"/>
    <w:rsid w:val="006E4824"/>
    <w:rsid w:val="006E62AF"/>
    <w:rsid w:val="006E6B33"/>
    <w:rsid w:val="006F080A"/>
    <w:rsid w:val="006F2401"/>
    <w:rsid w:val="006F275C"/>
    <w:rsid w:val="006F30F1"/>
    <w:rsid w:val="006F33D7"/>
    <w:rsid w:val="006F63A5"/>
    <w:rsid w:val="006F7A98"/>
    <w:rsid w:val="0070276E"/>
    <w:rsid w:val="00702B7C"/>
    <w:rsid w:val="00702C11"/>
    <w:rsid w:val="00702F8F"/>
    <w:rsid w:val="0070456E"/>
    <w:rsid w:val="00710321"/>
    <w:rsid w:val="0071104B"/>
    <w:rsid w:val="00711A36"/>
    <w:rsid w:val="00711B30"/>
    <w:rsid w:val="007126F0"/>
    <w:rsid w:val="00713567"/>
    <w:rsid w:val="00714CD5"/>
    <w:rsid w:val="00715DC7"/>
    <w:rsid w:val="00716671"/>
    <w:rsid w:val="0071711F"/>
    <w:rsid w:val="007172AD"/>
    <w:rsid w:val="0072304D"/>
    <w:rsid w:val="0072368F"/>
    <w:rsid w:val="0072385B"/>
    <w:rsid w:val="0072416F"/>
    <w:rsid w:val="007278E0"/>
    <w:rsid w:val="0073008C"/>
    <w:rsid w:val="0073102A"/>
    <w:rsid w:val="00732E10"/>
    <w:rsid w:val="00734774"/>
    <w:rsid w:val="00734D32"/>
    <w:rsid w:val="00735328"/>
    <w:rsid w:val="00736793"/>
    <w:rsid w:val="0073685B"/>
    <w:rsid w:val="00743099"/>
    <w:rsid w:val="00743364"/>
    <w:rsid w:val="00745331"/>
    <w:rsid w:val="0074549F"/>
    <w:rsid w:val="0074607D"/>
    <w:rsid w:val="007468ED"/>
    <w:rsid w:val="007477DB"/>
    <w:rsid w:val="007527CF"/>
    <w:rsid w:val="00753FB9"/>
    <w:rsid w:val="00754522"/>
    <w:rsid w:val="00761DA3"/>
    <w:rsid w:val="007627D9"/>
    <w:rsid w:val="00762BCF"/>
    <w:rsid w:val="00762C22"/>
    <w:rsid w:val="0076308C"/>
    <w:rsid w:val="00765B9E"/>
    <w:rsid w:val="0077112D"/>
    <w:rsid w:val="007727D7"/>
    <w:rsid w:val="00773ACE"/>
    <w:rsid w:val="00774C27"/>
    <w:rsid w:val="00777578"/>
    <w:rsid w:val="007828E0"/>
    <w:rsid w:val="00783313"/>
    <w:rsid w:val="00785191"/>
    <w:rsid w:val="00790666"/>
    <w:rsid w:val="00790686"/>
    <w:rsid w:val="007946EE"/>
    <w:rsid w:val="00794DCE"/>
    <w:rsid w:val="00794F13"/>
    <w:rsid w:val="00796AAF"/>
    <w:rsid w:val="00797371"/>
    <w:rsid w:val="007A06D1"/>
    <w:rsid w:val="007A0A12"/>
    <w:rsid w:val="007A1515"/>
    <w:rsid w:val="007A2C67"/>
    <w:rsid w:val="007A5F5A"/>
    <w:rsid w:val="007A60A8"/>
    <w:rsid w:val="007A649C"/>
    <w:rsid w:val="007A7269"/>
    <w:rsid w:val="007A7624"/>
    <w:rsid w:val="007B0592"/>
    <w:rsid w:val="007B0C01"/>
    <w:rsid w:val="007B1403"/>
    <w:rsid w:val="007B18B3"/>
    <w:rsid w:val="007B214C"/>
    <w:rsid w:val="007B251D"/>
    <w:rsid w:val="007B3CCB"/>
    <w:rsid w:val="007B6424"/>
    <w:rsid w:val="007B77D1"/>
    <w:rsid w:val="007C361D"/>
    <w:rsid w:val="007C3CFD"/>
    <w:rsid w:val="007D0B38"/>
    <w:rsid w:val="007D61CF"/>
    <w:rsid w:val="007E04F9"/>
    <w:rsid w:val="007E14C5"/>
    <w:rsid w:val="007E23B7"/>
    <w:rsid w:val="007E2903"/>
    <w:rsid w:val="007E2DA6"/>
    <w:rsid w:val="007E60E7"/>
    <w:rsid w:val="007E6231"/>
    <w:rsid w:val="007F1017"/>
    <w:rsid w:val="007F272B"/>
    <w:rsid w:val="007F3387"/>
    <w:rsid w:val="007F3B92"/>
    <w:rsid w:val="007F3FCB"/>
    <w:rsid w:val="007F40A5"/>
    <w:rsid w:val="007F4A3F"/>
    <w:rsid w:val="007F4E28"/>
    <w:rsid w:val="007F4EB3"/>
    <w:rsid w:val="00800670"/>
    <w:rsid w:val="00803993"/>
    <w:rsid w:val="00804DE3"/>
    <w:rsid w:val="00805142"/>
    <w:rsid w:val="0080556C"/>
    <w:rsid w:val="008057D3"/>
    <w:rsid w:val="00807A8B"/>
    <w:rsid w:val="0081049B"/>
    <w:rsid w:val="00810F26"/>
    <w:rsid w:val="00812149"/>
    <w:rsid w:val="00814FCA"/>
    <w:rsid w:val="00816355"/>
    <w:rsid w:val="008166EF"/>
    <w:rsid w:val="00816EED"/>
    <w:rsid w:val="008264EB"/>
    <w:rsid w:val="00826959"/>
    <w:rsid w:val="00826B2E"/>
    <w:rsid w:val="008300C9"/>
    <w:rsid w:val="00833B05"/>
    <w:rsid w:val="008343A2"/>
    <w:rsid w:val="0083544F"/>
    <w:rsid w:val="00835E02"/>
    <w:rsid w:val="0083715C"/>
    <w:rsid w:val="0083773A"/>
    <w:rsid w:val="00837D2E"/>
    <w:rsid w:val="00837FFD"/>
    <w:rsid w:val="00840AC0"/>
    <w:rsid w:val="00840CA2"/>
    <w:rsid w:val="008433B8"/>
    <w:rsid w:val="00844443"/>
    <w:rsid w:val="00845B89"/>
    <w:rsid w:val="00850ED1"/>
    <w:rsid w:val="008518A9"/>
    <w:rsid w:val="00853780"/>
    <w:rsid w:val="00853B93"/>
    <w:rsid w:val="00853CDC"/>
    <w:rsid w:val="00856E9A"/>
    <w:rsid w:val="00857407"/>
    <w:rsid w:val="0085794D"/>
    <w:rsid w:val="00857C7F"/>
    <w:rsid w:val="00860DC3"/>
    <w:rsid w:val="00862502"/>
    <w:rsid w:val="00862818"/>
    <w:rsid w:val="00862994"/>
    <w:rsid w:val="0086430C"/>
    <w:rsid w:val="00864840"/>
    <w:rsid w:val="00867150"/>
    <w:rsid w:val="00872893"/>
    <w:rsid w:val="00874F98"/>
    <w:rsid w:val="008774EE"/>
    <w:rsid w:val="00881DF8"/>
    <w:rsid w:val="00882874"/>
    <w:rsid w:val="008834B0"/>
    <w:rsid w:val="00883787"/>
    <w:rsid w:val="00891C8E"/>
    <w:rsid w:val="00891D90"/>
    <w:rsid w:val="0089331B"/>
    <w:rsid w:val="00893D4A"/>
    <w:rsid w:val="00894489"/>
    <w:rsid w:val="008963A5"/>
    <w:rsid w:val="00896730"/>
    <w:rsid w:val="0089727F"/>
    <w:rsid w:val="008972EB"/>
    <w:rsid w:val="0089732D"/>
    <w:rsid w:val="008A2484"/>
    <w:rsid w:val="008A3C3E"/>
    <w:rsid w:val="008A694E"/>
    <w:rsid w:val="008A75FF"/>
    <w:rsid w:val="008A79DE"/>
    <w:rsid w:val="008B449E"/>
    <w:rsid w:val="008B7D7E"/>
    <w:rsid w:val="008C01A8"/>
    <w:rsid w:val="008C6147"/>
    <w:rsid w:val="008C7ECB"/>
    <w:rsid w:val="008D16D1"/>
    <w:rsid w:val="008D1D6D"/>
    <w:rsid w:val="008D3431"/>
    <w:rsid w:val="008D5243"/>
    <w:rsid w:val="008E1B9E"/>
    <w:rsid w:val="008E235E"/>
    <w:rsid w:val="008E49FA"/>
    <w:rsid w:val="008E4D3D"/>
    <w:rsid w:val="008E6D36"/>
    <w:rsid w:val="008F120A"/>
    <w:rsid w:val="008F16D9"/>
    <w:rsid w:val="008F3C8C"/>
    <w:rsid w:val="008F48EB"/>
    <w:rsid w:val="008F4F0B"/>
    <w:rsid w:val="008F5A27"/>
    <w:rsid w:val="008F6B40"/>
    <w:rsid w:val="008F7060"/>
    <w:rsid w:val="008F7A62"/>
    <w:rsid w:val="0090212B"/>
    <w:rsid w:val="009022D9"/>
    <w:rsid w:val="00905C2C"/>
    <w:rsid w:val="009062A5"/>
    <w:rsid w:val="00906C46"/>
    <w:rsid w:val="00907302"/>
    <w:rsid w:val="0090753E"/>
    <w:rsid w:val="00910555"/>
    <w:rsid w:val="00910E91"/>
    <w:rsid w:val="00911272"/>
    <w:rsid w:val="009125A5"/>
    <w:rsid w:val="00913139"/>
    <w:rsid w:val="009156BB"/>
    <w:rsid w:val="009211E0"/>
    <w:rsid w:val="009248D0"/>
    <w:rsid w:val="0092706B"/>
    <w:rsid w:val="009308DF"/>
    <w:rsid w:val="00931FCC"/>
    <w:rsid w:val="00932EAF"/>
    <w:rsid w:val="00940385"/>
    <w:rsid w:val="00942523"/>
    <w:rsid w:val="009451D1"/>
    <w:rsid w:val="00945830"/>
    <w:rsid w:val="009459C6"/>
    <w:rsid w:val="00945A4D"/>
    <w:rsid w:val="00945BE0"/>
    <w:rsid w:val="009475CE"/>
    <w:rsid w:val="00950CB0"/>
    <w:rsid w:val="00951037"/>
    <w:rsid w:val="00951259"/>
    <w:rsid w:val="009547D2"/>
    <w:rsid w:val="00954CAC"/>
    <w:rsid w:val="00957369"/>
    <w:rsid w:val="00960001"/>
    <w:rsid w:val="00961E96"/>
    <w:rsid w:val="009624CB"/>
    <w:rsid w:val="00962CB9"/>
    <w:rsid w:val="00964129"/>
    <w:rsid w:val="00964312"/>
    <w:rsid w:val="00967F21"/>
    <w:rsid w:val="00973974"/>
    <w:rsid w:val="00973EE2"/>
    <w:rsid w:val="00974709"/>
    <w:rsid w:val="00976C3B"/>
    <w:rsid w:val="0098118A"/>
    <w:rsid w:val="009817F0"/>
    <w:rsid w:val="00981A2B"/>
    <w:rsid w:val="00982835"/>
    <w:rsid w:val="009834F0"/>
    <w:rsid w:val="00983E57"/>
    <w:rsid w:val="00987A57"/>
    <w:rsid w:val="00992578"/>
    <w:rsid w:val="00993A3D"/>
    <w:rsid w:val="00993F46"/>
    <w:rsid w:val="0099422F"/>
    <w:rsid w:val="00994715"/>
    <w:rsid w:val="00994AC6"/>
    <w:rsid w:val="00996B1A"/>
    <w:rsid w:val="00996CEB"/>
    <w:rsid w:val="009979EF"/>
    <w:rsid w:val="00997B5F"/>
    <w:rsid w:val="00997D14"/>
    <w:rsid w:val="009A045B"/>
    <w:rsid w:val="009A1593"/>
    <w:rsid w:val="009A2426"/>
    <w:rsid w:val="009A2F1C"/>
    <w:rsid w:val="009A3EB8"/>
    <w:rsid w:val="009A4091"/>
    <w:rsid w:val="009A656C"/>
    <w:rsid w:val="009A6A60"/>
    <w:rsid w:val="009A78BF"/>
    <w:rsid w:val="009A7D5B"/>
    <w:rsid w:val="009B213E"/>
    <w:rsid w:val="009B3E26"/>
    <w:rsid w:val="009C0AA0"/>
    <w:rsid w:val="009C2857"/>
    <w:rsid w:val="009C3C10"/>
    <w:rsid w:val="009C52F4"/>
    <w:rsid w:val="009C631B"/>
    <w:rsid w:val="009D014C"/>
    <w:rsid w:val="009D0BC4"/>
    <w:rsid w:val="009D0EE2"/>
    <w:rsid w:val="009D1561"/>
    <w:rsid w:val="009D2C77"/>
    <w:rsid w:val="009D5B91"/>
    <w:rsid w:val="009D5C65"/>
    <w:rsid w:val="009D60BB"/>
    <w:rsid w:val="009E4C07"/>
    <w:rsid w:val="009E54C0"/>
    <w:rsid w:val="009E6855"/>
    <w:rsid w:val="009E6AA7"/>
    <w:rsid w:val="009E6EB1"/>
    <w:rsid w:val="009E7163"/>
    <w:rsid w:val="009F134A"/>
    <w:rsid w:val="009F3D3D"/>
    <w:rsid w:val="009F72B8"/>
    <w:rsid w:val="00A0105C"/>
    <w:rsid w:val="00A02265"/>
    <w:rsid w:val="00A02EB7"/>
    <w:rsid w:val="00A03486"/>
    <w:rsid w:val="00A03D43"/>
    <w:rsid w:val="00A03E71"/>
    <w:rsid w:val="00A04380"/>
    <w:rsid w:val="00A047DE"/>
    <w:rsid w:val="00A04950"/>
    <w:rsid w:val="00A10E35"/>
    <w:rsid w:val="00A13948"/>
    <w:rsid w:val="00A16E38"/>
    <w:rsid w:val="00A20258"/>
    <w:rsid w:val="00A20587"/>
    <w:rsid w:val="00A247CB"/>
    <w:rsid w:val="00A2575F"/>
    <w:rsid w:val="00A25830"/>
    <w:rsid w:val="00A25998"/>
    <w:rsid w:val="00A27AEC"/>
    <w:rsid w:val="00A314BB"/>
    <w:rsid w:val="00A31E7D"/>
    <w:rsid w:val="00A330EB"/>
    <w:rsid w:val="00A33126"/>
    <w:rsid w:val="00A35D16"/>
    <w:rsid w:val="00A3675B"/>
    <w:rsid w:val="00A40C8D"/>
    <w:rsid w:val="00A4334D"/>
    <w:rsid w:val="00A43C59"/>
    <w:rsid w:val="00A46DDE"/>
    <w:rsid w:val="00A50ECD"/>
    <w:rsid w:val="00A51370"/>
    <w:rsid w:val="00A52729"/>
    <w:rsid w:val="00A53675"/>
    <w:rsid w:val="00A56B6A"/>
    <w:rsid w:val="00A578DC"/>
    <w:rsid w:val="00A629DF"/>
    <w:rsid w:val="00A62B11"/>
    <w:rsid w:val="00A655CD"/>
    <w:rsid w:val="00A6725B"/>
    <w:rsid w:val="00A67DFF"/>
    <w:rsid w:val="00A706BE"/>
    <w:rsid w:val="00A7285C"/>
    <w:rsid w:val="00A73A92"/>
    <w:rsid w:val="00A73B72"/>
    <w:rsid w:val="00A757D3"/>
    <w:rsid w:val="00A80B83"/>
    <w:rsid w:val="00A8293C"/>
    <w:rsid w:val="00A829FB"/>
    <w:rsid w:val="00A83BD0"/>
    <w:rsid w:val="00A865E3"/>
    <w:rsid w:val="00A86E8B"/>
    <w:rsid w:val="00A92918"/>
    <w:rsid w:val="00A93072"/>
    <w:rsid w:val="00A94276"/>
    <w:rsid w:val="00A94A3F"/>
    <w:rsid w:val="00A959D8"/>
    <w:rsid w:val="00A95FB9"/>
    <w:rsid w:val="00A96269"/>
    <w:rsid w:val="00AA0F3A"/>
    <w:rsid w:val="00AA219E"/>
    <w:rsid w:val="00AA7636"/>
    <w:rsid w:val="00AA77DC"/>
    <w:rsid w:val="00AB042A"/>
    <w:rsid w:val="00AB2D34"/>
    <w:rsid w:val="00AB3430"/>
    <w:rsid w:val="00AB42C1"/>
    <w:rsid w:val="00AB520B"/>
    <w:rsid w:val="00AB5248"/>
    <w:rsid w:val="00AB7CFA"/>
    <w:rsid w:val="00AC1469"/>
    <w:rsid w:val="00AC1AC8"/>
    <w:rsid w:val="00AC1B23"/>
    <w:rsid w:val="00AC3462"/>
    <w:rsid w:val="00AC3B67"/>
    <w:rsid w:val="00AC5E0D"/>
    <w:rsid w:val="00AC6BA2"/>
    <w:rsid w:val="00AC6D70"/>
    <w:rsid w:val="00AC725E"/>
    <w:rsid w:val="00AD4A91"/>
    <w:rsid w:val="00AD59C0"/>
    <w:rsid w:val="00AD5BD4"/>
    <w:rsid w:val="00AE648D"/>
    <w:rsid w:val="00AE666C"/>
    <w:rsid w:val="00AE69E4"/>
    <w:rsid w:val="00AF12AB"/>
    <w:rsid w:val="00AF1410"/>
    <w:rsid w:val="00AF1A10"/>
    <w:rsid w:val="00AF2A75"/>
    <w:rsid w:val="00AF3F63"/>
    <w:rsid w:val="00AF66AB"/>
    <w:rsid w:val="00AF7F90"/>
    <w:rsid w:val="00B0174E"/>
    <w:rsid w:val="00B04B9A"/>
    <w:rsid w:val="00B05EF8"/>
    <w:rsid w:val="00B07B82"/>
    <w:rsid w:val="00B10EA3"/>
    <w:rsid w:val="00B1215A"/>
    <w:rsid w:val="00B15BBC"/>
    <w:rsid w:val="00B15FAE"/>
    <w:rsid w:val="00B205DD"/>
    <w:rsid w:val="00B231FB"/>
    <w:rsid w:val="00B2788C"/>
    <w:rsid w:val="00B27D9A"/>
    <w:rsid w:val="00B33B3B"/>
    <w:rsid w:val="00B351C1"/>
    <w:rsid w:val="00B361D7"/>
    <w:rsid w:val="00B425F6"/>
    <w:rsid w:val="00B42851"/>
    <w:rsid w:val="00B43D8C"/>
    <w:rsid w:val="00B449C3"/>
    <w:rsid w:val="00B455B2"/>
    <w:rsid w:val="00B50DB8"/>
    <w:rsid w:val="00B51010"/>
    <w:rsid w:val="00B5197E"/>
    <w:rsid w:val="00B53905"/>
    <w:rsid w:val="00B539D8"/>
    <w:rsid w:val="00B53D98"/>
    <w:rsid w:val="00B54B5B"/>
    <w:rsid w:val="00B54DA7"/>
    <w:rsid w:val="00B5539E"/>
    <w:rsid w:val="00B5562E"/>
    <w:rsid w:val="00B57000"/>
    <w:rsid w:val="00B60939"/>
    <w:rsid w:val="00B60A3A"/>
    <w:rsid w:val="00B60AFD"/>
    <w:rsid w:val="00B610FB"/>
    <w:rsid w:val="00B62333"/>
    <w:rsid w:val="00B62715"/>
    <w:rsid w:val="00B63718"/>
    <w:rsid w:val="00B64DC4"/>
    <w:rsid w:val="00B659D6"/>
    <w:rsid w:val="00B704AD"/>
    <w:rsid w:val="00B717C3"/>
    <w:rsid w:val="00B726A9"/>
    <w:rsid w:val="00B733A7"/>
    <w:rsid w:val="00B744F6"/>
    <w:rsid w:val="00B77010"/>
    <w:rsid w:val="00B77E69"/>
    <w:rsid w:val="00B818A4"/>
    <w:rsid w:val="00B81AE7"/>
    <w:rsid w:val="00B83164"/>
    <w:rsid w:val="00B83C9C"/>
    <w:rsid w:val="00B85B21"/>
    <w:rsid w:val="00B8649C"/>
    <w:rsid w:val="00B86557"/>
    <w:rsid w:val="00B86598"/>
    <w:rsid w:val="00B87154"/>
    <w:rsid w:val="00B8794D"/>
    <w:rsid w:val="00B87D42"/>
    <w:rsid w:val="00B91A3C"/>
    <w:rsid w:val="00B92D0B"/>
    <w:rsid w:val="00B93E0C"/>
    <w:rsid w:val="00B94945"/>
    <w:rsid w:val="00B95A71"/>
    <w:rsid w:val="00BA474F"/>
    <w:rsid w:val="00BA546A"/>
    <w:rsid w:val="00BA6CE7"/>
    <w:rsid w:val="00BA7220"/>
    <w:rsid w:val="00BB255B"/>
    <w:rsid w:val="00BB28F7"/>
    <w:rsid w:val="00BB6B04"/>
    <w:rsid w:val="00BB7405"/>
    <w:rsid w:val="00BC0158"/>
    <w:rsid w:val="00BC19D6"/>
    <w:rsid w:val="00BC29FD"/>
    <w:rsid w:val="00BC40E7"/>
    <w:rsid w:val="00BC6DC0"/>
    <w:rsid w:val="00BC7A27"/>
    <w:rsid w:val="00BD1A16"/>
    <w:rsid w:val="00BD2AB2"/>
    <w:rsid w:val="00BD342B"/>
    <w:rsid w:val="00BD5FB2"/>
    <w:rsid w:val="00BD66C8"/>
    <w:rsid w:val="00BD6CF3"/>
    <w:rsid w:val="00BD6FDD"/>
    <w:rsid w:val="00BE0673"/>
    <w:rsid w:val="00BE1A17"/>
    <w:rsid w:val="00BE2180"/>
    <w:rsid w:val="00BE4275"/>
    <w:rsid w:val="00BE7535"/>
    <w:rsid w:val="00BF16A8"/>
    <w:rsid w:val="00BF2433"/>
    <w:rsid w:val="00BF24FA"/>
    <w:rsid w:val="00BF4AF8"/>
    <w:rsid w:val="00BF56F7"/>
    <w:rsid w:val="00BF61C9"/>
    <w:rsid w:val="00BF7516"/>
    <w:rsid w:val="00BF7554"/>
    <w:rsid w:val="00C012C2"/>
    <w:rsid w:val="00C013E3"/>
    <w:rsid w:val="00C031D2"/>
    <w:rsid w:val="00C0474D"/>
    <w:rsid w:val="00C04A1A"/>
    <w:rsid w:val="00C06E74"/>
    <w:rsid w:val="00C07DCB"/>
    <w:rsid w:val="00C10D76"/>
    <w:rsid w:val="00C21E61"/>
    <w:rsid w:val="00C233EF"/>
    <w:rsid w:val="00C25418"/>
    <w:rsid w:val="00C25D9C"/>
    <w:rsid w:val="00C26A27"/>
    <w:rsid w:val="00C30194"/>
    <w:rsid w:val="00C30E99"/>
    <w:rsid w:val="00C31649"/>
    <w:rsid w:val="00C34704"/>
    <w:rsid w:val="00C3735E"/>
    <w:rsid w:val="00C374F2"/>
    <w:rsid w:val="00C40385"/>
    <w:rsid w:val="00C417DF"/>
    <w:rsid w:val="00C417E0"/>
    <w:rsid w:val="00C43264"/>
    <w:rsid w:val="00C4337D"/>
    <w:rsid w:val="00C44036"/>
    <w:rsid w:val="00C50769"/>
    <w:rsid w:val="00C51FAC"/>
    <w:rsid w:val="00C52044"/>
    <w:rsid w:val="00C52C98"/>
    <w:rsid w:val="00C543AC"/>
    <w:rsid w:val="00C56149"/>
    <w:rsid w:val="00C62F5D"/>
    <w:rsid w:val="00C65576"/>
    <w:rsid w:val="00C66165"/>
    <w:rsid w:val="00C66C95"/>
    <w:rsid w:val="00C750C8"/>
    <w:rsid w:val="00C76CB5"/>
    <w:rsid w:val="00C76F3B"/>
    <w:rsid w:val="00C8213F"/>
    <w:rsid w:val="00C8453C"/>
    <w:rsid w:val="00C84542"/>
    <w:rsid w:val="00C8797A"/>
    <w:rsid w:val="00C87C87"/>
    <w:rsid w:val="00C907BD"/>
    <w:rsid w:val="00C90F57"/>
    <w:rsid w:val="00C91B54"/>
    <w:rsid w:val="00C938CF"/>
    <w:rsid w:val="00C94718"/>
    <w:rsid w:val="00C94DA3"/>
    <w:rsid w:val="00C95DA3"/>
    <w:rsid w:val="00C96506"/>
    <w:rsid w:val="00CA00FB"/>
    <w:rsid w:val="00CA1BE0"/>
    <w:rsid w:val="00CA1C4F"/>
    <w:rsid w:val="00CA3321"/>
    <w:rsid w:val="00CA3FB7"/>
    <w:rsid w:val="00CA44FD"/>
    <w:rsid w:val="00CA4E09"/>
    <w:rsid w:val="00CA4E57"/>
    <w:rsid w:val="00CA5245"/>
    <w:rsid w:val="00CA5A4A"/>
    <w:rsid w:val="00CA5C4F"/>
    <w:rsid w:val="00CA6870"/>
    <w:rsid w:val="00CA6DCD"/>
    <w:rsid w:val="00CA7703"/>
    <w:rsid w:val="00CA7B09"/>
    <w:rsid w:val="00CB066A"/>
    <w:rsid w:val="00CB1BFE"/>
    <w:rsid w:val="00CB1D41"/>
    <w:rsid w:val="00CB2E61"/>
    <w:rsid w:val="00CB5B1A"/>
    <w:rsid w:val="00CB7D7F"/>
    <w:rsid w:val="00CC1981"/>
    <w:rsid w:val="00CC33C1"/>
    <w:rsid w:val="00CC3A52"/>
    <w:rsid w:val="00CD0B59"/>
    <w:rsid w:val="00CD3C32"/>
    <w:rsid w:val="00CD3F27"/>
    <w:rsid w:val="00CD4B8B"/>
    <w:rsid w:val="00CD5F57"/>
    <w:rsid w:val="00CD6ADC"/>
    <w:rsid w:val="00CD77AC"/>
    <w:rsid w:val="00CE05C9"/>
    <w:rsid w:val="00CE3469"/>
    <w:rsid w:val="00CE4DD7"/>
    <w:rsid w:val="00CE6274"/>
    <w:rsid w:val="00CF10C1"/>
    <w:rsid w:val="00CF36E2"/>
    <w:rsid w:val="00CF456B"/>
    <w:rsid w:val="00CF5A22"/>
    <w:rsid w:val="00CF616E"/>
    <w:rsid w:val="00CF6B32"/>
    <w:rsid w:val="00D0262E"/>
    <w:rsid w:val="00D05051"/>
    <w:rsid w:val="00D05ACF"/>
    <w:rsid w:val="00D06B55"/>
    <w:rsid w:val="00D1028F"/>
    <w:rsid w:val="00D10962"/>
    <w:rsid w:val="00D10F7F"/>
    <w:rsid w:val="00D110BD"/>
    <w:rsid w:val="00D13097"/>
    <w:rsid w:val="00D1324C"/>
    <w:rsid w:val="00D142A5"/>
    <w:rsid w:val="00D1494D"/>
    <w:rsid w:val="00D157A3"/>
    <w:rsid w:val="00D16C44"/>
    <w:rsid w:val="00D17BAF"/>
    <w:rsid w:val="00D17C8F"/>
    <w:rsid w:val="00D17D6C"/>
    <w:rsid w:val="00D215A6"/>
    <w:rsid w:val="00D258B3"/>
    <w:rsid w:val="00D25BB0"/>
    <w:rsid w:val="00D2759F"/>
    <w:rsid w:val="00D27BC5"/>
    <w:rsid w:val="00D31D96"/>
    <w:rsid w:val="00D3223C"/>
    <w:rsid w:val="00D32899"/>
    <w:rsid w:val="00D33520"/>
    <w:rsid w:val="00D357FF"/>
    <w:rsid w:val="00D35F2A"/>
    <w:rsid w:val="00D4047B"/>
    <w:rsid w:val="00D41686"/>
    <w:rsid w:val="00D41B97"/>
    <w:rsid w:val="00D42A78"/>
    <w:rsid w:val="00D44DDE"/>
    <w:rsid w:val="00D46DAA"/>
    <w:rsid w:val="00D50B4A"/>
    <w:rsid w:val="00D517AB"/>
    <w:rsid w:val="00D51EF8"/>
    <w:rsid w:val="00D5409A"/>
    <w:rsid w:val="00D555F5"/>
    <w:rsid w:val="00D57FBB"/>
    <w:rsid w:val="00D60252"/>
    <w:rsid w:val="00D604AB"/>
    <w:rsid w:val="00D614C7"/>
    <w:rsid w:val="00D61CBC"/>
    <w:rsid w:val="00D6321F"/>
    <w:rsid w:val="00D6448B"/>
    <w:rsid w:val="00D70673"/>
    <w:rsid w:val="00D71473"/>
    <w:rsid w:val="00D7269B"/>
    <w:rsid w:val="00D73A2E"/>
    <w:rsid w:val="00D74866"/>
    <w:rsid w:val="00D75A39"/>
    <w:rsid w:val="00D76163"/>
    <w:rsid w:val="00D76A44"/>
    <w:rsid w:val="00D8136A"/>
    <w:rsid w:val="00D829FD"/>
    <w:rsid w:val="00D83261"/>
    <w:rsid w:val="00D83A08"/>
    <w:rsid w:val="00D8683C"/>
    <w:rsid w:val="00D873C3"/>
    <w:rsid w:val="00D87AF6"/>
    <w:rsid w:val="00D90F01"/>
    <w:rsid w:val="00D91F02"/>
    <w:rsid w:val="00D93753"/>
    <w:rsid w:val="00D947B4"/>
    <w:rsid w:val="00D95625"/>
    <w:rsid w:val="00DA77A5"/>
    <w:rsid w:val="00DB1E10"/>
    <w:rsid w:val="00DB29C7"/>
    <w:rsid w:val="00DB33D4"/>
    <w:rsid w:val="00DB6EC0"/>
    <w:rsid w:val="00DC1046"/>
    <w:rsid w:val="00DC441B"/>
    <w:rsid w:val="00DC5501"/>
    <w:rsid w:val="00DC75DA"/>
    <w:rsid w:val="00DC78C4"/>
    <w:rsid w:val="00DD03EF"/>
    <w:rsid w:val="00DD336B"/>
    <w:rsid w:val="00DD3F28"/>
    <w:rsid w:val="00DD4537"/>
    <w:rsid w:val="00DD4E15"/>
    <w:rsid w:val="00DD527E"/>
    <w:rsid w:val="00DD5858"/>
    <w:rsid w:val="00DE2DD4"/>
    <w:rsid w:val="00DE3DBC"/>
    <w:rsid w:val="00DE4FCB"/>
    <w:rsid w:val="00DE7B97"/>
    <w:rsid w:val="00DF00A5"/>
    <w:rsid w:val="00DF0445"/>
    <w:rsid w:val="00DF27FB"/>
    <w:rsid w:val="00DF2E77"/>
    <w:rsid w:val="00DF55B8"/>
    <w:rsid w:val="00DF55EF"/>
    <w:rsid w:val="00DF5C33"/>
    <w:rsid w:val="00DF5D2B"/>
    <w:rsid w:val="00DF695D"/>
    <w:rsid w:val="00DF6AD4"/>
    <w:rsid w:val="00DF700E"/>
    <w:rsid w:val="00E01108"/>
    <w:rsid w:val="00E04190"/>
    <w:rsid w:val="00E10149"/>
    <w:rsid w:val="00E11E86"/>
    <w:rsid w:val="00E13608"/>
    <w:rsid w:val="00E13DE7"/>
    <w:rsid w:val="00E14772"/>
    <w:rsid w:val="00E14E96"/>
    <w:rsid w:val="00E153C2"/>
    <w:rsid w:val="00E15FCD"/>
    <w:rsid w:val="00E16372"/>
    <w:rsid w:val="00E2064B"/>
    <w:rsid w:val="00E20ED6"/>
    <w:rsid w:val="00E21358"/>
    <w:rsid w:val="00E215F4"/>
    <w:rsid w:val="00E2249B"/>
    <w:rsid w:val="00E22A0D"/>
    <w:rsid w:val="00E2771E"/>
    <w:rsid w:val="00E30352"/>
    <w:rsid w:val="00E31A53"/>
    <w:rsid w:val="00E31AD3"/>
    <w:rsid w:val="00E32C9C"/>
    <w:rsid w:val="00E34A34"/>
    <w:rsid w:val="00E36C7D"/>
    <w:rsid w:val="00E37569"/>
    <w:rsid w:val="00E41E30"/>
    <w:rsid w:val="00E41E50"/>
    <w:rsid w:val="00E42BF3"/>
    <w:rsid w:val="00E43D70"/>
    <w:rsid w:val="00E47B2C"/>
    <w:rsid w:val="00E51560"/>
    <w:rsid w:val="00E52547"/>
    <w:rsid w:val="00E529C5"/>
    <w:rsid w:val="00E53667"/>
    <w:rsid w:val="00E54DAD"/>
    <w:rsid w:val="00E55424"/>
    <w:rsid w:val="00E55B2B"/>
    <w:rsid w:val="00E55BB5"/>
    <w:rsid w:val="00E57868"/>
    <w:rsid w:val="00E57DF4"/>
    <w:rsid w:val="00E6079D"/>
    <w:rsid w:val="00E62462"/>
    <w:rsid w:val="00E62A5D"/>
    <w:rsid w:val="00E639EC"/>
    <w:rsid w:val="00E65E79"/>
    <w:rsid w:val="00E67307"/>
    <w:rsid w:val="00E67416"/>
    <w:rsid w:val="00E67E57"/>
    <w:rsid w:val="00E70810"/>
    <w:rsid w:val="00E718B6"/>
    <w:rsid w:val="00E73581"/>
    <w:rsid w:val="00E746F3"/>
    <w:rsid w:val="00E76ED6"/>
    <w:rsid w:val="00E77304"/>
    <w:rsid w:val="00E774ED"/>
    <w:rsid w:val="00E7775E"/>
    <w:rsid w:val="00E8152C"/>
    <w:rsid w:val="00E83BDF"/>
    <w:rsid w:val="00E92654"/>
    <w:rsid w:val="00E92C77"/>
    <w:rsid w:val="00E93141"/>
    <w:rsid w:val="00EA2032"/>
    <w:rsid w:val="00EA2DBF"/>
    <w:rsid w:val="00EA33A9"/>
    <w:rsid w:val="00EA3864"/>
    <w:rsid w:val="00EA3953"/>
    <w:rsid w:val="00EA4A3D"/>
    <w:rsid w:val="00EA6A74"/>
    <w:rsid w:val="00EA7263"/>
    <w:rsid w:val="00EB15B6"/>
    <w:rsid w:val="00EB3070"/>
    <w:rsid w:val="00EB39D4"/>
    <w:rsid w:val="00EB423E"/>
    <w:rsid w:val="00EB4916"/>
    <w:rsid w:val="00EB5F55"/>
    <w:rsid w:val="00EB6340"/>
    <w:rsid w:val="00EC00C9"/>
    <w:rsid w:val="00EC0886"/>
    <w:rsid w:val="00EC103B"/>
    <w:rsid w:val="00EC2A11"/>
    <w:rsid w:val="00EC2F97"/>
    <w:rsid w:val="00EC3181"/>
    <w:rsid w:val="00EC4623"/>
    <w:rsid w:val="00EC4E03"/>
    <w:rsid w:val="00EC6912"/>
    <w:rsid w:val="00EC715E"/>
    <w:rsid w:val="00EC735C"/>
    <w:rsid w:val="00ED25A2"/>
    <w:rsid w:val="00ED3F95"/>
    <w:rsid w:val="00ED4921"/>
    <w:rsid w:val="00ED702D"/>
    <w:rsid w:val="00EE07D3"/>
    <w:rsid w:val="00EE20FA"/>
    <w:rsid w:val="00EE361B"/>
    <w:rsid w:val="00EF1D82"/>
    <w:rsid w:val="00EF3633"/>
    <w:rsid w:val="00EF4773"/>
    <w:rsid w:val="00EF50CC"/>
    <w:rsid w:val="00EF5764"/>
    <w:rsid w:val="00F043EA"/>
    <w:rsid w:val="00F05D9A"/>
    <w:rsid w:val="00F067A2"/>
    <w:rsid w:val="00F11B4E"/>
    <w:rsid w:val="00F14114"/>
    <w:rsid w:val="00F16A98"/>
    <w:rsid w:val="00F23799"/>
    <w:rsid w:val="00F24837"/>
    <w:rsid w:val="00F2575F"/>
    <w:rsid w:val="00F2633D"/>
    <w:rsid w:val="00F26574"/>
    <w:rsid w:val="00F27EF0"/>
    <w:rsid w:val="00F30728"/>
    <w:rsid w:val="00F32F10"/>
    <w:rsid w:val="00F33DE9"/>
    <w:rsid w:val="00F3619A"/>
    <w:rsid w:val="00F40B40"/>
    <w:rsid w:val="00F41488"/>
    <w:rsid w:val="00F41D91"/>
    <w:rsid w:val="00F420BB"/>
    <w:rsid w:val="00F44865"/>
    <w:rsid w:val="00F454D7"/>
    <w:rsid w:val="00F45B29"/>
    <w:rsid w:val="00F463C2"/>
    <w:rsid w:val="00F46CB6"/>
    <w:rsid w:val="00F47076"/>
    <w:rsid w:val="00F47330"/>
    <w:rsid w:val="00F47B48"/>
    <w:rsid w:val="00F50837"/>
    <w:rsid w:val="00F50ED2"/>
    <w:rsid w:val="00F55E73"/>
    <w:rsid w:val="00F60092"/>
    <w:rsid w:val="00F606B1"/>
    <w:rsid w:val="00F60ED1"/>
    <w:rsid w:val="00F61935"/>
    <w:rsid w:val="00F61DCE"/>
    <w:rsid w:val="00F636C3"/>
    <w:rsid w:val="00F66455"/>
    <w:rsid w:val="00F6712E"/>
    <w:rsid w:val="00F71C6D"/>
    <w:rsid w:val="00F74907"/>
    <w:rsid w:val="00F773D7"/>
    <w:rsid w:val="00F7789D"/>
    <w:rsid w:val="00F80E5D"/>
    <w:rsid w:val="00F819CA"/>
    <w:rsid w:val="00F81F8E"/>
    <w:rsid w:val="00F822A9"/>
    <w:rsid w:val="00F83653"/>
    <w:rsid w:val="00F851CE"/>
    <w:rsid w:val="00F8612C"/>
    <w:rsid w:val="00F87FE8"/>
    <w:rsid w:val="00F902AD"/>
    <w:rsid w:val="00F92040"/>
    <w:rsid w:val="00F93205"/>
    <w:rsid w:val="00F9369C"/>
    <w:rsid w:val="00F93833"/>
    <w:rsid w:val="00F93A90"/>
    <w:rsid w:val="00F93DBD"/>
    <w:rsid w:val="00F95FCA"/>
    <w:rsid w:val="00F96315"/>
    <w:rsid w:val="00F96511"/>
    <w:rsid w:val="00F97A78"/>
    <w:rsid w:val="00FA0D28"/>
    <w:rsid w:val="00FA24E7"/>
    <w:rsid w:val="00FA29DF"/>
    <w:rsid w:val="00FA2B81"/>
    <w:rsid w:val="00FA2FA9"/>
    <w:rsid w:val="00FA37AC"/>
    <w:rsid w:val="00FA65FD"/>
    <w:rsid w:val="00FB06A1"/>
    <w:rsid w:val="00FB23D3"/>
    <w:rsid w:val="00FB2FCB"/>
    <w:rsid w:val="00FB42A9"/>
    <w:rsid w:val="00FB4763"/>
    <w:rsid w:val="00FB5079"/>
    <w:rsid w:val="00FB6D13"/>
    <w:rsid w:val="00FC0C0E"/>
    <w:rsid w:val="00FC1074"/>
    <w:rsid w:val="00FC1884"/>
    <w:rsid w:val="00FC2CC8"/>
    <w:rsid w:val="00FC6800"/>
    <w:rsid w:val="00FD077B"/>
    <w:rsid w:val="00FD1BF2"/>
    <w:rsid w:val="00FD2100"/>
    <w:rsid w:val="00FD2C04"/>
    <w:rsid w:val="00FD3513"/>
    <w:rsid w:val="00FD446D"/>
    <w:rsid w:val="00FE04FE"/>
    <w:rsid w:val="00FE28AD"/>
    <w:rsid w:val="00FE4638"/>
    <w:rsid w:val="00FF1AB2"/>
    <w:rsid w:val="00FF2B63"/>
    <w:rsid w:val="00FF2D89"/>
    <w:rsid w:val="00FF2DF1"/>
    <w:rsid w:val="00FF3DCF"/>
    <w:rsid w:val="00FF4225"/>
    <w:rsid w:val="00FF5AA3"/>
    <w:rsid w:val="00FF64F2"/>
    <w:rsid w:val="00FF68F3"/>
    <w:rsid w:val="00FF6E96"/>
    <w:rsid w:val="00FF712B"/>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annotation text" w:uiPriority="99"/>
    <w:lsdException w:name="header" w:uiPriority="99"/>
    <w:lsdException w:name="footer"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Body Text"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4B00F1"/>
    <w:pPr>
      <w:widowControl w:val="0"/>
      <w:jc w:val="both"/>
    </w:pPr>
    <w:rPr>
      <w:rFonts w:ascii="Arial" w:hAnsi="Arial" w:cs="Arial"/>
      <w:snapToGrid w:val="0"/>
      <w:sz w:val="22"/>
      <w:lang w:eastAsia="en-US"/>
    </w:rPr>
  </w:style>
  <w:style w:type="paragraph" w:styleId="Heading1">
    <w:name w:val="heading 1"/>
    <w:basedOn w:val="PBACHeading1"/>
    <w:next w:val="Normal"/>
    <w:qFormat/>
    <w:rsid w:val="00D44DDE"/>
    <w:pPr>
      <w:outlineLvl w:val="0"/>
    </w:pPr>
  </w:style>
  <w:style w:type="paragraph" w:styleId="Heading2">
    <w:name w:val="heading 2"/>
    <w:basedOn w:val="Normal"/>
    <w:next w:val="Normal"/>
    <w:link w:val="Heading2Char"/>
    <w:qFormat/>
    <w:rsid w:val="00D44DDE"/>
    <w:pPr>
      <w:widowControl/>
      <w:spacing w:after="120"/>
      <w:jc w:val="left"/>
      <w:outlineLvl w:val="1"/>
    </w:pPr>
    <w:rPr>
      <w:b/>
      <w:bCs/>
      <w:szCs w:val="22"/>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rsid w:val="00D44DDE"/>
    <w:rPr>
      <w:rFonts w:ascii="Arial" w:hAnsi="Arial" w:cs="Arial"/>
      <w:b/>
      <w:bCs/>
      <w:snapToGrid w:val="0"/>
      <w:sz w:val="22"/>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next w:val="Normal"/>
    <w:link w:val="TitleChar"/>
    <w:qFormat/>
    <w:rsid w:val="004B5087"/>
    <w:pPr>
      <w:widowControl w:val="0"/>
      <w:ind w:firstLine="720"/>
      <w:jc w:val="both"/>
      <w:outlineLvl w:val="0"/>
    </w:pPr>
    <w:rPr>
      <w:rFonts w:ascii="Arial Bold" w:hAnsi="Arial Bold" w:cs="Arial"/>
      <w:b/>
      <w:caps/>
      <w:snapToGrid w:val="0"/>
      <w:sz w:val="28"/>
      <w:lang w:eastAsia="en-US"/>
    </w:rPr>
  </w:style>
  <w:style w:type="character" w:customStyle="1" w:styleId="TitleChar">
    <w:name w:val="Title Char"/>
    <w:basedOn w:val="DefaultParagraphFont"/>
    <w:link w:val="Title"/>
    <w:rsid w:val="004B5087"/>
    <w:rPr>
      <w:rFonts w:ascii="Arial Bold" w:hAnsi="Arial Bold" w:cs="Arial"/>
      <w:b/>
      <w:caps/>
      <w:snapToGrid w:val="0"/>
      <w:sz w:val="28"/>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ulletPoints"/>
    <w:basedOn w:val="Normal"/>
    <w:link w:val="ListParagraphChar"/>
    <w:uiPriority w:val="34"/>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rsid w:val="00A56B6A"/>
    <w:pPr>
      <w:widowControl/>
      <w:spacing w:after="120"/>
      <w:jc w:val="left"/>
    </w:pPr>
    <w:rPr>
      <w:rFonts w:cs="Times New Roman"/>
      <w:snapToGrid/>
      <w:sz w:val="20"/>
    </w:rPr>
  </w:style>
  <w:style w:type="paragraph" w:customStyle="1" w:styleId="TableHeading">
    <w:name w:val="TableHeading"/>
    <w:basedOn w:val="Normal"/>
    <w:link w:val="TableHeadingChar"/>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TableText0">
    <w:name w:val="TableText"/>
    <w:basedOn w:val="Normal"/>
    <w:link w:val="TableTextChar0"/>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aliases w:val="PBAC Paragraph Char"/>
    <w:link w:val="Subtitle"/>
    <w:rsid w:val="00B50DB8"/>
    <w:rPr>
      <w:lang w:eastAsia="en-US"/>
    </w:rPr>
  </w:style>
  <w:style w:type="paragraph" w:styleId="Subtitle">
    <w:name w:val="Subtitle"/>
    <w:aliases w:val="PBAC Paragraph"/>
    <w:basedOn w:val="Normal"/>
    <w:link w:val="SubtitleChar"/>
    <w:uiPriority w:val="11"/>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33B3B"/>
    <w:rPr>
      <w:rFonts w:ascii="Arial" w:hAnsi="Arial" w:cs="Arial"/>
      <w:b/>
      <w:snapToGrid w:val="0"/>
      <w:sz w:val="22"/>
      <w:szCs w:val="22"/>
      <w:lang w:eastAsia="en-US"/>
    </w:rPr>
  </w:style>
  <w:style w:type="paragraph" w:customStyle="1" w:styleId="COMBody">
    <w:name w:val="COMBody"/>
    <w:basedOn w:val="Normal"/>
    <w:link w:val="COMBodyChar"/>
    <w:qFormat/>
    <w:rsid w:val="003F6C9E"/>
  </w:style>
  <w:style w:type="character" w:customStyle="1" w:styleId="COMBodyChar">
    <w:name w:val="COMBody Char"/>
    <w:basedOn w:val="DefaultParagraphFont"/>
    <w:link w:val="COMBody"/>
    <w:rsid w:val="003F6C9E"/>
    <w:rPr>
      <w:rFonts w:ascii="Arial" w:hAnsi="Arial" w:cs="Arial"/>
      <w:snapToGrid w:val="0"/>
      <w:sz w:val="22"/>
      <w:lang w:eastAsia="en-US"/>
    </w:rPr>
  </w:style>
  <w:style w:type="character" w:customStyle="1" w:styleId="TableHeadingChar">
    <w:name w:val="TableHeading Char"/>
    <w:link w:val="TableHeading"/>
    <w:rsid w:val="00F11B4E"/>
    <w:rPr>
      <w:rFonts w:ascii="Arial Narrow" w:hAnsi="Arial Narrow" w:cs="Arial Narrow"/>
      <w:b/>
      <w:bCs/>
      <w:lang w:eastAsia="en-US"/>
    </w:rPr>
  </w:style>
  <w:style w:type="character" w:customStyle="1" w:styleId="TableTextChar0">
    <w:name w:val="TableText Char"/>
    <w:link w:val="TableText0"/>
    <w:rsid w:val="00F11B4E"/>
    <w:rPr>
      <w:rFonts w:ascii="Arial Narrow" w:hAnsi="Arial Narrow" w:cs="Arial Narrow"/>
      <w:lang w:eastAsia="en-US"/>
    </w:rPr>
  </w:style>
  <w:style w:type="paragraph" w:customStyle="1" w:styleId="COMtbl-HEADLeftAligned">
    <w:name w:val="COMtbl-HEAD Left Aligned"/>
    <w:basedOn w:val="Normal"/>
    <w:qFormat/>
    <w:rsid w:val="00C417E0"/>
    <w:pPr>
      <w:tabs>
        <w:tab w:val="left" w:pos="720"/>
      </w:tabs>
      <w:jc w:val="left"/>
    </w:pPr>
    <w:rPr>
      <w:rFonts w:ascii="Arial Narrow" w:hAnsi="Arial Narrow"/>
      <w:b/>
      <w:sz w:val="20"/>
    </w:rPr>
  </w:style>
  <w:style w:type="paragraph" w:customStyle="1" w:styleId="COMtbl-HEADCentred">
    <w:name w:val="COMtbl-HEAD Centred"/>
    <w:basedOn w:val="COMtbl-HEADLeftAligned"/>
    <w:qFormat/>
    <w:rsid w:val="00C417E0"/>
    <w:pPr>
      <w:jc w:val="center"/>
    </w:pPr>
  </w:style>
  <w:style w:type="paragraph" w:customStyle="1" w:styleId="COMtbl-textLeftAligned">
    <w:name w:val="COMtbl-text Left Aligned"/>
    <w:basedOn w:val="COMtbl-HEADLeftAligned"/>
    <w:qFormat/>
    <w:rsid w:val="00C417E0"/>
    <w:rPr>
      <w:b w:val="0"/>
    </w:rPr>
  </w:style>
  <w:style w:type="paragraph" w:customStyle="1" w:styleId="COMtbl-textCentred">
    <w:name w:val="COMtbl-text Centred"/>
    <w:basedOn w:val="COMtbl-HEADCentred"/>
    <w:qFormat/>
    <w:rsid w:val="00C417E0"/>
    <w:rPr>
      <w:b w:val="0"/>
    </w:rPr>
  </w:style>
  <w:style w:type="paragraph" w:customStyle="1" w:styleId="Table">
    <w:name w:val="Table"/>
    <w:basedOn w:val="Normal"/>
    <w:link w:val="TableChar"/>
    <w:qFormat/>
    <w:rsid w:val="009156BB"/>
    <w:pPr>
      <w:widowControl/>
    </w:pPr>
    <w:rPr>
      <w:rFonts w:ascii="Candara" w:eastAsiaTheme="majorEastAsia" w:hAnsi="Candara" w:cstheme="majorBidi"/>
      <w:snapToGrid/>
      <w:sz w:val="20"/>
      <w:szCs w:val="22"/>
      <w:lang w:bidi="en-US"/>
    </w:rPr>
  </w:style>
  <w:style w:type="character" w:customStyle="1" w:styleId="TableChar">
    <w:name w:val="Table Char"/>
    <w:basedOn w:val="DefaultParagraphFont"/>
    <w:link w:val="Table"/>
    <w:locked/>
    <w:rsid w:val="009156BB"/>
    <w:rPr>
      <w:rFonts w:ascii="Candara" w:eastAsiaTheme="majorEastAsia" w:hAnsi="Candara" w:cstheme="majorBidi"/>
      <w:szCs w:val="22"/>
      <w:lang w:eastAsia="en-US" w:bidi="en-US"/>
    </w:rPr>
  </w:style>
  <w:style w:type="paragraph" w:styleId="FootnoteText">
    <w:name w:val="footnote text"/>
    <w:basedOn w:val="Normal"/>
    <w:link w:val="FootnoteTextChar"/>
    <w:semiHidden/>
    <w:unhideWhenUsed/>
    <w:rsid w:val="005E4D8B"/>
    <w:rPr>
      <w:sz w:val="20"/>
    </w:rPr>
  </w:style>
  <w:style w:type="character" w:customStyle="1" w:styleId="FootnoteTextChar">
    <w:name w:val="Footnote Text Char"/>
    <w:basedOn w:val="DefaultParagraphFont"/>
    <w:link w:val="FootnoteText"/>
    <w:semiHidden/>
    <w:rsid w:val="005E4D8B"/>
    <w:rPr>
      <w:rFonts w:ascii="Arial" w:hAnsi="Arial" w:cs="Arial"/>
      <w:snapToGrid w:val="0"/>
      <w:lang w:eastAsia="en-US"/>
    </w:rPr>
  </w:style>
  <w:style w:type="character" w:styleId="FootnoteReference">
    <w:name w:val="footnote reference"/>
    <w:basedOn w:val="DefaultParagraphFont"/>
    <w:semiHidden/>
    <w:unhideWhenUsed/>
    <w:rsid w:val="005E4D8B"/>
    <w:rPr>
      <w:vertAlign w:val="superscript"/>
    </w:rPr>
  </w:style>
  <w:style w:type="paragraph" w:customStyle="1" w:styleId="COMH2">
    <w:name w:val="COMH2"/>
    <w:basedOn w:val="Heading2"/>
    <w:link w:val="COMH2Char"/>
    <w:qFormat/>
    <w:rsid w:val="00D947B4"/>
    <w:pPr>
      <w:keepNext/>
      <w:spacing w:after="220"/>
    </w:pPr>
  </w:style>
  <w:style w:type="character" w:customStyle="1" w:styleId="COMH2Char">
    <w:name w:val="COMH2 Char"/>
    <w:basedOn w:val="Heading2Char"/>
    <w:link w:val="COMH2"/>
    <w:rsid w:val="00D947B4"/>
    <w:rPr>
      <w:rFonts w:ascii="Arial" w:hAnsi="Arial" w:cs="Arial"/>
      <w:b/>
      <w:bCs/>
      <w:snapToGrid w:val="0"/>
      <w:sz w:val="22"/>
      <w:szCs w:val="22"/>
      <w:lang w:eastAsia="en-US"/>
    </w:rPr>
  </w:style>
  <w:style w:type="paragraph" w:customStyle="1" w:styleId="COMTbl-foot">
    <w:name w:val="COMTbl-foot"/>
    <w:basedOn w:val="TableFooter"/>
    <w:link w:val="COMTbl-footChar"/>
    <w:qFormat/>
    <w:rsid w:val="0038309A"/>
    <w:rPr>
      <w:rFonts w:ascii="Arial" w:hAnsi="Arial"/>
    </w:rPr>
  </w:style>
  <w:style w:type="character" w:customStyle="1" w:styleId="COMTbl-footChar">
    <w:name w:val="COMTbl-foot Char"/>
    <w:basedOn w:val="DefaultParagraphFont"/>
    <w:link w:val="COMTbl-foot"/>
    <w:rsid w:val="0038309A"/>
    <w:rPr>
      <w:rFonts w:ascii="Arial" w:hAnsi="Arial" w:cs="Arial"/>
      <w:snapToGrid w:val="0"/>
      <w:sz w:val="18"/>
      <w:lang w:eastAsia="en-US"/>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417EB7"/>
    <w:pPr>
      <w:widowControl/>
      <w:spacing w:after="160" w:line="240" w:lineRule="exact"/>
      <w:jc w:val="left"/>
    </w:pPr>
    <w:rPr>
      <w:rFonts w:ascii="Verdana" w:eastAsia="MS Mincho" w:hAnsi="Verdana" w:cs="Verdana"/>
      <w:snapToGrid/>
      <w:sz w:val="20"/>
      <w:lang w:val="en-US"/>
    </w:rPr>
  </w:style>
  <w:style w:type="character" w:customStyle="1" w:styleId="ListParagraphChar">
    <w:name w:val="List Paragraph Char"/>
    <w:aliases w:val="BulletPoints Char"/>
    <w:link w:val="ListParagraph"/>
    <w:uiPriority w:val="72"/>
    <w:rsid w:val="008834B0"/>
    <w:rPr>
      <w:rFonts w:ascii="Arial" w:hAnsi="Arial" w:cs="Arial"/>
      <w:snapToGrid w:val="0"/>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annotation text" w:uiPriority="99"/>
    <w:lsdException w:name="header" w:uiPriority="99"/>
    <w:lsdException w:name="footer"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Body Text"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4B00F1"/>
    <w:pPr>
      <w:widowControl w:val="0"/>
      <w:jc w:val="both"/>
    </w:pPr>
    <w:rPr>
      <w:rFonts w:ascii="Arial" w:hAnsi="Arial" w:cs="Arial"/>
      <w:snapToGrid w:val="0"/>
      <w:sz w:val="22"/>
      <w:lang w:eastAsia="en-US"/>
    </w:rPr>
  </w:style>
  <w:style w:type="paragraph" w:styleId="Heading1">
    <w:name w:val="heading 1"/>
    <w:basedOn w:val="PBACHeading1"/>
    <w:next w:val="Normal"/>
    <w:qFormat/>
    <w:rsid w:val="00D44DDE"/>
    <w:pPr>
      <w:outlineLvl w:val="0"/>
    </w:pPr>
  </w:style>
  <w:style w:type="paragraph" w:styleId="Heading2">
    <w:name w:val="heading 2"/>
    <w:basedOn w:val="Normal"/>
    <w:next w:val="Normal"/>
    <w:link w:val="Heading2Char"/>
    <w:qFormat/>
    <w:rsid w:val="00D44DDE"/>
    <w:pPr>
      <w:widowControl/>
      <w:spacing w:after="120"/>
      <w:jc w:val="left"/>
      <w:outlineLvl w:val="1"/>
    </w:pPr>
    <w:rPr>
      <w:b/>
      <w:bCs/>
      <w:szCs w:val="22"/>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rsid w:val="00D44DDE"/>
    <w:rPr>
      <w:rFonts w:ascii="Arial" w:hAnsi="Arial" w:cs="Arial"/>
      <w:b/>
      <w:bCs/>
      <w:snapToGrid w:val="0"/>
      <w:sz w:val="22"/>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next w:val="Normal"/>
    <w:link w:val="TitleChar"/>
    <w:qFormat/>
    <w:rsid w:val="004B5087"/>
    <w:pPr>
      <w:widowControl w:val="0"/>
      <w:ind w:firstLine="720"/>
      <w:jc w:val="both"/>
      <w:outlineLvl w:val="0"/>
    </w:pPr>
    <w:rPr>
      <w:rFonts w:ascii="Arial Bold" w:hAnsi="Arial Bold" w:cs="Arial"/>
      <w:b/>
      <w:caps/>
      <w:snapToGrid w:val="0"/>
      <w:sz w:val="28"/>
      <w:lang w:eastAsia="en-US"/>
    </w:rPr>
  </w:style>
  <w:style w:type="character" w:customStyle="1" w:styleId="TitleChar">
    <w:name w:val="Title Char"/>
    <w:basedOn w:val="DefaultParagraphFont"/>
    <w:link w:val="Title"/>
    <w:rsid w:val="004B5087"/>
    <w:rPr>
      <w:rFonts w:ascii="Arial Bold" w:hAnsi="Arial Bold" w:cs="Arial"/>
      <w:b/>
      <w:caps/>
      <w:snapToGrid w:val="0"/>
      <w:sz w:val="28"/>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ulletPoints"/>
    <w:basedOn w:val="Normal"/>
    <w:link w:val="ListParagraphChar"/>
    <w:uiPriority w:val="34"/>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rsid w:val="00A56B6A"/>
    <w:pPr>
      <w:widowControl/>
      <w:spacing w:after="120"/>
      <w:jc w:val="left"/>
    </w:pPr>
    <w:rPr>
      <w:rFonts w:cs="Times New Roman"/>
      <w:snapToGrid/>
      <w:sz w:val="20"/>
    </w:rPr>
  </w:style>
  <w:style w:type="paragraph" w:customStyle="1" w:styleId="TableHeading">
    <w:name w:val="TableHeading"/>
    <w:basedOn w:val="Normal"/>
    <w:link w:val="TableHeadingChar"/>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TableText0">
    <w:name w:val="TableText"/>
    <w:basedOn w:val="Normal"/>
    <w:link w:val="TableTextChar0"/>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aliases w:val="PBAC Paragraph Char"/>
    <w:link w:val="Subtitle"/>
    <w:rsid w:val="00B50DB8"/>
    <w:rPr>
      <w:lang w:eastAsia="en-US"/>
    </w:rPr>
  </w:style>
  <w:style w:type="paragraph" w:styleId="Subtitle">
    <w:name w:val="Subtitle"/>
    <w:aliases w:val="PBAC Paragraph"/>
    <w:basedOn w:val="Normal"/>
    <w:link w:val="SubtitleChar"/>
    <w:uiPriority w:val="11"/>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33B3B"/>
    <w:rPr>
      <w:rFonts w:ascii="Arial" w:hAnsi="Arial" w:cs="Arial"/>
      <w:b/>
      <w:snapToGrid w:val="0"/>
      <w:sz w:val="22"/>
      <w:szCs w:val="22"/>
      <w:lang w:eastAsia="en-US"/>
    </w:rPr>
  </w:style>
  <w:style w:type="paragraph" w:customStyle="1" w:styleId="COMBody">
    <w:name w:val="COMBody"/>
    <w:basedOn w:val="Normal"/>
    <w:link w:val="COMBodyChar"/>
    <w:qFormat/>
    <w:rsid w:val="003F6C9E"/>
  </w:style>
  <w:style w:type="character" w:customStyle="1" w:styleId="COMBodyChar">
    <w:name w:val="COMBody Char"/>
    <w:basedOn w:val="DefaultParagraphFont"/>
    <w:link w:val="COMBody"/>
    <w:rsid w:val="003F6C9E"/>
    <w:rPr>
      <w:rFonts w:ascii="Arial" w:hAnsi="Arial" w:cs="Arial"/>
      <w:snapToGrid w:val="0"/>
      <w:sz w:val="22"/>
      <w:lang w:eastAsia="en-US"/>
    </w:rPr>
  </w:style>
  <w:style w:type="character" w:customStyle="1" w:styleId="TableHeadingChar">
    <w:name w:val="TableHeading Char"/>
    <w:link w:val="TableHeading"/>
    <w:rsid w:val="00F11B4E"/>
    <w:rPr>
      <w:rFonts w:ascii="Arial Narrow" w:hAnsi="Arial Narrow" w:cs="Arial Narrow"/>
      <w:b/>
      <w:bCs/>
      <w:lang w:eastAsia="en-US"/>
    </w:rPr>
  </w:style>
  <w:style w:type="character" w:customStyle="1" w:styleId="TableTextChar0">
    <w:name w:val="TableText Char"/>
    <w:link w:val="TableText0"/>
    <w:rsid w:val="00F11B4E"/>
    <w:rPr>
      <w:rFonts w:ascii="Arial Narrow" w:hAnsi="Arial Narrow" w:cs="Arial Narrow"/>
      <w:lang w:eastAsia="en-US"/>
    </w:rPr>
  </w:style>
  <w:style w:type="paragraph" w:customStyle="1" w:styleId="COMtbl-HEADLeftAligned">
    <w:name w:val="COMtbl-HEAD Left Aligned"/>
    <w:basedOn w:val="Normal"/>
    <w:qFormat/>
    <w:rsid w:val="00C417E0"/>
    <w:pPr>
      <w:tabs>
        <w:tab w:val="left" w:pos="720"/>
      </w:tabs>
      <w:jc w:val="left"/>
    </w:pPr>
    <w:rPr>
      <w:rFonts w:ascii="Arial Narrow" w:hAnsi="Arial Narrow"/>
      <w:b/>
      <w:sz w:val="20"/>
    </w:rPr>
  </w:style>
  <w:style w:type="paragraph" w:customStyle="1" w:styleId="COMtbl-HEADCentred">
    <w:name w:val="COMtbl-HEAD Centred"/>
    <w:basedOn w:val="COMtbl-HEADLeftAligned"/>
    <w:qFormat/>
    <w:rsid w:val="00C417E0"/>
    <w:pPr>
      <w:jc w:val="center"/>
    </w:pPr>
  </w:style>
  <w:style w:type="paragraph" w:customStyle="1" w:styleId="COMtbl-textLeftAligned">
    <w:name w:val="COMtbl-text Left Aligned"/>
    <w:basedOn w:val="COMtbl-HEADLeftAligned"/>
    <w:qFormat/>
    <w:rsid w:val="00C417E0"/>
    <w:rPr>
      <w:b w:val="0"/>
    </w:rPr>
  </w:style>
  <w:style w:type="paragraph" w:customStyle="1" w:styleId="COMtbl-textCentred">
    <w:name w:val="COMtbl-text Centred"/>
    <w:basedOn w:val="COMtbl-HEADCentred"/>
    <w:qFormat/>
    <w:rsid w:val="00C417E0"/>
    <w:rPr>
      <w:b w:val="0"/>
    </w:rPr>
  </w:style>
  <w:style w:type="paragraph" w:customStyle="1" w:styleId="Table">
    <w:name w:val="Table"/>
    <w:basedOn w:val="Normal"/>
    <w:link w:val="TableChar"/>
    <w:qFormat/>
    <w:rsid w:val="009156BB"/>
    <w:pPr>
      <w:widowControl/>
    </w:pPr>
    <w:rPr>
      <w:rFonts w:ascii="Candara" w:eastAsiaTheme="majorEastAsia" w:hAnsi="Candara" w:cstheme="majorBidi"/>
      <w:snapToGrid/>
      <w:sz w:val="20"/>
      <w:szCs w:val="22"/>
      <w:lang w:bidi="en-US"/>
    </w:rPr>
  </w:style>
  <w:style w:type="character" w:customStyle="1" w:styleId="TableChar">
    <w:name w:val="Table Char"/>
    <w:basedOn w:val="DefaultParagraphFont"/>
    <w:link w:val="Table"/>
    <w:locked/>
    <w:rsid w:val="009156BB"/>
    <w:rPr>
      <w:rFonts w:ascii="Candara" w:eastAsiaTheme="majorEastAsia" w:hAnsi="Candara" w:cstheme="majorBidi"/>
      <w:szCs w:val="22"/>
      <w:lang w:eastAsia="en-US" w:bidi="en-US"/>
    </w:rPr>
  </w:style>
  <w:style w:type="paragraph" w:styleId="FootnoteText">
    <w:name w:val="footnote text"/>
    <w:basedOn w:val="Normal"/>
    <w:link w:val="FootnoteTextChar"/>
    <w:semiHidden/>
    <w:unhideWhenUsed/>
    <w:rsid w:val="005E4D8B"/>
    <w:rPr>
      <w:sz w:val="20"/>
    </w:rPr>
  </w:style>
  <w:style w:type="character" w:customStyle="1" w:styleId="FootnoteTextChar">
    <w:name w:val="Footnote Text Char"/>
    <w:basedOn w:val="DefaultParagraphFont"/>
    <w:link w:val="FootnoteText"/>
    <w:semiHidden/>
    <w:rsid w:val="005E4D8B"/>
    <w:rPr>
      <w:rFonts w:ascii="Arial" w:hAnsi="Arial" w:cs="Arial"/>
      <w:snapToGrid w:val="0"/>
      <w:lang w:eastAsia="en-US"/>
    </w:rPr>
  </w:style>
  <w:style w:type="character" w:styleId="FootnoteReference">
    <w:name w:val="footnote reference"/>
    <w:basedOn w:val="DefaultParagraphFont"/>
    <w:semiHidden/>
    <w:unhideWhenUsed/>
    <w:rsid w:val="005E4D8B"/>
    <w:rPr>
      <w:vertAlign w:val="superscript"/>
    </w:rPr>
  </w:style>
  <w:style w:type="paragraph" w:customStyle="1" w:styleId="COMH2">
    <w:name w:val="COMH2"/>
    <w:basedOn w:val="Heading2"/>
    <w:link w:val="COMH2Char"/>
    <w:qFormat/>
    <w:rsid w:val="00D947B4"/>
    <w:pPr>
      <w:keepNext/>
      <w:spacing w:after="220"/>
    </w:pPr>
  </w:style>
  <w:style w:type="character" w:customStyle="1" w:styleId="COMH2Char">
    <w:name w:val="COMH2 Char"/>
    <w:basedOn w:val="Heading2Char"/>
    <w:link w:val="COMH2"/>
    <w:rsid w:val="00D947B4"/>
    <w:rPr>
      <w:rFonts w:ascii="Arial" w:hAnsi="Arial" w:cs="Arial"/>
      <w:b/>
      <w:bCs/>
      <w:snapToGrid w:val="0"/>
      <w:sz w:val="22"/>
      <w:szCs w:val="22"/>
      <w:lang w:eastAsia="en-US"/>
    </w:rPr>
  </w:style>
  <w:style w:type="paragraph" w:customStyle="1" w:styleId="COMTbl-foot">
    <w:name w:val="COMTbl-foot"/>
    <w:basedOn w:val="TableFooter"/>
    <w:link w:val="COMTbl-footChar"/>
    <w:qFormat/>
    <w:rsid w:val="0038309A"/>
    <w:rPr>
      <w:rFonts w:ascii="Arial" w:hAnsi="Arial"/>
    </w:rPr>
  </w:style>
  <w:style w:type="character" w:customStyle="1" w:styleId="COMTbl-footChar">
    <w:name w:val="COMTbl-foot Char"/>
    <w:basedOn w:val="DefaultParagraphFont"/>
    <w:link w:val="COMTbl-foot"/>
    <w:rsid w:val="0038309A"/>
    <w:rPr>
      <w:rFonts w:ascii="Arial" w:hAnsi="Arial" w:cs="Arial"/>
      <w:snapToGrid w:val="0"/>
      <w:sz w:val="18"/>
      <w:lang w:eastAsia="en-US"/>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417EB7"/>
    <w:pPr>
      <w:widowControl/>
      <w:spacing w:after="160" w:line="240" w:lineRule="exact"/>
      <w:jc w:val="left"/>
    </w:pPr>
    <w:rPr>
      <w:rFonts w:ascii="Verdana" w:eastAsia="MS Mincho" w:hAnsi="Verdana" w:cs="Verdana"/>
      <w:snapToGrid/>
      <w:sz w:val="20"/>
      <w:lang w:val="en-US"/>
    </w:rPr>
  </w:style>
  <w:style w:type="character" w:customStyle="1" w:styleId="ListParagraphChar">
    <w:name w:val="List Paragraph Char"/>
    <w:aliases w:val="BulletPoints Char"/>
    <w:link w:val="ListParagraph"/>
    <w:uiPriority w:val="72"/>
    <w:rsid w:val="008834B0"/>
    <w:rPr>
      <w:rFonts w:ascii="Arial" w:hAnsi="Arial" w:cs="Arial"/>
      <w:snapToGrid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commentsExtended" Target="commentsExtended.xml"/></Relationships>
</file>

<file path=word/_rels/footnotes.xml.rels><?xml version="1.0" encoding="UTF-8" standalone="yes"?>
<Relationships xmlns="http://schemas.openxmlformats.org/package/2006/relationships"><Relationship Id="rId3" Type="http://schemas.openxmlformats.org/officeDocument/2006/relationships/hyperlink" Target="https://www.mja.com.au/sites/default/files/issues/203_03/10.5694mja14.01218_Appendix%201.pdf" TargetMode="External"/><Relationship Id="rId2" Type="http://schemas.openxmlformats.org/officeDocument/2006/relationships/hyperlink" Target="https://www.mja.com.au/journal/2015/203/3/new-era-treatment-multiple-sclerosis" TargetMode="External"/><Relationship Id="rId1" Type="http://schemas.openxmlformats.org/officeDocument/2006/relationships/hyperlink" Target="http://www.pbs.gov.au/info/industry/listing/participants/public-release-docs/multiple-sclerosis-dusc-prd-2015-10-abstr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478451-DD97-4D62-8A95-E85B8C218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6000</Words>
  <Characters>35634</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41551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2016-10-05T21:51:00Z</dcterms:created>
  <dcterms:modified xsi:type="dcterms:W3CDTF">2016-10-05T23:05:00Z</dcterms:modified>
</cp:coreProperties>
</file>