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3D7D95" w:rsidRDefault="006C77F5" w:rsidP="003D7D95">
      <w:pPr>
        <w:pStyle w:val="Title"/>
      </w:pPr>
      <w:bookmarkStart w:id="0" w:name="_GoBack"/>
      <w:bookmarkEnd w:id="0"/>
      <w:r w:rsidRPr="003D7D95">
        <w:t>6.07</w:t>
      </w:r>
      <w:r w:rsidR="007C0F57" w:rsidRPr="003D7D95">
        <w:tab/>
      </w:r>
      <w:r w:rsidRPr="003D7D95">
        <w:t>BUPRENORPHINE</w:t>
      </w:r>
    </w:p>
    <w:p w:rsidR="00C27B58" w:rsidRPr="003D7D95" w:rsidRDefault="006C77F5" w:rsidP="003D7D95">
      <w:pPr>
        <w:pStyle w:val="Title"/>
      </w:pPr>
      <w:r w:rsidRPr="003D7D95">
        <w:t xml:space="preserve">Transdermal patch 5 </w:t>
      </w:r>
      <w:r w:rsidR="00BC3B15" w:rsidRPr="003D7D95">
        <w:t>microgram/hour</w:t>
      </w:r>
      <w:r w:rsidRPr="003D7D95">
        <w:t xml:space="preserve">, 10 </w:t>
      </w:r>
      <w:r w:rsidR="00BC3B15" w:rsidRPr="003D7D95">
        <w:t>microgram/hour,</w:t>
      </w:r>
      <w:r w:rsidRPr="003D7D95">
        <w:t xml:space="preserve"> 15</w:t>
      </w:r>
      <w:r w:rsidR="00BC3B15" w:rsidRPr="003D7D95">
        <w:t xml:space="preserve"> microgram/hour</w:t>
      </w:r>
      <w:r w:rsidRPr="003D7D95">
        <w:t>, 20</w:t>
      </w:r>
      <w:r w:rsidR="00BC3B15" w:rsidRPr="003D7D95">
        <w:t xml:space="preserve"> microgram/hour</w:t>
      </w:r>
      <w:r w:rsidRPr="003D7D95">
        <w:t xml:space="preserve">, 25 </w:t>
      </w:r>
      <w:r w:rsidR="00BC3B15" w:rsidRPr="003D7D95">
        <w:t>microgram/hour</w:t>
      </w:r>
      <w:r w:rsidRPr="003D7D95">
        <w:t>, 30 </w:t>
      </w:r>
      <w:r w:rsidR="00BC3B15" w:rsidRPr="003D7D95">
        <w:t>microgram/hour</w:t>
      </w:r>
      <w:r w:rsidRPr="003D7D95">
        <w:t xml:space="preserve">, 40 </w:t>
      </w:r>
      <w:r w:rsidR="00BC3B15" w:rsidRPr="003D7D95">
        <w:t>microgram/hour</w:t>
      </w:r>
    </w:p>
    <w:p w:rsidR="00C27B58" w:rsidRPr="003D7D95" w:rsidRDefault="006C77F5" w:rsidP="003D7D95">
      <w:pPr>
        <w:pStyle w:val="Title"/>
      </w:pPr>
      <w:proofErr w:type="spellStart"/>
      <w:r w:rsidRPr="003D7D95">
        <w:t>Norspan</w:t>
      </w:r>
      <w:proofErr w:type="spellEnd"/>
      <w:r w:rsidR="0004240E" w:rsidRPr="003D7D95">
        <w:t>®</w:t>
      </w:r>
      <w:r w:rsidR="00EF44A0" w:rsidRPr="003D7D95">
        <w:t xml:space="preserve">, </w:t>
      </w:r>
      <w:proofErr w:type="spellStart"/>
      <w:r w:rsidRPr="003D7D95">
        <w:t>Mundipharma</w:t>
      </w:r>
      <w:proofErr w:type="spellEnd"/>
      <w:r w:rsidRPr="003D7D95">
        <w:t xml:space="preserve"> Pty Ltd</w:t>
      </w:r>
    </w:p>
    <w:p w:rsidR="006A12A5" w:rsidRDefault="00CE10C4" w:rsidP="00882085">
      <w:pPr>
        <w:pStyle w:val="Heading1"/>
        <w:numPr>
          <w:ilvl w:val="0"/>
          <w:numId w:val="1"/>
        </w:numPr>
      </w:pPr>
      <w:r w:rsidRPr="00077143">
        <w:t xml:space="preserve">Purpose of </w:t>
      </w:r>
      <w:r w:rsidR="0004240E" w:rsidRPr="00077143">
        <w:t>Application</w:t>
      </w:r>
    </w:p>
    <w:p w:rsidR="003D7D95" w:rsidRPr="003D7D95" w:rsidRDefault="003D7D95" w:rsidP="003D7D95"/>
    <w:p w:rsidR="00C418A0" w:rsidRPr="003D7D95" w:rsidRDefault="00EF44A0" w:rsidP="00C27B58">
      <w:pPr>
        <w:pStyle w:val="ListParagraph"/>
        <w:numPr>
          <w:ilvl w:val="1"/>
          <w:numId w:val="1"/>
        </w:numPr>
        <w:jc w:val="both"/>
        <w:rPr>
          <w:rFonts w:ascii="Arial" w:hAnsi="Arial"/>
          <w:b/>
          <w:sz w:val="22"/>
          <w:szCs w:val="22"/>
        </w:rPr>
      </w:pPr>
      <w:r>
        <w:rPr>
          <w:rFonts w:ascii="Arial" w:hAnsi="Arial"/>
          <w:sz w:val="22"/>
          <w:szCs w:val="22"/>
        </w:rPr>
        <w:t>The mi</w:t>
      </w:r>
      <w:r w:rsidR="00FF2801">
        <w:rPr>
          <w:rFonts w:ascii="Arial" w:hAnsi="Arial"/>
          <w:sz w:val="22"/>
          <w:szCs w:val="22"/>
        </w:rPr>
        <w:t>nor submission requested</w:t>
      </w:r>
      <w:r w:rsidR="008B1EAE">
        <w:rPr>
          <w:rFonts w:ascii="Arial" w:hAnsi="Arial"/>
          <w:sz w:val="22"/>
          <w:szCs w:val="22"/>
        </w:rPr>
        <w:t xml:space="preserve"> new listings of</w:t>
      </w:r>
      <w:r w:rsidR="009D6D81">
        <w:rPr>
          <w:rFonts w:ascii="Arial" w:hAnsi="Arial"/>
          <w:sz w:val="22"/>
          <w:szCs w:val="22"/>
        </w:rPr>
        <w:t xml:space="preserve"> all strengths of</w:t>
      </w:r>
      <w:r w:rsidR="008B1EAE">
        <w:rPr>
          <w:rFonts w:ascii="Arial" w:hAnsi="Arial"/>
          <w:sz w:val="22"/>
          <w:szCs w:val="22"/>
        </w:rPr>
        <w:t xml:space="preserve"> buprenorphine transdermal patches on the Palliative Care Schedule</w:t>
      </w:r>
      <w:r w:rsidR="0053277B">
        <w:rPr>
          <w:rFonts w:ascii="Arial" w:hAnsi="Arial"/>
          <w:sz w:val="22"/>
          <w:szCs w:val="22"/>
        </w:rPr>
        <w:t xml:space="preserve"> with a maximum quantity of </w:t>
      </w:r>
      <w:r w:rsidR="002569DF">
        <w:rPr>
          <w:rFonts w:ascii="Arial" w:hAnsi="Arial"/>
          <w:sz w:val="22"/>
          <w:szCs w:val="22"/>
        </w:rPr>
        <w:t>4 patches</w:t>
      </w:r>
      <w:r w:rsidR="0053277B">
        <w:rPr>
          <w:rFonts w:ascii="Arial" w:hAnsi="Arial"/>
          <w:sz w:val="22"/>
          <w:szCs w:val="22"/>
        </w:rPr>
        <w:t xml:space="preserve"> with two repeats, providing up to three months’ supply. </w:t>
      </w:r>
    </w:p>
    <w:p w:rsidR="003D7D95" w:rsidRPr="003D7D95" w:rsidRDefault="003D7D95" w:rsidP="003D7D95">
      <w:pPr>
        <w:jc w:val="both"/>
        <w:rPr>
          <w:rFonts w:ascii="Arial" w:hAnsi="Arial"/>
          <w:b/>
          <w:sz w:val="22"/>
          <w:szCs w:val="22"/>
        </w:rPr>
      </w:pPr>
    </w:p>
    <w:p w:rsidR="006A12A5" w:rsidRDefault="006A12A5" w:rsidP="00882085">
      <w:pPr>
        <w:pStyle w:val="Heading1"/>
        <w:numPr>
          <w:ilvl w:val="0"/>
          <w:numId w:val="1"/>
        </w:numPr>
      </w:pPr>
      <w:r w:rsidRPr="004A2484">
        <w:t>Requested listing</w:t>
      </w:r>
      <w:r w:rsidR="00077143">
        <w:t xml:space="preserve"> </w:t>
      </w:r>
    </w:p>
    <w:p w:rsidR="003D7D95" w:rsidRPr="003D7D95" w:rsidRDefault="003D7D95" w:rsidP="003D7D95"/>
    <w:p w:rsidR="00296C6E" w:rsidRPr="00104761" w:rsidRDefault="00296C6E" w:rsidP="00296C6E">
      <w:pPr>
        <w:pStyle w:val="ListParagraph"/>
        <w:numPr>
          <w:ilvl w:val="1"/>
          <w:numId w:val="1"/>
        </w:numPr>
        <w:jc w:val="both"/>
        <w:rPr>
          <w:rFonts w:ascii="Arial" w:hAnsi="Arial"/>
          <w:sz w:val="22"/>
          <w:szCs w:val="22"/>
        </w:rPr>
      </w:pPr>
      <w:r w:rsidRPr="00104761">
        <w:rPr>
          <w:rFonts w:ascii="Arial" w:hAnsi="Arial"/>
          <w:sz w:val="22"/>
          <w:szCs w:val="22"/>
        </w:rPr>
        <w:t>The submission requested Authority Required (STREAMLINED) listings on the palliative care schedule for all strengths of buprenorphine transdermal patch</w:t>
      </w:r>
      <w:r w:rsidR="000E3E94" w:rsidRPr="00104761">
        <w:rPr>
          <w:rFonts w:ascii="Arial" w:hAnsi="Arial"/>
          <w:sz w:val="22"/>
          <w:szCs w:val="22"/>
        </w:rPr>
        <w:t>es</w:t>
      </w:r>
      <w:r w:rsidRPr="00104761">
        <w:rPr>
          <w:rFonts w:ascii="Arial" w:hAnsi="Arial"/>
          <w:sz w:val="22"/>
          <w:szCs w:val="22"/>
        </w:rPr>
        <w:t xml:space="preserve"> currently available on the general schedule. Morphine is currently listed on the Palliative Care Schedule for chronic disabling pain.  It is an Authority </w:t>
      </w:r>
      <w:proofErr w:type="gramStart"/>
      <w:r w:rsidRPr="00104761">
        <w:rPr>
          <w:rFonts w:ascii="Arial" w:hAnsi="Arial"/>
          <w:sz w:val="22"/>
          <w:szCs w:val="22"/>
        </w:rPr>
        <w:t>Required</w:t>
      </w:r>
      <w:proofErr w:type="gramEnd"/>
      <w:r w:rsidRPr="00104761">
        <w:rPr>
          <w:rFonts w:ascii="Arial" w:hAnsi="Arial"/>
          <w:sz w:val="22"/>
          <w:szCs w:val="22"/>
        </w:rPr>
        <w:t xml:space="preserve"> listing with one month available by telephone authority and up to three months’ supply available by written authority. This is consistent with guidelines for palliative care authority applications for opioids available on the PBS website. </w:t>
      </w:r>
    </w:p>
    <w:p w:rsidR="00296C6E" w:rsidRPr="00104761" w:rsidRDefault="00296C6E" w:rsidP="00205D9E">
      <w:pPr>
        <w:pStyle w:val="ListParagraph"/>
        <w:jc w:val="both"/>
        <w:rPr>
          <w:rFonts w:ascii="Arial" w:hAnsi="Arial"/>
          <w:sz w:val="22"/>
          <w:szCs w:val="22"/>
        </w:rPr>
      </w:pPr>
    </w:p>
    <w:p w:rsidR="006423EC" w:rsidRPr="00104761" w:rsidRDefault="006423EC" w:rsidP="00044D2A">
      <w:pPr>
        <w:pStyle w:val="ListParagraph"/>
        <w:numPr>
          <w:ilvl w:val="1"/>
          <w:numId w:val="1"/>
        </w:numPr>
        <w:jc w:val="both"/>
        <w:rPr>
          <w:rFonts w:ascii="Arial" w:hAnsi="Arial"/>
          <w:sz w:val="22"/>
          <w:szCs w:val="22"/>
        </w:rPr>
      </w:pPr>
      <w:r w:rsidRPr="00104761">
        <w:rPr>
          <w:rFonts w:ascii="Arial" w:hAnsi="Arial"/>
          <w:sz w:val="22"/>
          <w:szCs w:val="22"/>
        </w:rPr>
        <w:t>Suggestions and additions proposed by the Secretariat to the requested listing are added in italics.</w:t>
      </w:r>
    </w:p>
    <w:p w:rsidR="00F9629A" w:rsidRPr="00552722" w:rsidRDefault="00F9629A" w:rsidP="00F9629A">
      <w:pPr>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2410"/>
        <w:gridCol w:w="142"/>
        <w:gridCol w:w="567"/>
        <w:gridCol w:w="850"/>
        <w:gridCol w:w="1701"/>
        <w:gridCol w:w="1418"/>
        <w:gridCol w:w="1275"/>
      </w:tblGrid>
      <w:tr w:rsidR="00F9629A" w:rsidRPr="00260CE3" w:rsidTr="00D84934">
        <w:trPr>
          <w:cantSplit/>
          <w:trHeight w:val="471"/>
        </w:trPr>
        <w:tc>
          <w:tcPr>
            <w:tcW w:w="2552" w:type="dxa"/>
            <w:gridSpan w:val="2"/>
            <w:tcBorders>
              <w:bottom w:val="single" w:sz="4" w:space="0" w:color="auto"/>
            </w:tcBorders>
          </w:tcPr>
          <w:p w:rsidR="00F9629A" w:rsidRPr="00260CE3" w:rsidRDefault="00F9629A" w:rsidP="00C27B58">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F9629A" w:rsidRPr="00260CE3" w:rsidRDefault="00F9629A" w:rsidP="00C27B58">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F9629A" w:rsidRPr="00260CE3" w:rsidRDefault="00F9629A" w:rsidP="00C27B58">
            <w:pPr>
              <w:keepNext/>
              <w:ind w:left="-108"/>
              <w:jc w:val="both"/>
              <w:rPr>
                <w:rFonts w:ascii="Arial Narrow" w:hAnsi="Arial Narrow" w:cs="Arial"/>
                <w:sz w:val="20"/>
                <w:szCs w:val="20"/>
              </w:rPr>
            </w:pPr>
            <w:r w:rsidRPr="00260CE3">
              <w:rPr>
                <w:rFonts w:ascii="Arial Narrow" w:hAnsi="Arial Narrow" w:cs="Arial"/>
                <w:sz w:val="20"/>
                <w:szCs w:val="20"/>
              </w:rPr>
              <w:t>Max.</w:t>
            </w:r>
          </w:p>
          <w:p w:rsidR="00F9629A" w:rsidRPr="00260CE3" w:rsidRDefault="00F9629A" w:rsidP="00C27B58">
            <w:pPr>
              <w:keepNext/>
              <w:ind w:left="-108"/>
              <w:jc w:val="both"/>
              <w:rPr>
                <w:rFonts w:ascii="Arial Narrow" w:hAnsi="Arial Narrow" w:cs="Arial"/>
                <w:sz w:val="20"/>
                <w:szCs w:val="20"/>
              </w:rPr>
            </w:pPr>
            <w:proofErr w:type="spellStart"/>
            <w:r w:rsidRPr="00260CE3">
              <w:rPr>
                <w:rFonts w:ascii="Arial Narrow" w:hAnsi="Arial Narrow" w:cs="Arial"/>
                <w:sz w:val="20"/>
                <w:szCs w:val="20"/>
              </w:rPr>
              <w:t>Qty</w:t>
            </w:r>
            <w:proofErr w:type="spellEnd"/>
          </w:p>
        </w:tc>
        <w:tc>
          <w:tcPr>
            <w:tcW w:w="850" w:type="dxa"/>
            <w:tcBorders>
              <w:bottom w:val="single" w:sz="4" w:space="0" w:color="auto"/>
            </w:tcBorders>
          </w:tcPr>
          <w:p w:rsidR="00F9629A" w:rsidRPr="00260CE3" w:rsidRDefault="00F9629A" w:rsidP="00C27B58">
            <w:pPr>
              <w:keepNext/>
              <w:ind w:left="-108"/>
              <w:jc w:val="both"/>
              <w:rPr>
                <w:rFonts w:ascii="Arial Narrow" w:hAnsi="Arial Narrow" w:cs="Arial"/>
                <w:sz w:val="20"/>
                <w:szCs w:val="20"/>
              </w:rPr>
            </w:pPr>
            <w:r w:rsidRPr="00260CE3">
              <w:rPr>
                <w:rFonts w:ascii="Arial Narrow" w:hAnsi="Arial Narrow" w:cs="Arial"/>
                <w:sz w:val="20"/>
                <w:szCs w:val="20"/>
              </w:rPr>
              <w:t>№.of</w:t>
            </w:r>
          </w:p>
          <w:p w:rsidR="00F9629A" w:rsidRPr="00260CE3" w:rsidRDefault="00F9629A" w:rsidP="00C27B58">
            <w:pPr>
              <w:keepNext/>
              <w:ind w:left="-108"/>
              <w:jc w:val="both"/>
              <w:rPr>
                <w:rFonts w:ascii="Arial Narrow" w:hAnsi="Arial Narrow" w:cs="Arial"/>
                <w:sz w:val="20"/>
                <w:szCs w:val="20"/>
              </w:rPr>
            </w:pPr>
            <w:proofErr w:type="spellStart"/>
            <w:r w:rsidRPr="00260CE3">
              <w:rPr>
                <w:rFonts w:ascii="Arial Narrow" w:hAnsi="Arial Narrow" w:cs="Arial"/>
                <w:sz w:val="20"/>
                <w:szCs w:val="20"/>
              </w:rPr>
              <w:t>Rpts</w:t>
            </w:r>
            <w:proofErr w:type="spellEnd"/>
          </w:p>
        </w:tc>
        <w:tc>
          <w:tcPr>
            <w:tcW w:w="1701" w:type="dxa"/>
            <w:tcBorders>
              <w:bottom w:val="single" w:sz="4" w:space="0" w:color="auto"/>
            </w:tcBorders>
          </w:tcPr>
          <w:p w:rsidR="00F9629A" w:rsidRPr="00260CE3" w:rsidRDefault="00F9629A" w:rsidP="00C27B58">
            <w:pPr>
              <w:keepNext/>
              <w:ind w:left="-108"/>
              <w:jc w:val="both"/>
              <w:rPr>
                <w:rFonts w:ascii="Arial Narrow" w:hAnsi="Arial Narrow" w:cs="Arial"/>
                <w:sz w:val="20"/>
                <w:szCs w:val="20"/>
              </w:rPr>
            </w:pPr>
            <w:r w:rsidRPr="00260CE3">
              <w:rPr>
                <w:rFonts w:ascii="Arial Narrow" w:hAnsi="Arial Narrow" w:cs="Arial"/>
                <w:sz w:val="20"/>
                <w:szCs w:val="20"/>
              </w:rPr>
              <w:t xml:space="preserve">Dispensed Price for Max. </w:t>
            </w:r>
            <w:proofErr w:type="spellStart"/>
            <w:r w:rsidRPr="00260CE3">
              <w:rPr>
                <w:rFonts w:ascii="Arial Narrow" w:hAnsi="Arial Narrow" w:cs="Arial"/>
                <w:sz w:val="20"/>
                <w:szCs w:val="20"/>
              </w:rPr>
              <w:t>Qty</w:t>
            </w:r>
            <w:proofErr w:type="spellEnd"/>
          </w:p>
        </w:tc>
        <w:tc>
          <w:tcPr>
            <w:tcW w:w="2693" w:type="dxa"/>
            <w:gridSpan w:val="2"/>
            <w:tcBorders>
              <w:bottom w:val="single" w:sz="4" w:space="0" w:color="auto"/>
            </w:tcBorders>
          </w:tcPr>
          <w:p w:rsidR="00F9629A" w:rsidRPr="00260CE3" w:rsidRDefault="00F9629A" w:rsidP="00C27B58">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F9629A" w:rsidRPr="00260CE3" w:rsidTr="0040073E">
        <w:trPr>
          <w:cantSplit/>
          <w:trHeight w:val="577"/>
        </w:trPr>
        <w:tc>
          <w:tcPr>
            <w:tcW w:w="2552" w:type="dxa"/>
            <w:gridSpan w:val="2"/>
          </w:tcPr>
          <w:p w:rsidR="00C233B9" w:rsidRPr="00260CE3" w:rsidRDefault="00C233B9" w:rsidP="00C233B9">
            <w:pPr>
              <w:keepNext/>
              <w:ind w:left="-108"/>
              <w:jc w:val="both"/>
              <w:rPr>
                <w:rFonts w:ascii="Arial Narrow" w:hAnsi="Arial Narrow" w:cs="Arial"/>
                <w:sz w:val="20"/>
                <w:szCs w:val="20"/>
              </w:rPr>
            </w:pPr>
            <w:r>
              <w:rPr>
                <w:rFonts w:ascii="Arial Narrow" w:hAnsi="Arial Narrow" w:cs="Arial"/>
                <w:smallCaps/>
                <w:sz w:val="20"/>
                <w:szCs w:val="20"/>
              </w:rPr>
              <w:t>BUPRENORPHINE</w:t>
            </w:r>
          </w:p>
          <w:p w:rsidR="00BC3B15" w:rsidRDefault="00C233B9" w:rsidP="00C233B9">
            <w:pPr>
              <w:keepNext/>
              <w:ind w:left="-108"/>
              <w:jc w:val="both"/>
              <w:rPr>
                <w:rFonts w:ascii="Arial Narrow" w:hAnsi="Arial Narrow" w:cs="Arial"/>
                <w:sz w:val="20"/>
                <w:szCs w:val="20"/>
              </w:rPr>
            </w:pPr>
            <w:r>
              <w:rPr>
                <w:rFonts w:ascii="Arial Narrow" w:hAnsi="Arial Narrow" w:cs="Arial"/>
                <w:sz w:val="20"/>
                <w:szCs w:val="20"/>
              </w:rPr>
              <w:t xml:space="preserve">Transdermal patch  </w:t>
            </w:r>
          </w:p>
          <w:p w:rsidR="00C233B9" w:rsidRDefault="00C233B9" w:rsidP="00C233B9">
            <w:pPr>
              <w:keepNext/>
              <w:ind w:left="-108"/>
              <w:jc w:val="both"/>
              <w:rPr>
                <w:rFonts w:ascii="Arial Narrow" w:hAnsi="Arial Narrow" w:cs="Arial"/>
                <w:sz w:val="20"/>
                <w:szCs w:val="20"/>
              </w:rPr>
            </w:pPr>
            <w:r>
              <w:rPr>
                <w:rFonts w:ascii="Arial Narrow" w:hAnsi="Arial Narrow" w:cs="Arial"/>
                <w:sz w:val="20"/>
                <w:szCs w:val="20"/>
              </w:rPr>
              <w:t xml:space="preserve">5 </w:t>
            </w:r>
            <w:r w:rsidR="00BC3B15" w:rsidRPr="00BC3B15">
              <w:rPr>
                <w:rFonts w:ascii="Arial Narrow" w:hAnsi="Arial Narrow" w:cs="Arial"/>
                <w:sz w:val="20"/>
                <w:szCs w:val="20"/>
              </w:rPr>
              <w:t>microgram/hour</w:t>
            </w:r>
            <w:r>
              <w:rPr>
                <w:rFonts w:ascii="Arial Narrow" w:hAnsi="Arial Narrow" w:cs="Arial"/>
                <w:sz w:val="20"/>
                <w:szCs w:val="20"/>
              </w:rPr>
              <w:t>, 2</w:t>
            </w:r>
          </w:p>
          <w:p w:rsidR="00BC3B15" w:rsidRDefault="00C233B9" w:rsidP="00C233B9">
            <w:pPr>
              <w:keepNext/>
              <w:ind w:left="-108"/>
              <w:jc w:val="both"/>
              <w:rPr>
                <w:rFonts w:ascii="Arial Narrow" w:hAnsi="Arial Narrow" w:cs="Arial"/>
                <w:sz w:val="20"/>
                <w:szCs w:val="20"/>
              </w:rPr>
            </w:pPr>
            <w:r>
              <w:rPr>
                <w:rFonts w:ascii="Arial Narrow" w:hAnsi="Arial Narrow" w:cs="Arial"/>
                <w:sz w:val="20"/>
                <w:szCs w:val="20"/>
              </w:rPr>
              <w:t xml:space="preserve">Transdermal patch </w:t>
            </w:r>
          </w:p>
          <w:p w:rsidR="00C233B9" w:rsidRDefault="00C233B9" w:rsidP="00C233B9">
            <w:pPr>
              <w:keepNext/>
              <w:ind w:left="-108"/>
              <w:jc w:val="both"/>
              <w:rPr>
                <w:rFonts w:ascii="Arial Narrow" w:hAnsi="Arial Narrow" w:cs="Arial"/>
                <w:sz w:val="20"/>
                <w:szCs w:val="20"/>
              </w:rPr>
            </w:pPr>
            <w:r>
              <w:rPr>
                <w:rFonts w:ascii="Arial Narrow" w:hAnsi="Arial Narrow" w:cs="Arial"/>
                <w:sz w:val="20"/>
                <w:szCs w:val="20"/>
              </w:rPr>
              <w:t>10</w:t>
            </w:r>
            <w:r w:rsidR="00BC3B15">
              <w:rPr>
                <w:rFonts w:ascii="Arial Narrow" w:hAnsi="Arial Narrow" w:cs="Arial"/>
                <w:sz w:val="20"/>
                <w:szCs w:val="20"/>
              </w:rPr>
              <w:t xml:space="preserve"> </w:t>
            </w:r>
            <w:r w:rsidR="00BC3B15" w:rsidRPr="00BC3B15">
              <w:rPr>
                <w:rFonts w:ascii="Arial Narrow" w:hAnsi="Arial Narrow" w:cs="Arial"/>
                <w:sz w:val="20"/>
                <w:szCs w:val="20"/>
              </w:rPr>
              <w:t>microgram/hour</w:t>
            </w:r>
            <w:r>
              <w:rPr>
                <w:rFonts w:ascii="Arial Narrow" w:hAnsi="Arial Narrow" w:cs="Arial"/>
                <w:sz w:val="20"/>
                <w:szCs w:val="20"/>
              </w:rPr>
              <w:t>, 2</w:t>
            </w:r>
          </w:p>
          <w:p w:rsidR="00BC3B15" w:rsidRDefault="00C233B9" w:rsidP="00C233B9">
            <w:pPr>
              <w:keepNext/>
              <w:ind w:left="-108"/>
              <w:jc w:val="both"/>
              <w:rPr>
                <w:rFonts w:ascii="Arial Narrow" w:hAnsi="Arial Narrow" w:cs="Arial"/>
                <w:sz w:val="20"/>
                <w:szCs w:val="20"/>
              </w:rPr>
            </w:pPr>
            <w:r>
              <w:rPr>
                <w:rFonts w:ascii="Arial Narrow" w:hAnsi="Arial Narrow" w:cs="Arial"/>
                <w:sz w:val="20"/>
                <w:szCs w:val="20"/>
              </w:rPr>
              <w:t xml:space="preserve">Transdermal patch </w:t>
            </w:r>
          </w:p>
          <w:p w:rsidR="00C233B9" w:rsidRDefault="00C233B9" w:rsidP="00C233B9">
            <w:pPr>
              <w:keepNext/>
              <w:ind w:left="-108"/>
              <w:jc w:val="both"/>
              <w:rPr>
                <w:rFonts w:ascii="Arial Narrow" w:hAnsi="Arial Narrow" w:cs="Arial"/>
                <w:sz w:val="20"/>
                <w:szCs w:val="20"/>
              </w:rPr>
            </w:pPr>
            <w:r>
              <w:rPr>
                <w:rFonts w:ascii="Arial Narrow" w:hAnsi="Arial Narrow" w:cs="Arial"/>
                <w:sz w:val="20"/>
                <w:szCs w:val="20"/>
              </w:rPr>
              <w:t xml:space="preserve">15 </w:t>
            </w:r>
            <w:r w:rsidR="00BC3B15" w:rsidRPr="00BC3B15">
              <w:rPr>
                <w:rFonts w:ascii="Arial Narrow" w:hAnsi="Arial Narrow" w:cs="Arial"/>
                <w:sz w:val="20"/>
                <w:szCs w:val="20"/>
              </w:rPr>
              <w:t>microgram/hour</w:t>
            </w:r>
            <w:r>
              <w:rPr>
                <w:rFonts w:ascii="Arial Narrow" w:hAnsi="Arial Narrow" w:cs="Arial"/>
                <w:sz w:val="20"/>
                <w:szCs w:val="20"/>
              </w:rPr>
              <w:t>, 2</w:t>
            </w:r>
          </w:p>
          <w:p w:rsidR="00BC3B15" w:rsidRDefault="00C233B9" w:rsidP="00C233B9">
            <w:pPr>
              <w:keepNext/>
              <w:ind w:left="-108"/>
              <w:jc w:val="both"/>
              <w:rPr>
                <w:rFonts w:ascii="Arial Narrow" w:hAnsi="Arial Narrow" w:cs="Arial"/>
                <w:sz w:val="20"/>
                <w:szCs w:val="20"/>
              </w:rPr>
            </w:pPr>
            <w:r>
              <w:rPr>
                <w:rFonts w:ascii="Arial Narrow" w:hAnsi="Arial Narrow" w:cs="Arial"/>
                <w:sz w:val="20"/>
                <w:szCs w:val="20"/>
              </w:rPr>
              <w:t xml:space="preserve">Transdermal patch </w:t>
            </w:r>
          </w:p>
          <w:p w:rsidR="00C233B9" w:rsidRDefault="00BC3B15" w:rsidP="00C233B9">
            <w:pPr>
              <w:keepNext/>
              <w:ind w:left="-108"/>
              <w:jc w:val="both"/>
              <w:rPr>
                <w:rFonts w:ascii="Arial Narrow" w:hAnsi="Arial Narrow" w:cs="Arial"/>
                <w:sz w:val="20"/>
                <w:szCs w:val="20"/>
              </w:rPr>
            </w:pPr>
            <w:r>
              <w:rPr>
                <w:rFonts w:ascii="Arial Narrow" w:hAnsi="Arial Narrow" w:cs="Arial"/>
                <w:sz w:val="20"/>
                <w:szCs w:val="20"/>
              </w:rPr>
              <w:t xml:space="preserve">20 </w:t>
            </w:r>
            <w:r w:rsidRPr="00BC3B15">
              <w:rPr>
                <w:rFonts w:ascii="Arial Narrow" w:hAnsi="Arial Narrow" w:cs="Arial"/>
                <w:sz w:val="20"/>
                <w:szCs w:val="20"/>
              </w:rPr>
              <w:t>microgram/hour</w:t>
            </w:r>
            <w:r w:rsidR="00C233B9">
              <w:rPr>
                <w:rFonts w:ascii="Arial Narrow" w:hAnsi="Arial Narrow" w:cs="Arial"/>
                <w:sz w:val="20"/>
                <w:szCs w:val="20"/>
              </w:rPr>
              <w:t>, 2</w:t>
            </w:r>
          </w:p>
          <w:p w:rsidR="00BC3B15" w:rsidRDefault="00BC3B15" w:rsidP="00BC3B15">
            <w:pPr>
              <w:keepNext/>
              <w:ind w:left="-108"/>
              <w:jc w:val="both"/>
              <w:rPr>
                <w:rFonts w:ascii="Arial Narrow" w:hAnsi="Arial Narrow" w:cs="Arial"/>
                <w:sz w:val="20"/>
                <w:szCs w:val="20"/>
              </w:rPr>
            </w:pPr>
            <w:r>
              <w:rPr>
                <w:rFonts w:ascii="Arial Narrow" w:hAnsi="Arial Narrow" w:cs="Arial"/>
                <w:sz w:val="20"/>
                <w:szCs w:val="20"/>
              </w:rPr>
              <w:t xml:space="preserve">Transdermal patch </w:t>
            </w:r>
          </w:p>
          <w:p w:rsidR="00C233B9" w:rsidRDefault="00BC3B15" w:rsidP="00BC3B15">
            <w:pPr>
              <w:keepNext/>
              <w:ind w:left="-108"/>
              <w:jc w:val="both"/>
              <w:rPr>
                <w:rFonts w:ascii="Arial Narrow" w:hAnsi="Arial Narrow" w:cs="Arial"/>
                <w:sz w:val="20"/>
                <w:szCs w:val="20"/>
              </w:rPr>
            </w:pPr>
            <w:r>
              <w:rPr>
                <w:rFonts w:ascii="Arial Narrow" w:hAnsi="Arial Narrow" w:cs="Arial"/>
                <w:sz w:val="20"/>
                <w:szCs w:val="20"/>
              </w:rPr>
              <w:t xml:space="preserve">25 </w:t>
            </w:r>
            <w:r w:rsidRPr="00BC3B15">
              <w:rPr>
                <w:rFonts w:ascii="Arial Narrow" w:hAnsi="Arial Narrow" w:cs="Arial"/>
                <w:sz w:val="20"/>
                <w:szCs w:val="20"/>
              </w:rPr>
              <w:t>microgram/hour</w:t>
            </w:r>
            <w:r w:rsidR="00C233B9">
              <w:rPr>
                <w:rFonts w:ascii="Arial Narrow" w:hAnsi="Arial Narrow" w:cs="Arial"/>
                <w:sz w:val="20"/>
                <w:szCs w:val="20"/>
              </w:rPr>
              <w:t>, 2</w:t>
            </w:r>
          </w:p>
          <w:p w:rsidR="00BC3B15" w:rsidRDefault="00C233B9" w:rsidP="00C233B9">
            <w:pPr>
              <w:keepNext/>
              <w:ind w:left="-108"/>
              <w:jc w:val="both"/>
              <w:rPr>
                <w:rFonts w:ascii="Arial Narrow" w:hAnsi="Arial Narrow" w:cs="Arial"/>
                <w:sz w:val="20"/>
                <w:szCs w:val="20"/>
              </w:rPr>
            </w:pPr>
            <w:r>
              <w:rPr>
                <w:rFonts w:ascii="Arial Narrow" w:hAnsi="Arial Narrow" w:cs="Arial"/>
                <w:sz w:val="20"/>
                <w:szCs w:val="20"/>
              </w:rPr>
              <w:t xml:space="preserve">Transdermal patch </w:t>
            </w:r>
          </w:p>
          <w:p w:rsidR="00C233B9" w:rsidRDefault="00C233B9" w:rsidP="00C233B9">
            <w:pPr>
              <w:keepNext/>
              <w:ind w:left="-108"/>
              <w:jc w:val="both"/>
              <w:rPr>
                <w:rFonts w:ascii="Arial Narrow" w:hAnsi="Arial Narrow" w:cs="Arial"/>
                <w:sz w:val="20"/>
                <w:szCs w:val="20"/>
              </w:rPr>
            </w:pPr>
            <w:r>
              <w:rPr>
                <w:rFonts w:ascii="Arial Narrow" w:hAnsi="Arial Narrow" w:cs="Arial"/>
                <w:sz w:val="20"/>
                <w:szCs w:val="20"/>
              </w:rPr>
              <w:t>30</w:t>
            </w:r>
            <w:r w:rsidR="00BC3B15">
              <w:rPr>
                <w:rFonts w:ascii="Arial Narrow" w:hAnsi="Arial Narrow" w:cs="Arial"/>
                <w:sz w:val="20"/>
                <w:szCs w:val="20"/>
              </w:rPr>
              <w:t xml:space="preserve"> </w:t>
            </w:r>
            <w:r w:rsidR="00BC3B15" w:rsidRPr="00BC3B15">
              <w:rPr>
                <w:rFonts w:ascii="Arial Narrow" w:hAnsi="Arial Narrow" w:cs="Arial"/>
                <w:sz w:val="20"/>
                <w:szCs w:val="20"/>
              </w:rPr>
              <w:t>microgram/hour</w:t>
            </w:r>
            <w:r>
              <w:rPr>
                <w:rFonts w:ascii="Arial Narrow" w:hAnsi="Arial Narrow" w:cs="Arial"/>
                <w:sz w:val="20"/>
                <w:szCs w:val="20"/>
              </w:rPr>
              <w:t>, 2</w:t>
            </w:r>
          </w:p>
          <w:p w:rsidR="00BC3B15" w:rsidRDefault="00C233B9" w:rsidP="00C233B9">
            <w:pPr>
              <w:keepNext/>
              <w:ind w:left="-108"/>
              <w:jc w:val="both"/>
              <w:rPr>
                <w:rFonts w:ascii="Arial Narrow" w:hAnsi="Arial Narrow" w:cs="Arial"/>
                <w:sz w:val="20"/>
                <w:szCs w:val="20"/>
              </w:rPr>
            </w:pPr>
            <w:r>
              <w:rPr>
                <w:rFonts w:ascii="Arial Narrow" w:hAnsi="Arial Narrow" w:cs="Arial"/>
                <w:sz w:val="20"/>
                <w:szCs w:val="20"/>
              </w:rPr>
              <w:t xml:space="preserve">Transdermal patch </w:t>
            </w:r>
          </w:p>
          <w:p w:rsidR="00F9629A" w:rsidRPr="00260CE3" w:rsidRDefault="00BC3B15" w:rsidP="00BC3B15">
            <w:pPr>
              <w:keepNext/>
              <w:ind w:left="-108"/>
              <w:jc w:val="both"/>
              <w:rPr>
                <w:rFonts w:ascii="Arial Narrow" w:hAnsi="Arial Narrow" w:cs="Arial"/>
                <w:sz w:val="20"/>
                <w:szCs w:val="20"/>
              </w:rPr>
            </w:pPr>
            <w:r>
              <w:rPr>
                <w:rFonts w:ascii="Arial Narrow" w:hAnsi="Arial Narrow" w:cs="Arial"/>
                <w:sz w:val="20"/>
                <w:szCs w:val="20"/>
              </w:rPr>
              <w:t xml:space="preserve">40 </w:t>
            </w:r>
            <w:r w:rsidRPr="00BC3B15">
              <w:rPr>
                <w:rFonts w:ascii="Arial Narrow" w:hAnsi="Arial Narrow" w:cs="Arial"/>
                <w:sz w:val="20"/>
                <w:szCs w:val="20"/>
              </w:rPr>
              <w:t>microgram/hour</w:t>
            </w:r>
            <w:r w:rsidR="00C233B9">
              <w:rPr>
                <w:rFonts w:ascii="Arial Narrow" w:hAnsi="Arial Narrow" w:cs="Arial"/>
                <w:sz w:val="20"/>
                <w:szCs w:val="20"/>
              </w:rPr>
              <w:t>, 2</w:t>
            </w:r>
          </w:p>
        </w:tc>
        <w:tc>
          <w:tcPr>
            <w:tcW w:w="567" w:type="dxa"/>
          </w:tcPr>
          <w:p w:rsidR="00F9629A" w:rsidRPr="00260CE3" w:rsidRDefault="00F9629A" w:rsidP="00C27B58">
            <w:pPr>
              <w:keepNext/>
              <w:ind w:left="-108"/>
              <w:jc w:val="both"/>
              <w:rPr>
                <w:rFonts w:ascii="Arial Narrow" w:hAnsi="Arial Narrow" w:cs="Arial"/>
                <w:sz w:val="20"/>
                <w:szCs w:val="20"/>
              </w:rPr>
            </w:pPr>
          </w:p>
          <w:p w:rsidR="00F9629A" w:rsidRDefault="0015489F" w:rsidP="00C27B58">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C27B58">
            <w:pPr>
              <w:keepNext/>
              <w:ind w:left="-108"/>
              <w:jc w:val="both"/>
              <w:rPr>
                <w:rFonts w:ascii="Arial Narrow" w:hAnsi="Arial Narrow" w:cs="Arial"/>
                <w:sz w:val="20"/>
                <w:szCs w:val="20"/>
              </w:rPr>
            </w:pPr>
          </w:p>
          <w:p w:rsidR="0040073E" w:rsidRDefault="0015489F" w:rsidP="00C27B58">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C27B58">
            <w:pPr>
              <w:keepNext/>
              <w:ind w:left="-108"/>
              <w:jc w:val="both"/>
              <w:rPr>
                <w:rFonts w:ascii="Arial Narrow" w:hAnsi="Arial Narrow" w:cs="Arial"/>
                <w:sz w:val="20"/>
                <w:szCs w:val="20"/>
              </w:rPr>
            </w:pPr>
          </w:p>
          <w:p w:rsidR="0040073E" w:rsidRDefault="0015489F" w:rsidP="00C27B58">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C27B58">
            <w:pPr>
              <w:keepNext/>
              <w:ind w:left="-108"/>
              <w:jc w:val="both"/>
              <w:rPr>
                <w:rFonts w:ascii="Arial Narrow" w:hAnsi="Arial Narrow" w:cs="Arial"/>
                <w:sz w:val="20"/>
                <w:szCs w:val="20"/>
              </w:rPr>
            </w:pPr>
          </w:p>
          <w:p w:rsidR="0040073E" w:rsidRDefault="0015489F" w:rsidP="00C27B58">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C27B58">
            <w:pPr>
              <w:keepNext/>
              <w:ind w:left="-108"/>
              <w:jc w:val="both"/>
              <w:rPr>
                <w:rFonts w:ascii="Arial Narrow" w:hAnsi="Arial Narrow" w:cs="Arial"/>
                <w:sz w:val="20"/>
                <w:szCs w:val="20"/>
              </w:rPr>
            </w:pPr>
          </w:p>
          <w:p w:rsidR="0040073E" w:rsidRDefault="0040073E" w:rsidP="00C27B58">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C27B58">
            <w:pPr>
              <w:keepNext/>
              <w:ind w:left="-108"/>
              <w:jc w:val="both"/>
              <w:rPr>
                <w:rFonts w:ascii="Arial Narrow" w:hAnsi="Arial Narrow" w:cs="Arial"/>
                <w:sz w:val="20"/>
                <w:szCs w:val="20"/>
              </w:rPr>
            </w:pPr>
          </w:p>
          <w:p w:rsidR="0040073E" w:rsidRDefault="0040073E" w:rsidP="00C27B58">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C27B58">
            <w:pPr>
              <w:keepNext/>
              <w:ind w:left="-108"/>
              <w:jc w:val="both"/>
              <w:rPr>
                <w:rFonts w:ascii="Arial Narrow" w:hAnsi="Arial Narrow" w:cs="Arial"/>
                <w:sz w:val="20"/>
                <w:szCs w:val="20"/>
              </w:rPr>
            </w:pPr>
          </w:p>
          <w:p w:rsidR="0040073E" w:rsidRPr="00260CE3" w:rsidRDefault="0040073E" w:rsidP="00C27B58">
            <w:pPr>
              <w:keepNext/>
              <w:ind w:left="-108"/>
              <w:jc w:val="both"/>
              <w:rPr>
                <w:rFonts w:ascii="Arial Narrow" w:hAnsi="Arial Narrow" w:cs="Arial"/>
                <w:sz w:val="20"/>
                <w:szCs w:val="20"/>
              </w:rPr>
            </w:pPr>
            <w:r>
              <w:rPr>
                <w:rFonts w:ascii="Arial Narrow" w:hAnsi="Arial Narrow" w:cs="Arial"/>
                <w:sz w:val="20"/>
                <w:szCs w:val="20"/>
              </w:rPr>
              <w:t>2</w:t>
            </w:r>
          </w:p>
        </w:tc>
        <w:tc>
          <w:tcPr>
            <w:tcW w:w="850" w:type="dxa"/>
          </w:tcPr>
          <w:p w:rsidR="00F9629A" w:rsidRPr="00260CE3" w:rsidRDefault="00F9629A" w:rsidP="00C27B58">
            <w:pPr>
              <w:keepNext/>
              <w:ind w:left="-108"/>
              <w:jc w:val="both"/>
              <w:rPr>
                <w:rFonts w:ascii="Arial Narrow" w:hAnsi="Arial Narrow" w:cs="Arial"/>
                <w:sz w:val="20"/>
                <w:szCs w:val="20"/>
              </w:rPr>
            </w:pPr>
          </w:p>
          <w:p w:rsidR="00F9629A" w:rsidRDefault="001358CE" w:rsidP="00C27B58">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C27B58">
            <w:pPr>
              <w:keepNext/>
              <w:ind w:left="-108"/>
              <w:jc w:val="both"/>
              <w:rPr>
                <w:rFonts w:ascii="Arial Narrow" w:hAnsi="Arial Narrow" w:cs="Arial"/>
                <w:sz w:val="20"/>
                <w:szCs w:val="20"/>
              </w:rPr>
            </w:pPr>
          </w:p>
          <w:p w:rsidR="0040073E" w:rsidRDefault="0040073E" w:rsidP="00C27B58">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C27B58">
            <w:pPr>
              <w:keepNext/>
              <w:ind w:left="-108"/>
              <w:jc w:val="both"/>
              <w:rPr>
                <w:rFonts w:ascii="Arial Narrow" w:hAnsi="Arial Narrow" w:cs="Arial"/>
                <w:sz w:val="20"/>
                <w:szCs w:val="20"/>
              </w:rPr>
            </w:pPr>
          </w:p>
          <w:p w:rsidR="0040073E" w:rsidRDefault="0040073E" w:rsidP="00C27B58">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C27B58">
            <w:pPr>
              <w:keepNext/>
              <w:ind w:left="-108"/>
              <w:jc w:val="both"/>
              <w:rPr>
                <w:rFonts w:ascii="Arial Narrow" w:hAnsi="Arial Narrow" w:cs="Arial"/>
                <w:sz w:val="20"/>
                <w:szCs w:val="20"/>
              </w:rPr>
            </w:pPr>
          </w:p>
          <w:p w:rsidR="0040073E" w:rsidRDefault="0040073E" w:rsidP="00C27B58">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C27B58">
            <w:pPr>
              <w:keepNext/>
              <w:ind w:left="-108"/>
              <w:jc w:val="both"/>
              <w:rPr>
                <w:rFonts w:ascii="Arial Narrow" w:hAnsi="Arial Narrow" w:cs="Arial"/>
                <w:sz w:val="20"/>
                <w:szCs w:val="20"/>
              </w:rPr>
            </w:pPr>
          </w:p>
          <w:p w:rsidR="0040073E" w:rsidRDefault="0040073E" w:rsidP="00C27B58">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C27B58">
            <w:pPr>
              <w:keepNext/>
              <w:ind w:left="-108"/>
              <w:jc w:val="both"/>
              <w:rPr>
                <w:rFonts w:ascii="Arial Narrow" w:hAnsi="Arial Narrow" w:cs="Arial"/>
                <w:sz w:val="20"/>
                <w:szCs w:val="20"/>
              </w:rPr>
            </w:pPr>
          </w:p>
          <w:p w:rsidR="0040073E" w:rsidRDefault="0040073E" w:rsidP="00C27B58">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40073E">
            <w:pPr>
              <w:keepNext/>
              <w:ind w:left="-108"/>
              <w:jc w:val="both"/>
              <w:rPr>
                <w:rFonts w:ascii="Arial Narrow" w:hAnsi="Arial Narrow" w:cs="Arial"/>
                <w:sz w:val="20"/>
                <w:szCs w:val="20"/>
              </w:rPr>
            </w:pPr>
          </w:p>
          <w:p w:rsidR="0040073E" w:rsidRPr="00260CE3" w:rsidRDefault="0040073E" w:rsidP="0040073E">
            <w:pPr>
              <w:keepNext/>
              <w:ind w:left="-108"/>
              <w:jc w:val="both"/>
              <w:rPr>
                <w:rFonts w:ascii="Arial Narrow" w:hAnsi="Arial Narrow" w:cs="Arial"/>
                <w:sz w:val="20"/>
                <w:szCs w:val="20"/>
              </w:rPr>
            </w:pPr>
            <w:r>
              <w:rPr>
                <w:rFonts w:ascii="Arial Narrow" w:hAnsi="Arial Narrow" w:cs="Arial"/>
                <w:sz w:val="20"/>
                <w:szCs w:val="20"/>
              </w:rPr>
              <w:t>2</w:t>
            </w:r>
          </w:p>
        </w:tc>
        <w:tc>
          <w:tcPr>
            <w:tcW w:w="1701" w:type="dxa"/>
          </w:tcPr>
          <w:p w:rsidR="00F9629A" w:rsidRPr="00260CE3" w:rsidRDefault="00F9629A" w:rsidP="00C27B58">
            <w:pPr>
              <w:keepNext/>
              <w:ind w:left="-108"/>
              <w:jc w:val="both"/>
              <w:rPr>
                <w:rFonts w:ascii="Arial Narrow" w:hAnsi="Arial Narrow" w:cs="Arial"/>
                <w:sz w:val="20"/>
                <w:szCs w:val="20"/>
              </w:rPr>
            </w:pPr>
          </w:p>
          <w:p w:rsidR="00F9629A" w:rsidRPr="00104761" w:rsidRDefault="00F9629A" w:rsidP="00C27B58">
            <w:pPr>
              <w:keepNext/>
              <w:ind w:left="-108"/>
              <w:jc w:val="both"/>
              <w:rPr>
                <w:rFonts w:ascii="Arial Narrow" w:hAnsi="Arial Narrow" w:cs="Arial"/>
                <w:sz w:val="20"/>
                <w:szCs w:val="20"/>
              </w:rPr>
            </w:pPr>
            <w:r w:rsidRPr="00104761">
              <w:rPr>
                <w:rFonts w:ascii="Arial Narrow" w:hAnsi="Arial Narrow" w:cs="Arial"/>
                <w:sz w:val="20"/>
                <w:szCs w:val="20"/>
              </w:rPr>
              <w:t>$</w:t>
            </w:r>
            <w:r w:rsidR="0040073E" w:rsidRPr="00104761">
              <w:rPr>
                <w:rFonts w:ascii="Arial Narrow" w:hAnsi="Arial Narrow" w:cs="Arial"/>
                <w:sz w:val="20"/>
                <w:szCs w:val="20"/>
              </w:rPr>
              <w:t>42.36</w:t>
            </w:r>
          </w:p>
          <w:p w:rsidR="00BC3B15" w:rsidRDefault="00BC3B15" w:rsidP="00C27B58">
            <w:pPr>
              <w:keepNext/>
              <w:ind w:left="-108"/>
              <w:jc w:val="both"/>
              <w:rPr>
                <w:rFonts w:ascii="Arial Narrow" w:hAnsi="Arial Narrow" w:cs="Arial"/>
                <w:sz w:val="20"/>
                <w:szCs w:val="20"/>
              </w:rPr>
            </w:pPr>
          </w:p>
          <w:p w:rsidR="0040073E" w:rsidRPr="00104761" w:rsidRDefault="0040073E" w:rsidP="00C27B58">
            <w:pPr>
              <w:keepNext/>
              <w:ind w:left="-108"/>
              <w:jc w:val="both"/>
              <w:rPr>
                <w:rFonts w:ascii="Arial Narrow" w:hAnsi="Arial Narrow" w:cs="Arial"/>
                <w:sz w:val="20"/>
                <w:szCs w:val="20"/>
              </w:rPr>
            </w:pPr>
            <w:r w:rsidRPr="00104761">
              <w:rPr>
                <w:rFonts w:ascii="Arial Narrow" w:hAnsi="Arial Narrow" w:cs="Arial"/>
                <w:sz w:val="20"/>
                <w:szCs w:val="20"/>
              </w:rPr>
              <w:t>$65.61</w:t>
            </w:r>
          </w:p>
          <w:p w:rsidR="00BC3B15" w:rsidRDefault="00BC3B15" w:rsidP="00C27B58">
            <w:pPr>
              <w:keepNext/>
              <w:ind w:left="-108"/>
              <w:jc w:val="both"/>
              <w:rPr>
                <w:rFonts w:ascii="Arial Narrow" w:hAnsi="Arial Narrow" w:cs="Arial"/>
                <w:sz w:val="20"/>
                <w:szCs w:val="20"/>
              </w:rPr>
            </w:pPr>
          </w:p>
          <w:p w:rsidR="0040073E" w:rsidRPr="00104761" w:rsidRDefault="0040073E" w:rsidP="00C27B58">
            <w:pPr>
              <w:keepNext/>
              <w:ind w:left="-108"/>
              <w:jc w:val="both"/>
              <w:rPr>
                <w:rFonts w:ascii="Arial Narrow" w:hAnsi="Arial Narrow" w:cs="Arial"/>
                <w:sz w:val="20"/>
                <w:szCs w:val="20"/>
              </w:rPr>
            </w:pPr>
            <w:r w:rsidRPr="00104761">
              <w:rPr>
                <w:rFonts w:ascii="Arial Narrow" w:hAnsi="Arial Narrow" w:cs="Arial"/>
                <w:sz w:val="20"/>
                <w:szCs w:val="20"/>
              </w:rPr>
              <w:t>$79.80</w:t>
            </w:r>
          </w:p>
          <w:p w:rsidR="00BC3B15" w:rsidRDefault="00BC3B15" w:rsidP="00C27B58">
            <w:pPr>
              <w:keepNext/>
              <w:ind w:left="-108"/>
              <w:jc w:val="both"/>
              <w:rPr>
                <w:rFonts w:ascii="Arial Narrow" w:hAnsi="Arial Narrow" w:cs="Arial"/>
                <w:sz w:val="20"/>
                <w:szCs w:val="20"/>
              </w:rPr>
            </w:pPr>
          </w:p>
          <w:p w:rsidR="0040073E" w:rsidRPr="00104761" w:rsidRDefault="0040073E" w:rsidP="00C27B58">
            <w:pPr>
              <w:keepNext/>
              <w:ind w:left="-108"/>
              <w:jc w:val="both"/>
              <w:rPr>
                <w:rFonts w:ascii="Arial Narrow" w:hAnsi="Arial Narrow" w:cs="Arial"/>
                <w:sz w:val="20"/>
                <w:szCs w:val="20"/>
              </w:rPr>
            </w:pPr>
            <w:r w:rsidRPr="00104761">
              <w:rPr>
                <w:rFonts w:ascii="Arial Narrow" w:hAnsi="Arial Narrow" w:cs="Arial"/>
                <w:sz w:val="20"/>
                <w:szCs w:val="20"/>
              </w:rPr>
              <w:t>$93.99</w:t>
            </w:r>
          </w:p>
          <w:p w:rsidR="00BC3B15" w:rsidRDefault="00BC3B15" w:rsidP="00C27B58">
            <w:pPr>
              <w:keepNext/>
              <w:ind w:left="-108"/>
              <w:jc w:val="both"/>
              <w:rPr>
                <w:rFonts w:ascii="Arial Narrow" w:hAnsi="Arial Narrow" w:cs="Arial"/>
                <w:sz w:val="20"/>
                <w:szCs w:val="20"/>
              </w:rPr>
            </w:pPr>
          </w:p>
          <w:p w:rsidR="0040073E" w:rsidRPr="00104761" w:rsidRDefault="0040073E" w:rsidP="00C27B58">
            <w:pPr>
              <w:keepNext/>
              <w:ind w:left="-108"/>
              <w:jc w:val="both"/>
              <w:rPr>
                <w:rFonts w:ascii="Arial Narrow" w:hAnsi="Arial Narrow" w:cs="Arial"/>
                <w:sz w:val="20"/>
                <w:szCs w:val="20"/>
              </w:rPr>
            </w:pPr>
            <w:r w:rsidRPr="00104761">
              <w:rPr>
                <w:rFonts w:ascii="Arial Narrow" w:hAnsi="Arial Narrow" w:cs="Arial"/>
                <w:sz w:val="20"/>
                <w:szCs w:val="20"/>
              </w:rPr>
              <w:t>$107.43</w:t>
            </w:r>
          </w:p>
          <w:p w:rsidR="00BC3B15" w:rsidRDefault="00BC3B15" w:rsidP="00C27B58">
            <w:pPr>
              <w:keepNext/>
              <w:ind w:left="-108"/>
              <w:jc w:val="both"/>
              <w:rPr>
                <w:rFonts w:ascii="Arial Narrow" w:hAnsi="Arial Narrow" w:cs="Arial"/>
                <w:sz w:val="20"/>
                <w:szCs w:val="20"/>
              </w:rPr>
            </w:pPr>
          </w:p>
          <w:p w:rsidR="0040073E" w:rsidRPr="00104761" w:rsidRDefault="0040073E" w:rsidP="00C27B58">
            <w:pPr>
              <w:keepNext/>
              <w:ind w:left="-108"/>
              <w:jc w:val="both"/>
              <w:rPr>
                <w:rFonts w:ascii="Arial Narrow" w:hAnsi="Arial Narrow" w:cs="Arial"/>
                <w:sz w:val="20"/>
                <w:szCs w:val="20"/>
              </w:rPr>
            </w:pPr>
            <w:r w:rsidRPr="00104761">
              <w:rPr>
                <w:rFonts w:ascii="Arial Narrow" w:hAnsi="Arial Narrow" w:cs="Arial"/>
                <w:sz w:val="20"/>
                <w:szCs w:val="20"/>
              </w:rPr>
              <w:t>$120.87</w:t>
            </w:r>
          </w:p>
          <w:p w:rsidR="00BC3B15" w:rsidRDefault="00BC3B15" w:rsidP="00C27B58">
            <w:pPr>
              <w:keepNext/>
              <w:ind w:left="-108"/>
              <w:jc w:val="both"/>
              <w:rPr>
                <w:rFonts w:ascii="Arial Narrow" w:hAnsi="Arial Narrow" w:cs="Arial"/>
                <w:sz w:val="20"/>
                <w:szCs w:val="20"/>
              </w:rPr>
            </w:pPr>
          </w:p>
          <w:p w:rsidR="0040073E" w:rsidRPr="00260CE3" w:rsidRDefault="0040073E" w:rsidP="00C27B58">
            <w:pPr>
              <w:keepNext/>
              <w:ind w:left="-108"/>
              <w:jc w:val="both"/>
              <w:rPr>
                <w:rFonts w:ascii="Arial Narrow" w:hAnsi="Arial Narrow" w:cs="Arial"/>
                <w:sz w:val="20"/>
                <w:szCs w:val="20"/>
              </w:rPr>
            </w:pPr>
            <w:r w:rsidRPr="00104761">
              <w:rPr>
                <w:rFonts w:ascii="Arial Narrow" w:hAnsi="Arial Narrow" w:cs="Arial"/>
                <w:sz w:val="20"/>
                <w:szCs w:val="20"/>
              </w:rPr>
              <w:t>$147.75</w:t>
            </w:r>
          </w:p>
        </w:tc>
        <w:tc>
          <w:tcPr>
            <w:tcW w:w="1418" w:type="dxa"/>
          </w:tcPr>
          <w:p w:rsidR="00F9629A" w:rsidRPr="0040073E" w:rsidRDefault="0040073E" w:rsidP="00C27B58">
            <w:pPr>
              <w:keepNext/>
              <w:jc w:val="both"/>
              <w:rPr>
                <w:rFonts w:ascii="Arial Narrow" w:hAnsi="Arial Narrow" w:cs="Arial"/>
                <w:sz w:val="20"/>
                <w:szCs w:val="20"/>
              </w:rPr>
            </w:pPr>
            <w:proofErr w:type="spellStart"/>
            <w:r>
              <w:rPr>
                <w:rFonts w:ascii="Arial Narrow" w:hAnsi="Arial Narrow" w:cs="Arial"/>
                <w:sz w:val="20"/>
                <w:szCs w:val="20"/>
              </w:rPr>
              <w:t>Norspan</w:t>
            </w:r>
            <w:proofErr w:type="spellEnd"/>
            <w:r>
              <w:rPr>
                <w:rFonts w:ascii="Arial Narrow" w:hAnsi="Arial Narrow" w:cs="Arial"/>
                <w:sz w:val="20"/>
                <w:szCs w:val="20"/>
                <w:vertAlign w:val="superscript"/>
              </w:rPr>
              <w:t>®</w:t>
            </w:r>
          </w:p>
        </w:tc>
        <w:tc>
          <w:tcPr>
            <w:tcW w:w="1275" w:type="dxa"/>
          </w:tcPr>
          <w:p w:rsidR="00F9629A" w:rsidRPr="00260CE3" w:rsidRDefault="0040073E" w:rsidP="0040073E">
            <w:pPr>
              <w:keepNext/>
              <w:jc w:val="both"/>
              <w:rPr>
                <w:rFonts w:ascii="Arial Narrow" w:hAnsi="Arial Narrow" w:cs="Arial"/>
                <w:sz w:val="20"/>
                <w:szCs w:val="20"/>
              </w:rPr>
            </w:pPr>
            <w:proofErr w:type="spellStart"/>
            <w:r>
              <w:rPr>
                <w:rFonts w:ascii="Arial Narrow" w:hAnsi="Arial Narrow" w:cs="Arial"/>
                <w:sz w:val="20"/>
                <w:szCs w:val="20"/>
              </w:rPr>
              <w:t>Mundipharma</w:t>
            </w:r>
            <w:proofErr w:type="spellEnd"/>
            <w:r>
              <w:rPr>
                <w:rFonts w:ascii="Arial Narrow" w:hAnsi="Arial Narrow" w:cs="Arial"/>
                <w:sz w:val="20"/>
                <w:szCs w:val="20"/>
              </w:rPr>
              <w:t xml:space="preserve"> Pty Ltd</w:t>
            </w:r>
          </w:p>
        </w:tc>
      </w:tr>
      <w:tr w:rsidR="00F9629A" w:rsidRPr="00260CE3" w:rsidTr="00D84934">
        <w:trPr>
          <w:cantSplit/>
          <w:trHeight w:val="360"/>
        </w:trPr>
        <w:tc>
          <w:tcPr>
            <w:tcW w:w="8363" w:type="dxa"/>
            <w:gridSpan w:val="7"/>
            <w:tcBorders>
              <w:bottom w:val="single" w:sz="4" w:space="0" w:color="auto"/>
            </w:tcBorders>
          </w:tcPr>
          <w:p w:rsidR="00F9629A" w:rsidRPr="00260CE3" w:rsidRDefault="00F9629A" w:rsidP="00C27B58">
            <w:pPr>
              <w:jc w:val="both"/>
              <w:rPr>
                <w:rFonts w:ascii="Arial Narrow" w:hAnsi="Arial Narrow" w:cs="Arial"/>
                <w:sz w:val="20"/>
                <w:szCs w:val="20"/>
              </w:rPr>
            </w:pPr>
          </w:p>
        </w:tc>
      </w:tr>
      <w:tr w:rsidR="00F9629A" w:rsidRPr="00260CE3" w:rsidTr="00D8493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9629A" w:rsidRPr="00260CE3" w:rsidRDefault="00F9629A"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F9629A" w:rsidRPr="00260CE3" w:rsidRDefault="00F9629A"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5953" w:type="dxa"/>
            <w:gridSpan w:val="6"/>
            <w:tcBorders>
              <w:top w:val="single" w:sz="4" w:space="0" w:color="auto"/>
              <w:left w:val="single" w:sz="4" w:space="0" w:color="auto"/>
              <w:bottom w:val="single" w:sz="4" w:space="0" w:color="auto"/>
              <w:right w:val="single" w:sz="4" w:space="0" w:color="auto"/>
            </w:tcBorders>
          </w:tcPr>
          <w:p w:rsidR="00F9629A" w:rsidRPr="00260CE3" w:rsidRDefault="00F9629A" w:rsidP="00C27B58">
            <w:pPr>
              <w:rPr>
                <w:rFonts w:ascii="Arial Narrow" w:hAnsi="Arial Narrow" w:cs="Arial"/>
                <w:sz w:val="20"/>
                <w:szCs w:val="20"/>
              </w:rPr>
            </w:pPr>
            <w:r w:rsidRPr="00260CE3">
              <w:rPr>
                <w:rFonts w:ascii="Arial Narrow" w:hAnsi="Arial Narrow" w:cs="Arial"/>
                <w:sz w:val="20"/>
                <w:szCs w:val="20"/>
              </w:rPr>
              <w:t>GENERAL – General Schedule Palliative Care (Code PL)</w:t>
            </w:r>
          </w:p>
          <w:p w:rsidR="00F9629A" w:rsidRPr="00260CE3" w:rsidRDefault="00F9629A" w:rsidP="00C27B58">
            <w:pPr>
              <w:rPr>
                <w:rFonts w:ascii="Arial Narrow" w:hAnsi="Arial Narrow" w:cs="Arial"/>
                <w:sz w:val="20"/>
                <w:szCs w:val="20"/>
              </w:rPr>
            </w:pPr>
          </w:p>
        </w:tc>
      </w:tr>
      <w:tr w:rsidR="00F9629A" w:rsidRPr="00260CE3" w:rsidTr="00D8493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9629A" w:rsidRPr="00260CE3" w:rsidRDefault="00F9629A"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5953" w:type="dxa"/>
            <w:gridSpan w:val="6"/>
            <w:tcBorders>
              <w:top w:val="single" w:sz="4" w:space="0" w:color="auto"/>
              <w:left w:val="single" w:sz="4" w:space="0" w:color="auto"/>
              <w:bottom w:val="single" w:sz="4" w:space="0" w:color="auto"/>
              <w:right w:val="single" w:sz="4" w:space="0" w:color="auto"/>
            </w:tcBorders>
          </w:tcPr>
          <w:p w:rsidR="00F9629A" w:rsidRPr="00260CE3" w:rsidRDefault="00F9629A"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1358CE">
              <w:rPr>
                <w:rFonts w:ascii="Arial Narrow" w:hAnsi="Arial Narrow" w:cs="Arial"/>
                <w:sz w:val="20"/>
                <w:szCs w:val="20"/>
              </w:rPr>
              <w:fldChar w:fldCharType="begin">
                <w:ffData>
                  <w:name w:val=""/>
                  <w:enabled/>
                  <w:calcOnExit w:val="0"/>
                  <w:checkBox>
                    <w:sizeAuto/>
                    <w:default w:val="1"/>
                  </w:checkBox>
                </w:ffData>
              </w:fldChar>
            </w:r>
            <w:r w:rsidR="001358CE">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sidR="001358CE">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1358CE">
              <w:rPr>
                <w:rFonts w:ascii="Arial Narrow" w:hAnsi="Arial Narrow" w:cs="Arial"/>
                <w:sz w:val="20"/>
                <w:szCs w:val="20"/>
              </w:rPr>
              <w:fldChar w:fldCharType="begin">
                <w:ffData>
                  <w:name w:val=""/>
                  <w:enabled/>
                  <w:calcOnExit w:val="0"/>
                  <w:checkBox>
                    <w:sizeAuto/>
                    <w:default w:val="1"/>
                  </w:checkBox>
                </w:ffData>
              </w:fldChar>
            </w:r>
            <w:r w:rsidR="001358CE">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sidR="001358CE">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F9629A" w:rsidRPr="00260CE3" w:rsidRDefault="00F9629A"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F9629A" w:rsidRPr="00260CE3" w:rsidTr="00D8493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9629A" w:rsidRPr="00260CE3" w:rsidRDefault="00F9629A" w:rsidP="00C27B58">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5953" w:type="dxa"/>
            <w:gridSpan w:val="6"/>
            <w:tcBorders>
              <w:top w:val="single" w:sz="4" w:space="0" w:color="auto"/>
              <w:left w:val="single" w:sz="4" w:space="0" w:color="auto"/>
              <w:bottom w:val="single" w:sz="4" w:space="0" w:color="auto"/>
              <w:right w:val="single" w:sz="4" w:space="0" w:color="auto"/>
            </w:tcBorders>
          </w:tcPr>
          <w:p w:rsidR="00F9629A" w:rsidRPr="0040073E" w:rsidRDefault="001358CE" w:rsidP="00C27B58">
            <w:pPr>
              <w:rPr>
                <w:rFonts w:ascii="Arial Narrow" w:hAnsi="Arial Narrow" w:cs="Arial"/>
                <w:sz w:val="20"/>
                <w:szCs w:val="20"/>
              </w:rPr>
            </w:pPr>
            <w:r w:rsidRPr="0040073E">
              <w:rPr>
                <w:rFonts w:ascii="Arial Narrow" w:hAnsi="Arial Narrow" w:cs="Arial"/>
                <w:sz w:val="20"/>
                <w:szCs w:val="20"/>
              </w:rPr>
              <w:t>Chronic</w:t>
            </w:r>
          </w:p>
        </w:tc>
      </w:tr>
      <w:tr w:rsidR="00F9629A" w:rsidRPr="00260CE3" w:rsidTr="00D8493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9629A" w:rsidRPr="00260CE3" w:rsidRDefault="00F9629A" w:rsidP="00C27B58">
            <w:pPr>
              <w:jc w:val="both"/>
              <w:rPr>
                <w:rFonts w:ascii="Arial Narrow" w:hAnsi="Arial Narrow" w:cs="Arial"/>
                <w:b/>
                <w:sz w:val="20"/>
                <w:szCs w:val="20"/>
              </w:rPr>
            </w:pPr>
            <w:r w:rsidRPr="00260CE3">
              <w:rPr>
                <w:rFonts w:ascii="Arial Narrow" w:hAnsi="Arial Narrow" w:cs="Arial"/>
                <w:b/>
                <w:sz w:val="20"/>
                <w:szCs w:val="20"/>
              </w:rPr>
              <w:lastRenderedPageBreak/>
              <w:t>Severity:</w:t>
            </w:r>
          </w:p>
        </w:tc>
        <w:tc>
          <w:tcPr>
            <w:tcW w:w="5953" w:type="dxa"/>
            <w:gridSpan w:val="6"/>
            <w:tcBorders>
              <w:top w:val="single" w:sz="4" w:space="0" w:color="auto"/>
              <w:left w:val="single" w:sz="4" w:space="0" w:color="auto"/>
              <w:bottom w:val="single" w:sz="4" w:space="0" w:color="auto"/>
              <w:right w:val="single" w:sz="4" w:space="0" w:color="auto"/>
            </w:tcBorders>
          </w:tcPr>
          <w:p w:rsidR="00F9629A" w:rsidRPr="00260CE3" w:rsidRDefault="001358CE" w:rsidP="00C27B58">
            <w:pPr>
              <w:rPr>
                <w:rFonts w:ascii="Arial Narrow" w:hAnsi="Arial Narrow" w:cs="Arial"/>
                <w:sz w:val="20"/>
                <w:szCs w:val="20"/>
              </w:rPr>
            </w:pPr>
            <w:r>
              <w:rPr>
                <w:rFonts w:ascii="Arial Narrow" w:hAnsi="Arial Narrow" w:cs="Arial"/>
                <w:sz w:val="20"/>
                <w:szCs w:val="20"/>
              </w:rPr>
              <w:t>Severe</w:t>
            </w:r>
          </w:p>
        </w:tc>
      </w:tr>
      <w:tr w:rsidR="00F9629A" w:rsidRPr="00260CE3" w:rsidTr="00D8493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9629A" w:rsidRPr="00260CE3" w:rsidRDefault="00F9629A"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5953" w:type="dxa"/>
            <w:gridSpan w:val="6"/>
            <w:tcBorders>
              <w:top w:val="single" w:sz="4" w:space="0" w:color="auto"/>
              <w:left w:val="single" w:sz="4" w:space="0" w:color="auto"/>
              <w:bottom w:val="single" w:sz="4" w:space="0" w:color="auto"/>
              <w:right w:val="single" w:sz="4" w:space="0" w:color="auto"/>
            </w:tcBorders>
          </w:tcPr>
          <w:p w:rsidR="00F9629A" w:rsidRPr="00260CE3" w:rsidRDefault="001358CE" w:rsidP="00C27B58">
            <w:pPr>
              <w:rPr>
                <w:rFonts w:ascii="Arial Narrow" w:hAnsi="Arial Narrow" w:cs="Arial"/>
                <w:sz w:val="20"/>
                <w:szCs w:val="20"/>
              </w:rPr>
            </w:pPr>
            <w:r>
              <w:rPr>
                <w:rFonts w:ascii="Arial Narrow" w:hAnsi="Arial Narrow" w:cs="Arial"/>
                <w:sz w:val="20"/>
                <w:szCs w:val="20"/>
              </w:rPr>
              <w:t>disabling pain</w:t>
            </w:r>
          </w:p>
        </w:tc>
      </w:tr>
      <w:tr w:rsidR="00F9629A" w:rsidRPr="00260CE3" w:rsidTr="00D8493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9629A" w:rsidRPr="00260CE3" w:rsidRDefault="00F9629A"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F9629A" w:rsidRPr="00260CE3" w:rsidRDefault="00F9629A" w:rsidP="00C27B58">
            <w:pPr>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F9629A" w:rsidRPr="00106BCF" w:rsidRDefault="00F9629A" w:rsidP="00C27B58">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F9629A" w:rsidRPr="00106BCF" w:rsidRDefault="002A39C6" w:rsidP="00C27B5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Pr>
                <w:rFonts w:ascii="Arial Narrow" w:hAnsi="Arial Narrow" w:cs="Arial"/>
                <w:sz w:val="20"/>
                <w:szCs w:val="20"/>
              </w:rPr>
              <w:fldChar w:fldCharType="end"/>
            </w:r>
            <w:r w:rsidR="00F9629A" w:rsidRPr="00106BCF">
              <w:rPr>
                <w:rFonts w:ascii="Arial Narrow" w:hAnsi="Arial Narrow" w:cs="Arial"/>
                <w:sz w:val="20"/>
                <w:szCs w:val="20"/>
              </w:rPr>
              <w:t>Authority Required - In Writing</w:t>
            </w:r>
          </w:p>
          <w:p w:rsidR="00F9629A" w:rsidRPr="00106BCF" w:rsidRDefault="002A39C6" w:rsidP="00C27B58">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Pr>
                <w:rFonts w:ascii="Arial Narrow" w:hAnsi="Arial Narrow" w:cs="Arial"/>
                <w:sz w:val="20"/>
                <w:szCs w:val="20"/>
              </w:rPr>
              <w:fldChar w:fldCharType="end"/>
            </w:r>
            <w:bookmarkEnd w:id="1"/>
            <w:r w:rsidR="00F9629A" w:rsidRPr="00106BCF">
              <w:rPr>
                <w:rFonts w:ascii="Arial Narrow" w:hAnsi="Arial Narrow" w:cs="Arial"/>
                <w:sz w:val="20"/>
                <w:szCs w:val="20"/>
              </w:rPr>
              <w:t>Authority Required - Telephone</w:t>
            </w:r>
          </w:p>
          <w:p w:rsidR="00F9629A" w:rsidRPr="00106BCF" w:rsidRDefault="002A39C6" w:rsidP="00C27B5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Pr>
                <w:rFonts w:ascii="Arial Narrow" w:hAnsi="Arial Narrow" w:cs="Arial"/>
                <w:sz w:val="20"/>
                <w:szCs w:val="20"/>
              </w:rPr>
              <w:fldChar w:fldCharType="end"/>
            </w:r>
            <w:r w:rsidR="00F9629A" w:rsidRPr="00106BCF">
              <w:rPr>
                <w:rFonts w:ascii="Arial Narrow" w:hAnsi="Arial Narrow" w:cs="Arial"/>
                <w:sz w:val="20"/>
                <w:szCs w:val="20"/>
              </w:rPr>
              <w:t>Authority Required – Emergency</w:t>
            </w:r>
          </w:p>
          <w:p w:rsidR="00F9629A" w:rsidRPr="00106BCF" w:rsidRDefault="002A39C6" w:rsidP="00C27B5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2" w:name="Check5"/>
            <w:r>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Pr>
                <w:rFonts w:ascii="Arial Narrow" w:hAnsi="Arial Narrow" w:cs="Arial"/>
                <w:sz w:val="20"/>
                <w:szCs w:val="20"/>
              </w:rPr>
              <w:fldChar w:fldCharType="end"/>
            </w:r>
            <w:bookmarkEnd w:id="2"/>
            <w:r w:rsidR="00F9629A" w:rsidRPr="00106BCF">
              <w:rPr>
                <w:rFonts w:ascii="Arial Narrow" w:hAnsi="Arial Narrow" w:cs="Arial"/>
                <w:sz w:val="20"/>
                <w:szCs w:val="20"/>
              </w:rPr>
              <w:t>Authority Required - Electronic</w:t>
            </w:r>
          </w:p>
          <w:p w:rsidR="00F9629A" w:rsidRPr="00260CE3" w:rsidRDefault="002A39C6" w:rsidP="00C27B5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Pr>
                <w:rFonts w:ascii="Arial Narrow" w:hAnsi="Arial Narrow" w:cs="Arial"/>
                <w:sz w:val="20"/>
                <w:szCs w:val="20"/>
              </w:rPr>
              <w:fldChar w:fldCharType="end"/>
            </w:r>
            <w:r w:rsidR="00F9629A" w:rsidRPr="00106BCF">
              <w:rPr>
                <w:rFonts w:ascii="Arial Narrow" w:hAnsi="Arial Narrow" w:cs="Arial"/>
                <w:sz w:val="20"/>
                <w:szCs w:val="20"/>
              </w:rPr>
              <w:t>Streamlined</w:t>
            </w:r>
          </w:p>
        </w:tc>
      </w:tr>
      <w:tr w:rsidR="00F9629A" w:rsidRPr="00260CE3" w:rsidTr="00D8493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9629A" w:rsidRPr="00260CE3" w:rsidRDefault="00F9629A" w:rsidP="00C27B58">
            <w:pPr>
              <w:jc w:val="both"/>
              <w:rPr>
                <w:rFonts w:ascii="Arial Narrow" w:hAnsi="Arial Narrow" w:cs="Arial"/>
                <w:b/>
                <w:sz w:val="20"/>
                <w:szCs w:val="20"/>
              </w:rPr>
            </w:pPr>
            <w:r w:rsidRPr="00260CE3">
              <w:rPr>
                <w:rFonts w:ascii="Arial Narrow" w:hAnsi="Arial Narrow" w:cs="Arial"/>
                <w:b/>
                <w:sz w:val="20"/>
                <w:szCs w:val="20"/>
              </w:rPr>
              <w:t>Clinical criteria:</w:t>
            </w:r>
          </w:p>
          <w:p w:rsidR="00F9629A" w:rsidRPr="00260CE3" w:rsidRDefault="00F9629A" w:rsidP="00C27B58">
            <w:pPr>
              <w:jc w:val="both"/>
              <w:rPr>
                <w:rFonts w:ascii="Arial Narrow" w:hAnsi="Arial Narrow" w:cs="Arial"/>
                <w:i/>
                <w:sz w:val="20"/>
                <w:szCs w:val="20"/>
              </w:rPr>
            </w:pPr>
          </w:p>
          <w:p w:rsidR="00F9629A" w:rsidRPr="00260CE3" w:rsidRDefault="00F9629A" w:rsidP="00C233B9">
            <w:pPr>
              <w:jc w:val="both"/>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1358CE" w:rsidRPr="001358CE" w:rsidRDefault="001358CE" w:rsidP="00C27B58">
            <w:pPr>
              <w:rPr>
                <w:rFonts w:ascii="Arial Narrow" w:hAnsi="Arial Narrow" w:cs="Arial"/>
                <w:i/>
                <w:sz w:val="20"/>
                <w:szCs w:val="20"/>
              </w:rPr>
            </w:pPr>
            <w:r w:rsidRPr="001358CE">
              <w:rPr>
                <w:rFonts w:ascii="Arial Narrow" w:hAnsi="Arial Narrow" w:cs="Arial"/>
                <w:i/>
                <w:sz w:val="20"/>
                <w:szCs w:val="20"/>
              </w:rPr>
              <w:t>Patient must be receiving palliative care</w:t>
            </w:r>
          </w:p>
          <w:p w:rsidR="001358CE" w:rsidRPr="001358CE" w:rsidRDefault="001358CE" w:rsidP="00C27B58">
            <w:pPr>
              <w:rPr>
                <w:rFonts w:ascii="Arial Narrow" w:hAnsi="Arial Narrow" w:cs="Arial"/>
                <w:i/>
                <w:sz w:val="20"/>
                <w:szCs w:val="20"/>
              </w:rPr>
            </w:pPr>
          </w:p>
          <w:p w:rsidR="00F9629A" w:rsidRPr="001358CE" w:rsidRDefault="001358CE" w:rsidP="00C27B58">
            <w:pPr>
              <w:rPr>
                <w:rFonts w:ascii="Arial Narrow" w:hAnsi="Arial Narrow" w:cs="Arial"/>
                <w:i/>
                <w:sz w:val="20"/>
                <w:szCs w:val="20"/>
              </w:rPr>
            </w:pPr>
            <w:r w:rsidRPr="001358CE">
              <w:rPr>
                <w:rFonts w:ascii="Arial Narrow" w:hAnsi="Arial Narrow" w:cs="Arial"/>
                <w:i/>
                <w:sz w:val="20"/>
                <w:szCs w:val="20"/>
              </w:rPr>
              <w:t>AND</w:t>
            </w:r>
          </w:p>
          <w:p w:rsidR="00F9629A" w:rsidRPr="00260CE3" w:rsidRDefault="00F9629A" w:rsidP="00C27B58">
            <w:pPr>
              <w:rPr>
                <w:rFonts w:ascii="Arial Narrow" w:hAnsi="Arial Narrow" w:cs="Arial"/>
                <w:sz w:val="20"/>
                <w:szCs w:val="20"/>
              </w:rPr>
            </w:pPr>
          </w:p>
          <w:p w:rsidR="00F9629A" w:rsidRPr="00260CE3" w:rsidRDefault="001358CE" w:rsidP="00C27B58">
            <w:pPr>
              <w:jc w:val="both"/>
              <w:rPr>
                <w:rFonts w:ascii="Arial Narrow" w:hAnsi="Arial Narrow" w:cs="Arial"/>
                <w:sz w:val="20"/>
                <w:szCs w:val="20"/>
              </w:rPr>
            </w:pPr>
            <w:r w:rsidRPr="001358CE">
              <w:rPr>
                <w:rFonts w:ascii="Arial Narrow" w:hAnsi="Arial Narrow" w:cs="Arial"/>
                <w:sz w:val="20"/>
                <w:szCs w:val="20"/>
              </w:rPr>
              <w:t>The condition must be unresponsive to non-opioid analgesics</w:t>
            </w:r>
          </w:p>
          <w:p w:rsidR="00F9629A" w:rsidRPr="00260CE3" w:rsidRDefault="00F9629A" w:rsidP="00C27B58">
            <w:pPr>
              <w:jc w:val="both"/>
              <w:rPr>
                <w:rFonts w:ascii="Arial Narrow" w:hAnsi="Arial Narrow" w:cs="Arial"/>
                <w:sz w:val="20"/>
                <w:szCs w:val="20"/>
              </w:rPr>
            </w:pPr>
          </w:p>
        </w:tc>
      </w:tr>
      <w:tr w:rsidR="00F9629A" w:rsidRPr="00260CE3" w:rsidTr="00D8493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9629A" w:rsidRPr="00260CE3" w:rsidRDefault="00F9629A" w:rsidP="00C27B58">
            <w:pPr>
              <w:jc w:val="both"/>
              <w:rPr>
                <w:rFonts w:ascii="Arial Narrow" w:hAnsi="Arial Narrow" w:cs="Arial"/>
                <w:b/>
                <w:sz w:val="20"/>
                <w:szCs w:val="20"/>
              </w:rPr>
            </w:pPr>
            <w:r w:rsidRPr="00260CE3">
              <w:rPr>
                <w:rFonts w:ascii="Arial Narrow" w:hAnsi="Arial Narrow" w:cs="Arial"/>
                <w:b/>
                <w:sz w:val="20"/>
                <w:szCs w:val="20"/>
              </w:rPr>
              <w:t>Administrative Advice</w:t>
            </w:r>
          </w:p>
          <w:p w:rsidR="00F9629A" w:rsidRPr="00260CE3" w:rsidRDefault="00F9629A" w:rsidP="00C233B9">
            <w:pPr>
              <w:jc w:val="both"/>
              <w:rPr>
                <w:rFonts w:ascii="Arial Narrow" w:hAnsi="Arial Narrow" w:cs="Arial"/>
                <w:i/>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15489F" w:rsidRPr="00A50782" w:rsidRDefault="0015489F" w:rsidP="00A50782">
            <w:pPr>
              <w:rPr>
                <w:rFonts w:ascii="Arial Narrow" w:hAnsi="Arial Narrow" w:cs="Arial"/>
                <w:i/>
                <w:sz w:val="20"/>
                <w:szCs w:val="20"/>
              </w:rPr>
            </w:pPr>
            <w:r w:rsidRPr="00A50782">
              <w:rPr>
                <w:rFonts w:ascii="Arial Narrow" w:hAnsi="Arial Narrow" w:cs="Arial"/>
                <w:i/>
                <w:sz w:val="20"/>
                <w:szCs w:val="20"/>
              </w:rPr>
              <w:t>Telephone approvals are limited to 1 month’s therapy.</w:t>
            </w:r>
          </w:p>
        </w:tc>
      </w:tr>
      <w:tr w:rsidR="00F9629A" w:rsidRPr="00260CE3" w:rsidTr="00D8493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9629A" w:rsidRPr="00A73A99" w:rsidRDefault="00F9629A" w:rsidP="00C27B58">
            <w:pPr>
              <w:jc w:val="both"/>
              <w:rPr>
                <w:rFonts w:ascii="Arial Narrow" w:hAnsi="Arial Narrow" w:cs="Arial"/>
                <w:b/>
                <w:sz w:val="20"/>
                <w:szCs w:val="20"/>
              </w:rPr>
            </w:pPr>
            <w:r w:rsidRPr="00260CE3">
              <w:rPr>
                <w:rFonts w:ascii="Arial Narrow" w:hAnsi="Arial Narrow" w:cs="Arial"/>
                <w:b/>
                <w:sz w:val="20"/>
                <w:szCs w:val="20"/>
              </w:rPr>
              <w:t>Cautions</w:t>
            </w:r>
          </w:p>
          <w:p w:rsidR="00F9629A" w:rsidRPr="00260CE3" w:rsidRDefault="00F9629A" w:rsidP="00C27B58">
            <w:pPr>
              <w:jc w:val="both"/>
              <w:rPr>
                <w:rFonts w:ascii="Arial Narrow" w:hAnsi="Arial Narrow" w:cs="Arial"/>
                <w:i/>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F9629A" w:rsidRPr="00260CE3" w:rsidRDefault="0039410A" w:rsidP="00C27B58">
            <w:pPr>
              <w:rPr>
                <w:rFonts w:ascii="Arial Narrow" w:hAnsi="Arial Narrow" w:cs="Arial"/>
                <w:sz w:val="20"/>
                <w:szCs w:val="20"/>
              </w:rPr>
            </w:pPr>
            <w:r w:rsidRPr="0039410A">
              <w:rPr>
                <w:rFonts w:ascii="Arial Narrow" w:hAnsi="Arial Narrow" w:cs="Arial"/>
                <w:sz w:val="20"/>
                <w:szCs w:val="20"/>
              </w:rPr>
              <w:t>The risk of drug dependence is high.</w:t>
            </w:r>
          </w:p>
        </w:tc>
      </w:tr>
    </w:tbl>
    <w:p w:rsidR="00781DFB" w:rsidRDefault="00781DFB" w:rsidP="007421F4"/>
    <w:p w:rsidR="006B66BB" w:rsidRPr="00104761" w:rsidRDefault="006B66BB" w:rsidP="006B66BB">
      <w:pPr>
        <w:pStyle w:val="ListParagraph"/>
        <w:numPr>
          <w:ilvl w:val="1"/>
          <w:numId w:val="1"/>
        </w:numPr>
        <w:rPr>
          <w:rFonts w:ascii="Arial" w:hAnsi="Arial"/>
          <w:sz w:val="22"/>
          <w:szCs w:val="22"/>
        </w:rPr>
      </w:pPr>
      <w:r w:rsidRPr="00104761">
        <w:rPr>
          <w:rFonts w:ascii="Arial" w:hAnsi="Arial"/>
          <w:sz w:val="22"/>
          <w:szCs w:val="22"/>
        </w:rPr>
        <w:t xml:space="preserve">The </w:t>
      </w:r>
      <w:r w:rsidR="00C418A0" w:rsidRPr="00104761">
        <w:rPr>
          <w:rFonts w:ascii="Arial" w:hAnsi="Arial"/>
          <w:sz w:val="22"/>
          <w:szCs w:val="22"/>
        </w:rPr>
        <w:t xml:space="preserve">Pre-PBAC response </w:t>
      </w:r>
      <w:r w:rsidRPr="00104761">
        <w:rPr>
          <w:rFonts w:ascii="Arial" w:hAnsi="Arial"/>
          <w:sz w:val="22"/>
          <w:szCs w:val="22"/>
        </w:rPr>
        <w:t>accepted the Secretariat’s suggested wording for the restriction</w:t>
      </w:r>
      <w:r w:rsidR="000428FB" w:rsidRPr="00104761">
        <w:rPr>
          <w:rFonts w:ascii="Arial" w:hAnsi="Arial"/>
          <w:sz w:val="22"/>
          <w:szCs w:val="22"/>
        </w:rPr>
        <w:t xml:space="preserve">. </w:t>
      </w:r>
    </w:p>
    <w:p w:rsidR="006423EC" w:rsidRPr="00104761" w:rsidRDefault="006423EC" w:rsidP="006423EC">
      <w:pPr>
        <w:pStyle w:val="ListParagraph"/>
        <w:rPr>
          <w:rFonts w:ascii="Arial" w:hAnsi="Arial"/>
          <w:sz w:val="22"/>
          <w:szCs w:val="22"/>
        </w:rPr>
      </w:pPr>
    </w:p>
    <w:p w:rsidR="006423EC" w:rsidRPr="00BC3B15" w:rsidRDefault="006423EC" w:rsidP="006423EC">
      <w:pPr>
        <w:ind w:firstLine="720"/>
        <w:rPr>
          <w:rFonts w:ascii="Arial" w:hAnsi="Arial" w:cs="Arial"/>
          <w:bCs/>
          <w:i/>
          <w:snapToGrid w:val="0"/>
          <w:sz w:val="22"/>
          <w:szCs w:val="22"/>
        </w:rPr>
      </w:pPr>
      <w:r w:rsidRPr="00BC3B15">
        <w:rPr>
          <w:rFonts w:ascii="Arial" w:hAnsi="Arial" w:cs="Arial"/>
          <w:bCs/>
          <w:i/>
          <w:snapToGrid w:val="0"/>
          <w:sz w:val="22"/>
          <w:szCs w:val="22"/>
        </w:rPr>
        <w:t>For more detail on PBAC’s view, see section 6 “PBAC outcome”</w:t>
      </w:r>
      <w:r w:rsidR="00C16057" w:rsidRPr="00BC3B15">
        <w:rPr>
          <w:rFonts w:ascii="Arial" w:hAnsi="Arial" w:cs="Arial"/>
          <w:bCs/>
          <w:i/>
          <w:snapToGrid w:val="0"/>
          <w:sz w:val="22"/>
          <w:szCs w:val="22"/>
        </w:rPr>
        <w:t>.</w:t>
      </w:r>
    </w:p>
    <w:p w:rsidR="00BC3B15" w:rsidRDefault="00BC3B15">
      <w:pPr>
        <w:rPr>
          <w:rFonts w:ascii="Arial" w:hAnsi="Arial"/>
          <w:b/>
          <w:sz w:val="22"/>
          <w:szCs w:val="22"/>
        </w:rPr>
      </w:pPr>
    </w:p>
    <w:p w:rsidR="003D7D95" w:rsidRDefault="00CE10C4" w:rsidP="003D7D95">
      <w:pPr>
        <w:pStyle w:val="Heading1"/>
        <w:numPr>
          <w:ilvl w:val="0"/>
          <w:numId w:val="1"/>
        </w:numPr>
      </w:pPr>
      <w:r w:rsidRPr="00882085">
        <w:t>Background</w:t>
      </w:r>
    </w:p>
    <w:p w:rsidR="003D7D95" w:rsidRPr="003D7D95" w:rsidRDefault="003D7D95" w:rsidP="003D7D95"/>
    <w:p w:rsidR="008D1B5C" w:rsidRPr="00BC3B15" w:rsidRDefault="008D1B5C" w:rsidP="00BC3B15">
      <w:pPr>
        <w:jc w:val="both"/>
        <w:rPr>
          <w:rFonts w:ascii="Arial" w:hAnsi="Arial"/>
          <w:vanish/>
          <w:sz w:val="22"/>
          <w:szCs w:val="22"/>
        </w:rPr>
      </w:pPr>
    </w:p>
    <w:p w:rsidR="00871043" w:rsidRPr="008D3764" w:rsidRDefault="006C77F5" w:rsidP="00BC3B15">
      <w:pPr>
        <w:pStyle w:val="ListParagraph"/>
        <w:numPr>
          <w:ilvl w:val="1"/>
          <w:numId w:val="1"/>
        </w:numPr>
        <w:rPr>
          <w:rFonts w:ascii="Arial" w:hAnsi="Arial"/>
          <w:sz w:val="22"/>
          <w:szCs w:val="22"/>
        </w:rPr>
      </w:pPr>
      <w:r>
        <w:rPr>
          <w:rFonts w:ascii="Arial" w:hAnsi="Arial"/>
          <w:sz w:val="22"/>
          <w:szCs w:val="22"/>
        </w:rPr>
        <w:t>Buprenorphine transdermal patches are TGA registered for the manage</w:t>
      </w:r>
      <w:r w:rsidR="003D7D95">
        <w:rPr>
          <w:rFonts w:ascii="Arial" w:hAnsi="Arial"/>
          <w:sz w:val="22"/>
          <w:szCs w:val="22"/>
        </w:rPr>
        <w:t>ment of moderate to severe pain.</w:t>
      </w:r>
    </w:p>
    <w:p w:rsidR="00871043" w:rsidRPr="00A27180" w:rsidRDefault="00871043" w:rsidP="009932A5">
      <w:pPr>
        <w:pStyle w:val="ListParagraph"/>
        <w:ind w:left="709" w:hanging="709"/>
        <w:jc w:val="both"/>
        <w:rPr>
          <w:rFonts w:ascii="Arial" w:hAnsi="Arial"/>
          <w:sz w:val="22"/>
          <w:szCs w:val="22"/>
        </w:rPr>
      </w:pPr>
    </w:p>
    <w:p w:rsidR="00A50782" w:rsidRDefault="00871043" w:rsidP="00BC3B15">
      <w:pPr>
        <w:pStyle w:val="ListParagraph"/>
        <w:numPr>
          <w:ilvl w:val="1"/>
          <w:numId w:val="1"/>
        </w:numPr>
        <w:rPr>
          <w:rFonts w:ascii="Arial" w:hAnsi="Arial" w:cs="Arial"/>
          <w:sz w:val="22"/>
          <w:szCs w:val="22"/>
        </w:rPr>
      </w:pPr>
      <w:r w:rsidRPr="00863C40">
        <w:rPr>
          <w:rFonts w:ascii="Arial" w:hAnsi="Arial" w:cs="Arial"/>
          <w:sz w:val="22"/>
          <w:szCs w:val="22"/>
        </w:rPr>
        <w:t>Buprenorphine patches were recommended for PBS listing by the PBAC in July 2005 for chronic severe disabling pain which is unresponsive to non-narcotic analgesics. Currently, packs of two patches are available as a restricted benefit listing</w:t>
      </w:r>
      <w:r>
        <w:rPr>
          <w:rFonts w:ascii="Arial" w:hAnsi="Arial" w:cs="Arial"/>
          <w:sz w:val="22"/>
          <w:szCs w:val="22"/>
        </w:rPr>
        <w:t xml:space="preserve"> on the General Schedule</w:t>
      </w:r>
      <w:r w:rsidRPr="00863C40">
        <w:rPr>
          <w:rFonts w:ascii="Arial" w:hAnsi="Arial" w:cs="Arial"/>
          <w:sz w:val="22"/>
          <w:szCs w:val="22"/>
        </w:rPr>
        <w:t xml:space="preserve"> with no repeats, sufficient to provide two weeks of therapy, while authorities for increased maximum quantities and/or repeats are able to be gr</w:t>
      </w:r>
      <w:r w:rsidR="003D7D95">
        <w:rPr>
          <w:rFonts w:ascii="Arial" w:hAnsi="Arial" w:cs="Arial"/>
          <w:sz w:val="22"/>
          <w:szCs w:val="22"/>
        </w:rPr>
        <w:t>anted in certain circumstances.</w:t>
      </w:r>
    </w:p>
    <w:p w:rsidR="00A50782" w:rsidRPr="003D7D95" w:rsidRDefault="00A50782" w:rsidP="003D7D95">
      <w:pPr>
        <w:rPr>
          <w:rFonts w:ascii="Arial" w:hAnsi="Arial" w:cs="Arial"/>
          <w:i/>
          <w:sz w:val="22"/>
          <w:szCs w:val="22"/>
        </w:rPr>
      </w:pPr>
    </w:p>
    <w:p w:rsidR="00AD2D0C" w:rsidRPr="007421F4" w:rsidRDefault="00871043" w:rsidP="00BC3B15">
      <w:pPr>
        <w:pStyle w:val="ListParagraph"/>
        <w:numPr>
          <w:ilvl w:val="1"/>
          <w:numId w:val="1"/>
        </w:numPr>
        <w:rPr>
          <w:rFonts w:ascii="Arial" w:hAnsi="Arial" w:cs="Arial"/>
          <w:b/>
          <w:sz w:val="22"/>
          <w:szCs w:val="22"/>
        </w:rPr>
      </w:pPr>
      <w:r w:rsidRPr="007421F4">
        <w:rPr>
          <w:rFonts w:ascii="Arial" w:hAnsi="Arial" w:cs="Arial"/>
          <w:sz w:val="22"/>
          <w:szCs w:val="22"/>
        </w:rPr>
        <w:t xml:space="preserve">In November 2015, the PBAC </w:t>
      </w:r>
      <w:r w:rsidR="00A50782" w:rsidRPr="007421F4">
        <w:rPr>
          <w:rFonts w:ascii="Arial" w:hAnsi="Arial" w:cs="Arial"/>
          <w:sz w:val="22"/>
          <w:szCs w:val="22"/>
        </w:rPr>
        <w:t>did not recommend</w:t>
      </w:r>
      <w:r w:rsidRPr="007421F4">
        <w:rPr>
          <w:rFonts w:ascii="Arial" w:hAnsi="Arial" w:cs="Arial"/>
          <w:sz w:val="22"/>
          <w:szCs w:val="22"/>
        </w:rPr>
        <w:t xml:space="preserve"> </w:t>
      </w:r>
      <w:r w:rsidR="00A50782" w:rsidRPr="007421F4">
        <w:rPr>
          <w:rFonts w:ascii="Arial" w:hAnsi="Arial" w:cs="Arial"/>
          <w:bCs/>
          <w:snapToGrid w:val="0"/>
          <w:sz w:val="22"/>
          <w:szCs w:val="22"/>
          <w:lang w:val="en-GB" w:eastAsia="en-US"/>
        </w:rPr>
        <w:t xml:space="preserve">an additional Authority Required (STREAMLINED) listing for buprenorphine patches on the general schedule with increased maximum quantity and number of repeats, considering that the current </w:t>
      </w:r>
      <w:r w:rsidR="00104BBA" w:rsidRPr="007421F4">
        <w:rPr>
          <w:rFonts w:ascii="Arial" w:hAnsi="Arial" w:cs="Arial"/>
          <w:bCs/>
          <w:snapToGrid w:val="0"/>
          <w:sz w:val="22"/>
          <w:szCs w:val="22"/>
          <w:lang w:val="en-GB" w:eastAsia="en-US"/>
        </w:rPr>
        <w:t xml:space="preserve">restricted benefit listing for two weeks supply </w:t>
      </w:r>
      <w:r w:rsidR="00A50782" w:rsidRPr="007421F4">
        <w:rPr>
          <w:rFonts w:ascii="Arial" w:hAnsi="Arial" w:cs="Arial"/>
          <w:bCs/>
          <w:snapToGrid w:val="0"/>
          <w:sz w:val="22"/>
          <w:szCs w:val="22"/>
          <w:lang w:val="en-GB" w:eastAsia="en-US"/>
        </w:rPr>
        <w:t>remained appropriate to meet patient needs</w:t>
      </w:r>
      <w:r w:rsidR="00104BBA" w:rsidRPr="007421F4">
        <w:rPr>
          <w:rFonts w:ascii="Arial" w:hAnsi="Arial" w:cs="Arial"/>
          <w:bCs/>
          <w:snapToGrid w:val="0"/>
          <w:sz w:val="22"/>
          <w:szCs w:val="22"/>
          <w:lang w:val="en-GB" w:eastAsia="en-US"/>
        </w:rPr>
        <w:t xml:space="preserve">. The PBAC considered that the requested listing may not be appropriate from a quality use of medicines perspective. </w:t>
      </w:r>
    </w:p>
    <w:p w:rsidR="00AD2D0C" w:rsidRPr="00AD2D0C" w:rsidRDefault="00AD2D0C" w:rsidP="009932A5">
      <w:pPr>
        <w:pStyle w:val="ListParagraph"/>
        <w:ind w:left="709" w:hanging="709"/>
        <w:rPr>
          <w:rFonts w:ascii="Arial" w:hAnsi="Arial" w:cs="Arial"/>
          <w:sz w:val="22"/>
          <w:szCs w:val="22"/>
        </w:rPr>
      </w:pPr>
    </w:p>
    <w:p w:rsidR="00781DFB" w:rsidRPr="00C16057" w:rsidRDefault="00871043" w:rsidP="00BC3B15">
      <w:pPr>
        <w:pStyle w:val="ListParagraph"/>
        <w:numPr>
          <w:ilvl w:val="1"/>
          <w:numId w:val="1"/>
        </w:numPr>
        <w:rPr>
          <w:rFonts w:ascii="Arial" w:hAnsi="Arial" w:cs="Arial"/>
          <w:b/>
          <w:sz w:val="22"/>
          <w:szCs w:val="22"/>
        </w:rPr>
      </w:pPr>
      <w:r w:rsidRPr="00C16057">
        <w:rPr>
          <w:rFonts w:ascii="Arial" w:hAnsi="Arial" w:cs="Arial"/>
          <w:sz w:val="22"/>
          <w:szCs w:val="22"/>
        </w:rPr>
        <w:t>This is the first submission for buprenorphine transdermal patches for listing on the Palliative Care Schedule.</w:t>
      </w:r>
    </w:p>
    <w:p w:rsidR="00AD2D0C" w:rsidRPr="003D7D95" w:rsidRDefault="00AD2D0C" w:rsidP="003D7D95">
      <w:pPr>
        <w:jc w:val="both"/>
        <w:rPr>
          <w:rFonts w:ascii="Arial" w:hAnsi="Arial" w:cs="Arial"/>
          <w:b/>
          <w:sz w:val="22"/>
          <w:szCs w:val="22"/>
        </w:rPr>
      </w:pPr>
    </w:p>
    <w:p w:rsidR="00CE10C4" w:rsidRPr="00882085" w:rsidRDefault="00CE10C4" w:rsidP="00BC3B15">
      <w:pPr>
        <w:pStyle w:val="Heading1"/>
        <w:numPr>
          <w:ilvl w:val="0"/>
          <w:numId w:val="1"/>
        </w:numPr>
      </w:pPr>
      <w:r w:rsidRPr="00882085">
        <w:t>Clinical place for the proposed ther</w:t>
      </w:r>
      <w:r w:rsidR="006A12A5" w:rsidRPr="00882085">
        <w:t>apy</w:t>
      </w:r>
    </w:p>
    <w:p w:rsidR="00CE10C4" w:rsidRPr="00882085" w:rsidRDefault="00CE10C4" w:rsidP="009932A5">
      <w:pPr>
        <w:ind w:left="709" w:hanging="709"/>
        <w:jc w:val="both"/>
        <w:rPr>
          <w:rFonts w:ascii="Arial" w:hAnsi="Arial"/>
          <w:sz w:val="22"/>
          <w:szCs w:val="22"/>
        </w:rPr>
      </w:pPr>
    </w:p>
    <w:p w:rsidR="00C35996" w:rsidRPr="006B66BB" w:rsidRDefault="00891D10" w:rsidP="00BC3B15">
      <w:pPr>
        <w:pStyle w:val="ListParagraph"/>
        <w:numPr>
          <w:ilvl w:val="1"/>
          <w:numId w:val="1"/>
        </w:numPr>
        <w:rPr>
          <w:rFonts w:ascii="Arial" w:hAnsi="Arial"/>
          <w:sz w:val="22"/>
          <w:szCs w:val="22"/>
        </w:rPr>
      </w:pPr>
      <w:r w:rsidRPr="00104BBA">
        <w:rPr>
          <w:rFonts w:ascii="Arial" w:hAnsi="Arial"/>
          <w:sz w:val="22"/>
          <w:szCs w:val="22"/>
        </w:rPr>
        <w:lastRenderedPageBreak/>
        <w:t>The submission claim</w:t>
      </w:r>
      <w:r w:rsidR="00AE5B81" w:rsidRPr="00104BBA">
        <w:rPr>
          <w:rFonts w:ascii="Arial" w:hAnsi="Arial"/>
          <w:sz w:val="22"/>
          <w:szCs w:val="22"/>
        </w:rPr>
        <w:t>ed</w:t>
      </w:r>
      <w:r w:rsidRPr="00104BBA">
        <w:rPr>
          <w:rFonts w:ascii="Arial" w:hAnsi="Arial"/>
          <w:sz w:val="22"/>
          <w:szCs w:val="22"/>
        </w:rPr>
        <w:t xml:space="preserve"> </w:t>
      </w:r>
      <w:r w:rsidR="00A73A99" w:rsidRPr="00104BBA">
        <w:rPr>
          <w:rFonts w:ascii="Arial" w:hAnsi="Arial"/>
          <w:sz w:val="22"/>
          <w:szCs w:val="22"/>
        </w:rPr>
        <w:t>a Palliative Care Schedule listing</w:t>
      </w:r>
      <w:r w:rsidRPr="00104BBA">
        <w:rPr>
          <w:rFonts w:ascii="Arial" w:hAnsi="Arial"/>
          <w:sz w:val="22"/>
          <w:szCs w:val="22"/>
        </w:rPr>
        <w:t xml:space="preserve"> with three months’ supply will help remove or reduce barriers to effective in-home palliative care, </w:t>
      </w:r>
      <w:r w:rsidR="006649A6" w:rsidRPr="00104BBA">
        <w:rPr>
          <w:rFonts w:ascii="Arial" w:hAnsi="Arial"/>
          <w:sz w:val="22"/>
          <w:szCs w:val="22"/>
        </w:rPr>
        <w:t xml:space="preserve">allowing for palliative care </w:t>
      </w:r>
      <w:r w:rsidR="006649A6">
        <w:rPr>
          <w:rFonts w:ascii="Arial" w:hAnsi="Arial"/>
          <w:sz w:val="22"/>
          <w:szCs w:val="22"/>
        </w:rPr>
        <w:t xml:space="preserve">patients </w:t>
      </w:r>
      <w:r w:rsidR="006649A6" w:rsidRPr="00104BBA">
        <w:rPr>
          <w:rFonts w:ascii="Arial" w:hAnsi="Arial"/>
          <w:sz w:val="22"/>
          <w:szCs w:val="22"/>
        </w:rPr>
        <w:t>to</w:t>
      </w:r>
      <w:r w:rsidR="006649A6">
        <w:rPr>
          <w:rFonts w:ascii="Arial" w:hAnsi="Arial"/>
          <w:sz w:val="22"/>
          <w:szCs w:val="22"/>
        </w:rPr>
        <w:t xml:space="preserve"> access larger quantities, reducing patient out of pocket costs and prescriber </w:t>
      </w:r>
      <w:r w:rsidR="006649A6" w:rsidRPr="00104BBA">
        <w:rPr>
          <w:rFonts w:ascii="Arial" w:hAnsi="Arial"/>
          <w:sz w:val="22"/>
          <w:szCs w:val="22"/>
        </w:rPr>
        <w:t>administrative burden.</w:t>
      </w:r>
      <w:r w:rsidR="006649A6" w:rsidRPr="00104BBA">
        <w:rPr>
          <w:rFonts w:ascii="Arial" w:hAnsi="Arial"/>
          <w:i/>
          <w:sz w:val="22"/>
          <w:szCs w:val="22"/>
        </w:rPr>
        <w:t xml:space="preserve"> </w:t>
      </w:r>
    </w:p>
    <w:p w:rsidR="00ED5A97" w:rsidRDefault="00ED5A97" w:rsidP="009932A5">
      <w:pPr>
        <w:ind w:left="709" w:hanging="709"/>
        <w:jc w:val="both"/>
        <w:rPr>
          <w:rFonts w:ascii="Arial" w:hAnsi="Arial"/>
          <w:sz w:val="22"/>
          <w:szCs w:val="22"/>
        </w:rPr>
      </w:pPr>
    </w:p>
    <w:p w:rsidR="00ED5A97" w:rsidRPr="00BC3B15" w:rsidRDefault="00ED5A97" w:rsidP="00ED5A97">
      <w:pPr>
        <w:ind w:firstLine="720"/>
        <w:rPr>
          <w:rFonts w:ascii="Arial" w:hAnsi="Arial" w:cs="Arial"/>
          <w:bCs/>
          <w:i/>
          <w:snapToGrid w:val="0"/>
          <w:sz w:val="22"/>
          <w:szCs w:val="22"/>
        </w:rPr>
      </w:pPr>
      <w:r w:rsidRPr="00BC3B15">
        <w:rPr>
          <w:rFonts w:ascii="Arial" w:hAnsi="Arial" w:cs="Arial"/>
          <w:bCs/>
          <w:i/>
          <w:snapToGrid w:val="0"/>
          <w:sz w:val="22"/>
          <w:szCs w:val="22"/>
        </w:rPr>
        <w:t>For more detail on</w:t>
      </w:r>
      <w:r w:rsidR="006423EC" w:rsidRPr="00BC3B15">
        <w:rPr>
          <w:rFonts w:ascii="Arial" w:hAnsi="Arial" w:cs="Arial"/>
          <w:bCs/>
          <w:i/>
          <w:snapToGrid w:val="0"/>
          <w:sz w:val="22"/>
          <w:szCs w:val="22"/>
        </w:rPr>
        <w:t xml:space="preserve"> PBAC’s view, see section 6</w:t>
      </w:r>
      <w:r w:rsidRPr="00BC3B15">
        <w:rPr>
          <w:rFonts w:ascii="Arial" w:hAnsi="Arial" w:cs="Arial"/>
          <w:bCs/>
          <w:i/>
          <w:snapToGrid w:val="0"/>
          <w:sz w:val="22"/>
          <w:szCs w:val="22"/>
        </w:rPr>
        <w:t xml:space="preserve"> “PBAC outcome”</w:t>
      </w:r>
      <w:r w:rsidR="00C16057" w:rsidRPr="00BC3B15">
        <w:rPr>
          <w:rFonts w:ascii="Arial" w:hAnsi="Arial" w:cs="Arial"/>
          <w:bCs/>
          <w:i/>
          <w:snapToGrid w:val="0"/>
          <w:sz w:val="22"/>
          <w:szCs w:val="22"/>
        </w:rPr>
        <w:t>.</w:t>
      </w:r>
    </w:p>
    <w:p w:rsidR="00BC3B15" w:rsidRDefault="00BC3B15" w:rsidP="00476245">
      <w:pPr>
        <w:jc w:val="both"/>
        <w:rPr>
          <w:rFonts w:ascii="Arial" w:hAnsi="Arial"/>
          <w:sz w:val="22"/>
          <w:szCs w:val="22"/>
        </w:rPr>
      </w:pPr>
    </w:p>
    <w:p w:rsidR="000B558D" w:rsidRDefault="008D7A41" w:rsidP="00BC3B15">
      <w:pPr>
        <w:pStyle w:val="Heading1"/>
        <w:numPr>
          <w:ilvl w:val="0"/>
          <w:numId w:val="1"/>
        </w:numPr>
      </w:pPr>
      <w:r>
        <w:t>C</w:t>
      </w:r>
      <w:r w:rsidR="00D84934">
        <w:t>onsideration of the evidence</w:t>
      </w:r>
    </w:p>
    <w:p w:rsidR="00ED5A97" w:rsidRDefault="00ED5A97" w:rsidP="00ED5A97"/>
    <w:p w:rsidR="00ED5A97" w:rsidRDefault="00ED5A97" w:rsidP="00504509">
      <w:pPr>
        <w:pStyle w:val="Heading2"/>
        <w:rPr>
          <w:snapToGrid w:val="0"/>
        </w:rPr>
      </w:pPr>
      <w:r w:rsidRPr="00BC3B15">
        <w:rPr>
          <w:snapToGrid w:val="0"/>
        </w:rPr>
        <w:t>Sponsor hearing</w:t>
      </w:r>
    </w:p>
    <w:p w:rsidR="0023320A" w:rsidRDefault="0023320A" w:rsidP="0023320A">
      <w:pPr>
        <w:rPr>
          <w:rFonts w:ascii="Arial" w:hAnsi="Arial" w:cs="Arial"/>
          <w:b/>
          <w:bCs/>
          <w:i/>
          <w:snapToGrid w:val="0"/>
          <w:sz w:val="22"/>
          <w:szCs w:val="22"/>
        </w:rPr>
      </w:pPr>
    </w:p>
    <w:p w:rsidR="00ED5A97" w:rsidRPr="00C418A0" w:rsidRDefault="00ED5A97" w:rsidP="0023320A">
      <w:pPr>
        <w:numPr>
          <w:ilvl w:val="1"/>
          <w:numId w:val="1"/>
        </w:numPr>
        <w:rPr>
          <w:rFonts w:ascii="Arial" w:hAnsi="Arial" w:cs="Arial"/>
          <w:bCs/>
          <w:snapToGrid w:val="0"/>
          <w:sz w:val="22"/>
          <w:szCs w:val="22"/>
        </w:rPr>
      </w:pPr>
      <w:r w:rsidRPr="00C418A0">
        <w:rPr>
          <w:rFonts w:ascii="Arial" w:hAnsi="Arial" w:cs="Arial"/>
          <w:bCs/>
          <w:snapToGrid w:val="0"/>
          <w:sz w:val="22"/>
          <w:szCs w:val="22"/>
        </w:rPr>
        <w:t>There was no hearing for this item as it was a minor submission.</w:t>
      </w:r>
    </w:p>
    <w:p w:rsidR="0023320A" w:rsidRDefault="0023320A" w:rsidP="0023320A">
      <w:pPr>
        <w:rPr>
          <w:rFonts w:ascii="Arial" w:hAnsi="Arial" w:cs="Arial"/>
          <w:b/>
          <w:bCs/>
          <w:i/>
          <w:snapToGrid w:val="0"/>
          <w:sz w:val="22"/>
          <w:szCs w:val="22"/>
        </w:rPr>
      </w:pPr>
    </w:p>
    <w:p w:rsidR="00ED5A97" w:rsidRDefault="00ED5A97" w:rsidP="00504509">
      <w:pPr>
        <w:pStyle w:val="Heading2"/>
        <w:rPr>
          <w:snapToGrid w:val="0"/>
        </w:rPr>
      </w:pPr>
      <w:r w:rsidRPr="00BC3B15">
        <w:rPr>
          <w:snapToGrid w:val="0"/>
        </w:rPr>
        <w:t>Consumer comments</w:t>
      </w:r>
    </w:p>
    <w:p w:rsidR="003522DD" w:rsidRPr="00BC3B15" w:rsidRDefault="003522DD" w:rsidP="0023320A">
      <w:pPr>
        <w:rPr>
          <w:rFonts w:ascii="Arial" w:hAnsi="Arial" w:cs="Arial"/>
          <w:b/>
          <w:bCs/>
          <w:i/>
          <w:snapToGrid w:val="0"/>
          <w:sz w:val="22"/>
          <w:szCs w:val="22"/>
        </w:rPr>
      </w:pPr>
    </w:p>
    <w:p w:rsidR="00BB7EC3" w:rsidRPr="00104761" w:rsidRDefault="00ED5A97" w:rsidP="00104761">
      <w:pPr>
        <w:numPr>
          <w:ilvl w:val="1"/>
          <w:numId w:val="1"/>
        </w:numPr>
        <w:spacing w:after="120"/>
        <w:jc w:val="both"/>
        <w:rPr>
          <w:rFonts w:ascii="Arial" w:hAnsi="Arial"/>
          <w:sz w:val="22"/>
          <w:szCs w:val="22"/>
        </w:rPr>
      </w:pPr>
      <w:r w:rsidRPr="00104761">
        <w:rPr>
          <w:rFonts w:ascii="Arial" w:hAnsi="Arial" w:cs="Arial"/>
          <w:bCs/>
          <w:snapToGrid w:val="0"/>
          <w:sz w:val="22"/>
          <w:szCs w:val="22"/>
        </w:rPr>
        <w:t xml:space="preserve">The PBAC noted and welcomed the input from </w:t>
      </w:r>
      <w:r w:rsidR="006423EC" w:rsidRPr="00104761">
        <w:rPr>
          <w:rFonts w:ascii="Arial" w:hAnsi="Arial" w:cs="Arial"/>
          <w:bCs/>
          <w:snapToGrid w:val="0"/>
          <w:sz w:val="22"/>
          <w:szCs w:val="22"/>
        </w:rPr>
        <w:t>a health care professional</w:t>
      </w:r>
      <w:r w:rsidR="003F124B" w:rsidRPr="00104761">
        <w:rPr>
          <w:rFonts w:ascii="Arial" w:hAnsi="Arial" w:cs="Arial"/>
          <w:bCs/>
          <w:snapToGrid w:val="0"/>
          <w:sz w:val="22"/>
          <w:szCs w:val="22"/>
        </w:rPr>
        <w:t xml:space="preserve"> (1</w:t>
      </w:r>
      <w:r w:rsidRPr="00104761">
        <w:rPr>
          <w:rFonts w:ascii="Arial" w:hAnsi="Arial" w:cs="Arial"/>
          <w:bCs/>
          <w:snapToGrid w:val="0"/>
          <w:sz w:val="22"/>
          <w:szCs w:val="22"/>
        </w:rPr>
        <w:t xml:space="preserve">) via the Consumer Comments facility on the PBS website.  The comment </w:t>
      </w:r>
      <w:r w:rsidR="003F124B" w:rsidRPr="00104761">
        <w:rPr>
          <w:rFonts w:ascii="Arial" w:hAnsi="Arial" w:cs="Arial"/>
          <w:bCs/>
          <w:snapToGrid w:val="0"/>
          <w:sz w:val="22"/>
          <w:szCs w:val="22"/>
        </w:rPr>
        <w:t xml:space="preserve">described </w:t>
      </w:r>
      <w:r w:rsidR="008C6DBD" w:rsidRPr="00104761">
        <w:rPr>
          <w:rFonts w:ascii="Arial" w:hAnsi="Arial" w:cs="Arial"/>
          <w:bCs/>
          <w:snapToGrid w:val="0"/>
          <w:sz w:val="22"/>
          <w:szCs w:val="22"/>
        </w:rPr>
        <w:t>the</w:t>
      </w:r>
      <w:r w:rsidR="003F124B" w:rsidRPr="00104761">
        <w:rPr>
          <w:rFonts w:ascii="Arial" w:hAnsi="Arial" w:cs="Arial"/>
          <w:bCs/>
          <w:snapToGrid w:val="0"/>
          <w:sz w:val="22"/>
          <w:szCs w:val="22"/>
        </w:rPr>
        <w:t xml:space="preserve"> benefits of </w:t>
      </w:r>
      <w:r w:rsidR="008C6DBD" w:rsidRPr="00104761">
        <w:rPr>
          <w:rFonts w:ascii="Arial" w:hAnsi="Arial" w:cs="Arial"/>
          <w:bCs/>
          <w:snapToGrid w:val="0"/>
          <w:sz w:val="22"/>
          <w:szCs w:val="22"/>
        </w:rPr>
        <w:t xml:space="preserve">a </w:t>
      </w:r>
      <w:r w:rsidR="003F124B" w:rsidRPr="00104761">
        <w:rPr>
          <w:rFonts w:ascii="Arial" w:hAnsi="Arial" w:cs="Arial"/>
          <w:bCs/>
          <w:snapToGrid w:val="0"/>
          <w:sz w:val="22"/>
          <w:szCs w:val="22"/>
        </w:rPr>
        <w:t>streamline</w:t>
      </w:r>
      <w:r w:rsidR="008C6DBD" w:rsidRPr="00104761">
        <w:rPr>
          <w:rFonts w:ascii="Arial" w:hAnsi="Arial" w:cs="Arial"/>
          <w:bCs/>
          <w:snapToGrid w:val="0"/>
          <w:sz w:val="22"/>
          <w:szCs w:val="22"/>
        </w:rPr>
        <w:t>d</w:t>
      </w:r>
      <w:r w:rsidR="003F124B" w:rsidRPr="00104761">
        <w:rPr>
          <w:rFonts w:ascii="Arial" w:hAnsi="Arial" w:cs="Arial"/>
          <w:bCs/>
          <w:snapToGrid w:val="0"/>
          <w:sz w:val="22"/>
          <w:szCs w:val="22"/>
        </w:rPr>
        <w:t xml:space="preserve"> authority</w:t>
      </w:r>
      <w:r w:rsidR="008C6DBD" w:rsidRPr="00104761">
        <w:rPr>
          <w:rFonts w:ascii="Arial" w:hAnsi="Arial" w:cs="Arial"/>
          <w:bCs/>
          <w:snapToGrid w:val="0"/>
          <w:sz w:val="22"/>
          <w:szCs w:val="22"/>
        </w:rPr>
        <w:t xml:space="preserve"> listing for buprenorphine for patients in the palliative care setting </w:t>
      </w:r>
      <w:r w:rsidRPr="00104761">
        <w:rPr>
          <w:rFonts w:ascii="Arial" w:hAnsi="Arial" w:cs="Arial"/>
          <w:bCs/>
          <w:snapToGrid w:val="0"/>
          <w:sz w:val="22"/>
          <w:szCs w:val="22"/>
        </w:rPr>
        <w:t>includin</w:t>
      </w:r>
      <w:r w:rsidR="008C6DBD" w:rsidRPr="00104761">
        <w:rPr>
          <w:rFonts w:ascii="Arial" w:hAnsi="Arial" w:cs="Arial"/>
          <w:bCs/>
          <w:snapToGrid w:val="0"/>
          <w:sz w:val="22"/>
          <w:szCs w:val="22"/>
        </w:rPr>
        <w:t>g</w:t>
      </w:r>
      <w:r w:rsidRPr="00104761">
        <w:rPr>
          <w:rFonts w:ascii="Arial" w:hAnsi="Arial" w:cs="Arial"/>
          <w:bCs/>
          <w:snapToGrid w:val="0"/>
          <w:sz w:val="22"/>
          <w:szCs w:val="22"/>
        </w:rPr>
        <w:t xml:space="preserve"> </w:t>
      </w:r>
      <w:r w:rsidR="008C6DBD" w:rsidRPr="00104761">
        <w:rPr>
          <w:rFonts w:ascii="Arial" w:hAnsi="Arial" w:cs="Arial"/>
          <w:bCs/>
          <w:snapToGrid w:val="0"/>
          <w:sz w:val="22"/>
          <w:szCs w:val="22"/>
        </w:rPr>
        <w:t xml:space="preserve">more efficient and effective </w:t>
      </w:r>
      <w:r w:rsidR="001F051C" w:rsidRPr="00104761">
        <w:rPr>
          <w:rFonts w:ascii="Arial" w:hAnsi="Arial" w:cs="Arial"/>
          <w:bCs/>
          <w:snapToGrid w:val="0"/>
          <w:sz w:val="22"/>
          <w:szCs w:val="22"/>
        </w:rPr>
        <w:t>palliative care pain management, reduced need to access pharmacies and general practices and increased ability to treat palliative care patients in rural locations and residential aged care facilities</w:t>
      </w:r>
      <w:r w:rsidR="0073520A" w:rsidRPr="00104761">
        <w:rPr>
          <w:rFonts w:ascii="Arial" w:hAnsi="Arial" w:cs="Arial"/>
          <w:bCs/>
          <w:snapToGrid w:val="0"/>
          <w:sz w:val="22"/>
          <w:szCs w:val="22"/>
        </w:rPr>
        <w:t xml:space="preserve">. </w:t>
      </w:r>
    </w:p>
    <w:p w:rsidR="00BC3B15" w:rsidRDefault="00BC3B15">
      <w:pPr>
        <w:rPr>
          <w:rFonts w:ascii="Arial" w:hAnsi="Arial"/>
          <w:b/>
          <w:i/>
          <w:sz w:val="22"/>
        </w:rPr>
      </w:pPr>
    </w:p>
    <w:p w:rsidR="006649A6" w:rsidRPr="00BC3B15" w:rsidRDefault="006649A6" w:rsidP="00F377A4">
      <w:pPr>
        <w:pStyle w:val="Heading2"/>
      </w:pPr>
      <w:r w:rsidRPr="00BC3B15">
        <w:t xml:space="preserve">Economic analysis </w:t>
      </w:r>
    </w:p>
    <w:p w:rsidR="006649A6" w:rsidRPr="006649A6" w:rsidRDefault="006649A6" w:rsidP="00F377A4">
      <w:pPr>
        <w:keepNext/>
        <w:rPr>
          <w:rFonts w:ascii="Arial" w:hAnsi="Arial" w:cs="Arial"/>
          <w:sz w:val="22"/>
          <w:szCs w:val="22"/>
        </w:rPr>
      </w:pPr>
    </w:p>
    <w:p w:rsidR="006649A6" w:rsidRPr="002F78A5" w:rsidRDefault="006649A6" w:rsidP="00ED5A97">
      <w:pPr>
        <w:pStyle w:val="ListParagraph"/>
        <w:numPr>
          <w:ilvl w:val="1"/>
          <w:numId w:val="1"/>
        </w:numPr>
        <w:jc w:val="both"/>
        <w:rPr>
          <w:rFonts w:ascii="Arial" w:hAnsi="Arial" w:cs="Arial"/>
          <w:sz w:val="22"/>
          <w:szCs w:val="22"/>
        </w:rPr>
      </w:pPr>
      <w:r w:rsidRPr="002F78A5">
        <w:rPr>
          <w:rFonts w:ascii="Arial" w:hAnsi="Arial" w:cs="Arial"/>
          <w:sz w:val="22"/>
          <w:szCs w:val="22"/>
        </w:rPr>
        <w:t xml:space="preserve">The submission proposed the same price as the current </w:t>
      </w:r>
      <w:r w:rsidR="00F5114A">
        <w:rPr>
          <w:rFonts w:ascii="Arial" w:hAnsi="Arial" w:cs="Arial"/>
          <w:sz w:val="22"/>
          <w:szCs w:val="22"/>
        </w:rPr>
        <w:t>G</w:t>
      </w:r>
      <w:r w:rsidR="00F5114A" w:rsidRPr="002F78A5">
        <w:rPr>
          <w:rFonts w:ascii="Arial" w:hAnsi="Arial" w:cs="Arial"/>
          <w:sz w:val="22"/>
          <w:szCs w:val="22"/>
        </w:rPr>
        <w:t xml:space="preserve">eneral </w:t>
      </w:r>
      <w:r w:rsidR="00F5114A">
        <w:rPr>
          <w:rFonts w:ascii="Arial" w:hAnsi="Arial" w:cs="Arial"/>
          <w:sz w:val="22"/>
          <w:szCs w:val="22"/>
        </w:rPr>
        <w:t>S</w:t>
      </w:r>
      <w:r w:rsidR="00F5114A" w:rsidRPr="002F78A5">
        <w:rPr>
          <w:rFonts w:ascii="Arial" w:hAnsi="Arial" w:cs="Arial"/>
          <w:sz w:val="22"/>
          <w:szCs w:val="22"/>
        </w:rPr>
        <w:t xml:space="preserve">chedule </w:t>
      </w:r>
      <w:r w:rsidRPr="002F78A5">
        <w:rPr>
          <w:rFonts w:ascii="Arial" w:hAnsi="Arial" w:cs="Arial"/>
          <w:sz w:val="22"/>
          <w:szCs w:val="22"/>
        </w:rPr>
        <w:t xml:space="preserve">listing based on </w:t>
      </w:r>
      <w:r w:rsidR="00EF7DDF">
        <w:rPr>
          <w:rFonts w:ascii="Arial" w:hAnsi="Arial" w:cs="Arial"/>
          <w:sz w:val="22"/>
          <w:szCs w:val="22"/>
        </w:rPr>
        <w:t xml:space="preserve">approved </w:t>
      </w:r>
      <w:r w:rsidRPr="002F78A5">
        <w:rPr>
          <w:rFonts w:ascii="Arial" w:hAnsi="Arial" w:cs="Arial"/>
          <w:sz w:val="22"/>
          <w:szCs w:val="22"/>
        </w:rPr>
        <w:t xml:space="preserve">ex-manufacturer price per patch. </w:t>
      </w:r>
    </w:p>
    <w:p w:rsidR="008C6DBD" w:rsidRPr="006649A6" w:rsidRDefault="008C6DBD" w:rsidP="00A24323">
      <w:pPr>
        <w:ind w:left="720" w:hanging="720"/>
      </w:pPr>
    </w:p>
    <w:p w:rsidR="005A3173" w:rsidRPr="00BC3B15" w:rsidRDefault="005A3173" w:rsidP="00DA0EDB">
      <w:pPr>
        <w:pStyle w:val="Heading2"/>
        <w:keepLines/>
        <w:ind w:left="720" w:hanging="720"/>
      </w:pPr>
      <w:r w:rsidRPr="00BC3B15">
        <w:t>Estimated PBS usage &amp; financial implications</w:t>
      </w:r>
    </w:p>
    <w:p w:rsidR="005A3173" w:rsidRPr="00882085" w:rsidRDefault="005A3173" w:rsidP="00DA0EDB">
      <w:pPr>
        <w:keepNext/>
        <w:keepLines/>
        <w:ind w:left="720" w:hanging="720"/>
        <w:jc w:val="both"/>
        <w:rPr>
          <w:rFonts w:ascii="Arial" w:hAnsi="Arial"/>
          <w:b/>
          <w:i/>
          <w:sz w:val="22"/>
          <w:szCs w:val="22"/>
        </w:rPr>
      </w:pPr>
    </w:p>
    <w:p w:rsidR="003F326E" w:rsidRPr="00104761" w:rsidRDefault="003F326E" w:rsidP="00DA0EDB">
      <w:pPr>
        <w:pStyle w:val="ListParagraph"/>
        <w:keepNext/>
        <w:keepLines/>
        <w:numPr>
          <w:ilvl w:val="1"/>
          <w:numId w:val="1"/>
        </w:numPr>
        <w:jc w:val="both"/>
        <w:rPr>
          <w:rFonts w:ascii="Arial" w:hAnsi="Arial"/>
          <w:sz w:val="22"/>
          <w:szCs w:val="22"/>
        </w:rPr>
      </w:pPr>
      <w:r w:rsidRPr="00104761">
        <w:rPr>
          <w:rFonts w:ascii="Arial" w:hAnsi="Arial"/>
          <w:sz w:val="22"/>
          <w:szCs w:val="22"/>
        </w:rPr>
        <w:t xml:space="preserve">The submission used a market share approach to estimate </w:t>
      </w:r>
      <w:r w:rsidR="00EC5D34" w:rsidRPr="00104761">
        <w:rPr>
          <w:rFonts w:ascii="Arial" w:hAnsi="Arial"/>
          <w:sz w:val="22"/>
          <w:szCs w:val="22"/>
        </w:rPr>
        <w:t xml:space="preserve">PBS usage </w:t>
      </w:r>
      <w:r w:rsidR="00863C40" w:rsidRPr="00104761">
        <w:rPr>
          <w:rFonts w:ascii="Arial" w:hAnsi="Arial"/>
          <w:sz w:val="22"/>
          <w:szCs w:val="22"/>
        </w:rPr>
        <w:t xml:space="preserve">and assumed that up to 7% of current buprenorphine transdermal patch use within the General Schedule listings is for patients receiving palliative care </w:t>
      </w:r>
      <w:r w:rsidR="00EC5D34" w:rsidRPr="00104761">
        <w:rPr>
          <w:rFonts w:ascii="Arial" w:hAnsi="Arial"/>
          <w:sz w:val="22"/>
          <w:szCs w:val="22"/>
        </w:rPr>
        <w:t xml:space="preserve">who </w:t>
      </w:r>
      <w:r w:rsidR="00863C40" w:rsidRPr="00104761">
        <w:rPr>
          <w:rFonts w:ascii="Arial" w:hAnsi="Arial"/>
          <w:sz w:val="22"/>
          <w:szCs w:val="22"/>
        </w:rPr>
        <w:t>would instead use the proposed</w:t>
      </w:r>
      <w:r w:rsidR="00EC5D34" w:rsidRPr="00104761">
        <w:rPr>
          <w:rFonts w:ascii="Arial" w:hAnsi="Arial"/>
          <w:sz w:val="22"/>
          <w:szCs w:val="22"/>
        </w:rPr>
        <w:t xml:space="preserve"> palliative care schedule</w:t>
      </w:r>
      <w:r w:rsidR="00863C40" w:rsidRPr="00104761">
        <w:rPr>
          <w:rFonts w:ascii="Arial" w:hAnsi="Arial"/>
          <w:sz w:val="22"/>
          <w:szCs w:val="22"/>
        </w:rPr>
        <w:t xml:space="preserve"> listings.</w:t>
      </w:r>
      <w:r w:rsidR="006649A6" w:rsidRPr="00104761">
        <w:rPr>
          <w:rFonts w:ascii="Arial" w:hAnsi="Arial"/>
          <w:sz w:val="22"/>
          <w:szCs w:val="22"/>
        </w:rPr>
        <w:t xml:space="preserve"> </w:t>
      </w:r>
      <w:r w:rsidR="00EC5D34" w:rsidRPr="00104761">
        <w:rPr>
          <w:rFonts w:ascii="Arial" w:hAnsi="Arial"/>
          <w:sz w:val="22"/>
          <w:szCs w:val="22"/>
        </w:rPr>
        <w:t xml:space="preserve">No evidence was provided in the submission to support this estimate. </w:t>
      </w:r>
    </w:p>
    <w:p w:rsidR="00B21FA2" w:rsidRPr="00104761" w:rsidRDefault="00B21FA2" w:rsidP="00A24323">
      <w:pPr>
        <w:ind w:left="720" w:hanging="720"/>
        <w:jc w:val="both"/>
        <w:rPr>
          <w:rFonts w:ascii="Arial" w:hAnsi="Arial"/>
          <w:sz w:val="22"/>
          <w:szCs w:val="22"/>
        </w:rPr>
      </w:pPr>
    </w:p>
    <w:p w:rsidR="0004507B" w:rsidRPr="00104761" w:rsidRDefault="0004507B" w:rsidP="001A286C">
      <w:pPr>
        <w:pStyle w:val="ListParagraph"/>
        <w:numPr>
          <w:ilvl w:val="1"/>
          <w:numId w:val="1"/>
        </w:numPr>
        <w:jc w:val="both"/>
        <w:rPr>
          <w:rFonts w:ascii="Arial" w:hAnsi="Arial"/>
          <w:sz w:val="22"/>
          <w:szCs w:val="22"/>
        </w:rPr>
      </w:pPr>
      <w:r w:rsidRPr="00104761">
        <w:rPr>
          <w:rFonts w:ascii="Arial" w:hAnsi="Arial"/>
          <w:sz w:val="22"/>
          <w:szCs w:val="22"/>
        </w:rPr>
        <w:t xml:space="preserve">The submission assumed no net change in the number of patients accessing buprenorphine and that patient’s current dosing will remain unaltered as a consequence of the proposed listing. </w:t>
      </w:r>
    </w:p>
    <w:p w:rsidR="008C6DBD" w:rsidRPr="00104761" w:rsidRDefault="008C6DBD" w:rsidP="001A286C">
      <w:pPr>
        <w:pStyle w:val="ListParagraph"/>
        <w:jc w:val="both"/>
        <w:rPr>
          <w:rFonts w:ascii="Arial" w:hAnsi="Arial"/>
          <w:sz w:val="22"/>
          <w:szCs w:val="22"/>
        </w:rPr>
      </w:pPr>
    </w:p>
    <w:p w:rsidR="00E863B6" w:rsidRPr="00104761" w:rsidRDefault="00BF4BA7" w:rsidP="00ED5A97">
      <w:pPr>
        <w:pStyle w:val="ListParagraph"/>
        <w:numPr>
          <w:ilvl w:val="1"/>
          <w:numId w:val="1"/>
        </w:numPr>
        <w:jc w:val="both"/>
        <w:rPr>
          <w:rFonts w:ascii="Arial" w:hAnsi="Arial"/>
          <w:sz w:val="22"/>
          <w:szCs w:val="22"/>
        </w:rPr>
      </w:pPr>
      <w:r w:rsidRPr="00104761">
        <w:rPr>
          <w:rFonts w:ascii="Arial" w:hAnsi="Arial"/>
          <w:sz w:val="22"/>
          <w:szCs w:val="22"/>
        </w:rPr>
        <w:t>The submission estimated</w:t>
      </w:r>
      <w:r w:rsidR="00EE195E" w:rsidRPr="00104761">
        <w:rPr>
          <w:rFonts w:ascii="Arial" w:hAnsi="Arial"/>
          <w:sz w:val="22"/>
          <w:szCs w:val="22"/>
        </w:rPr>
        <w:t xml:space="preserve"> c</w:t>
      </w:r>
      <w:r w:rsidR="006649A6" w:rsidRPr="00104761">
        <w:rPr>
          <w:rFonts w:ascii="Arial" w:hAnsi="Arial"/>
          <w:sz w:val="22"/>
          <w:szCs w:val="22"/>
        </w:rPr>
        <w:t xml:space="preserve">ost savings to the PBS from fewer dispensing fees, </w:t>
      </w:r>
      <w:r w:rsidR="00EE195E" w:rsidRPr="00104761">
        <w:rPr>
          <w:rFonts w:ascii="Arial" w:hAnsi="Arial"/>
          <w:sz w:val="22"/>
          <w:szCs w:val="22"/>
        </w:rPr>
        <w:t>savings to the MBS through reduced GP visits and</w:t>
      </w:r>
      <w:r w:rsidR="005573E6" w:rsidRPr="00104761">
        <w:rPr>
          <w:rFonts w:ascii="Arial" w:hAnsi="Arial"/>
          <w:sz w:val="22"/>
          <w:szCs w:val="22"/>
        </w:rPr>
        <w:t xml:space="preserve"> reduced administrative costs as a result of fewer</w:t>
      </w:r>
      <w:r w:rsidR="00EE195E" w:rsidRPr="00104761">
        <w:rPr>
          <w:rFonts w:ascii="Arial" w:hAnsi="Arial"/>
          <w:sz w:val="22"/>
          <w:szCs w:val="22"/>
        </w:rPr>
        <w:t xml:space="preserve"> </w:t>
      </w:r>
      <w:r w:rsidR="00AD2D0C" w:rsidRPr="00104761">
        <w:rPr>
          <w:rFonts w:ascii="Arial" w:hAnsi="Arial"/>
          <w:sz w:val="22"/>
          <w:szCs w:val="22"/>
        </w:rPr>
        <w:t xml:space="preserve">authority prescriptions processed. </w:t>
      </w:r>
    </w:p>
    <w:p w:rsidR="00594B8A" w:rsidRPr="00104761" w:rsidRDefault="00594B8A" w:rsidP="003D7D95">
      <w:pPr>
        <w:jc w:val="both"/>
        <w:rPr>
          <w:rFonts w:ascii="Arial" w:hAnsi="Arial"/>
          <w:color w:val="FF00FF"/>
          <w:sz w:val="22"/>
          <w:szCs w:val="22"/>
        </w:rPr>
      </w:pPr>
    </w:p>
    <w:p w:rsidR="0016623A" w:rsidRPr="00104761" w:rsidRDefault="00B21FA2" w:rsidP="00ED5A97">
      <w:pPr>
        <w:pStyle w:val="ListParagraph"/>
        <w:numPr>
          <w:ilvl w:val="1"/>
          <w:numId w:val="1"/>
        </w:numPr>
        <w:jc w:val="both"/>
        <w:rPr>
          <w:rFonts w:ascii="Arial" w:hAnsi="Arial"/>
          <w:sz w:val="22"/>
          <w:szCs w:val="22"/>
        </w:rPr>
      </w:pPr>
      <w:r w:rsidRPr="00104761">
        <w:rPr>
          <w:rFonts w:ascii="Arial" w:hAnsi="Arial"/>
          <w:sz w:val="22"/>
          <w:szCs w:val="22"/>
        </w:rPr>
        <w:t>The submission estimate</w:t>
      </w:r>
      <w:r w:rsidR="00DE1799" w:rsidRPr="00104761">
        <w:rPr>
          <w:rFonts w:ascii="Arial" w:hAnsi="Arial"/>
          <w:sz w:val="22"/>
          <w:szCs w:val="22"/>
        </w:rPr>
        <w:t>d</w:t>
      </w:r>
      <w:r w:rsidRPr="00104761">
        <w:rPr>
          <w:rFonts w:ascii="Arial" w:hAnsi="Arial"/>
          <w:sz w:val="22"/>
          <w:szCs w:val="22"/>
        </w:rPr>
        <w:t xml:space="preserve"> a cost saving of </w:t>
      </w:r>
      <w:r w:rsidR="008864C9">
        <w:rPr>
          <w:rFonts w:ascii="Arial" w:hAnsi="Arial"/>
          <w:sz w:val="22"/>
          <w:szCs w:val="22"/>
        </w:rPr>
        <w:t>less than $10 million</w:t>
      </w:r>
      <w:r w:rsidRPr="00104761">
        <w:rPr>
          <w:rFonts w:ascii="Arial" w:hAnsi="Arial"/>
          <w:sz w:val="22"/>
          <w:szCs w:val="22"/>
        </w:rPr>
        <w:t xml:space="preserve"> in year 5, and a cumulative saving </w:t>
      </w:r>
      <w:proofErr w:type="gramStart"/>
      <w:r w:rsidRPr="00104761">
        <w:rPr>
          <w:rFonts w:ascii="Arial" w:hAnsi="Arial"/>
          <w:sz w:val="22"/>
          <w:szCs w:val="22"/>
        </w:rPr>
        <w:t xml:space="preserve">of </w:t>
      </w:r>
      <w:r w:rsidR="00923CE3">
        <w:rPr>
          <w:rFonts w:ascii="Arial" w:hAnsi="Arial"/>
          <w:sz w:val="22"/>
          <w:szCs w:val="22"/>
        </w:rPr>
        <w:t xml:space="preserve"> less</w:t>
      </w:r>
      <w:proofErr w:type="gramEnd"/>
      <w:r w:rsidR="00923CE3">
        <w:rPr>
          <w:rFonts w:ascii="Arial" w:hAnsi="Arial"/>
          <w:sz w:val="22"/>
          <w:szCs w:val="22"/>
        </w:rPr>
        <w:t xml:space="preserve"> than $10 million</w:t>
      </w:r>
      <w:r w:rsidR="00DE1799" w:rsidRPr="00104761">
        <w:rPr>
          <w:rFonts w:ascii="Arial" w:hAnsi="Arial"/>
          <w:sz w:val="22"/>
          <w:szCs w:val="22"/>
        </w:rPr>
        <w:t xml:space="preserve"> over five years</w:t>
      </w:r>
      <w:r w:rsidR="00EE195E" w:rsidRPr="00104761">
        <w:rPr>
          <w:rFonts w:ascii="Arial" w:hAnsi="Arial"/>
          <w:sz w:val="22"/>
          <w:szCs w:val="22"/>
        </w:rPr>
        <w:t xml:space="preserve">. </w:t>
      </w:r>
      <w:r w:rsidR="00396E97" w:rsidRPr="00104761">
        <w:rPr>
          <w:rFonts w:ascii="Arial" w:hAnsi="Arial"/>
          <w:sz w:val="22"/>
          <w:szCs w:val="22"/>
        </w:rPr>
        <w:t xml:space="preserve">The savings estimated may not be realised and are unable to be verified in a minor submission. </w:t>
      </w:r>
    </w:p>
    <w:p w:rsidR="00ED5A97" w:rsidRPr="00104761" w:rsidRDefault="00ED5A97" w:rsidP="00ED5A97">
      <w:pPr>
        <w:pStyle w:val="ListParagraph"/>
        <w:rPr>
          <w:rFonts w:ascii="Arial" w:hAnsi="Arial"/>
          <w:sz w:val="22"/>
          <w:szCs w:val="22"/>
        </w:rPr>
      </w:pPr>
    </w:p>
    <w:p w:rsidR="00504509" w:rsidRDefault="00ED5A97" w:rsidP="00504509">
      <w:pPr>
        <w:ind w:firstLine="720"/>
        <w:rPr>
          <w:rFonts w:ascii="Arial" w:hAnsi="Arial" w:cs="Arial"/>
          <w:bCs/>
          <w:i/>
          <w:snapToGrid w:val="0"/>
          <w:sz w:val="22"/>
          <w:szCs w:val="22"/>
        </w:rPr>
      </w:pPr>
      <w:r w:rsidRPr="00BC3B15">
        <w:rPr>
          <w:rFonts w:ascii="Arial" w:hAnsi="Arial" w:cs="Arial"/>
          <w:bCs/>
          <w:i/>
          <w:snapToGrid w:val="0"/>
          <w:sz w:val="22"/>
          <w:szCs w:val="22"/>
        </w:rPr>
        <w:t>For more deta</w:t>
      </w:r>
      <w:r w:rsidR="006423EC" w:rsidRPr="00BC3B15">
        <w:rPr>
          <w:rFonts w:ascii="Arial" w:hAnsi="Arial" w:cs="Arial"/>
          <w:bCs/>
          <w:i/>
          <w:snapToGrid w:val="0"/>
          <w:sz w:val="22"/>
          <w:szCs w:val="22"/>
        </w:rPr>
        <w:t>il on PBAC’s view, see section 6</w:t>
      </w:r>
      <w:r w:rsidRPr="00BC3B15">
        <w:rPr>
          <w:rFonts w:ascii="Arial" w:hAnsi="Arial" w:cs="Arial"/>
          <w:bCs/>
          <w:i/>
          <w:snapToGrid w:val="0"/>
          <w:sz w:val="22"/>
          <w:szCs w:val="22"/>
        </w:rPr>
        <w:t xml:space="preserve"> “PBAC outcome”</w:t>
      </w:r>
      <w:r w:rsidR="00504509">
        <w:rPr>
          <w:rFonts w:ascii="Arial" w:hAnsi="Arial" w:cs="Arial"/>
          <w:bCs/>
          <w:i/>
          <w:snapToGrid w:val="0"/>
          <w:sz w:val="22"/>
          <w:szCs w:val="22"/>
        </w:rPr>
        <w:t>.</w:t>
      </w:r>
    </w:p>
    <w:p w:rsidR="00504509" w:rsidRPr="00504509" w:rsidRDefault="00504509" w:rsidP="00504509">
      <w:pPr>
        <w:ind w:firstLine="720"/>
        <w:rPr>
          <w:rFonts w:ascii="Arial" w:hAnsi="Arial" w:cs="Arial"/>
          <w:bCs/>
          <w:i/>
          <w:snapToGrid w:val="0"/>
          <w:sz w:val="22"/>
          <w:szCs w:val="22"/>
        </w:rPr>
      </w:pPr>
    </w:p>
    <w:p w:rsidR="009201EF" w:rsidRPr="006423EC" w:rsidRDefault="00ED5A97" w:rsidP="00504509">
      <w:pPr>
        <w:pStyle w:val="Heading1"/>
        <w:numPr>
          <w:ilvl w:val="0"/>
          <w:numId w:val="1"/>
        </w:numPr>
        <w:rPr>
          <w:snapToGrid w:val="0"/>
        </w:rPr>
      </w:pPr>
      <w:r w:rsidRPr="006423EC">
        <w:rPr>
          <w:snapToGrid w:val="0"/>
        </w:rPr>
        <w:t>PBAC Outcome</w:t>
      </w:r>
    </w:p>
    <w:p w:rsidR="00ED5A97" w:rsidRPr="0069654D" w:rsidRDefault="00ED5A97" w:rsidP="00ED5A97">
      <w:pPr>
        <w:widowControl w:val="0"/>
        <w:jc w:val="both"/>
        <w:rPr>
          <w:rFonts w:ascii="Arial" w:hAnsi="Arial" w:cs="Arial"/>
          <w:bCs/>
          <w:snapToGrid w:val="0"/>
          <w:sz w:val="22"/>
          <w:szCs w:val="20"/>
          <w:highlight w:val="yellow"/>
          <w:lang w:val="en-GB"/>
        </w:rPr>
      </w:pPr>
    </w:p>
    <w:p w:rsidR="00731D83" w:rsidRPr="00104761" w:rsidRDefault="00ED5A97" w:rsidP="00014426">
      <w:pPr>
        <w:widowControl w:val="0"/>
        <w:numPr>
          <w:ilvl w:val="1"/>
          <w:numId w:val="1"/>
        </w:numPr>
        <w:jc w:val="both"/>
        <w:rPr>
          <w:rFonts w:ascii="Arial" w:hAnsi="Arial" w:cs="Arial"/>
          <w:bCs/>
          <w:snapToGrid w:val="0"/>
          <w:sz w:val="22"/>
          <w:szCs w:val="20"/>
          <w:lang w:val="en-GB"/>
        </w:rPr>
      </w:pPr>
      <w:r w:rsidRPr="00104761">
        <w:rPr>
          <w:rFonts w:ascii="Arial" w:hAnsi="Arial" w:cs="Arial"/>
          <w:bCs/>
          <w:snapToGrid w:val="0"/>
          <w:sz w:val="22"/>
          <w:szCs w:val="20"/>
          <w:lang w:val="en-GB"/>
        </w:rPr>
        <w:t>The PBAC recommended</w:t>
      </w:r>
      <w:r w:rsidR="00014426" w:rsidRPr="00104761">
        <w:rPr>
          <w:rFonts w:ascii="Arial" w:hAnsi="Arial" w:cs="Arial"/>
          <w:bCs/>
          <w:snapToGrid w:val="0"/>
          <w:sz w:val="22"/>
          <w:szCs w:val="20"/>
          <w:lang w:val="en-GB"/>
        </w:rPr>
        <w:t xml:space="preserve"> the Authority </w:t>
      </w:r>
      <w:proofErr w:type="gramStart"/>
      <w:r w:rsidR="00014426" w:rsidRPr="00104761">
        <w:rPr>
          <w:rFonts w:ascii="Arial" w:hAnsi="Arial" w:cs="Arial"/>
          <w:bCs/>
          <w:snapToGrid w:val="0"/>
          <w:sz w:val="22"/>
          <w:szCs w:val="20"/>
          <w:lang w:val="en-GB"/>
        </w:rPr>
        <w:t>Required</w:t>
      </w:r>
      <w:proofErr w:type="gramEnd"/>
      <w:r w:rsidRPr="00104761">
        <w:rPr>
          <w:rFonts w:ascii="Arial" w:hAnsi="Arial" w:cs="Arial"/>
          <w:bCs/>
          <w:snapToGrid w:val="0"/>
          <w:sz w:val="22"/>
          <w:szCs w:val="20"/>
          <w:lang w:val="en-GB"/>
        </w:rPr>
        <w:t xml:space="preserve"> listing</w:t>
      </w:r>
      <w:r w:rsidR="00014426" w:rsidRPr="00104761">
        <w:rPr>
          <w:rFonts w:ascii="Arial" w:hAnsi="Arial" w:cs="Arial"/>
          <w:bCs/>
          <w:snapToGrid w:val="0"/>
          <w:sz w:val="22"/>
          <w:szCs w:val="20"/>
          <w:lang w:val="en-GB"/>
        </w:rPr>
        <w:t xml:space="preserve"> </w:t>
      </w:r>
      <w:r w:rsidR="00731D83" w:rsidRPr="00104761">
        <w:rPr>
          <w:rFonts w:ascii="Arial" w:hAnsi="Arial" w:cs="Arial"/>
          <w:bCs/>
          <w:snapToGrid w:val="0"/>
          <w:sz w:val="22"/>
          <w:szCs w:val="20"/>
          <w:lang w:val="en-GB"/>
        </w:rPr>
        <w:t>of buprenorphine transdermal patches on the Palliative Care Schedule</w:t>
      </w:r>
      <w:r w:rsidR="00014426" w:rsidRPr="00104761">
        <w:rPr>
          <w:rFonts w:ascii="Arial" w:hAnsi="Arial" w:cs="Arial"/>
          <w:bCs/>
          <w:snapToGrid w:val="0"/>
          <w:sz w:val="22"/>
          <w:szCs w:val="20"/>
          <w:lang w:val="en-GB"/>
        </w:rPr>
        <w:t xml:space="preserve">, </w:t>
      </w:r>
      <w:r w:rsidR="00731D83" w:rsidRPr="00104761">
        <w:rPr>
          <w:rFonts w:ascii="Arial" w:hAnsi="Arial" w:cs="Arial"/>
          <w:bCs/>
          <w:snapToGrid w:val="0"/>
          <w:sz w:val="22"/>
          <w:szCs w:val="20"/>
          <w:lang w:val="en-GB"/>
        </w:rPr>
        <w:t xml:space="preserve">with a maximum quantity of 4 patches </w:t>
      </w:r>
      <w:r w:rsidR="00014426" w:rsidRPr="00104761">
        <w:rPr>
          <w:rFonts w:ascii="Arial" w:hAnsi="Arial" w:cs="Arial"/>
          <w:bCs/>
          <w:snapToGrid w:val="0"/>
          <w:sz w:val="22"/>
          <w:szCs w:val="20"/>
          <w:lang w:val="en-GB"/>
        </w:rPr>
        <w:t>and</w:t>
      </w:r>
      <w:r w:rsidR="00731D83" w:rsidRPr="00104761">
        <w:rPr>
          <w:rFonts w:ascii="Arial" w:hAnsi="Arial" w:cs="Arial"/>
          <w:bCs/>
          <w:snapToGrid w:val="0"/>
          <w:sz w:val="22"/>
          <w:szCs w:val="20"/>
          <w:lang w:val="en-GB"/>
        </w:rPr>
        <w:t xml:space="preserve"> two repeats</w:t>
      </w:r>
      <w:r w:rsidR="00014426" w:rsidRPr="00104761">
        <w:rPr>
          <w:rFonts w:ascii="Arial" w:hAnsi="Arial" w:cs="Arial"/>
          <w:bCs/>
          <w:snapToGrid w:val="0"/>
          <w:sz w:val="22"/>
          <w:szCs w:val="20"/>
          <w:lang w:val="en-GB"/>
        </w:rPr>
        <w:t>.</w:t>
      </w:r>
    </w:p>
    <w:p w:rsidR="00ED5A97" w:rsidRPr="00104761" w:rsidRDefault="00ED5A97" w:rsidP="00ED5A97">
      <w:pPr>
        <w:widowControl w:val="0"/>
        <w:jc w:val="both"/>
        <w:rPr>
          <w:rFonts w:ascii="Arial" w:hAnsi="Arial" w:cs="Arial"/>
          <w:bCs/>
          <w:snapToGrid w:val="0"/>
          <w:sz w:val="22"/>
          <w:szCs w:val="20"/>
          <w:highlight w:val="yellow"/>
          <w:lang w:val="en-GB"/>
        </w:rPr>
      </w:pPr>
    </w:p>
    <w:p w:rsidR="00014426" w:rsidRPr="00104761" w:rsidRDefault="00014426" w:rsidP="001A286C">
      <w:pPr>
        <w:widowControl w:val="0"/>
        <w:numPr>
          <w:ilvl w:val="1"/>
          <w:numId w:val="1"/>
        </w:numPr>
        <w:jc w:val="both"/>
        <w:rPr>
          <w:rFonts w:ascii="Arial" w:hAnsi="Arial" w:cs="Arial"/>
          <w:bCs/>
          <w:snapToGrid w:val="0"/>
          <w:sz w:val="22"/>
          <w:szCs w:val="20"/>
          <w:lang w:val="en-GB"/>
        </w:rPr>
      </w:pPr>
      <w:r w:rsidRPr="00104761">
        <w:rPr>
          <w:rFonts w:ascii="Arial" w:hAnsi="Arial"/>
          <w:sz w:val="22"/>
          <w:szCs w:val="22"/>
        </w:rPr>
        <w:t xml:space="preserve">The PBAC noted </w:t>
      </w:r>
      <w:r w:rsidR="009932A5">
        <w:rPr>
          <w:rFonts w:ascii="Arial" w:hAnsi="Arial"/>
          <w:sz w:val="22"/>
          <w:szCs w:val="22"/>
        </w:rPr>
        <w:t xml:space="preserve">that </w:t>
      </w:r>
      <w:r w:rsidRPr="00104761">
        <w:rPr>
          <w:rFonts w:ascii="Arial" w:hAnsi="Arial"/>
          <w:sz w:val="22"/>
          <w:szCs w:val="22"/>
        </w:rPr>
        <w:t xml:space="preserve">morphine is currently listed on the Palliative Care Schedule for chronic disabling pain.  It is an Authority </w:t>
      </w:r>
      <w:proofErr w:type="gramStart"/>
      <w:r w:rsidRPr="00104761">
        <w:rPr>
          <w:rFonts w:ascii="Arial" w:hAnsi="Arial"/>
          <w:sz w:val="22"/>
          <w:szCs w:val="22"/>
        </w:rPr>
        <w:t>Required</w:t>
      </w:r>
      <w:proofErr w:type="gramEnd"/>
      <w:r w:rsidRPr="00104761">
        <w:rPr>
          <w:rFonts w:ascii="Arial" w:hAnsi="Arial"/>
          <w:sz w:val="22"/>
          <w:szCs w:val="22"/>
        </w:rPr>
        <w:t xml:space="preserve"> listing with one month available by telephone authority and up to three months’ supply available by written authority. </w:t>
      </w:r>
      <w:r w:rsidR="00207CAA" w:rsidRPr="00104761">
        <w:rPr>
          <w:rFonts w:ascii="Arial" w:hAnsi="Arial" w:cs="Arial"/>
          <w:bCs/>
          <w:snapToGrid w:val="0"/>
          <w:sz w:val="22"/>
          <w:szCs w:val="20"/>
          <w:lang w:val="en-GB"/>
        </w:rPr>
        <w:t xml:space="preserve">The PBAC </w:t>
      </w:r>
      <w:r w:rsidRPr="00104761">
        <w:rPr>
          <w:rFonts w:ascii="Arial" w:hAnsi="Arial" w:cs="Arial"/>
          <w:bCs/>
          <w:snapToGrid w:val="0"/>
          <w:sz w:val="22"/>
          <w:szCs w:val="20"/>
          <w:lang w:val="en-GB"/>
        </w:rPr>
        <w:t xml:space="preserve">agreed with the Secretariat suggested wording for the restriction, </w:t>
      </w:r>
      <w:r w:rsidR="00207CAA" w:rsidRPr="00104761">
        <w:rPr>
          <w:rFonts w:ascii="Arial" w:hAnsi="Arial" w:cs="Arial"/>
          <w:bCs/>
          <w:snapToGrid w:val="0"/>
          <w:sz w:val="22"/>
          <w:szCs w:val="20"/>
          <w:lang w:val="en-GB"/>
        </w:rPr>
        <w:t>recommend</w:t>
      </w:r>
      <w:r w:rsidRPr="00104761">
        <w:rPr>
          <w:rFonts w:ascii="Arial" w:hAnsi="Arial" w:cs="Arial"/>
          <w:bCs/>
          <w:snapToGrid w:val="0"/>
          <w:sz w:val="22"/>
          <w:szCs w:val="20"/>
          <w:lang w:val="en-GB"/>
        </w:rPr>
        <w:t>ing that</w:t>
      </w:r>
      <w:r w:rsidR="00207CAA" w:rsidRPr="00104761">
        <w:rPr>
          <w:rFonts w:ascii="Arial" w:hAnsi="Arial" w:cs="Arial"/>
          <w:bCs/>
          <w:snapToGrid w:val="0"/>
          <w:sz w:val="22"/>
          <w:szCs w:val="20"/>
          <w:lang w:val="en-GB"/>
        </w:rPr>
        <w:t xml:space="preserve"> buprenorphine be aligned with the morphine listing on the Palliative Care Schedule</w:t>
      </w:r>
      <w:r w:rsidR="00C16057">
        <w:rPr>
          <w:rFonts w:ascii="Arial" w:hAnsi="Arial" w:cs="Arial"/>
          <w:bCs/>
          <w:snapToGrid w:val="0"/>
          <w:sz w:val="22"/>
          <w:szCs w:val="20"/>
          <w:lang w:val="en-GB"/>
        </w:rPr>
        <w:t>.</w:t>
      </w:r>
    </w:p>
    <w:p w:rsidR="00207CAA" w:rsidRPr="00104761" w:rsidRDefault="00207CAA" w:rsidP="001A286C">
      <w:pPr>
        <w:widowControl w:val="0"/>
        <w:jc w:val="both"/>
        <w:rPr>
          <w:rFonts w:ascii="Arial" w:hAnsi="Arial" w:cs="Arial"/>
          <w:bCs/>
          <w:snapToGrid w:val="0"/>
          <w:sz w:val="22"/>
          <w:szCs w:val="20"/>
          <w:lang w:val="en-GB"/>
        </w:rPr>
      </w:pPr>
    </w:p>
    <w:p w:rsidR="00014426" w:rsidRPr="00104761" w:rsidRDefault="00D564B3" w:rsidP="001A286C">
      <w:pPr>
        <w:widowControl w:val="0"/>
        <w:numPr>
          <w:ilvl w:val="1"/>
          <w:numId w:val="1"/>
        </w:numPr>
        <w:jc w:val="both"/>
        <w:rPr>
          <w:rFonts w:ascii="Arial" w:hAnsi="Arial" w:cs="Arial"/>
          <w:bCs/>
          <w:snapToGrid w:val="0"/>
          <w:sz w:val="22"/>
          <w:szCs w:val="20"/>
          <w:lang w:val="en-GB"/>
        </w:rPr>
      </w:pPr>
      <w:r w:rsidRPr="00104761">
        <w:rPr>
          <w:rFonts w:ascii="Arial" w:hAnsi="Arial" w:cs="Arial"/>
          <w:bCs/>
          <w:snapToGrid w:val="0"/>
          <w:sz w:val="22"/>
          <w:szCs w:val="20"/>
          <w:lang w:val="en-GB"/>
        </w:rPr>
        <w:t xml:space="preserve">The PBAC accepted </w:t>
      </w:r>
      <w:r w:rsidR="00014426" w:rsidRPr="00104761">
        <w:rPr>
          <w:rFonts w:ascii="Arial" w:hAnsi="Arial" w:cs="Arial"/>
          <w:bCs/>
          <w:snapToGrid w:val="0"/>
          <w:sz w:val="22"/>
          <w:szCs w:val="20"/>
          <w:lang w:val="en-GB"/>
        </w:rPr>
        <w:t xml:space="preserve">that </w:t>
      </w:r>
      <w:r w:rsidRPr="00104761">
        <w:rPr>
          <w:rFonts w:ascii="Arial" w:hAnsi="Arial" w:cs="Arial"/>
          <w:bCs/>
          <w:snapToGrid w:val="0"/>
          <w:sz w:val="22"/>
          <w:szCs w:val="20"/>
          <w:lang w:val="en-GB"/>
        </w:rPr>
        <w:t>there is a clinical need for</w:t>
      </w:r>
      <w:r w:rsidR="00014426" w:rsidRPr="00104761">
        <w:rPr>
          <w:rFonts w:ascii="Arial" w:hAnsi="Arial" w:cs="Arial"/>
          <w:bCs/>
          <w:snapToGrid w:val="0"/>
          <w:sz w:val="22"/>
          <w:szCs w:val="20"/>
          <w:lang w:val="en-GB"/>
        </w:rPr>
        <w:t xml:space="preserve"> an increased</w:t>
      </w:r>
      <w:r w:rsidR="000E3E94" w:rsidRPr="00104761">
        <w:rPr>
          <w:rFonts w:ascii="Arial" w:hAnsi="Arial" w:cs="Arial"/>
          <w:bCs/>
          <w:snapToGrid w:val="0"/>
          <w:sz w:val="22"/>
          <w:szCs w:val="20"/>
          <w:lang w:val="en-GB"/>
        </w:rPr>
        <w:t xml:space="preserve"> quantity and number of repeats to be made</w:t>
      </w:r>
      <w:r w:rsidR="00014426" w:rsidRPr="00104761">
        <w:rPr>
          <w:rFonts w:ascii="Arial" w:hAnsi="Arial" w:cs="Arial"/>
          <w:bCs/>
          <w:snapToGrid w:val="0"/>
          <w:sz w:val="22"/>
          <w:szCs w:val="20"/>
          <w:lang w:val="en-GB"/>
        </w:rPr>
        <w:t xml:space="preserve"> available for palliative care patients in order to improve access and convenience </w:t>
      </w:r>
      <w:r w:rsidR="009932A5">
        <w:rPr>
          <w:rFonts w:ascii="Arial" w:hAnsi="Arial" w:cs="Arial"/>
          <w:bCs/>
          <w:snapToGrid w:val="0"/>
          <w:sz w:val="22"/>
          <w:szCs w:val="20"/>
          <w:lang w:val="en-GB"/>
        </w:rPr>
        <w:t>for patients</w:t>
      </w:r>
      <w:r w:rsidR="00014426" w:rsidRPr="00104761">
        <w:rPr>
          <w:rFonts w:ascii="Arial" w:hAnsi="Arial" w:cs="Arial"/>
          <w:bCs/>
          <w:snapToGrid w:val="0"/>
          <w:sz w:val="22"/>
          <w:szCs w:val="20"/>
          <w:lang w:val="en-GB"/>
        </w:rPr>
        <w:t xml:space="preserve"> receiving palliative care. </w:t>
      </w:r>
    </w:p>
    <w:p w:rsidR="006423EC" w:rsidRPr="00104761" w:rsidRDefault="006423EC" w:rsidP="006423EC">
      <w:pPr>
        <w:jc w:val="both"/>
      </w:pPr>
    </w:p>
    <w:p w:rsidR="00014426" w:rsidRPr="00104761" w:rsidRDefault="00014426" w:rsidP="000E3E94">
      <w:pPr>
        <w:widowControl w:val="0"/>
        <w:numPr>
          <w:ilvl w:val="1"/>
          <w:numId w:val="1"/>
        </w:numPr>
        <w:jc w:val="both"/>
        <w:rPr>
          <w:rFonts w:ascii="Arial" w:hAnsi="Arial"/>
          <w:sz w:val="22"/>
          <w:szCs w:val="22"/>
        </w:rPr>
      </w:pPr>
      <w:r w:rsidRPr="00104761">
        <w:rPr>
          <w:rFonts w:ascii="Arial" w:hAnsi="Arial"/>
          <w:sz w:val="22"/>
          <w:szCs w:val="22"/>
        </w:rPr>
        <w:t xml:space="preserve">The PBAC considered that the price </w:t>
      </w:r>
      <w:r w:rsidR="00205D9E" w:rsidRPr="00104761">
        <w:rPr>
          <w:rFonts w:ascii="Arial" w:hAnsi="Arial"/>
          <w:sz w:val="22"/>
          <w:szCs w:val="22"/>
        </w:rPr>
        <w:t xml:space="preserve">of buprenorphine patches on the palliative care schedule </w:t>
      </w:r>
      <w:r w:rsidRPr="00104761">
        <w:rPr>
          <w:rFonts w:ascii="Arial" w:hAnsi="Arial"/>
          <w:sz w:val="22"/>
          <w:szCs w:val="22"/>
        </w:rPr>
        <w:t xml:space="preserve">should remain the same as the current general schedule listing based on </w:t>
      </w:r>
      <w:r w:rsidR="00F5114A">
        <w:rPr>
          <w:rFonts w:ascii="Arial" w:hAnsi="Arial"/>
          <w:sz w:val="22"/>
          <w:szCs w:val="22"/>
        </w:rPr>
        <w:t xml:space="preserve">approved </w:t>
      </w:r>
      <w:r w:rsidRPr="00104761">
        <w:rPr>
          <w:rFonts w:ascii="Arial" w:hAnsi="Arial"/>
          <w:sz w:val="22"/>
          <w:szCs w:val="22"/>
        </w:rPr>
        <w:t xml:space="preserve">ex-manufacturer price per patch. </w:t>
      </w:r>
    </w:p>
    <w:p w:rsidR="00ED5A97" w:rsidRPr="00104761" w:rsidRDefault="00ED5A97" w:rsidP="001A286C">
      <w:pPr>
        <w:pStyle w:val="ListParagraph"/>
        <w:rPr>
          <w:rFonts w:ascii="Arial" w:hAnsi="Arial" w:cs="Arial"/>
          <w:bCs/>
          <w:snapToGrid w:val="0"/>
          <w:sz w:val="22"/>
          <w:szCs w:val="20"/>
          <w:highlight w:val="yellow"/>
          <w:lang w:val="en-GB"/>
        </w:rPr>
      </w:pPr>
    </w:p>
    <w:p w:rsidR="00205D9E" w:rsidRPr="00104761" w:rsidRDefault="003C069A" w:rsidP="003C069A">
      <w:pPr>
        <w:pStyle w:val="ListParagraph"/>
        <w:numPr>
          <w:ilvl w:val="1"/>
          <w:numId w:val="1"/>
        </w:numPr>
        <w:jc w:val="both"/>
        <w:rPr>
          <w:rFonts w:ascii="Arial" w:hAnsi="Arial"/>
          <w:sz w:val="22"/>
          <w:szCs w:val="22"/>
        </w:rPr>
      </w:pPr>
      <w:r w:rsidRPr="00104761">
        <w:rPr>
          <w:rFonts w:ascii="Arial" w:hAnsi="Arial"/>
          <w:sz w:val="22"/>
          <w:szCs w:val="22"/>
        </w:rPr>
        <w:t xml:space="preserve">The PBAC </w:t>
      </w:r>
      <w:r w:rsidR="00205D9E" w:rsidRPr="00104761">
        <w:rPr>
          <w:rFonts w:ascii="Arial" w:hAnsi="Arial"/>
          <w:sz w:val="22"/>
          <w:szCs w:val="22"/>
        </w:rPr>
        <w:t xml:space="preserve">considered that it was unlikely that </w:t>
      </w:r>
      <w:r w:rsidRPr="00104761">
        <w:rPr>
          <w:rFonts w:ascii="Arial" w:hAnsi="Arial"/>
          <w:iCs/>
          <w:sz w:val="22"/>
          <w:szCs w:val="22"/>
        </w:rPr>
        <w:t>more patients</w:t>
      </w:r>
      <w:r w:rsidR="00205D9E" w:rsidRPr="00104761">
        <w:rPr>
          <w:rFonts w:ascii="Arial" w:hAnsi="Arial"/>
          <w:iCs/>
          <w:sz w:val="22"/>
          <w:szCs w:val="22"/>
        </w:rPr>
        <w:t xml:space="preserve"> would use buprenorphine patches as</w:t>
      </w:r>
      <w:r w:rsidR="00C16057">
        <w:rPr>
          <w:rFonts w:ascii="Arial" w:hAnsi="Arial"/>
          <w:iCs/>
          <w:sz w:val="22"/>
          <w:szCs w:val="22"/>
        </w:rPr>
        <w:t xml:space="preserve"> a</w:t>
      </w:r>
      <w:r w:rsidRPr="00104761">
        <w:rPr>
          <w:rFonts w:ascii="Arial" w:hAnsi="Arial"/>
          <w:iCs/>
          <w:sz w:val="22"/>
          <w:szCs w:val="22"/>
        </w:rPr>
        <w:t xml:space="preserve"> consequence of the </w:t>
      </w:r>
      <w:r w:rsidR="00205D9E" w:rsidRPr="00104761">
        <w:rPr>
          <w:rFonts w:ascii="Arial" w:hAnsi="Arial"/>
          <w:iCs/>
          <w:sz w:val="22"/>
          <w:szCs w:val="22"/>
        </w:rPr>
        <w:t>new listing.</w:t>
      </w:r>
      <w:r w:rsidRPr="00104761">
        <w:rPr>
          <w:rFonts w:ascii="Arial" w:hAnsi="Arial"/>
          <w:iCs/>
          <w:sz w:val="22"/>
          <w:szCs w:val="22"/>
        </w:rPr>
        <w:t xml:space="preserve"> </w:t>
      </w:r>
    </w:p>
    <w:p w:rsidR="00205D9E" w:rsidRPr="00104761" w:rsidRDefault="00205D9E" w:rsidP="001A286C">
      <w:pPr>
        <w:pStyle w:val="ListParagraph"/>
        <w:jc w:val="both"/>
        <w:rPr>
          <w:rFonts w:ascii="Arial" w:hAnsi="Arial"/>
          <w:sz w:val="22"/>
          <w:szCs w:val="22"/>
        </w:rPr>
      </w:pPr>
    </w:p>
    <w:p w:rsidR="00205D9E" w:rsidRPr="00104761" w:rsidRDefault="00205D9E" w:rsidP="000E3E94">
      <w:pPr>
        <w:pStyle w:val="ListParagraph"/>
        <w:numPr>
          <w:ilvl w:val="1"/>
          <w:numId w:val="1"/>
        </w:numPr>
        <w:jc w:val="both"/>
        <w:rPr>
          <w:rFonts w:ascii="Arial" w:hAnsi="Arial"/>
          <w:sz w:val="22"/>
          <w:szCs w:val="22"/>
        </w:rPr>
      </w:pPr>
      <w:r w:rsidRPr="00104761">
        <w:rPr>
          <w:rFonts w:ascii="Arial" w:hAnsi="Arial"/>
          <w:iCs/>
          <w:sz w:val="22"/>
          <w:szCs w:val="22"/>
        </w:rPr>
        <w:t xml:space="preserve">The PBAC agreed that the </w:t>
      </w:r>
      <w:r w:rsidR="003C069A" w:rsidRPr="00104761">
        <w:rPr>
          <w:rFonts w:ascii="Arial" w:hAnsi="Arial"/>
          <w:sz w:val="22"/>
          <w:szCs w:val="22"/>
        </w:rPr>
        <w:t xml:space="preserve">savings </w:t>
      </w:r>
      <w:r w:rsidRPr="00104761">
        <w:rPr>
          <w:rFonts w:ascii="Arial" w:hAnsi="Arial"/>
          <w:sz w:val="22"/>
          <w:szCs w:val="22"/>
        </w:rPr>
        <w:t>calculated in the submission are</w:t>
      </w:r>
      <w:r w:rsidR="001A286C" w:rsidRPr="00104761">
        <w:rPr>
          <w:rFonts w:ascii="Arial" w:hAnsi="Arial"/>
          <w:sz w:val="22"/>
          <w:szCs w:val="22"/>
        </w:rPr>
        <w:t xml:space="preserve"> expected to be nominal and</w:t>
      </w:r>
      <w:r w:rsidRPr="00104761">
        <w:rPr>
          <w:rFonts w:ascii="Arial" w:hAnsi="Arial"/>
          <w:sz w:val="22"/>
          <w:szCs w:val="22"/>
        </w:rPr>
        <w:t xml:space="preserve"> </w:t>
      </w:r>
      <w:r w:rsidR="00E61487">
        <w:rPr>
          <w:rFonts w:ascii="Arial" w:hAnsi="Arial"/>
          <w:sz w:val="22"/>
          <w:szCs w:val="22"/>
        </w:rPr>
        <w:t>may not</w:t>
      </w:r>
      <w:r w:rsidRPr="00104761">
        <w:rPr>
          <w:rFonts w:ascii="Arial" w:hAnsi="Arial"/>
          <w:sz w:val="22"/>
          <w:szCs w:val="22"/>
        </w:rPr>
        <w:t xml:space="preserve"> be realised. </w:t>
      </w:r>
    </w:p>
    <w:p w:rsidR="00ED5A97" w:rsidRPr="00104761" w:rsidRDefault="00ED5A97" w:rsidP="001A286C">
      <w:pPr>
        <w:pStyle w:val="ListParagraph"/>
        <w:rPr>
          <w:rFonts w:ascii="Arial" w:hAnsi="Arial" w:cs="Arial"/>
          <w:bCs/>
          <w:snapToGrid w:val="0"/>
          <w:sz w:val="22"/>
          <w:szCs w:val="20"/>
          <w:highlight w:val="yellow"/>
          <w:lang w:val="en-GB"/>
        </w:rPr>
      </w:pPr>
    </w:p>
    <w:p w:rsidR="00205D9E" w:rsidRPr="00104761" w:rsidRDefault="00205D9E" w:rsidP="00205D9E">
      <w:pPr>
        <w:widowControl w:val="0"/>
        <w:numPr>
          <w:ilvl w:val="1"/>
          <w:numId w:val="1"/>
        </w:numPr>
        <w:jc w:val="both"/>
        <w:rPr>
          <w:rFonts w:ascii="Arial" w:hAnsi="Arial" w:cs="Arial"/>
          <w:bCs/>
          <w:snapToGrid w:val="0"/>
          <w:sz w:val="22"/>
          <w:szCs w:val="20"/>
          <w:lang w:val="en-GB"/>
        </w:rPr>
      </w:pPr>
      <w:r w:rsidRPr="00104761">
        <w:rPr>
          <w:rFonts w:ascii="Arial" w:hAnsi="Arial" w:cs="Arial"/>
          <w:bCs/>
          <w:snapToGrid w:val="0"/>
          <w:sz w:val="22"/>
          <w:szCs w:val="20"/>
          <w:lang w:val="en-GB"/>
        </w:rPr>
        <w:t xml:space="preserve">The PBAC recommended that buprenorphine should not be treated as interchangeable with any other drugs. </w:t>
      </w:r>
    </w:p>
    <w:p w:rsidR="00205D9E" w:rsidRPr="00104761" w:rsidRDefault="00205D9E" w:rsidP="001A286C">
      <w:pPr>
        <w:widowControl w:val="0"/>
        <w:ind w:left="720"/>
        <w:jc w:val="both"/>
        <w:rPr>
          <w:rFonts w:ascii="Arial" w:hAnsi="Arial" w:cs="Arial"/>
          <w:bCs/>
          <w:snapToGrid w:val="0"/>
          <w:sz w:val="22"/>
          <w:szCs w:val="20"/>
          <w:lang w:val="en-GB"/>
        </w:rPr>
      </w:pPr>
    </w:p>
    <w:p w:rsidR="00DD1D9F" w:rsidRDefault="00205D9E" w:rsidP="00205D9E">
      <w:pPr>
        <w:widowControl w:val="0"/>
        <w:numPr>
          <w:ilvl w:val="1"/>
          <w:numId w:val="1"/>
        </w:numPr>
        <w:jc w:val="both"/>
        <w:rPr>
          <w:rFonts w:ascii="Arial" w:hAnsi="Arial" w:cs="Arial"/>
          <w:bCs/>
          <w:snapToGrid w:val="0"/>
          <w:sz w:val="22"/>
          <w:szCs w:val="20"/>
          <w:lang w:val="en-GB"/>
        </w:rPr>
      </w:pPr>
      <w:r w:rsidRPr="00104761">
        <w:rPr>
          <w:rFonts w:ascii="Arial" w:hAnsi="Arial" w:cs="Arial"/>
          <w:bCs/>
          <w:snapToGrid w:val="0"/>
          <w:sz w:val="22"/>
          <w:szCs w:val="20"/>
          <w:lang w:val="en-GB"/>
        </w:rPr>
        <w:t xml:space="preserve">The PBAC advised that, as for morphine on the </w:t>
      </w:r>
      <w:r w:rsidR="00F5114A">
        <w:rPr>
          <w:rFonts w:ascii="Arial" w:hAnsi="Arial" w:cs="Arial"/>
          <w:bCs/>
          <w:snapToGrid w:val="0"/>
          <w:sz w:val="22"/>
          <w:szCs w:val="20"/>
          <w:lang w:val="en-GB"/>
        </w:rPr>
        <w:t>P</w:t>
      </w:r>
      <w:r w:rsidR="00F5114A" w:rsidRPr="00104761">
        <w:rPr>
          <w:rFonts w:ascii="Arial" w:hAnsi="Arial" w:cs="Arial"/>
          <w:bCs/>
          <w:snapToGrid w:val="0"/>
          <w:sz w:val="22"/>
          <w:szCs w:val="20"/>
          <w:lang w:val="en-GB"/>
        </w:rPr>
        <w:t xml:space="preserve">alliative </w:t>
      </w:r>
      <w:r w:rsidR="00F5114A">
        <w:rPr>
          <w:rFonts w:ascii="Arial" w:hAnsi="Arial" w:cs="Arial"/>
          <w:bCs/>
          <w:snapToGrid w:val="0"/>
          <w:sz w:val="22"/>
          <w:szCs w:val="20"/>
          <w:lang w:val="en-GB"/>
        </w:rPr>
        <w:t>C</w:t>
      </w:r>
      <w:r w:rsidR="00F5114A" w:rsidRPr="00104761">
        <w:rPr>
          <w:rFonts w:ascii="Arial" w:hAnsi="Arial" w:cs="Arial"/>
          <w:bCs/>
          <w:snapToGrid w:val="0"/>
          <w:sz w:val="22"/>
          <w:szCs w:val="20"/>
          <w:lang w:val="en-GB"/>
        </w:rPr>
        <w:t xml:space="preserve">are </w:t>
      </w:r>
      <w:r w:rsidR="00F5114A">
        <w:rPr>
          <w:rFonts w:ascii="Arial" w:hAnsi="Arial" w:cs="Arial"/>
          <w:bCs/>
          <w:snapToGrid w:val="0"/>
          <w:sz w:val="22"/>
          <w:szCs w:val="20"/>
          <w:lang w:val="en-GB"/>
        </w:rPr>
        <w:t>S</w:t>
      </w:r>
      <w:r w:rsidR="00F5114A" w:rsidRPr="00104761">
        <w:rPr>
          <w:rFonts w:ascii="Arial" w:hAnsi="Arial" w:cs="Arial"/>
          <w:bCs/>
          <w:snapToGrid w:val="0"/>
          <w:sz w:val="22"/>
          <w:szCs w:val="20"/>
          <w:lang w:val="en-GB"/>
        </w:rPr>
        <w:t>chedule</w:t>
      </w:r>
      <w:r w:rsidRPr="00104761">
        <w:rPr>
          <w:rFonts w:ascii="Arial" w:hAnsi="Arial" w:cs="Arial"/>
          <w:bCs/>
          <w:snapToGrid w:val="0"/>
          <w:sz w:val="22"/>
          <w:szCs w:val="20"/>
          <w:lang w:val="en-GB"/>
        </w:rPr>
        <w:t>, buprenorphine is suitable for prescribing by nurse practitioners.</w:t>
      </w:r>
    </w:p>
    <w:p w:rsidR="00DD1D9F" w:rsidRDefault="00DD1D9F" w:rsidP="00DD1D9F">
      <w:pPr>
        <w:pStyle w:val="ListParagraph"/>
        <w:rPr>
          <w:rFonts w:ascii="Arial" w:hAnsi="Arial" w:cs="Arial"/>
          <w:bCs/>
          <w:snapToGrid w:val="0"/>
          <w:sz w:val="22"/>
          <w:szCs w:val="20"/>
          <w:lang w:val="en-GB"/>
        </w:rPr>
      </w:pPr>
    </w:p>
    <w:p w:rsidR="00205D9E" w:rsidRPr="00104761" w:rsidRDefault="00DD1D9F" w:rsidP="00205D9E">
      <w:pPr>
        <w:widowControl w:val="0"/>
        <w:numPr>
          <w:ilvl w:val="1"/>
          <w:numId w:val="1"/>
        </w:numPr>
        <w:jc w:val="both"/>
        <w:rPr>
          <w:rFonts w:ascii="Arial" w:hAnsi="Arial" w:cs="Arial"/>
          <w:bCs/>
          <w:snapToGrid w:val="0"/>
          <w:sz w:val="22"/>
          <w:szCs w:val="20"/>
          <w:lang w:val="en-GB"/>
        </w:rPr>
      </w:pPr>
      <w:r w:rsidRPr="00104761">
        <w:rPr>
          <w:rFonts w:ascii="Arial" w:hAnsi="Arial" w:cs="Arial"/>
          <w:bCs/>
          <w:snapToGrid w:val="0"/>
          <w:sz w:val="22"/>
          <w:szCs w:val="20"/>
          <w:lang w:val="en-GB"/>
        </w:rPr>
        <w:t xml:space="preserve"> </w:t>
      </w:r>
      <w:r w:rsidR="00205D9E" w:rsidRPr="00104761">
        <w:rPr>
          <w:rFonts w:ascii="Arial" w:hAnsi="Arial" w:cs="Arial"/>
          <w:bCs/>
          <w:snapToGrid w:val="0"/>
          <w:sz w:val="22"/>
          <w:szCs w:val="20"/>
          <w:lang w:val="en-GB"/>
        </w:rPr>
        <w:t xml:space="preserve">The PBAC noted the Early Supply Rule cannot currently be applied to Palliative Care listings. The PBAC noted it would be appropriate to consider the application of the Early Supply Rule </w:t>
      </w:r>
      <w:r w:rsidR="00E61487">
        <w:rPr>
          <w:rFonts w:ascii="Arial" w:hAnsi="Arial" w:cs="Arial"/>
          <w:bCs/>
          <w:snapToGrid w:val="0"/>
          <w:sz w:val="22"/>
          <w:szCs w:val="20"/>
          <w:lang w:val="en-GB"/>
        </w:rPr>
        <w:t>to</w:t>
      </w:r>
      <w:r w:rsidR="00E61487" w:rsidRPr="00104761">
        <w:rPr>
          <w:rFonts w:ascii="Arial" w:hAnsi="Arial" w:cs="Arial"/>
          <w:bCs/>
          <w:snapToGrid w:val="0"/>
          <w:sz w:val="22"/>
          <w:szCs w:val="20"/>
          <w:lang w:val="en-GB"/>
        </w:rPr>
        <w:t xml:space="preserve"> </w:t>
      </w:r>
      <w:r w:rsidR="00205D9E" w:rsidRPr="00104761">
        <w:rPr>
          <w:rFonts w:ascii="Arial" w:hAnsi="Arial" w:cs="Arial"/>
          <w:bCs/>
          <w:snapToGrid w:val="0"/>
          <w:sz w:val="22"/>
          <w:szCs w:val="20"/>
          <w:lang w:val="en-GB"/>
        </w:rPr>
        <w:t>buprenorphine in the future if listings on the Palliative Care Schedule become eligible.</w:t>
      </w:r>
    </w:p>
    <w:p w:rsidR="00ED5A97" w:rsidRPr="00104761" w:rsidRDefault="00ED5A97" w:rsidP="00ED5A97">
      <w:pPr>
        <w:widowControl w:val="0"/>
        <w:jc w:val="both"/>
        <w:rPr>
          <w:rFonts w:ascii="Arial" w:hAnsi="Arial" w:cs="Arial"/>
          <w:bCs/>
          <w:snapToGrid w:val="0"/>
          <w:sz w:val="22"/>
          <w:szCs w:val="20"/>
          <w:highlight w:val="yellow"/>
          <w:lang w:val="en-GB"/>
        </w:rPr>
      </w:pPr>
    </w:p>
    <w:p w:rsidR="00ED5A97" w:rsidRPr="00104761" w:rsidRDefault="00ED5A97" w:rsidP="00ED5A97">
      <w:pPr>
        <w:widowControl w:val="0"/>
        <w:numPr>
          <w:ilvl w:val="1"/>
          <w:numId w:val="1"/>
        </w:numPr>
        <w:jc w:val="both"/>
        <w:rPr>
          <w:rFonts w:ascii="Arial" w:hAnsi="Arial" w:cs="Arial"/>
          <w:bCs/>
          <w:snapToGrid w:val="0"/>
          <w:sz w:val="22"/>
          <w:szCs w:val="20"/>
          <w:lang w:val="en-GB"/>
        </w:rPr>
      </w:pPr>
      <w:r w:rsidRPr="00104761">
        <w:rPr>
          <w:rFonts w:ascii="Arial" w:hAnsi="Arial" w:cs="Arial"/>
          <w:bCs/>
          <w:snapToGrid w:val="0"/>
          <w:sz w:val="22"/>
          <w:szCs w:val="20"/>
          <w:lang w:val="en-GB"/>
        </w:rPr>
        <w:t>The PBA</w:t>
      </w:r>
      <w:r w:rsidR="00132B1D" w:rsidRPr="00104761">
        <w:rPr>
          <w:rFonts w:ascii="Arial" w:hAnsi="Arial" w:cs="Arial"/>
          <w:bCs/>
          <w:snapToGrid w:val="0"/>
          <w:sz w:val="22"/>
          <w:szCs w:val="20"/>
          <w:lang w:val="en-GB"/>
        </w:rPr>
        <w:t xml:space="preserve">C noted that this submission </w:t>
      </w:r>
      <w:r w:rsidRPr="00104761">
        <w:rPr>
          <w:rFonts w:ascii="Arial" w:hAnsi="Arial" w:cs="Arial"/>
          <w:bCs/>
          <w:snapToGrid w:val="0"/>
          <w:sz w:val="22"/>
          <w:szCs w:val="20"/>
          <w:lang w:val="en-GB"/>
        </w:rPr>
        <w:t>is not eligible for an Independent Review</w:t>
      </w:r>
      <w:r w:rsidR="00C418A0" w:rsidRPr="00104761">
        <w:rPr>
          <w:rFonts w:ascii="Arial" w:hAnsi="Arial" w:cs="Arial"/>
          <w:bCs/>
          <w:snapToGrid w:val="0"/>
          <w:sz w:val="22"/>
          <w:szCs w:val="20"/>
          <w:lang w:val="en-GB"/>
        </w:rPr>
        <w:t xml:space="preserve"> as it received a positive recommendation</w:t>
      </w:r>
      <w:r w:rsidRPr="00104761">
        <w:rPr>
          <w:rFonts w:ascii="Arial" w:hAnsi="Arial" w:cs="Arial"/>
          <w:bCs/>
          <w:snapToGrid w:val="0"/>
          <w:sz w:val="22"/>
          <w:szCs w:val="20"/>
          <w:lang w:val="en-GB"/>
        </w:rPr>
        <w:t xml:space="preserve">. </w:t>
      </w:r>
    </w:p>
    <w:p w:rsidR="005D299B" w:rsidRDefault="005D299B" w:rsidP="00ED5A97">
      <w:pPr>
        <w:widowControl w:val="0"/>
        <w:jc w:val="both"/>
        <w:rPr>
          <w:rFonts w:ascii="Arial" w:hAnsi="Arial" w:cs="Arial"/>
          <w:b/>
          <w:bCs/>
          <w:snapToGrid w:val="0"/>
          <w:sz w:val="22"/>
          <w:szCs w:val="20"/>
          <w:lang w:val="en-GB"/>
        </w:rPr>
      </w:pPr>
    </w:p>
    <w:p w:rsidR="00ED5A97" w:rsidRPr="00132B1D" w:rsidRDefault="00ED5A97" w:rsidP="00504509">
      <w:pPr>
        <w:pStyle w:val="Heading2"/>
        <w:rPr>
          <w:snapToGrid w:val="0"/>
          <w:lang w:val="en-GB"/>
        </w:rPr>
      </w:pPr>
      <w:r w:rsidRPr="00132B1D">
        <w:rPr>
          <w:snapToGrid w:val="0"/>
          <w:lang w:val="en-GB"/>
        </w:rPr>
        <w:t>Outcome:</w:t>
      </w:r>
    </w:p>
    <w:p w:rsidR="00ED5A97" w:rsidRDefault="00504509" w:rsidP="00ED5A97">
      <w:pPr>
        <w:widowControl w:val="0"/>
        <w:jc w:val="both"/>
        <w:rPr>
          <w:rFonts w:ascii="Arial" w:hAnsi="Arial" w:cs="Arial"/>
          <w:bCs/>
          <w:snapToGrid w:val="0"/>
          <w:sz w:val="22"/>
          <w:szCs w:val="20"/>
          <w:lang w:val="en-GB"/>
        </w:rPr>
      </w:pPr>
      <w:r>
        <w:rPr>
          <w:rFonts w:ascii="Arial" w:hAnsi="Arial" w:cs="Arial"/>
          <w:bCs/>
          <w:snapToGrid w:val="0"/>
          <w:sz w:val="22"/>
          <w:szCs w:val="20"/>
          <w:lang w:val="en-GB"/>
        </w:rPr>
        <w:t>Recommended</w:t>
      </w:r>
    </w:p>
    <w:p w:rsidR="00504509" w:rsidRPr="00504509" w:rsidRDefault="00504509" w:rsidP="00ED5A97">
      <w:pPr>
        <w:widowControl w:val="0"/>
        <w:jc w:val="both"/>
        <w:rPr>
          <w:rFonts w:ascii="Arial" w:hAnsi="Arial" w:cs="Arial"/>
          <w:bCs/>
          <w:snapToGrid w:val="0"/>
          <w:sz w:val="22"/>
          <w:szCs w:val="20"/>
          <w:lang w:val="en-GB"/>
        </w:rPr>
      </w:pPr>
    </w:p>
    <w:p w:rsidR="00ED5A97" w:rsidRPr="00504509" w:rsidRDefault="00ED5A97" w:rsidP="00504509">
      <w:pPr>
        <w:pStyle w:val="Heading1"/>
        <w:numPr>
          <w:ilvl w:val="0"/>
          <w:numId w:val="1"/>
        </w:numPr>
        <w:rPr>
          <w:snapToGrid w:val="0"/>
        </w:rPr>
      </w:pPr>
      <w:r w:rsidRPr="00504509">
        <w:rPr>
          <w:snapToGrid w:val="0"/>
        </w:rPr>
        <w:t>Recommended listing</w:t>
      </w:r>
    </w:p>
    <w:p w:rsidR="002B001C" w:rsidRPr="002B001C" w:rsidRDefault="002B001C" w:rsidP="002B001C">
      <w:pPr>
        <w:widowControl w:val="0"/>
        <w:jc w:val="both"/>
        <w:rPr>
          <w:rFonts w:ascii="Arial" w:hAnsi="Arial" w:cs="Arial"/>
          <w:bCs/>
          <w:snapToGrid w:val="0"/>
          <w:sz w:val="22"/>
          <w:szCs w:val="20"/>
        </w:rPr>
      </w:pPr>
    </w:p>
    <w:p w:rsidR="00ED5A97" w:rsidRPr="002B001C" w:rsidRDefault="002B001C" w:rsidP="00504509">
      <w:pPr>
        <w:widowControl w:val="0"/>
        <w:numPr>
          <w:ilvl w:val="1"/>
          <w:numId w:val="20"/>
        </w:numPr>
        <w:jc w:val="both"/>
        <w:rPr>
          <w:rFonts w:ascii="Arial" w:hAnsi="Arial" w:cs="Arial"/>
          <w:bCs/>
          <w:snapToGrid w:val="0"/>
          <w:sz w:val="22"/>
          <w:szCs w:val="20"/>
        </w:rPr>
      </w:pPr>
      <w:r w:rsidRPr="002B001C">
        <w:rPr>
          <w:rFonts w:ascii="Arial" w:hAnsi="Arial" w:cs="Arial"/>
          <w:bCs/>
          <w:snapToGrid w:val="0"/>
          <w:sz w:val="22"/>
          <w:szCs w:val="20"/>
        </w:rPr>
        <w:t>Amend existing listing as follows:</w:t>
      </w:r>
    </w:p>
    <w:tbl>
      <w:tblPr>
        <w:tblW w:w="8363" w:type="dxa"/>
        <w:tblInd w:w="817" w:type="dxa"/>
        <w:tblLayout w:type="fixed"/>
        <w:tblLook w:val="0000" w:firstRow="0" w:lastRow="0" w:firstColumn="0" w:lastColumn="0" w:noHBand="0" w:noVBand="0"/>
      </w:tblPr>
      <w:tblGrid>
        <w:gridCol w:w="2410"/>
        <w:gridCol w:w="142"/>
        <w:gridCol w:w="567"/>
        <w:gridCol w:w="850"/>
        <w:gridCol w:w="1418"/>
        <w:gridCol w:w="1275"/>
        <w:gridCol w:w="1701"/>
      </w:tblGrid>
      <w:tr w:rsidR="00C418A0" w:rsidRPr="00260CE3" w:rsidTr="003F5684">
        <w:trPr>
          <w:gridAfter w:val="1"/>
          <w:wAfter w:w="1701" w:type="dxa"/>
          <w:cantSplit/>
          <w:trHeight w:val="471"/>
        </w:trPr>
        <w:tc>
          <w:tcPr>
            <w:tcW w:w="2552" w:type="dxa"/>
            <w:gridSpan w:val="2"/>
            <w:tcBorders>
              <w:bottom w:val="single" w:sz="4" w:space="0" w:color="auto"/>
            </w:tcBorders>
          </w:tcPr>
          <w:p w:rsidR="00C418A0" w:rsidRPr="00260CE3" w:rsidRDefault="00C418A0" w:rsidP="003F5684">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C418A0" w:rsidRPr="00260CE3" w:rsidRDefault="00C418A0" w:rsidP="003F5684">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C418A0" w:rsidRPr="00260CE3" w:rsidRDefault="00C418A0" w:rsidP="003F5684">
            <w:pPr>
              <w:keepNext/>
              <w:ind w:left="-108"/>
              <w:jc w:val="both"/>
              <w:rPr>
                <w:rFonts w:ascii="Arial Narrow" w:hAnsi="Arial Narrow" w:cs="Arial"/>
                <w:sz w:val="20"/>
                <w:szCs w:val="20"/>
              </w:rPr>
            </w:pPr>
            <w:r w:rsidRPr="00260CE3">
              <w:rPr>
                <w:rFonts w:ascii="Arial Narrow" w:hAnsi="Arial Narrow" w:cs="Arial"/>
                <w:sz w:val="20"/>
                <w:szCs w:val="20"/>
              </w:rPr>
              <w:t>Max.</w:t>
            </w:r>
          </w:p>
          <w:p w:rsidR="00C418A0" w:rsidRPr="00260CE3" w:rsidRDefault="00C418A0" w:rsidP="003F5684">
            <w:pPr>
              <w:keepNext/>
              <w:ind w:left="-108"/>
              <w:jc w:val="both"/>
              <w:rPr>
                <w:rFonts w:ascii="Arial Narrow" w:hAnsi="Arial Narrow" w:cs="Arial"/>
                <w:sz w:val="20"/>
                <w:szCs w:val="20"/>
              </w:rPr>
            </w:pPr>
            <w:proofErr w:type="spellStart"/>
            <w:r w:rsidRPr="00260CE3">
              <w:rPr>
                <w:rFonts w:ascii="Arial Narrow" w:hAnsi="Arial Narrow" w:cs="Arial"/>
                <w:sz w:val="20"/>
                <w:szCs w:val="20"/>
              </w:rPr>
              <w:t>Qty</w:t>
            </w:r>
            <w:proofErr w:type="spellEnd"/>
          </w:p>
        </w:tc>
        <w:tc>
          <w:tcPr>
            <w:tcW w:w="850" w:type="dxa"/>
            <w:tcBorders>
              <w:bottom w:val="single" w:sz="4" w:space="0" w:color="auto"/>
            </w:tcBorders>
          </w:tcPr>
          <w:p w:rsidR="00C418A0" w:rsidRPr="00260CE3" w:rsidRDefault="00C418A0" w:rsidP="003F5684">
            <w:pPr>
              <w:keepNext/>
              <w:ind w:left="-108"/>
              <w:jc w:val="both"/>
              <w:rPr>
                <w:rFonts w:ascii="Arial Narrow" w:hAnsi="Arial Narrow" w:cs="Arial"/>
                <w:sz w:val="20"/>
                <w:szCs w:val="20"/>
              </w:rPr>
            </w:pPr>
            <w:r w:rsidRPr="00260CE3">
              <w:rPr>
                <w:rFonts w:ascii="Arial Narrow" w:hAnsi="Arial Narrow" w:cs="Arial"/>
                <w:sz w:val="20"/>
                <w:szCs w:val="20"/>
              </w:rPr>
              <w:t>№.of</w:t>
            </w:r>
          </w:p>
          <w:p w:rsidR="00C418A0" w:rsidRPr="00260CE3" w:rsidRDefault="00C418A0" w:rsidP="003F5684">
            <w:pPr>
              <w:keepNext/>
              <w:ind w:left="-108"/>
              <w:jc w:val="both"/>
              <w:rPr>
                <w:rFonts w:ascii="Arial Narrow" w:hAnsi="Arial Narrow" w:cs="Arial"/>
                <w:sz w:val="20"/>
                <w:szCs w:val="20"/>
              </w:rPr>
            </w:pPr>
            <w:proofErr w:type="spellStart"/>
            <w:r w:rsidRPr="00260CE3">
              <w:rPr>
                <w:rFonts w:ascii="Arial Narrow" w:hAnsi="Arial Narrow" w:cs="Arial"/>
                <w:sz w:val="20"/>
                <w:szCs w:val="20"/>
              </w:rPr>
              <w:t>Rpts</w:t>
            </w:r>
            <w:proofErr w:type="spellEnd"/>
          </w:p>
        </w:tc>
        <w:tc>
          <w:tcPr>
            <w:tcW w:w="2693" w:type="dxa"/>
            <w:gridSpan w:val="2"/>
            <w:tcBorders>
              <w:bottom w:val="single" w:sz="4" w:space="0" w:color="auto"/>
            </w:tcBorders>
          </w:tcPr>
          <w:p w:rsidR="00C418A0" w:rsidRPr="00260CE3" w:rsidRDefault="00C418A0" w:rsidP="003F5684">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BC3B15" w:rsidRPr="00260CE3" w:rsidTr="003F5684">
        <w:trPr>
          <w:gridAfter w:val="1"/>
          <w:wAfter w:w="1701" w:type="dxa"/>
          <w:cantSplit/>
          <w:trHeight w:val="577"/>
        </w:trPr>
        <w:tc>
          <w:tcPr>
            <w:tcW w:w="2552" w:type="dxa"/>
            <w:gridSpan w:val="2"/>
          </w:tcPr>
          <w:p w:rsidR="00BC3B15" w:rsidRPr="00260CE3" w:rsidRDefault="00BC3B15" w:rsidP="00B0110D">
            <w:pPr>
              <w:keepNext/>
              <w:ind w:left="-108"/>
              <w:jc w:val="both"/>
              <w:rPr>
                <w:rFonts w:ascii="Arial Narrow" w:hAnsi="Arial Narrow" w:cs="Arial"/>
                <w:sz w:val="20"/>
                <w:szCs w:val="20"/>
              </w:rPr>
            </w:pPr>
            <w:r>
              <w:rPr>
                <w:rFonts w:ascii="Arial Narrow" w:hAnsi="Arial Narrow" w:cs="Arial"/>
                <w:smallCaps/>
                <w:sz w:val="20"/>
                <w:szCs w:val="20"/>
              </w:rPr>
              <w:t>BUPRENORPHINE</w:t>
            </w: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 xml:space="preserve">Transdermal patch  </w:t>
            </w: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 xml:space="preserve">5 </w:t>
            </w:r>
            <w:r w:rsidRPr="00BC3B15">
              <w:rPr>
                <w:rFonts w:ascii="Arial Narrow" w:hAnsi="Arial Narrow" w:cs="Arial"/>
                <w:sz w:val="20"/>
                <w:szCs w:val="20"/>
              </w:rPr>
              <w:t>microgram/hour</w:t>
            </w:r>
            <w:r>
              <w:rPr>
                <w:rFonts w:ascii="Arial Narrow" w:hAnsi="Arial Narrow" w:cs="Arial"/>
                <w:sz w:val="20"/>
                <w:szCs w:val="20"/>
              </w:rPr>
              <w:t>, 2</w:t>
            </w: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 xml:space="preserve">Transdermal patch </w:t>
            </w: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 xml:space="preserve">10 </w:t>
            </w:r>
            <w:r w:rsidRPr="00BC3B15">
              <w:rPr>
                <w:rFonts w:ascii="Arial Narrow" w:hAnsi="Arial Narrow" w:cs="Arial"/>
                <w:sz w:val="20"/>
                <w:szCs w:val="20"/>
              </w:rPr>
              <w:t>microgram/hour</w:t>
            </w:r>
            <w:r>
              <w:rPr>
                <w:rFonts w:ascii="Arial Narrow" w:hAnsi="Arial Narrow" w:cs="Arial"/>
                <w:sz w:val="20"/>
                <w:szCs w:val="20"/>
              </w:rPr>
              <w:t>, 2</w:t>
            </w: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 xml:space="preserve">Transdermal patch </w:t>
            </w: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 xml:space="preserve">15 </w:t>
            </w:r>
            <w:r w:rsidRPr="00BC3B15">
              <w:rPr>
                <w:rFonts w:ascii="Arial Narrow" w:hAnsi="Arial Narrow" w:cs="Arial"/>
                <w:sz w:val="20"/>
                <w:szCs w:val="20"/>
              </w:rPr>
              <w:t>microgram/hour</w:t>
            </w:r>
            <w:r>
              <w:rPr>
                <w:rFonts w:ascii="Arial Narrow" w:hAnsi="Arial Narrow" w:cs="Arial"/>
                <w:sz w:val="20"/>
                <w:szCs w:val="20"/>
              </w:rPr>
              <w:t>, 2</w:t>
            </w: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 xml:space="preserve">Transdermal patch </w:t>
            </w: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 xml:space="preserve">20 </w:t>
            </w:r>
            <w:r w:rsidRPr="00BC3B15">
              <w:rPr>
                <w:rFonts w:ascii="Arial Narrow" w:hAnsi="Arial Narrow" w:cs="Arial"/>
                <w:sz w:val="20"/>
                <w:szCs w:val="20"/>
              </w:rPr>
              <w:t>microgram/hour</w:t>
            </w:r>
            <w:r>
              <w:rPr>
                <w:rFonts w:ascii="Arial Narrow" w:hAnsi="Arial Narrow" w:cs="Arial"/>
                <w:sz w:val="20"/>
                <w:szCs w:val="20"/>
              </w:rPr>
              <w:t>, 2</w:t>
            </w: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 xml:space="preserve">Transdermal patch </w:t>
            </w: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 xml:space="preserve">25 </w:t>
            </w:r>
            <w:r w:rsidRPr="00BC3B15">
              <w:rPr>
                <w:rFonts w:ascii="Arial Narrow" w:hAnsi="Arial Narrow" w:cs="Arial"/>
                <w:sz w:val="20"/>
                <w:szCs w:val="20"/>
              </w:rPr>
              <w:t>microgram/hour</w:t>
            </w:r>
            <w:r>
              <w:rPr>
                <w:rFonts w:ascii="Arial Narrow" w:hAnsi="Arial Narrow" w:cs="Arial"/>
                <w:sz w:val="20"/>
                <w:szCs w:val="20"/>
              </w:rPr>
              <w:t>, 2</w:t>
            </w: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 xml:space="preserve">Transdermal patch </w:t>
            </w: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 xml:space="preserve">30 </w:t>
            </w:r>
            <w:r w:rsidRPr="00BC3B15">
              <w:rPr>
                <w:rFonts w:ascii="Arial Narrow" w:hAnsi="Arial Narrow" w:cs="Arial"/>
                <w:sz w:val="20"/>
                <w:szCs w:val="20"/>
              </w:rPr>
              <w:t>microgram/hour</w:t>
            </w:r>
            <w:r>
              <w:rPr>
                <w:rFonts w:ascii="Arial Narrow" w:hAnsi="Arial Narrow" w:cs="Arial"/>
                <w:sz w:val="20"/>
                <w:szCs w:val="20"/>
              </w:rPr>
              <w:t>, 2</w:t>
            </w: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 xml:space="preserve">Transdermal patch </w:t>
            </w:r>
          </w:p>
          <w:p w:rsidR="00BC3B15" w:rsidRPr="00260CE3" w:rsidRDefault="00BC3B15" w:rsidP="00B0110D">
            <w:pPr>
              <w:keepNext/>
              <w:ind w:left="-108"/>
              <w:jc w:val="both"/>
              <w:rPr>
                <w:rFonts w:ascii="Arial Narrow" w:hAnsi="Arial Narrow" w:cs="Arial"/>
                <w:sz w:val="20"/>
                <w:szCs w:val="20"/>
              </w:rPr>
            </w:pPr>
            <w:r>
              <w:rPr>
                <w:rFonts w:ascii="Arial Narrow" w:hAnsi="Arial Narrow" w:cs="Arial"/>
                <w:sz w:val="20"/>
                <w:szCs w:val="20"/>
              </w:rPr>
              <w:t xml:space="preserve">40 </w:t>
            </w:r>
            <w:r w:rsidRPr="00BC3B15">
              <w:rPr>
                <w:rFonts w:ascii="Arial Narrow" w:hAnsi="Arial Narrow" w:cs="Arial"/>
                <w:sz w:val="20"/>
                <w:szCs w:val="20"/>
              </w:rPr>
              <w:t>microgram/hour</w:t>
            </w:r>
            <w:r>
              <w:rPr>
                <w:rFonts w:ascii="Arial Narrow" w:hAnsi="Arial Narrow" w:cs="Arial"/>
                <w:sz w:val="20"/>
                <w:szCs w:val="20"/>
              </w:rPr>
              <w:t>, 2</w:t>
            </w:r>
          </w:p>
        </w:tc>
        <w:tc>
          <w:tcPr>
            <w:tcW w:w="567" w:type="dxa"/>
          </w:tcPr>
          <w:p w:rsidR="00BC3B15" w:rsidRPr="00260CE3" w:rsidRDefault="00BC3B15" w:rsidP="00B0110D">
            <w:pPr>
              <w:keepNext/>
              <w:ind w:left="-108"/>
              <w:jc w:val="both"/>
              <w:rPr>
                <w:rFonts w:ascii="Arial Narrow" w:hAnsi="Arial Narrow" w:cs="Arial"/>
                <w:sz w:val="20"/>
                <w:szCs w:val="20"/>
              </w:rPr>
            </w:pP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B0110D">
            <w:pPr>
              <w:keepNext/>
              <w:ind w:left="-108"/>
              <w:jc w:val="both"/>
              <w:rPr>
                <w:rFonts w:ascii="Arial Narrow" w:hAnsi="Arial Narrow" w:cs="Arial"/>
                <w:sz w:val="20"/>
                <w:szCs w:val="20"/>
              </w:rPr>
            </w:pP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B0110D">
            <w:pPr>
              <w:keepNext/>
              <w:ind w:left="-108"/>
              <w:jc w:val="both"/>
              <w:rPr>
                <w:rFonts w:ascii="Arial Narrow" w:hAnsi="Arial Narrow" w:cs="Arial"/>
                <w:sz w:val="20"/>
                <w:szCs w:val="20"/>
              </w:rPr>
            </w:pP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B0110D">
            <w:pPr>
              <w:keepNext/>
              <w:ind w:left="-108"/>
              <w:jc w:val="both"/>
              <w:rPr>
                <w:rFonts w:ascii="Arial Narrow" w:hAnsi="Arial Narrow" w:cs="Arial"/>
                <w:sz w:val="20"/>
                <w:szCs w:val="20"/>
              </w:rPr>
            </w:pP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B0110D">
            <w:pPr>
              <w:keepNext/>
              <w:ind w:left="-108"/>
              <w:jc w:val="both"/>
              <w:rPr>
                <w:rFonts w:ascii="Arial Narrow" w:hAnsi="Arial Narrow" w:cs="Arial"/>
                <w:sz w:val="20"/>
                <w:szCs w:val="20"/>
              </w:rPr>
            </w:pP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B0110D">
            <w:pPr>
              <w:keepNext/>
              <w:ind w:left="-108"/>
              <w:jc w:val="both"/>
              <w:rPr>
                <w:rFonts w:ascii="Arial Narrow" w:hAnsi="Arial Narrow" w:cs="Arial"/>
                <w:sz w:val="20"/>
                <w:szCs w:val="20"/>
              </w:rPr>
            </w:pP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B0110D">
            <w:pPr>
              <w:keepNext/>
              <w:ind w:left="-108"/>
              <w:jc w:val="both"/>
              <w:rPr>
                <w:rFonts w:ascii="Arial Narrow" w:hAnsi="Arial Narrow" w:cs="Arial"/>
                <w:sz w:val="20"/>
                <w:szCs w:val="20"/>
              </w:rPr>
            </w:pPr>
          </w:p>
          <w:p w:rsidR="00BC3B15" w:rsidRPr="00260CE3" w:rsidRDefault="00BC3B15" w:rsidP="00B0110D">
            <w:pPr>
              <w:keepNext/>
              <w:ind w:left="-108"/>
              <w:jc w:val="both"/>
              <w:rPr>
                <w:rFonts w:ascii="Arial Narrow" w:hAnsi="Arial Narrow" w:cs="Arial"/>
                <w:sz w:val="20"/>
                <w:szCs w:val="20"/>
              </w:rPr>
            </w:pPr>
            <w:r>
              <w:rPr>
                <w:rFonts w:ascii="Arial Narrow" w:hAnsi="Arial Narrow" w:cs="Arial"/>
                <w:sz w:val="20"/>
                <w:szCs w:val="20"/>
              </w:rPr>
              <w:t>2</w:t>
            </w:r>
          </w:p>
        </w:tc>
        <w:tc>
          <w:tcPr>
            <w:tcW w:w="850" w:type="dxa"/>
          </w:tcPr>
          <w:p w:rsidR="00BC3B15" w:rsidRPr="00260CE3" w:rsidRDefault="00BC3B15" w:rsidP="00B0110D">
            <w:pPr>
              <w:keepNext/>
              <w:ind w:left="-108"/>
              <w:jc w:val="both"/>
              <w:rPr>
                <w:rFonts w:ascii="Arial Narrow" w:hAnsi="Arial Narrow" w:cs="Arial"/>
                <w:sz w:val="20"/>
                <w:szCs w:val="20"/>
              </w:rPr>
            </w:pP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B0110D">
            <w:pPr>
              <w:keepNext/>
              <w:ind w:left="-108"/>
              <w:jc w:val="both"/>
              <w:rPr>
                <w:rFonts w:ascii="Arial Narrow" w:hAnsi="Arial Narrow" w:cs="Arial"/>
                <w:sz w:val="20"/>
                <w:szCs w:val="20"/>
              </w:rPr>
            </w:pP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B0110D">
            <w:pPr>
              <w:keepNext/>
              <w:ind w:left="-108"/>
              <w:jc w:val="both"/>
              <w:rPr>
                <w:rFonts w:ascii="Arial Narrow" w:hAnsi="Arial Narrow" w:cs="Arial"/>
                <w:sz w:val="20"/>
                <w:szCs w:val="20"/>
              </w:rPr>
            </w:pP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B0110D">
            <w:pPr>
              <w:keepNext/>
              <w:ind w:left="-108"/>
              <w:jc w:val="both"/>
              <w:rPr>
                <w:rFonts w:ascii="Arial Narrow" w:hAnsi="Arial Narrow" w:cs="Arial"/>
                <w:sz w:val="20"/>
                <w:szCs w:val="20"/>
              </w:rPr>
            </w:pP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B0110D">
            <w:pPr>
              <w:keepNext/>
              <w:ind w:left="-108"/>
              <w:jc w:val="both"/>
              <w:rPr>
                <w:rFonts w:ascii="Arial Narrow" w:hAnsi="Arial Narrow" w:cs="Arial"/>
                <w:sz w:val="20"/>
                <w:szCs w:val="20"/>
              </w:rPr>
            </w:pP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B0110D">
            <w:pPr>
              <w:keepNext/>
              <w:ind w:left="-108"/>
              <w:jc w:val="both"/>
              <w:rPr>
                <w:rFonts w:ascii="Arial Narrow" w:hAnsi="Arial Narrow" w:cs="Arial"/>
                <w:sz w:val="20"/>
                <w:szCs w:val="20"/>
              </w:rPr>
            </w:pPr>
          </w:p>
          <w:p w:rsidR="00BC3B15" w:rsidRDefault="00BC3B15" w:rsidP="00B0110D">
            <w:pPr>
              <w:keepNext/>
              <w:ind w:left="-108"/>
              <w:jc w:val="both"/>
              <w:rPr>
                <w:rFonts w:ascii="Arial Narrow" w:hAnsi="Arial Narrow" w:cs="Arial"/>
                <w:sz w:val="20"/>
                <w:szCs w:val="20"/>
              </w:rPr>
            </w:pPr>
            <w:r>
              <w:rPr>
                <w:rFonts w:ascii="Arial Narrow" w:hAnsi="Arial Narrow" w:cs="Arial"/>
                <w:sz w:val="20"/>
                <w:szCs w:val="20"/>
              </w:rPr>
              <w:t>2</w:t>
            </w:r>
          </w:p>
          <w:p w:rsidR="00BC3B15" w:rsidRDefault="00BC3B15" w:rsidP="00B0110D">
            <w:pPr>
              <w:keepNext/>
              <w:ind w:left="-108"/>
              <w:jc w:val="both"/>
              <w:rPr>
                <w:rFonts w:ascii="Arial Narrow" w:hAnsi="Arial Narrow" w:cs="Arial"/>
                <w:sz w:val="20"/>
                <w:szCs w:val="20"/>
              </w:rPr>
            </w:pPr>
          </w:p>
          <w:p w:rsidR="00BC3B15" w:rsidRPr="00260CE3" w:rsidRDefault="00BC3B15" w:rsidP="00B0110D">
            <w:pPr>
              <w:keepNext/>
              <w:ind w:left="-108"/>
              <w:jc w:val="both"/>
              <w:rPr>
                <w:rFonts w:ascii="Arial Narrow" w:hAnsi="Arial Narrow" w:cs="Arial"/>
                <w:sz w:val="20"/>
                <w:szCs w:val="20"/>
              </w:rPr>
            </w:pPr>
            <w:r>
              <w:rPr>
                <w:rFonts w:ascii="Arial Narrow" w:hAnsi="Arial Narrow" w:cs="Arial"/>
                <w:sz w:val="20"/>
                <w:szCs w:val="20"/>
              </w:rPr>
              <w:t>2</w:t>
            </w:r>
          </w:p>
        </w:tc>
        <w:tc>
          <w:tcPr>
            <w:tcW w:w="1418" w:type="dxa"/>
          </w:tcPr>
          <w:p w:rsidR="00BC3B15" w:rsidRPr="0040073E" w:rsidRDefault="00BC3B15" w:rsidP="003F5684">
            <w:pPr>
              <w:keepNext/>
              <w:jc w:val="both"/>
              <w:rPr>
                <w:rFonts w:ascii="Arial Narrow" w:hAnsi="Arial Narrow" w:cs="Arial"/>
                <w:sz w:val="20"/>
                <w:szCs w:val="20"/>
              </w:rPr>
            </w:pPr>
            <w:proofErr w:type="spellStart"/>
            <w:r>
              <w:rPr>
                <w:rFonts w:ascii="Arial Narrow" w:hAnsi="Arial Narrow" w:cs="Arial"/>
                <w:sz w:val="20"/>
                <w:szCs w:val="20"/>
              </w:rPr>
              <w:t>Norspan</w:t>
            </w:r>
            <w:proofErr w:type="spellEnd"/>
            <w:r>
              <w:rPr>
                <w:rFonts w:ascii="Arial Narrow" w:hAnsi="Arial Narrow" w:cs="Arial"/>
                <w:sz w:val="20"/>
                <w:szCs w:val="20"/>
                <w:vertAlign w:val="superscript"/>
              </w:rPr>
              <w:t>®</w:t>
            </w:r>
          </w:p>
        </w:tc>
        <w:tc>
          <w:tcPr>
            <w:tcW w:w="1275" w:type="dxa"/>
          </w:tcPr>
          <w:p w:rsidR="00BC3B15" w:rsidRPr="00260CE3" w:rsidRDefault="00BC3B15" w:rsidP="003F5684">
            <w:pPr>
              <w:keepNext/>
              <w:jc w:val="both"/>
              <w:rPr>
                <w:rFonts w:ascii="Arial Narrow" w:hAnsi="Arial Narrow" w:cs="Arial"/>
                <w:sz w:val="20"/>
                <w:szCs w:val="20"/>
              </w:rPr>
            </w:pPr>
            <w:proofErr w:type="spellStart"/>
            <w:r>
              <w:rPr>
                <w:rFonts w:ascii="Arial Narrow" w:hAnsi="Arial Narrow" w:cs="Arial"/>
                <w:sz w:val="20"/>
                <w:szCs w:val="20"/>
              </w:rPr>
              <w:t>Mundipharma</w:t>
            </w:r>
            <w:proofErr w:type="spellEnd"/>
            <w:r>
              <w:rPr>
                <w:rFonts w:ascii="Arial Narrow" w:hAnsi="Arial Narrow" w:cs="Arial"/>
                <w:sz w:val="20"/>
                <w:szCs w:val="20"/>
              </w:rPr>
              <w:t xml:space="preserve"> Pty Ltd</w:t>
            </w:r>
          </w:p>
        </w:tc>
      </w:tr>
      <w:tr w:rsidR="002B001C" w:rsidRPr="00260CE3" w:rsidTr="003F5684">
        <w:trPr>
          <w:cantSplit/>
          <w:trHeight w:val="360"/>
        </w:trPr>
        <w:tc>
          <w:tcPr>
            <w:tcW w:w="8363" w:type="dxa"/>
            <w:gridSpan w:val="7"/>
            <w:tcBorders>
              <w:bottom w:val="single" w:sz="4" w:space="0" w:color="auto"/>
            </w:tcBorders>
          </w:tcPr>
          <w:p w:rsidR="002B001C" w:rsidRPr="00260CE3" w:rsidRDefault="002B001C" w:rsidP="003F5684">
            <w:pPr>
              <w:jc w:val="both"/>
              <w:rPr>
                <w:rFonts w:ascii="Arial Narrow" w:hAnsi="Arial Narrow" w:cs="Arial"/>
                <w:sz w:val="20"/>
                <w:szCs w:val="20"/>
              </w:rPr>
            </w:pPr>
          </w:p>
        </w:tc>
      </w:tr>
      <w:tr w:rsidR="002B001C" w:rsidRPr="00260CE3" w:rsidTr="003F5684">
        <w:trPr>
          <w:cantSplit/>
          <w:trHeight w:val="360"/>
        </w:trPr>
        <w:tc>
          <w:tcPr>
            <w:tcW w:w="2410" w:type="dxa"/>
            <w:tcBorders>
              <w:top w:val="single" w:sz="4" w:space="0" w:color="auto"/>
              <w:left w:val="single" w:sz="4" w:space="0" w:color="auto"/>
              <w:bottom w:val="single" w:sz="4" w:space="0" w:color="auto"/>
              <w:right w:val="single" w:sz="4" w:space="0" w:color="auto"/>
            </w:tcBorders>
          </w:tcPr>
          <w:p w:rsidR="002B001C" w:rsidRPr="00260CE3" w:rsidRDefault="002B001C" w:rsidP="003F5684">
            <w:pPr>
              <w:jc w:val="both"/>
              <w:rPr>
                <w:rFonts w:ascii="Arial Narrow" w:hAnsi="Arial Narrow" w:cs="Arial"/>
                <w:b/>
                <w:sz w:val="20"/>
                <w:szCs w:val="20"/>
              </w:rPr>
            </w:pPr>
            <w:r w:rsidRPr="00260CE3">
              <w:rPr>
                <w:rFonts w:ascii="Arial Narrow" w:hAnsi="Arial Narrow" w:cs="Arial"/>
                <w:b/>
                <w:sz w:val="20"/>
                <w:szCs w:val="20"/>
              </w:rPr>
              <w:t xml:space="preserve">Category / </w:t>
            </w:r>
          </w:p>
          <w:p w:rsidR="002B001C" w:rsidRPr="00260CE3" w:rsidRDefault="002B001C" w:rsidP="003F5684">
            <w:pPr>
              <w:jc w:val="both"/>
              <w:rPr>
                <w:rFonts w:ascii="Arial Narrow" w:hAnsi="Arial Narrow" w:cs="Arial"/>
                <w:b/>
                <w:sz w:val="20"/>
                <w:szCs w:val="20"/>
              </w:rPr>
            </w:pPr>
            <w:r w:rsidRPr="00260CE3">
              <w:rPr>
                <w:rFonts w:ascii="Arial Narrow" w:hAnsi="Arial Narrow" w:cs="Arial"/>
                <w:b/>
                <w:sz w:val="20"/>
                <w:szCs w:val="20"/>
              </w:rPr>
              <w:t>Program</w:t>
            </w:r>
          </w:p>
        </w:tc>
        <w:tc>
          <w:tcPr>
            <w:tcW w:w="5953" w:type="dxa"/>
            <w:gridSpan w:val="6"/>
            <w:tcBorders>
              <w:top w:val="single" w:sz="4" w:space="0" w:color="auto"/>
              <w:left w:val="single" w:sz="4" w:space="0" w:color="auto"/>
              <w:bottom w:val="single" w:sz="4" w:space="0" w:color="auto"/>
              <w:right w:val="single" w:sz="4" w:space="0" w:color="auto"/>
            </w:tcBorders>
          </w:tcPr>
          <w:p w:rsidR="002B001C" w:rsidRPr="00260CE3" w:rsidRDefault="002B001C" w:rsidP="003F5684">
            <w:pPr>
              <w:rPr>
                <w:rFonts w:ascii="Arial Narrow" w:hAnsi="Arial Narrow" w:cs="Arial"/>
                <w:sz w:val="20"/>
                <w:szCs w:val="20"/>
              </w:rPr>
            </w:pPr>
            <w:r w:rsidRPr="00260CE3">
              <w:rPr>
                <w:rFonts w:ascii="Arial Narrow" w:hAnsi="Arial Narrow" w:cs="Arial"/>
                <w:sz w:val="20"/>
                <w:szCs w:val="20"/>
              </w:rPr>
              <w:t>GENERAL – General Schedule Palliative Care (Code PL)</w:t>
            </w:r>
          </w:p>
          <w:p w:rsidR="002B001C" w:rsidRPr="00260CE3" w:rsidRDefault="002B001C" w:rsidP="003F5684">
            <w:pPr>
              <w:rPr>
                <w:rFonts w:ascii="Arial Narrow" w:hAnsi="Arial Narrow" w:cs="Arial"/>
                <w:sz w:val="20"/>
                <w:szCs w:val="20"/>
              </w:rPr>
            </w:pPr>
          </w:p>
        </w:tc>
      </w:tr>
      <w:tr w:rsidR="002B001C" w:rsidRPr="00260CE3" w:rsidTr="003F5684">
        <w:trPr>
          <w:cantSplit/>
          <w:trHeight w:val="360"/>
        </w:trPr>
        <w:tc>
          <w:tcPr>
            <w:tcW w:w="2410" w:type="dxa"/>
            <w:tcBorders>
              <w:top w:val="single" w:sz="4" w:space="0" w:color="auto"/>
              <w:left w:val="single" w:sz="4" w:space="0" w:color="auto"/>
              <w:bottom w:val="single" w:sz="4" w:space="0" w:color="auto"/>
              <w:right w:val="single" w:sz="4" w:space="0" w:color="auto"/>
            </w:tcBorders>
          </w:tcPr>
          <w:p w:rsidR="002B001C" w:rsidRPr="00260CE3" w:rsidRDefault="002B001C" w:rsidP="003F5684">
            <w:pPr>
              <w:jc w:val="both"/>
              <w:rPr>
                <w:rFonts w:ascii="Arial Narrow" w:hAnsi="Arial Narrow" w:cs="Arial"/>
                <w:b/>
                <w:sz w:val="20"/>
                <w:szCs w:val="20"/>
              </w:rPr>
            </w:pPr>
            <w:r w:rsidRPr="00260CE3">
              <w:rPr>
                <w:rFonts w:ascii="Arial Narrow" w:hAnsi="Arial Narrow" w:cs="Arial"/>
                <w:b/>
                <w:sz w:val="20"/>
                <w:szCs w:val="20"/>
              </w:rPr>
              <w:t>Prescriber type:</w:t>
            </w:r>
          </w:p>
        </w:tc>
        <w:tc>
          <w:tcPr>
            <w:tcW w:w="5953" w:type="dxa"/>
            <w:gridSpan w:val="6"/>
            <w:tcBorders>
              <w:top w:val="single" w:sz="4" w:space="0" w:color="auto"/>
              <w:left w:val="single" w:sz="4" w:space="0" w:color="auto"/>
              <w:bottom w:val="single" w:sz="4" w:space="0" w:color="auto"/>
              <w:right w:val="single" w:sz="4" w:space="0" w:color="auto"/>
            </w:tcBorders>
          </w:tcPr>
          <w:p w:rsidR="002B001C" w:rsidRPr="00260CE3" w:rsidRDefault="002B001C" w:rsidP="003F5684">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2B001C" w:rsidRPr="00260CE3" w:rsidRDefault="002B001C" w:rsidP="003F5684">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2B001C" w:rsidRPr="00260CE3" w:rsidTr="003F5684">
        <w:trPr>
          <w:cantSplit/>
          <w:trHeight w:val="360"/>
        </w:trPr>
        <w:tc>
          <w:tcPr>
            <w:tcW w:w="2410" w:type="dxa"/>
            <w:tcBorders>
              <w:top w:val="single" w:sz="4" w:space="0" w:color="auto"/>
              <w:left w:val="single" w:sz="4" w:space="0" w:color="auto"/>
              <w:bottom w:val="single" w:sz="4" w:space="0" w:color="auto"/>
              <w:right w:val="single" w:sz="4" w:space="0" w:color="auto"/>
            </w:tcBorders>
          </w:tcPr>
          <w:p w:rsidR="002B001C" w:rsidRPr="00260CE3" w:rsidRDefault="002B001C" w:rsidP="003F5684">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5953" w:type="dxa"/>
            <w:gridSpan w:val="6"/>
            <w:tcBorders>
              <w:top w:val="single" w:sz="4" w:space="0" w:color="auto"/>
              <w:left w:val="single" w:sz="4" w:space="0" w:color="auto"/>
              <w:bottom w:val="single" w:sz="4" w:space="0" w:color="auto"/>
              <w:right w:val="single" w:sz="4" w:space="0" w:color="auto"/>
            </w:tcBorders>
          </w:tcPr>
          <w:p w:rsidR="002B001C" w:rsidRPr="0040073E" w:rsidRDefault="002B001C" w:rsidP="003F5684">
            <w:pPr>
              <w:rPr>
                <w:rFonts w:ascii="Arial Narrow" w:hAnsi="Arial Narrow" w:cs="Arial"/>
                <w:sz w:val="20"/>
                <w:szCs w:val="20"/>
              </w:rPr>
            </w:pPr>
            <w:r w:rsidRPr="0040073E">
              <w:rPr>
                <w:rFonts w:ascii="Arial Narrow" w:hAnsi="Arial Narrow" w:cs="Arial"/>
                <w:sz w:val="20"/>
                <w:szCs w:val="20"/>
              </w:rPr>
              <w:t>Chronic</w:t>
            </w:r>
          </w:p>
        </w:tc>
      </w:tr>
      <w:tr w:rsidR="002B001C" w:rsidRPr="00260CE3" w:rsidTr="003F5684">
        <w:trPr>
          <w:cantSplit/>
          <w:trHeight w:val="360"/>
        </w:trPr>
        <w:tc>
          <w:tcPr>
            <w:tcW w:w="2410" w:type="dxa"/>
            <w:tcBorders>
              <w:top w:val="single" w:sz="4" w:space="0" w:color="auto"/>
              <w:left w:val="single" w:sz="4" w:space="0" w:color="auto"/>
              <w:bottom w:val="single" w:sz="4" w:space="0" w:color="auto"/>
              <w:right w:val="single" w:sz="4" w:space="0" w:color="auto"/>
            </w:tcBorders>
          </w:tcPr>
          <w:p w:rsidR="002B001C" w:rsidRPr="00260CE3" w:rsidRDefault="002B001C" w:rsidP="003F5684">
            <w:pPr>
              <w:jc w:val="both"/>
              <w:rPr>
                <w:rFonts w:ascii="Arial Narrow" w:hAnsi="Arial Narrow" w:cs="Arial"/>
                <w:b/>
                <w:sz w:val="20"/>
                <w:szCs w:val="20"/>
              </w:rPr>
            </w:pPr>
            <w:r w:rsidRPr="00260CE3">
              <w:rPr>
                <w:rFonts w:ascii="Arial Narrow" w:hAnsi="Arial Narrow" w:cs="Arial"/>
                <w:b/>
                <w:sz w:val="20"/>
                <w:szCs w:val="20"/>
              </w:rPr>
              <w:t>Severity:</w:t>
            </w:r>
          </w:p>
        </w:tc>
        <w:tc>
          <w:tcPr>
            <w:tcW w:w="5953" w:type="dxa"/>
            <w:gridSpan w:val="6"/>
            <w:tcBorders>
              <w:top w:val="single" w:sz="4" w:space="0" w:color="auto"/>
              <w:left w:val="single" w:sz="4" w:space="0" w:color="auto"/>
              <w:bottom w:val="single" w:sz="4" w:space="0" w:color="auto"/>
              <w:right w:val="single" w:sz="4" w:space="0" w:color="auto"/>
            </w:tcBorders>
          </w:tcPr>
          <w:p w:rsidR="002B001C" w:rsidRPr="00260CE3" w:rsidRDefault="002B001C" w:rsidP="003F5684">
            <w:pPr>
              <w:rPr>
                <w:rFonts w:ascii="Arial Narrow" w:hAnsi="Arial Narrow" w:cs="Arial"/>
                <w:sz w:val="20"/>
                <w:szCs w:val="20"/>
              </w:rPr>
            </w:pPr>
            <w:r>
              <w:rPr>
                <w:rFonts w:ascii="Arial Narrow" w:hAnsi="Arial Narrow" w:cs="Arial"/>
                <w:sz w:val="20"/>
                <w:szCs w:val="20"/>
              </w:rPr>
              <w:t>Severe</w:t>
            </w:r>
          </w:p>
        </w:tc>
      </w:tr>
      <w:tr w:rsidR="002B001C" w:rsidRPr="00260CE3" w:rsidTr="003F5684">
        <w:trPr>
          <w:cantSplit/>
          <w:trHeight w:val="360"/>
        </w:trPr>
        <w:tc>
          <w:tcPr>
            <w:tcW w:w="2410" w:type="dxa"/>
            <w:tcBorders>
              <w:top w:val="single" w:sz="4" w:space="0" w:color="auto"/>
              <w:left w:val="single" w:sz="4" w:space="0" w:color="auto"/>
              <w:bottom w:val="single" w:sz="4" w:space="0" w:color="auto"/>
              <w:right w:val="single" w:sz="4" w:space="0" w:color="auto"/>
            </w:tcBorders>
          </w:tcPr>
          <w:p w:rsidR="002B001C" w:rsidRPr="00260CE3" w:rsidRDefault="002B001C" w:rsidP="003F5684">
            <w:pPr>
              <w:jc w:val="both"/>
              <w:rPr>
                <w:rFonts w:ascii="Arial Narrow" w:hAnsi="Arial Narrow" w:cs="Arial"/>
                <w:b/>
                <w:sz w:val="20"/>
                <w:szCs w:val="20"/>
              </w:rPr>
            </w:pPr>
            <w:r w:rsidRPr="00260CE3">
              <w:rPr>
                <w:rFonts w:ascii="Arial Narrow" w:hAnsi="Arial Narrow" w:cs="Arial"/>
                <w:b/>
                <w:sz w:val="20"/>
                <w:szCs w:val="20"/>
              </w:rPr>
              <w:t>Condition:</w:t>
            </w:r>
          </w:p>
        </w:tc>
        <w:tc>
          <w:tcPr>
            <w:tcW w:w="5953" w:type="dxa"/>
            <w:gridSpan w:val="6"/>
            <w:tcBorders>
              <w:top w:val="single" w:sz="4" w:space="0" w:color="auto"/>
              <w:left w:val="single" w:sz="4" w:space="0" w:color="auto"/>
              <w:bottom w:val="single" w:sz="4" w:space="0" w:color="auto"/>
              <w:right w:val="single" w:sz="4" w:space="0" w:color="auto"/>
            </w:tcBorders>
          </w:tcPr>
          <w:p w:rsidR="002B001C" w:rsidRPr="00260CE3" w:rsidRDefault="002B001C" w:rsidP="003F5684">
            <w:pPr>
              <w:rPr>
                <w:rFonts w:ascii="Arial Narrow" w:hAnsi="Arial Narrow" w:cs="Arial"/>
                <w:sz w:val="20"/>
                <w:szCs w:val="20"/>
              </w:rPr>
            </w:pPr>
            <w:r>
              <w:rPr>
                <w:rFonts w:ascii="Arial Narrow" w:hAnsi="Arial Narrow" w:cs="Arial"/>
                <w:sz w:val="20"/>
                <w:szCs w:val="20"/>
              </w:rPr>
              <w:t>disabling pain</w:t>
            </w:r>
          </w:p>
        </w:tc>
      </w:tr>
      <w:tr w:rsidR="002B001C" w:rsidRPr="00260CE3" w:rsidTr="003F5684">
        <w:trPr>
          <w:cantSplit/>
          <w:trHeight w:val="360"/>
        </w:trPr>
        <w:tc>
          <w:tcPr>
            <w:tcW w:w="2410" w:type="dxa"/>
            <w:tcBorders>
              <w:top w:val="single" w:sz="4" w:space="0" w:color="auto"/>
              <w:left w:val="single" w:sz="4" w:space="0" w:color="auto"/>
              <w:bottom w:val="single" w:sz="4" w:space="0" w:color="auto"/>
              <w:right w:val="single" w:sz="4" w:space="0" w:color="auto"/>
            </w:tcBorders>
          </w:tcPr>
          <w:p w:rsidR="002B001C" w:rsidRPr="00260CE3" w:rsidRDefault="002B001C" w:rsidP="003F5684">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2B001C" w:rsidRPr="00260CE3" w:rsidRDefault="002B001C" w:rsidP="003F5684">
            <w:pPr>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2B001C" w:rsidRPr="00106BCF" w:rsidRDefault="002B001C" w:rsidP="003F5684">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2B001C" w:rsidRPr="00106BCF" w:rsidRDefault="002B001C" w:rsidP="003F5684">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2B001C" w:rsidRPr="00106BCF" w:rsidRDefault="002B001C" w:rsidP="003F5684">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2B001C" w:rsidRPr="00106BCF" w:rsidRDefault="002B001C" w:rsidP="003F5684">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2B001C" w:rsidRPr="00106BCF" w:rsidRDefault="002B001C" w:rsidP="003F56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rsidR="002B001C" w:rsidRPr="00260CE3" w:rsidRDefault="002B001C" w:rsidP="003F5684">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5C5C0C">
              <w:rPr>
                <w:rFonts w:ascii="Arial Narrow" w:hAnsi="Arial Narrow" w:cs="Arial"/>
                <w:sz w:val="20"/>
                <w:szCs w:val="20"/>
              </w:rPr>
            </w:r>
            <w:r w:rsidR="005C5C0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2B001C" w:rsidRPr="00260CE3" w:rsidTr="003F5684">
        <w:trPr>
          <w:cantSplit/>
          <w:trHeight w:val="360"/>
        </w:trPr>
        <w:tc>
          <w:tcPr>
            <w:tcW w:w="2410" w:type="dxa"/>
            <w:tcBorders>
              <w:top w:val="single" w:sz="4" w:space="0" w:color="auto"/>
              <w:left w:val="single" w:sz="4" w:space="0" w:color="auto"/>
              <w:bottom w:val="single" w:sz="4" w:space="0" w:color="auto"/>
              <w:right w:val="single" w:sz="4" w:space="0" w:color="auto"/>
            </w:tcBorders>
          </w:tcPr>
          <w:p w:rsidR="002B001C" w:rsidRPr="00260CE3" w:rsidRDefault="002B001C" w:rsidP="003F5684">
            <w:pPr>
              <w:jc w:val="both"/>
              <w:rPr>
                <w:rFonts w:ascii="Arial Narrow" w:hAnsi="Arial Narrow" w:cs="Arial"/>
                <w:b/>
                <w:sz w:val="20"/>
                <w:szCs w:val="20"/>
              </w:rPr>
            </w:pPr>
            <w:r w:rsidRPr="00260CE3">
              <w:rPr>
                <w:rFonts w:ascii="Arial Narrow" w:hAnsi="Arial Narrow" w:cs="Arial"/>
                <w:b/>
                <w:sz w:val="20"/>
                <w:szCs w:val="20"/>
              </w:rPr>
              <w:t>Clinical criteria:</w:t>
            </w:r>
          </w:p>
          <w:p w:rsidR="002B001C" w:rsidRPr="00260CE3" w:rsidRDefault="002B001C" w:rsidP="003F5684">
            <w:pPr>
              <w:jc w:val="both"/>
              <w:rPr>
                <w:rFonts w:ascii="Arial Narrow" w:hAnsi="Arial Narrow" w:cs="Arial"/>
                <w:i/>
                <w:sz w:val="20"/>
                <w:szCs w:val="20"/>
              </w:rPr>
            </w:pPr>
          </w:p>
          <w:p w:rsidR="002B001C" w:rsidRPr="00260CE3" w:rsidRDefault="002B001C" w:rsidP="003F5684">
            <w:pPr>
              <w:jc w:val="both"/>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2B001C" w:rsidRPr="00C418A0" w:rsidRDefault="002B001C" w:rsidP="003F5684">
            <w:pPr>
              <w:rPr>
                <w:rFonts w:ascii="Arial Narrow" w:hAnsi="Arial Narrow" w:cs="Arial"/>
                <w:sz w:val="20"/>
                <w:szCs w:val="20"/>
              </w:rPr>
            </w:pPr>
            <w:r w:rsidRPr="00C418A0">
              <w:rPr>
                <w:rFonts w:ascii="Arial Narrow" w:hAnsi="Arial Narrow" w:cs="Arial"/>
                <w:sz w:val="20"/>
                <w:szCs w:val="20"/>
              </w:rPr>
              <w:t>Patient must be receiving palliative care</w:t>
            </w:r>
          </w:p>
          <w:p w:rsidR="002B001C" w:rsidRPr="001358CE" w:rsidRDefault="002B001C" w:rsidP="003F5684">
            <w:pPr>
              <w:rPr>
                <w:rFonts w:ascii="Arial Narrow" w:hAnsi="Arial Narrow" w:cs="Arial"/>
                <w:i/>
                <w:sz w:val="20"/>
                <w:szCs w:val="20"/>
              </w:rPr>
            </w:pPr>
          </w:p>
          <w:p w:rsidR="002B001C" w:rsidRPr="00C418A0" w:rsidRDefault="002B001C" w:rsidP="003F5684">
            <w:pPr>
              <w:rPr>
                <w:rFonts w:ascii="Arial Narrow" w:hAnsi="Arial Narrow" w:cs="Arial"/>
                <w:sz w:val="20"/>
                <w:szCs w:val="20"/>
              </w:rPr>
            </w:pPr>
            <w:r w:rsidRPr="00C418A0">
              <w:rPr>
                <w:rFonts w:ascii="Arial Narrow" w:hAnsi="Arial Narrow" w:cs="Arial"/>
                <w:sz w:val="20"/>
                <w:szCs w:val="20"/>
              </w:rPr>
              <w:t>AND</w:t>
            </w:r>
          </w:p>
          <w:p w:rsidR="002B001C" w:rsidRPr="00260CE3" w:rsidRDefault="002B001C" w:rsidP="003F5684">
            <w:pPr>
              <w:rPr>
                <w:rFonts w:ascii="Arial Narrow" w:hAnsi="Arial Narrow" w:cs="Arial"/>
                <w:sz w:val="20"/>
                <w:szCs w:val="20"/>
              </w:rPr>
            </w:pPr>
          </w:p>
          <w:p w:rsidR="002B001C" w:rsidRPr="00260CE3" w:rsidRDefault="002B001C" w:rsidP="003F5684">
            <w:pPr>
              <w:jc w:val="both"/>
              <w:rPr>
                <w:rFonts w:ascii="Arial Narrow" w:hAnsi="Arial Narrow" w:cs="Arial"/>
                <w:sz w:val="20"/>
                <w:szCs w:val="20"/>
              </w:rPr>
            </w:pPr>
            <w:r w:rsidRPr="001358CE">
              <w:rPr>
                <w:rFonts w:ascii="Arial Narrow" w:hAnsi="Arial Narrow" w:cs="Arial"/>
                <w:sz w:val="20"/>
                <w:szCs w:val="20"/>
              </w:rPr>
              <w:t>The condition must be unresponsive to non-opioid analgesics</w:t>
            </w:r>
          </w:p>
          <w:p w:rsidR="002B001C" w:rsidRPr="00260CE3" w:rsidRDefault="002B001C" w:rsidP="003F5684">
            <w:pPr>
              <w:jc w:val="both"/>
              <w:rPr>
                <w:rFonts w:ascii="Arial Narrow" w:hAnsi="Arial Narrow" w:cs="Arial"/>
                <w:sz w:val="20"/>
                <w:szCs w:val="20"/>
              </w:rPr>
            </w:pPr>
          </w:p>
        </w:tc>
      </w:tr>
      <w:tr w:rsidR="002B001C" w:rsidRPr="00260CE3" w:rsidTr="003F5684">
        <w:trPr>
          <w:cantSplit/>
          <w:trHeight w:val="360"/>
        </w:trPr>
        <w:tc>
          <w:tcPr>
            <w:tcW w:w="2410" w:type="dxa"/>
            <w:tcBorders>
              <w:top w:val="single" w:sz="4" w:space="0" w:color="auto"/>
              <w:left w:val="single" w:sz="4" w:space="0" w:color="auto"/>
              <w:bottom w:val="single" w:sz="4" w:space="0" w:color="auto"/>
              <w:right w:val="single" w:sz="4" w:space="0" w:color="auto"/>
            </w:tcBorders>
          </w:tcPr>
          <w:p w:rsidR="002B001C" w:rsidRPr="00260CE3" w:rsidRDefault="002B001C" w:rsidP="003F5684">
            <w:pPr>
              <w:jc w:val="both"/>
              <w:rPr>
                <w:rFonts w:ascii="Arial Narrow" w:hAnsi="Arial Narrow" w:cs="Arial"/>
                <w:b/>
                <w:sz w:val="20"/>
                <w:szCs w:val="20"/>
              </w:rPr>
            </w:pPr>
            <w:r w:rsidRPr="00260CE3">
              <w:rPr>
                <w:rFonts w:ascii="Arial Narrow" w:hAnsi="Arial Narrow" w:cs="Arial"/>
                <w:b/>
                <w:sz w:val="20"/>
                <w:szCs w:val="20"/>
              </w:rPr>
              <w:t>Administrative Advice</w:t>
            </w:r>
          </w:p>
          <w:p w:rsidR="002B001C" w:rsidRPr="00260CE3" w:rsidRDefault="002B001C" w:rsidP="003F5684">
            <w:pPr>
              <w:jc w:val="both"/>
              <w:rPr>
                <w:rFonts w:ascii="Arial Narrow" w:hAnsi="Arial Narrow" w:cs="Arial"/>
                <w:i/>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2B001C" w:rsidRPr="00C418A0" w:rsidRDefault="002B001C" w:rsidP="003F5684">
            <w:pPr>
              <w:rPr>
                <w:rFonts w:ascii="Arial Narrow" w:hAnsi="Arial Narrow" w:cs="Arial"/>
                <w:sz w:val="20"/>
                <w:szCs w:val="20"/>
              </w:rPr>
            </w:pPr>
            <w:r w:rsidRPr="00C418A0">
              <w:rPr>
                <w:rFonts w:ascii="Arial Narrow" w:hAnsi="Arial Narrow" w:cs="Arial"/>
                <w:sz w:val="20"/>
                <w:szCs w:val="20"/>
              </w:rPr>
              <w:t>Telephone approvals are limited to 1 month’s therapy.</w:t>
            </w:r>
          </w:p>
        </w:tc>
      </w:tr>
      <w:tr w:rsidR="002B001C" w:rsidRPr="00260CE3" w:rsidTr="003F5684">
        <w:trPr>
          <w:cantSplit/>
          <w:trHeight w:val="360"/>
        </w:trPr>
        <w:tc>
          <w:tcPr>
            <w:tcW w:w="2410" w:type="dxa"/>
            <w:tcBorders>
              <w:top w:val="single" w:sz="4" w:space="0" w:color="auto"/>
              <w:left w:val="single" w:sz="4" w:space="0" w:color="auto"/>
              <w:bottom w:val="single" w:sz="4" w:space="0" w:color="auto"/>
              <w:right w:val="single" w:sz="4" w:space="0" w:color="auto"/>
            </w:tcBorders>
          </w:tcPr>
          <w:p w:rsidR="002B001C" w:rsidRPr="00A73A99" w:rsidRDefault="002B001C" w:rsidP="003F5684">
            <w:pPr>
              <w:jc w:val="both"/>
              <w:rPr>
                <w:rFonts w:ascii="Arial Narrow" w:hAnsi="Arial Narrow" w:cs="Arial"/>
                <w:b/>
                <w:sz w:val="20"/>
                <w:szCs w:val="20"/>
              </w:rPr>
            </w:pPr>
            <w:r w:rsidRPr="00260CE3">
              <w:rPr>
                <w:rFonts w:ascii="Arial Narrow" w:hAnsi="Arial Narrow" w:cs="Arial"/>
                <w:b/>
                <w:sz w:val="20"/>
                <w:szCs w:val="20"/>
              </w:rPr>
              <w:t>Cautions</w:t>
            </w:r>
          </w:p>
          <w:p w:rsidR="002B001C" w:rsidRPr="00260CE3" w:rsidRDefault="002B001C" w:rsidP="003F5684">
            <w:pPr>
              <w:jc w:val="both"/>
              <w:rPr>
                <w:rFonts w:ascii="Arial Narrow" w:hAnsi="Arial Narrow" w:cs="Arial"/>
                <w:i/>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2B001C" w:rsidRPr="00260CE3" w:rsidRDefault="002B001C" w:rsidP="003F5684">
            <w:pPr>
              <w:rPr>
                <w:rFonts w:ascii="Arial Narrow" w:hAnsi="Arial Narrow" w:cs="Arial"/>
                <w:sz w:val="20"/>
                <w:szCs w:val="20"/>
              </w:rPr>
            </w:pPr>
            <w:r w:rsidRPr="0039410A">
              <w:rPr>
                <w:rFonts w:ascii="Arial Narrow" w:hAnsi="Arial Narrow" w:cs="Arial"/>
                <w:sz w:val="20"/>
                <w:szCs w:val="20"/>
              </w:rPr>
              <w:t>The risk of drug dependence is high.</w:t>
            </w:r>
          </w:p>
        </w:tc>
      </w:tr>
    </w:tbl>
    <w:p w:rsidR="005D299B" w:rsidRDefault="005D299B" w:rsidP="003D7D95">
      <w:pPr>
        <w:widowControl w:val="0"/>
        <w:jc w:val="both"/>
        <w:rPr>
          <w:rFonts w:ascii="Arial" w:hAnsi="Arial" w:cs="Arial"/>
          <w:b/>
          <w:bCs/>
          <w:snapToGrid w:val="0"/>
          <w:sz w:val="22"/>
          <w:szCs w:val="20"/>
          <w:highlight w:val="yellow"/>
        </w:rPr>
      </w:pPr>
    </w:p>
    <w:p w:rsidR="00923CE3" w:rsidRPr="005D299B" w:rsidRDefault="00923CE3" w:rsidP="00504509">
      <w:pPr>
        <w:widowControl w:val="0"/>
        <w:numPr>
          <w:ilvl w:val="0"/>
          <w:numId w:val="20"/>
        </w:numPr>
        <w:jc w:val="both"/>
        <w:rPr>
          <w:rFonts w:ascii="Arial" w:hAnsi="Arial" w:cs="Arial"/>
          <w:b/>
          <w:bCs/>
          <w:snapToGrid w:val="0"/>
          <w:sz w:val="22"/>
          <w:szCs w:val="20"/>
          <w:lang w:val="en-GB"/>
        </w:rPr>
      </w:pPr>
      <w:r w:rsidRPr="005D299B">
        <w:rPr>
          <w:rFonts w:ascii="Arial" w:hAnsi="Arial" w:cs="Arial"/>
          <w:b/>
          <w:bCs/>
          <w:snapToGrid w:val="0"/>
          <w:sz w:val="22"/>
          <w:szCs w:val="20"/>
          <w:lang w:val="en-GB"/>
        </w:rPr>
        <w:t>Context for Decision</w:t>
      </w:r>
    </w:p>
    <w:p w:rsidR="00923CE3" w:rsidRDefault="00923CE3" w:rsidP="00923CE3">
      <w:pPr>
        <w:ind w:left="426"/>
        <w:jc w:val="both"/>
        <w:rPr>
          <w:rFonts w:ascii="Arial" w:hAnsi="Arial" w:cs="Arial"/>
          <w:sz w:val="22"/>
        </w:rPr>
      </w:pPr>
    </w:p>
    <w:p w:rsidR="00923CE3" w:rsidRPr="00923CE3" w:rsidRDefault="00923CE3" w:rsidP="00923CE3">
      <w:pPr>
        <w:widowControl w:val="0"/>
        <w:ind w:left="720"/>
        <w:jc w:val="both"/>
        <w:rPr>
          <w:rFonts w:ascii="Arial" w:hAnsi="Arial" w:cs="Arial"/>
          <w:bCs/>
          <w:snapToGrid w:val="0"/>
          <w:sz w:val="22"/>
          <w:szCs w:val="20"/>
          <w:lang w:val="en-GB"/>
        </w:rPr>
      </w:pPr>
      <w:r w:rsidRPr="00923CE3">
        <w:rPr>
          <w:rFonts w:ascii="Arial" w:hAnsi="Arial" w:cs="Arial"/>
          <w:bCs/>
          <w:snapToGrid w:val="0"/>
          <w:sz w:val="22"/>
          <w:szCs w:val="20"/>
          <w:lang w:val="en-GB"/>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23CE3" w:rsidRDefault="00923CE3" w:rsidP="00923CE3">
      <w:pPr>
        <w:ind w:left="426"/>
        <w:jc w:val="both"/>
        <w:rPr>
          <w:rFonts w:ascii="Arial" w:hAnsi="Arial" w:cs="Arial"/>
          <w:sz w:val="22"/>
        </w:rPr>
      </w:pPr>
    </w:p>
    <w:p w:rsidR="00923CE3" w:rsidRDefault="00923CE3" w:rsidP="00504509">
      <w:pPr>
        <w:widowControl w:val="0"/>
        <w:numPr>
          <w:ilvl w:val="0"/>
          <w:numId w:val="20"/>
        </w:numPr>
        <w:jc w:val="both"/>
        <w:rPr>
          <w:rFonts w:ascii="Arial" w:hAnsi="Arial" w:cs="Arial"/>
          <w:b/>
          <w:bCs/>
          <w:snapToGrid w:val="0"/>
          <w:sz w:val="22"/>
          <w:szCs w:val="20"/>
          <w:lang w:val="en-GB"/>
        </w:rPr>
      </w:pPr>
      <w:r w:rsidRPr="00923CE3">
        <w:rPr>
          <w:rFonts w:ascii="Arial" w:hAnsi="Arial" w:cs="Arial"/>
          <w:b/>
          <w:bCs/>
          <w:snapToGrid w:val="0"/>
          <w:sz w:val="22"/>
          <w:szCs w:val="20"/>
          <w:lang w:val="en-GB"/>
        </w:rPr>
        <w:t>Sponsor’s Comment</w:t>
      </w:r>
    </w:p>
    <w:p w:rsidR="003D7D95" w:rsidRPr="003D7D95" w:rsidRDefault="003D7D95" w:rsidP="003D7D95">
      <w:pPr>
        <w:widowControl w:val="0"/>
        <w:jc w:val="both"/>
        <w:rPr>
          <w:rFonts w:ascii="Arial" w:hAnsi="Arial" w:cs="Arial"/>
          <w:b/>
          <w:bCs/>
          <w:snapToGrid w:val="0"/>
          <w:sz w:val="22"/>
          <w:szCs w:val="20"/>
          <w:lang w:val="en-GB"/>
        </w:rPr>
      </w:pPr>
    </w:p>
    <w:p w:rsidR="00F64CC1" w:rsidRPr="003D7D95" w:rsidRDefault="00923CE3" w:rsidP="003D7D95">
      <w:pPr>
        <w:widowControl w:val="0"/>
        <w:ind w:left="720"/>
        <w:jc w:val="both"/>
        <w:rPr>
          <w:rFonts w:ascii="Arial" w:hAnsi="Arial" w:cs="Arial"/>
          <w:bCs/>
          <w:snapToGrid w:val="0"/>
          <w:sz w:val="22"/>
          <w:szCs w:val="20"/>
          <w:lang w:val="en-GB"/>
        </w:rPr>
      </w:pPr>
      <w:r w:rsidRPr="00923CE3">
        <w:rPr>
          <w:rFonts w:ascii="Arial" w:hAnsi="Arial" w:cs="Arial"/>
          <w:bCs/>
          <w:snapToGrid w:val="0"/>
          <w:sz w:val="22"/>
          <w:szCs w:val="20"/>
          <w:lang w:val="en-GB"/>
        </w:rPr>
        <w:t>The sponsor had no comment.</w:t>
      </w:r>
    </w:p>
    <w:sectPr w:rsidR="00F64CC1" w:rsidRPr="003D7D95"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F97" w:rsidRDefault="00876F97">
      <w:r>
        <w:separator/>
      </w:r>
    </w:p>
    <w:p w:rsidR="00876F97" w:rsidRDefault="00876F97"/>
  </w:endnote>
  <w:endnote w:type="continuationSeparator" w:id="0">
    <w:p w:rsidR="00876F97" w:rsidRDefault="00876F97">
      <w:r>
        <w:continuationSeparator/>
      </w:r>
    </w:p>
    <w:p w:rsidR="00876F97" w:rsidRDefault="00876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0110D" w:rsidTr="005A3173">
      <w:trPr>
        <w:trHeight w:val="151"/>
      </w:trPr>
      <w:tc>
        <w:tcPr>
          <w:tcW w:w="2250" w:type="pct"/>
          <w:tcBorders>
            <w:top w:val="nil"/>
            <w:left w:val="nil"/>
            <w:bottom w:val="single" w:sz="4" w:space="0" w:color="4F81BD"/>
            <w:right w:val="nil"/>
          </w:tcBorders>
        </w:tcPr>
        <w:p w:rsidR="00B0110D" w:rsidRPr="005A3173" w:rsidRDefault="00B0110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0110D" w:rsidRPr="005A3173" w:rsidRDefault="00B0110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0110D" w:rsidRPr="005A3173" w:rsidRDefault="00B0110D" w:rsidP="005A3173">
          <w:pPr>
            <w:pStyle w:val="Header"/>
            <w:spacing w:line="276" w:lineRule="auto"/>
            <w:rPr>
              <w:rFonts w:ascii="Calibri" w:eastAsia="MS Gothic" w:hAnsi="Calibri"/>
              <w:b/>
              <w:bCs/>
              <w:color w:val="4F81BD"/>
            </w:rPr>
          </w:pPr>
        </w:p>
      </w:tc>
    </w:tr>
    <w:tr w:rsidR="00B0110D" w:rsidTr="005A3173">
      <w:trPr>
        <w:trHeight w:val="150"/>
      </w:trPr>
      <w:tc>
        <w:tcPr>
          <w:tcW w:w="2250" w:type="pct"/>
          <w:tcBorders>
            <w:top w:val="single" w:sz="4" w:space="0" w:color="4F81BD"/>
            <w:left w:val="nil"/>
            <w:bottom w:val="nil"/>
            <w:right w:val="nil"/>
          </w:tcBorders>
        </w:tcPr>
        <w:p w:rsidR="00B0110D" w:rsidRPr="005A3173" w:rsidRDefault="00B0110D" w:rsidP="005A3173">
          <w:pPr>
            <w:pStyle w:val="Header"/>
            <w:spacing w:line="276" w:lineRule="auto"/>
            <w:rPr>
              <w:rFonts w:ascii="Calibri" w:eastAsia="MS Gothic" w:hAnsi="Calibri"/>
              <w:b/>
              <w:bCs/>
              <w:color w:val="4F81BD"/>
            </w:rPr>
          </w:pPr>
        </w:p>
      </w:tc>
      <w:tc>
        <w:tcPr>
          <w:tcW w:w="0" w:type="auto"/>
          <w:vMerge/>
          <w:vAlign w:val="center"/>
          <w:hideMark/>
        </w:tcPr>
        <w:p w:rsidR="00B0110D" w:rsidRPr="005A3173" w:rsidRDefault="00B0110D" w:rsidP="005A3173">
          <w:pPr>
            <w:rPr>
              <w:rFonts w:ascii="Calibri" w:hAnsi="Calibri"/>
              <w:color w:val="365F91"/>
              <w:sz w:val="22"/>
              <w:szCs w:val="22"/>
            </w:rPr>
          </w:pPr>
        </w:p>
      </w:tc>
      <w:tc>
        <w:tcPr>
          <w:tcW w:w="2250" w:type="pct"/>
          <w:tcBorders>
            <w:top w:val="single" w:sz="4" w:space="0" w:color="4F81BD"/>
            <w:left w:val="nil"/>
            <w:bottom w:val="nil"/>
            <w:right w:val="nil"/>
          </w:tcBorders>
        </w:tcPr>
        <w:p w:rsidR="00B0110D" w:rsidRPr="005A3173" w:rsidRDefault="00B0110D" w:rsidP="005A3173">
          <w:pPr>
            <w:pStyle w:val="Header"/>
            <w:spacing w:line="276" w:lineRule="auto"/>
            <w:rPr>
              <w:rFonts w:ascii="Calibri" w:eastAsia="MS Gothic" w:hAnsi="Calibri"/>
              <w:b/>
              <w:bCs/>
              <w:color w:val="4F81BD"/>
            </w:rPr>
          </w:pPr>
        </w:p>
      </w:tc>
    </w:tr>
  </w:tbl>
  <w:p w:rsidR="00B0110D" w:rsidRDefault="00B0110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110D" w:rsidRDefault="00B0110D">
    <w:pPr>
      <w:pStyle w:val="Footer"/>
    </w:pPr>
  </w:p>
  <w:p w:rsidR="00B0110D" w:rsidRDefault="00B011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509238"/>
      <w:docPartObj>
        <w:docPartGallery w:val="Page Numbers (Bottom of Page)"/>
        <w:docPartUnique/>
      </w:docPartObj>
    </w:sdtPr>
    <w:sdtEndPr>
      <w:rPr>
        <w:rFonts w:ascii="Arial" w:hAnsi="Arial" w:cs="Arial"/>
        <w:noProof/>
      </w:rPr>
    </w:sdtEndPr>
    <w:sdtContent>
      <w:p w:rsidR="00B0110D" w:rsidRPr="007421F4" w:rsidRDefault="00B0110D">
        <w:pPr>
          <w:pStyle w:val="Footer"/>
          <w:jc w:val="center"/>
          <w:rPr>
            <w:rFonts w:ascii="Arial" w:hAnsi="Arial" w:cs="Arial"/>
          </w:rPr>
        </w:pPr>
        <w:r w:rsidRPr="007421F4">
          <w:rPr>
            <w:rFonts w:ascii="Arial" w:hAnsi="Arial" w:cs="Arial"/>
          </w:rPr>
          <w:fldChar w:fldCharType="begin"/>
        </w:r>
        <w:r w:rsidRPr="007421F4">
          <w:rPr>
            <w:rFonts w:ascii="Arial" w:hAnsi="Arial" w:cs="Arial"/>
          </w:rPr>
          <w:instrText xml:space="preserve"> PAGE   \* MERGEFORMAT </w:instrText>
        </w:r>
        <w:r w:rsidRPr="007421F4">
          <w:rPr>
            <w:rFonts w:ascii="Arial" w:hAnsi="Arial" w:cs="Arial"/>
          </w:rPr>
          <w:fldChar w:fldCharType="separate"/>
        </w:r>
        <w:r w:rsidR="00C45322">
          <w:rPr>
            <w:rFonts w:ascii="Arial" w:hAnsi="Arial" w:cs="Arial"/>
            <w:noProof/>
          </w:rPr>
          <w:t>1</w:t>
        </w:r>
        <w:r w:rsidRPr="007421F4">
          <w:rPr>
            <w:rFonts w:ascii="Arial" w:hAnsi="Arial" w:cs="Arial"/>
            <w:noProof/>
          </w:rPr>
          <w:fldChar w:fldCharType="end"/>
        </w:r>
      </w:p>
    </w:sdtContent>
  </w:sdt>
  <w:p w:rsidR="00B0110D" w:rsidRDefault="00B0110D"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B0110D" w:rsidTr="005A3173">
      <w:trPr>
        <w:trHeight w:val="151"/>
      </w:trPr>
      <w:tc>
        <w:tcPr>
          <w:tcW w:w="2250" w:type="pct"/>
          <w:tcBorders>
            <w:top w:val="nil"/>
            <w:left w:val="nil"/>
            <w:bottom w:val="single" w:sz="4" w:space="0" w:color="4F81BD"/>
            <w:right w:val="nil"/>
          </w:tcBorders>
        </w:tcPr>
        <w:p w:rsidR="00B0110D" w:rsidRPr="005A3173" w:rsidRDefault="00B0110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0110D" w:rsidRPr="005A3173" w:rsidRDefault="00B0110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0110D" w:rsidRPr="005A3173" w:rsidRDefault="00B0110D" w:rsidP="005A3173">
          <w:pPr>
            <w:pStyle w:val="Header"/>
            <w:spacing w:line="276" w:lineRule="auto"/>
            <w:rPr>
              <w:rFonts w:ascii="Calibri" w:eastAsia="MS Gothic" w:hAnsi="Calibri"/>
              <w:b/>
              <w:bCs/>
              <w:color w:val="4F81BD"/>
            </w:rPr>
          </w:pPr>
        </w:p>
      </w:tc>
    </w:tr>
    <w:tr w:rsidR="00B0110D" w:rsidTr="005A3173">
      <w:trPr>
        <w:trHeight w:val="150"/>
      </w:trPr>
      <w:tc>
        <w:tcPr>
          <w:tcW w:w="2250" w:type="pct"/>
          <w:tcBorders>
            <w:top w:val="single" w:sz="4" w:space="0" w:color="4F81BD"/>
            <w:left w:val="nil"/>
            <w:bottom w:val="nil"/>
            <w:right w:val="nil"/>
          </w:tcBorders>
        </w:tcPr>
        <w:p w:rsidR="00B0110D" w:rsidRPr="005A3173" w:rsidRDefault="00B0110D" w:rsidP="005A3173">
          <w:pPr>
            <w:pStyle w:val="Header"/>
            <w:spacing w:line="276" w:lineRule="auto"/>
            <w:rPr>
              <w:rFonts w:ascii="Calibri" w:eastAsia="MS Gothic" w:hAnsi="Calibri"/>
              <w:b/>
              <w:bCs/>
              <w:color w:val="4F81BD"/>
            </w:rPr>
          </w:pPr>
        </w:p>
      </w:tc>
      <w:tc>
        <w:tcPr>
          <w:tcW w:w="0" w:type="auto"/>
          <w:vMerge/>
          <w:vAlign w:val="center"/>
          <w:hideMark/>
        </w:tcPr>
        <w:p w:rsidR="00B0110D" w:rsidRPr="005A3173" w:rsidRDefault="00B0110D" w:rsidP="005A3173">
          <w:pPr>
            <w:rPr>
              <w:rFonts w:ascii="Calibri" w:hAnsi="Calibri"/>
              <w:color w:val="365F91"/>
              <w:sz w:val="22"/>
              <w:szCs w:val="22"/>
            </w:rPr>
          </w:pPr>
        </w:p>
      </w:tc>
      <w:tc>
        <w:tcPr>
          <w:tcW w:w="2250" w:type="pct"/>
          <w:tcBorders>
            <w:top w:val="single" w:sz="4" w:space="0" w:color="4F81BD"/>
            <w:left w:val="nil"/>
            <w:bottom w:val="nil"/>
            <w:right w:val="nil"/>
          </w:tcBorders>
        </w:tcPr>
        <w:p w:rsidR="00B0110D" w:rsidRPr="005A3173" w:rsidRDefault="00B0110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0110D" w:rsidTr="005A3173">
      <w:trPr>
        <w:trHeight w:val="151"/>
      </w:trPr>
      <w:tc>
        <w:tcPr>
          <w:tcW w:w="2250" w:type="pct"/>
          <w:tcBorders>
            <w:top w:val="nil"/>
            <w:left w:val="nil"/>
            <w:bottom w:val="single" w:sz="4" w:space="0" w:color="4F81BD"/>
            <w:right w:val="nil"/>
          </w:tcBorders>
        </w:tcPr>
        <w:p w:rsidR="00B0110D" w:rsidRPr="005A3173" w:rsidRDefault="00B0110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0110D" w:rsidRPr="005A3173" w:rsidRDefault="00B0110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0110D" w:rsidRPr="005A3173" w:rsidRDefault="00B0110D" w:rsidP="005A3173">
          <w:pPr>
            <w:pStyle w:val="Header"/>
            <w:spacing w:line="276" w:lineRule="auto"/>
            <w:rPr>
              <w:rFonts w:ascii="Calibri" w:eastAsia="MS Gothic" w:hAnsi="Calibri"/>
              <w:b/>
              <w:bCs/>
              <w:color w:val="4F81BD"/>
            </w:rPr>
          </w:pPr>
        </w:p>
      </w:tc>
    </w:tr>
    <w:tr w:rsidR="00B0110D" w:rsidTr="005A3173">
      <w:trPr>
        <w:trHeight w:val="150"/>
      </w:trPr>
      <w:tc>
        <w:tcPr>
          <w:tcW w:w="2250" w:type="pct"/>
          <w:tcBorders>
            <w:top w:val="single" w:sz="4" w:space="0" w:color="4F81BD"/>
            <w:left w:val="nil"/>
            <w:bottom w:val="nil"/>
            <w:right w:val="nil"/>
          </w:tcBorders>
        </w:tcPr>
        <w:p w:rsidR="00B0110D" w:rsidRPr="005A3173" w:rsidRDefault="00B0110D" w:rsidP="005A3173">
          <w:pPr>
            <w:pStyle w:val="Header"/>
            <w:spacing w:line="276" w:lineRule="auto"/>
            <w:rPr>
              <w:rFonts w:ascii="Calibri" w:eastAsia="MS Gothic" w:hAnsi="Calibri"/>
              <w:b/>
              <w:bCs/>
              <w:color w:val="4F81BD"/>
            </w:rPr>
          </w:pPr>
        </w:p>
      </w:tc>
      <w:tc>
        <w:tcPr>
          <w:tcW w:w="0" w:type="auto"/>
          <w:vMerge/>
          <w:vAlign w:val="center"/>
          <w:hideMark/>
        </w:tcPr>
        <w:p w:rsidR="00B0110D" w:rsidRPr="005A3173" w:rsidRDefault="00B0110D" w:rsidP="005A3173">
          <w:pPr>
            <w:rPr>
              <w:rFonts w:ascii="Calibri" w:hAnsi="Calibri"/>
              <w:color w:val="365F91"/>
              <w:sz w:val="22"/>
              <w:szCs w:val="22"/>
            </w:rPr>
          </w:pPr>
        </w:p>
      </w:tc>
      <w:tc>
        <w:tcPr>
          <w:tcW w:w="2250" w:type="pct"/>
          <w:tcBorders>
            <w:top w:val="single" w:sz="4" w:space="0" w:color="4F81BD"/>
            <w:left w:val="nil"/>
            <w:bottom w:val="nil"/>
            <w:right w:val="nil"/>
          </w:tcBorders>
        </w:tcPr>
        <w:p w:rsidR="00B0110D" w:rsidRPr="005A3173" w:rsidRDefault="00B0110D" w:rsidP="005A3173">
          <w:pPr>
            <w:pStyle w:val="Header"/>
            <w:spacing w:line="276" w:lineRule="auto"/>
            <w:rPr>
              <w:rFonts w:ascii="Calibri" w:eastAsia="MS Gothic" w:hAnsi="Calibri"/>
              <w:b/>
              <w:bCs/>
              <w:color w:val="4F81BD"/>
            </w:rPr>
          </w:pPr>
        </w:p>
      </w:tc>
    </w:tr>
  </w:tbl>
  <w:p w:rsidR="00B0110D" w:rsidRPr="007C0F57" w:rsidRDefault="00B0110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B0110D" w:rsidRPr="007C0F57" w:rsidRDefault="00B0110D" w:rsidP="007C0F57">
    <w:pPr>
      <w:pStyle w:val="Footer"/>
      <w:jc w:val="center"/>
      <w:rPr>
        <w:b/>
        <w:i/>
        <w:sz w:val="20"/>
        <w:szCs w:val="20"/>
      </w:rPr>
    </w:pPr>
    <w:r w:rsidRPr="007C0F57">
      <w:rPr>
        <w:b/>
        <w:i/>
        <w:sz w:val="20"/>
        <w:szCs w:val="20"/>
      </w:rPr>
      <w:t>Commercial-in-Confidence</w:t>
    </w:r>
  </w:p>
  <w:p w:rsidR="00B0110D" w:rsidRDefault="00B011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F97" w:rsidRDefault="00876F97">
      <w:r>
        <w:separator/>
      </w:r>
    </w:p>
    <w:p w:rsidR="00876F97" w:rsidRDefault="00876F97"/>
  </w:footnote>
  <w:footnote w:type="continuationSeparator" w:id="0">
    <w:p w:rsidR="00876F97" w:rsidRDefault="00876F97">
      <w:r>
        <w:continuationSeparator/>
      </w:r>
    </w:p>
    <w:p w:rsidR="00876F97" w:rsidRDefault="00876F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B0110D" w:rsidRPr="008E0D90" w:rsidTr="00A06225">
      <w:trPr>
        <w:trHeight w:val="151"/>
      </w:trPr>
      <w:tc>
        <w:tcPr>
          <w:tcW w:w="2389" w:type="pct"/>
          <w:tcBorders>
            <w:top w:val="nil"/>
            <w:left w:val="nil"/>
            <w:bottom w:val="single" w:sz="4" w:space="0" w:color="4F81BD"/>
            <w:right w:val="nil"/>
          </w:tcBorders>
        </w:tcPr>
        <w:p w:rsidR="00B0110D" w:rsidRPr="00A06225" w:rsidRDefault="00B0110D">
          <w:pPr>
            <w:pStyle w:val="Header"/>
            <w:spacing w:line="276" w:lineRule="auto"/>
            <w:rPr>
              <w:rFonts w:ascii="Cambria" w:eastAsia="MS Gothic" w:hAnsi="Cambria"/>
              <w:b/>
              <w:bCs/>
              <w:color w:val="4F81BD"/>
            </w:rPr>
          </w:pPr>
        </w:p>
      </w:tc>
      <w:tc>
        <w:tcPr>
          <w:tcW w:w="333" w:type="pct"/>
          <w:vMerge w:val="restart"/>
          <w:noWrap/>
          <w:vAlign w:val="center"/>
          <w:hideMark/>
        </w:tcPr>
        <w:p w:rsidR="00B0110D" w:rsidRPr="00A06225" w:rsidRDefault="00B0110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B0110D" w:rsidRPr="00A06225" w:rsidRDefault="00B0110D">
          <w:pPr>
            <w:pStyle w:val="Header"/>
            <w:spacing w:line="276" w:lineRule="auto"/>
            <w:rPr>
              <w:rFonts w:ascii="Cambria" w:eastAsia="MS Gothic" w:hAnsi="Cambria"/>
              <w:b/>
              <w:bCs/>
              <w:color w:val="4F81BD"/>
            </w:rPr>
          </w:pPr>
        </w:p>
      </w:tc>
    </w:tr>
    <w:tr w:rsidR="00B0110D" w:rsidRPr="008E0D90" w:rsidTr="00A06225">
      <w:trPr>
        <w:trHeight w:val="150"/>
      </w:trPr>
      <w:tc>
        <w:tcPr>
          <w:tcW w:w="2389" w:type="pct"/>
          <w:tcBorders>
            <w:top w:val="single" w:sz="4" w:space="0" w:color="4F81BD"/>
            <w:left w:val="nil"/>
            <w:bottom w:val="nil"/>
            <w:right w:val="nil"/>
          </w:tcBorders>
        </w:tcPr>
        <w:p w:rsidR="00B0110D" w:rsidRPr="00A06225" w:rsidRDefault="00B0110D">
          <w:pPr>
            <w:pStyle w:val="Header"/>
            <w:spacing w:line="276" w:lineRule="auto"/>
            <w:rPr>
              <w:rFonts w:ascii="Cambria" w:eastAsia="MS Gothic" w:hAnsi="Cambria"/>
              <w:b/>
              <w:bCs/>
              <w:color w:val="4F81BD"/>
            </w:rPr>
          </w:pPr>
        </w:p>
      </w:tc>
      <w:tc>
        <w:tcPr>
          <w:tcW w:w="0" w:type="auto"/>
          <w:vMerge/>
          <w:vAlign w:val="center"/>
          <w:hideMark/>
        </w:tcPr>
        <w:p w:rsidR="00B0110D" w:rsidRPr="00A06225" w:rsidRDefault="00B0110D">
          <w:pPr>
            <w:rPr>
              <w:rFonts w:ascii="Cambria" w:hAnsi="Cambria"/>
              <w:color w:val="4F81BD"/>
              <w:sz w:val="22"/>
              <w:szCs w:val="22"/>
            </w:rPr>
          </w:pPr>
        </w:p>
      </w:tc>
      <w:tc>
        <w:tcPr>
          <w:tcW w:w="2278" w:type="pct"/>
          <w:tcBorders>
            <w:top w:val="single" w:sz="4" w:space="0" w:color="4F81BD"/>
            <w:left w:val="nil"/>
            <w:bottom w:val="nil"/>
            <w:right w:val="nil"/>
          </w:tcBorders>
        </w:tcPr>
        <w:p w:rsidR="00B0110D" w:rsidRPr="00A06225" w:rsidRDefault="00B0110D">
          <w:pPr>
            <w:pStyle w:val="Header"/>
            <w:spacing w:line="276" w:lineRule="auto"/>
            <w:rPr>
              <w:rFonts w:ascii="Cambria" w:eastAsia="MS Gothic" w:hAnsi="Cambria"/>
              <w:b/>
              <w:bCs/>
              <w:color w:val="4F81BD"/>
            </w:rPr>
          </w:pPr>
        </w:p>
      </w:tc>
    </w:tr>
  </w:tbl>
  <w:p w:rsidR="00B0110D" w:rsidRDefault="00B0110D">
    <w:pPr>
      <w:pStyle w:val="Header"/>
    </w:pPr>
  </w:p>
  <w:p w:rsidR="00B0110D" w:rsidRDefault="00B011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10D" w:rsidRPr="00DF217D" w:rsidRDefault="00B0110D" w:rsidP="007421F4">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July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B0110D" w:rsidRPr="00DF217D" w:rsidRDefault="00B0110D" w:rsidP="007421F4">
    <w:pPr>
      <w:pStyle w:val="Header"/>
      <w:ind w:left="360"/>
      <w:jc w:val="center"/>
      <w:rPr>
        <w:rFonts w:ascii="Arial" w:hAnsi="Arial" w:cs="Arial"/>
        <w:i/>
        <w:color w:val="808080"/>
        <w:sz w:val="22"/>
      </w:rPr>
    </w:pPr>
  </w:p>
  <w:p w:rsidR="00B0110D" w:rsidRDefault="00B0110D"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0D0" w:rsidRDefault="007A10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C0E7318"/>
    <w:lvl w:ilvl="0">
      <w:start w:val="7"/>
      <w:numFmt w:val="decimal"/>
      <w:pStyle w:val="Heading1"/>
      <w:lvlText w:val="%1"/>
      <w:lvlJc w:val="left"/>
      <w:pPr>
        <w:tabs>
          <w:tab w:val="num" w:pos="360"/>
        </w:tabs>
        <w:ind w:left="360"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B230CC"/>
    <w:multiLevelType w:val="hybridMultilevel"/>
    <w:tmpl w:val="7DC42B24"/>
    <w:lvl w:ilvl="0" w:tplc="83F28180">
      <w:start w:val="1"/>
      <w:numFmt w:val="bullet"/>
      <w:lvlText w:val="•"/>
      <w:lvlJc w:val="left"/>
      <w:pPr>
        <w:tabs>
          <w:tab w:val="num" w:pos="720"/>
        </w:tabs>
        <w:ind w:left="720" w:hanging="360"/>
      </w:pPr>
      <w:rPr>
        <w:rFonts w:ascii="Times New Roman" w:hAnsi="Times New Roman" w:hint="default"/>
      </w:rPr>
    </w:lvl>
    <w:lvl w:ilvl="1" w:tplc="838C1496" w:tentative="1">
      <w:start w:val="1"/>
      <w:numFmt w:val="bullet"/>
      <w:lvlText w:val="•"/>
      <w:lvlJc w:val="left"/>
      <w:pPr>
        <w:tabs>
          <w:tab w:val="num" w:pos="1440"/>
        </w:tabs>
        <w:ind w:left="1440" w:hanging="360"/>
      </w:pPr>
      <w:rPr>
        <w:rFonts w:ascii="Times New Roman" w:hAnsi="Times New Roman" w:hint="default"/>
      </w:rPr>
    </w:lvl>
    <w:lvl w:ilvl="2" w:tplc="FF26EFA6" w:tentative="1">
      <w:start w:val="1"/>
      <w:numFmt w:val="bullet"/>
      <w:lvlText w:val="•"/>
      <w:lvlJc w:val="left"/>
      <w:pPr>
        <w:tabs>
          <w:tab w:val="num" w:pos="2160"/>
        </w:tabs>
        <w:ind w:left="2160" w:hanging="360"/>
      </w:pPr>
      <w:rPr>
        <w:rFonts w:ascii="Times New Roman" w:hAnsi="Times New Roman" w:hint="default"/>
      </w:rPr>
    </w:lvl>
    <w:lvl w:ilvl="3" w:tplc="68202DAE" w:tentative="1">
      <w:start w:val="1"/>
      <w:numFmt w:val="bullet"/>
      <w:lvlText w:val="•"/>
      <w:lvlJc w:val="left"/>
      <w:pPr>
        <w:tabs>
          <w:tab w:val="num" w:pos="2880"/>
        </w:tabs>
        <w:ind w:left="2880" w:hanging="360"/>
      </w:pPr>
      <w:rPr>
        <w:rFonts w:ascii="Times New Roman" w:hAnsi="Times New Roman" w:hint="default"/>
      </w:rPr>
    </w:lvl>
    <w:lvl w:ilvl="4" w:tplc="C66839C0" w:tentative="1">
      <w:start w:val="1"/>
      <w:numFmt w:val="bullet"/>
      <w:lvlText w:val="•"/>
      <w:lvlJc w:val="left"/>
      <w:pPr>
        <w:tabs>
          <w:tab w:val="num" w:pos="3600"/>
        </w:tabs>
        <w:ind w:left="3600" w:hanging="360"/>
      </w:pPr>
      <w:rPr>
        <w:rFonts w:ascii="Times New Roman" w:hAnsi="Times New Roman" w:hint="default"/>
      </w:rPr>
    </w:lvl>
    <w:lvl w:ilvl="5" w:tplc="D834E17E" w:tentative="1">
      <w:start w:val="1"/>
      <w:numFmt w:val="bullet"/>
      <w:lvlText w:val="•"/>
      <w:lvlJc w:val="left"/>
      <w:pPr>
        <w:tabs>
          <w:tab w:val="num" w:pos="4320"/>
        </w:tabs>
        <w:ind w:left="4320" w:hanging="360"/>
      </w:pPr>
      <w:rPr>
        <w:rFonts w:ascii="Times New Roman" w:hAnsi="Times New Roman" w:hint="default"/>
      </w:rPr>
    </w:lvl>
    <w:lvl w:ilvl="6" w:tplc="25522200" w:tentative="1">
      <w:start w:val="1"/>
      <w:numFmt w:val="bullet"/>
      <w:lvlText w:val="•"/>
      <w:lvlJc w:val="left"/>
      <w:pPr>
        <w:tabs>
          <w:tab w:val="num" w:pos="5040"/>
        </w:tabs>
        <w:ind w:left="5040" w:hanging="360"/>
      </w:pPr>
      <w:rPr>
        <w:rFonts w:ascii="Times New Roman" w:hAnsi="Times New Roman" w:hint="default"/>
      </w:rPr>
    </w:lvl>
    <w:lvl w:ilvl="7" w:tplc="9E42EE60" w:tentative="1">
      <w:start w:val="1"/>
      <w:numFmt w:val="bullet"/>
      <w:lvlText w:val="•"/>
      <w:lvlJc w:val="left"/>
      <w:pPr>
        <w:tabs>
          <w:tab w:val="num" w:pos="5760"/>
        </w:tabs>
        <w:ind w:left="5760" w:hanging="360"/>
      </w:pPr>
      <w:rPr>
        <w:rFonts w:ascii="Times New Roman" w:hAnsi="Times New Roman" w:hint="default"/>
      </w:rPr>
    </w:lvl>
    <w:lvl w:ilvl="8" w:tplc="5BEE2B64" w:tentative="1">
      <w:start w:val="1"/>
      <w:numFmt w:val="bullet"/>
      <w:lvlText w:val="•"/>
      <w:lvlJc w:val="left"/>
      <w:pPr>
        <w:tabs>
          <w:tab w:val="num" w:pos="6480"/>
        </w:tabs>
        <w:ind w:left="6480" w:hanging="360"/>
      </w:pPr>
      <w:rPr>
        <w:rFonts w:ascii="Times New Roman" w:hAnsi="Times New Roman"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CE32322"/>
    <w:multiLevelType w:val="multilevel"/>
    <w:tmpl w:val="EB4E963C"/>
    <w:lvl w:ilvl="0">
      <w:start w:val="6"/>
      <w:numFmt w:val="decimal"/>
      <w:lvlText w:val="%1"/>
      <w:lvlJc w:val="left"/>
      <w:pPr>
        <w:ind w:left="720" w:hanging="720"/>
      </w:pPr>
      <w:rPr>
        <w:rFonts w:hint="default"/>
        <w:b/>
      </w:rPr>
    </w:lvl>
    <w:lvl w:ilvl="1">
      <w:start w:val="7"/>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EB5E40"/>
    <w:multiLevelType w:val="hybridMultilevel"/>
    <w:tmpl w:val="28FCB9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6666914"/>
    <w:multiLevelType w:val="hybridMultilevel"/>
    <w:tmpl w:val="DC566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9D10B5E"/>
    <w:multiLevelType w:val="hybridMultilevel"/>
    <w:tmpl w:val="7298906C"/>
    <w:lvl w:ilvl="0" w:tplc="E2FC86B0">
      <w:start w:val="1"/>
      <w:numFmt w:val="bullet"/>
      <w:lvlText w:val="•"/>
      <w:lvlJc w:val="left"/>
      <w:pPr>
        <w:tabs>
          <w:tab w:val="num" w:pos="720"/>
        </w:tabs>
        <w:ind w:left="720" w:hanging="360"/>
      </w:pPr>
      <w:rPr>
        <w:rFonts w:ascii="Times New Roman" w:hAnsi="Times New Roman" w:hint="default"/>
      </w:rPr>
    </w:lvl>
    <w:lvl w:ilvl="1" w:tplc="6D082B06" w:tentative="1">
      <w:start w:val="1"/>
      <w:numFmt w:val="bullet"/>
      <w:lvlText w:val="•"/>
      <w:lvlJc w:val="left"/>
      <w:pPr>
        <w:tabs>
          <w:tab w:val="num" w:pos="1440"/>
        </w:tabs>
        <w:ind w:left="1440" w:hanging="360"/>
      </w:pPr>
      <w:rPr>
        <w:rFonts w:ascii="Times New Roman" w:hAnsi="Times New Roman" w:hint="default"/>
      </w:rPr>
    </w:lvl>
    <w:lvl w:ilvl="2" w:tplc="EC94B1E2" w:tentative="1">
      <w:start w:val="1"/>
      <w:numFmt w:val="bullet"/>
      <w:lvlText w:val="•"/>
      <w:lvlJc w:val="left"/>
      <w:pPr>
        <w:tabs>
          <w:tab w:val="num" w:pos="2160"/>
        </w:tabs>
        <w:ind w:left="2160" w:hanging="360"/>
      </w:pPr>
      <w:rPr>
        <w:rFonts w:ascii="Times New Roman" w:hAnsi="Times New Roman" w:hint="default"/>
      </w:rPr>
    </w:lvl>
    <w:lvl w:ilvl="3" w:tplc="C4C087C4" w:tentative="1">
      <w:start w:val="1"/>
      <w:numFmt w:val="bullet"/>
      <w:lvlText w:val="•"/>
      <w:lvlJc w:val="left"/>
      <w:pPr>
        <w:tabs>
          <w:tab w:val="num" w:pos="2880"/>
        </w:tabs>
        <w:ind w:left="2880" w:hanging="360"/>
      </w:pPr>
      <w:rPr>
        <w:rFonts w:ascii="Times New Roman" w:hAnsi="Times New Roman" w:hint="default"/>
      </w:rPr>
    </w:lvl>
    <w:lvl w:ilvl="4" w:tplc="DA0ED2C2" w:tentative="1">
      <w:start w:val="1"/>
      <w:numFmt w:val="bullet"/>
      <w:lvlText w:val="•"/>
      <w:lvlJc w:val="left"/>
      <w:pPr>
        <w:tabs>
          <w:tab w:val="num" w:pos="3600"/>
        </w:tabs>
        <w:ind w:left="3600" w:hanging="360"/>
      </w:pPr>
      <w:rPr>
        <w:rFonts w:ascii="Times New Roman" w:hAnsi="Times New Roman" w:hint="default"/>
      </w:rPr>
    </w:lvl>
    <w:lvl w:ilvl="5" w:tplc="1690FA66" w:tentative="1">
      <w:start w:val="1"/>
      <w:numFmt w:val="bullet"/>
      <w:lvlText w:val="•"/>
      <w:lvlJc w:val="left"/>
      <w:pPr>
        <w:tabs>
          <w:tab w:val="num" w:pos="4320"/>
        </w:tabs>
        <w:ind w:left="4320" w:hanging="360"/>
      </w:pPr>
      <w:rPr>
        <w:rFonts w:ascii="Times New Roman" w:hAnsi="Times New Roman" w:hint="default"/>
      </w:rPr>
    </w:lvl>
    <w:lvl w:ilvl="6" w:tplc="D93449C8" w:tentative="1">
      <w:start w:val="1"/>
      <w:numFmt w:val="bullet"/>
      <w:lvlText w:val="•"/>
      <w:lvlJc w:val="left"/>
      <w:pPr>
        <w:tabs>
          <w:tab w:val="num" w:pos="5040"/>
        </w:tabs>
        <w:ind w:left="5040" w:hanging="360"/>
      </w:pPr>
      <w:rPr>
        <w:rFonts w:ascii="Times New Roman" w:hAnsi="Times New Roman" w:hint="default"/>
      </w:rPr>
    </w:lvl>
    <w:lvl w:ilvl="7" w:tplc="DC1A65D4" w:tentative="1">
      <w:start w:val="1"/>
      <w:numFmt w:val="bullet"/>
      <w:lvlText w:val="•"/>
      <w:lvlJc w:val="left"/>
      <w:pPr>
        <w:tabs>
          <w:tab w:val="num" w:pos="5760"/>
        </w:tabs>
        <w:ind w:left="5760" w:hanging="360"/>
      </w:pPr>
      <w:rPr>
        <w:rFonts w:ascii="Times New Roman" w:hAnsi="Times New Roman" w:hint="default"/>
      </w:rPr>
    </w:lvl>
    <w:lvl w:ilvl="8" w:tplc="CECCF622" w:tentative="1">
      <w:start w:val="1"/>
      <w:numFmt w:val="bullet"/>
      <w:lvlText w:val="•"/>
      <w:lvlJc w:val="left"/>
      <w:pPr>
        <w:tabs>
          <w:tab w:val="num" w:pos="6480"/>
        </w:tabs>
        <w:ind w:left="6480" w:hanging="360"/>
      </w:pPr>
      <w:rPr>
        <w:rFonts w:ascii="Times New Roman" w:hAnsi="Times New Roman"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43D1BB3"/>
    <w:multiLevelType w:val="hybridMultilevel"/>
    <w:tmpl w:val="402C50A0"/>
    <w:lvl w:ilvl="0" w:tplc="B790BEDA">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A555A14"/>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A8C1123"/>
    <w:multiLevelType w:val="hybridMultilevel"/>
    <w:tmpl w:val="1ECA7E02"/>
    <w:lvl w:ilvl="0" w:tplc="955A063C">
      <w:start w:val="1"/>
      <w:numFmt w:val="bullet"/>
      <w:lvlText w:val="•"/>
      <w:lvlJc w:val="left"/>
      <w:pPr>
        <w:tabs>
          <w:tab w:val="num" w:pos="720"/>
        </w:tabs>
        <w:ind w:left="720" w:hanging="360"/>
      </w:pPr>
      <w:rPr>
        <w:rFonts w:ascii="Times New Roman" w:hAnsi="Times New Roman" w:hint="default"/>
      </w:rPr>
    </w:lvl>
    <w:lvl w:ilvl="1" w:tplc="A36AAE98" w:tentative="1">
      <w:start w:val="1"/>
      <w:numFmt w:val="bullet"/>
      <w:lvlText w:val="•"/>
      <w:lvlJc w:val="left"/>
      <w:pPr>
        <w:tabs>
          <w:tab w:val="num" w:pos="1440"/>
        </w:tabs>
        <w:ind w:left="1440" w:hanging="360"/>
      </w:pPr>
      <w:rPr>
        <w:rFonts w:ascii="Times New Roman" w:hAnsi="Times New Roman" w:hint="default"/>
      </w:rPr>
    </w:lvl>
    <w:lvl w:ilvl="2" w:tplc="A8A43472" w:tentative="1">
      <w:start w:val="1"/>
      <w:numFmt w:val="bullet"/>
      <w:lvlText w:val="•"/>
      <w:lvlJc w:val="left"/>
      <w:pPr>
        <w:tabs>
          <w:tab w:val="num" w:pos="2160"/>
        </w:tabs>
        <w:ind w:left="2160" w:hanging="360"/>
      </w:pPr>
      <w:rPr>
        <w:rFonts w:ascii="Times New Roman" w:hAnsi="Times New Roman" w:hint="default"/>
      </w:rPr>
    </w:lvl>
    <w:lvl w:ilvl="3" w:tplc="689EFBB2" w:tentative="1">
      <w:start w:val="1"/>
      <w:numFmt w:val="bullet"/>
      <w:lvlText w:val="•"/>
      <w:lvlJc w:val="left"/>
      <w:pPr>
        <w:tabs>
          <w:tab w:val="num" w:pos="2880"/>
        </w:tabs>
        <w:ind w:left="2880" w:hanging="360"/>
      </w:pPr>
      <w:rPr>
        <w:rFonts w:ascii="Times New Roman" w:hAnsi="Times New Roman" w:hint="default"/>
      </w:rPr>
    </w:lvl>
    <w:lvl w:ilvl="4" w:tplc="A24A9B92" w:tentative="1">
      <w:start w:val="1"/>
      <w:numFmt w:val="bullet"/>
      <w:lvlText w:val="•"/>
      <w:lvlJc w:val="left"/>
      <w:pPr>
        <w:tabs>
          <w:tab w:val="num" w:pos="3600"/>
        </w:tabs>
        <w:ind w:left="3600" w:hanging="360"/>
      </w:pPr>
      <w:rPr>
        <w:rFonts w:ascii="Times New Roman" w:hAnsi="Times New Roman" w:hint="default"/>
      </w:rPr>
    </w:lvl>
    <w:lvl w:ilvl="5" w:tplc="AD506ACE" w:tentative="1">
      <w:start w:val="1"/>
      <w:numFmt w:val="bullet"/>
      <w:lvlText w:val="•"/>
      <w:lvlJc w:val="left"/>
      <w:pPr>
        <w:tabs>
          <w:tab w:val="num" w:pos="4320"/>
        </w:tabs>
        <w:ind w:left="4320" w:hanging="360"/>
      </w:pPr>
      <w:rPr>
        <w:rFonts w:ascii="Times New Roman" w:hAnsi="Times New Roman" w:hint="default"/>
      </w:rPr>
    </w:lvl>
    <w:lvl w:ilvl="6" w:tplc="C07A88EA" w:tentative="1">
      <w:start w:val="1"/>
      <w:numFmt w:val="bullet"/>
      <w:lvlText w:val="•"/>
      <w:lvlJc w:val="left"/>
      <w:pPr>
        <w:tabs>
          <w:tab w:val="num" w:pos="5040"/>
        </w:tabs>
        <w:ind w:left="5040" w:hanging="360"/>
      </w:pPr>
      <w:rPr>
        <w:rFonts w:ascii="Times New Roman" w:hAnsi="Times New Roman" w:hint="default"/>
      </w:rPr>
    </w:lvl>
    <w:lvl w:ilvl="7" w:tplc="1DF6C31E" w:tentative="1">
      <w:start w:val="1"/>
      <w:numFmt w:val="bullet"/>
      <w:lvlText w:val="•"/>
      <w:lvlJc w:val="left"/>
      <w:pPr>
        <w:tabs>
          <w:tab w:val="num" w:pos="5760"/>
        </w:tabs>
        <w:ind w:left="5760" w:hanging="360"/>
      </w:pPr>
      <w:rPr>
        <w:rFonts w:ascii="Times New Roman" w:hAnsi="Times New Roman" w:hint="default"/>
      </w:rPr>
    </w:lvl>
    <w:lvl w:ilvl="8" w:tplc="D67A846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84D033C"/>
    <w:multiLevelType w:val="multilevel"/>
    <w:tmpl w:val="FB70B06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A782CA2"/>
    <w:multiLevelType w:val="hybridMultilevel"/>
    <w:tmpl w:val="DD1C3108"/>
    <w:lvl w:ilvl="0" w:tplc="8826BE44">
      <w:start w:val="1"/>
      <w:numFmt w:val="bullet"/>
      <w:lvlText w:val="•"/>
      <w:lvlJc w:val="left"/>
      <w:pPr>
        <w:tabs>
          <w:tab w:val="num" w:pos="720"/>
        </w:tabs>
        <w:ind w:left="720" w:hanging="360"/>
      </w:pPr>
      <w:rPr>
        <w:rFonts w:ascii="Times New Roman" w:hAnsi="Times New Roman" w:hint="default"/>
      </w:rPr>
    </w:lvl>
    <w:lvl w:ilvl="1" w:tplc="BAB41402" w:tentative="1">
      <w:start w:val="1"/>
      <w:numFmt w:val="bullet"/>
      <w:lvlText w:val="•"/>
      <w:lvlJc w:val="left"/>
      <w:pPr>
        <w:tabs>
          <w:tab w:val="num" w:pos="1440"/>
        </w:tabs>
        <w:ind w:left="1440" w:hanging="360"/>
      </w:pPr>
      <w:rPr>
        <w:rFonts w:ascii="Times New Roman" w:hAnsi="Times New Roman" w:hint="default"/>
      </w:rPr>
    </w:lvl>
    <w:lvl w:ilvl="2" w:tplc="F56A6494" w:tentative="1">
      <w:start w:val="1"/>
      <w:numFmt w:val="bullet"/>
      <w:lvlText w:val="•"/>
      <w:lvlJc w:val="left"/>
      <w:pPr>
        <w:tabs>
          <w:tab w:val="num" w:pos="2160"/>
        </w:tabs>
        <w:ind w:left="2160" w:hanging="360"/>
      </w:pPr>
      <w:rPr>
        <w:rFonts w:ascii="Times New Roman" w:hAnsi="Times New Roman" w:hint="default"/>
      </w:rPr>
    </w:lvl>
    <w:lvl w:ilvl="3" w:tplc="1CD8FF1A" w:tentative="1">
      <w:start w:val="1"/>
      <w:numFmt w:val="bullet"/>
      <w:lvlText w:val="•"/>
      <w:lvlJc w:val="left"/>
      <w:pPr>
        <w:tabs>
          <w:tab w:val="num" w:pos="2880"/>
        </w:tabs>
        <w:ind w:left="2880" w:hanging="360"/>
      </w:pPr>
      <w:rPr>
        <w:rFonts w:ascii="Times New Roman" w:hAnsi="Times New Roman" w:hint="default"/>
      </w:rPr>
    </w:lvl>
    <w:lvl w:ilvl="4" w:tplc="556A57C6" w:tentative="1">
      <w:start w:val="1"/>
      <w:numFmt w:val="bullet"/>
      <w:lvlText w:val="•"/>
      <w:lvlJc w:val="left"/>
      <w:pPr>
        <w:tabs>
          <w:tab w:val="num" w:pos="3600"/>
        </w:tabs>
        <w:ind w:left="3600" w:hanging="360"/>
      </w:pPr>
      <w:rPr>
        <w:rFonts w:ascii="Times New Roman" w:hAnsi="Times New Roman" w:hint="default"/>
      </w:rPr>
    </w:lvl>
    <w:lvl w:ilvl="5" w:tplc="BA585CB8" w:tentative="1">
      <w:start w:val="1"/>
      <w:numFmt w:val="bullet"/>
      <w:lvlText w:val="•"/>
      <w:lvlJc w:val="left"/>
      <w:pPr>
        <w:tabs>
          <w:tab w:val="num" w:pos="4320"/>
        </w:tabs>
        <w:ind w:left="4320" w:hanging="360"/>
      </w:pPr>
      <w:rPr>
        <w:rFonts w:ascii="Times New Roman" w:hAnsi="Times New Roman" w:hint="default"/>
      </w:rPr>
    </w:lvl>
    <w:lvl w:ilvl="6" w:tplc="771AC02C" w:tentative="1">
      <w:start w:val="1"/>
      <w:numFmt w:val="bullet"/>
      <w:lvlText w:val="•"/>
      <w:lvlJc w:val="left"/>
      <w:pPr>
        <w:tabs>
          <w:tab w:val="num" w:pos="5040"/>
        </w:tabs>
        <w:ind w:left="5040" w:hanging="360"/>
      </w:pPr>
      <w:rPr>
        <w:rFonts w:ascii="Times New Roman" w:hAnsi="Times New Roman" w:hint="default"/>
      </w:rPr>
    </w:lvl>
    <w:lvl w:ilvl="7" w:tplc="F834A0B2" w:tentative="1">
      <w:start w:val="1"/>
      <w:numFmt w:val="bullet"/>
      <w:lvlText w:val="•"/>
      <w:lvlJc w:val="left"/>
      <w:pPr>
        <w:tabs>
          <w:tab w:val="num" w:pos="5760"/>
        </w:tabs>
        <w:ind w:left="5760" w:hanging="360"/>
      </w:pPr>
      <w:rPr>
        <w:rFonts w:ascii="Times New Roman" w:hAnsi="Times New Roman" w:hint="default"/>
      </w:rPr>
    </w:lvl>
    <w:lvl w:ilvl="8" w:tplc="4EC440D4"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1"/>
  </w:num>
  <w:num w:numId="3">
    <w:abstractNumId w:val="0"/>
  </w:num>
  <w:num w:numId="4">
    <w:abstractNumId w:val="11"/>
  </w:num>
  <w:num w:numId="5">
    <w:abstractNumId w:val="6"/>
  </w:num>
  <w:num w:numId="6">
    <w:abstractNumId w:val="0"/>
  </w:num>
  <w:num w:numId="7">
    <w:abstractNumId w:val="10"/>
  </w:num>
  <w:num w:numId="8">
    <w:abstractNumId w:val="13"/>
  </w:num>
  <w:num w:numId="9">
    <w:abstractNumId w:val="4"/>
  </w:num>
  <w:num w:numId="10">
    <w:abstractNumId w:val="2"/>
  </w:num>
  <w:num w:numId="11">
    <w:abstractNumId w:val="9"/>
  </w:num>
  <w:num w:numId="12">
    <w:abstractNumId w:val="3"/>
  </w:num>
  <w:num w:numId="13">
    <w:abstractNumId w:val="15"/>
  </w:num>
  <w:num w:numId="14">
    <w:abstractNumId w:val="12"/>
  </w:num>
  <w:num w:numId="15">
    <w:abstractNumId w:val="8"/>
  </w:num>
  <w:num w:numId="16">
    <w:abstractNumId w:val="0"/>
  </w:num>
  <w:num w:numId="17">
    <w:abstractNumId w:val="0"/>
  </w:num>
  <w:num w:numId="18">
    <w:abstractNumId w:val="0"/>
  </w:num>
  <w:num w:numId="19">
    <w:abstractNumId w:val="7"/>
  </w:num>
  <w:num w:numId="20">
    <w:abstractNumId w:val="5"/>
  </w:num>
  <w:num w:numId="21">
    <w:abstractNumId w:val="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Etherton-Beer">
    <w15:presenceInfo w15:providerId="None" w15:userId="Christopher Etherton-B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F74"/>
    <w:rsid w:val="000025AD"/>
    <w:rsid w:val="00014426"/>
    <w:rsid w:val="00020B5D"/>
    <w:rsid w:val="00021DE2"/>
    <w:rsid w:val="0002464A"/>
    <w:rsid w:val="0003106B"/>
    <w:rsid w:val="000421A1"/>
    <w:rsid w:val="0004240E"/>
    <w:rsid w:val="000428FB"/>
    <w:rsid w:val="00044D2A"/>
    <w:rsid w:val="0004505B"/>
    <w:rsid w:val="0004507B"/>
    <w:rsid w:val="00045E26"/>
    <w:rsid w:val="0004702B"/>
    <w:rsid w:val="000514B5"/>
    <w:rsid w:val="00060E64"/>
    <w:rsid w:val="00066755"/>
    <w:rsid w:val="00077143"/>
    <w:rsid w:val="000900CA"/>
    <w:rsid w:val="000969AD"/>
    <w:rsid w:val="000B558D"/>
    <w:rsid w:val="000C6996"/>
    <w:rsid w:val="000D23BA"/>
    <w:rsid w:val="000E3E94"/>
    <w:rsid w:val="000E681E"/>
    <w:rsid w:val="000F4E6A"/>
    <w:rsid w:val="000F7BE3"/>
    <w:rsid w:val="00104761"/>
    <w:rsid w:val="00104BBA"/>
    <w:rsid w:val="001107BF"/>
    <w:rsid w:val="00111956"/>
    <w:rsid w:val="0012417C"/>
    <w:rsid w:val="00132B1D"/>
    <w:rsid w:val="001358CE"/>
    <w:rsid w:val="00142395"/>
    <w:rsid w:val="00142714"/>
    <w:rsid w:val="001452ED"/>
    <w:rsid w:val="0015489F"/>
    <w:rsid w:val="0016623A"/>
    <w:rsid w:val="001830CE"/>
    <w:rsid w:val="0018643B"/>
    <w:rsid w:val="00196307"/>
    <w:rsid w:val="001974B6"/>
    <w:rsid w:val="001A286C"/>
    <w:rsid w:val="001B017F"/>
    <w:rsid w:val="001B5129"/>
    <w:rsid w:val="001C1195"/>
    <w:rsid w:val="001E0034"/>
    <w:rsid w:val="001F051C"/>
    <w:rsid w:val="00201C3F"/>
    <w:rsid w:val="00205D9E"/>
    <w:rsid w:val="00207CAA"/>
    <w:rsid w:val="00213CFB"/>
    <w:rsid w:val="00222A08"/>
    <w:rsid w:val="002245B1"/>
    <w:rsid w:val="0023320A"/>
    <w:rsid w:val="00243703"/>
    <w:rsid w:val="00250D67"/>
    <w:rsid w:val="002569DF"/>
    <w:rsid w:val="00271BA1"/>
    <w:rsid w:val="00277505"/>
    <w:rsid w:val="00281AAB"/>
    <w:rsid w:val="002941AA"/>
    <w:rsid w:val="0029458F"/>
    <w:rsid w:val="00296C6E"/>
    <w:rsid w:val="002A104C"/>
    <w:rsid w:val="002A39C6"/>
    <w:rsid w:val="002A4960"/>
    <w:rsid w:val="002A6968"/>
    <w:rsid w:val="002B001C"/>
    <w:rsid w:val="002B1AE6"/>
    <w:rsid w:val="002B30F8"/>
    <w:rsid w:val="002C212F"/>
    <w:rsid w:val="002D1447"/>
    <w:rsid w:val="002E3153"/>
    <w:rsid w:val="002E72CA"/>
    <w:rsid w:val="002F082D"/>
    <w:rsid w:val="002F62E4"/>
    <w:rsid w:val="002F78A5"/>
    <w:rsid w:val="00326589"/>
    <w:rsid w:val="00326E79"/>
    <w:rsid w:val="0033565E"/>
    <w:rsid w:val="003367EF"/>
    <w:rsid w:val="00341AE4"/>
    <w:rsid w:val="00350671"/>
    <w:rsid w:val="003522DD"/>
    <w:rsid w:val="003872CF"/>
    <w:rsid w:val="0039410A"/>
    <w:rsid w:val="00396E97"/>
    <w:rsid w:val="0039782C"/>
    <w:rsid w:val="003A5B4A"/>
    <w:rsid w:val="003B01A6"/>
    <w:rsid w:val="003B23C5"/>
    <w:rsid w:val="003B2A75"/>
    <w:rsid w:val="003C069A"/>
    <w:rsid w:val="003C1C57"/>
    <w:rsid w:val="003D4AC4"/>
    <w:rsid w:val="003D63B7"/>
    <w:rsid w:val="003D7D95"/>
    <w:rsid w:val="003E468B"/>
    <w:rsid w:val="003F124B"/>
    <w:rsid w:val="003F326E"/>
    <w:rsid w:val="003F5684"/>
    <w:rsid w:val="003F5C8C"/>
    <w:rsid w:val="0040073E"/>
    <w:rsid w:val="00401E6B"/>
    <w:rsid w:val="00402008"/>
    <w:rsid w:val="00433465"/>
    <w:rsid w:val="00437A33"/>
    <w:rsid w:val="004408BE"/>
    <w:rsid w:val="004465BD"/>
    <w:rsid w:val="00466ADA"/>
    <w:rsid w:val="00476245"/>
    <w:rsid w:val="00485940"/>
    <w:rsid w:val="004A2484"/>
    <w:rsid w:val="004A4896"/>
    <w:rsid w:val="004A5A85"/>
    <w:rsid w:val="004B5640"/>
    <w:rsid w:val="004C1BD7"/>
    <w:rsid w:val="004C691D"/>
    <w:rsid w:val="004E692D"/>
    <w:rsid w:val="00501554"/>
    <w:rsid w:val="00504509"/>
    <w:rsid w:val="00514CD7"/>
    <w:rsid w:val="005319B2"/>
    <w:rsid w:val="0053277B"/>
    <w:rsid w:val="00532C74"/>
    <w:rsid w:val="00534E2E"/>
    <w:rsid w:val="00544552"/>
    <w:rsid w:val="005573E6"/>
    <w:rsid w:val="00565C93"/>
    <w:rsid w:val="00581932"/>
    <w:rsid w:val="00587605"/>
    <w:rsid w:val="00590E72"/>
    <w:rsid w:val="00594B8A"/>
    <w:rsid w:val="005963BB"/>
    <w:rsid w:val="005A3173"/>
    <w:rsid w:val="005A3223"/>
    <w:rsid w:val="005A3DA3"/>
    <w:rsid w:val="005A52C4"/>
    <w:rsid w:val="005D03AB"/>
    <w:rsid w:val="005D299B"/>
    <w:rsid w:val="005D5017"/>
    <w:rsid w:val="005F7D33"/>
    <w:rsid w:val="00601A91"/>
    <w:rsid w:val="00602BA3"/>
    <w:rsid w:val="00614159"/>
    <w:rsid w:val="006168A7"/>
    <w:rsid w:val="00617C00"/>
    <w:rsid w:val="006263BF"/>
    <w:rsid w:val="0062748A"/>
    <w:rsid w:val="00630A2C"/>
    <w:rsid w:val="006423EC"/>
    <w:rsid w:val="00645745"/>
    <w:rsid w:val="00651169"/>
    <w:rsid w:val="00653D69"/>
    <w:rsid w:val="00661A90"/>
    <w:rsid w:val="006649A6"/>
    <w:rsid w:val="00670A76"/>
    <w:rsid w:val="006711AA"/>
    <w:rsid w:val="006729E5"/>
    <w:rsid w:val="00672B57"/>
    <w:rsid w:val="00675622"/>
    <w:rsid w:val="006906DB"/>
    <w:rsid w:val="006A12A5"/>
    <w:rsid w:val="006B0D94"/>
    <w:rsid w:val="006B485D"/>
    <w:rsid w:val="006B66BB"/>
    <w:rsid w:val="006C3F13"/>
    <w:rsid w:val="006C708E"/>
    <w:rsid w:val="006C77F5"/>
    <w:rsid w:val="006D6EC7"/>
    <w:rsid w:val="006F5125"/>
    <w:rsid w:val="007174BB"/>
    <w:rsid w:val="00731D83"/>
    <w:rsid w:val="0073520A"/>
    <w:rsid w:val="007421F4"/>
    <w:rsid w:val="0075150E"/>
    <w:rsid w:val="007518BF"/>
    <w:rsid w:val="0076420C"/>
    <w:rsid w:val="007753C2"/>
    <w:rsid w:val="00780AA3"/>
    <w:rsid w:val="00781DFB"/>
    <w:rsid w:val="00782CF3"/>
    <w:rsid w:val="007838B8"/>
    <w:rsid w:val="007A10D0"/>
    <w:rsid w:val="007C0F57"/>
    <w:rsid w:val="007C40B6"/>
    <w:rsid w:val="007C729F"/>
    <w:rsid w:val="007E1BE2"/>
    <w:rsid w:val="007E1D28"/>
    <w:rsid w:val="007F2641"/>
    <w:rsid w:val="007F7C36"/>
    <w:rsid w:val="00806796"/>
    <w:rsid w:val="008073F7"/>
    <w:rsid w:val="008150FE"/>
    <w:rsid w:val="008151D6"/>
    <w:rsid w:val="00826F6D"/>
    <w:rsid w:val="0083078B"/>
    <w:rsid w:val="0084124A"/>
    <w:rsid w:val="0085632A"/>
    <w:rsid w:val="00856DDD"/>
    <w:rsid w:val="00863C40"/>
    <w:rsid w:val="00863E68"/>
    <w:rsid w:val="00871043"/>
    <w:rsid w:val="00876F97"/>
    <w:rsid w:val="00882085"/>
    <w:rsid w:val="00883188"/>
    <w:rsid w:val="008864C9"/>
    <w:rsid w:val="00891D10"/>
    <w:rsid w:val="00897D58"/>
    <w:rsid w:val="008A1956"/>
    <w:rsid w:val="008A4937"/>
    <w:rsid w:val="008B1EAE"/>
    <w:rsid w:val="008C1727"/>
    <w:rsid w:val="008C421C"/>
    <w:rsid w:val="008C6DBD"/>
    <w:rsid w:val="008D1B5C"/>
    <w:rsid w:val="008D3764"/>
    <w:rsid w:val="008D3C82"/>
    <w:rsid w:val="008D447E"/>
    <w:rsid w:val="008D7A41"/>
    <w:rsid w:val="008E3680"/>
    <w:rsid w:val="008E5870"/>
    <w:rsid w:val="008F1434"/>
    <w:rsid w:val="008F1737"/>
    <w:rsid w:val="008F1899"/>
    <w:rsid w:val="008F7355"/>
    <w:rsid w:val="009067B7"/>
    <w:rsid w:val="009201EF"/>
    <w:rsid w:val="00922A65"/>
    <w:rsid w:val="00923CE3"/>
    <w:rsid w:val="009251DC"/>
    <w:rsid w:val="00930937"/>
    <w:rsid w:val="0093359C"/>
    <w:rsid w:val="00933E6C"/>
    <w:rsid w:val="00941D5F"/>
    <w:rsid w:val="00942160"/>
    <w:rsid w:val="009602C5"/>
    <w:rsid w:val="00971A55"/>
    <w:rsid w:val="00974C21"/>
    <w:rsid w:val="009778A0"/>
    <w:rsid w:val="009932A5"/>
    <w:rsid w:val="009B0F67"/>
    <w:rsid w:val="009C703C"/>
    <w:rsid w:val="009D3CAA"/>
    <w:rsid w:val="009D6D81"/>
    <w:rsid w:val="009F4E46"/>
    <w:rsid w:val="009F5B65"/>
    <w:rsid w:val="009F5F2E"/>
    <w:rsid w:val="009F6A4A"/>
    <w:rsid w:val="00A06225"/>
    <w:rsid w:val="00A128E6"/>
    <w:rsid w:val="00A24323"/>
    <w:rsid w:val="00A27180"/>
    <w:rsid w:val="00A37C8D"/>
    <w:rsid w:val="00A50782"/>
    <w:rsid w:val="00A5273B"/>
    <w:rsid w:val="00A53A9D"/>
    <w:rsid w:val="00A55EBB"/>
    <w:rsid w:val="00A55FEE"/>
    <w:rsid w:val="00A62C1A"/>
    <w:rsid w:val="00A6426D"/>
    <w:rsid w:val="00A70622"/>
    <w:rsid w:val="00A70977"/>
    <w:rsid w:val="00A73A99"/>
    <w:rsid w:val="00A75F48"/>
    <w:rsid w:val="00A80817"/>
    <w:rsid w:val="00A8390C"/>
    <w:rsid w:val="00A928BD"/>
    <w:rsid w:val="00AA224E"/>
    <w:rsid w:val="00AA4D1C"/>
    <w:rsid w:val="00AB5714"/>
    <w:rsid w:val="00AC193C"/>
    <w:rsid w:val="00AC5206"/>
    <w:rsid w:val="00AD2D0C"/>
    <w:rsid w:val="00AE11A5"/>
    <w:rsid w:val="00AE13E2"/>
    <w:rsid w:val="00AE5B81"/>
    <w:rsid w:val="00AE7F26"/>
    <w:rsid w:val="00AF0F9C"/>
    <w:rsid w:val="00AF68CC"/>
    <w:rsid w:val="00B0110D"/>
    <w:rsid w:val="00B1059E"/>
    <w:rsid w:val="00B13996"/>
    <w:rsid w:val="00B205AA"/>
    <w:rsid w:val="00B21FA2"/>
    <w:rsid w:val="00B22E84"/>
    <w:rsid w:val="00B25F75"/>
    <w:rsid w:val="00B43E90"/>
    <w:rsid w:val="00B467DC"/>
    <w:rsid w:val="00B53341"/>
    <w:rsid w:val="00B56118"/>
    <w:rsid w:val="00B6773F"/>
    <w:rsid w:val="00B801BA"/>
    <w:rsid w:val="00B87163"/>
    <w:rsid w:val="00BA78F9"/>
    <w:rsid w:val="00BB69F5"/>
    <w:rsid w:val="00BB7EC3"/>
    <w:rsid w:val="00BC3B15"/>
    <w:rsid w:val="00BC4B9A"/>
    <w:rsid w:val="00BC7E2B"/>
    <w:rsid w:val="00BD12E5"/>
    <w:rsid w:val="00BD6439"/>
    <w:rsid w:val="00BD784C"/>
    <w:rsid w:val="00BF4BA7"/>
    <w:rsid w:val="00BF4CB6"/>
    <w:rsid w:val="00C00DA7"/>
    <w:rsid w:val="00C12768"/>
    <w:rsid w:val="00C13C60"/>
    <w:rsid w:val="00C16057"/>
    <w:rsid w:val="00C233B9"/>
    <w:rsid w:val="00C27B58"/>
    <w:rsid w:val="00C35996"/>
    <w:rsid w:val="00C418A0"/>
    <w:rsid w:val="00C4214B"/>
    <w:rsid w:val="00C45322"/>
    <w:rsid w:val="00C5342C"/>
    <w:rsid w:val="00C6256A"/>
    <w:rsid w:val="00C762B0"/>
    <w:rsid w:val="00C91449"/>
    <w:rsid w:val="00C92D10"/>
    <w:rsid w:val="00C943A5"/>
    <w:rsid w:val="00CC0BC7"/>
    <w:rsid w:val="00CE10C4"/>
    <w:rsid w:val="00CE27B5"/>
    <w:rsid w:val="00D0321E"/>
    <w:rsid w:val="00D045EB"/>
    <w:rsid w:val="00D06983"/>
    <w:rsid w:val="00D1455A"/>
    <w:rsid w:val="00D3138B"/>
    <w:rsid w:val="00D3280C"/>
    <w:rsid w:val="00D3406A"/>
    <w:rsid w:val="00D469B2"/>
    <w:rsid w:val="00D564B3"/>
    <w:rsid w:val="00D741EB"/>
    <w:rsid w:val="00D77BE8"/>
    <w:rsid w:val="00D84934"/>
    <w:rsid w:val="00D91271"/>
    <w:rsid w:val="00DA0EDB"/>
    <w:rsid w:val="00DA2CB5"/>
    <w:rsid w:val="00DA4BAC"/>
    <w:rsid w:val="00DB57F9"/>
    <w:rsid w:val="00DB76A7"/>
    <w:rsid w:val="00DD1D9F"/>
    <w:rsid w:val="00DE1799"/>
    <w:rsid w:val="00DE6D27"/>
    <w:rsid w:val="00DF217D"/>
    <w:rsid w:val="00DF26A7"/>
    <w:rsid w:val="00E164B3"/>
    <w:rsid w:val="00E16910"/>
    <w:rsid w:val="00E17963"/>
    <w:rsid w:val="00E54B04"/>
    <w:rsid w:val="00E61487"/>
    <w:rsid w:val="00E65E54"/>
    <w:rsid w:val="00E80155"/>
    <w:rsid w:val="00E848C0"/>
    <w:rsid w:val="00E863B6"/>
    <w:rsid w:val="00E91B96"/>
    <w:rsid w:val="00E941A1"/>
    <w:rsid w:val="00E95CE3"/>
    <w:rsid w:val="00EA2825"/>
    <w:rsid w:val="00EB3E76"/>
    <w:rsid w:val="00EB5088"/>
    <w:rsid w:val="00EC5D34"/>
    <w:rsid w:val="00ED1644"/>
    <w:rsid w:val="00ED2593"/>
    <w:rsid w:val="00ED5A97"/>
    <w:rsid w:val="00EE195E"/>
    <w:rsid w:val="00EF1692"/>
    <w:rsid w:val="00EF3370"/>
    <w:rsid w:val="00EF44A0"/>
    <w:rsid w:val="00EF4FED"/>
    <w:rsid w:val="00EF7DDF"/>
    <w:rsid w:val="00F050BD"/>
    <w:rsid w:val="00F05657"/>
    <w:rsid w:val="00F25578"/>
    <w:rsid w:val="00F258E5"/>
    <w:rsid w:val="00F300BC"/>
    <w:rsid w:val="00F3334E"/>
    <w:rsid w:val="00F377A4"/>
    <w:rsid w:val="00F50EC4"/>
    <w:rsid w:val="00F5114A"/>
    <w:rsid w:val="00F55D9C"/>
    <w:rsid w:val="00F566D0"/>
    <w:rsid w:val="00F57A6D"/>
    <w:rsid w:val="00F638CC"/>
    <w:rsid w:val="00F64CC1"/>
    <w:rsid w:val="00F6527B"/>
    <w:rsid w:val="00F8247A"/>
    <w:rsid w:val="00F9629A"/>
    <w:rsid w:val="00FA5883"/>
    <w:rsid w:val="00FA6055"/>
    <w:rsid w:val="00FA7E68"/>
    <w:rsid w:val="00FB322F"/>
    <w:rsid w:val="00FB442F"/>
    <w:rsid w:val="00FC1929"/>
    <w:rsid w:val="00FC5B46"/>
    <w:rsid w:val="00FE0E94"/>
    <w:rsid w:val="00FE73E8"/>
    <w:rsid w:val="00FF00BD"/>
    <w:rsid w:val="00FF1ED4"/>
    <w:rsid w:val="00FF2801"/>
    <w:rsid w:val="00FF5E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077143"/>
    <w:pPr>
      <w:numPr>
        <w:numId w:val="3"/>
      </w:numPr>
      <w:jc w:val="both"/>
      <w:outlineLvl w:val="0"/>
    </w:pPr>
    <w:rPr>
      <w:rFonts w:ascii="Arial" w:hAnsi="Arial"/>
      <w:b/>
      <w:sz w:val="22"/>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Footnote,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Footnote Char,BulletPoints Char"/>
    <w:basedOn w:val="DefaultParagraphFont"/>
    <w:link w:val="ListParagraph"/>
    <w:uiPriority w:val="72"/>
    <w:rsid w:val="00077143"/>
    <w:rPr>
      <w:sz w:val="24"/>
      <w:szCs w:val="24"/>
    </w:rPr>
  </w:style>
  <w:style w:type="paragraph" w:customStyle="1" w:styleId="Table">
    <w:name w:val="Table"/>
    <w:basedOn w:val="Normal"/>
    <w:link w:val="TableChar"/>
    <w:qFormat/>
    <w:rsid w:val="00AE7F26"/>
    <w:pPr>
      <w:jc w:val="both"/>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AE7F26"/>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AE7F26"/>
    <w:rPr>
      <w:rFonts w:ascii="Candara" w:hAnsi="Candara"/>
      <w:b/>
      <w:sz w:val="20"/>
      <w:lang w:val="en-AU"/>
    </w:rPr>
  </w:style>
  <w:style w:type="paragraph" w:styleId="Revision">
    <w:name w:val="Revision"/>
    <w:hidden/>
    <w:uiPriority w:val="71"/>
    <w:rsid w:val="00871043"/>
    <w:rPr>
      <w:sz w:val="24"/>
      <w:szCs w:val="24"/>
    </w:rPr>
  </w:style>
  <w:style w:type="paragraph" w:customStyle="1" w:styleId="TableFooter">
    <w:name w:val="Table Footer"/>
    <w:basedOn w:val="Normal"/>
    <w:qFormat/>
    <w:rsid w:val="003C1C57"/>
    <w:pPr>
      <w:widowControl w:val="0"/>
      <w:jc w:val="both"/>
    </w:pPr>
    <w:rPr>
      <w:rFonts w:ascii="Arial Narrow" w:hAnsi="Arial Narrow" w:cs="Arial"/>
      <w:snapToGrid w:val="0"/>
      <w:sz w:val="18"/>
      <w:szCs w:val="20"/>
      <w:lang w:eastAsia="en-US"/>
    </w:rPr>
  </w:style>
  <w:style w:type="character" w:styleId="FollowedHyperlink">
    <w:name w:val="FollowedHyperlink"/>
    <w:basedOn w:val="DefaultParagraphFont"/>
    <w:rsid w:val="004408BE"/>
    <w:rPr>
      <w:color w:val="800080" w:themeColor="followedHyperlink"/>
      <w:u w:val="single"/>
    </w:rPr>
  </w:style>
  <w:style w:type="paragraph" w:customStyle="1" w:styleId="PBACHeading1">
    <w:name w:val="PBAC Heading 1"/>
    <w:qFormat/>
    <w:rsid w:val="00922A65"/>
    <w:pPr>
      <w:ind w:left="720" w:hanging="720"/>
      <w:outlineLvl w:val="0"/>
    </w:pPr>
    <w:rPr>
      <w:rFonts w:ascii="Arial" w:hAnsi="Arial" w:cs="Arial"/>
      <w:b/>
      <w:snapToGrid w:val="0"/>
      <w:sz w:val="22"/>
      <w:szCs w:val="22"/>
      <w:lang w:eastAsia="en-US"/>
    </w:rPr>
  </w:style>
  <w:style w:type="character" w:styleId="IntenseReference">
    <w:name w:val="Intense Reference"/>
    <w:basedOn w:val="DefaultParagraphFont"/>
    <w:uiPriority w:val="32"/>
    <w:rsid w:val="00ED5A97"/>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077143"/>
    <w:pPr>
      <w:numPr>
        <w:numId w:val="3"/>
      </w:numPr>
      <w:jc w:val="both"/>
      <w:outlineLvl w:val="0"/>
    </w:pPr>
    <w:rPr>
      <w:rFonts w:ascii="Arial" w:hAnsi="Arial"/>
      <w:b/>
      <w:sz w:val="22"/>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Footnote,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Footnote Char,BulletPoints Char"/>
    <w:basedOn w:val="DefaultParagraphFont"/>
    <w:link w:val="ListParagraph"/>
    <w:uiPriority w:val="72"/>
    <w:rsid w:val="00077143"/>
    <w:rPr>
      <w:sz w:val="24"/>
      <w:szCs w:val="24"/>
    </w:rPr>
  </w:style>
  <w:style w:type="paragraph" w:customStyle="1" w:styleId="Table">
    <w:name w:val="Table"/>
    <w:basedOn w:val="Normal"/>
    <w:link w:val="TableChar"/>
    <w:qFormat/>
    <w:rsid w:val="00AE7F26"/>
    <w:pPr>
      <w:jc w:val="both"/>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AE7F26"/>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AE7F26"/>
    <w:rPr>
      <w:rFonts w:ascii="Candara" w:hAnsi="Candara"/>
      <w:b/>
      <w:sz w:val="20"/>
      <w:lang w:val="en-AU"/>
    </w:rPr>
  </w:style>
  <w:style w:type="paragraph" w:styleId="Revision">
    <w:name w:val="Revision"/>
    <w:hidden/>
    <w:uiPriority w:val="71"/>
    <w:rsid w:val="00871043"/>
    <w:rPr>
      <w:sz w:val="24"/>
      <w:szCs w:val="24"/>
    </w:rPr>
  </w:style>
  <w:style w:type="paragraph" w:customStyle="1" w:styleId="TableFooter">
    <w:name w:val="Table Footer"/>
    <w:basedOn w:val="Normal"/>
    <w:qFormat/>
    <w:rsid w:val="003C1C57"/>
    <w:pPr>
      <w:widowControl w:val="0"/>
      <w:jc w:val="both"/>
    </w:pPr>
    <w:rPr>
      <w:rFonts w:ascii="Arial Narrow" w:hAnsi="Arial Narrow" w:cs="Arial"/>
      <w:snapToGrid w:val="0"/>
      <w:sz w:val="18"/>
      <w:szCs w:val="20"/>
      <w:lang w:eastAsia="en-US"/>
    </w:rPr>
  </w:style>
  <w:style w:type="character" w:styleId="FollowedHyperlink">
    <w:name w:val="FollowedHyperlink"/>
    <w:basedOn w:val="DefaultParagraphFont"/>
    <w:rsid w:val="004408BE"/>
    <w:rPr>
      <w:color w:val="800080" w:themeColor="followedHyperlink"/>
      <w:u w:val="single"/>
    </w:rPr>
  </w:style>
  <w:style w:type="paragraph" w:customStyle="1" w:styleId="PBACHeading1">
    <w:name w:val="PBAC Heading 1"/>
    <w:qFormat/>
    <w:rsid w:val="00922A65"/>
    <w:pPr>
      <w:ind w:left="720" w:hanging="720"/>
      <w:outlineLvl w:val="0"/>
    </w:pPr>
    <w:rPr>
      <w:rFonts w:ascii="Arial" w:hAnsi="Arial" w:cs="Arial"/>
      <w:b/>
      <w:snapToGrid w:val="0"/>
      <w:sz w:val="22"/>
      <w:szCs w:val="22"/>
      <w:lang w:eastAsia="en-US"/>
    </w:rPr>
  </w:style>
  <w:style w:type="character" w:styleId="IntenseReference">
    <w:name w:val="Intense Reference"/>
    <w:basedOn w:val="DefaultParagraphFont"/>
    <w:uiPriority w:val="32"/>
    <w:rsid w:val="00ED5A97"/>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13928984">
      <w:bodyDiv w:val="1"/>
      <w:marLeft w:val="0"/>
      <w:marRight w:val="0"/>
      <w:marTop w:val="0"/>
      <w:marBottom w:val="0"/>
      <w:divBdr>
        <w:top w:val="none" w:sz="0" w:space="0" w:color="auto"/>
        <w:left w:val="none" w:sz="0" w:space="0" w:color="auto"/>
        <w:bottom w:val="none" w:sz="0" w:space="0" w:color="auto"/>
        <w:right w:val="none" w:sz="0" w:space="0" w:color="auto"/>
      </w:divBdr>
      <w:divsChild>
        <w:div w:id="1788814549">
          <w:marLeft w:val="547"/>
          <w:marRight w:val="0"/>
          <w:marTop w:val="86"/>
          <w:marBottom w:val="0"/>
          <w:divBdr>
            <w:top w:val="none" w:sz="0" w:space="0" w:color="auto"/>
            <w:left w:val="none" w:sz="0" w:space="0" w:color="auto"/>
            <w:bottom w:val="none" w:sz="0" w:space="0" w:color="auto"/>
            <w:right w:val="none" w:sz="0" w:space="0" w:color="auto"/>
          </w:divBdr>
        </w:div>
      </w:divsChild>
    </w:div>
    <w:div w:id="493567223">
      <w:bodyDiv w:val="1"/>
      <w:marLeft w:val="0"/>
      <w:marRight w:val="0"/>
      <w:marTop w:val="0"/>
      <w:marBottom w:val="0"/>
      <w:divBdr>
        <w:top w:val="none" w:sz="0" w:space="0" w:color="auto"/>
        <w:left w:val="none" w:sz="0" w:space="0" w:color="auto"/>
        <w:bottom w:val="none" w:sz="0" w:space="0" w:color="auto"/>
        <w:right w:val="none" w:sz="0" w:space="0" w:color="auto"/>
      </w:divBdr>
      <w:divsChild>
        <w:div w:id="969362321">
          <w:marLeft w:val="547"/>
          <w:marRight w:val="0"/>
          <w:marTop w:val="96"/>
          <w:marBottom w:val="0"/>
          <w:divBdr>
            <w:top w:val="none" w:sz="0" w:space="0" w:color="auto"/>
            <w:left w:val="none" w:sz="0" w:space="0" w:color="auto"/>
            <w:bottom w:val="none" w:sz="0" w:space="0" w:color="auto"/>
            <w:right w:val="none" w:sz="0" w:space="0" w:color="auto"/>
          </w:divBdr>
        </w:div>
      </w:divsChild>
    </w:div>
    <w:div w:id="669983954">
      <w:bodyDiv w:val="1"/>
      <w:marLeft w:val="0"/>
      <w:marRight w:val="0"/>
      <w:marTop w:val="0"/>
      <w:marBottom w:val="0"/>
      <w:divBdr>
        <w:top w:val="none" w:sz="0" w:space="0" w:color="auto"/>
        <w:left w:val="none" w:sz="0" w:space="0" w:color="auto"/>
        <w:bottom w:val="none" w:sz="0" w:space="0" w:color="auto"/>
        <w:right w:val="none" w:sz="0" w:space="0" w:color="auto"/>
      </w:divBdr>
      <w:divsChild>
        <w:div w:id="2076976001">
          <w:marLeft w:val="547"/>
          <w:marRight w:val="0"/>
          <w:marTop w:val="86"/>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5827395">
      <w:bodyDiv w:val="1"/>
      <w:marLeft w:val="0"/>
      <w:marRight w:val="0"/>
      <w:marTop w:val="0"/>
      <w:marBottom w:val="0"/>
      <w:divBdr>
        <w:top w:val="none" w:sz="0" w:space="0" w:color="auto"/>
        <w:left w:val="none" w:sz="0" w:space="0" w:color="auto"/>
        <w:bottom w:val="none" w:sz="0" w:space="0" w:color="auto"/>
        <w:right w:val="none" w:sz="0" w:space="0" w:color="auto"/>
      </w:divBdr>
      <w:divsChild>
        <w:div w:id="1802377476">
          <w:marLeft w:val="547"/>
          <w:marRight w:val="0"/>
          <w:marTop w:val="86"/>
          <w:marBottom w:val="0"/>
          <w:divBdr>
            <w:top w:val="none" w:sz="0" w:space="0" w:color="auto"/>
            <w:left w:val="none" w:sz="0" w:space="0" w:color="auto"/>
            <w:bottom w:val="none" w:sz="0" w:space="0" w:color="auto"/>
            <w:right w:val="none" w:sz="0" w:space="0" w:color="auto"/>
          </w:divBdr>
        </w:div>
      </w:divsChild>
    </w:div>
    <w:div w:id="1585529124">
      <w:bodyDiv w:val="1"/>
      <w:marLeft w:val="0"/>
      <w:marRight w:val="0"/>
      <w:marTop w:val="0"/>
      <w:marBottom w:val="0"/>
      <w:divBdr>
        <w:top w:val="none" w:sz="0" w:space="0" w:color="auto"/>
        <w:left w:val="none" w:sz="0" w:space="0" w:color="auto"/>
        <w:bottom w:val="none" w:sz="0" w:space="0" w:color="auto"/>
        <w:right w:val="none" w:sz="0" w:space="0" w:color="auto"/>
      </w:divBdr>
      <w:divsChild>
        <w:div w:id="1467972549">
          <w:marLeft w:val="547"/>
          <w:marRight w:val="0"/>
          <w:marTop w:val="86"/>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EB52B-0183-4910-BF3A-C16A19ACF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1424</Words>
  <Characters>8539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2016-10-11T21:30:00Z</dcterms:created>
  <dcterms:modified xsi:type="dcterms:W3CDTF">2016-10-11T21:59:00Z</dcterms:modified>
</cp:coreProperties>
</file>