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939" w:rsidRPr="00207D00" w:rsidRDefault="00923D44" w:rsidP="00DE61DD">
      <w:pPr>
        <w:pStyle w:val="Heading1"/>
        <w:jc w:val="left"/>
        <w:rPr>
          <w:sz w:val="28"/>
        </w:rPr>
      </w:pPr>
      <w:bookmarkStart w:id="0" w:name="_Toc450135168"/>
      <w:r>
        <w:rPr>
          <w:sz w:val="28"/>
        </w:rPr>
        <w:t>5.04</w:t>
      </w:r>
      <w:r w:rsidR="00B60939" w:rsidRPr="00207D00">
        <w:rPr>
          <w:sz w:val="28"/>
        </w:rPr>
        <w:tab/>
      </w:r>
      <w:r w:rsidR="000E3CCB">
        <w:rPr>
          <w:sz w:val="28"/>
        </w:rPr>
        <w:t>B</w:t>
      </w:r>
      <w:r w:rsidR="00D12A4D">
        <w:rPr>
          <w:sz w:val="28"/>
        </w:rPr>
        <w:t>rivaraceta</w:t>
      </w:r>
      <w:r w:rsidR="00DD5902">
        <w:rPr>
          <w:caps w:val="0"/>
          <w:sz w:val="28"/>
        </w:rPr>
        <w:t xml:space="preserve">M </w:t>
      </w:r>
      <w:r w:rsidR="00D12A4D">
        <w:rPr>
          <w:caps w:val="0"/>
          <w:sz w:val="28"/>
        </w:rPr>
        <w:t>tablets, 25</w:t>
      </w:r>
      <w:r w:rsidR="002D5679">
        <w:rPr>
          <w:rFonts w:hint="eastAsia"/>
          <w:caps w:val="0"/>
          <w:sz w:val="28"/>
        </w:rPr>
        <w:t> </w:t>
      </w:r>
      <w:r w:rsidR="00D12A4D">
        <w:rPr>
          <w:caps w:val="0"/>
          <w:sz w:val="28"/>
        </w:rPr>
        <w:t>mg, 50</w:t>
      </w:r>
      <w:r w:rsidR="002D5679">
        <w:rPr>
          <w:rFonts w:hint="eastAsia"/>
          <w:caps w:val="0"/>
          <w:sz w:val="28"/>
        </w:rPr>
        <w:t> </w:t>
      </w:r>
      <w:r w:rsidR="00D12A4D">
        <w:rPr>
          <w:caps w:val="0"/>
          <w:sz w:val="28"/>
        </w:rPr>
        <w:t>mg, 75</w:t>
      </w:r>
      <w:r w:rsidR="002D5679">
        <w:rPr>
          <w:rFonts w:hint="eastAsia"/>
          <w:caps w:val="0"/>
          <w:sz w:val="28"/>
        </w:rPr>
        <w:t> </w:t>
      </w:r>
      <w:r w:rsidR="00D12A4D">
        <w:rPr>
          <w:caps w:val="0"/>
          <w:sz w:val="28"/>
        </w:rPr>
        <w:t>mg and 100</w:t>
      </w:r>
      <w:r w:rsidR="002D5679">
        <w:rPr>
          <w:rFonts w:hint="eastAsia"/>
          <w:caps w:val="0"/>
          <w:sz w:val="28"/>
        </w:rPr>
        <w:t> </w:t>
      </w:r>
      <w:r w:rsidR="00D12A4D">
        <w:rPr>
          <w:caps w:val="0"/>
          <w:sz w:val="28"/>
        </w:rPr>
        <w:t>mg and oral solution, 10</w:t>
      </w:r>
      <w:r w:rsidR="002D5679">
        <w:rPr>
          <w:rFonts w:hint="eastAsia"/>
          <w:caps w:val="0"/>
          <w:sz w:val="28"/>
        </w:rPr>
        <w:t> </w:t>
      </w:r>
      <w:r w:rsidR="00547AC7">
        <w:rPr>
          <w:caps w:val="0"/>
          <w:sz w:val="28"/>
        </w:rPr>
        <w:t>mg/</w:t>
      </w:r>
      <w:r w:rsidR="00DD5902">
        <w:rPr>
          <w:caps w:val="0"/>
          <w:sz w:val="28"/>
        </w:rPr>
        <w:t xml:space="preserve">mL </w:t>
      </w:r>
      <w:proofErr w:type="spellStart"/>
      <w:r w:rsidR="00D12A4D">
        <w:rPr>
          <w:caps w:val="0"/>
          <w:sz w:val="28"/>
        </w:rPr>
        <w:t>Briviact</w:t>
      </w:r>
      <w:proofErr w:type="spellEnd"/>
      <w:r w:rsidR="00B60939" w:rsidRPr="00207D00">
        <w:rPr>
          <w:sz w:val="28"/>
          <w:vertAlign w:val="superscript"/>
        </w:rPr>
        <w:t>®</w:t>
      </w:r>
      <w:r w:rsidR="00DD5902">
        <w:rPr>
          <w:sz w:val="28"/>
        </w:rPr>
        <w:t xml:space="preserve">, </w:t>
      </w:r>
      <w:r w:rsidR="00546EF7">
        <w:rPr>
          <w:sz w:val="28"/>
        </w:rPr>
        <w:t>UCB</w:t>
      </w:r>
      <w:r w:rsidR="00D12A4D">
        <w:rPr>
          <w:sz w:val="28"/>
        </w:rPr>
        <w:t xml:space="preserve"> P</w:t>
      </w:r>
      <w:r w:rsidR="00D12A4D">
        <w:rPr>
          <w:caps w:val="0"/>
          <w:sz w:val="28"/>
        </w:rPr>
        <w:t>harma</w:t>
      </w:r>
      <w:r w:rsidR="00B60939" w:rsidRPr="00207D00">
        <w:rPr>
          <w:sz w:val="28"/>
        </w:rPr>
        <w:t>.</w:t>
      </w:r>
      <w:bookmarkEnd w:id="0"/>
    </w:p>
    <w:p w:rsidR="00E42B39" w:rsidRDefault="00E42B39" w:rsidP="00E42B39"/>
    <w:p w:rsidR="00323B83" w:rsidRDefault="00323B83" w:rsidP="00E42B39"/>
    <w:p w:rsidR="00E42B39" w:rsidRPr="00534A2B" w:rsidRDefault="00E42B39" w:rsidP="00534A2B">
      <w:pPr>
        <w:pStyle w:val="Heading2"/>
      </w:pPr>
      <w:bookmarkStart w:id="1" w:name="_Toc413139271"/>
      <w:bookmarkStart w:id="2" w:name="_Toc450135170"/>
      <w:r w:rsidRPr="00534A2B">
        <w:t>Purpose of Application</w:t>
      </w:r>
      <w:bookmarkEnd w:id="1"/>
      <w:bookmarkEnd w:id="2"/>
    </w:p>
    <w:p w:rsidR="00E42B39" w:rsidRPr="00882085" w:rsidRDefault="00E42B39" w:rsidP="00E42B39">
      <w:pPr>
        <w:rPr>
          <w:szCs w:val="22"/>
        </w:rPr>
      </w:pPr>
    </w:p>
    <w:p w:rsidR="00E42B39" w:rsidRPr="00B50DB8" w:rsidRDefault="00E42B39" w:rsidP="005E4448">
      <w:pPr>
        <w:pStyle w:val="ListParagraph"/>
        <w:widowControl/>
        <w:numPr>
          <w:ilvl w:val="1"/>
          <w:numId w:val="2"/>
        </w:numPr>
        <w:rPr>
          <w:szCs w:val="22"/>
        </w:rPr>
      </w:pPr>
      <w:r>
        <w:t xml:space="preserve">The submission requested a Section </w:t>
      </w:r>
      <w:proofErr w:type="gramStart"/>
      <w:r>
        <w:t>85,</w:t>
      </w:r>
      <w:proofErr w:type="gramEnd"/>
      <w:r>
        <w:t xml:space="preserve"> </w:t>
      </w:r>
      <w:r w:rsidRPr="004B3DDB">
        <w:t>Authority Required</w:t>
      </w:r>
      <w:r>
        <w:t xml:space="preserve"> (</w:t>
      </w:r>
      <w:r w:rsidR="00635A13">
        <w:t>STREAMLINED</w:t>
      </w:r>
      <w:r>
        <w:t xml:space="preserve">) </w:t>
      </w:r>
      <w:r w:rsidRPr="004B3DDB">
        <w:t xml:space="preserve">listing for </w:t>
      </w:r>
      <w:proofErr w:type="spellStart"/>
      <w:r>
        <w:t>brivaracetam</w:t>
      </w:r>
      <w:proofErr w:type="spellEnd"/>
      <w:r>
        <w:t xml:space="preserve"> </w:t>
      </w:r>
      <w:r w:rsidRPr="004B3DDB">
        <w:t xml:space="preserve">for </w:t>
      </w:r>
      <w:r>
        <w:t xml:space="preserve">the </w:t>
      </w:r>
      <w:r w:rsidRPr="004B3DDB">
        <w:t xml:space="preserve">treatment of </w:t>
      </w:r>
      <w:r>
        <w:t>intractable partial epileptic seizures</w:t>
      </w:r>
      <w:r w:rsidRPr="004B3DDB">
        <w:t>.</w:t>
      </w:r>
    </w:p>
    <w:p w:rsidR="00E42B39" w:rsidRDefault="00E42B39" w:rsidP="00E42B39"/>
    <w:p w:rsidR="007A258D" w:rsidRDefault="007A258D" w:rsidP="00E42B39"/>
    <w:p w:rsidR="00E42B39" w:rsidRPr="00407F2D" w:rsidRDefault="00E42B39" w:rsidP="00534A2B">
      <w:pPr>
        <w:pStyle w:val="Heading2"/>
      </w:pPr>
      <w:bookmarkStart w:id="3" w:name="_Toc413139272"/>
      <w:bookmarkStart w:id="4" w:name="_Toc450135171"/>
      <w:r w:rsidRPr="00407F2D">
        <w:t>Requested listing</w:t>
      </w:r>
      <w:bookmarkEnd w:id="3"/>
      <w:bookmarkEnd w:id="4"/>
    </w:p>
    <w:p w:rsidR="00E42B39" w:rsidRPr="00882085" w:rsidRDefault="00E42B39" w:rsidP="00E42B39"/>
    <w:p w:rsidR="00E42B39" w:rsidRPr="00635A13" w:rsidRDefault="00E42B39" w:rsidP="00635A13">
      <w:pPr>
        <w:pStyle w:val="ListParagraph"/>
        <w:widowControl/>
        <w:numPr>
          <w:ilvl w:val="1"/>
          <w:numId w:val="2"/>
        </w:numPr>
        <w:rPr>
          <w:szCs w:val="22"/>
        </w:rPr>
      </w:pPr>
      <w:r w:rsidRPr="00915742">
        <w:t xml:space="preserve">The </w:t>
      </w:r>
      <w:r w:rsidR="002F2359">
        <w:t xml:space="preserve">submission </w:t>
      </w:r>
      <w:r>
        <w:t xml:space="preserve">requested </w:t>
      </w:r>
      <w:r w:rsidR="002F2359">
        <w:t xml:space="preserve">the following </w:t>
      </w:r>
      <w:r>
        <w:t>listing</w:t>
      </w:r>
      <w:r w:rsidR="002F2359">
        <w:t>.</w:t>
      </w:r>
      <w:r w:rsidR="00635A13">
        <w:t xml:space="preserve"> </w:t>
      </w:r>
      <w:r w:rsidR="00B53281" w:rsidRPr="00635A13">
        <w:t>Suggestions and additions proposed by the Secretariat to the requested listing are added in italics and suggested deletions are crossed out with strikethrough</w:t>
      </w:r>
      <w:r w:rsidR="003A27E2" w:rsidRPr="00635A13">
        <w:t>.</w:t>
      </w:r>
    </w:p>
    <w:p w:rsidR="00B53281" w:rsidRPr="00B53281" w:rsidRDefault="00B53281" w:rsidP="00534A2B">
      <w:pPr>
        <w:pStyle w:val="PBACHeading1"/>
        <w:numPr>
          <w:ilvl w:val="0"/>
          <w:numId w:val="0"/>
        </w:numPr>
      </w:pPr>
    </w:p>
    <w:tbl>
      <w:tblPr>
        <w:tblW w:w="9214" w:type="dxa"/>
        <w:tblInd w:w="108" w:type="dxa"/>
        <w:tblLook w:val="0000" w:firstRow="0" w:lastRow="0" w:firstColumn="0" w:lastColumn="0" w:noHBand="0" w:noVBand="0"/>
      </w:tblPr>
      <w:tblGrid>
        <w:gridCol w:w="2835"/>
        <w:gridCol w:w="426"/>
        <w:gridCol w:w="850"/>
        <w:gridCol w:w="567"/>
        <w:gridCol w:w="1418"/>
        <w:gridCol w:w="1417"/>
        <w:gridCol w:w="1701"/>
      </w:tblGrid>
      <w:tr w:rsidR="00B37B69" w:rsidRPr="00FF4D1E" w:rsidTr="00B37B69">
        <w:trPr>
          <w:cantSplit/>
          <w:trHeight w:val="471"/>
        </w:trPr>
        <w:tc>
          <w:tcPr>
            <w:tcW w:w="3261" w:type="dxa"/>
            <w:gridSpan w:val="2"/>
            <w:tcBorders>
              <w:bottom w:val="single" w:sz="4" w:space="0" w:color="auto"/>
            </w:tcBorders>
          </w:tcPr>
          <w:p w:rsidR="00B37B69" w:rsidRPr="00FF4D1E" w:rsidRDefault="00B37B69" w:rsidP="00B37B69">
            <w:pPr>
              <w:keepNext/>
              <w:ind w:left="-108"/>
              <w:rPr>
                <w:rFonts w:ascii="Arial Narrow" w:hAnsi="Arial Narrow"/>
                <w:sz w:val="20"/>
              </w:rPr>
            </w:pPr>
            <w:r w:rsidRPr="00FF4D1E">
              <w:rPr>
                <w:rFonts w:ascii="Arial Narrow" w:hAnsi="Arial Narrow"/>
                <w:sz w:val="20"/>
              </w:rPr>
              <w:t>Name, Restriction,</w:t>
            </w:r>
          </w:p>
          <w:p w:rsidR="00B37B69" w:rsidRPr="00FF4D1E" w:rsidRDefault="00B37B69" w:rsidP="00B37B69">
            <w:pPr>
              <w:keepNext/>
              <w:ind w:left="-108"/>
              <w:rPr>
                <w:rFonts w:ascii="Arial Narrow" w:hAnsi="Arial Narrow"/>
                <w:sz w:val="20"/>
              </w:rPr>
            </w:pPr>
            <w:r w:rsidRPr="00FF4D1E">
              <w:rPr>
                <w:rFonts w:ascii="Arial Narrow" w:hAnsi="Arial Narrow"/>
                <w:sz w:val="20"/>
              </w:rPr>
              <w:t>Manner of administration and form</w:t>
            </w:r>
          </w:p>
        </w:tc>
        <w:tc>
          <w:tcPr>
            <w:tcW w:w="850" w:type="dxa"/>
            <w:tcBorders>
              <w:bottom w:val="single" w:sz="4" w:space="0" w:color="auto"/>
            </w:tcBorders>
          </w:tcPr>
          <w:p w:rsidR="00B37B69" w:rsidRPr="00AD41E0" w:rsidRDefault="00B37B69" w:rsidP="00B37B69">
            <w:pPr>
              <w:keepNext/>
              <w:ind w:left="-108"/>
              <w:rPr>
                <w:rFonts w:ascii="Arial Narrow" w:hAnsi="Arial Narrow"/>
                <w:sz w:val="20"/>
              </w:rPr>
            </w:pPr>
            <w:r w:rsidRPr="00AD41E0">
              <w:rPr>
                <w:rFonts w:ascii="Arial Narrow" w:hAnsi="Arial Narrow"/>
                <w:sz w:val="20"/>
              </w:rPr>
              <w:t>Max.</w:t>
            </w:r>
          </w:p>
          <w:p w:rsidR="00B37B69" w:rsidRPr="00FF4D1E" w:rsidRDefault="00B37B69" w:rsidP="00B37B69">
            <w:pPr>
              <w:keepNext/>
              <w:ind w:left="-108"/>
              <w:rPr>
                <w:rFonts w:ascii="Arial Narrow" w:hAnsi="Arial Narrow"/>
                <w:sz w:val="20"/>
              </w:rPr>
            </w:pPr>
            <w:r w:rsidRPr="00FF4D1E">
              <w:rPr>
                <w:rFonts w:ascii="Arial Narrow" w:hAnsi="Arial Narrow"/>
                <w:sz w:val="20"/>
              </w:rPr>
              <w:t>Qty</w:t>
            </w:r>
          </w:p>
        </w:tc>
        <w:tc>
          <w:tcPr>
            <w:tcW w:w="567" w:type="dxa"/>
            <w:tcBorders>
              <w:bottom w:val="single" w:sz="4" w:space="0" w:color="auto"/>
            </w:tcBorders>
          </w:tcPr>
          <w:p w:rsidR="00B37B69" w:rsidRPr="00FF4D1E" w:rsidRDefault="00B37B69" w:rsidP="00B37B69">
            <w:pPr>
              <w:keepNext/>
              <w:ind w:left="-108"/>
              <w:rPr>
                <w:rFonts w:ascii="Arial Narrow" w:hAnsi="Arial Narrow"/>
                <w:sz w:val="20"/>
              </w:rPr>
            </w:pPr>
            <w:r w:rsidRPr="00FF4D1E">
              <w:rPr>
                <w:rFonts w:ascii="Arial Narrow" w:hAnsi="Arial Narrow"/>
                <w:sz w:val="20"/>
              </w:rPr>
              <w:t>№.of</w:t>
            </w:r>
          </w:p>
          <w:p w:rsidR="00B37B69" w:rsidRPr="00FF4D1E" w:rsidRDefault="00B37B69" w:rsidP="00B37B69">
            <w:pPr>
              <w:keepNext/>
              <w:ind w:left="-108"/>
              <w:rPr>
                <w:rFonts w:ascii="Arial Narrow" w:hAnsi="Arial Narrow"/>
                <w:sz w:val="20"/>
              </w:rPr>
            </w:pPr>
            <w:r w:rsidRPr="00FF4D1E">
              <w:rPr>
                <w:rFonts w:ascii="Arial Narrow" w:hAnsi="Arial Narrow"/>
                <w:sz w:val="20"/>
              </w:rPr>
              <w:t>Rpts</w:t>
            </w:r>
          </w:p>
        </w:tc>
        <w:tc>
          <w:tcPr>
            <w:tcW w:w="1418" w:type="dxa"/>
            <w:tcBorders>
              <w:bottom w:val="single" w:sz="4" w:space="0" w:color="auto"/>
            </w:tcBorders>
          </w:tcPr>
          <w:p w:rsidR="00B37B69" w:rsidRPr="00FF4D1E" w:rsidRDefault="00B37B69" w:rsidP="00B37B69">
            <w:pPr>
              <w:keepNext/>
              <w:ind w:left="-108"/>
              <w:rPr>
                <w:rFonts w:ascii="Arial Narrow" w:hAnsi="Arial Narrow"/>
                <w:sz w:val="20"/>
              </w:rPr>
            </w:pPr>
            <w:r w:rsidRPr="00FF4D1E">
              <w:rPr>
                <w:rFonts w:ascii="Arial Narrow" w:hAnsi="Arial Narrow"/>
                <w:sz w:val="20"/>
              </w:rPr>
              <w:t>Dispensed Price for Max. Qty</w:t>
            </w:r>
          </w:p>
        </w:tc>
        <w:tc>
          <w:tcPr>
            <w:tcW w:w="3118" w:type="dxa"/>
            <w:gridSpan w:val="2"/>
            <w:tcBorders>
              <w:bottom w:val="single" w:sz="4" w:space="0" w:color="auto"/>
            </w:tcBorders>
          </w:tcPr>
          <w:p w:rsidR="00B37B69" w:rsidRPr="00FF4D1E" w:rsidRDefault="00B37B69" w:rsidP="00B37B69">
            <w:pPr>
              <w:keepNext/>
              <w:rPr>
                <w:rFonts w:ascii="Arial Narrow" w:hAnsi="Arial Narrow"/>
                <w:sz w:val="20"/>
                <w:lang w:val="fr-FR"/>
              </w:rPr>
            </w:pPr>
            <w:r w:rsidRPr="00FF4D1E">
              <w:rPr>
                <w:rFonts w:ascii="Arial Narrow" w:hAnsi="Arial Narrow"/>
                <w:sz w:val="20"/>
              </w:rPr>
              <w:t>Proprietary Name and Manufacturer</w:t>
            </w:r>
          </w:p>
        </w:tc>
      </w:tr>
      <w:tr w:rsidR="00B37B69" w:rsidRPr="00FF4D1E" w:rsidTr="00B37B69">
        <w:trPr>
          <w:cantSplit/>
          <w:trHeight w:val="577"/>
        </w:trPr>
        <w:tc>
          <w:tcPr>
            <w:tcW w:w="3261" w:type="dxa"/>
            <w:gridSpan w:val="2"/>
          </w:tcPr>
          <w:p w:rsidR="00B37B69" w:rsidRPr="007B4B92" w:rsidRDefault="00B37B69" w:rsidP="00B37B69">
            <w:pPr>
              <w:keepNext/>
              <w:ind w:left="-108"/>
              <w:rPr>
                <w:rFonts w:ascii="Arial Narrow" w:hAnsi="Arial Narrow"/>
                <w:sz w:val="20"/>
              </w:rPr>
            </w:pPr>
            <w:r w:rsidRPr="007B4B92">
              <w:rPr>
                <w:rFonts w:ascii="Arial Narrow" w:hAnsi="Arial Narrow"/>
                <w:smallCaps/>
                <w:sz w:val="20"/>
              </w:rPr>
              <w:t>BRIVARACETAM</w:t>
            </w:r>
          </w:p>
          <w:p w:rsidR="00B37B69" w:rsidRPr="007B4B92" w:rsidRDefault="00B37B69" w:rsidP="00B37B69">
            <w:pPr>
              <w:keepNext/>
              <w:ind w:left="-108"/>
              <w:rPr>
                <w:rFonts w:ascii="Arial Narrow" w:hAnsi="Arial Narrow"/>
                <w:sz w:val="20"/>
              </w:rPr>
            </w:pPr>
            <w:r w:rsidRPr="007B4B92">
              <w:rPr>
                <w:rFonts w:ascii="Arial Narrow" w:hAnsi="Arial Narrow"/>
                <w:sz w:val="20"/>
              </w:rPr>
              <w:t>15</w:t>
            </w:r>
            <w:r>
              <w:rPr>
                <w:rFonts w:ascii="Arial Narrow" w:hAnsi="Arial Narrow"/>
                <w:sz w:val="20"/>
              </w:rPr>
              <w:t> </w:t>
            </w:r>
            <w:r w:rsidRPr="007B4B92">
              <w:rPr>
                <w:rFonts w:ascii="Arial Narrow" w:hAnsi="Arial Narrow"/>
                <w:sz w:val="20"/>
              </w:rPr>
              <w:t>mg, 50</w:t>
            </w:r>
            <w:r>
              <w:rPr>
                <w:rFonts w:ascii="Arial Narrow" w:hAnsi="Arial Narrow"/>
                <w:sz w:val="20"/>
              </w:rPr>
              <w:t> </w:t>
            </w:r>
            <w:r w:rsidRPr="007B4B92">
              <w:rPr>
                <w:rFonts w:ascii="Arial Narrow" w:hAnsi="Arial Narrow"/>
                <w:sz w:val="20"/>
              </w:rPr>
              <w:t>mg, 75</w:t>
            </w:r>
            <w:r>
              <w:rPr>
                <w:rFonts w:ascii="Arial Narrow" w:hAnsi="Arial Narrow"/>
                <w:sz w:val="20"/>
              </w:rPr>
              <w:t> </w:t>
            </w:r>
            <w:r w:rsidRPr="007B4B92">
              <w:rPr>
                <w:rFonts w:ascii="Arial Narrow" w:hAnsi="Arial Narrow"/>
                <w:sz w:val="20"/>
              </w:rPr>
              <w:t xml:space="preserve">mg, </w:t>
            </w:r>
            <w:r w:rsidRPr="00FF4D1E">
              <w:rPr>
                <w:rFonts w:ascii="Arial Narrow" w:hAnsi="Arial Narrow"/>
                <w:sz w:val="20"/>
              </w:rPr>
              <w:t>100</w:t>
            </w:r>
            <w:r>
              <w:rPr>
                <w:rFonts w:ascii="Arial Narrow" w:hAnsi="Arial Narrow"/>
                <w:sz w:val="20"/>
              </w:rPr>
              <w:t> </w:t>
            </w:r>
            <w:r w:rsidRPr="00FF4D1E">
              <w:rPr>
                <w:rFonts w:ascii="Arial Narrow" w:hAnsi="Arial Narrow"/>
                <w:sz w:val="20"/>
              </w:rPr>
              <w:t>mg tablet</w:t>
            </w:r>
            <w:r>
              <w:rPr>
                <w:rFonts w:ascii="Arial Narrow" w:hAnsi="Arial Narrow"/>
                <w:sz w:val="20"/>
              </w:rPr>
              <w:t>, 56</w:t>
            </w:r>
          </w:p>
          <w:p w:rsidR="00B37B69" w:rsidRPr="00FF4D1E" w:rsidRDefault="00B37B69" w:rsidP="00B37B69">
            <w:pPr>
              <w:keepNext/>
              <w:rPr>
                <w:rFonts w:ascii="Arial Narrow" w:hAnsi="Arial Narrow"/>
                <w:sz w:val="20"/>
              </w:rPr>
            </w:pPr>
          </w:p>
        </w:tc>
        <w:tc>
          <w:tcPr>
            <w:tcW w:w="850" w:type="dxa"/>
          </w:tcPr>
          <w:p w:rsidR="00B37B69" w:rsidRPr="00FF4D1E" w:rsidRDefault="00B37B69" w:rsidP="00B37B69">
            <w:pPr>
              <w:keepNext/>
              <w:ind w:left="-108"/>
              <w:rPr>
                <w:rFonts w:ascii="Arial Narrow" w:hAnsi="Arial Narrow"/>
                <w:sz w:val="20"/>
              </w:rPr>
            </w:pPr>
          </w:p>
          <w:p w:rsidR="00B37B69" w:rsidRPr="00FF4D1E" w:rsidRDefault="00B37B69" w:rsidP="00B37B69">
            <w:pPr>
              <w:keepNext/>
              <w:ind w:left="-108"/>
              <w:rPr>
                <w:rFonts w:ascii="Arial Narrow" w:hAnsi="Arial Narrow"/>
                <w:sz w:val="20"/>
              </w:rPr>
            </w:pPr>
            <w:r>
              <w:rPr>
                <w:rFonts w:ascii="Arial Narrow" w:hAnsi="Arial Narrow"/>
                <w:sz w:val="20"/>
              </w:rPr>
              <w:t>1</w:t>
            </w:r>
          </w:p>
        </w:tc>
        <w:tc>
          <w:tcPr>
            <w:tcW w:w="567" w:type="dxa"/>
          </w:tcPr>
          <w:p w:rsidR="00B37B69" w:rsidRPr="00AD41E0" w:rsidRDefault="00B37B69" w:rsidP="00B37B69">
            <w:pPr>
              <w:keepNext/>
              <w:ind w:left="-108"/>
              <w:rPr>
                <w:rFonts w:ascii="Arial Narrow" w:hAnsi="Arial Narrow"/>
                <w:sz w:val="20"/>
              </w:rPr>
            </w:pPr>
          </w:p>
          <w:p w:rsidR="00B37B69" w:rsidRPr="00FF4D1E" w:rsidRDefault="00B37B69" w:rsidP="00B37B69">
            <w:pPr>
              <w:keepNext/>
              <w:ind w:left="-108"/>
              <w:rPr>
                <w:rFonts w:ascii="Arial Narrow" w:hAnsi="Arial Narrow"/>
                <w:sz w:val="20"/>
              </w:rPr>
            </w:pPr>
            <w:r w:rsidRPr="00FF4D1E">
              <w:rPr>
                <w:rFonts w:ascii="Arial Narrow" w:hAnsi="Arial Narrow"/>
                <w:sz w:val="20"/>
              </w:rPr>
              <w:t>5</w:t>
            </w:r>
          </w:p>
        </w:tc>
        <w:tc>
          <w:tcPr>
            <w:tcW w:w="1418" w:type="dxa"/>
          </w:tcPr>
          <w:p w:rsidR="00B37B69" w:rsidRPr="00FF4D1E" w:rsidRDefault="00B37B69" w:rsidP="00B37B69">
            <w:pPr>
              <w:keepNext/>
              <w:ind w:left="-108"/>
              <w:rPr>
                <w:rFonts w:ascii="Arial Narrow" w:hAnsi="Arial Narrow"/>
                <w:sz w:val="20"/>
              </w:rPr>
            </w:pPr>
          </w:p>
          <w:p w:rsidR="00B37B69" w:rsidRPr="00666657" w:rsidRDefault="00B37B69" w:rsidP="00B37B69">
            <w:pPr>
              <w:keepNext/>
              <w:ind w:left="-108"/>
              <w:rPr>
                <w:rFonts w:ascii="Arial Narrow" w:hAnsi="Arial Narrow"/>
                <w:sz w:val="20"/>
              </w:rPr>
            </w:pPr>
            <w:r w:rsidRPr="00FF4D1E">
              <w:rPr>
                <w:rFonts w:ascii="Arial Narrow" w:hAnsi="Arial Narrow"/>
                <w:sz w:val="20"/>
              </w:rPr>
              <w:t>$</w:t>
            </w:r>
            <w:r w:rsidR="00534A2B">
              <w:rPr>
                <w:rFonts w:ascii="Arial Narrow" w:hAnsi="Arial Narrow"/>
                <w:noProof/>
                <w:color w:val="000000"/>
                <w:sz w:val="20"/>
                <w:highlight w:val="black"/>
              </w:rPr>
              <w:t>'''''''''''''''''</w:t>
            </w:r>
          </w:p>
        </w:tc>
        <w:tc>
          <w:tcPr>
            <w:tcW w:w="1417" w:type="dxa"/>
          </w:tcPr>
          <w:p w:rsidR="00B37B69" w:rsidRPr="007B4B92" w:rsidRDefault="00B37B69" w:rsidP="00B37B69">
            <w:pPr>
              <w:keepNext/>
              <w:jc w:val="center"/>
              <w:rPr>
                <w:rFonts w:ascii="Arial Narrow" w:hAnsi="Arial Narrow"/>
                <w:sz w:val="20"/>
              </w:rPr>
            </w:pPr>
          </w:p>
          <w:p w:rsidR="00B37B69" w:rsidRPr="007B4B92" w:rsidRDefault="00B37B69" w:rsidP="00B37B69">
            <w:pPr>
              <w:keepNext/>
              <w:jc w:val="center"/>
              <w:rPr>
                <w:rFonts w:ascii="Arial Narrow" w:hAnsi="Arial Narrow"/>
                <w:sz w:val="20"/>
              </w:rPr>
            </w:pPr>
            <w:r w:rsidRPr="007B4B92">
              <w:rPr>
                <w:rFonts w:ascii="Arial Narrow" w:hAnsi="Arial Narrow"/>
                <w:sz w:val="20"/>
              </w:rPr>
              <w:t>BRIVIACT</w:t>
            </w:r>
          </w:p>
        </w:tc>
        <w:tc>
          <w:tcPr>
            <w:tcW w:w="1701" w:type="dxa"/>
          </w:tcPr>
          <w:p w:rsidR="00B37B69" w:rsidRDefault="00B37B69" w:rsidP="00B37B69">
            <w:pPr>
              <w:keepNext/>
              <w:jc w:val="center"/>
              <w:rPr>
                <w:rFonts w:ascii="Arial Narrow" w:hAnsi="Arial Narrow"/>
                <w:sz w:val="20"/>
              </w:rPr>
            </w:pPr>
          </w:p>
          <w:p w:rsidR="00B37B69" w:rsidRPr="007B4B92" w:rsidRDefault="00B37B69" w:rsidP="00B37B69">
            <w:pPr>
              <w:keepNext/>
              <w:jc w:val="center"/>
              <w:rPr>
                <w:rFonts w:ascii="Arial Narrow" w:hAnsi="Arial Narrow"/>
                <w:sz w:val="20"/>
              </w:rPr>
            </w:pPr>
            <w:r w:rsidRPr="007B4B92">
              <w:rPr>
                <w:rFonts w:ascii="Arial Narrow" w:hAnsi="Arial Narrow"/>
                <w:sz w:val="20"/>
              </w:rPr>
              <w:t>UCB Pharma</w:t>
            </w:r>
          </w:p>
        </w:tc>
      </w:tr>
      <w:tr w:rsidR="00B37B69" w:rsidRPr="00FF4D1E" w:rsidTr="00B37B69">
        <w:trPr>
          <w:cantSplit/>
          <w:trHeight w:val="360"/>
        </w:trPr>
        <w:tc>
          <w:tcPr>
            <w:tcW w:w="2835" w:type="dxa"/>
            <w:tcBorders>
              <w:top w:val="single" w:sz="4" w:space="0" w:color="auto"/>
              <w:left w:val="single" w:sz="4" w:space="0" w:color="auto"/>
              <w:bottom w:val="single" w:sz="4" w:space="0" w:color="auto"/>
              <w:right w:val="single" w:sz="4" w:space="0" w:color="auto"/>
            </w:tcBorders>
          </w:tcPr>
          <w:p w:rsidR="00B37B69" w:rsidRPr="00200315" w:rsidRDefault="00B37B69" w:rsidP="00B37B69">
            <w:pPr>
              <w:rPr>
                <w:rFonts w:ascii="Arial Narrow" w:hAnsi="Arial Narrow"/>
                <w:b/>
                <w:sz w:val="20"/>
              </w:rPr>
            </w:pPr>
            <w:r w:rsidRPr="00200315">
              <w:rPr>
                <w:rFonts w:ascii="Arial Narrow" w:hAnsi="Arial Narrow"/>
                <w:b/>
                <w:sz w:val="20"/>
              </w:rPr>
              <w:t>Cate</w:t>
            </w:r>
            <w:r>
              <w:rPr>
                <w:rFonts w:ascii="Arial Narrow" w:hAnsi="Arial Narrow"/>
                <w:b/>
                <w:sz w:val="20"/>
              </w:rPr>
              <w:t>gory/Program:</w:t>
            </w:r>
          </w:p>
        </w:tc>
        <w:tc>
          <w:tcPr>
            <w:tcW w:w="6379" w:type="dxa"/>
            <w:gridSpan w:val="6"/>
            <w:tcBorders>
              <w:top w:val="single" w:sz="4" w:space="0" w:color="auto"/>
              <w:left w:val="single" w:sz="4" w:space="0" w:color="auto"/>
              <w:bottom w:val="single" w:sz="4" w:space="0" w:color="auto"/>
              <w:right w:val="single" w:sz="4" w:space="0" w:color="auto"/>
            </w:tcBorders>
          </w:tcPr>
          <w:p w:rsidR="00B37B69" w:rsidRPr="007B4B92" w:rsidRDefault="00B37B69" w:rsidP="00B37B69">
            <w:pPr>
              <w:rPr>
                <w:rFonts w:ascii="Arial Narrow" w:hAnsi="Arial Narrow"/>
                <w:sz w:val="20"/>
              </w:rPr>
            </w:pPr>
            <w:r w:rsidRPr="00E41AFE">
              <w:rPr>
                <w:rFonts w:ascii="Arial Narrow" w:hAnsi="Arial Narrow"/>
                <w:sz w:val="20"/>
              </w:rPr>
              <w:t xml:space="preserve">GENERAL – General Schedule (Code GE)  </w:t>
            </w:r>
          </w:p>
        </w:tc>
      </w:tr>
      <w:tr w:rsidR="00B37B69" w:rsidRPr="00FF4D1E" w:rsidTr="00B37B69">
        <w:trPr>
          <w:cantSplit/>
          <w:trHeight w:val="360"/>
        </w:trPr>
        <w:tc>
          <w:tcPr>
            <w:tcW w:w="2835" w:type="dxa"/>
            <w:tcBorders>
              <w:top w:val="single" w:sz="4" w:space="0" w:color="auto"/>
              <w:left w:val="single" w:sz="4" w:space="0" w:color="auto"/>
              <w:bottom w:val="single" w:sz="4" w:space="0" w:color="auto"/>
              <w:right w:val="single" w:sz="4" w:space="0" w:color="auto"/>
            </w:tcBorders>
          </w:tcPr>
          <w:p w:rsidR="00B37B69" w:rsidRPr="00FF4D1E" w:rsidRDefault="00B37B69" w:rsidP="00B37B69">
            <w:pPr>
              <w:rPr>
                <w:rFonts w:ascii="Arial Narrow" w:hAnsi="Arial Narrow"/>
                <w:b/>
                <w:sz w:val="20"/>
              </w:rPr>
            </w:pPr>
            <w:r w:rsidRPr="00FF4D1E">
              <w:rPr>
                <w:rFonts w:ascii="Arial Narrow" w:hAnsi="Arial Narrow"/>
                <w:b/>
                <w:sz w:val="20"/>
              </w:rPr>
              <w:t>Prescriber type:</w:t>
            </w:r>
          </w:p>
          <w:p w:rsidR="00B37B69" w:rsidRPr="00FF4D1E" w:rsidRDefault="00B37B69" w:rsidP="00B37B69">
            <w:pPr>
              <w:rPr>
                <w:rFonts w:ascii="Arial Narrow" w:hAnsi="Arial Narrow"/>
                <w:b/>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B37B69" w:rsidRPr="00FF4D1E" w:rsidRDefault="00B37B69" w:rsidP="00B37B69">
            <w:pPr>
              <w:rPr>
                <w:rFonts w:ascii="Arial Narrow" w:hAnsi="Arial Narrow"/>
                <w:sz w:val="20"/>
              </w:rPr>
            </w:pPr>
            <w:r w:rsidRPr="007B4B92">
              <w:rPr>
                <w:rFonts w:ascii="Arial Narrow" w:hAnsi="Arial Narrow"/>
                <w:sz w:val="20"/>
              </w:rPr>
              <w:fldChar w:fldCharType="begin">
                <w:ffData>
                  <w:name w:val="Check1"/>
                  <w:enabled/>
                  <w:calcOnExit w:val="0"/>
                  <w:checkBox>
                    <w:sizeAuto/>
                    <w:default w:val="0"/>
                  </w:checkBox>
                </w:ffData>
              </w:fldChar>
            </w:r>
            <w:r w:rsidRPr="00FF4D1E">
              <w:rPr>
                <w:rFonts w:ascii="Arial Narrow" w:hAnsi="Arial Narrow"/>
                <w:sz w:val="20"/>
              </w:rPr>
              <w:instrText xml:space="preserve"> FORMCHECKBOX </w:instrText>
            </w:r>
            <w:r w:rsidR="00534A2B">
              <w:rPr>
                <w:rFonts w:ascii="Arial Narrow" w:hAnsi="Arial Narrow"/>
                <w:sz w:val="20"/>
              </w:rPr>
            </w:r>
            <w:r w:rsidR="00534A2B">
              <w:rPr>
                <w:rFonts w:ascii="Arial Narrow" w:hAnsi="Arial Narrow"/>
                <w:sz w:val="20"/>
              </w:rPr>
              <w:fldChar w:fldCharType="separate"/>
            </w:r>
            <w:r w:rsidRPr="007B4B92">
              <w:rPr>
                <w:rFonts w:ascii="Arial Narrow" w:hAnsi="Arial Narrow"/>
                <w:sz w:val="20"/>
              </w:rPr>
              <w:fldChar w:fldCharType="end"/>
            </w:r>
            <w:r w:rsidRPr="00FF4D1E">
              <w:rPr>
                <w:rFonts w:ascii="Arial Narrow" w:hAnsi="Arial Narrow"/>
                <w:sz w:val="20"/>
              </w:rPr>
              <w:t xml:space="preserve">Dental  </w:t>
            </w:r>
            <w:r w:rsidRPr="007B4B92">
              <w:rPr>
                <w:rFonts w:ascii="Arial Narrow" w:hAnsi="Arial Narrow"/>
                <w:sz w:val="20"/>
              </w:rPr>
              <w:fldChar w:fldCharType="begin">
                <w:ffData>
                  <w:name w:val="Check5"/>
                  <w:enabled/>
                  <w:calcOnExit w:val="0"/>
                  <w:checkBox>
                    <w:sizeAuto/>
                    <w:default w:val="1"/>
                  </w:checkBox>
                </w:ffData>
              </w:fldChar>
            </w:r>
            <w:r w:rsidRPr="00FF4D1E">
              <w:rPr>
                <w:rFonts w:ascii="Arial Narrow" w:hAnsi="Arial Narrow"/>
                <w:sz w:val="20"/>
              </w:rPr>
              <w:instrText xml:space="preserve"> FORMCHECKBOX </w:instrText>
            </w:r>
            <w:r w:rsidR="00534A2B">
              <w:rPr>
                <w:rFonts w:ascii="Arial Narrow" w:hAnsi="Arial Narrow"/>
                <w:sz w:val="20"/>
              </w:rPr>
            </w:r>
            <w:r w:rsidR="00534A2B">
              <w:rPr>
                <w:rFonts w:ascii="Arial Narrow" w:hAnsi="Arial Narrow"/>
                <w:sz w:val="20"/>
              </w:rPr>
              <w:fldChar w:fldCharType="separate"/>
            </w:r>
            <w:r w:rsidRPr="007B4B92">
              <w:rPr>
                <w:rFonts w:ascii="Arial Narrow" w:hAnsi="Arial Narrow"/>
                <w:sz w:val="20"/>
              </w:rPr>
              <w:fldChar w:fldCharType="end"/>
            </w:r>
            <w:r w:rsidRPr="00FF4D1E">
              <w:rPr>
                <w:rFonts w:ascii="Arial Narrow" w:hAnsi="Arial Narrow"/>
                <w:sz w:val="20"/>
              </w:rPr>
              <w:t xml:space="preserve">Medical Practitioners  </w:t>
            </w:r>
            <w:r w:rsidRPr="007B4B92">
              <w:rPr>
                <w:rFonts w:ascii="Arial Narrow" w:hAnsi="Arial Narrow"/>
                <w:sz w:val="20"/>
              </w:rPr>
              <w:fldChar w:fldCharType="begin">
                <w:ffData>
                  <w:name w:val="Check5"/>
                  <w:enabled/>
                  <w:calcOnExit w:val="0"/>
                  <w:checkBox>
                    <w:sizeAuto/>
                    <w:default w:val="1"/>
                  </w:checkBox>
                </w:ffData>
              </w:fldChar>
            </w:r>
            <w:r w:rsidRPr="00FF4D1E">
              <w:rPr>
                <w:rFonts w:ascii="Arial Narrow" w:hAnsi="Arial Narrow"/>
                <w:sz w:val="20"/>
              </w:rPr>
              <w:instrText xml:space="preserve"> FORMCHECKBOX </w:instrText>
            </w:r>
            <w:r w:rsidR="00534A2B">
              <w:rPr>
                <w:rFonts w:ascii="Arial Narrow" w:hAnsi="Arial Narrow"/>
                <w:sz w:val="20"/>
              </w:rPr>
            </w:r>
            <w:r w:rsidR="00534A2B">
              <w:rPr>
                <w:rFonts w:ascii="Arial Narrow" w:hAnsi="Arial Narrow"/>
                <w:sz w:val="20"/>
              </w:rPr>
              <w:fldChar w:fldCharType="separate"/>
            </w:r>
            <w:r w:rsidRPr="007B4B92">
              <w:rPr>
                <w:rFonts w:ascii="Arial Narrow" w:hAnsi="Arial Narrow"/>
                <w:sz w:val="20"/>
              </w:rPr>
              <w:fldChar w:fldCharType="end"/>
            </w:r>
            <w:r w:rsidRPr="00FF4D1E">
              <w:rPr>
                <w:rFonts w:ascii="Arial Narrow" w:hAnsi="Arial Narrow"/>
                <w:sz w:val="20"/>
              </w:rPr>
              <w:t xml:space="preserve">Nurse practitioners  </w:t>
            </w:r>
            <w:r w:rsidRPr="007B4B92">
              <w:rPr>
                <w:rFonts w:ascii="Arial Narrow" w:hAnsi="Arial Narrow"/>
                <w:sz w:val="20"/>
              </w:rPr>
              <w:fldChar w:fldCharType="begin">
                <w:ffData>
                  <w:name w:val=""/>
                  <w:enabled/>
                  <w:calcOnExit w:val="0"/>
                  <w:checkBox>
                    <w:sizeAuto/>
                    <w:default w:val="0"/>
                  </w:checkBox>
                </w:ffData>
              </w:fldChar>
            </w:r>
            <w:r w:rsidRPr="00FF4D1E">
              <w:rPr>
                <w:rFonts w:ascii="Arial Narrow" w:hAnsi="Arial Narrow"/>
                <w:sz w:val="20"/>
              </w:rPr>
              <w:instrText xml:space="preserve"> FORMCHECKBOX </w:instrText>
            </w:r>
            <w:r w:rsidR="00534A2B">
              <w:rPr>
                <w:rFonts w:ascii="Arial Narrow" w:hAnsi="Arial Narrow"/>
                <w:sz w:val="20"/>
              </w:rPr>
            </w:r>
            <w:r w:rsidR="00534A2B">
              <w:rPr>
                <w:rFonts w:ascii="Arial Narrow" w:hAnsi="Arial Narrow"/>
                <w:sz w:val="20"/>
              </w:rPr>
              <w:fldChar w:fldCharType="separate"/>
            </w:r>
            <w:r w:rsidRPr="007B4B92">
              <w:rPr>
                <w:rFonts w:ascii="Arial Narrow" w:hAnsi="Arial Narrow"/>
                <w:sz w:val="20"/>
              </w:rPr>
              <w:fldChar w:fldCharType="end"/>
            </w:r>
            <w:r w:rsidRPr="00FF4D1E">
              <w:rPr>
                <w:rFonts w:ascii="Arial Narrow" w:hAnsi="Arial Narrow"/>
                <w:sz w:val="20"/>
              </w:rPr>
              <w:t>Optometrists</w:t>
            </w:r>
          </w:p>
          <w:p w:rsidR="00B37B69" w:rsidRPr="00FF4D1E" w:rsidRDefault="00B37B69" w:rsidP="00B37B69">
            <w:pPr>
              <w:rPr>
                <w:rFonts w:ascii="Arial Narrow" w:hAnsi="Arial Narrow"/>
                <w:sz w:val="20"/>
              </w:rPr>
            </w:pPr>
            <w:r w:rsidRPr="007B4B92">
              <w:rPr>
                <w:rFonts w:ascii="Arial Narrow" w:hAnsi="Arial Narrow"/>
                <w:sz w:val="20"/>
              </w:rPr>
              <w:fldChar w:fldCharType="begin">
                <w:ffData>
                  <w:name w:val="Check5"/>
                  <w:enabled/>
                  <w:calcOnExit w:val="0"/>
                  <w:checkBox>
                    <w:sizeAuto/>
                    <w:default w:val="0"/>
                  </w:checkBox>
                </w:ffData>
              </w:fldChar>
            </w:r>
            <w:r w:rsidRPr="00FF4D1E">
              <w:rPr>
                <w:rFonts w:ascii="Arial Narrow" w:hAnsi="Arial Narrow"/>
                <w:sz w:val="20"/>
              </w:rPr>
              <w:instrText xml:space="preserve"> FORMCHECKBOX </w:instrText>
            </w:r>
            <w:r w:rsidR="00534A2B">
              <w:rPr>
                <w:rFonts w:ascii="Arial Narrow" w:hAnsi="Arial Narrow"/>
                <w:sz w:val="20"/>
              </w:rPr>
            </w:r>
            <w:r w:rsidR="00534A2B">
              <w:rPr>
                <w:rFonts w:ascii="Arial Narrow" w:hAnsi="Arial Narrow"/>
                <w:sz w:val="20"/>
              </w:rPr>
              <w:fldChar w:fldCharType="separate"/>
            </w:r>
            <w:r w:rsidRPr="007B4B92">
              <w:rPr>
                <w:rFonts w:ascii="Arial Narrow" w:hAnsi="Arial Narrow"/>
                <w:sz w:val="20"/>
              </w:rPr>
              <w:fldChar w:fldCharType="end"/>
            </w:r>
            <w:r w:rsidRPr="00FF4D1E">
              <w:rPr>
                <w:rFonts w:ascii="Arial Narrow" w:hAnsi="Arial Narrow"/>
                <w:sz w:val="20"/>
              </w:rPr>
              <w:t>Midwives</w:t>
            </w:r>
          </w:p>
        </w:tc>
      </w:tr>
      <w:tr w:rsidR="00B37B69" w:rsidRPr="00FF4D1E" w:rsidTr="00B37B69">
        <w:trPr>
          <w:cantSplit/>
          <w:trHeight w:val="360"/>
        </w:trPr>
        <w:tc>
          <w:tcPr>
            <w:tcW w:w="2835" w:type="dxa"/>
            <w:tcBorders>
              <w:top w:val="single" w:sz="4" w:space="0" w:color="auto"/>
              <w:left w:val="single" w:sz="4" w:space="0" w:color="auto"/>
              <w:bottom w:val="single" w:sz="4" w:space="0" w:color="auto"/>
              <w:right w:val="single" w:sz="4" w:space="0" w:color="auto"/>
            </w:tcBorders>
          </w:tcPr>
          <w:p w:rsidR="00B37B69" w:rsidRPr="00FF4D1E" w:rsidRDefault="00B37B69" w:rsidP="00B37B69">
            <w:pPr>
              <w:rPr>
                <w:rFonts w:ascii="Arial Narrow" w:hAnsi="Arial Narrow"/>
                <w:b/>
                <w:sz w:val="20"/>
              </w:rPr>
            </w:pPr>
            <w:r w:rsidRPr="00FF4D1E">
              <w:rPr>
                <w:rFonts w:ascii="Arial Narrow" w:hAnsi="Arial Narrow"/>
                <w:b/>
                <w:sz w:val="20"/>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B37B69" w:rsidRPr="00FF4D1E" w:rsidRDefault="00B37B69" w:rsidP="00B37B69">
            <w:pPr>
              <w:rPr>
                <w:rFonts w:ascii="Arial Narrow" w:hAnsi="Arial Narrow"/>
                <w:sz w:val="20"/>
              </w:rPr>
            </w:pPr>
            <w:r w:rsidRPr="007B4B92">
              <w:rPr>
                <w:rFonts w:ascii="Arial Narrow" w:hAnsi="Arial Narrow"/>
                <w:sz w:val="20"/>
              </w:rPr>
              <w:t>Epilepsy</w:t>
            </w:r>
          </w:p>
        </w:tc>
      </w:tr>
      <w:tr w:rsidR="00B37B69" w:rsidRPr="00FF4D1E" w:rsidTr="00B37B69">
        <w:trPr>
          <w:cantSplit/>
          <w:trHeight w:val="360"/>
        </w:trPr>
        <w:tc>
          <w:tcPr>
            <w:tcW w:w="2835" w:type="dxa"/>
            <w:tcBorders>
              <w:top w:val="single" w:sz="4" w:space="0" w:color="auto"/>
              <w:left w:val="single" w:sz="4" w:space="0" w:color="auto"/>
              <w:bottom w:val="single" w:sz="4" w:space="0" w:color="auto"/>
              <w:right w:val="single" w:sz="4" w:space="0" w:color="auto"/>
            </w:tcBorders>
          </w:tcPr>
          <w:p w:rsidR="00B37B69" w:rsidRPr="009A1DD8" w:rsidRDefault="00B37B69" w:rsidP="00B37B69">
            <w:pPr>
              <w:rPr>
                <w:rFonts w:ascii="Arial Narrow" w:hAnsi="Arial Narrow"/>
                <w:b/>
                <w:sz w:val="20"/>
              </w:rPr>
            </w:pPr>
            <w:r w:rsidRPr="00FF4D1E">
              <w:rPr>
                <w:rFonts w:ascii="Arial Narrow" w:hAnsi="Arial Narrow"/>
                <w:b/>
                <w:sz w:val="20"/>
              </w:rPr>
              <w:t>PBS Indication:</w:t>
            </w:r>
          </w:p>
        </w:tc>
        <w:tc>
          <w:tcPr>
            <w:tcW w:w="6379" w:type="dxa"/>
            <w:gridSpan w:val="6"/>
            <w:tcBorders>
              <w:top w:val="single" w:sz="4" w:space="0" w:color="auto"/>
              <w:left w:val="single" w:sz="4" w:space="0" w:color="auto"/>
              <w:bottom w:val="single" w:sz="4" w:space="0" w:color="auto"/>
              <w:right w:val="single" w:sz="4" w:space="0" w:color="auto"/>
            </w:tcBorders>
          </w:tcPr>
          <w:p w:rsidR="00B37B69" w:rsidRPr="00666657" w:rsidRDefault="00B37B69" w:rsidP="009A1DD8">
            <w:pPr>
              <w:rPr>
                <w:rFonts w:ascii="Arial Narrow" w:hAnsi="Arial Narrow"/>
                <w:sz w:val="20"/>
              </w:rPr>
            </w:pPr>
            <w:r w:rsidRPr="007B4B92">
              <w:rPr>
                <w:rFonts w:ascii="Arial Narrow" w:hAnsi="Arial Narrow"/>
                <w:i/>
                <w:sz w:val="20"/>
              </w:rPr>
              <w:t xml:space="preserve">Intractable </w:t>
            </w:r>
            <w:r w:rsidRPr="007B4B92">
              <w:rPr>
                <w:rFonts w:ascii="Arial Narrow" w:hAnsi="Arial Narrow"/>
                <w:sz w:val="20"/>
              </w:rPr>
              <w:t>partial epileptic seizures</w:t>
            </w:r>
          </w:p>
        </w:tc>
      </w:tr>
      <w:tr w:rsidR="00B37B69" w:rsidRPr="00FF4D1E" w:rsidTr="00B37B69">
        <w:trPr>
          <w:cantSplit/>
          <w:trHeight w:val="360"/>
        </w:trPr>
        <w:tc>
          <w:tcPr>
            <w:tcW w:w="2835" w:type="dxa"/>
            <w:tcBorders>
              <w:top w:val="single" w:sz="4" w:space="0" w:color="auto"/>
              <w:left w:val="single" w:sz="4" w:space="0" w:color="auto"/>
              <w:bottom w:val="single" w:sz="4" w:space="0" w:color="auto"/>
              <w:right w:val="single" w:sz="4" w:space="0" w:color="auto"/>
            </w:tcBorders>
          </w:tcPr>
          <w:p w:rsidR="00B37B69" w:rsidRPr="00FF4D1E" w:rsidRDefault="00B37B69" w:rsidP="00B37B69">
            <w:pPr>
              <w:rPr>
                <w:rFonts w:ascii="Arial Narrow" w:hAnsi="Arial Narrow"/>
                <w:b/>
                <w:sz w:val="20"/>
              </w:rPr>
            </w:pPr>
            <w:r w:rsidRPr="00FF4D1E">
              <w:rPr>
                <w:rFonts w:ascii="Arial Narrow" w:hAnsi="Arial Narrow"/>
                <w:b/>
                <w:sz w:val="20"/>
              </w:rPr>
              <w:t>Restriction Level / Method:</w:t>
            </w:r>
          </w:p>
          <w:p w:rsidR="00B37B69" w:rsidRPr="00FF4D1E" w:rsidRDefault="00B37B69" w:rsidP="00B37B69">
            <w:pPr>
              <w:rPr>
                <w:rFonts w:ascii="Arial Narrow" w:hAnsi="Arial Narrow"/>
                <w:i/>
                <w:sz w:val="20"/>
              </w:rPr>
            </w:pPr>
          </w:p>
          <w:p w:rsidR="00B37B69" w:rsidRPr="00D86C32" w:rsidRDefault="00B37B69" w:rsidP="00B37B69">
            <w:pPr>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B37B69" w:rsidRPr="00FF4D1E" w:rsidRDefault="00B37B69" w:rsidP="00B37B69">
            <w:pPr>
              <w:rPr>
                <w:rFonts w:ascii="Arial Narrow" w:hAnsi="Arial Narrow"/>
                <w:sz w:val="20"/>
              </w:rPr>
            </w:pPr>
            <w:r w:rsidRPr="007B4B92">
              <w:rPr>
                <w:rFonts w:ascii="Arial Narrow" w:hAnsi="Arial Narrow"/>
                <w:sz w:val="20"/>
              </w:rPr>
              <w:fldChar w:fldCharType="begin">
                <w:ffData>
                  <w:name w:val="Check1"/>
                  <w:enabled/>
                  <w:calcOnExit w:val="0"/>
                  <w:checkBox>
                    <w:sizeAuto/>
                    <w:default w:val="0"/>
                  </w:checkBox>
                </w:ffData>
              </w:fldChar>
            </w:r>
            <w:r w:rsidRPr="00FF4D1E">
              <w:rPr>
                <w:rFonts w:ascii="Arial Narrow" w:hAnsi="Arial Narrow"/>
                <w:sz w:val="20"/>
              </w:rPr>
              <w:instrText xml:space="preserve"> FORMCHECKBOX </w:instrText>
            </w:r>
            <w:r w:rsidR="00534A2B">
              <w:rPr>
                <w:rFonts w:ascii="Arial Narrow" w:hAnsi="Arial Narrow"/>
                <w:sz w:val="20"/>
              </w:rPr>
            </w:r>
            <w:r w:rsidR="00534A2B">
              <w:rPr>
                <w:rFonts w:ascii="Arial Narrow" w:hAnsi="Arial Narrow"/>
                <w:sz w:val="20"/>
              </w:rPr>
              <w:fldChar w:fldCharType="separate"/>
            </w:r>
            <w:r w:rsidRPr="007B4B92">
              <w:rPr>
                <w:rFonts w:ascii="Arial Narrow" w:hAnsi="Arial Narrow"/>
                <w:sz w:val="20"/>
              </w:rPr>
              <w:fldChar w:fldCharType="end"/>
            </w:r>
            <w:r w:rsidRPr="00FF4D1E">
              <w:rPr>
                <w:rFonts w:ascii="Arial Narrow" w:hAnsi="Arial Narrow"/>
                <w:sz w:val="20"/>
              </w:rPr>
              <w:t>Restricted benefit</w:t>
            </w:r>
          </w:p>
          <w:p w:rsidR="00B37B69" w:rsidRPr="00FF4D1E" w:rsidRDefault="00B37B69" w:rsidP="00B37B69">
            <w:pPr>
              <w:rPr>
                <w:rFonts w:ascii="Arial Narrow" w:hAnsi="Arial Narrow"/>
                <w:sz w:val="20"/>
              </w:rPr>
            </w:pPr>
            <w:r w:rsidRPr="007B4B92">
              <w:rPr>
                <w:rFonts w:ascii="Arial Narrow" w:hAnsi="Arial Narrow"/>
                <w:sz w:val="20"/>
              </w:rPr>
              <w:fldChar w:fldCharType="begin">
                <w:ffData>
                  <w:name w:val=""/>
                  <w:enabled/>
                  <w:calcOnExit w:val="0"/>
                  <w:checkBox>
                    <w:sizeAuto/>
                    <w:default w:val="0"/>
                  </w:checkBox>
                </w:ffData>
              </w:fldChar>
            </w:r>
            <w:r w:rsidRPr="00FF4D1E">
              <w:rPr>
                <w:rFonts w:ascii="Arial Narrow" w:hAnsi="Arial Narrow"/>
                <w:sz w:val="20"/>
              </w:rPr>
              <w:instrText xml:space="preserve"> FORMCHECKBOX </w:instrText>
            </w:r>
            <w:r w:rsidR="00534A2B">
              <w:rPr>
                <w:rFonts w:ascii="Arial Narrow" w:hAnsi="Arial Narrow"/>
                <w:sz w:val="20"/>
              </w:rPr>
            </w:r>
            <w:r w:rsidR="00534A2B">
              <w:rPr>
                <w:rFonts w:ascii="Arial Narrow" w:hAnsi="Arial Narrow"/>
                <w:sz w:val="20"/>
              </w:rPr>
              <w:fldChar w:fldCharType="separate"/>
            </w:r>
            <w:r w:rsidRPr="007B4B92">
              <w:rPr>
                <w:rFonts w:ascii="Arial Narrow" w:hAnsi="Arial Narrow"/>
                <w:sz w:val="20"/>
              </w:rPr>
              <w:fldChar w:fldCharType="end"/>
            </w:r>
            <w:r w:rsidRPr="00FF4D1E">
              <w:rPr>
                <w:rFonts w:ascii="Arial Narrow" w:hAnsi="Arial Narrow"/>
                <w:sz w:val="20"/>
              </w:rPr>
              <w:t>Authority Required - In Writing</w:t>
            </w:r>
          </w:p>
          <w:p w:rsidR="00B37B69" w:rsidRPr="00FF4D1E" w:rsidRDefault="00B37B69" w:rsidP="00B37B69">
            <w:pPr>
              <w:rPr>
                <w:rFonts w:ascii="Arial Narrow" w:hAnsi="Arial Narrow"/>
                <w:sz w:val="20"/>
              </w:rPr>
            </w:pPr>
            <w:r w:rsidRPr="007B4B92">
              <w:rPr>
                <w:rFonts w:ascii="Arial Narrow" w:hAnsi="Arial Narrow"/>
                <w:sz w:val="20"/>
              </w:rPr>
              <w:fldChar w:fldCharType="begin">
                <w:ffData>
                  <w:name w:val="Check3"/>
                  <w:enabled/>
                  <w:calcOnExit w:val="0"/>
                  <w:checkBox>
                    <w:sizeAuto/>
                    <w:default w:val="0"/>
                  </w:checkBox>
                </w:ffData>
              </w:fldChar>
            </w:r>
            <w:r w:rsidRPr="00FF4D1E">
              <w:rPr>
                <w:rFonts w:ascii="Arial Narrow" w:hAnsi="Arial Narrow"/>
                <w:sz w:val="20"/>
              </w:rPr>
              <w:instrText xml:space="preserve"> FORMCHECKBOX </w:instrText>
            </w:r>
            <w:r w:rsidR="00534A2B">
              <w:rPr>
                <w:rFonts w:ascii="Arial Narrow" w:hAnsi="Arial Narrow"/>
                <w:sz w:val="20"/>
              </w:rPr>
            </w:r>
            <w:r w:rsidR="00534A2B">
              <w:rPr>
                <w:rFonts w:ascii="Arial Narrow" w:hAnsi="Arial Narrow"/>
                <w:sz w:val="20"/>
              </w:rPr>
              <w:fldChar w:fldCharType="separate"/>
            </w:r>
            <w:r w:rsidRPr="007B4B92">
              <w:rPr>
                <w:rFonts w:ascii="Arial Narrow" w:hAnsi="Arial Narrow"/>
                <w:sz w:val="20"/>
              </w:rPr>
              <w:fldChar w:fldCharType="end"/>
            </w:r>
            <w:r w:rsidRPr="00FF4D1E">
              <w:rPr>
                <w:rFonts w:ascii="Arial Narrow" w:hAnsi="Arial Narrow"/>
                <w:sz w:val="20"/>
              </w:rPr>
              <w:t>Authority Required - Telephone</w:t>
            </w:r>
          </w:p>
          <w:p w:rsidR="00B37B69" w:rsidRPr="00FF4D1E" w:rsidRDefault="00B37B69" w:rsidP="00B37B69">
            <w:pPr>
              <w:rPr>
                <w:rFonts w:ascii="Arial Narrow" w:hAnsi="Arial Narrow"/>
                <w:sz w:val="20"/>
              </w:rPr>
            </w:pPr>
            <w:r w:rsidRPr="007B4B92">
              <w:rPr>
                <w:rFonts w:ascii="Arial Narrow" w:hAnsi="Arial Narrow"/>
                <w:sz w:val="20"/>
              </w:rPr>
              <w:fldChar w:fldCharType="begin">
                <w:ffData>
                  <w:name w:val=""/>
                  <w:enabled/>
                  <w:calcOnExit w:val="0"/>
                  <w:checkBox>
                    <w:sizeAuto/>
                    <w:default w:val="0"/>
                  </w:checkBox>
                </w:ffData>
              </w:fldChar>
            </w:r>
            <w:r w:rsidRPr="00FF4D1E">
              <w:rPr>
                <w:rFonts w:ascii="Arial Narrow" w:hAnsi="Arial Narrow"/>
                <w:sz w:val="20"/>
              </w:rPr>
              <w:instrText xml:space="preserve"> FORMCHECKBOX </w:instrText>
            </w:r>
            <w:r w:rsidR="00534A2B">
              <w:rPr>
                <w:rFonts w:ascii="Arial Narrow" w:hAnsi="Arial Narrow"/>
                <w:sz w:val="20"/>
              </w:rPr>
            </w:r>
            <w:r w:rsidR="00534A2B">
              <w:rPr>
                <w:rFonts w:ascii="Arial Narrow" w:hAnsi="Arial Narrow"/>
                <w:sz w:val="20"/>
              </w:rPr>
              <w:fldChar w:fldCharType="separate"/>
            </w:r>
            <w:r w:rsidRPr="007B4B92">
              <w:rPr>
                <w:rFonts w:ascii="Arial Narrow" w:hAnsi="Arial Narrow"/>
                <w:sz w:val="20"/>
              </w:rPr>
              <w:fldChar w:fldCharType="end"/>
            </w:r>
            <w:r w:rsidRPr="00FF4D1E">
              <w:rPr>
                <w:rFonts w:ascii="Arial Narrow" w:hAnsi="Arial Narrow"/>
                <w:sz w:val="20"/>
              </w:rPr>
              <w:t>Authority Required - Emergency</w:t>
            </w:r>
          </w:p>
          <w:p w:rsidR="00B37B69" w:rsidRPr="00FF4D1E" w:rsidRDefault="00B37B69" w:rsidP="00B37B69">
            <w:pPr>
              <w:rPr>
                <w:rFonts w:ascii="Arial Narrow" w:hAnsi="Arial Narrow"/>
                <w:sz w:val="20"/>
              </w:rPr>
            </w:pPr>
            <w:r w:rsidRPr="007B4B92">
              <w:rPr>
                <w:rFonts w:ascii="Arial Narrow" w:hAnsi="Arial Narrow"/>
                <w:sz w:val="20"/>
              </w:rPr>
              <w:fldChar w:fldCharType="begin">
                <w:ffData>
                  <w:name w:val="Check5"/>
                  <w:enabled/>
                  <w:calcOnExit w:val="0"/>
                  <w:checkBox>
                    <w:sizeAuto/>
                    <w:default w:val="0"/>
                  </w:checkBox>
                </w:ffData>
              </w:fldChar>
            </w:r>
            <w:r w:rsidRPr="00FF4D1E">
              <w:rPr>
                <w:rFonts w:ascii="Arial Narrow" w:hAnsi="Arial Narrow"/>
                <w:sz w:val="20"/>
              </w:rPr>
              <w:instrText xml:space="preserve"> FORMCHECKBOX </w:instrText>
            </w:r>
            <w:r w:rsidR="00534A2B">
              <w:rPr>
                <w:rFonts w:ascii="Arial Narrow" w:hAnsi="Arial Narrow"/>
                <w:sz w:val="20"/>
              </w:rPr>
            </w:r>
            <w:r w:rsidR="00534A2B">
              <w:rPr>
                <w:rFonts w:ascii="Arial Narrow" w:hAnsi="Arial Narrow"/>
                <w:sz w:val="20"/>
              </w:rPr>
              <w:fldChar w:fldCharType="separate"/>
            </w:r>
            <w:r w:rsidRPr="007B4B92">
              <w:rPr>
                <w:rFonts w:ascii="Arial Narrow" w:hAnsi="Arial Narrow"/>
                <w:sz w:val="20"/>
              </w:rPr>
              <w:fldChar w:fldCharType="end"/>
            </w:r>
            <w:r w:rsidRPr="00FF4D1E">
              <w:rPr>
                <w:rFonts w:ascii="Arial Narrow" w:hAnsi="Arial Narrow"/>
                <w:sz w:val="20"/>
              </w:rPr>
              <w:t>Authority Required - Electronic</w:t>
            </w:r>
          </w:p>
          <w:p w:rsidR="00B37B69" w:rsidRPr="00FF4D1E" w:rsidRDefault="00B37B69" w:rsidP="00B37B69">
            <w:pPr>
              <w:rPr>
                <w:rFonts w:ascii="Arial Narrow" w:hAnsi="Arial Narrow"/>
                <w:sz w:val="20"/>
              </w:rPr>
            </w:pPr>
            <w:r w:rsidRPr="007B4B92">
              <w:rPr>
                <w:rFonts w:ascii="Arial Narrow" w:hAnsi="Arial Narrow"/>
                <w:sz w:val="20"/>
              </w:rPr>
              <w:fldChar w:fldCharType="begin">
                <w:ffData>
                  <w:name w:val="Check5"/>
                  <w:enabled/>
                  <w:calcOnExit w:val="0"/>
                  <w:checkBox>
                    <w:sizeAuto/>
                    <w:default w:val="1"/>
                  </w:checkBox>
                </w:ffData>
              </w:fldChar>
            </w:r>
            <w:r w:rsidRPr="00FF4D1E">
              <w:rPr>
                <w:rFonts w:ascii="Arial Narrow" w:hAnsi="Arial Narrow"/>
                <w:sz w:val="20"/>
              </w:rPr>
              <w:instrText xml:space="preserve"> FORMCHECKBOX </w:instrText>
            </w:r>
            <w:r w:rsidR="00534A2B">
              <w:rPr>
                <w:rFonts w:ascii="Arial Narrow" w:hAnsi="Arial Narrow"/>
                <w:sz w:val="20"/>
              </w:rPr>
            </w:r>
            <w:r w:rsidR="00534A2B">
              <w:rPr>
                <w:rFonts w:ascii="Arial Narrow" w:hAnsi="Arial Narrow"/>
                <w:sz w:val="20"/>
              </w:rPr>
              <w:fldChar w:fldCharType="separate"/>
            </w:r>
            <w:r w:rsidRPr="007B4B92">
              <w:rPr>
                <w:rFonts w:ascii="Arial Narrow" w:hAnsi="Arial Narrow"/>
                <w:sz w:val="20"/>
              </w:rPr>
              <w:fldChar w:fldCharType="end"/>
            </w:r>
            <w:r w:rsidRPr="00FF4D1E">
              <w:rPr>
                <w:rFonts w:ascii="Arial Narrow" w:hAnsi="Arial Narrow"/>
                <w:sz w:val="20"/>
              </w:rPr>
              <w:t>Streamlined</w:t>
            </w:r>
          </w:p>
        </w:tc>
      </w:tr>
      <w:tr w:rsidR="00B37B69" w:rsidRPr="00FF4D1E" w:rsidTr="00B37B69">
        <w:trPr>
          <w:cantSplit/>
          <w:trHeight w:val="360"/>
        </w:trPr>
        <w:tc>
          <w:tcPr>
            <w:tcW w:w="2835" w:type="dxa"/>
            <w:tcBorders>
              <w:top w:val="single" w:sz="4" w:space="0" w:color="auto"/>
              <w:left w:val="single" w:sz="4" w:space="0" w:color="auto"/>
              <w:bottom w:val="single" w:sz="4" w:space="0" w:color="auto"/>
              <w:right w:val="single" w:sz="4" w:space="0" w:color="auto"/>
            </w:tcBorders>
          </w:tcPr>
          <w:p w:rsidR="00B37B69" w:rsidRPr="009A1DD8" w:rsidRDefault="00B37B69" w:rsidP="00B37B69">
            <w:pPr>
              <w:rPr>
                <w:rFonts w:ascii="Arial Narrow" w:hAnsi="Arial Narrow"/>
                <w:b/>
                <w:sz w:val="20"/>
              </w:rPr>
            </w:pPr>
            <w:r w:rsidRPr="00FF4D1E">
              <w:rPr>
                <w:rFonts w:ascii="Arial Narrow" w:hAnsi="Arial Narrow"/>
                <w:b/>
                <w:sz w:val="20"/>
              </w:rPr>
              <w:t>Treatment criteria:</w:t>
            </w:r>
          </w:p>
        </w:tc>
        <w:tc>
          <w:tcPr>
            <w:tcW w:w="6379" w:type="dxa"/>
            <w:gridSpan w:val="6"/>
            <w:tcBorders>
              <w:top w:val="single" w:sz="4" w:space="0" w:color="auto"/>
              <w:left w:val="single" w:sz="4" w:space="0" w:color="auto"/>
              <w:bottom w:val="single" w:sz="4" w:space="0" w:color="auto"/>
              <w:right w:val="single" w:sz="4" w:space="0" w:color="auto"/>
            </w:tcBorders>
          </w:tcPr>
          <w:p w:rsidR="00B37B69" w:rsidRPr="00AD41E0" w:rsidRDefault="00B37B69" w:rsidP="00B37B69">
            <w:pPr>
              <w:rPr>
                <w:rFonts w:ascii="Arial Narrow" w:hAnsi="Arial Narrow"/>
                <w:sz w:val="20"/>
              </w:rPr>
            </w:pPr>
            <w:r w:rsidRPr="007B4B92">
              <w:rPr>
                <w:rFonts w:ascii="Arial Narrow" w:hAnsi="Arial Narrow"/>
                <w:sz w:val="20"/>
              </w:rPr>
              <w:t>Must be treated by a neurologist.</w:t>
            </w:r>
          </w:p>
        </w:tc>
      </w:tr>
      <w:tr w:rsidR="00B37B69" w:rsidRPr="00FF4D1E" w:rsidTr="00B37B69">
        <w:trPr>
          <w:cantSplit/>
          <w:trHeight w:val="360"/>
        </w:trPr>
        <w:tc>
          <w:tcPr>
            <w:tcW w:w="2835" w:type="dxa"/>
            <w:tcBorders>
              <w:top w:val="single" w:sz="4" w:space="0" w:color="auto"/>
              <w:left w:val="single" w:sz="4" w:space="0" w:color="auto"/>
              <w:bottom w:val="single" w:sz="4" w:space="0" w:color="auto"/>
              <w:right w:val="single" w:sz="4" w:space="0" w:color="auto"/>
            </w:tcBorders>
          </w:tcPr>
          <w:p w:rsidR="00B37B69" w:rsidRPr="00FF4D1E" w:rsidRDefault="00B37B69" w:rsidP="00B37B69">
            <w:pPr>
              <w:rPr>
                <w:rFonts w:ascii="Arial Narrow" w:hAnsi="Arial Narrow"/>
                <w:b/>
                <w:sz w:val="20"/>
              </w:rPr>
            </w:pPr>
            <w:r w:rsidRPr="00FF4D1E">
              <w:rPr>
                <w:rFonts w:ascii="Arial Narrow" w:hAnsi="Arial Narrow"/>
                <w:b/>
                <w:sz w:val="20"/>
              </w:rPr>
              <w:t>Clinical criteria:</w:t>
            </w:r>
          </w:p>
          <w:p w:rsidR="00B37B69" w:rsidRPr="00FF4D1E" w:rsidRDefault="00B37B69" w:rsidP="00B37B69">
            <w:pPr>
              <w:rPr>
                <w:rFonts w:ascii="Arial Narrow" w:hAnsi="Arial Narrow"/>
                <w:i/>
                <w:sz w:val="20"/>
              </w:rPr>
            </w:pPr>
          </w:p>
          <w:p w:rsidR="00B37B69" w:rsidRPr="00AD41E0" w:rsidRDefault="00B37B69" w:rsidP="00B37B69">
            <w:pPr>
              <w:rPr>
                <w:rFonts w:ascii="Arial Narrow" w:hAnsi="Arial Narrow"/>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B37B69" w:rsidRPr="007B4B92" w:rsidRDefault="00B37B69" w:rsidP="00B37B69">
            <w:pPr>
              <w:pStyle w:val="Table"/>
              <w:rPr>
                <w:rFonts w:ascii="Arial Narrow" w:hAnsi="Arial Narrow"/>
                <w:strike/>
                <w:szCs w:val="20"/>
                <w:u w:val="single"/>
              </w:rPr>
            </w:pPr>
            <w:r w:rsidRPr="007B4B92">
              <w:rPr>
                <w:rFonts w:ascii="Arial Narrow" w:hAnsi="Arial Narrow"/>
                <w:strike/>
                <w:szCs w:val="20"/>
                <w:u w:val="single"/>
              </w:rPr>
              <w:t>Intractable partial epileptic seizures</w:t>
            </w:r>
          </w:p>
          <w:p w:rsidR="00B37B69" w:rsidRPr="007B4B92" w:rsidRDefault="00B37B69" w:rsidP="00B37B69">
            <w:pPr>
              <w:pStyle w:val="xmsonormal"/>
              <w:shd w:val="clear" w:color="auto" w:fill="FFFFFF"/>
              <w:spacing w:before="0" w:beforeAutospacing="0" w:after="0" w:afterAutospacing="0"/>
              <w:rPr>
                <w:rFonts w:ascii="Arial Narrow" w:hAnsi="Arial Narrow"/>
                <w:sz w:val="20"/>
                <w:szCs w:val="20"/>
              </w:rPr>
            </w:pPr>
            <w:r w:rsidRPr="007B4B92">
              <w:rPr>
                <w:rFonts w:ascii="Arial Narrow" w:hAnsi="Arial Narrow"/>
                <w:sz w:val="20"/>
                <w:szCs w:val="20"/>
              </w:rPr>
              <w:t>The condition must have failed to be controlled satisfactorily by other anti-epileptic drugs, which includes at least one first-line anti-epileptic agent and at least two second-line adjunctive anti-epileptic agents.</w:t>
            </w:r>
          </w:p>
          <w:p w:rsidR="00B37B69" w:rsidRPr="007B4B92" w:rsidRDefault="00B37B69" w:rsidP="00B37B69">
            <w:pPr>
              <w:pStyle w:val="xmsonormal"/>
              <w:shd w:val="clear" w:color="auto" w:fill="FFFFFF"/>
              <w:spacing w:before="0" w:beforeAutospacing="0" w:after="0" w:afterAutospacing="0"/>
              <w:rPr>
                <w:rFonts w:ascii="Arial Narrow" w:hAnsi="Arial Narrow"/>
                <w:sz w:val="20"/>
                <w:szCs w:val="20"/>
              </w:rPr>
            </w:pPr>
          </w:p>
          <w:p w:rsidR="00B37B69" w:rsidRPr="007B4B92" w:rsidRDefault="00B37B69" w:rsidP="00B37B69">
            <w:pPr>
              <w:pStyle w:val="xmsonormal"/>
              <w:shd w:val="clear" w:color="auto" w:fill="FFFFFF"/>
              <w:spacing w:before="0" w:beforeAutospacing="0" w:after="0" w:afterAutospacing="0"/>
              <w:rPr>
                <w:rFonts w:ascii="Arial Narrow" w:hAnsi="Arial Narrow"/>
                <w:sz w:val="20"/>
                <w:szCs w:val="20"/>
              </w:rPr>
            </w:pPr>
            <w:r w:rsidRPr="007B4B92">
              <w:rPr>
                <w:rFonts w:ascii="Arial Narrow" w:hAnsi="Arial Narrow"/>
                <w:sz w:val="20"/>
                <w:szCs w:val="20"/>
              </w:rPr>
              <w:t>OR</w:t>
            </w:r>
          </w:p>
          <w:p w:rsidR="00B37B69" w:rsidRPr="007B4B92" w:rsidRDefault="00B37B69" w:rsidP="00B37B69">
            <w:pPr>
              <w:rPr>
                <w:rFonts w:ascii="Arial Narrow" w:hAnsi="Arial Narrow"/>
                <w:sz w:val="20"/>
              </w:rPr>
            </w:pPr>
          </w:p>
          <w:p w:rsidR="00B37B69" w:rsidRPr="00FF4D1E" w:rsidRDefault="00B37B69" w:rsidP="00B37B69">
            <w:pPr>
              <w:rPr>
                <w:rFonts w:ascii="Arial Narrow" w:hAnsi="Arial Narrow"/>
                <w:sz w:val="20"/>
              </w:rPr>
            </w:pPr>
            <w:r w:rsidRPr="007B4B92">
              <w:rPr>
                <w:rFonts w:ascii="Arial Narrow" w:hAnsi="Arial Narrow"/>
                <w:sz w:val="20"/>
              </w:rPr>
              <w:t xml:space="preserve">The condition </w:t>
            </w:r>
            <w:r w:rsidRPr="007B4B92">
              <w:rPr>
                <w:rFonts w:ascii="Arial Narrow" w:hAnsi="Arial Narrow"/>
                <w:strike/>
                <w:sz w:val="20"/>
              </w:rPr>
              <w:t>is</w:t>
            </w:r>
            <w:r w:rsidRPr="007B4B92">
              <w:rPr>
                <w:rFonts w:ascii="Arial Narrow" w:hAnsi="Arial Narrow"/>
                <w:sz w:val="20"/>
              </w:rPr>
              <w:t xml:space="preserve"> </w:t>
            </w:r>
            <w:r w:rsidRPr="007B4B92">
              <w:rPr>
                <w:rFonts w:ascii="Arial Narrow" w:hAnsi="Arial Narrow"/>
                <w:i/>
                <w:sz w:val="20"/>
              </w:rPr>
              <w:t>must be</w:t>
            </w:r>
            <w:r w:rsidRPr="007B4B92">
              <w:rPr>
                <w:rFonts w:ascii="Arial Narrow" w:hAnsi="Arial Narrow"/>
                <w:sz w:val="20"/>
              </w:rPr>
              <w:t xml:space="preserve"> controlled satisfactorily by </w:t>
            </w:r>
            <w:proofErr w:type="spellStart"/>
            <w:r w:rsidRPr="007B4B92">
              <w:rPr>
                <w:rFonts w:ascii="Arial Narrow" w:hAnsi="Arial Narrow"/>
                <w:sz w:val="20"/>
              </w:rPr>
              <w:t>levetiracetam</w:t>
            </w:r>
            <w:proofErr w:type="spellEnd"/>
            <w:r w:rsidRPr="007B4B92">
              <w:rPr>
                <w:rFonts w:ascii="Arial Narrow" w:hAnsi="Arial Narrow"/>
                <w:sz w:val="20"/>
              </w:rPr>
              <w:t xml:space="preserve"> but the patient </w:t>
            </w:r>
            <w:r w:rsidRPr="007B4B92">
              <w:rPr>
                <w:rFonts w:ascii="Arial Narrow" w:hAnsi="Arial Narrow"/>
                <w:strike/>
                <w:sz w:val="20"/>
              </w:rPr>
              <w:t>is</w:t>
            </w:r>
            <w:r w:rsidRPr="007B4B92">
              <w:rPr>
                <w:rFonts w:ascii="Arial Narrow" w:hAnsi="Arial Narrow"/>
                <w:sz w:val="20"/>
              </w:rPr>
              <w:t xml:space="preserve"> </w:t>
            </w:r>
            <w:r>
              <w:rPr>
                <w:rFonts w:ascii="Arial Narrow" w:hAnsi="Arial Narrow"/>
                <w:i/>
                <w:sz w:val="20"/>
              </w:rPr>
              <w:t xml:space="preserve">must be </w:t>
            </w:r>
            <w:r w:rsidRPr="007B4B92">
              <w:rPr>
                <w:rFonts w:ascii="Arial Narrow" w:hAnsi="Arial Narrow"/>
                <w:sz w:val="20"/>
              </w:rPr>
              <w:t>unable to tolerate continued use due to adverse effects.</w:t>
            </w:r>
          </w:p>
          <w:p w:rsidR="00B37B69" w:rsidRPr="00FF4D1E" w:rsidRDefault="00B37B69" w:rsidP="00B37B69">
            <w:pPr>
              <w:rPr>
                <w:rFonts w:ascii="Arial Narrow" w:hAnsi="Arial Narrow"/>
                <w:sz w:val="20"/>
              </w:rPr>
            </w:pPr>
          </w:p>
        </w:tc>
      </w:tr>
      <w:tr w:rsidR="00B37B69" w:rsidRPr="00FF4D1E" w:rsidTr="00B37B69">
        <w:trPr>
          <w:cantSplit/>
          <w:trHeight w:val="360"/>
        </w:trPr>
        <w:tc>
          <w:tcPr>
            <w:tcW w:w="2835" w:type="dxa"/>
            <w:tcBorders>
              <w:top w:val="single" w:sz="4" w:space="0" w:color="auto"/>
              <w:left w:val="single" w:sz="4" w:space="0" w:color="auto"/>
              <w:bottom w:val="single" w:sz="4" w:space="0" w:color="auto"/>
              <w:right w:val="single" w:sz="4" w:space="0" w:color="auto"/>
            </w:tcBorders>
          </w:tcPr>
          <w:p w:rsidR="00B37B69" w:rsidRPr="00FF4D1E" w:rsidRDefault="00B37B69" w:rsidP="00B37B69">
            <w:pPr>
              <w:rPr>
                <w:rFonts w:ascii="Arial Narrow" w:hAnsi="Arial Narrow"/>
                <w:b/>
                <w:sz w:val="20"/>
              </w:rPr>
            </w:pPr>
            <w:r w:rsidRPr="00FF4D1E">
              <w:rPr>
                <w:rFonts w:ascii="Arial Narrow" w:hAnsi="Arial Narrow"/>
                <w:b/>
                <w:sz w:val="20"/>
              </w:rPr>
              <w:t>Population criteria:</w:t>
            </w:r>
          </w:p>
          <w:p w:rsidR="00B37B69" w:rsidRPr="00FF4D1E" w:rsidRDefault="00B37B69" w:rsidP="00B37B69">
            <w:pPr>
              <w:rPr>
                <w:rFonts w:ascii="Arial Narrow" w:hAnsi="Arial Narrow"/>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B37B69" w:rsidRPr="00FF4D1E" w:rsidRDefault="00B37B69" w:rsidP="00B37B69">
            <w:pPr>
              <w:rPr>
                <w:rFonts w:ascii="Arial Narrow" w:hAnsi="Arial Narrow"/>
                <w:sz w:val="20"/>
              </w:rPr>
            </w:pPr>
            <w:r w:rsidRPr="007B4B92">
              <w:rPr>
                <w:rFonts w:ascii="Arial Narrow" w:hAnsi="Arial Narrow"/>
                <w:sz w:val="20"/>
              </w:rPr>
              <w:t>Patient must be aged 16 years or older.</w:t>
            </w:r>
          </w:p>
        </w:tc>
      </w:tr>
      <w:tr w:rsidR="00B37B69" w:rsidRPr="00FF4D1E" w:rsidTr="00B37B69">
        <w:trPr>
          <w:cantSplit/>
          <w:trHeight w:val="360"/>
        </w:trPr>
        <w:tc>
          <w:tcPr>
            <w:tcW w:w="2835" w:type="dxa"/>
            <w:tcBorders>
              <w:top w:val="single" w:sz="4" w:space="0" w:color="auto"/>
              <w:left w:val="single" w:sz="4" w:space="0" w:color="auto"/>
              <w:bottom w:val="single" w:sz="4" w:space="0" w:color="auto"/>
              <w:right w:val="single" w:sz="4" w:space="0" w:color="auto"/>
            </w:tcBorders>
          </w:tcPr>
          <w:p w:rsidR="00B37B69" w:rsidRPr="00FF4D1E" w:rsidRDefault="00B37B69" w:rsidP="00B37B69">
            <w:pPr>
              <w:rPr>
                <w:rFonts w:ascii="Arial Narrow" w:hAnsi="Arial Narrow"/>
                <w:b/>
                <w:sz w:val="20"/>
              </w:rPr>
            </w:pPr>
            <w:r w:rsidRPr="00FF4D1E">
              <w:rPr>
                <w:rFonts w:ascii="Arial Narrow" w:hAnsi="Arial Narrow"/>
                <w:b/>
                <w:sz w:val="20"/>
              </w:rPr>
              <w:lastRenderedPageBreak/>
              <w:t>Administrative Advice</w:t>
            </w:r>
          </w:p>
          <w:p w:rsidR="00B37B69" w:rsidRPr="00FF4D1E" w:rsidRDefault="00B37B69" w:rsidP="00B37B69">
            <w:pPr>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B37B69" w:rsidRDefault="00B37B69" w:rsidP="00B37B69">
            <w:pPr>
              <w:rPr>
                <w:rFonts w:ascii="Arial Narrow" w:hAnsi="Arial Narrow"/>
                <w:i/>
                <w:sz w:val="20"/>
              </w:rPr>
            </w:pPr>
            <w:r w:rsidRPr="007B4B92">
              <w:rPr>
                <w:rFonts w:ascii="Arial Narrow" w:hAnsi="Arial Narrow"/>
                <w:i/>
                <w:sz w:val="20"/>
              </w:rPr>
              <w:t>Continuing therapy only:  For prescribing by nurse practitioners as continuing therapy only, where the treatment of, and prescribing of medicine for, a patient has been initiated by a medical practitioner. Further information can be found in the Explanatory Notes for Nurse Practitioners.</w:t>
            </w:r>
          </w:p>
          <w:p w:rsidR="00B37B69" w:rsidRDefault="00B37B69" w:rsidP="00B37B69">
            <w:pPr>
              <w:rPr>
                <w:rFonts w:ascii="Arial Narrow" w:hAnsi="Arial Narrow"/>
                <w:i/>
                <w:sz w:val="20"/>
              </w:rPr>
            </w:pPr>
          </w:p>
          <w:p w:rsidR="00B37B69" w:rsidRPr="007B4B92" w:rsidRDefault="00B37B69" w:rsidP="00B37B69">
            <w:pPr>
              <w:rPr>
                <w:rFonts w:ascii="Arial Narrow" w:hAnsi="Arial Narrow"/>
                <w:i/>
                <w:sz w:val="20"/>
              </w:rPr>
            </w:pPr>
            <w:r w:rsidRPr="00602AF1">
              <w:rPr>
                <w:rFonts w:ascii="Arial Narrow" w:hAnsi="Arial Narrow"/>
                <w:i/>
                <w:sz w:val="20"/>
              </w:rPr>
              <w:t>Special Pricing Arrangements apply</w:t>
            </w:r>
          </w:p>
        </w:tc>
      </w:tr>
    </w:tbl>
    <w:p w:rsidR="00B37B69" w:rsidRPr="00F8042B" w:rsidRDefault="00B37B69" w:rsidP="00B37B69">
      <w:pPr>
        <w:rPr>
          <w:rStyle w:val="IntenseReference"/>
          <w:b w:val="0"/>
          <w:bCs w:val="0"/>
          <w:i w:val="0"/>
          <w:smallCaps w:val="0"/>
          <w:color w:val="auto"/>
        </w:rPr>
      </w:pPr>
    </w:p>
    <w:tbl>
      <w:tblPr>
        <w:tblW w:w="9214" w:type="dxa"/>
        <w:tblInd w:w="108" w:type="dxa"/>
        <w:tblLook w:val="0000" w:firstRow="0" w:lastRow="0" w:firstColumn="0" w:lastColumn="0" w:noHBand="0" w:noVBand="0"/>
      </w:tblPr>
      <w:tblGrid>
        <w:gridCol w:w="2835"/>
        <w:gridCol w:w="426"/>
        <w:gridCol w:w="850"/>
        <w:gridCol w:w="567"/>
        <w:gridCol w:w="1418"/>
        <w:gridCol w:w="1417"/>
        <w:gridCol w:w="1701"/>
      </w:tblGrid>
      <w:tr w:rsidR="00B37B69" w:rsidRPr="00FF4D1E" w:rsidTr="00B37B69">
        <w:trPr>
          <w:cantSplit/>
          <w:trHeight w:val="471"/>
        </w:trPr>
        <w:tc>
          <w:tcPr>
            <w:tcW w:w="3261" w:type="dxa"/>
            <w:gridSpan w:val="2"/>
            <w:tcBorders>
              <w:bottom w:val="single" w:sz="4" w:space="0" w:color="auto"/>
            </w:tcBorders>
          </w:tcPr>
          <w:p w:rsidR="00B37B69" w:rsidRPr="00FF4D1E" w:rsidRDefault="00B37B69" w:rsidP="00B37B69">
            <w:pPr>
              <w:keepNext/>
              <w:ind w:left="-108"/>
              <w:rPr>
                <w:rFonts w:ascii="Arial Narrow" w:hAnsi="Arial Narrow"/>
                <w:sz w:val="20"/>
              </w:rPr>
            </w:pPr>
            <w:r w:rsidRPr="00FF4D1E">
              <w:rPr>
                <w:rFonts w:ascii="Arial Narrow" w:hAnsi="Arial Narrow"/>
                <w:sz w:val="20"/>
              </w:rPr>
              <w:t>Name, Restriction,</w:t>
            </w:r>
          </w:p>
          <w:p w:rsidR="00B37B69" w:rsidRPr="00AD41E0" w:rsidRDefault="00B37B69" w:rsidP="00B37B69">
            <w:pPr>
              <w:keepNext/>
              <w:ind w:left="-108"/>
              <w:rPr>
                <w:rFonts w:ascii="Arial Narrow" w:hAnsi="Arial Narrow"/>
                <w:sz w:val="20"/>
              </w:rPr>
            </w:pPr>
            <w:r w:rsidRPr="00AD41E0">
              <w:rPr>
                <w:rFonts w:ascii="Arial Narrow" w:hAnsi="Arial Narrow"/>
                <w:sz w:val="20"/>
              </w:rPr>
              <w:t>Manner of administration and form</w:t>
            </w:r>
          </w:p>
        </w:tc>
        <w:tc>
          <w:tcPr>
            <w:tcW w:w="850" w:type="dxa"/>
            <w:tcBorders>
              <w:bottom w:val="single" w:sz="4" w:space="0" w:color="auto"/>
            </w:tcBorders>
          </w:tcPr>
          <w:p w:rsidR="00B37B69" w:rsidRPr="00D86C32" w:rsidRDefault="00B37B69" w:rsidP="00B37B69">
            <w:pPr>
              <w:keepNext/>
              <w:ind w:left="-108"/>
              <w:rPr>
                <w:rFonts w:ascii="Arial Narrow" w:hAnsi="Arial Narrow"/>
                <w:sz w:val="20"/>
              </w:rPr>
            </w:pPr>
            <w:r w:rsidRPr="00D86C32">
              <w:rPr>
                <w:rFonts w:ascii="Arial Narrow" w:hAnsi="Arial Narrow"/>
                <w:sz w:val="20"/>
              </w:rPr>
              <w:t>Max.</w:t>
            </w:r>
          </w:p>
          <w:p w:rsidR="00B37B69" w:rsidRPr="00F275D3" w:rsidRDefault="00B37B69" w:rsidP="00B37B69">
            <w:pPr>
              <w:keepNext/>
              <w:ind w:left="-108"/>
              <w:rPr>
                <w:rFonts w:ascii="Arial Narrow" w:hAnsi="Arial Narrow"/>
                <w:sz w:val="20"/>
              </w:rPr>
            </w:pPr>
            <w:r w:rsidRPr="00666657">
              <w:rPr>
                <w:rFonts w:ascii="Arial Narrow" w:hAnsi="Arial Narrow"/>
                <w:sz w:val="20"/>
              </w:rPr>
              <w:t>Qty</w:t>
            </w:r>
          </w:p>
        </w:tc>
        <w:tc>
          <w:tcPr>
            <w:tcW w:w="567" w:type="dxa"/>
            <w:tcBorders>
              <w:bottom w:val="single" w:sz="4" w:space="0" w:color="auto"/>
            </w:tcBorders>
          </w:tcPr>
          <w:p w:rsidR="00B37B69" w:rsidRPr="00FF4D1E" w:rsidRDefault="00B37B69" w:rsidP="00B37B69">
            <w:pPr>
              <w:keepNext/>
              <w:ind w:left="-108"/>
              <w:rPr>
                <w:rFonts w:ascii="Arial Narrow" w:hAnsi="Arial Narrow"/>
                <w:sz w:val="20"/>
              </w:rPr>
            </w:pPr>
            <w:r w:rsidRPr="00FF4D1E">
              <w:rPr>
                <w:rFonts w:ascii="Arial Narrow" w:hAnsi="Arial Narrow"/>
                <w:sz w:val="20"/>
              </w:rPr>
              <w:t>№.of</w:t>
            </w:r>
          </w:p>
          <w:p w:rsidR="00B37B69" w:rsidRPr="00FF4D1E" w:rsidRDefault="00B37B69" w:rsidP="00B37B69">
            <w:pPr>
              <w:keepNext/>
              <w:ind w:left="-108"/>
              <w:rPr>
                <w:rFonts w:ascii="Arial Narrow" w:hAnsi="Arial Narrow"/>
                <w:sz w:val="20"/>
              </w:rPr>
            </w:pPr>
            <w:r w:rsidRPr="00FF4D1E">
              <w:rPr>
                <w:rFonts w:ascii="Arial Narrow" w:hAnsi="Arial Narrow"/>
                <w:sz w:val="20"/>
              </w:rPr>
              <w:t>Rpts</w:t>
            </w:r>
          </w:p>
        </w:tc>
        <w:tc>
          <w:tcPr>
            <w:tcW w:w="1418" w:type="dxa"/>
            <w:tcBorders>
              <w:bottom w:val="single" w:sz="4" w:space="0" w:color="auto"/>
            </w:tcBorders>
          </w:tcPr>
          <w:p w:rsidR="00B37B69" w:rsidRPr="00FF4D1E" w:rsidRDefault="00B37B69" w:rsidP="00B37B69">
            <w:pPr>
              <w:keepNext/>
              <w:ind w:left="-108"/>
              <w:rPr>
                <w:rFonts w:ascii="Arial Narrow" w:hAnsi="Arial Narrow"/>
                <w:sz w:val="20"/>
              </w:rPr>
            </w:pPr>
            <w:r w:rsidRPr="00FF4D1E">
              <w:rPr>
                <w:rFonts w:ascii="Arial Narrow" w:hAnsi="Arial Narrow"/>
                <w:sz w:val="20"/>
              </w:rPr>
              <w:t>Dispensed Price for Max. Qty</w:t>
            </w:r>
          </w:p>
        </w:tc>
        <w:tc>
          <w:tcPr>
            <w:tcW w:w="3118" w:type="dxa"/>
            <w:gridSpan w:val="2"/>
            <w:tcBorders>
              <w:bottom w:val="single" w:sz="4" w:space="0" w:color="auto"/>
            </w:tcBorders>
          </w:tcPr>
          <w:p w:rsidR="00B37B69" w:rsidRPr="00FF4D1E" w:rsidRDefault="00B37B69" w:rsidP="00B37B69">
            <w:pPr>
              <w:keepNext/>
              <w:rPr>
                <w:rFonts w:ascii="Arial Narrow" w:hAnsi="Arial Narrow"/>
                <w:sz w:val="20"/>
                <w:lang w:val="fr-FR"/>
              </w:rPr>
            </w:pPr>
            <w:r w:rsidRPr="00FF4D1E">
              <w:rPr>
                <w:rFonts w:ascii="Arial Narrow" w:hAnsi="Arial Narrow"/>
                <w:sz w:val="20"/>
              </w:rPr>
              <w:t>Proprietary Name and Manufacturer</w:t>
            </w:r>
          </w:p>
        </w:tc>
      </w:tr>
      <w:tr w:rsidR="00B37B69" w:rsidRPr="00FF4D1E" w:rsidTr="00B37B69">
        <w:trPr>
          <w:cantSplit/>
          <w:trHeight w:val="577"/>
        </w:trPr>
        <w:tc>
          <w:tcPr>
            <w:tcW w:w="3261" w:type="dxa"/>
            <w:gridSpan w:val="2"/>
          </w:tcPr>
          <w:p w:rsidR="00B37B69" w:rsidRPr="007B4B92" w:rsidRDefault="00B37B69" w:rsidP="00B37B69">
            <w:pPr>
              <w:keepNext/>
              <w:ind w:left="-108"/>
              <w:rPr>
                <w:rFonts w:ascii="Arial Narrow" w:hAnsi="Arial Narrow"/>
                <w:sz w:val="20"/>
              </w:rPr>
            </w:pPr>
            <w:r w:rsidRPr="007B4B92">
              <w:rPr>
                <w:rFonts w:ascii="Arial Narrow" w:hAnsi="Arial Narrow"/>
                <w:smallCaps/>
                <w:sz w:val="20"/>
              </w:rPr>
              <w:t>BRIVARACETAM</w:t>
            </w:r>
          </w:p>
          <w:p w:rsidR="00B37B69" w:rsidRPr="007B4B92" w:rsidRDefault="00B37B69" w:rsidP="007A258D">
            <w:pPr>
              <w:keepNext/>
              <w:ind w:left="-108"/>
              <w:rPr>
                <w:rFonts w:ascii="Arial Narrow" w:hAnsi="Arial Narrow"/>
                <w:sz w:val="20"/>
              </w:rPr>
            </w:pPr>
            <w:r w:rsidRPr="007B4B92">
              <w:rPr>
                <w:rFonts w:ascii="Arial Narrow" w:hAnsi="Arial Narrow"/>
                <w:sz w:val="20"/>
              </w:rPr>
              <w:t>10</w:t>
            </w:r>
            <w:r>
              <w:rPr>
                <w:rFonts w:ascii="Arial Narrow" w:hAnsi="Arial Narrow"/>
                <w:sz w:val="20"/>
              </w:rPr>
              <w:t> </w:t>
            </w:r>
            <w:r w:rsidRPr="007B4B92">
              <w:rPr>
                <w:rFonts w:ascii="Arial Narrow" w:hAnsi="Arial Narrow"/>
                <w:sz w:val="20"/>
              </w:rPr>
              <w:t>mg/m</w:t>
            </w:r>
            <w:r>
              <w:rPr>
                <w:rFonts w:ascii="Arial Narrow" w:hAnsi="Arial Narrow"/>
                <w:sz w:val="20"/>
              </w:rPr>
              <w:t>L</w:t>
            </w:r>
            <w:r w:rsidRPr="007B4B92">
              <w:rPr>
                <w:rFonts w:ascii="Arial Narrow" w:hAnsi="Arial Narrow"/>
                <w:sz w:val="20"/>
              </w:rPr>
              <w:t xml:space="preserve"> </w:t>
            </w:r>
            <w:r w:rsidRPr="00FF4D1E">
              <w:rPr>
                <w:rFonts w:ascii="Arial Narrow" w:hAnsi="Arial Narrow"/>
                <w:sz w:val="20"/>
              </w:rPr>
              <w:t>300</w:t>
            </w:r>
            <w:r>
              <w:rPr>
                <w:rFonts w:ascii="Arial Narrow" w:hAnsi="Arial Narrow"/>
                <w:sz w:val="20"/>
              </w:rPr>
              <w:t> </w:t>
            </w:r>
            <w:r w:rsidRPr="00FF4D1E">
              <w:rPr>
                <w:rFonts w:ascii="Arial Narrow" w:hAnsi="Arial Narrow"/>
                <w:sz w:val="20"/>
              </w:rPr>
              <w:t>m</w:t>
            </w:r>
            <w:r>
              <w:rPr>
                <w:rFonts w:ascii="Arial Narrow" w:hAnsi="Arial Narrow"/>
                <w:sz w:val="20"/>
              </w:rPr>
              <w:t>L</w:t>
            </w:r>
            <w:r w:rsidRPr="00FF4D1E">
              <w:rPr>
                <w:rFonts w:ascii="Arial Narrow" w:hAnsi="Arial Narrow"/>
                <w:sz w:val="20"/>
              </w:rPr>
              <w:t xml:space="preserve"> bottle</w:t>
            </w:r>
          </w:p>
          <w:p w:rsidR="00B37B69" w:rsidRPr="00FF4D1E" w:rsidRDefault="00B37B69" w:rsidP="00B37B69">
            <w:pPr>
              <w:keepNext/>
              <w:rPr>
                <w:rFonts w:ascii="Arial Narrow" w:hAnsi="Arial Narrow"/>
                <w:sz w:val="20"/>
              </w:rPr>
            </w:pPr>
          </w:p>
        </w:tc>
        <w:tc>
          <w:tcPr>
            <w:tcW w:w="850" w:type="dxa"/>
          </w:tcPr>
          <w:p w:rsidR="00B37B69" w:rsidRPr="00FF4D1E" w:rsidRDefault="00B37B69" w:rsidP="00B37B69">
            <w:pPr>
              <w:keepNext/>
              <w:ind w:left="-108"/>
              <w:rPr>
                <w:rFonts w:ascii="Arial Narrow" w:hAnsi="Arial Narrow"/>
                <w:sz w:val="20"/>
              </w:rPr>
            </w:pPr>
          </w:p>
          <w:p w:rsidR="00B37B69" w:rsidRPr="00AD41E0" w:rsidRDefault="00B37B69" w:rsidP="00B37B69">
            <w:pPr>
              <w:keepNext/>
              <w:ind w:left="-108"/>
              <w:rPr>
                <w:rFonts w:ascii="Arial Narrow" w:hAnsi="Arial Narrow"/>
                <w:sz w:val="20"/>
              </w:rPr>
            </w:pPr>
            <w:r w:rsidRPr="00AD41E0">
              <w:rPr>
                <w:rFonts w:ascii="Arial Narrow" w:hAnsi="Arial Narrow"/>
                <w:sz w:val="20"/>
              </w:rPr>
              <w:t>1</w:t>
            </w:r>
          </w:p>
        </w:tc>
        <w:tc>
          <w:tcPr>
            <w:tcW w:w="567" w:type="dxa"/>
          </w:tcPr>
          <w:p w:rsidR="00B37B69" w:rsidRPr="00D86C32" w:rsidRDefault="00B37B69" w:rsidP="00B37B69">
            <w:pPr>
              <w:keepNext/>
              <w:ind w:left="-108"/>
              <w:rPr>
                <w:rFonts w:ascii="Arial Narrow" w:hAnsi="Arial Narrow"/>
                <w:sz w:val="20"/>
              </w:rPr>
            </w:pPr>
          </w:p>
          <w:p w:rsidR="00B37B69" w:rsidRPr="00F275D3" w:rsidRDefault="00B37B69" w:rsidP="00B37B69">
            <w:pPr>
              <w:keepNext/>
              <w:ind w:left="-108"/>
              <w:rPr>
                <w:rFonts w:ascii="Arial Narrow" w:hAnsi="Arial Narrow"/>
                <w:sz w:val="20"/>
              </w:rPr>
            </w:pPr>
            <w:r w:rsidRPr="00666657">
              <w:rPr>
                <w:rFonts w:ascii="Arial Narrow" w:hAnsi="Arial Narrow"/>
                <w:sz w:val="20"/>
              </w:rPr>
              <w:t>12</w:t>
            </w:r>
          </w:p>
        </w:tc>
        <w:tc>
          <w:tcPr>
            <w:tcW w:w="1418" w:type="dxa"/>
          </w:tcPr>
          <w:p w:rsidR="00B37B69" w:rsidRPr="00FF4D1E" w:rsidRDefault="00B37B69" w:rsidP="00B37B69">
            <w:pPr>
              <w:keepNext/>
              <w:ind w:left="-108"/>
              <w:rPr>
                <w:rFonts w:ascii="Arial Narrow" w:hAnsi="Arial Narrow"/>
                <w:sz w:val="20"/>
              </w:rPr>
            </w:pPr>
          </w:p>
          <w:p w:rsidR="00B37B69" w:rsidRPr="00FF4D1E" w:rsidRDefault="00B37B69" w:rsidP="00B37B69">
            <w:pPr>
              <w:keepNext/>
              <w:ind w:left="-108"/>
              <w:rPr>
                <w:rFonts w:ascii="Arial Narrow" w:hAnsi="Arial Narrow"/>
                <w:sz w:val="20"/>
              </w:rPr>
            </w:pPr>
            <w:r w:rsidRPr="007B4B92">
              <w:rPr>
                <w:rFonts w:ascii="Arial Narrow" w:hAnsi="Arial Narrow"/>
                <w:sz w:val="20"/>
              </w:rPr>
              <w:t>$</w:t>
            </w:r>
            <w:r w:rsidR="00534A2B">
              <w:rPr>
                <w:rFonts w:ascii="Arial Narrow" w:hAnsi="Arial Narrow"/>
                <w:noProof/>
                <w:color w:val="000000"/>
                <w:sz w:val="20"/>
                <w:highlight w:val="black"/>
              </w:rPr>
              <w:t>'''''''''''''''</w:t>
            </w:r>
          </w:p>
        </w:tc>
        <w:tc>
          <w:tcPr>
            <w:tcW w:w="1417" w:type="dxa"/>
          </w:tcPr>
          <w:p w:rsidR="00B37B69" w:rsidRPr="007B4B92" w:rsidRDefault="00B37B69" w:rsidP="00B37B69">
            <w:pPr>
              <w:keepNext/>
              <w:jc w:val="center"/>
              <w:rPr>
                <w:rFonts w:ascii="Arial Narrow" w:hAnsi="Arial Narrow"/>
                <w:sz w:val="20"/>
              </w:rPr>
            </w:pPr>
          </w:p>
          <w:p w:rsidR="00B37B69" w:rsidRPr="007B4B92" w:rsidRDefault="00B37B69" w:rsidP="00B37B69">
            <w:pPr>
              <w:keepNext/>
              <w:jc w:val="center"/>
              <w:rPr>
                <w:rFonts w:ascii="Arial Narrow" w:hAnsi="Arial Narrow"/>
                <w:sz w:val="20"/>
              </w:rPr>
            </w:pPr>
            <w:r w:rsidRPr="007B4B92">
              <w:rPr>
                <w:rFonts w:ascii="Arial Narrow" w:hAnsi="Arial Narrow"/>
                <w:sz w:val="20"/>
              </w:rPr>
              <w:t>BRIVIACT</w:t>
            </w:r>
          </w:p>
        </w:tc>
        <w:tc>
          <w:tcPr>
            <w:tcW w:w="1701" w:type="dxa"/>
          </w:tcPr>
          <w:p w:rsidR="00B37B69" w:rsidRDefault="00B37B69" w:rsidP="00B37B69">
            <w:pPr>
              <w:keepNext/>
              <w:jc w:val="center"/>
              <w:rPr>
                <w:rFonts w:ascii="Arial Narrow" w:hAnsi="Arial Narrow"/>
                <w:sz w:val="20"/>
              </w:rPr>
            </w:pPr>
          </w:p>
          <w:p w:rsidR="00B37B69" w:rsidRPr="007B4B92" w:rsidRDefault="00B37B69" w:rsidP="00B37B69">
            <w:pPr>
              <w:keepNext/>
              <w:jc w:val="center"/>
              <w:rPr>
                <w:rFonts w:ascii="Arial Narrow" w:hAnsi="Arial Narrow"/>
                <w:sz w:val="20"/>
              </w:rPr>
            </w:pPr>
            <w:r w:rsidRPr="007B4B92">
              <w:rPr>
                <w:rFonts w:ascii="Arial Narrow" w:hAnsi="Arial Narrow"/>
                <w:sz w:val="20"/>
              </w:rPr>
              <w:t>UCB Pharma</w:t>
            </w:r>
          </w:p>
        </w:tc>
      </w:tr>
      <w:tr w:rsidR="00B37B69" w:rsidRPr="00FF4D1E" w:rsidTr="00B37B69">
        <w:trPr>
          <w:cantSplit/>
          <w:trHeight w:val="360"/>
        </w:trPr>
        <w:tc>
          <w:tcPr>
            <w:tcW w:w="2835" w:type="dxa"/>
            <w:tcBorders>
              <w:top w:val="single" w:sz="4" w:space="0" w:color="auto"/>
              <w:left w:val="single" w:sz="4" w:space="0" w:color="auto"/>
              <w:bottom w:val="single" w:sz="4" w:space="0" w:color="auto"/>
              <w:right w:val="single" w:sz="4" w:space="0" w:color="auto"/>
            </w:tcBorders>
          </w:tcPr>
          <w:p w:rsidR="00B37B69" w:rsidRPr="00FF4D1E" w:rsidRDefault="00B37B69" w:rsidP="00B37B69">
            <w:pPr>
              <w:rPr>
                <w:rFonts w:ascii="Arial Narrow" w:hAnsi="Arial Narrow"/>
                <w:b/>
                <w:sz w:val="20"/>
              </w:rPr>
            </w:pPr>
            <w:r>
              <w:rPr>
                <w:rFonts w:ascii="Arial Narrow" w:hAnsi="Arial Narrow"/>
                <w:b/>
                <w:sz w:val="20"/>
              </w:rPr>
              <w:t>Category/Program:</w:t>
            </w:r>
          </w:p>
        </w:tc>
        <w:tc>
          <w:tcPr>
            <w:tcW w:w="6379" w:type="dxa"/>
            <w:gridSpan w:val="6"/>
            <w:tcBorders>
              <w:top w:val="single" w:sz="4" w:space="0" w:color="auto"/>
              <w:left w:val="single" w:sz="4" w:space="0" w:color="auto"/>
              <w:bottom w:val="single" w:sz="4" w:space="0" w:color="auto"/>
              <w:right w:val="single" w:sz="4" w:space="0" w:color="auto"/>
            </w:tcBorders>
          </w:tcPr>
          <w:p w:rsidR="00B37B69" w:rsidRPr="007B4B92" w:rsidRDefault="00B37B69" w:rsidP="00B37B69">
            <w:pPr>
              <w:rPr>
                <w:rFonts w:ascii="Arial Narrow" w:hAnsi="Arial Narrow"/>
                <w:sz w:val="20"/>
              </w:rPr>
            </w:pPr>
            <w:r w:rsidRPr="007B4B92">
              <w:rPr>
                <w:rFonts w:ascii="Arial Narrow" w:hAnsi="Arial Narrow"/>
                <w:sz w:val="20"/>
              </w:rPr>
              <w:t xml:space="preserve">GENERAL – General Schedule (Code GE)  </w:t>
            </w:r>
          </w:p>
        </w:tc>
      </w:tr>
      <w:tr w:rsidR="00B37B69" w:rsidRPr="00FF4D1E" w:rsidTr="00B37B69">
        <w:trPr>
          <w:cantSplit/>
          <w:trHeight w:val="360"/>
        </w:trPr>
        <w:tc>
          <w:tcPr>
            <w:tcW w:w="2835" w:type="dxa"/>
            <w:tcBorders>
              <w:top w:val="single" w:sz="4" w:space="0" w:color="auto"/>
              <w:left w:val="single" w:sz="4" w:space="0" w:color="auto"/>
              <w:bottom w:val="single" w:sz="4" w:space="0" w:color="auto"/>
              <w:right w:val="single" w:sz="4" w:space="0" w:color="auto"/>
            </w:tcBorders>
          </w:tcPr>
          <w:p w:rsidR="00B37B69" w:rsidRPr="00FF4D1E" w:rsidRDefault="00B37B69" w:rsidP="00B37B69">
            <w:pPr>
              <w:rPr>
                <w:rFonts w:ascii="Arial Narrow" w:hAnsi="Arial Narrow"/>
                <w:b/>
                <w:sz w:val="20"/>
              </w:rPr>
            </w:pPr>
            <w:r w:rsidRPr="00FF4D1E">
              <w:rPr>
                <w:rFonts w:ascii="Arial Narrow" w:hAnsi="Arial Narrow"/>
                <w:b/>
                <w:sz w:val="20"/>
              </w:rPr>
              <w:t>Prescriber type:</w:t>
            </w:r>
          </w:p>
          <w:p w:rsidR="00B37B69" w:rsidRPr="00AD41E0" w:rsidRDefault="00B37B69" w:rsidP="00B37B69">
            <w:pPr>
              <w:rPr>
                <w:rFonts w:ascii="Arial Narrow" w:hAnsi="Arial Narrow"/>
                <w:b/>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B37B69" w:rsidRPr="00FF4D1E" w:rsidRDefault="00B37B69" w:rsidP="00B37B69">
            <w:pPr>
              <w:rPr>
                <w:rFonts w:ascii="Arial Narrow" w:hAnsi="Arial Narrow"/>
                <w:sz w:val="20"/>
              </w:rPr>
            </w:pPr>
            <w:r w:rsidRPr="007B4B92">
              <w:rPr>
                <w:rFonts w:ascii="Arial Narrow" w:hAnsi="Arial Narrow"/>
                <w:sz w:val="20"/>
              </w:rPr>
              <w:fldChar w:fldCharType="begin">
                <w:ffData>
                  <w:name w:val="Check1"/>
                  <w:enabled/>
                  <w:calcOnExit w:val="0"/>
                  <w:checkBox>
                    <w:sizeAuto/>
                    <w:default w:val="0"/>
                  </w:checkBox>
                </w:ffData>
              </w:fldChar>
            </w:r>
            <w:r w:rsidRPr="00FF4D1E">
              <w:rPr>
                <w:rFonts w:ascii="Arial Narrow" w:hAnsi="Arial Narrow"/>
                <w:sz w:val="20"/>
              </w:rPr>
              <w:instrText xml:space="preserve"> FORMCHECKBOX </w:instrText>
            </w:r>
            <w:r w:rsidR="00534A2B">
              <w:rPr>
                <w:rFonts w:ascii="Arial Narrow" w:hAnsi="Arial Narrow"/>
                <w:sz w:val="20"/>
              </w:rPr>
            </w:r>
            <w:r w:rsidR="00534A2B">
              <w:rPr>
                <w:rFonts w:ascii="Arial Narrow" w:hAnsi="Arial Narrow"/>
                <w:sz w:val="20"/>
              </w:rPr>
              <w:fldChar w:fldCharType="separate"/>
            </w:r>
            <w:r w:rsidRPr="007B4B92">
              <w:rPr>
                <w:rFonts w:ascii="Arial Narrow" w:hAnsi="Arial Narrow"/>
                <w:sz w:val="20"/>
              </w:rPr>
              <w:fldChar w:fldCharType="end"/>
            </w:r>
            <w:r w:rsidRPr="00FF4D1E">
              <w:rPr>
                <w:rFonts w:ascii="Arial Narrow" w:hAnsi="Arial Narrow"/>
                <w:sz w:val="20"/>
              </w:rPr>
              <w:t xml:space="preserve">Dental  </w:t>
            </w:r>
            <w:r w:rsidRPr="007B4B92">
              <w:rPr>
                <w:rFonts w:ascii="Arial Narrow" w:hAnsi="Arial Narrow"/>
                <w:sz w:val="20"/>
              </w:rPr>
              <w:fldChar w:fldCharType="begin">
                <w:ffData>
                  <w:name w:val="Check5"/>
                  <w:enabled/>
                  <w:calcOnExit w:val="0"/>
                  <w:checkBox>
                    <w:sizeAuto/>
                    <w:default w:val="1"/>
                  </w:checkBox>
                </w:ffData>
              </w:fldChar>
            </w:r>
            <w:r w:rsidRPr="00FF4D1E">
              <w:rPr>
                <w:rFonts w:ascii="Arial Narrow" w:hAnsi="Arial Narrow"/>
                <w:sz w:val="20"/>
              </w:rPr>
              <w:instrText xml:space="preserve"> FORMCHECKBOX </w:instrText>
            </w:r>
            <w:r w:rsidR="00534A2B">
              <w:rPr>
                <w:rFonts w:ascii="Arial Narrow" w:hAnsi="Arial Narrow"/>
                <w:sz w:val="20"/>
              </w:rPr>
            </w:r>
            <w:r w:rsidR="00534A2B">
              <w:rPr>
                <w:rFonts w:ascii="Arial Narrow" w:hAnsi="Arial Narrow"/>
                <w:sz w:val="20"/>
              </w:rPr>
              <w:fldChar w:fldCharType="separate"/>
            </w:r>
            <w:r w:rsidRPr="007B4B92">
              <w:rPr>
                <w:rFonts w:ascii="Arial Narrow" w:hAnsi="Arial Narrow"/>
                <w:sz w:val="20"/>
              </w:rPr>
              <w:fldChar w:fldCharType="end"/>
            </w:r>
            <w:r w:rsidRPr="00FF4D1E">
              <w:rPr>
                <w:rFonts w:ascii="Arial Narrow" w:hAnsi="Arial Narrow"/>
                <w:sz w:val="20"/>
              </w:rPr>
              <w:t xml:space="preserve">Medical Practitioners  </w:t>
            </w:r>
            <w:r w:rsidRPr="007B4B92">
              <w:rPr>
                <w:rFonts w:ascii="Arial Narrow" w:hAnsi="Arial Narrow"/>
                <w:sz w:val="20"/>
              </w:rPr>
              <w:fldChar w:fldCharType="begin">
                <w:ffData>
                  <w:name w:val="Check5"/>
                  <w:enabled/>
                  <w:calcOnExit w:val="0"/>
                  <w:checkBox>
                    <w:sizeAuto/>
                    <w:default w:val="1"/>
                  </w:checkBox>
                </w:ffData>
              </w:fldChar>
            </w:r>
            <w:r w:rsidRPr="00FF4D1E">
              <w:rPr>
                <w:rFonts w:ascii="Arial Narrow" w:hAnsi="Arial Narrow"/>
                <w:sz w:val="20"/>
              </w:rPr>
              <w:instrText xml:space="preserve"> FORMCHECKBOX </w:instrText>
            </w:r>
            <w:r w:rsidR="00534A2B">
              <w:rPr>
                <w:rFonts w:ascii="Arial Narrow" w:hAnsi="Arial Narrow"/>
                <w:sz w:val="20"/>
              </w:rPr>
            </w:r>
            <w:r w:rsidR="00534A2B">
              <w:rPr>
                <w:rFonts w:ascii="Arial Narrow" w:hAnsi="Arial Narrow"/>
                <w:sz w:val="20"/>
              </w:rPr>
              <w:fldChar w:fldCharType="separate"/>
            </w:r>
            <w:r w:rsidRPr="007B4B92">
              <w:rPr>
                <w:rFonts w:ascii="Arial Narrow" w:hAnsi="Arial Narrow"/>
                <w:sz w:val="20"/>
              </w:rPr>
              <w:fldChar w:fldCharType="end"/>
            </w:r>
            <w:r w:rsidRPr="00FF4D1E">
              <w:rPr>
                <w:rFonts w:ascii="Arial Narrow" w:hAnsi="Arial Narrow"/>
                <w:sz w:val="20"/>
              </w:rPr>
              <w:t xml:space="preserve">Nurse practitioners  </w:t>
            </w:r>
            <w:r w:rsidRPr="007B4B92">
              <w:rPr>
                <w:rFonts w:ascii="Arial Narrow" w:hAnsi="Arial Narrow"/>
                <w:sz w:val="20"/>
              </w:rPr>
              <w:fldChar w:fldCharType="begin">
                <w:ffData>
                  <w:name w:val=""/>
                  <w:enabled/>
                  <w:calcOnExit w:val="0"/>
                  <w:checkBox>
                    <w:sizeAuto/>
                    <w:default w:val="0"/>
                  </w:checkBox>
                </w:ffData>
              </w:fldChar>
            </w:r>
            <w:r w:rsidRPr="00FF4D1E">
              <w:rPr>
                <w:rFonts w:ascii="Arial Narrow" w:hAnsi="Arial Narrow"/>
                <w:sz w:val="20"/>
              </w:rPr>
              <w:instrText xml:space="preserve"> FORMCHECKBOX </w:instrText>
            </w:r>
            <w:r w:rsidR="00534A2B">
              <w:rPr>
                <w:rFonts w:ascii="Arial Narrow" w:hAnsi="Arial Narrow"/>
                <w:sz w:val="20"/>
              </w:rPr>
            </w:r>
            <w:r w:rsidR="00534A2B">
              <w:rPr>
                <w:rFonts w:ascii="Arial Narrow" w:hAnsi="Arial Narrow"/>
                <w:sz w:val="20"/>
              </w:rPr>
              <w:fldChar w:fldCharType="separate"/>
            </w:r>
            <w:r w:rsidRPr="007B4B92">
              <w:rPr>
                <w:rFonts w:ascii="Arial Narrow" w:hAnsi="Arial Narrow"/>
                <w:sz w:val="20"/>
              </w:rPr>
              <w:fldChar w:fldCharType="end"/>
            </w:r>
            <w:r w:rsidRPr="00FF4D1E">
              <w:rPr>
                <w:rFonts w:ascii="Arial Narrow" w:hAnsi="Arial Narrow"/>
                <w:sz w:val="20"/>
              </w:rPr>
              <w:t>Optometrists</w:t>
            </w:r>
          </w:p>
          <w:p w:rsidR="00B37B69" w:rsidRPr="00FF4D1E" w:rsidRDefault="00B37B69" w:rsidP="00B37B69">
            <w:pPr>
              <w:rPr>
                <w:rFonts w:ascii="Arial Narrow" w:hAnsi="Arial Narrow"/>
                <w:sz w:val="20"/>
              </w:rPr>
            </w:pPr>
            <w:r w:rsidRPr="007B4B92">
              <w:rPr>
                <w:rFonts w:ascii="Arial Narrow" w:hAnsi="Arial Narrow"/>
                <w:sz w:val="20"/>
              </w:rPr>
              <w:fldChar w:fldCharType="begin">
                <w:ffData>
                  <w:name w:val="Check5"/>
                  <w:enabled/>
                  <w:calcOnExit w:val="0"/>
                  <w:checkBox>
                    <w:sizeAuto/>
                    <w:default w:val="0"/>
                  </w:checkBox>
                </w:ffData>
              </w:fldChar>
            </w:r>
            <w:r w:rsidRPr="00FF4D1E">
              <w:rPr>
                <w:rFonts w:ascii="Arial Narrow" w:hAnsi="Arial Narrow"/>
                <w:sz w:val="20"/>
              </w:rPr>
              <w:instrText xml:space="preserve"> FORMCHECKBOX </w:instrText>
            </w:r>
            <w:r w:rsidR="00534A2B">
              <w:rPr>
                <w:rFonts w:ascii="Arial Narrow" w:hAnsi="Arial Narrow"/>
                <w:sz w:val="20"/>
              </w:rPr>
            </w:r>
            <w:r w:rsidR="00534A2B">
              <w:rPr>
                <w:rFonts w:ascii="Arial Narrow" w:hAnsi="Arial Narrow"/>
                <w:sz w:val="20"/>
              </w:rPr>
              <w:fldChar w:fldCharType="separate"/>
            </w:r>
            <w:r w:rsidRPr="007B4B92">
              <w:rPr>
                <w:rFonts w:ascii="Arial Narrow" w:hAnsi="Arial Narrow"/>
                <w:sz w:val="20"/>
              </w:rPr>
              <w:fldChar w:fldCharType="end"/>
            </w:r>
            <w:r w:rsidRPr="00FF4D1E">
              <w:rPr>
                <w:rFonts w:ascii="Arial Narrow" w:hAnsi="Arial Narrow"/>
                <w:sz w:val="20"/>
              </w:rPr>
              <w:t>Midwives</w:t>
            </w:r>
          </w:p>
        </w:tc>
      </w:tr>
      <w:tr w:rsidR="00B37B69" w:rsidRPr="00FF4D1E" w:rsidTr="00B37B69">
        <w:trPr>
          <w:cantSplit/>
          <w:trHeight w:val="360"/>
        </w:trPr>
        <w:tc>
          <w:tcPr>
            <w:tcW w:w="2835" w:type="dxa"/>
            <w:tcBorders>
              <w:top w:val="single" w:sz="4" w:space="0" w:color="auto"/>
              <w:left w:val="single" w:sz="4" w:space="0" w:color="auto"/>
              <w:bottom w:val="single" w:sz="4" w:space="0" w:color="auto"/>
              <w:right w:val="single" w:sz="4" w:space="0" w:color="auto"/>
            </w:tcBorders>
          </w:tcPr>
          <w:p w:rsidR="00B37B69" w:rsidRPr="00FF4D1E" w:rsidRDefault="00B37B69" w:rsidP="00B37B69">
            <w:pPr>
              <w:rPr>
                <w:rFonts w:ascii="Arial Narrow" w:hAnsi="Arial Narrow"/>
                <w:b/>
                <w:sz w:val="20"/>
              </w:rPr>
            </w:pPr>
            <w:r w:rsidRPr="00FF4D1E">
              <w:rPr>
                <w:rFonts w:ascii="Arial Narrow" w:hAnsi="Arial Narrow"/>
                <w:b/>
                <w:sz w:val="20"/>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B37B69" w:rsidRPr="00FF4D1E" w:rsidRDefault="00B37B69" w:rsidP="00B37B69">
            <w:pPr>
              <w:rPr>
                <w:rFonts w:ascii="Arial Narrow" w:hAnsi="Arial Narrow"/>
                <w:sz w:val="20"/>
              </w:rPr>
            </w:pPr>
            <w:r w:rsidRPr="007B4B92">
              <w:rPr>
                <w:rFonts w:ascii="Arial Narrow" w:hAnsi="Arial Narrow"/>
                <w:sz w:val="20"/>
              </w:rPr>
              <w:t>Epilepsy</w:t>
            </w:r>
          </w:p>
        </w:tc>
      </w:tr>
      <w:tr w:rsidR="00B37B69" w:rsidRPr="00FF4D1E" w:rsidTr="00B37B69">
        <w:trPr>
          <w:cantSplit/>
          <w:trHeight w:val="360"/>
        </w:trPr>
        <w:tc>
          <w:tcPr>
            <w:tcW w:w="2835" w:type="dxa"/>
            <w:tcBorders>
              <w:top w:val="single" w:sz="4" w:space="0" w:color="auto"/>
              <w:left w:val="single" w:sz="4" w:space="0" w:color="auto"/>
              <w:bottom w:val="single" w:sz="4" w:space="0" w:color="auto"/>
              <w:right w:val="single" w:sz="4" w:space="0" w:color="auto"/>
            </w:tcBorders>
          </w:tcPr>
          <w:p w:rsidR="00B37B69" w:rsidRPr="009A1DD8" w:rsidRDefault="00B37B69" w:rsidP="00B37B69">
            <w:pPr>
              <w:rPr>
                <w:rFonts w:ascii="Arial Narrow" w:hAnsi="Arial Narrow"/>
                <w:b/>
                <w:sz w:val="20"/>
              </w:rPr>
            </w:pPr>
            <w:r w:rsidRPr="00FF4D1E">
              <w:rPr>
                <w:rFonts w:ascii="Arial Narrow" w:hAnsi="Arial Narrow"/>
                <w:b/>
                <w:sz w:val="20"/>
              </w:rPr>
              <w:t>PBS Indication:</w:t>
            </w:r>
          </w:p>
        </w:tc>
        <w:tc>
          <w:tcPr>
            <w:tcW w:w="6379" w:type="dxa"/>
            <w:gridSpan w:val="6"/>
            <w:tcBorders>
              <w:top w:val="single" w:sz="4" w:space="0" w:color="auto"/>
              <w:left w:val="single" w:sz="4" w:space="0" w:color="auto"/>
              <w:bottom w:val="single" w:sz="4" w:space="0" w:color="auto"/>
              <w:right w:val="single" w:sz="4" w:space="0" w:color="auto"/>
            </w:tcBorders>
          </w:tcPr>
          <w:p w:rsidR="00B37B69" w:rsidRPr="00666657" w:rsidRDefault="00B37B69" w:rsidP="009A1DD8">
            <w:pPr>
              <w:rPr>
                <w:rFonts w:ascii="Arial Narrow" w:hAnsi="Arial Narrow"/>
                <w:sz w:val="20"/>
              </w:rPr>
            </w:pPr>
            <w:r w:rsidRPr="007B4B92">
              <w:rPr>
                <w:rFonts w:ascii="Arial Narrow" w:hAnsi="Arial Narrow"/>
                <w:i/>
                <w:sz w:val="20"/>
              </w:rPr>
              <w:t xml:space="preserve">Intractable </w:t>
            </w:r>
            <w:r w:rsidRPr="007B4B92">
              <w:rPr>
                <w:rFonts w:ascii="Arial Narrow" w:hAnsi="Arial Narrow"/>
                <w:sz w:val="20"/>
              </w:rPr>
              <w:t>partial epileptic seizures</w:t>
            </w:r>
          </w:p>
        </w:tc>
      </w:tr>
      <w:tr w:rsidR="00B37B69" w:rsidRPr="00FF4D1E" w:rsidTr="00B37B69">
        <w:trPr>
          <w:cantSplit/>
          <w:trHeight w:val="360"/>
        </w:trPr>
        <w:tc>
          <w:tcPr>
            <w:tcW w:w="2835" w:type="dxa"/>
            <w:tcBorders>
              <w:top w:val="single" w:sz="4" w:space="0" w:color="auto"/>
              <w:left w:val="single" w:sz="4" w:space="0" w:color="auto"/>
              <w:bottom w:val="single" w:sz="4" w:space="0" w:color="auto"/>
              <w:right w:val="single" w:sz="4" w:space="0" w:color="auto"/>
            </w:tcBorders>
          </w:tcPr>
          <w:p w:rsidR="00B37B69" w:rsidRPr="00FF4D1E" w:rsidRDefault="00B37B69" w:rsidP="00B37B69">
            <w:pPr>
              <w:rPr>
                <w:rFonts w:ascii="Arial Narrow" w:hAnsi="Arial Narrow"/>
                <w:b/>
                <w:sz w:val="20"/>
              </w:rPr>
            </w:pPr>
            <w:r w:rsidRPr="00FF4D1E">
              <w:rPr>
                <w:rFonts w:ascii="Arial Narrow" w:hAnsi="Arial Narrow"/>
                <w:b/>
                <w:sz w:val="20"/>
              </w:rPr>
              <w:t>Restriction Level / Method:</w:t>
            </w:r>
          </w:p>
          <w:p w:rsidR="00B37B69" w:rsidRPr="00666657" w:rsidRDefault="00B37B69" w:rsidP="00B37B69">
            <w:pPr>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B37B69" w:rsidRPr="00FF4D1E" w:rsidRDefault="00B37B69" w:rsidP="00B37B69">
            <w:pPr>
              <w:rPr>
                <w:rFonts w:ascii="Arial Narrow" w:hAnsi="Arial Narrow"/>
                <w:sz w:val="20"/>
              </w:rPr>
            </w:pPr>
            <w:r w:rsidRPr="007B4B92">
              <w:rPr>
                <w:rFonts w:ascii="Arial Narrow" w:hAnsi="Arial Narrow"/>
                <w:sz w:val="20"/>
              </w:rPr>
              <w:fldChar w:fldCharType="begin">
                <w:ffData>
                  <w:name w:val="Check1"/>
                  <w:enabled/>
                  <w:calcOnExit w:val="0"/>
                  <w:checkBox>
                    <w:sizeAuto/>
                    <w:default w:val="0"/>
                  </w:checkBox>
                </w:ffData>
              </w:fldChar>
            </w:r>
            <w:r w:rsidRPr="00FF4D1E">
              <w:rPr>
                <w:rFonts w:ascii="Arial Narrow" w:hAnsi="Arial Narrow"/>
                <w:sz w:val="20"/>
              </w:rPr>
              <w:instrText xml:space="preserve"> FORMCHECKBOX </w:instrText>
            </w:r>
            <w:r w:rsidR="00534A2B">
              <w:rPr>
                <w:rFonts w:ascii="Arial Narrow" w:hAnsi="Arial Narrow"/>
                <w:sz w:val="20"/>
              </w:rPr>
            </w:r>
            <w:r w:rsidR="00534A2B">
              <w:rPr>
                <w:rFonts w:ascii="Arial Narrow" w:hAnsi="Arial Narrow"/>
                <w:sz w:val="20"/>
              </w:rPr>
              <w:fldChar w:fldCharType="separate"/>
            </w:r>
            <w:r w:rsidRPr="007B4B92">
              <w:rPr>
                <w:rFonts w:ascii="Arial Narrow" w:hAnsi="Arial Narrow"/>
                <w:sz w:val="20"/>
              </w:rPr>
              <w:fldChar w:fldCharType="end"/>
            </w:r>
            <w:r w:rsidRPr="00FF4D1E">
              <w:rPr>
                <w:rFonts w:ascii="Arial Narrow" w:hAnsi="Arial Narrow"/>
                <w:sz w:val="20"/>
              </w:rPr>
              <w:t>Restricted benefit</w:t>
            </w:r>
          </w:p>
          <w:p w:rsidR="00B37B69" w:rsidRPr="00FF4D1E" w:rsidRDefault="00B37B69" w:rsidP="00B37B69">
            <w:pPr>
              <w:rPr>
                <w:rFonts w:ascii="Arial Narrow" w:hAnsi="Arial Narrow"/>
                <w:sz w:val="20"/>
              </w:rPr>
            </w:pPr>
            <w:r w:rsidRPr="007B4B92">
              <w:rPr>
                <w:rFonts w:ascii="Arial Narrow" w:hAnsi="Arial Narrow"/>
                <w:sz w:val="20"/>
              </w:rPr>
              <w:fldChar w:fldCharType="begin">
                <w:ffData>
                  <w:name w:val=""/>
                  <w:enabled/>
                  <w:calcOnExit w:val="0"/>
                  <w:checkBox>
                    <w:sizeAuto/>
                    <w:default w:val="0"/>
                  </w:checkBox>
                </w:ffData>
              </w:fldChar>
            </w:r>
            <w:r w:rsidRPr="00FF4D1E">
              <w:rPr>
                <w:rFonts w:ascii="Arial Narrow" w:hAnsi="Arial Narrow"/>
                <w:sz w:val="20"/>
              </w:rPr>
              <w:instrText xml:space="preserve"> FORMCHECKBOX </w:instrText>
            </w:r>
            <w:r w:rsidR="00534A2B">
              <w:rPr>
                <w:rFonts w:ascii="Arial Narrow" w:hAnsi="Arial Narrow"/>
                <w:sz w:val="20"/>
              </w:rPr>
            </w:r>
            <w:r w:rsidR="00534A2B">
              <w:rPr>
                <w:rFonts w:ascii="Arial Narrow" w:hAnsi="Arial Narrow"/>
                <w:sz w:val="20"/>
              </w:rPr>
              <w:fldChar w:fldCharType="separate"/>
            </w:r>
            <w:r w:rsidRPr="007B4B92">
              <w:rPr>
                <w:rFonts w:ascii="Arial Narrow" w:hAnsi="Arial Narrow"/>
                <w:sz w:val="20"/>
              </w:rPr>
              <w:fldChar w:fldCharType="end"/>
            </w:r>
            <w:r w:rsidRPr="00FF4D1E">
              <w:rPr>
                <w:rFonts w:ascii="Arial Narrow" w:hAnsi="Arial Narrow"/>
                <w:sz w:val="20"/>
              </w:rPr>
              <w:t>Authority Required - In Writing</w:t>
            </w:r>
          </w:p>
          <w:p w:rsidR="00B37B69" w:rsidRPr="00FF4D1E" w:rsidRDefault="00B37B69" w:rsidP="00B37B69">
            <w:pPr>
              <w:rPr>
                <w:rFonts w:ascii="Arial Narrow" w:hAnsi="Arial Narrow"/>
                <w:sz w:val="20"/>
              </w:rPr>
            </w:pPr>
            <w:r w:rsidRPr="007B4B92">
              <w:rPr>
                <w:rFonts w:ascii="Arial Narrow" w:hAnsi="Arial Narrow"/>
                <w:sz w:val="20"/>
              </w:rPr>
              <w:fldChar w:fldCharType="begin">
                <w:ffData>
                  <w:name w:val="Check3"/>
                  <w:enabled/>
                  <w:calcOnExit w:val="0"/>
                  <w:checkBox>
                    <w:sizeAuto/>
                    <w:default w:val="0"/>
                  </w:checkBox>
                </w:ffData>
              </w:fldChar>
            </w:r>
            <w:r w:rsidRPr="00FF4D1E">
              <w:rPr>
                <w:rFonts w:ascii="Arial Narrow" w:hAnsi="Arial Narrow"/>
                <w:sz w:val="20"/>
              </w:rPr>
              <w:instrText xml:space="preserve"> FORMCHECKBOX </w:instrText>
            </w:r>
            <w:r w:rsidR="00534A2B">
              <w:rPr>
                <w:rFonts w:ascii="Arial Narrow" w:hAnsi="Arial Narrow"/>
                <w:sz w:val="20"/>
              </w:rPr>
            </w:r>
            <w:r w:rsidR="00534A2B">
              <w:rPr>
                <w:rFonts w:ascii="Arial Narrow" w:hAnsi="Arial Narrow"/>
                <w:sz w:val="20"/>
              </w:rPr>
              <w:fldChar w:fldCharType="separate"/>
            </w:r>
            <w:r w:rsidRPr="007B4B92">
              <w:rPr>
                <w:rFonts w:ascii="Arial Narrow" w:hAnsi="Arial Narrow"/>
                <w:sz w:val="20"/>
              </w:rPr>
              <w:fldChar w:fldCharType="end"/>
            </w:r>
            <w:r w:rsidRPr="00FF4D1E">
              <w:rPr>
                <w:rFonts w:ascii="Arial Narrow" w:hAnsi="Arial Narrow"/>
                <w:sz w:val="20"/>
              </w:rPr>
              <w:t>Authority Required - Telephone</w:t>
            </w:r>
          </w:p>
          <w:p w:rsidR="00B37B69" w:rsidRPr="00FF4D1E" w:rsidRDefault="00B37B69" w:rsidP="00B37B69">
            <w:pPr>
              <w:rPr>
                <w:rFonts w:ascii="Arial Narrow" w:hAnsi="Arial Narrow"/>
                <w:sz w:val="20"/>
              </w:rPr>
            </w:pPr>
            <w:r w:rsidRPr="007B4B92">
              <w:rPr>
                <w:rFonts w:ascii="Arial Narrow" w:hAnsi="Arial Narrow"/>
                <w:sz w:val="20"/>
              </w:rPr>
              <w:fldChar w:fldCharType="begin">
                <w:ffData>
                  <w:name w:val=""/>
                  <w:enabled/>
                  <w:calcOnExit w:val="0"/>
                  <w:checkBox>
                    <w:sizeAuto/>
                    <w:default w:val="0"/>
                  </w:checkBox>
                </w:ffData>
              </w:fldChar>
            </w:r>
            <w:r w:rsidRPr="00FF4D1E">
              <w:rPr>
                <w:rFonts w:ascii="Arial Narrow" w:hAnsi="Arial Narrow"/>
                <w:sz w:val="20"/>
              </w:rPr>
              <w:instrText xml:space="preserve"> FORMCHECKBOX </w:instrText>
            </w:r>
            <w:r w:rsidR="00534A2B">
              <w:rPr>
                <w:rFonts w:ascii="Arial Narrow" w:hAnsi="Arial Narrow"/>
                <w:sz w:val="20"/>
              </w:rPr>
            </w:r>
            <w:r w:rsidR="00534A2B">
              <w:rPr>
                <w:rFonts w:ascii="Arial Narrow" w:hAnsi="Arial Narrow"/>
                <w:sz w:val="20"/>
              </w:rPr>
              <w:fldChar w:fldCharType="separate"/>
            </w:r>
            <w:r w:rsidRPr="007B4B92">
              <w:rPr>
                <w:rFonts w:ascii="Arial Narrow" w:hAnsi="Arial Narrow"/>
                <w:sz w:val="20"/>
              </w:rPr>
              <w:fldChar w:fldCharType="end"/>
            </w:r>
            <w:r w:rsidRPr="00FF4D1E">
              <w:rPr>
                <w:rFonts w:ascii="Arial Narrow" w:hAnsi="Arial Narrow"/>
                <w:sz w:val="20"/>
              </w:rPr>
              <w:t>Authority Required - Emergency</w:t>
            </w:r>
          </w:p>
          <w:p w:rsidR="00B37B69" w:rsidRPr="00FF4D1E" w:rsidRDefault="00B37B69" w:rsidP="00B37B69">
            <w:pPr>
              <w:rPr>
                <w:rFonts w:ascii="Arial Narrow" w:hAnsi="Arial Narrow"/>
                <w:sz w:val="20"/>
              </w:rPr>
            </w:pPr>
            <w:r w:rsidRPr="007B4B92">
              <w:rPr>
                <w:rFonts w:ascii="Arial Narrow" w:hAnsi="Arial Narrow"/>
                <w:sz w:val="20"/>
              </w:rPr>
              <w:fldChar w:fldCharType="begin">
                <w:ffData>
                  <w:name w:val="Check5"/>
                  <w:enabled/>
                  <w:calcOnExit w:val="0"/>
                  <w:checkBox>
                    <w:sizeAuto/>
                    <w:default w:val="0"/>
                  </w:checkBox>
                </w:ffData>
              </w:fldChar>
            </w:r>
            <w:r w:rsidRPr="00FF4D1E">
              <w:rPr>
                <w:rFonts w:ascii="Arial Narrow" w:hAnsi="Arial Narrow"/>
                <w:sz w:val="20"/>
              </w:rPr>
              <w:instrText xml:space="preserve"> FORMCHECKBOX </w:instrText>
            </w:r>
            <w:r w:rsidR="00534A2B">
              <w:rPr>
                <w:rFonts w:ascii="Arial Narrow" w:hAnsi="Arial Narrow"/>
                <w:sz w:val="20"/>
              </w:rPr>
            </w:r>
            <w:r w:rsidR="00534A2B">
              <w:rPr>
                <w:rFonts w:ascii="Arial Narrow" w:hAnsi="Arial Narrow"/>
                <w:sz w:val="20"/>
              </w:rPr>
              <w:fldChar w:fldCharType="separate"/>
            </w:r>
            <w:r w:rsidRPr="007B4B92">
              <w:rPr>
                <w:rFonts w:ascii="Arial Narrow" w:hAnsi="Arial Narrow"/>
                <w:sz w:val="20"/>
              </w:rPr>
              <w:fldChar w:fldCharType="end"/>
            </w:r>
            <w:r w:rsidRPr="00FF4D1E">
              <w:rPr>
                <w:rFonts w:ascii="Arial Narrow" w:hAnsi="Arial Narrow"/>
                <w:sz w:val="20"/>
              </w:rPr>
              <w:t>Authority Required - Electronic</w:t>
            </w:r>
          </w:p>
          <w:p w:rsidR="00B37B69" w:rsidRPr="00FF4D1E" w:rsidRDefault="00B37B69" w:rsidP="00B37B69">
            <w:pPr>
              <w:rPr>
                <w:rFonts w:ascii="Arial Narrow" w:hAnsi="Arial Narrow"/>
                <w:sz w:val="20"/>
              </w:rPr>
            </w:pPr>
            <w:r w:rsidRPr="007B4B92">
              <w:rPr>
                <w:rFonts w:ascii="Arial Narrow" w:hAnsi="Arial Narrow"/>
                <w:sz w:val="20"/>
              </w:rPr>
              <w:fldChar w:fldCharType="begin">
                <w:ffData>
                  <w:name w:val="Check5"/>
                  <w:enabled/>
                  <w:calcOnExit w:val="0"/>
                  <w:checkBox>
                    <w:sizeAuto/>
                    <w:default w:val="1"/>
                  </w:checkBox>
                </w:ffData>
              </w:fldChar>
            </w:r>
            <w:r w:rsidRPr="00FF4D1E">
              <w:rPr>
                <w:rFonts w:ascii="Arial Narrow" w:hAnsi="Arial Narrow"/>
                <w:sz w:val="20"/>
              </w:rPr>
              <w:instrText xml:space="preserve"> FORMCHECKBOX </w:instrText>
            </w:r>
            <w:r w:rsidR="00534A2B">
              <w:rPr>
                <w:rFonts w:ascii="Arial Narrow" w:hAnsi="Arial Narrow"/>
                <w:sz w:val="20"/>
              </w:rPr>
            </w:r>
            <w:r w:rsidR="00534A2B">
              <w:rPr>
                <w:rFonts w:ascii="Arial Narrow" w:hAnsi="Arial Narrow"/>
                <w:sz w:val="20"/>
              </w:rPr>
              <w:fldChar w:fldCharType="separate"/>
            </w:r>
            <w:r w:rsidRPr="007B4B92">
              <w:rPr>
                <w:rFonts w:ascii="Arial Narrow" w:hAnsi="Arial Narrow"/>
                <w:sz w:val="20"/>
              </w:rPr>
              <w:fldChar w:fldCharType="end"/>
            </w:r>
            <w:r w:rsidRPr="00FF4D1E">
              <w:rPr>
                <w:rFonts w:ascii="Arial Narrow" w:hAnsi="Arial Narrow"/>
                <w:sz w:val="20"/>
              </w:rPr>
              <w:t>Streamlined</w:t>
            </w:r>
          </w:p>
        </w:tc>
      </w:tr>
      <w:tr w:rsidR="00B37B69" w:rsidRPr="00FF4D1E" w:rsidTr="00B37B69">
        <w:trPr>
          <w:cantSplit/>
          <w:trHeight w:val="360"/>
        </w:trPr>
        <w:tc>
          <w:tcPr>
            <w:tcW w:w="2835" w:type="dxa"/>
            <w:tcBorders>
              <w:top w:val="single" w:sz="4" w:space="0" w:color="auto"/>
              <w:left w:val="single" w:sz="4" w:space="0" w:color="auto"/>
              <w:bottom w:val="single" w:sz="4" w:space="0" w:color="auto"/>
              <w:right w:val="single" w:sz="4" w:space="0" w:color="auto"/>
            </w:tcBorders>
          </w:tcPr>
          <w:p w:rsidR="00B37B69" w:rsidRPr="009A1DD8" w:rsidRDefault="00B37B69" w:rsidP="00B37B69">
            <w:pPr>
              <w:rPr>
                <w:rFonts w:ascii="Arial Narrow" w:hAnsi="Arial Narrow"/>
                <w:b/>
                <w:sz w:val="20"/>
              </w:rPr>
            </w:pPr>
            <w:r w:rsidRPr="00FF4D1E">
              <w:rPr>
                <w:rFonts w:ascii="Arial Narrow" w:hAnsi="Arial Narrow"/>
                <w:b/>
                <w:sz w:val="20"/>
              </w:rPr>
              <w:t>Treatment criteria:</w:t>
            </w:r>
          </w:p>
        </w:tc>
        <w:tc>
          <w:tcPr>
            <w:tcW w:w="6379" w:type="dxa"/>
            <w:gridSpan w:val="6"/>
            <w:tcBorders>
              <w:top w:val="single" w:sz="4" w:space="0" w:color="auto"/>
              <w:left w:val="single" w:sz="4" w:space="0" w:color="auto"/>
              <w:bottom w:val="single" w:sz="4" w:space="0" w:color="auto"/>
              <w:right w:val="single" w:sz="4" w:space="0" w:color="auto"/>
            </w:tcBorders>
          </w:tcPr>
          <w:p w:rsidR="00B37B69" w:rsidRPr="00D86C32" w:rsidRDefault="00B37B69" w:rsidP="00B37B69">
            <w:pPr>
              <w:rPr>
                <w:rFonts w:ascii="Arial Narrow" w:hAnsi="Arial Narrow"/>
                <w:sz w:val="20"/>
              </w:rPr>
            </w:pPr>
            <w:r w:rsidRPr="007B4B92">
              <w:rPr>
                <w:rFonts w:ascii="Arial Narrow" w:hAnsi="Arial Narrow"/>
                <w:sz w:val="20"/>
              </w:rPr>
              <w:t>Must be treated by a neurologist.</w:t>
            </w:r>
          </w:p>
        </w:tc>
      </w:tr>
      <w:tr w:rsidR="00B37B69" w:rsidRPr="00FF4D1E" w:rsidTr="00B37B69">
        <w:trPr>
          <w:cantSplit/>
          <w:trHeight w:val="360"/>
        </w:trPr>
        <w:tc>
          <w:tcPr>
            <w:tcW w:w="2835" w:type="dxa"/>
            <w:tcBorders>
              <w:top w:val="single" w:sz="4" w:space="0" w:color="auto"/>
              <w:left w:val="single" w:sz="4" w:space="0" w:color="auto"/>
              <w:bottom w:val="single" w:sz="4" w:space="0" w:color="auto"/>
              <w:right w:val="single" w:sz="4" w:space="0" w:color="auto"/>
            </w:tcBorders>
          </w:tcPr>
          <w:p w:rsidR="00B37B69" w:rsidRPr="00AD41E0" w:rsidRDefault="00B37B69" w:rsidP="00B37B69">
            <w:pPr>
              <w:rPr>
                <w:rFonts w:ascii="Arial Narrow" w:hAnsi="Arial Narrow"/>
                <w:b/>
                <w:sz w:val="20"/>
              </w:rPr>
            </w:pPr>
            <w:r w:rsidRPr="00FF4D1E">
              <w:rPr>
                <w:rFonts w:ascii="Arial Narrow" w:hAnsi="Arial Narrow"/>
                <w:b/>
                <w:sz w:val="20"/>
              </w:rPr>
              <w:t>Clinical criteria:</w:t>
            </w:r>
          </w:p>
          <w:p w:rsidR="00B37B69" w:rsidRPr="00D86C32" w:rsidRDefault="00B37B69" w:rsidP="00B37B69">
            <w:pPr>
              <w:rPr>
                <w:rFonts w:ascii="Arial Narrow" w:hAnsi="Arial Narrow"/>
                <w:i/>
                <w:sz w:val="20"/>
              </w:rPr>
            </w:pPr>
          </w:p>
          <w:p w:rsidR="00B37B69" w:rsidRPr="00666657" w:rsidRDefault="00B37B69" w:rsidP="00B37B69">
            <w:pPr>
              <w:rPr>
                <w:rFonts w:ascii="Arial Narrow" w:hAnsi="Arial Narrow"/>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B37B69" w:rsidRPr="007B4B92" w:rsidRDefault="00B37B69" w:rsidP="00B37B69">
            <w:pPr>
              <w:pStyle w:val="Table"/>
              <w:rPr>
                <w:rFonts w:ascii="Arial Narrow" w:hAnsi="Arial Narrow"/>
                <w:strike/>
                <w:szCs w:val="20"/>
                <w:u w:val="single"/>
              </w:rPr>
            </w:pPr>
            <w:r w:rsidRPr="007B4B92">
              <w:rPr>
                <w:rFonts w:ascii="Arial Narrow" w:hAnsi="Arial Narrow"/>
                <w:strike/>
                <w:szCs w:val="20"/>
                <w:u w:val="single"/>
              </w:rPr>
              <w:t>Intractable partial epileptic seizures</w:t>
            </w:r>
          </w:p>
          <w:p w:rsidR="00B37B69" w:rsidRPr="007B4B92" w:rsidRDefault="00B37B69" w:rsidP="00B37B69">
            <w:pPr>
              <w:pStyle w:val="xmsonormal"/>
              <w:shd w:val="clear" w:color="auto" w:fill="FFFFFF"/>
              <w:spacing w:before="0" w:beforeAutospacing="0" w:after="0" w:afterAutospacing="0"/>
              <w:rPr>
                <w:rFonts w:ascii="Arial Narrow" w:hAnsi="Arial Narrow"/>
                <w:sz w:val="20"/>
                <w:szCs w:val="20"/>
              </w:rPr>
            </w:pPr>
            <w:r w:rsidRPr="007B4B92">
              <w:rPr>
                <w:rFonts w:ascii="Arial Narrow" w:hAnsi="Arial Narrow"/>
                <w:sz w:val="20"/>
                <w:szCs w:val="20"/>
              </w:rPr>
              <w:t>The condition must have failed to be controlled satisfactorily by other anti-epileptic drugs, which includes at least one first-line anti-epileptic agent and at least two second-line adjunctive anti-epileptic agents.</w:t>
            </w:r>
          </w:p>
          <w:p w:rsidR="00B37B69" w:rsidRPr="007B4B92" w:rsidRDefault="00B37B69" w:rsidP="00B37B69">
            <w:pPr>
              <w:pStyle w:val="xmsonormal"/>
              <w:shd w:val="clear" w:color="auto" w:fill="FFFFFF"/>
              <w:spacing w:before="0" w:beforeAutospacing="0" w:after="0" w:afterAutospacing="0"/>
              <w:rPr>
                <w:rFonts w:ascii="Arial Narrow" w:hAnsi="Arial Narrow"/>
                <w:sz w:val="20"/>
                <w:szCs w:val="20"/>
              </w:rPr>
            </w:pPr>
          </w:p>
          <w:p w:rsidR="00B37B69" w:rsidRPr="007B4B92" w:rsidRDefault="00B37B69" w:rsidP="00B37B69">
            <w:pPr>
              <w:pStyle w:val="xmsonormal"/>
              <w:shd w:val="clear" w:color="auto" w:fill="FFFFFF"/>
              <w:spacing w:before="0" w:beforeAutospacing="0" w:after="0" w:afterAutospacing="0"/>
              <w:rPr>
                <w:rFonts w:ascii="Arial Narrow" w:hAnsi="Arial Narrow"/>
                <w:sz w:val="20"/>
                <w:szCs w:val="20"/>
              </w:rPr>
            </w:pPr>
            <w:r w:rsidRPr="007B4B92">
              <w:rPr>
                <w:rFonts w:ascii="Arial Narrow" w:hAnsi="Arial Narrow"/>
                <w:sz w:val="20"/>
                <w:szCs w:val="20"/>
              </w:rPr>
              <w:t>OR</w:t>
            </w:r>
          </w:p>
          <w:p w:rsidR="00B37B69" w:rsidRPr="007B4B92" w:rsidRDefault="00B37B69" w:rsidP="00B37B69">
            <w:pPr>
              <w:rPr>
                <w:rFonts w:ascii="Arial Narrow" w:hAnsi="Arial Narrow"/>
                <w:sz w:val="20"/>
              </w:rPr>
            </w:pPr>
          </w:p>
          <w:p w:rsidR="00B37B69" w:rsidRPr="007B4B92" w:rsidRDefault="00B37B69" w:rsidP="00B37B69">
            <w:pPr>
              <w:rPr>
                <w:rFonts w:ascii="Arial Narrow" w:hAnsi="Arial Narrow"/>
                <w:sz w:val="20"/>
              </w:rPr>
            </w:pPr>
            <w:r w:rsidRPr="007B4B92">
              <w:rPr>
                <w:rFonts w:ascii="Arial Narrow" w:hAnsi="Arial Narrow"/>
                <w:sz w:val="20"/>
              </w:rPr>
              <w:t xml:space="preserve">The condition </w:t>
            </w:r>
            <w:proofErr w:type="gramStart"/>
            <w:r w:rsidRPr="007B4B92">
              <w:rPr>
                <w:rFonts w:ascii="Arial Narrow" w:hAnsi="Arial Narrow"/>
                <w:strike/>
                <w:sz w:val="20"/>
              </w:rPr>
              <w:t>is</w:t>
            </w:r>
            <w:r w:rsidRPr="007B4B92">
              <w:rPr>
                <w:rFonts w:ascii="Arial Narrow" w:hAnsi="Arial Narrow"/>
                <w:sz w:val="20"/>
              </w:rPr>
              <w:t xml:space="preserve"> </w:t>
            </w:r>
            <w:r w:rsidRPr="007B4B92">
              <w:rPr>
                <w:rFonts w:ascii="Arial Narrow" w:hAnsi="Arial Narrow"/>
                <w:i/>
                <w:sz w:val="20"/>
              </w:rPr>
              <w:t>was</w:t>
            </w:r>
            <w:proofErr w:type="gramEnd"/>
            <w:r>
              <w:rPr>
                <w:rFonts w:ascii="Arial Narrow" w:hAnsi="Arial Narrow"/>
                <w:sz w:val="20"/>
              </w:rPr>
              <w:t xml:space="preserve"> </w:t>
            </w:r>
            <w:r w:rsidRPr="007B4B92">
              <w:rPr>
                <w:rFonts w:ascii="Arial Narrow" w:hAnsi="Arial Narrow"/>
                <w:sz w:val="20"/>
              </w:rPr>
              <w:t xml:space="preserve">controlled satisfactorily by </w:t>
            </w:r>
            <w:proofErr w:type="spellStart"/>
            <w:r w:rsidRPr="007B4B92">
              <w:rPr>
                <w:rFonts w:ascii="Arial Narrow" w:hAnsi="Arial Narrow"/>
                <w:sz w:val="20"/>
              </w:rPr>
              <w:t>levetiracetam</w:t>
            </w:r>
            <w:proofErr w:type="spellEnd"/>
            <w:r w:rsidRPr="007B4B92">
              <w:rPr>
                <w:rFonts w:ascii="Arial Narrow" w:hAnsi="Arial Narrow"/>
                <w:sz w:val="20"/>
              </w:rPr>
              <w:t xml:space="preserve"> but the patient </w:t>
            </w:r>
            <w:r w:rsidRPr="007B4B92">
              <w:rPr>
                <w:rFonts w:ascii="Arial Narrow" w:hAnsi="Arial Narrow"/>
                <w:strike/>
                <w:sz w:val="20"/>
              </w:rPr>
              <w:t>is</w:t>
            </w:r>
            <w:r w:rsidRPr="007B4B92">
              <w:rPr>
                <w:rFonts w:ascii="Arial Narrow" w:hAnsi="Arial Narrow"/>
                <w:sz w:val="20"/>
              </w:rPr>
              <w:t xml:space="preserve"> </w:t>
            </w:r>
            <w:r>
              <w:rPr>
                <w:rFonts w:ascii="Arial Narrow" w:hAnsi="Arial Narrow"/>
                <w:i/>
                <w:sz w:val="20"/>
              </w:rPr>
              <w:t xml:space="preserve">must </w:t>
            </w:r>
            <w:r w:rsidRPr="007B4B92">
              <w:rPr>
                <w:rFonts w:ascii="Arial Narrow" w:hAnsi="Arial Narrow"/>
                <w:i/>
                <w:sz w:val="20"/>
              </w:rPr>
              <w:t>be</w:t>
            </w:r>
            <w:r>
              <w:rPr>
                <w:rFonts w:ascii="Arial Narrow" w:hAnsi="Arial Narrow"/>
                <w:sz w:val="20"/>
              </w:rPr>
              <w:t xml:space="preserve"> </w:t>
            </w:r>
            <w:r w:rsidRPr="007B4B92">
              <w:rPr>
                <w:rFonts w:ascii="Arial Narrow" w:hAnsi="Arial Narrow"/>
                <w:sz w:val="20"/>
              </w:rPr>
              <w:t>unable to tolerate continued use due to adverse effects.</w:t>
            </w:r>
          </w:p>
          <w:p w:rsidR="00B37B69" w:rsidRPr="007B4B92" w:rsidRDefault="00B37B69" w:rsidP="00B37B69">
            <w:pPr>
              <w:rPr>
                <w:rFonts w:ascii="Arial Narrow" w:hAnsi="Arial Narrow"/>
                <w:sz w:val="20"/>
              </w:rPr>
            </w:pPr>
          </w:p>
          <w:p w:rsidR="00B37B69" w:rsidRPr="007B4B92" w:rsidRDefault="00B37B69" w:rsidP="00B37B69">
            <w:pPr>
              <w:rPr>
                <w:rFonts w:ascii="Arial Narrow" w:hAnsi="Arial Narrow"/>
                <w:sz w:val="20"/>
              </w:rPr>
            </w:pPr>
            <w:r w:rsidRPr="007B4B92">
              <w:rPr>
                <w:rFonts w:ascii="Arial Narrow" w:hAnsi="Arial Narrow"/>
                <w:sz w:val="20"/>
              </w:rPr>
              <w:t>AND</w:t>
            </w:r>
          </w:p>
          <w:p w:rsidR="00B37B69" w:rsidRPr="007B4B92" w:rsidRDefault="00B37B69" w:rsidP="00B37B69">
            <w:pPr>
              <w:rPr>
                <w:rFonts w:ascii="Arial Narrow" w:hAnsi="Arial Narrow"/>
                <w:sz w:val="20"/>
              </w:rPr>
            </w:pPr>
          </w:p>
          <w:p w:rsidR="00B37B69" w:rsidRPr="007B4B92" w:rsidRDefault="00B37B69" w:rsidP="00B37B69">
            <w:pPr>
              <w:rPr>
                <w:rFonts w:ascii="Arial Narrow" w:hAnsi="Arial Narrow"/>
                <w:sz w:val="20"/>
              </w:rPr>
            </w:pPr>
            <w:r w:rsidRPr="007B4B92">
              <w:rPr>
                <w:rFonts w:ascii="Arial Narrow" w:hAnsi="Arial Narrow"/>
                <w:sz w:val="20"/>
              </w:rPr>
              <w:t xml:space="preserve">Patient must be unable to take a solid dose form of </w:t>
            </w:r>
            <w:r w:rsidRPr="007B4B92">
              <w:rPr>
                <w:rFonts w:ascii="Arial Narrow" w:hAnsi="Arial Narrow"/>
                <w:i/>
                <w:sz w:val="20"/>
              </w:rPr>
              <w:t>this drug</w:t>
            </w:r>
            <w:r w:rsidRPr="007B4B92">
              <w:rPr>
                <w:rFonts w:ascii="Arial Narrow" w:hAnsi="Arial Narrow"/>
                <w:sz w:val="20"/>
              </w:rPr>
              <w:t xml:space="preserve"> </w:t>
            </w:r>
            <w:proofErr w:type="spellStart"/>
            <w:r w:rsidRPr="007B4B92">
              <w:rPr>
                <w:rFonts w:ascii="Arial Narrow" w:hAnsi="Arial Narrow"/>
                <w:strike/>
                <w:sz w:val="20"/>
              </w:rPr>
              <w:t>brivaracetam</w:t>
            </w:r>
            <w:proofErr w:type="spellEnd"/>
            <w:r w:rsidRPr="007B4B92">
              <w:rPr>
                <w:rFonts w:ascii="Arial Narrow" w:hAnsi="Arial Narrow"/>
                <w:sz w:val="20"/>
              </w:rPr>
              <w:t>.</w:t>
            </w:r>
          </w:p>
          <w:p w:rsidR="00B37B69" w:rsidRPr="00FF4D1E" w:rsidRDefault="00B37B69" w:rsidP="00B37B69">
            <w:pPr>
              <w:rPr>
                <w:rFonts w:ascii="Arial Narrow" w:hAnsi="Arial Narrow"/>
                <w:sz w:val="20"/>
              </w:rPr>
            </w:pPr>
          </w:p>
        </w:tc>
      </w:tr>
      <w:tr w:rsidR="00B37B69" w:rsidRPr="00FF4D1E" w:rsidTr="00B37B69">
        <w:trPr>
          <w:cantSplit/>
          <w:trHeight w:val="360"/>
        </w:trPr>
        <w:tc>
          <w:tcPr>
            <w:tcW w:w="2835" w:type="dxa"/>
            <w:tcBorders>
              <w:top w:val="single" w:sz="4" w:space="0" w:color="auto"/>
              <w:left w:val="single" w:sz="4" w:space="0" w:color="auto"/>
              <w:bottom w:val="single" w:sz="4" w:space="0" w:color="auto"/>
              <w:right w:val="single" w:sz="4" w:space="0" w:color="auto"/>
            </w:tcBorders>
          </w:tcPr>
          <w:p w:rsidR="00B37B69" w:rsidRPr="009A1DD8" w:rsidRDefault="00B37B69" w:rsidP="00B37B69">
            <w:pPr>
              <w:rPr>
                <w:rFonts w:ascii="Arial Narrow" w:hAnsi="Arial Narrow"/>
                <w:b/>
                <w:sz w:val="20"/>
              </w:rPr>
            </w:pPr>
            <w:r w:rsidRPr="00FF4D1E">
              <w:rPr>
                <w:rFonts w:ascii="Arial Narrow" w:hAnsi="Arial Narrow"/>
                <w:b/>
                <w:sz w:val="20"/>
              </w:rPr>
              <w:t>Population criteria:</w:t>
            </w:r>
          </w:p>
        </w:tc>
        <w:tc>
          <w:tcPr>
            <w:tcW w:w="6379" w:type="dxa"/>
            <w:gridSpan w:val="6"/>
            <w:tcBorders>
              <w:top w:val="single" w:sz="4" w:space="0" w:color="auto"/>
              <w:left w:val="single" w:sz="4" w:space="0" w:color="auto"/>
              <w:bottom w:val="single" w:sz="4" w:space="0" w:color="auto"/>
              <w:right w:val="single" w:sz="4" w:space="0" w:color="auto"/>
            </w:tcBorders>
          </w:tcPr>
          <w:p w:rsidR="00B37B69" w:rsidRPr="00FF4D1E" w:rsidRDefault="00B37B69" w:rsidP="00B37B69">
            <w:pPr>
              <w:rPr>
                <w:rFonts w:ascii="Arial Narrow" w:hAnsi="Arial Narrow"/>
                <w:sz w:val="20"/>
              </w:rPr>
            </w:pPr>
            <w:r w:rsidRPr="007B4B92">
              <w:rPr>
                <w:rFonts w:ascii="Arial Narrow" w:hAnsi="Arial Narrow"/>
                <w:sz w:val="20"/>
              </w:rPr>
              <w:t>Patient must be aged 16 years or older.</w:t>
            </w:r>
          </w:p>
        </w:tc>
      </w:tr>
      <w:tr w:rsidR="00B37B69" w:rsidRPr="00FF4D1E" w:rsidTr="00B37B69">
        <w:trPr>
          <w:cantSplit/>
          <w:trHeight w:val="360"/>
        </w:trPr>
        <w:tc>
          <w:tcPr>
            <w:tcW w:w="2835" w:type="dxa"/>
            <w:tcBorders>
              <w:top w:val="single" w:sz="4" w:space="0" w:color="auto"/>
              <w:left w:val="single" w:sz="4" w:space="0" w:color="auto"/>
              <w:bottom w:val="single" w:sz="4" w:space="0" w:color="auto"/>
              <w:right w:val="single" w:sz="4" w:space="0" w:color="auto"/>
            </w:tcBorders>
          </w:tcPr>
          <w:p w:rsidR="00B37B69" w:rsidRPr="00AD41E0" w:rsidRDefault="00B37B69" w:rsidP="00B37B69">
            <w:pPr>
              <w:rPr>
                <w:rFonts w:ascii="Arial Narrow" w:hAnsi="Arial Narrow"/>
                <w:b/>
                <w:sz w:val="20"/>
              </w:rPr>
            </w:pPr>
            <w:r w:rsidRPr="00FF4D1E">
              <w:rPr>
                <w:rFonts w:ascii="Arial Narrow" w:hAnsi="Arial Narrow"/>
                <w:b/>
                <w:sz w:val="20"/>
              </w:rPr>
              <w:t>Administrative Advice</w:t>
            </w:r>
          </w:p>
          <w:p w:rsidR="00B37B69" w:rsidRPr="00D86C32" w:rsidRDefault="00B37B69" w:rsidP="00B37B69">
            <w:pPr>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B37B69" w:rsidRDefault="00B37B69" w:rsidP="00B37B69">
            <w:pPr>
              <w:rPr>
                <w:rFonts w:ascii="Arial Narrow" w:hAnsi="Arial Narrow"/>
                <w:i/>
                <w:sz w:val="20"/>
              </w:rPr>
            </w:pPr>
            <w:r w:rsidRPr="007B4B92">
              <w:rPr>
                <w:rFonts w:ascii="Arial Narrow" w:hAnsi="Arial Narrow"/>
                <w:i/>
                <w:sz w:val="20"/>
              </w:rPr>
              <w:t>Continuing therapy only:  For prescribing by nurse practitioners as continuing therapy only, where the treatment of, and prescribing of medicine for, a patient has been initiated by a medical practitioner. Further information can be found in the Explanatory Notes for Nurse Practitioners.</w:t>
            </w:r>
          </w:p>
          <w:p w:rsidR="00B37B69" w:rsidRDefault="00B37B69" w:rsidP="00B37B69">
            <w:pPr>
              <w:rPr>
                <w:rFonts w:ascii="Arial Narrow" w:hAnsi="Arial Narrow"/>
                <w:i/>
                <w:sz w:val="20"/>
              </w:rPr>
            </w:pPr>
          </w:p>
          <w:p w:rsidR="00B37B69" w:rsidRPr="00F275D3" w:rsidRDefault="00B37B69" w:rsidP="00B37B69">
            <w:pPr>
              <w:rPr>
                <w:rFonts w:ascii="Arial Narrow" w:hAnsi="Arial Narrow"/>
                <w:i/>
                <w:sz w:val="20"/>
              </w:rPr>
            </w:pPr>
            <w:r w:rsidRPr="00602AF1">
              <w:rPr>
                <w:rFonts w:ascii="Arial Narrow" w:hAnsi="Arial Narrow"/>
                <w:i/>
                <w:sz w:val="20"/>
              </w:rPr>
              <w:t>Special Pricing Arrangements apply</w:t>
            </w:r>
          </w:p>
        </w:tc>
      </w:tr>
    </w:tbl>
    <w:p w:rsidR="00E42B39" w:rsidRPr="00B13E20" w:rsidRDefault="00E42B39" w:rsidP="000321D8">
      <w:pPr>
        <w:pStyle w:val="TableFooter"/>
        <w:ind w:left="851"/>
        <w:rPr>
          <w:i/>
        </w:rPr>
      </w:pPr>
      <w:r w:rsidRPr="00B13E20">
        <w:rPr>
          <w:i/>
        </w:rPr>
        <w:t>.</w:t>
      </w:r>
    </w:p>
    <w:p w:rsidR="00E42B39" w:rsidRPr="00882085" w:rsidRDefault="00E42B39" w:rsidP="00E42B39"/>
    <w:p w:rsidR="003C132F" w:rsidRPr="00E2098F" w:rsidRDefault="003C132F" w:rsidP="005E4448">
      <w:pPr>
        <w:pStyle w:val="ListParagraph"/>
        <w:widowControl/>
        <w:numPr>
          <w:ilvl w:val="1"/>
          <w:numId w:val="2"/>
        </w:numPr>
        <w:rPr>
          <w:szCs w:val="22"/>
        </w:rPr>
      </w:pPr>
      <w:r w:rsidRPr="00E2098F">
        <w:rPr>
          <w:szCs w:val="22"/>
        </w:rPr>
        <w:t xml:space="preserve">The submission proposed two </w:t>
      </w:r>
      <w:r w:rsidR="00F56048" w:rsidRPr="00E2098F">
        <w:rPr>
          <w:szCs w:val="22"/>
        </w:rPr>
        <w:t>formulations</w:t>
      </w:r>
      <w:r w:rsidRPr="00E2098F">
        <w:rPr>
          <w:szCs w:val="22"/>
        </w:rPr>
        <w:t xml:space="preserve"> of </w:t>
      </w:r>
      <w:proofErr w:type="spellStart"/>
      <w:r w:rsidRPr="00E2098F">
        <w:rPr>
          <w:szCs w:val="22"/>
        </w:rPr>
        <w:t>brivaracetam</w:t>
      </w:r>
      <w:proofErr w:type="spellEnd"/>
      <w:r w:rsidRPr="00E2098F">
        <w:rPr>
          <w:szCs w:val="22"/>
        </w:rPr>
        <w:t xml:space="preserve"> to be listed on the PBS: tablets and oral </w:t>
      </w:r>
      <w:r w:rsidR="003D17BC" w:rsidRPr="00E2098F">
        <w:rPr>
          <w:szCs w:val="22"/>
        </w:rPr>
        <w:t>solution</w:t>
      </w:r>
      <w:r w:rsidRPr="00E2098F">
        <w:rPr>
          <w:szCs w:val="22"/>
        </w:rPr>
        <w:t>. The liquid presentation is intended for use in patients unable to consume and swallow oral tablets</w:t>
      </w:r>
      <w:r w:rsidR="003D17BC" w:rsidRPr="00E2098F">
        <w:rPr>
          <w:szCs w:val="22"/>
        </w:rPr>
        <w:t>.</w:t>
      </w:r>
      <w:r w:rsidRPr="00E2098F">
        <w:rPr>
          <w:szCs w:val="22"/>
        </w:rPr>
        <w:t xml:space="preserve"> A price premium of </w:t>
      </w:r>
      <w:r w:rsidR="00534A2B">
        <w:rPr>
          <w:noProof/>
          <w:color w:val="000000"/>
          <w:szCs w:val="22"/>
          <w:highlight w:val="black"/>
        </w:rPr>
        <w:t>''''''</w:t>
      </w:r>
      <w:r w:rsidRPr="00E2098F">
        <w:rPr>
          <w:szCs w:val="22"/>
        </w:rPr>
        <w:t xml:space="preserve">% for oral liquids over tablets was proposed at an ex-manufacturer price level (per bottle vs per pack). </w:t>
      </w:r>
      <w:r w:rsidRPr="00E2098F">
        <w:rPr>
          <w:szCs w:val="22"/>
        </w:rPr>
        <w:lastRenderedPageBreak/>
        <w:t xml:space="preserve">The submission argued that smaller prescription volumes apply to liquid presentations, relative to oral tablets, resulting in a higher requested price for the liquid </w:t>
      </w:r>
      <w:r w:rsidR="008D094F" w:rsidRPr="00E2098F">
        <w:rPr>
          <w:szCs w:val="22"/>
        </w:rPr>
        <w:t>due to</w:t>
      </w:r>
      <w:r w:rsidRPr="00E2098F">
        <w:rPr>
          <w:szCs w:val="22"/>
        </w:rPr>
        <w:t xml:space="preserve"> diseconomies of scale. The submission </w:t>
      </w:r>
      <w:r w:rsidR="003D17BC" w:rsidRPr="00E2098F">
        <w:rPr>
          <w:szCs w:val="22"/>
        </w:rPr>
        <w:t xml:space="preserve">did not provide further details on how the magnitude of the price premium </w:t>
      </w:r>
      <w:r w:rsidR="00706966" w:rsidRPr="00E2098F">
        <w:rPr>
          <w:szCs w:val="22"/>
        </w:rPr>
        <w:t>(</w:t>
      </w:r>
      <w:proofErr w:type="gramStart"/>
      <w:r w:rsidR="00534A2B">
        <w:rPr>
          <w:noProof/>
          <w:color w:val="000000"/>
          <w:szCs w:val="22"/>
          <w:highlight w:val="black"/>
        </w:rPr>
        <w:t>''''''</w:t>
      </w:r>
      <w:r w:rsidR="00706966" w:rsidRPr="00E2098F">
        <w:rPr>
          <w:szCs w:val="22"/>
        </w:rPr>
        <w:t>%</w:t>
      </w:r>
      <w:proofErr w:type="gramEnd"/>
      <w:r w:rsidR="00706966" w:rsidRPr="00E2098F">
        <w:rPr>
          <w:szCs w:val="22"/>
        </w:rPr>
        <w:t xml:space="preserve">) </w:t>
      </w:r>
      <w:r w:rsidR="003D17BC" w:rsidRPr="00E2098F">
        <w:rPr>
          <w:szCs w:val="22"/>
        </w:rPr>
        <w:t xml:space="preserve">was determined. </w:t>
      </w:r>
    </w:p>
    <w:p w:rsidR="003D17BC" w:rsidRPr="00E2098F" w:rsidRDefault="003D17BC" w:rsidP="003D17BC">
      <w:pPr>
        <w:pStyle w:val="ListParagraph"/>
        <w:widowControl/>
        <w:rPr>
          <w:szCs w:val="22"/>
        </w:rPr>
      </w:pPr>
    </w:p>
    <w:p w:rsidR="00E42B39" w:rsidRPr="005E0FD1" w:rsidRDefault="00E6758C" w:rsidP="005E0FD1">
      <w:pPr>
        <w:pStyle w:val="ListParagraph"/>
        <w:widowControl/>
        <w:numPr>
          <w:ilvl w:val="1"/>
          <w:numId w:val="2"/>
        </w:numPr>
        <w:rPr>
          <w:szCs w:val="22"/>
        </w:rPr>
      </w:pPr>
      <w:r w:rsidRPr="00E2098F">
        <w:t xml:space="preserve">The proposed PBS restriction allows for the use of </w:t>
      </w:r>
      <w:proofErr w:type="spellStart"/>
      <w:r w:rsidRPr="00E2098F">
        <w:t>brivaracetam</w:t>
      </w:r>
      <w:proofErr w:type="spellEnd"/>
      <w:r w:rsidRPr="00E2098F">
        <w:t xml:space="preserve"> either as monotherapy or in combination with other antiepileptic drugs (AEDs) for partial onset seizures (POS). </w:t>
      </w:r>
      <w:r w:rsidR="00A504CB" w:rsidRPr="005E0FD1">
        <w:rPr>
          <w:rStyle w:val="FontUnderlined"/>
          <w:rFonts w:ascii="Arial" w:hAnsi="Arial"/>
          <w:sz w:val="22"/>
          <w:u w:val="none"/>
        </w:rPr>
        <w:t>The Sponsor stated in the Pre Sub-Committee Response (PSCR</w:t>
      </w:r>
      <w:proofErr w:type="gramStart"/>
      <w:r w:rsidR="00A504CB" w:rsidRPr="005E0FD1">
        <w:rPr>
          <w:rStyle w:val="FontUnderlined"/>
          <w:rFonts w:ascii="Arial" w:hAnsi="Arial"/>
          <w:sz w:val="22"/>
          <w:u w:val="none"/>
        </w:rPr>
        <w:t>)  that</w:t>
      </w:r>
      <w:proofErr w:type="gramEnd"/>
      <w:r w:rsidR="00A504CB" w:rsidRPr="005E0FD1">
        <w:rPr>
          <w:rStyle w:val="FontUnderlined"/>
          <w:rFonts w:ascii="Arial" w:hAnsi="Arial"/>
          <w:sz w:val="22"/>
          <w:u w:val="none"/>
        </w:rPr>
        <w:t xml:space="preserve"> they did not intend for the listing to allow for </w:t>
      </w:r>
      <w:proofErr w:type="spellStart"/>
      <w:r w:rsidR="00A504CB" w:rsidRPr="005E0FD1">
        <w:rPr>
          <w:rStyle w:val="FontUnderlined"/>
          <w:rFonts w:ascii="Arial" w:hAnsi="Arial"/>
          <w:sz w:val="22"/>
          <w:u w:val="none"/>
        </w:rPr>
        <w:t>brivaracetam</w:t>
      </w:r>
      <w:proofErr w:type="spellEnd"/>
      <w:r w:rsidR="00A504CB" w:rsidRPr="005E0FD1">
        <w:rPr>
          <w:rStyle w:val="FontUnderlined"/>
          <w:rFonts w:ascii="Arial" w:hAnsi="Arial"/>
          <w:sz w:val="22"/>
          <w:u w:val="none"/>
        </w:rPr>
        <w:t xml:space="preserve"> monotherapy and agreed with wording the restriction so that </w:t>
      </w:r>
      <w:proofErr w:type="spellStart"/>
      <w:r w:rsidR="00A504CB" w:rsidRPr="005E0FD1">
        <w:rPr>
          <w:rStyle w:val="FontUnderlined"/>
          <w:rFonts w:ascii="Arial" w:hAnsi="Arial"/>
          <w:sz w:val="22"/>
          <w:u w:val="none"/>
        </w:rPr>
        <w:t>brivaracetam</w:t>
      </w:r>
      <w:proofErr w:type="spellEnd"/>
      <w:r w:rsidR="00A504CB" w:rsidRPr="005E0FD1">
        <w:rPr>
          <w:rStyle w:val="FontUnderlined"/>
          <w:rFonts w:ascii="Arial" w:hAnsi="Arial"/>
          <w:sz w:val="22"/>
          <w:u w:val="none"/>
        </w:rPr>
        <w:t xml:space="preserve"> was available only as an add-on therapy. The ESC suggested wording</w:t>
      </w:r>
      <w:r w:rsidR="00823211" w:rsidRPr="005E0FD1">
        <w:rPr>
          <w:rStyle w:val="FontUnderlined"/>
          <w:rFonts w:ascii="Arial" w:hAnsi="Arial"/>
          <w:sz w:val="22"/>
          <w:u w:val="none"/>
        </w:rPr>
        <w:t xml:space="preserve"> </w:t>
      </w:r>
      <w:proofErr w:type="gramStart"/>
      <w:r w:rsidR="00823211" w:rsidRPr="005E0FD1">
        <w:rPr>
          <w:rStyle w:val="FontUnderlined"/>
          <w:rFonts w:ascii="Arial" w:hAnsi="Arial"/>
          <w:sz w:val="22"/>
          <w:u w:val="none"/>
        </w:rPr>
        <w:t>be</w:t>
      </w:r>
      <w:proofErr w:type="gramEnd"/>
      <w:r w:rsidR="00823211" w:rsidRPr="005E0FD1">
        <w:rPr>
          <w:rStyle w:val="FontUnderlined"/>
          <w:rFonts w:ascii="Arial" w:hAnsi="Arial"/>
          <w:sz w:val="22"/>
          <w:u w:val="none"/>
        </w:rPr>
        <w:t xml:space="preserve"> added to</w:t>
      </w:r>
      <w:r w:rsidR="00A504CB" w:rsidRPr="005E0FD1">
        <w:rPr>
          <w:rStyle w:val="FontUnderlined"/>
          <w:rFonts w:ascii="Arial" w:hAnsi="Arial"/>
          <w:sz w:val="22"/>
          <w:u w:val="none"/>
        </w:rPr>
        <w:t xml:space="preserve"> the clinical criteria section </w:t>
      </w:r>
      <w:r w:rsidR="004D3ED5" w:rsidRPr="005E0FD1">
        <w:rPr>
          <w:rStyle w:val="FontUnderlined"/>
          <w:rFonts w:ascii="Arial" w:hAnsi="Arial"/>
          <w:sz w:val="22"/>
          <w:u w:val="none"/>
        </w:rPr>
        <w:t xml:space="preserve">of </w:t>
      </w:r>
      <w:r w:rsidR="00A504CB" w:rsidRPr="005E0FD1">
        <w:rPr>
          <w:rStyle w:val="FontUnderlined"/>
          <w:rFonts w:ascii="Arial" w:hAnsi="Arial"/>
          <w:sz w:val="22"/>
          <w:u w:val="none"/>
        </w:rPr>
        <w:t xml:space="preserve">the restriction </w:t>
      </w:r>
      <w:r w:rsidR="00A504CB" w:rsidRPr="0061066D">
        <w:rPr>
          <w:rStyle w:val="FontUnderlined"/>
          <w:rFonts w:ascii="Arial" w:hAnsi="Arial"/>
          <w:sz w:val="22"/>
          <w:u w:val="none"/>
        </w:rPr>
        <w:t>to indicate that treatment must be in conjunction with other anti-epileptic drugs.</w:t>
      </w:r>
      <w:r w:rsidR="005E0FD1" w:rsidRPr="0061066D">
        <w:rPr>
          <w:rStyle w:val="FontUnderlined"/>
          <w:rFonts w:ascii="Arial" w:hAnsi="Arial"/>
          <w:sz w:val="22"/>
          <w:u w:val="none"/>
        </w:rPr>
        <w:t xml:space="preserve"> </w:t>
      </w:r>
    </w:p>
    <w:p w:rsidR="00E42B39" w:rsidRPr="00E2098F" w:rsidRDefault="00E42B39" w:rsidP="00E42B39">
      <w:pPr>
        <w:pStyle w:val="ListParagraph"/>
        <w:rPr>
          <w:szCs w:val="22"/>
        </w:rPr>
      </w:pPr>
    </w:p>
    <w:p w:rsidR="00256237" w:rsidRPr="00BE04E4" w:rsidRDefault="00E42B39" w:rsidP="005E4448">
      <w:pPr>
        <w:pStyle w:val="ListParagraph"/>
        <w:widowControl/>
        <w:numPr>
          <w:ilvl w:val="1"/>
          <w:numId w:val="2"/>
        </w:numPr>
        <w:rPr>
          <w:szCs w:val="22"/>
        </w:rPr>
      </w:pPr>
      <w:r w:rsidRPr="00E2098F">
        <w:rPr>
          <w:szCs w:val="22"/>
        </w:rPr>
        <w:t xml:space="preserve">The type of prescribers includes nurse practitioners. </w:t>
      </w:r>
      <w:r w:rsidRPr="00E2098F">
        <w:t xml:space="preserve">Prescribing by nurse practitioners only applies for continuing therapy with </w:t>
      </w:r>
      <w:proofErr w:type="spellStart"/>
      <w:r w:rsidRPr="00E2098F">
        <w:t>lacosamide</w:t>
      </w:r>
      <w:proofErr w:type="spellEnd"/>
      <w:r w:rsidRPr="00E2098F">
        <w:t xml:space="preserve">, where the treatment of, and prescribing of the drug has been initiated by a medical practitioner. No initiation or continuation criteria were specified for </w:t>
      </w:r>
      <w:proofErr w:type="spellStart"/>
      <w:r w:rsidRPr="00E2098F">
        <w:t>brivaracetam</w:t>
      </w:r>
      <w:proofErr w:type="spellEnd"/>
      <w:r w:rsidRPr="00E2098F">
        <w:t>.</w:t>
      </w:r>
    </w:p>
    <w:p w:rsidR="00256237" w:rsidRPr="00E2098F" w:rsidRDefault="00256237" w:rsidP="00E42B39">
      <w:pPr>
        <w:widowControl/>
        <w:rPr>
          <w:szCs w:val="22"/>
        </w:rPr>
      </w:pPr>
    </w:p>
    <w:p w:rsidR="00E6758C" w:rsidRPr="00E2098F" w:rsidRDefault="00E6758C" w:rsidP="005E4448">
      <w:pPr>
        <w:pStyle w:val="ListParagraph"/>
        <w:widowControl/>
        <w:numPr>
          <w:ilvl w:val="1"/>
          <w:numId w:val="2"/>
        </w:numPr>
        <w:rPr>
          <w:szCs w:val="22"/>
        </w:rPr>
      </w:pPr>
      <w:r w:rsidRPr="00E2098F">
        <w:t xml:space="preserve">The European Medicines Association (EMA) assessment report for </w:t>
      </w:r>
      <w:proofErr w:type="spellStart"/>
      <w:r w:rsidRPr="00E2098F">
        <w:t>brivaracetam</w:t>
      </w:r>
      <w:proofErr w:type="spellEnd"/>
      <w:r w:rsidRPr="00E2098F">
        <w:t xml:space="preserve"> (EMA/CHMP/822086/2015; p87) stated that subjects with concomitant </w:t>
      </w:r>
      <w:proofErr w:type="spellStart"/>
      <w:r w:rsidRPr="00E2098F">
        <w:t>levetiracetam</w:t>
      </w:r>
      <w:proofErr w:type="spellEnd"/>
      <w:r w:rsidRPr="00E2098F">
        <w:t xml:space="preserve"> had no benefit from </w:t>
      </w:r>
      <w:proofErr w:type="spellStart"/>
      <w:r w:rsidRPr="00E2098F">
        <w:t>brivaracetam</w:t>
      </w:r>
      <w:proofErr w:type="spellEnd"/>
      <w:r w:rsidRPr="00E2098F">
        <w:t xml:space="preserve">, and this may be due to competition between the compounds at the synaptic vesicle SV2A binding site. The Committee for Medicinal Products for Human Use (CHMP) also considered that the information on prior and concomitant use of </w:t>
      </w:r>
      <w:proofErr w:type="spellStart"/>
      <w:r w:rsidRPr="00E2098F">
        <w:t>levetiracetam</w:t>
      </w:r>
      <w:proofErr w:type="spellEnd"/>
      <w:r w:rsidRPr="00E2098F">
        <w:t xml:space="preserve"> was relevant to prescribers and should be reflected in the product information. The draft Product Information </w:t>
      </w:r>
      <w:r w:rsidR="009F0B8E">
        <w:t>for</w:t>
      </w:r>
      <w:r w:rsidRPr="00E2098F">
        <w:t xml:space="preserve"> </w:t>
      </w:r>
      <w:proofErr w:type="spellStart"/>
      <w:r w:rsidRPr="00E2098F">
        <w:t>brivaracetam</w:t>
      </w:r>
      <w:proofErr w:type="spellEnd"/>
      <w:r w:rsidRPr="00E2098F">
        <w:t xml:space="preserve"> mentions that in two of the key trials (1252 and 1253), approximately 20% of the patients were on concomitant </w:t>
      </w:r>
      <w:proofErr w:type="spellStart"/>
      <w:r w:rsidRPr="00E2098F">
        <w:t>levetiracetam</w:t>
      </w:r>
      <w:proofErr w:type="spellEnd"/>
      <w:r w:rsidR="009F0B8E">
        <w:t>, and</w:t>
      </w:r>
      <w:r w:rsidRPr="00E2098F">
        <w:t xml:space="preserve"> </w:t>
      </w:r>
      <w:r w:rsidR="009F0B8E">
        <w:t>a</w:t>
      </w:r>
      <w:r w:rsidRPr="00E2098F">
        <w:t xml:space="preserve">lthough the number of subjects was limited, there was no observed benefit versus placebo when </w:t>
      </w:r>
      <w:proofErr w:type="spellStart"/>
      <w:r w:rsidRPr="00E2098F">
        <w:t>brivaracetam</w:t>
      </w:r>
      <w:proofErr w:type="spellEnd"/>
      <w:r w:rsidRPr="00E2098F">
        <w:t xml:space="preserve"> was added to </w:t>
      </w:r>
      <w:proofErr w:type="spellStart"/>
      <w:r w:rsidRPr="00E2098F">
        <w:t>levetiracetam</w:t>
      </w:r>
      <w:proofErr w:type="spellEnd"/>
      <w:r w:rsidRPr="00E2098F">
        <w:t xml:space="preserve">. </w:t>
      </w:r>
      <w:r w:rsidR="00EE0829" w:rsidRPr="00006C26">
        <w:t xml:space="preserve">The ESC noted that the neuropsychiatric side-effects may also compound when </w:t>
      </w:r>
      <w:proofErr w:type="spellStart"/>
      <w:r w:rsidR="00EE0829" w:rsidRPr="00006C26">
        <w:t>brivaracetam</w:t>
      </w:r>
      <w:proofErr w:type="spellEnd"/>
      <w:r w:rsidR="00EE0829" w:rsidRPr="00006C26">
        <w:t xml:space="preserve"> and </w:t>
      </w:r>
      <w:proofErr w:type="spellStart"/>
      <w:r w:rsidR="00EE0829" w:rsidRPr="00006C26">
        <w:t>levetiracetam</w:t>
      </w:r>
      <w:proofErr w:type="spellEnd"/>
      <w:r w:rsidR="00EE0829" w:rsidRPr="00006C26">
        <w:t xml:space="preserve"> are used concomitantly, and the listing should exclude concomitant use.</w:t>
      </w:r>
      <w:r w:rsidR="0061066D">
        <w:t xml:space="preserve"> </w:t>
      </w:r>
      <w:r w:rsidR="0061066D" w:rsidRPr="0061066D">
        <w:rPr>
          <w:rStyle w:val="FontUnderlined"/>
          <w:rFonts w:ascii="Arial" w:hAnsi="Arial"/>
          <w:sz w:val="22"/>
          <w:u w:val="none"/>
        </w:rPr>
        <w:t xml:space="preserve">The PBAC </w:t>
      </w:r>
      <w:r w:rsidR="0061066D">
        <w:rPr>
          <w:rStyle w:val="FontUnderlined"/>
          <w:rFonts w:ascii="Arial" w:hAnsi="Arial"/>
          <w:sz w:val="22"/>
          <w:u w:val="none"/>
        </w:rPr>
        <w:t xml:space="preserve">considered that the listing should preclude concomitant use of </w:t>
      </w:r>
      <w:proofErr w:type="spellStart"/>
      <w:r w:rsidR="0061066D">
        <w:rPr>
          <w:rStyle w:val="FontUnderlined"/>
          <w:rFonts w:ascii="Arial" w:hAnsi="Arial"/>
          <w:sz w:val="22"/>
          <w:u w:val="none"/>
        </w:rPr>
        <w:t>brivaracetam</w:t>
      </w:r>
      <w:proofErr w:type="spellEnd"/>
      <w:r w:rsidR="0061066D">
        <w:rPr>
          <w:rStyle w:val="FontUnderlined"/>
          <w:rFonts w:ascii="Arial" w:hAnsi="Arial"/>
          <w:sz w:val="22"/>
          <w:u w:val="none"/>
        </w:rPr>
        <w:t xml:space="preserve"> and</w:t>
      </w:r>
      <w:r w:rsidR="0061066D" w:rsidRPr="0061066D">
        <w:rPr>
          <w:rStyle w:val="FontUnderlined"/>
          <w:rFonts w:ascii="Arial" w:hAnsi="Arial"/>
          <w:sz w:val="22"/>
          <w:u w:val="none"/>
        </w:rPr>
        <w:t xml:space="preserve"> </w:t>
      </w:r>
      <w:proofErr w:type="spellStart"/>
      <w:r w:rsidR="0061066D" w:rsidRPr="0061066D">
        <w:rPr>
          <w:rStyle w:val="FontUnderlined"/>
          <w:rFonts w:ascii="Arial" w:hAnsi="Arial"/>
          <w:sz w:val="22"/>
          <w:u w:val="none"/>
        </w:rPr>
        <w:t>levetiracetam</w:t>
      </w:r>
      <w:proofErr w:type="spellEnd"/>
      <w:r w:rsidR="0061066D">
        <w:rPr>
          <w:rStyle w:val="FontUnderlined"/>
          <w:rFonts w:ascii="Arial" w:hAnsi="Arial"/>
          <w:sz w:val="22"/>
          <w:u w:val="none"/>
        </w:rPr>
        <w:t>.</w:t>
      </w:r>
    </w:p>
    <w:p w:rsidR="009D660E" w:rsidRPr="009D660E" w:rsidRDefault="009D660E" w:rsidP="009D660E">
      <w:pPr>
        <w:pStyle w:val="ListParagraph"/>
        <w:rPr>
          <w:szCs w:val="22"/>
        </w:rPr>
      </w:pPr>
    </w:p>
    <w:p w:rsidR="00E42B39" w:rsidRPr="00E2098F" w:rsidRDefault="002F2359" w:rsidP="005E4448">
      <w:pPr>
        <w:pStyle w:val="ListParagraph"/>
        <w:widowControl/>
        <w:numPr>
          <w:ilvl w:val="1"/>
          <w:numId w:val="2"/>
        </w:numPr>
        <w:rPr>
          <w:szCs w:val="22"/>
        </w:rPr>
      </w:pPr>
      <w:r>
        <w:rPr>
          <w:szCs w:val="22"/>
        </w:rPr>
        <w:t>The submission wa</w:t>
      </w:r>
      <w:r w:rsidR="00E42B39" w:rsidRPr="00E2098F">
        <w:rPr>
          <w:szCs w:val="22"/>
        </w:rPr>
        <w:t xml:space="preserve">s based on a cost-minimisation analysis of </w:t>
      </w:r>
      <w:proofErr w:type="spellStart"/>
      <w:r w:rsidR="00E42B39" w:rsidRPr="00E2098F">
        <w:rPr>
          <w:szCs w:val="22"/>
        </w:rPr>
        <w:t>brivaracetam</w:t>
      </w:r>
      <w:proofErr w:type="spellEnd"/>
      <w:r w:rsidR="00E42B39" w:rsidRPr="00E2098F">
        <w:rPr>
          <w:szCs w:val="22"/>
        </w:rPr>
        <w:t xml:space="preserve"> compared with </w:t>
      </w:r>
      <w:proofErr w:type="spellStart"/>
      <w:r w:rsidR="00E42B39" w:rsidRPr="00E2098F">
        <w:rPr>
          <w:szCs w:val="22"/>
        </w:rPr>
        <w:t>lacosamide</w:t>
      </w:r>
      <w:proofErr w:type="spellEnd"/>
      <w:r w:rsidR="00E42B39" w:rsidRPr="00E2098F">
        <w:rPr>
          <w:szCs w:val="22"/>
        </w:rPr>
        <w:t>.</w:t>
      </w:r>
    </w:p>
    <w:p w:rsidR="0031770A" w:rsidRDefault="0031770A" w:rsidP="00E42B39">
      <w:pPr>
        <w:widowControl/>
        <w:rPr>
          <w:szCs w:val="22"/>
        </w:rPr>
      </w:pPr>
    </w:p>
    <w:p w:rsidR="00F52EFE" w:rsidRDefault="00F52EFE" w:rsidP="00F52EFE">
      <w:pPr>
        <w:widowControl/>
        <w:ind w:firstLine="720"/>
        <w:rPr>
          <w:szCs w:val="22"/>
        </w:rPr>
      </w:pPr>
      <w:r w:rsidRPr="00464713">
        <w:rPr>
          <w:bCs/>
          <w:i/>
          <w:szCs w:val="22"/>
        </w:rPr>
        <w:t>For more detail on PBAC’s view, see section 7 “PBAC outcome”</w:t>
      </w:r>
    </w:p>
    <w:p w:rsidR="00E42B39" w:rsidRPr="00882085" w:rsidRDefault="00E42B39" w:rsidP="00E42B39"/>
    <w:p w:rsidR="00E42B39" w:rsidRPr="00230CA3" w:rsidRDefault="00E42B39" w:rsidP="00534A2B">
      <w:pPr>
        <w:pStyle w:val="Heading2"/>
      </w:pPr>
      <w:bookmarkStart w:id="5" w:name="_Toc413139273"/>
      <w:bookmarkStart w:id="6" w:name="_Toc450135172"/>
      <w:r w:rsidRPr="00230CA3">
        <w:t>Background</w:t>
      </w:r>
      <w:bookmarkEnd w:id="5"/>
      <w:bookmarkEnd w:id="6"/>
    </w:p>
    <w:p w:rsidR="00E42B39" w:rsidRPr="00230CA3" w:rsidRDefault="00E42B39" w:rsidP="00E42B39">
      <w:pPr>
        <w:rPr>
          <w:szCs w:val="22"/>
        </w:rPr>
      </w:pPr>
    </w:p>
    <w:p w:rsidR="009508EC" w:rsidRPr="00230CA3" w:rsidRDefault="002E4B0F" w:rsidP="00876BC8">
      <w:pPr>
        <w:pStyle w:val="ListParagraph"/>
        <w:widowControl/>
        <w:numPr>
          <w:ilvl w:val="1"/>
          <w:numId w:val="2"/>
        </w:numPr>
        <w:rPr>
          <w:i/>
        </w:rPr>
      </w:pPr>
      <w:r w:rsidRPr="00230CA3">
        <w:t xml:space="preserve">The </w:t>
      </w:r>
      <w:r w:rsidR="00E42B39" w:rsidRPr="00230CA3">
        <w:t xml:space="preserve">submission was made under </w:t>
      </w:r>
      <w:r w:rsidR="00706966" w:rsidRPr="00230CA3">
        <w:t xml:space="preserve">the </w:t>
      </w:r>
      <w:r w:rsidR="00E42B39" w:rsidRPr="00230CA3">
        <w:t xml:space="preserve">TGA/PBAC Parallel Process. </w:t>
      </w:r>
      <w:r w:rsidR="00876BC8">
        <w:t xml:space="preserve">At the time of the PBAC meeting, </w:t>
      </w:r>
      <w:proofErr w:type="spellStart"/>
      <w:r w:rsidR="009508EC" w:rsidRPr="00230CA3">
        <w:t>brivaracetam</w:t>
      </w:r>
      <w:proofErr w:type="spellEnd"/>
      <w:r w:rsidR="009508EC" w:rsidRPr="00230CA3">
        <w:t xml:space="preserve"> </w:t>
      </w:r>
      <w:r w:rsidR="00876BC8">
        <w:t xml:space="preserve">had been recommended by the ACPM as </w:t>
      </w:r>
      <w:r w:rsidR="00876BC8" w:rsidRPr="00876BC8">
        <w:t>add-on therapy in the treatment of partial-onset seizures with or without secondary generalisation in patients from 16 years of age with epilepsy.</w:t>
      </w:r>
      <w:r w:rsidR="009508EC" w:rsidRPr="00230CA3">
        <w:rPr>
          <w:i/>
        </w:rPr>
        <w:t xml:space="preserve"> </w:t>
      </w:r>
    </w:p>
    <w:p w:rsidR="00E42B39" w:rsidRPr="009508EC" w:rsidRDefault="00E42B39" w:rsidP="009508EC">
      <w:pPr>
        <w:widowControl/>
        <w:rPr>
          <w:szCs w:val="22"/>
        </w:rPr>
      </w:pPr>
    </w:p>
    <w:p w:rsidR="00E42B39" w:rsidRDefault="00E42B39" w:rsidP="005E4448">
      <w:pPr>
        <w:pStyle w:val="ListParagraph"/>
        <w:widowControl/>
        <w:numPr>
          <w:ilvl w:val="1"/>
          <w:numId w:val="2"/>
        </w:numPr>
        <w:rPr>
          <w:szCs w:val="22"/>
        </w:rPr>
      </w:pPr>
      <w:r w:rsidRPr="00230CA3">
        <w:rPr>
          <w:szCs w:val="22"/>
        </w:rPr>
        <w:t>This is the first</w:t>
      </w:r>
      <w:r>
        <w:rPr>
          <w:szCs w:val="22"/>
        </w:rPr>
        <w:t xml:space="preserve"> submission </w:t>
      </w:r>
      <w:r w:rsidR="002F2359">
        <w:rPr>
          <w:szCs w:val="22"/>
        </w:rPr>
        <w:t>for</w:t>
      </w:r>
      <w:r>
        <w:rPr>
          <w:szCs w:val="22"/>
        </w:rPr>
        <w:t xml:space="preserve"> </w:t>
      </w:r>
      <w:proofErr w:type="spellStart"/>
      <w:r>
        <w:rPr>
          <w:szCs w:val="22"/>
        </w:rPr>
        <w:t>brivaracetam</w:t>
      </w:r>
      <w:proofErr w:type="spellEnd"/>
      <w:r>
        <w:rPr>
          <w:szCs w:val="22"/>
        </w:rPr>
        <w:t xml:space="preserve"> to the PBAC for the treatment of partial onset seizures.</w:t>
      </w:r>
    </w:p>
    <w:p w:rsidR="00E42B39" w:rsidRPr="0063270A" w:rsidRDefault="00E42B39" w:rsidP="00E42B39">
      <w:pPr>
        <w:pStyle w:val="ListParagraph"/>
        <w:rPr>
          <w:szCs w:val="22"/>
        </w:rPr>
      </w:pPr>
    </w:p>
    <w:p w:rsidR="00E6758C" w:rsidRDefault="00E42B39" w:rsidP="005E4448">
      <w:pPr>
        <w:pStyle w:val="ListParagraph"/>
        <w:widowControl/>
        <w:numPr>
          <w:ilvl w:val="1"/>
          <w:numId w:val="2"/>
        </w:numPr>
        <w:rPr>
          <w:szCs w:val="22"/>
        </w:rPr>
      </w:pPr>
      <w:r w:rsidRPr="00652FAB">
        <w:rPr>
          <w:szCs w:val="22"/>
        </w:rPr>
        <w:t>The PBAC ha</w:t>
      </w:r>
      <w:r w:rsidR="00876BC8" w:rsidRPr="00652FAB">
        <w:rPr>
          <w:szCs w:val="22"/>
        </w:rPr>
        <w:t>s</w:t>
      </w:r>
      <w:r w:rsidRPr="00652FAB">
        <w:rPr>
          <w:szCs w:val="22"/>
        </w:rPr>
        <w:t xml:space="preserve"> previously considered several submissions for </w:t>
      </w:r>
      <w:proofErr w:type="spellStart"/>
      <w:r w:rsidRPr="00652FAB">
        <w:rPr>
          <w:szCs w:val="22"/>
        </w:rPr>
        <w:t>lacosamide</w:t>
      </w:r>
      <w:proofErr w:type="spellEnd"/>
      <w:r w:rsidRPr="00652FAB">
        <w:rPr>
          <w:szCs w:val="22"/>
        </w:rPr>
        <w:t>, the comparator in the current submission (November 2009, November 2011, November 2012, and March 2015).</w:t>
      </w:r>
      <w:r w:rsidR="00652FAB">
        <w:rPr>
          <w:szCs w:val="22"/>
        </w:rPr>
        <w:t xml:space="preserve"> </w:t>
      </w:r>
      <w:r w:rsidR="00E6758C">
        <w:rPr>
          <w:szCs w:val="22"/>
        </w:rPr>
        <w:t>Two issues</w:t>
      </w:r>
      <w:r w:rsidR="00652FAB">
        <w:rPr>
          <w:szCs w:val="22"/>
        </w:rPr>
        <w:t xml:space="preserve"> </w:t>
      </w:r>
      <w:r w:rsidR="00E6758C">
        <w:rPr>
          <w:szCs w:val="22"/>
        </w:rPr>
        <w:t>were noted by the PBAC in November 2012</w:t>
      </w:r>
      <w:r w:rsidR="002F2359">
        <w:rPr>
          <w:szCs w:val="22"/>
        </w:rPr>
        <w:t xml:space="preserve"> that were relevant for the current submission</w:t>
      </w:r>
      <w:r w:rsidR="00E6758C">
        <w:rPr>
          <w:szCs w:val="22"/>
        </w:rPr>
        <w:t>:</w:t>
      </w:r>
    </w:p>
    <w:p w:rsidR="00E6758C" w:rsidRDefault="00E6758C" w:rsidP="005E4448">
      <w:pPr>
        <w:pStyle w:val="ListParagraph"/>
        <w:widowControl/>
        <w:numPr>
          <w:ilvl w:val="0"/>
          <w:numId w:val="6"/>
        </w:numPr>
        <w:rPr>
          <w:szCs w:val="22"/>
        </w:rPr>
      </w:pPr>
      <w:r>
        <w:rPr>
          <w:szCs w:val="22"/>
        </w:rPr>
        <w:t>N</w:t>
      </w:r>
      <w:r w:rsidRPr="00A81B82">
        <w:rPr>
          <w:szCs w:val="22"/>
        </w:rPr>
        <w:t>eurologists d</w:t>
      </w:r>
      <w:r>
        <w:rPr>
          <w:szCs w:val="22"/>
        </w:rPr>
        <w:t>id</w:t>
      </w:r>
      <w:r w:rsidRPr="00A81B82">
        <w:rPr>
          <w:szCs w:val="22"/>
        </w:rPr>
        <w:t xml:space="preserve"> not consider treatments to be clearly separated into first-, sec</w:t>
      </w:r>
      <w:r>
        <w:rPr>
          <w:szCs w:val="22"/>
        </w:rPr>
        <w:t>ond- or subsequent-line options; and</w:t>
      </w:r>
    </w:p>
    <w:p w:rsidR="00C857BC" w:rsidRDefault="00E6758C" w:rsidP="005E4448">
      <w:pPr>
        <w:pStyle w:val="ListParagraph"/>
        <w:widowControl/>
        <w:numPr>
          <w:ilvl w:val="0"/>
          <w:numId w:val="6"/>
        </w:numPr>
        <w:rPr>
          <w:szCs w:val="22"/>
        </w:rPr>
      </w:pPr>
      <w:r>
        <w:rPr>
          <w:szCs w:val="22"/>
        </w:rPr>
        <w:t>T</w:t>
      </w:r>
      <w:r w:rsidRPr="0063270A">
        <w:rPr>
          <w:szCs w:val="22"/>
        </w:rPr>
        <w:t>he PBAC recommended amend</w:t>
      </w:r>
      <w:r>
        <w:rPr>
          <w:szCs w:val="22"/>
        </w:rPr>
        <w:t>ing</w:t>
      </w:r>
      <w:r w:rsidRPr="0063270A">
        <w:rPr>
          <w:szCs w:val="22"/>
        </w:rPr>
        <w:t xml:space="preserve"> the continuing restriction to allow prescribers to introduce </w:t>
      </w:r>
      <w:proofErr w:type="spellStart"/>
      <w:r w:rsidRPr="0063270A">
        <w:rPr>
          <w:szCs w:val="22"/>
        </w:rPr>
        <w:t>lacosamide</w:t>
      </w:r>
      <w:proofErr w:type="spellEnd"/>
      <w:r w:rsidRPr="0063270A">
        <w:rPr>
          <w:szCs w:val="22"/>
        </w:rPr>
        <w:t xml:space="preserve"> in combination with two other AEDs and then to remove the concurrent AEDs </w:t>
      </w:r>
      <w:r w:rsidR="008D094F">
        <w:rPr>
          <w:szCs w:val="22"/>
        </w:rPr>
        <w:t>(</w:t>
      </w:r>
      <w:r w:rsidR="008D094F" w:rsidRPr="006A57A9">
        <w:rPr>
          <w:i/>
          <w:szCs w:val="22"/>
        </w:rPr>
        <w:t>i.e.</w:t>
      </w:r>
      <w:r w:rsidR="008D094F">
        <w:rPr>
          <w:szCs w:val="22"/>
        </w:rPr>
        <w:t xml:space="preserve"> allows for </w:t>
      </w:r>
      <w:proofErr w:type="spellStart"/>
      <w:r w:rsidR="008D094F">
        <w:rPr>
          <w:szCs w:val="22"/>
        </w:rPr>
        <w:t>lacosamide</w:t>
      </w:r>
      <w:proofErr w:type="spellEnd"/>
      <w:r w:rsidR="008D094F">
        <w:rPr>
          <w:szCs w:val="22"/>
        </w:rPr>
        <w:t xml:space="preserve"> monotherapy) </w:t>
      </w:r>
      <w:r w:rsidRPr="0063270A">
        <w:rPr>
          <w:szCs w:val="22"/>
        </w:rPr>
        <w:t>as a matter of clinical judgement, whil</w:t>
      </w:r>
      <w:r>
        <w:rPr>
          <w:szCs w:val="22"/>
        </w:rPr>
        <w:t>st</w:t>
      </w:r>
      <w:r w:rsidRPr="0063270A">
        <w:rPr>
          <w:szCs w:val="22"/>
        </w:rPr>
        <w:t xml:space="preserve"> maintaining the existing risk-share arrangement.</w:t>
      </w:r>
      <w:bookmarkStart w:id="7" w:name="_Toc413139274"/>
    </w:p>
    <w:p w:rsidR="0031770A" w:rsidRDefault="0031770A" w:rsidP="00C857BC">
      <w:pPr>
        <w:widowControl/>
      </w:pPr>
    </w:p>
    <w:p w:rsidR="007A258D" w:rsidRPr="00C857BC" w:rsidRDefault="007A258D" w:rsidP="00C857BC">
      <w:pPr>
        <w:widowControl/>
      </w:pPr>
    </w:p>
    <w:p w:rsidR="00E6758C" w:rsidRPr="00407F2D" w:rsidRDefault="00E6758C" w:rsidP="00534A2B">
      <w:pPr>
        <w:pStyle w:val="Heading2"/>
      </w:pPr>
      <w:bookmarkStart w:id="8" w:name="_Toc450135173"/>
      <w:r w:rsidRPr="00407F2D">
        <w:t>Clinical place for the proposed therapy</w:t>
      </w:r>
      <w:bookmarkEnd w:id="7"/>
      <w:bookmarkEnd w:id="8"/>
    </w:p>
    <w:p w:rsidR="00E6758C" w:rsidRPr="00882085" w:rsidRDefault="00E6758C" w:rsidP="00E6758C">
      <w:pPr>
        <w:rPr>
          <w:szCs w:val="22"/>
        </w:rPr>
      </w:pPr>
    </w:p>
    <w:p w:rsidR="00E6758C" w:rsidRPr="00E2098F" w:rsidRDefault="00E6758C" w:rsidP="005E4448">
      <w:pPr>
        <w:pStyle w:val="ListParagraph"/>
        <w:widowControl/>
        <w:numPr>
          <w:ilvl w:val="1"/>
          <w:numId w:val="2"/>
        </w:numPr>
        <w:rPr>
          <w:szCs w:val="22"/>
        </w:rPr>
      </w:pPr>
      <w:r w:rsidRPr="00E2098F">
        <w:rPr>
          <w:szCs w:val="22"/>
        </w:rPr>
        <w:t xml:space="preserve">Epilepsy is a common neurological condition, characterised by recurrent, unprovoked seizures, and produces significant morbidity in the general community. </w:t>
      </w:r>
    </w:p>
    <w:p w:rsidR="00E6758C" w:rsidRPr="00E2098F" w:rsidRDefault="00E6758C" w:rsidP="00E6758C">
      <w:pPr>
        <w:pStyle w:val="ListParagraph"/>
        <w:widowControl/>
        <w:rPr>
          <w:szCs w:val="22"/>
        </w:rPr>
      </w:pPr>
    </w:p>
    <w:p w:rsidR="00E6758C" w:rsidRPr="00E2098F" w:rsidRDefault="00E6758C" w:rsidP="005E4448">
      <w:pPr>
        <w:pStyle w:val="ListParagraph"/>
        <w:widowControl/>
        <w:numPr>
          <w:ilvl w:val="1"/>
          <w:numId w:val="2"/>
        </w:numPr>
        <w:rPr>
          <w:szCs w:val="22"/>
        </w:rPr>
      </w:pPr>
      <w:r w:rsidRPr="00E2098F">
        <w:rPr>
          <w:szCs w:val="22"/>
        </w:rPr>
        <w:t xml:space="preserve">The submission proposed two populations to receive </w:t>
      </w:r>
      <w:proofErr w:type="spellStart"/>
      <w:r w:rsidRPr="00E2098F">
        <w:rPr>
          <w:szCs w:val="22"/>
        </w:rPr>
        <w:t>brivaracetam</w:t>
      </w:r>
      <w:proofErr w:type="spellEnd"/>
      <w:r w:rsidRPr="00E2098F">
        <w:rPr>
          <w:szCs w:val="22"/>
        </w:rPr>
        <w:t xml:space="preserve"> treatment:</w:t>
      </w:r>
    </w:p>
    <w:p w:rsidR="00E6758C" w:rsidRPr="00E2098F" w:rsidRDefault="00E6758C" w:rsidP="005E4448">
      <w:pPr>
        <w:pStyle w:val="ListParagraph"/>
        <w:widowControl/>
        <w:numPr>
          <w:ilvl w:val="0"/>
          <w:numId w:val="4"/>
        </w:numPr>
        <w:rPr>
          <w:szCs w:val="22"/>
        </w:rPr>
      </w:pPr>
      <w:r w:rsidRPr="00E2098F">
        <w:rPr>
          <w:szCs w:val="22"/>
        </w:rPr>
        <w:t>A refractory population whose POS failed to be controlled by at least one first-line agent and at least two second-line agents;</w:t>
      </w:r>
      <w:r w:rsidR="008D094F" w:rsidRPr="00E2098F">
        <w:rPr>
          <w:szCs w:val="22"/>
        </w:rPr>
        <w:t xml:space="preserve"> and</w:t>
      </w:r>
    </w:p>
    <w:p w:rsidR="00E6758C" w:rsidRPr="00006C26" w:rsidRDefault="00E6758C" w:rsidP="005E4448">
      <w:pPr>
        <w:pStyle w:val="ListParagraph"/>
        <w:widowControl/>
        <w:numPr>
          <w:ilvl w:val="0"/>
          <w:numId w:val="4"/>
        </w:numPr>
        <w:rPr>
          <w:szCs w:val="22"/>
        </w:rPr>
      </w:pPr>
      <w:r w:rsidRPr="00E2098F">
        <w:rPr>
          <w:szCs w:val="22"/>
        </w:rPr>
        <w:t xml:space="preserve">Patients </w:t>
      </w:r>
      <w:proofErr w:type="gramStart"/>
      <w:r w:rsidRPr="00E2098F">
        <w:rPr>
          <w:szCs w:val="22"/>
        </w:rPr>
        <w:t>whose</w:t>
      </w:r>
      <w:proofErr w:type="gramEnd"/>
      <w:r w:rsidRPr="00E2098F">
        <w:rPr>
          <w:szCs w:val="22"/>
        </w:rPr>
        <w:t xml:space="preserve"> POS are controlled by</w:t>
      </w:r>
      <w:r w:rsidR="00F52EFE">
        <w:rPr>
          <w:szCs w:val="22"/>
        </w:rPr>
        <w:t xml:space="preserve"> </w:t>
      </w:r>
      <w:proofErr w:type="spellStart"/>
      <w:r w:rsidRPr="00E2098F">
        <w:rPr>
          <w:szCs w:val="22"/>
        </w:rPr>
        <w:t>levetiracetam</w:t>
      </w:r>
      <w:proofErr w:type="spellEnd"/>
      <w:r w:rsidR="009F0B8E">
        <w:rPr>
          <w:szCs w:val="22"/>
        </w:rPr>
        <w:t xml:space="preserve"> but the patient is unable to tolerate the drug</w:t>
      </w:r>
      <w:r w:rsidRPr="00006C26">
        <w:rPr>
          <w:szCs w:val="22"/>
        </w:rPr>
        <w:t>.</w:t>
      </w:r>
      <w:r w:rsidR="00A504CB" w:rsidRPr="00006C26">
        <w:rPr>
          <w:szCs w:val="22"/>
        </w:rPr>
        <w:t xml:space="preserve"> </w:t>
      </w:r>
      <w:r w:rsidR="00A504CB" w:rsidRPr="00006C26">
        <w:t xml:space="preserve">The ESC </w:t>
      </w:r>
      <w:r w:rsidR="009F0B8E">
        <w:t xml:space="preserve">and PBAC </w:t>
      </w:r>
      <w:r w:rsidR="00A504CB" w:rsidRPr="00006C26">
        <w:t xml:space="preserve">noted that there </w:t>
      </w:r>
      <w:r w:rsidR="00707001" w:rsidRPr="00006C26">
        <w:t xml:space="preserve">were </w:t>
      </w:r>
      <w:r w:rsidR="00A504CB" w:rsidRPr="00006C26">
        <w:t xml:space="preserve">no </w:t>
      </w:r>
      <w:r w:rsidR="004D1FAD">
        <w:t>robust</w:t>
      </w:r>
      <w:r w:rsidR="00A504CB" w:rsidRPr="00006C26">
        <w:t xml:space="preserve"> clinical data provided to support this indication.</w:t>
      </w:r>
    </w:p>
    <w:p w:rsidR="00E6758C" w:rsidRPr="00E2098F" w:rsidRDefault="00E6758C" w:rsidP="00E6758C">
      <w:pPr>
        <w:pStyle w:val="ListParagraph"/>
        <w:widowControl/>
        <w:ind w:left="1440"/>
        <w:rPr>
          <w:szCs w:val="22"/>
        </w:rPr>
      </w:pPr>
    </w:p>
    <w:p w:rsidR="00681785" w:rsidRDefault="00E6758C" w:rsidP="005E4448">
      <w:pPr>
        <w:pStyle w:val="ListParagraph"/>
        <w:widowControl/>
        <w:numPr>
          <w:ilvl w:val="1"/>
          <w:numId w:val="2"/>
        </w:numPr>
        <w:rPr>
          <w:szCs w:val="22"/>
        </w:rPr>
      </w:pPr>
      <w:r w:rsidRPr="00E2098F">
        <w:rPr>
          <w:szCs w:val="22"/>
        </w:rPr>
        <w:t xml:space="preserve">For the first proposed PBS population, </w:t>
      </w:r>
      <w:proofErr w:type="spellStart"/>
      <w:r w:rsidRPr="00E2098F">
        <w:rPr>
          <w:szCs w:val="22"/>
        </w:rPr>
        <w:t>brivaracetam</w:t>
      </w:r>
      <w:proofErr w:type="spellEnd"/>
      <w:r w:rsidRPr="00E2098F">
        <w:rPr>
          <w:szCs w:val="22"/>
        </w:rPr>
        <w:t xml:space="preserve"> would be used as a third or later-line therapy</w:t>
      </w:r>
      <w:r w:rsidR="009F0B8E">
        <w:rPr>
          <w:szCs w:val="22"/>
        </w:rPr>
        <w:t>.</w:t>
      </w:r>
      <w:r w:rsidRPr="00E2098F">
        <w:rPr>
          <w:szCs w:val="22"/>
        </w:rPr>
        <w:t xml:space="preserve"> </w:t>
      </w:r>
      <w:r w:rsidR="009F0B8E">
        <w:rPr>
          <w:szCs w:val="22"/>
        </w:rPr>
        <w:t>F</w:t>
      </w:r>
      <w:r w:rsidRPr="00E2098F">
        <w:rPr>
          <w:szCs w:val="22"/>
        </w:rPr>
        <w:t xml:space="preserve">or the second proposed PBS population, </w:t>
      </w:r>
      <w:proofErr w:type="spellStart"/>
      <w:r w:rsidRPr="00E2098F">
        <w:rPr>
          <w:szCs w:val="22"/>
        </w:rPr>
        <w:t>brivaracetam</w:t>
      </w:r>
      <w:proofErr w:type="spellEnd"/>
      <w:r w:rsidRPr="00E2098F">
        <w:rPr>
          <w:szCs w:val="22"/>
        </w:rPr>
        <w:t xml:space="preserve"> would be used as either a second-line therapy or as later-line therapy</w:t>
      </w:r>
      <w:r w:rsidR="009F0B8E">
        <w:rPr>
          <w:szCs w:val="22"/>
        </w:rPr>
        <w:t xml:space="preserve"> (</w:t>
      </w:r>
      <w:r w:rsidR="009F0B8E" w:rsidRPr="00E2098F">
        <w:rPr>
          <w:szCs w:val="22"/>
        </w:rPr>
        <w:t xml:space="preserve">after being intolerant to </w:t>
      </w:r>
      <w:proofErr w:type="spellStart"/>
      <w:r w:rsidR="009F0B8E" w:rsidRPr="00E2098F">
        <w:rPr>
          <w:szCs w:val="22"/>
        </w:rPr>
        <w:t>levetiracetam</w:t>
      </w:r>
      <w:proofErr w:type="spellEnd"/>
      <w:r w:rsidR="009F0B8E">
        <w:rPr>
          <w:szCs w:val="22"/>
        </w:rPr>
        <w:t>)</w:t>
      </w:r>
      <w:r w:rsidRPr="00E2098F">
        <w:rPr>
          <w:szCs w:val="22"/>
        </w:rPr>
        <w:t>.</w:t>
      </w:r>
    </w:p>
    <w:p w:rsidR="00681785" w:rsidRDefault="00681785" w:rsidP="00681785">
      <w:pPr>
        <w:pStyle w:val="ListParagraph"/>
        <w:widowControl/>
        <w:rPr>
          <w:szCs w:val="22"/>
        </w:rPr>
      </w:pPr>
    </w:p>
    <w:p w:rsidR="00BE3407" w:rsidRDefault="00E6758C" w:rsidP="005E4448">
      <w:pPr>
        <w:pStyle w:val="ListParagraph"/>
        <w:widowControl/>
        <w:numPr>
          <w:ilvl w:val="1"/>
          <w:numId w:val="2"/>
        </w:numPr>
      </w:pPr>
      <w:r w:rsidRPr="00E2098F">
        <w:rPr>
          <w:szCs w:val="22"/>
        </w:rPr>
        <w:t xml:space="preserve">The recommended starting dose of </w:t>
      </w:r>
      <w:proofErr w:type="spellStart"/>
      <w:r w:rsidRPr="00E2098F">
        <w:rPr>
          <w:szCs w:val="22"/>
        </w:rPr>
        <w:t>brivaracetam</w:t>
      </w:r>
      <w:proofErr w:type="spellEnd"/>
      <w:r w:rsidRPr="00E2098F">
        <w:rPr>
          <w:szCs w:val="22"/>
        </w:rPr>
        <w:t xml:space="preserve"> is 100</w:t>
      </w:r>
      <w:r w:rsidR="002D5679" w:rsidRPr="00E2098F">
        <w:rPr>
          <w:szCs w:val="22"/>
        </w:rPr>
        <w:t> </w:t>
      </w:r>
      <w:r w:rsidRPr="00E2098F">
        <w:rPr>
          <w:szCs w:val="22"/>
        </w:rPr>
        <w:t>mg/day. The daily dose is administered in two equally divided doses, once in the morning and once in the evening. Based on individual patient response, the dose may be adjusted between 50</w:t>
      </w:r>
      <w:r w:rsidR="002D5679" w:rsidRPr="00E2098F">
        <w:rPr>
          <w:szCs w:val="22"/>
        </w:rPr>
        <w:t> </w:t>
      </w:r>
      <w:r w:rsidRPr="00E2098F">
        <w:rPr>
          <w:szCs w:val="22"/>
        </w:rPr>
        <w:t>mg/day and 200</w:t>
      </w:r>
      <w:r w:rsidR="002D5679" w:rsidRPr="00E2098F">
        <w:rPr>
          <w:szCs w:val="22"/>
        </w:rPr>
        <w:t> </w:t>
      </w:r>
      <w:r w:rsidRPr="00E2098F">
        <w:rPr>
          <w:szCs w:val="22"/>
        </w:rPr>
        <w:t xml:space="preserve">mg/day. </w:t>
      </w:r>
      <w:r w:rsidRPr="00E2098F">
        <w:t>Initial dose titration to an effective dose is not required to establish tolerability.</w:t>
      </w:r>
    </w:p>
    <w:p w:rsidR="00E6758C" w:rsidRPr="00BE3407" w:rsidRDefault="00BE3407" w:rsidP="00BE3407">
      <w:pPr>
        <w:widowControl/>
        <w:jc w:val="left"/>
      </w:pPr>
      <w:r>
        <w:br w:type="page"/>
      </w:r>
    </w:p>
    <w:p w:rsidR="00E42B39" w:rsidRPr="00407F2D" w:rsidRDefault="00E42B39" w:rsidP="00534A2B">
      <w:pPr>
        <w:pStyle w:val="Heading2"/>
      </w:pPr>
      <w:bookmarkStart w:id="9" w:name="_Toc413139275"/>
      <w:bookmarkStart w:id="10" w:name="_Toc450135174"/>
      <w:r w:rsidRPr="00407F2D">
        <w:t>Comparator</w:t>
      </w:r>
      <w:bookmarkEnd w:id="9"/>
      <w:bookmarkEnd w:id="10"/>
    </w:p>
    <w:p w:rsidR="00E42B39" w:rsidRPr="00882085" w:rsidRDefault="00E42B39" w:rsidP="00E42B39"/>
    <w:p w:rsidR="00E42B39" w:rsidRPr="009E153B" w:rsidRDefault="00476780" w:rsidP="00366F5B">
      <w:pPr>
        <w:pStyle w:val="ListParagraph"/>
        <w:widowControl/>
        <w:numPr>
          <w:ilvl w:val="1"/>
          <w:numId w:val="2"/>
        </w:numPr>
        <w:rPr>
          <w:szCs w:val="22"/>
        </w:rPr>
      </w:pPr>
      <w:r>
        <w:t>For the refractory population t</w:t>
      </w:r>
      <w:r w:rsidR="00E42B39" w:rsidRPr="00E2098F">
        <w:t xml:space="preserve">he submission nominated </w:t>
      </w:r>
      <w:proofErr w:type="spellStart"/>
      <w:r w:rsidR="00E42B39" w:rsidRPr="00E2098F">
        <w:t>lacosamide</w:t>
      </w:r>
      <w:proofErr w:type="spellEnd"/>
      <w:r w:rsidR="00E42B39" w:rsidRPr="00E2098F">
        <w:t xml:space="preserve"> as the main comparator. </w:t>
      </w:r>
      <w:r w:rsidR="00A504CB" w:rsidRPr="00006C26">
        <w:t xml:space="preserve">The ESC </w:t>
      </w:r>
      <w:r w:rsidR="00370AC6">
        <w:t xml:space="preserve">and PBAC </w:t>
      </w:r>
      <w:r w:rsidR="00A504CB" w:rsidRPr="00006C26">
        <w:t xml:space="preserve">noted that </w:t>
      </w:r>
      <w:proofErr w:type="spellStart"/>
      <w:r w:rsidR="00A504CB" w:rsidRPr="00006C26">
        <w:t>levetiracetam</w:t>
      </w:r>
      <w:proofErr w:type="spellEnd"/>
      <w:r w:rsidR="00A504CB" w:rsidRPr="00006C26">
        <w:t xml:space="preserve"> would also be an appropriate comparator for this indication as it is chemically related to </w:t>
      </w:r>
      <w:proofErr w:type="spellStart"/>
      <w:r w:rsidR="00A504CB" w:rsidRPr="00006C26">
        <w:t>brivaracetam</w:t>
      </w:r>
      <w:proofErr w:type="spellEnd"/>
      <w:r w:rsidR="00A504CB" w:rsidRPr="00006C26">
        <w:t xml:space="preserve"> and likely to </w:t>
      </w:r>
      <w:r w:rsidR="00707001" w:rsidRPr="00006C26">
        <w:t xml:space="preserve">be </w:t>
      </w:r>
      <w:r w:rsidR="00A504CB" w:rsidRPr="00006C26">
        <w:t>replace</w:t>
      </w:r>
      <w:r w:rsidR="00707001" w:rsidRPr="00006C26">
        <w:t>d</w:t>
      </w:r>
      <w:r w:rsidR="00A504CB" w:rsidRPr="00006C26">
        <w:t xml:space="preserve"> </w:t>
      </w:r>
      <w:r w:rsidR="00707001" w:rsidRPr="00006C26">
        <w:t xml:space="preserve">by </w:t>
      </w:r>
      <w:r w:rsidR="00A504CB" w:rsidRPr="00006C26">
        <w:t>it in clinical practice.</w:t>
      </w:r>
    </w:p>
    <w:p w:rsidR="00B20B9E" w:rsidRPr="00B20B9E" w:rsidRDefault="00B20B9E" w:rsidP="00B20B9E">
      <w:pPr>
        <w:pStyle w:val="ListParagraph"/>
        <w:widowControl/>
        <w:rPr>
          <w:szCs w:val="22"/>
        </w:rPr>
      </w:pPr>
    </w:p>
    <w:p w:rsidR="003C724C" w:rsidRPr="003C724C" w:rsidRDefault="009E153B" w:rsidP="005E4448">
      <w:pPr>
        <w:pStyle w:val="ListParagraph"/>
        <w:widowControl/>
        <w:numPr>
          <w:ilvl w:val="1"/>
          <w:numId w:val="2"/>
        </w:numPr>
        <w:rPr>
          <w:szCs w:val="22"/>
        </w:rPr>
      </w:pPr>
      <w:r w:rsidRPr="00006C26">
        <w:t xml:space="preserve">The ESC noted that there are currently numerous medications listed on the PBS that can be prescribed for </w:t>
      </w:r>
      <w:r w:rsidR="00B20B9E" w:rsidRPr="00006C26">
        <w:t>partial epileptic</w:t>
      </w:r>
      <w:r w:rsidRPr="00006C26">
        <w:t xml:space="preserve"> seizures</w:t>
      </w:r>
      <w:r w:rsidR="00A82943" w:rsidRPr="00006C26">
        <w:t xml:space="preserve"> which may also be alternative therapies to </w:t>
      </w:r>
      <w:proofErr w:type="spellStart"/>
      <w:r w:rsidR="00A82943" w:rsidRPr="00006C26">
        <w:t>brivaracetam</w:t>
      </w:r>
      <w:proofErr w:type="spellEnd"/>
      <w:r w:rsidR="00A82943" w:rsidRPr="00006C26">
        <w:t xml:space="preserve"> in clinical practi</w:t>
      </w:r>
      <w:r w:rsidR="007C3163" w:rsidRPr="00006C26">
        <w:t>s</w:t>
      </w:r>
      <w:r w:rsidR="00A82943" w:rsidRPr="00006C26">
        <w:t>e</w:t>
      </w:r>
      <w:r w:rsidRPr="00006C26">
        <w:t xml:space="preserve">.  </w:t>
      </w:r>
    </w:p>
    <w:p w:rsidR="003C724C" w:rsidRDefault="003C724C" w:rsidP="003C724C">
      <w:pPr>
        <w:pStyle w:val="ListParagraph"/>
      </w:pPr>
    </w:p>
    <w:p w:rsidR="009E153B" w:rsidRPr="00006C26" w:rsidRDefault="00A82943" w:rsidP="005E4448">
      <w:pPr>
        <w:pStyle w:val="ListParagraph"/>
        <w:widowControl/>
        <w:numPr>
          <w:ilvl w:val="1"/>
          <w:numId w:val="2"/>
        </w:numPr>
        <w:rPr>
          <w:szCs w:val="22"/>
        </w:rPr>
      </w:pPr>
      <w:r w:rsidRPr="00006C26">
        <w:t>The ESC recommended that f</w:t>
      </w:r>
      <w:r w:rsidR="00B20B9E" w:rsidRPr="00006C26">
        <w:t xml:space="preserve">urther clinical advice </w:t>
      </w:r>
      <w:r w:rsidRPr="00006C26">
        <w:t xml:space="preserve">be </w:t>
      </w:r>
      <w:r w:rsidR="00B20B9E" w:rsidRPr="00006C26">
        <w:t>sought from the Epilepsy Society of Australia regarding current clinical practise</w:t>
      </w:r>
      <w:r w:rsidR="009E153B" w:rsidRPr="00006C26">
        <w:t>.</w:t>
      </w:r>
      <w:r w:rsidR="00213036">
        <w:t xml:space="preserve"> Advice was not received </w:t>
      </w:r>
      <w:r w:rsidR="00AE7D4E">
        <w:t>prior to</w:t>
      </w:r>
      <w:r w:rsidR="00213036">
        <w:t xml:space="preserve"> the PBAC meeting.</w:t>
      </w:r>
    </w:p>
    <w:p w:rsidR="00E42B39" w:rsidRPr="00E2098F" w:rsidRDefault="00E42B39" w:rsidP="00E42B39">
      <w:pPr>
        <w:pStyle w:val="ListParagraph"/>
        <w:widowControl/>
        <w:rPr>
          <w:szCs w:val="22"/>
        </w:rPr>
      </w:pPr>
    </w:p>
    <w:p w:rsidR="00E42B39" w:rsidRPr="00E2098F" w:rsidRDefault="00E6758C" w:rsidP="005E4448">
      <w:pPr>
        <w:pStyle w:val="ListParagraph"/>
        <w:widowControl/>
        <w:numPr>
          <w:ilvl w:val="1"/>
          <w:numId w:val="2"/>
        </w:numPr>
        <w:rPr>
          <w:szCs w:val="22"/>
        </w:rPr>
      </w:pPr>
      <w:r w:rsidRPr="00E2098F">
        <w:t>T</w:t>
      </w:r>
      <w:r w:rsidR="00706966" w:rsidRPr="00E2098F">
        <w:t xml:space="preserve">he </w:t>
      </w:r>
      <w:proofErr w:type="spellStart"/>
      <w:r w:rsidR="00E42B39" w:rsidRPr="00E2098F">
        <w:t>lacosamide</w:t>
      </w:r>
      <w:proofErr w:type="spellEnd"/>
      <w:r w:rsidR="00E42B39" w:rsidRPr="00E2098F">
        <w:t xml:space="preserve"> PBS restriction requires that</w:t>
      </w:r>
      <w:r w:rsidR="008D094F" w:rsidRPr="00E2098F">
        <w:t>, in the initiation phase,</w:t>
      </w:r>
      <w:r w:rsidR="00E42B39" w:rsidRPr="00E2098F">
        <w:t xml:space="preserve"> the treatment must be in combination with two or more AEDs which includes one second-line adjunctive agent, while the proposed restriction for </w:t>
      </w:r>
      <w:proofErr w:type="spellStart"/>
      <w:r w:rsidR="00E42B39" w:rsidRPr="00E2098F">
        <w:t>brivaracetam</w:t>
      </w:r>
      <w:proofErr w:type="spellEnd"/>
      <w:r w:rsidR="00E42B39" w:rsidRPr="00E2098F">
        <w:t xml:space="preserve"> </w:t>
      </w:r>
      <w:r w:rsidR="00E07B4A">
        <w:t>does not include this requirement</w:t>
      </w:r>
      <w:r w:rsidR="00E42B39" w:rsidRPr="00E2098F">
        <w:t xml:space="preserve">. The submission </w:t>
      </w:r>
      <w:r w:rsidR="008D094F" w:rsidRPr="00E2098F">
        <w:t xml:space="preserve">(p2 of the Executive Summary) </w:t>
      </w:r>
      <w:r w:rsidR="00E42B39" w:rsidRPr="00E2098F">
        <w:t xml:space="preserve">claimed that “in nominating </w:t>
      </w:r>
      <w:proofErr w:type="spellStart"/>
      <w:r w:rsidR="00E42B39" w:rsidRPr="00E2098F">
        <w:t>lacosamide</w:t>
      </w:r>
      <w:proofErr w:type="spellEnd"/>
      <w:r w:rsidR="00E42B39" w:rsidRPr="00E2098F">
        <w:t xml:space="preserve"> as the main comparator, it is recognised that the proposed clinical place of </w:t>
      </w:r>
      <w:proofErr w:type="spellStart"/>
      <w:r w:rsidR="00E42B39" w:rsidRPr="00E2098F">
        <w:t>brivaracetam</w:t>
      </w:r>
      <w:proofErr w:type="spellEnd"/>
      <w:r w:rsidR="00E42B39" w:rsidRPr="00E2098F">
        <w:t xml:space="preserve"> is not the same as that for </w:t>
      </w:r>
      <w:proofErr w:type="spellStart"/>
      <w:r w:rsidR="00E42B39" w:rsidRPr="00E2098F">
        <w:t>lacosamide</w:t>
      </w:r>
      <w:proofErr w:type="spellEnd"/>
      <w:r w:rsidR="00E42B39" w:rsidRPr="00E2098F">
        <w:t xml:space="preserve">, but rather in a refractory population which does not need to be treated with triple therapy, unlike </w:t>
      </w:r>
      <w:proofErr w:type="spellStart"/>
      <w:r w:rsidR="00E42B39" w:rsidRPr="00E2098F">
        <w:t>lacosamide</w:t>
      </w:r>
      <w:proofErr w:type="spellEnd"/>
      <w:r w:rsidR="00E42B39" w:rsidRPr="00E2098F">
        <w:t xml:space="preserve">.” </w:t>
      </w:r>
      <w:r w:rsidR="00AE7D4E">
        <w:rPr>
          <w:rStyle w:val="FontUnderlined"/>
          <w:rFonts w:ascii="Arial" w:hAnsi="Arial"/>
          <w:sz w:val="22"/>
          <w:u w:val="none"/>
        </w:rPr>
        <w:t>For the stated use, t</w:t>
      </w:r>
      <w:r w:rsidR="00AE7D4E">
        <w:t>he PBAC considered the appropriate compar</w:t>
      </w:r>
      <w:r w:rsidR="003C724C">
        <w:t xml:space="preserve">ator would be AEDs other than </w:t>
      </w:r>
      <w:proofErr w:type="spellStart"/>
      <w:r w:rsidR="003C724C">
        <w:t>laco</w:t>
      </w:r>
      <w:r w:rsidR="00AE7D4E">
        <w:t>samide</w:t>
      </w:r>
      <w:proofErr w:type="spellEnd"/>
      <w:r w:rsidR="00AE7D4E">
        <w:t xml:space="preserve">. </w:t>
      </w:r>
      <w:r w:rsidR="00AE7D4E">
        <w:rPr>
          <w:i/>
        </w:rPr>
        <w:t xml:space="preserve"> </w:t>
      </w:r>
    </w:p>
    <w:p w:rsidR="00E42B39" w:rsidRPr="00E2098F" w:rsidRDefault="00E42B39" w:rsidP="00E42B39">
      <w:pPr>
        <w:pStyle w:val="ListParagraph"/>
        <w:rPr>
          <w:szCs w:val="22"/>
        </w:rPr>
      </w:pPr>
    </w:p>
    <w:p w:rsidR="00E42B39" w:rsidRPr="00E2098F" w:rsidRDefault="00E42B39" w:rsidP="005E4448">
      <w:pPr>
        <w:pStyle w:val="ListParagraph"/>
        <w:widowControl/>
        <w:numPr>
          <w:ilvl w:val="1"/>
          <w:numId w:val="2"/>
        </w:numPr>
        <w:rPr>
          <w:szCs w:val="22"/>
        </w:rPr>
      </w:pPr>
      <w:r w:rsidRPr="00E2098F">
        <w:rPr>
          <w:szCs w:val="22"/>
        </w:rPr>
        <w:t xml:space="preserve">For the population intolerant to </w:t>
      </w:r>
      <w:proofErr w:type="spellStart"/>
      <w:r w:rsidRPr="00E2098F">
        <w:rPr>
          <w:szCs w:val="22"/>
        </w:rPr>
        <w:t>levetiracetam</w:t>
      </w:r>
      <w:proofErr w:type="spellEnd"/>
      <w:r w:rsidRPr="00E2098F">
        <w:rPr>
          <w:szCs w:val="22"/>
        </w:rPr>
        <w:t>, no comparator was nominated and no clinical evidence was provided in the submission.</w:t>
      </w:r>
    </w:p>
    <w:p w:rsidR="00E42B39" w:rsidRDefault="00E42B39" w:rsidP="00E42B39">
      <w:pPr>
        <w:rPr>
          <w:szCs w:val="22"/>
        </w:rPr>
      </w:pPr>
    </w:p>
    <w:p w:rsidR="00165DEC" w:rsidRPr="00E2098F" w:rsidRDefault="00165DEC" w:rsidP="00165DEC">
      <w:pPr>
        <w:ind w:firstLine="720"/>
        <w:rPr>
          <w:szCs w:val="22"/>
        </w:rPr>
      </w:pPr>
      <w:r w:rsidRPr="00464713">
        <w:rPr>
          <w:bCs/>
          <w:i/>
          <w:szCs w:val="22"/>
        </w:rPr>
        <w:t>For more detail on PBAC’s view, see section 7 “PBAC outcome”</w:t>
      </w:r>
    </w:p>
    <w:p w:rsidR="002158F6" w:rsidRDefault="002158F6" w:rsidP="00E42B39">
      <w:pPr>
        <w:rPr>
          <w:szCs w:val="22"/>
        </w:rPr>
      </w:pPr>
    </w:p>
    <w:p w:rsidR="002F2359" w:rsidRPr="00E2098F" w:rsidRDefault="002F2359" w:rsidP="00E42B39">
      <w:pPr>
        <w:rPr>
          <w:szCs w:val="22"/>
        </w:rPr>
      </w:pPr>
    </w:p>
    <w:p w:rsidR="00E42B39" w:rsidRPr="00E2098F" w:rsidRDefault="00E42B39" w:rsidP="00534A2B">
      <w:pPr>
        <w:pStyle w:val="Heading2"/>
      </w:pPr>
      <w:bookmarkStart w:id="11" w:name="_Toc413139276"/>
      <w:bookmarkStart w:id="12" w:name="_Toc450135175"/>
      <w:r w:rsidRPr="00E2098F">
        <w:t>Consideration of the evidence</w:t>
      </w:r>
      <w:bookmarkEnd w:id="11"/>
      <w:bookmarkEnd w:id="12"/>
    </w:p>
    <w:p w:rsidR="00E42B39" w:rsidRDefault="00E42B39" w:rsidP="00E42B39"/>
    <w:p w:rsidR="0031770A" w:rsidRPr="00534A2B" w:rsidRDefault="0031770A" w:rsidP="00944D88">
      <w:pPr>
        <w:pStyle w:val="Heading3"/>
      </w:pPr>
      <w:r w:rsidRPr="00534A2B">
        <w:t>Sponsor hearing</w:t>
      </w:r>
    </w:p>
    <w:p w:rsidR="002F2FED" w:rsidRPr="003C724C" w:rsidRDefault="002F2FED" w:rsidP="0031770A">
      <w:pPr>
        <w:rPr>
          <w:b/>
          <w:bCs/>
          <w:szCs w:val="22"/>
        </w:rPr>
      </w:pPr>
    </w:p>
    <w:p w:rsidR="009508EC" w:rsidRPr="009F0B8E" w:rsidRDefault="009508EC" w:rsidP="00AE7D4E">
      <w:pPr>
        <w:widowControl/>
        <w:numPr>
          <w:ilvl w:val="1"/>
          <w:numId w:val="2"/>
        </w:numPr>
        <w:spacing w:after="120"/>
        <w:rPr>
          <w:bCs/>
          <w:szCs w:val="22"/>
        </w:rPr>
      </w:pPr>
      <w:r w:rsidRPr="009F0B8E">
        <w:rPr>
          <w:bCs/>
          <w:szCs w:val="22"/>
        </w:rPr>
        <w:t xml:space="preserve">The </w:t>
      </w:r>
      <w:r w:rsidR="00635A13">
        <w:rPr>
          <w:bCs/>
          <w:szCs w:val="22"/>
        </w:rPr>
        <w:t>s</w:t>
      </w:r>
      <w:r w:rsidRPr="009F0B8E">
        <w:rPr>
          <w:bCs/>
          <w:szCs w:val="22"/>
        </w:rPr>
        <w:t>ponsor requ</w:t>
      </w:r>
      <w:r w:rsidR="002F2FED">
        <w:rPr>
          <w:bCs/>
          <w:szCs w:val="22"/>
        </w:rPr>
        <w:t xml:space="preserve">ested a hearing for this item. </w:t>
      </w:r>
      <w:r w:rsidRPr="009F0B8E">
        <w:rPr>
          <w:bCs/>
          <w:szCs w:val="22"/>
        </w:rPr>
        <w:t xml:space="preserve">The clinician discussed the current treatment options available to patients with epilepsy and how </w:t>
      </w:r>
      <w:r w:rsidR="00A344A1" w:rsidRPr="009F0B8E">
        <w:rPr>
          <w:bCs/>
          <w:szCs w:val="22"/>
        </w:rPr>
        <w:t>they are</w:t>
      </w:r>
      <w:r w:rsidRPr="009F0B8E">
        <w:rPr>
          <w:bCs/>
          <w:szCs w:val="22"/>
        </w:rPr>
        <w:t xml:space="preserve"> used in practice. </w:t>
      </w:r>
      <w:r w:rsidR="009F0B8E" w:rsidRPr="009F0B8E">
        <w:rPr>
          <w:bCs/>
          <w:szCs w:val="22"/>
        </w:rPr>
        <w:t xml:space="preserve">It was noted that approximately 30% of patients are not well controlled despite having tried all appropriate treatments (likely to be 5-6 different drugs). The treatments are tailored based on tolerability as adverse events have a significant impact on patient quality of life. </w:t>
      </w:r>
      <w:proofErr w:type="spellStart"/>
      <w:r w:rsidR="009F0B8E" w:rsidRPr="009F0B8E">
        <w:rPr>
          <w:bCs/>
          <w:szCs w:val="22"/>
        </w:rPr>
        <w:t>Brivaracetam</w:t>
      </w:r>
      <w:proofErr w:type="spellEnd"/>
      <w:r w:rsidR="009F0B8E" w:rsidRPr="009F0B8E">
        <w:rPr>
          <w:bCs/>
          <w:szCs w:val="22"/>
        </w:rPr>
        <w:t xml:space="preserve"> was considered to be an additional option for patients, and </w:t>
      </w:r>
      <w:r w:rsidR="00BF5447">
        <w:rPr>
          <w:bCs/>
          <w:szCs w:val="22"/>
        </w:rPr>
        <w:t xml:space="preserve">it was thought that initially it would </w:t>
      </w:r>
      <w:r w:rsidR="009F0B8E" w:rsidRPr="009F0B8E">
        <w:rPr>
          <w:bCs/>
          <w:szCs w:val="22"/>
        </w:rPr>
        <w:t xml:space="preserve">be used in patients who have exhausted all other treatment options. </w:t>
      </w:r>
      <w:r w:rsidR="007F0522" w:rsidRPr="009F0B8E">
        <w:rPr>
          <w:bCs/>
          <w:szCs w:val="22"/>
        </w:rPr>
        <w:t>The PBAC considered that the hearing was informative as it provided a clinical perspective</w:t>
      </w:r>
      <w:r w:rsidR="009F0B8E" w:rsidRPr="009F0B8E">
        <w:rPr>
          <w:bCs/>
          <w:szCs w:val="22"/>
        </w:rPr>
        <w:t>.</w:t>
      </w:r>
    </w:p>
    <w:p w:rsidR="0031770A" w:rsidRPr="009F0B8E" w:rsidRDefault="0031770A" w:rsidP="0031770A">
      <w:pPr>
        <w:rPr>
          <w:bCs/>
          <w:szCs w:val="22"/>
        </w:rPr>
      </w:pPr>
    </w:p>
    <w:p w:rsidR="00BE3407" w:rsidRDefault="00BE3407" w:rsidP="0031770A">
      <w:pPr>
        <w:rPr>
          <w:b/>
          <w:bCs/>
          <w:szCs w:val="22"/>
        </w:rPr>
      </w:pPr>
    </w:p>
    <w:p w:rsidR="00BE3407" w:rsidRDefault="00BE3407" w:rsidP="0031770A">
      <w:pPr>
        <w:rPr>
          <w:b/>
          <w:bCs/>
          <w:szCs w:val="22"/>
        </w:rPr>
      </w:pPr>
    </w:p>
    <w:p w:rsidR="00BE3407" w:rsidRDefault="00BE3407" w:rsidP="0031770A">
      <w:pPr>
        <w:rPr>
          <w:b/>
          <w:bCs/>
          <w:szCs w:val="22"/>
        </w:rPr>
      </w:pPr>
    </w:p>
    <w:p w:rsidR="004B408A" w:rsidRDefault="004B408A" w:rsidP="0031770A">
      <w:pPr>
        <w:rPr>
          <w:b/>
          <w:bCs/>
          <w:szCs w:val="22"/>
        </w:rPr>
      </w:pPr>
    </w:p>
    <w:p w:rsidR="0031770A" w:rsidRDefault="0031770A" w:rsidP="00944D88">
      <w:pPr>
        <w:pStyle w:val="Heading3"/>
      </w:pPr>
      <w:r w:rsidRPr="00AA30F6">
        <w:t>Consumer comments</w:t>
      </w:r>
    </w:p>
    <w:p w:rsidR="002F2FED" w:rsidRPr="00AA30F6" w:rsidRDefault="002F2FED" w:rsidP="0031770A">
      <w:pPr>
        <w:rPr>
          <w:b/>
          <w:bCs/>
          <w:szCs w:val="22"/>
        </w:rPr>
      </w:pPr>
    </w:p>
    <w:p w:rsidR="009508EC" w:rsidRPr="001F5A38" w:rsidRDefault="009508EC" w:rsidP="0024078A">
      <w:pPr>
        <w:widowControl/>
        <w:numPr>
          <w:ilvl w:val="1"/>
          <w:numId w:val="2"/>
        </w:numPr>
        <w:spacing w:after="120"/>
        <w:rPr>
          <w:bCs/>
          <w:szCs w:val="22"/>
        </w:rPr>
      </w:pPr>
      <w:r w:rsidRPr="001F5A38">
        <w:rPr>
          <w:bCs/>
          <w:szCs w:val="22"/>
        </w:rPr>
        <w:t xml:space="preserve">The PBAC noted and welcomed the input from </w:t>
      </w:r>
      <w:r>
        <w:rPr>
          <w:bCs/>
          <w:szCs w:val="22"/>
        </w:rPr>
        <w:t>several organisations (3</w:t>
      </w:r>
      <w:r w:rsidRPr="001F5A38">
        <w:rPr>
          <w:bCs/>
          <w:szCs w:val="22"/>
        </w:rPr>
        <w:t xml:space="preserve">) via the Consumer Comments facility on the PBS website.  The comments described </w:t>
      </w:r>
      <w:r>
        <w:rPr>
          <w:bCs/>
          <w:szCs w:val="22"/>
        </w:rPr>
        <w:t>the need for a variety of treatments to be available to patients with epilepsy, particularly those with refractory conditions.</w:t>
      </w:r>
      <w:r w:rsidRPr="001F5A38">
        <w:rPr>
          <w:bCs/>
          <w:szCs w:val="22"/>
        </w:rPr>
        <w:t xml:space="preserve">  </w:t>
      </w:r>
    </w:p>
    <w:p w:rsidR="0031770A" w:rsidRPr="001F5A38" w:rsidRDefault="0031770A" w:rsidP="00E42B39"/>
    <w:p w:rsidR="00E42B39" w:rsidRPr="00AA30F6" w:rsidRDefault="00E42B39" w:rsidP="00944D88">
      <w:pPr>
        <w:pStyle w:val="Heading3"/>
      </w:pPr>
      <w:bookmarkStart w:id="13" w:name="_Toc413139277"/>
      <w:bookmarkStart w:id="14" w:name="_Toc450135176"/>
      <w:r w:rsidRPr="00AA30F6">
        <w:t>Clinical trials</w:t>
      </w:r>
      <w:bookmarkEnd w:id="13"/>
      <w:bookmarkEnd w:id="14"/>
    </w:p>
    <w:p w:rsidR="00E42B39" w:rsidRPr="00E2098F" w:rsidRDefault="00E42B39" w:rsidP="00E42B39">
      <w:pPr>
        <w:rPr>
          <w:szCs w:val="22"/>
        </w:rPr>
      </w:pPr>
    </w:p>
    <w:p w:rsidR="004255B1" w:rsidRPr="00E2098F" w:rsidRDefault="00AA30F6" w:rsidP="005E4448">
      <w:pPr>
        <w:pStyle w:val="ListParagraph"/>
        <w:widowControl/>
        <w:numPr>
          <w:ilvl w:val="1"/>
          <w:numId w:val="2"/>
        </w:numPr>
        <w:rPr>
          <w:szCs w:val="22"/>
        </w:rPr>
      </w:pPr>
      <w:r>
        <w:t>The submission wa</w:t>
      </w:r>
      <w:r w:rsidR="004255B1" w:rsidRPr="00E2098F">
        <w:t xml:space="preserve">s based on an indirect comparison of </w:t>
      </w:r>
      <w:proofErr w:type="spellStart"/>
      <w:r w:rsidR="004255B1" w:rsidRPr="00E2098F">
        <w:t>brivaracetam</w:t>
      </w:r>
      <w:proofErr w:type="spellEnd"/>
      <w:r w:rsidR="004255B1" w:rsidRPr="00E2098F">
        <w:t xml:space="preserve"> and </w:t>
      </w:r>
      <w:proofErr w:type="spellStart"/>
      <w:r w:rsidR="004255B1" w:rsidRPr="00E2098F">
        <w:t>lacosamide</w:t>
      </w:r>
      <w:proofErr w:type="spellEnd"/>
      <w:r w:rsidR="004255B1" w:rsidRPr="00E2098F">
        <w:t xml:space="preserve"> in patients with refractory or intractable epilepsy. Six double-blinded placebo controlled trials (three for each drug) </w:t>
      </w:r>
      <w:r>
        <w:t>were used in the indirect comparison which used</w:t>
      </w:r>
      <w:r w:rsidR="004255B1" w:rsidRPr="00E2098F">
        <w:t xml:space="preserve"> placebo as the common reference.</w:t>
      </w:r>
    </w:p>
    <w:p w:rsidR="00E42B39" w:rsidRPr="00E2098F" w:rsidRDefault="00E42B39" w:rsidP="00E42B39">
      <w:pPr>
        <w:widowControl/>
        <w:rPr>
          <w:szCs w:val="22"/>
        </w:rPr>
      </w:pPr>
    </w:p>
    <w:p w:rsidR="00E42B39" w:rsidRPr="00E2098F" w:rsidRDefault="00E42B39" w:rsidP="005E4448">
      <w:pPr>
        <w:pStyle w:val="ListParagraph"/>
        <w:widowControl/>
        <w:numPr>
          <w:ilvl w:val="1"/>
          <w:numId w:val="2"/>
        </w:numPr>
        <w:rPr>
          <w:szCs w:val="22"/>
        </w:rPr>
      </w:pPr>
      <w:r w:rsidRPr="00E2098F">
        <w:rPr>
          <w:szCs w:val="22"/>
        </w:rPr>
        <w:t xml:space="preserve">Details of the trials presented in the submission are provided in the table below.  </w:t>
      </w:r>
    </w:p>
    <w:p w:rsidR="00DE61DD" w:rsidRDefault="00DE61DD">
      <w:pPr>
        <w:widowControl/>
        <w:jc w:val="left"/>
        <w:rPr>
          <w:rFonts w:ascii="Arial Narrow" w:hAnsi="Arial Narrow"/>
          <w:b/>
          <w:sz w:val="20"/>
        </w:rPr>
      </w:pPr>
    </w:p>
    <w:p w:rsidR="00E42B39" w:rsidRDefault="00984563" w:rsidP="00984563">
      <w:pPr>
        <w:pStyle w:val="TableHeader"/>
        <w:ind w:left="737"/>
      </w:pPr>
      <w:r>
        <w:t>Table 1</w:t>
      </w:r>
      <w:r w:rsidR="00E42B39" w:rsidRPr="005C7F65">
        <w:t>: Trials and associated reports presented in the submission</w:t>
      </w:r>
    </w:p>
    <w:tbl>
      <w:tblPr>
        <w:tblW w:w="4576" w:type="pct"/>
        <w:tblInd w:w="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963"/>
        <w:gridCol w:w="3564"/>
        <w:gridCol w:w="3785"/>
      </w:tblGrid>
      <w:tr w:rsidR="00E42B39" w:rsidRPr="008124D6" w:rsidTr="00E42B39">
        <w:tc>
          <w:tcPr>
            <w:tcW w:w="579" w:type="pct"/>
          </w:tcPr>
          <w:p w:rsidR="00E42B39" w:rsidRPr="008124D6" w:rsidRDefault="00E42B39" w:rsidP="00E42B39">
            <w:pPr>
              <w:jc w:val="left"/>
              <w:rPr>
                <w:rFonts w:ascii="Arial Narrow" w:hAnsi="Arial Narrow"/>
                <w:b/>
                <w:sz w:val="20"/>
              </w:rPr>
            </w:pPr>
            <w:r w:rsidRPr="008124D6">
              <w:rPr>
                <w:rFonts w:ascii="Arial Narrow" w:hAnsi="Arial Narrow"/>
                <w:b/>
                <w:sz w:val="20"/>
              </w:rPr>
              <w:t>Trial ID</w:t>
            </w:r>
          </w:p>
        </w:tc>
        <w:tc>
          <w:tcPr>
            <w:tcW w:w="2144" w:type="pct"/>
          </w:tcPr>
          <w:p w:rsidR="00E42B39" w:rsidRPr="008124D6" w:rsidRDefault="00E42B39" w:rsidP="00E42B39">
            <w:pPr>
              <w:jc w:val="center"/>
              <w:rPr>
                <w:rFonts w:ascii="Arial Narrow" w:hAnsi="Arial Narrow"/>
                <w:b/>
                <w:sz w:val="20"/>
              </w:rPr>
            </w:pPr>
            <w:r w:rsidRPr="008124D6">
              <w:rPr>
                <w:rFonts w:ascii="Arial Narrow" w:hAnsi="Arial Narrow"/>
                <w:b/>
                <w:sz w:val="20"/>
              </w:rPr>
              <w:t>Protocol title/ Publication title</w:t>
            </w:r>
          </w:p>
        </w:tc>
        <w:tc>
          <w:tcPr>
            <w:tcW w:w="2277" w:type="pct"/>
          </w:tcPr>
          <w:p w:rsidR="00E42B39" w:rsidRPr="008124D6" w:rsidRDefault="00E42B39" w:rsidP="00E42B39">
            <w:pPr>
              <w:jc w:val="center"/>
              <w:rPr>
                <w:rFonts w:ascii="Arial Narrow" w:hAnsi="Arial Narrow"/>
                <w:b/>
                <w:sz w:val="20"/>
              </w:rPr>
            </w:pPr>
            <w:r w:rsidRPr="008124D6">
              <w:rPr>
                <w:rFonts w:ascii="Arial Narrow" w:hAnsi="Arial Narrow"/>
                <w:b/>
                <w:sz w:val="20"/>
              </w:rPr>
              <w:t>Publication citation</w:t>
            </w:r>
          </w:p>
        </w:tc>
      </w:tr>
      <w:tr w:rsidR="00E42B39" w:rsidRPr="00B13E20" w:rsidTr="00E42B39">
        <w:tc>
          <w:tcPr>
            <w:tcW w:w="5000" w:type="pct"/>
            <w:gridSpan w:val="3"/>
          </w:tcPr>
          <w:p w:rsidR="00E42B39" w:rsidRPr="008D094F" w:rsidRDefault="00E42B39" w:rsidP="00E42B39">
            <w:pPr>
              <w:jc w:val="left"/>
              <w:rPr>
                <w:rFonts w:ascii="Arial Narrow" w:hAnsi="Arial Narrow"/>
                <w:b/>
                <w:sz w:val="20"/>
              </w:rPr>
            </w:pPr>
            <w:r w:rsidRPr="00B13E20">
              <w:rPr>
                <w:rFonts w:ascii="Arial Narrow" w:hAnsi="Arial Narrow"/>
                <w:b/>
                <w:sz w:val="20"/>
              </w:rPr>
              <w:t xml:space="preserve">Proposed drug </w:t>
            </w:r>
            <w:proofErr w:type="spellStart"/>
            <w:r w:rsidRPr="00B13E20">
              <w:rPr>
                <w:rFonts w:ascii="Arial Narrow" w:hAnsi="Arial Narrow"/>
                <w:b/>
                <w:sz w:val="20"/>
              </w:rPr>
              <w:t>brivaracetam</w:t>
            </w:r>
            <w:proofErr w:type="spellEnd"/>
            <w:r w:rsidR="008D094F">
              <w:rPr>
                <w:rFonts w:ascii="Arial Narrow" w:hAnsi="Arial Narrow"/>
                <w:b/>
                <w:sz w:val="20"/>
              </w:rPr>
              <w:t xml:space="preserve"> </w:t>
            </w:r>
            <w:r w:rsidR="008D094F">
              <w:rPr>
                <w:rFonts w:ascii="Arial Narrow" w:hAnsi="Arial Narrow"/>
                <w:b/>
                <w:i/>
                <w:sz w:val="20"/>
              </w:rPr>
              <w:t xml:space="preserve">versus </w:t>
            </w:r>
            <w:r w:rsidR="008D094F">
              <w:rPr>
                <w:rFonts w:ascii="Arial Narrow" w:hAnsi="Arial Narrow"/>
                <w:b/>
                <w:sz w:val="20"/>
              </w:rPr>
              <w:t xml:space="preserve">placebo </w:t>
            </w:r>
          </w:p>
        </w:tc>
      </w:tr>
      <w:tr w:rsidR="00E42B39" w:rsidRPr="008124D6" w:rsidTr="00E42B39">
        <w:tc>
          <w:tcPr>
            <w:tcW w:w="579" w:type="pct"/>
          </w:tcPr>
          <w:p w:rsidR="00E42B39" w:rsidRPr="008124D6" w:rsidRDefault="00E42B39" w:rsidP="00E42B39">
            <w:pPr>
              <w:jc w:val="left"/>
              <w:rPr>
                <w:rFonts w:ascii="Arial Narrow" w:hAnsi="Arial Narrow"/>
                <w:sz w:val="20"/>
              </w:rPr>
            </w:pPr>
            <w:r w:rsidRPr="008124D6">
              <w:rPr>
                <w:rFonts w:ascii="Arial Narrow" w:hAnsi="Arial Narrow"/>
                <w:sz w:val="20"/>
              </w:rPr>
              <w:t xml:space="preserve">1252 </w:t>
            </w:r>
          </w:p>
        </w:tc>
        <w:tc>
          <w:tcPr>
            <w:tcW w:w="2144" w:type="pct"/>
          </w:tcPr>
          <w:p w:rsidR="00E42B39" w:rsidRPr="008124D6" w:rsidRDefault="00E42B39" w:rsidP="00E42B39">
            <w:pPr>
              <w:jc w:val="left"/>
              <w:rPr>
                <w:rFonts w:ascii="Arial Narrow" w:hAnsi="Arial Narrow"/>
                <w:sz w:val="20"/>
              </w:rPr>
            </w:pPr>
            <w:r w:rsidRPr="008124D6">
              <w:rPr>
                <w:rFonts w:ascii="Arial Narrow" w:hAnsi="Arial Narrow"/>
                <w:sz w:val="20"/>
              </w:rPr>
              <w:t>Primary clinical study report NCT00490035 - A multi-</w:t>
            </w:r>
            <w:proofErr w:type="spellStart"/>
            <w:r w:rsidRPr="008124D6">
              <w:rPr>
                <w:rFonts w:ascii="Arial Narrow" w:hAnsi="Arial Narrow"/>
                <w:sz w:val="20"/>
              </w:rPr>
              <w:t>center</w:t>
            </w:r>
            <w:proofErr w:type="spellEnd"/>
            <w:r w:rsidRPr="008124D6">
              <w:rPr>
                <w:rFonts w:ascii="Arial Narrow" w:hAnsi="Arial Narrow"/>
                <w:sz w:val="20"/>
              </w:rPr>
              <w:t xml:space="preserve">, double-blind, parallel-group, placebo-controlled, randomised study: Evaluation of the efficacy and safety of </w:t>
            </w:r>
            <w:proofErr w:type="spellStart"/>
            <w:r w:rsidRPr="008124D6">
              <w:rPr>
                <w:rFonts w:ascii="Arial Narrow" w:hAnsi="Arial Narrow"/>
                <w:sz w:val="20"/>
              </w:rPr>
              <w:t>brivaracetam</w:t>
            </w:r>
            <w:proofErr w:type="spellEnd"/>
            <w:r w:rsidRPr="008124D6">
              <w:rPr>
                <w:rFonts w:ascii="Arial Narrow" w:hAnsi="Arial Narrow"/>
                <w:sz w:val="20"/>
              </w:rPr>
              <w:t xml:space="preserve"> in subjects (≥16 to</w:t>
            </w:r>
          </w:p>
          <w:p w:rsidR="00E42B39" w:rsidRPr="008124D6" w:rsidRDefault="00E42B39" w:rsidP="00E42B39">
            <w:pPr>
              <w:jc w:val="left"/>
              <w:rPr>
                <w:rFonts w:ascii="Arial Narrow" w:hAnsi="Arial Narrow"/>
                <w:sz w:val="20"/>
              </w:rPr>
            </w:pPr>
            <w:r w:rsidRPr="008124D6">
              <w:rPr>
                <w:rFonts w:ascii="Arial Narrow" w:hAnsi="Arial Narrow"/>
                <w:sz w:val="20"/>
              </w:rPr>
              <w:t>70 years old) with partial-onset seizures. UCB Pharma SA</w:t>
            </w:r>
          </w:p>
          <w:p w:rsidR="00E42B39" w:rsidRPr="008124D6" w:rsidRDefault="00E42B39" w:rsidP="00E42B39">
            <w:pPr>
              <w:jc w:val="left"/>
              <w:rPr>
                <w:rFonts w:ascii="Arial Narrow" w:hAnsi="Arial Narrow"/>
                <w:sz w:val="20"/>
              </w:rPr>
            </w:pPr>
          </w:p>
          <w:p w:rsidR="00E42B39" w:rsidRPr="008124D6" w:rsidRDefault="00E42B39" w:rsidP="00E42B39">
            <w:pPr>
              <w:jc w:val="left"/>
              <w:rPr>
                <w:rFonts w:ascii="Arial Narrow" w:hAnsi="Arial Narrow"/>
                <w:sz w:val="20"/>
                <w:u w:val="single"/>
              </w:rPr>
            </w:pPr>
            <w:r w:rsidRPr="008124D6">
              <w:rPr>
                <w:rFonts w:ascii="Arial Narrow" w:hAnsi="Arial Narrow"/>
                <w:sz w:val="20"/>
                <w:u w:val="single"/>
              </w:rPr>
              <w:t>Publications</w:t>
            </w:r>
          </w:p>
          <w:p w:rsidR="00E42B39" w:rsidRPr="008124D6" w:rsidRDefault="00E42B39" w:rsidP="00E42B39">
            <w:pPr>
              <w:jc w:val="left"/>
              <w:rPr>
                <w:rFonts w:ascii="Arial Narrow" w:hAnsi="Arial Narrow"/>
                <w:sz w:val="20"/>
                <w:highlight w:val="yellow"/>
              </w:rPr>
            </w:pPr>
            <w:proofErr w:type="spellStart"/>
            <w:r w:rsidRPr="008124D6">
              <w:rPr>
                <w:rFonts w:ascii="Arial Narrow" w:hAnsi="Arial Narrow"/>
                <w:sz w:val="20"/>
              </w:rPr>
              <w:t>Ryvlin</w:t>
            </w:r>
            <w:proofErr w:type="spellEnd"/>
            <w:r w:rsidRPr="008124D6">
              <w:rPr>
                <w:rFonts w:ascii="Arial Narrow" w:hAnsi="Arial Narrow"/>
                <w:sz w:val="20"/>
              </w:rPr>
              <w:t xml:space="preserve"> P, </w:t>
            </w:r>
            <w:proofErr w:type="spellStart"/>
            <w:r w:rsidRPr="008124D6">
              <w:rPr>
                <w:rFonts w:ascii="Arial Narrow" w:hAnsi="Arial Narrow"/>
                <w:sz w:val="20"/>
              </w:rPr>
              <w:t>Werhahn</w:t>
            </w:r>
            <w:proofErr w:type="spellEnd"/>
            <w:r w:rsidRPr="008124D6">
              <w:rPr>
                <w:rFonts w:ascii="Arial Narrow" w:hAnsi="Arial Narrow"/>
                <w:sz w:val="20"/>
              </w:rPr>
              <w:t xml:space="preserve"> KJ, </w:t>
            </w:r>
            <w:proofErr w:type="spellStart"/>
            <w:r w:rsidRPr="008124D6">
              <w:rPr>
                <w:rFonts w:ascii="Arial Narrow" w:hAnsi="Arial Narrow"/>
                <w:sz w:val="20"/>
              </w:rPr>
              <w:t>Blaszczyk</w:t>
            </w:r>
            <w:proofErr w:type="spellEnd"/>
            <w:r w:rsidRPr="008124D6">
              <w:rPr>
                <w:rFonts w:ascii="Arial Narrow" w:hAnsi="Arial Narrow"/>
                <w:sz w:val="20"/>
              </w:rPr>
              <w:t xml:space="preserve"> B, </w:t>
            </w:r>
            <w:proofErr w:type="gramStart"/>
            <w:r w:rsidRPr="008124D6">
              <w:rPr>
                <w:rFonts w:ascii="Arial Narrow" w:hAnsi="Arial Narrow"/>
                <w:sz w:val="20"/>
              </w:rPr>
              <w:t>Johnson</w:t>
            </w:r>
            <w:proofErr w:type="gramEnd"/>
            <w:r w:rsidRPr="008124D6">
              <w:rPr>
                <w:rFonts w:ascii="Arial Narrow" w:hAnsi="Arial Narrow"/>
                <w:sz w:val="20"/>
              </w:rPr>
              <w:t xml:space="preserve"> ME, Lu S. Adjunctive </w:t>
            </w:r>
            <w:proofErr w:type="spellStart"/>
            <w:r w:rsidRPr="008124D6">
              <w:rPr>
                <w:rFonts w:ascii="Arial Narrow" w:hAnsi="Arial Narrow"/>
                <w:sz w:val="20"/>
              </w:rPr>
              <w:t>brivaracetam</w:t>
            </w:r>
            <w:proofErr w:type="spellEnd"/>
            <w:r w:rsidRPr="008124D6">
              <w:rPr>
                <w:rFonts w:ascii="Arial Narrow" w:hAnsi="Arial Narrow"/>
                <w:sz w:val="20"/>
              </w:rPr>
              <w:t xml:space="preserve"> in adults with uncontrolled focal epilepsy: results from a double-blind, randomised, placebo-controlled trial.</w:t>
            </w:r>
          </w:p>
        </w:tc>
        <w:tc>
          <w:tcPr>
            <w:tcW w:w="2277" w:type="pct"/>
          </w:tcPr>
          <w:p w:rsidR="00E42B39" w:rsidRPr="008124D6" w:rsidRDefault="00E42B39" w:rsidP="00E42B39">
            <w:pPr>
              <w:jc w:val="left"/>
              <w:rPr>
                <w:rFonts w:ascii="Arial Narrow" w:hAnsi="Arial Narrow"/>
                <w:sz w:val="20"/>
              </w:rPr>
            </w:pPr>
            <w:r w:rsidRPr="008124D6">
              <w:rPr>
                <w:rFonts w:ascii="Arial Narrow" w:hAnsi="Arial Narrow"/>
                <w:sz w:val="20"/>
              </w:rPr>
              <w:t>26 July 2010</w:t>
            </w:r>
          </w:p>
          <w:p w:rsidR="00E42B39" w:rsidRPr="008124D6" w:rsidRDefault="00E42B39" w:rsidP="00E42B39">
            <w:pPr>
              <w:jc w:val="left"/>
              <w:rPr>
                <w:rFonts w:ascii="Arial Narrow" w:hAnsi="Arial Narrow"/>
                <w:sz w:val="20"/>
              </w:rPr>
            </w:pPr>
          </w:p>
          <w:p w:rsidR="00E42B39" w:rsidRPr="008124D6" w:rsidRDefault="00E42B39" w:rsidP="00E42B39">
            <w:pPr>
              <w:jc w:val="left"/>
              <w:rPr>
                <w:rFonts w:ascii="Arial Narrow" w:hAnsi="Arial Narrow"/>
                <w:sz w:val="20"/>
              </w:rPr>
            </w:pPr>
          </w:p>
          <w:p w:rsidR="00E42B39" w:rsidRPr="008124D6" w:rsidRDefault="00E42B39" w:rsidP="00E42B39">
            <w:pPr>
              <w:jc w:val="left"/>
              <w:rPr>
                <w:rFonts w:ascii="Arial Narrow" w:hAnsi="Arial Narrow"/>
                <w:sz w:val="20"/>
              </w:rPr>
            </w:pPr>
          </w:p>
          <w:p w:rsidR="00E42B39" w:rsidRPr="008124D6" w:rsidRDefault="00E42B39" w:rsidP="00E42B39">
            <w:pPr>
              <w:jc w:val="left"/>
              <w:rPr>
                <w:rFonts w:ascii="Arial Narrow" w:hAnsi="Arial Narrow"/>
                <w:sz w:val="20"/>
              </w:rPr>
            </w:pPr>
          </w:p>
          <w:p w:rsidR="00E42B39" w:rsidRPr="008124D6" w:rsidRDefault="00E42B39" w:rsidP="00E42B39">
            <w:pPr>
              <w:jc w:val="left"/>
              <w:rPr>
                <w:rFonts w:ascii="Arial Narrow" w:hAnsi="Arial Narrow"/>
                <w:sz w:val="20"/>
              </w:rPr>
            </w:pPr>
          </w:p>
          <w:p w:rsidR="00E42B39" w:rsidRPr="008124D6" w:rsidRDefault="00E42B39" w:rsidP="00E42B39">
            <w:pPr>
              <w:jc w:val="left"/>
              <w:rPr>
                <w:rFonts w:ascii="Arial Narrow" w:hAnsi="Arial Narrow"/>
                <w:sz w:val="20"/>
              </w:rPr>
            </w:pPr>
          </w:p>
          <w:p w:rsidR="00E42B39" w:rsidRPr="008124D6" w:rsidRDefault="00E42B39" w:rsidP="00E42B39">
            <w:pPr>
              <w:jc w:val="left"/>
              <w:rPr>
                <w:rFonts w:ascii="Arial Narrow" w:hAnsi="Arial Narrow"/>
                <w:i/>
                <w:sz w:val="20"/>
              </w:rPr>
            </w:pPr>
          </w:p>
          <w:p w:rsidR="00E42B39" w:rsidRPr="008124D6" w:rsidRDefault="00E42B39" w:rsidP="00E42B39">
            <w:pPr>
              <w:jc w:val="left"/>
              <w:rPr>
                <w:rFonts w:ascii="Arial Narrow" w:hAnsi="Arial Narrow"/>
                <w:i/>
                <w:sz w:val="20"/>
              </w:rPr>
            </w:pPr>
          </w:p>
          <w:p w:rsidR="00E42B39" w:rsidRPr="008124D6" w:rsidRDefault="00E42B39" w:rsidP="00E42B39">
            <w:pPr>
              <w:jc w:val="left"/>
              <w:rPr>
                <w:rFonts w:ascii="Arial Narrow" w:hAnsi="Arial Narrow"/>
                <w:i/>
                <w:sz w:val="20"/>
              </w:rPr>
            </w:pPr>
            <w:proofErr w:type="spellStart"/>
            <w:r w:rsidRPr="008124D6">
              <w:rPr>
                <w:rFonts w:ascii="Arial Narrow" w:hAnsi="Arial Narrow"/>
                <w:i/>
                <w:sz w:val="20"/>
              </w:rPr>
              <w:t>Epilepsia</w:t>
            </w:r>
            <w:proofErr w:type="spellEnd"/>
            <w:r w:rsidRPr="008124D6">
              <w:rPr>
                <w:rFonts w:ascii="Arial Narrow" w:hAnsi="Arial Narrow"/>
                <w:i/>
                <w:sz w:val="20"/>
              </w:rPr>
              <w:t xml:space="preserve"> </w:t>
            </w:r>
            <w:r w:rsidRPr="008124D6">
              <w:rPr>
                <w:rFonts w:ascii="Arial Narrow" w:hAnsi="Arial Narrow"/>
                <w:sz w:val="20"/>
              </w:rPr>
              <w:t>2013; 55(1):47-56</w:t>
            </w:r>
          </w:p>
          <w:p w:rsidR="00E42B39" w:rsidRPr="008124D6" w:rsidRDefault="00E42B39" w:rsidP="00E42B39">
            <w:pPr>
              <w:jc w:val="left"/>
              <w:rPr>
                <w:rFonts w:ascii="Arial Narrow" w:hAnsi="Arial Narrow"/>
                <w:sz w:val="20"/>
              </w:rPr>
            </w:pPr>
          </w:p>
        </w:tc>
      </w:tr>
      <w:tr w:rsidR="00E42B39" w:rsidRPr="008124D6" w:rsidTr="00E42B39">
        <w:tc>
          <w:tcPr>
            <w:tcW w:w="579" w:type="pct"/>
          </w:tcPr>
          <w:p w:rsidR="00E42B39" w:rsidRPr="008124D6" w:rsidRDefault="00E42B39" w:rsidP="00E42B39">
            <w:pPr>
              <w:jc w:val="left"/>
              <w:rPr>
                <w:rFonts w:ascii="Arial Narrow" w:hAnsi="Arial Narrow"/>
                <w:sz w:val="20"/>
              </w:rPr>
            </w:pPr>
            <w:r w:rsidRPr="008124D6">
              <w:rPr>
                <w:rFonts w:ascii="Arial Narrow" w:hAnsi="Arial Narrow"/>
                <w:sz w:val="20"/>
              </w:rPr>
              <w:t>1253</w:t>
            </w:r>
          </w:p>
        </w:tc>
        <w:tc>
          <w:tcPr>
            <w:tcW w:w="2144" w:type="pct"/>
          </w:tcPr>
          <w:p w:rsidR="00E42B39" w:rsidRPr="008124D6" w:rsidRDefault="00E42B39" w:rsidP="00E42B39">
            <w:pPr>
              <w:jc w:val="left"/>
              <w:rPr>
                <w:rFonts w:ascii="Arial Narrow" w:hAnsi="Arial Narrow"/>
                <w:sz w:val="20"/>
              </w:rPr>
            </w:pPr>
            <w:r w:rsidRPr="008124D6">
              <w:rPr>
                <w:rFonts w:ascii="Arial Narrow" w:hAnsi="Arial Narrow"/>
                <w:sz w:val="20"/>
              </w:rPr>
              <w:t xml:space="preserve">Primary clinical study report NCT00464269 - An international, double-blind, parallel-group, placebo-controlled, randomised study: evaluation of the efficacy and safety of </w:t>
            </w:r>
            <w:proofErr w:type="spellStart"/>
            <w:r w:rsidRPr="008124D6">
              <w:rPr>
                <w:rFonts w:ascii="Arial Narrow" w:hAnsi="Arial Narrow"/>
                <w:sz w:val="20"/>
              </w:rPr>
              <w:t>brivaracetam</w:t>
            </w:r>
            <w:proofErr w:type="spellEnd"/>
            <w:r w:rsidRPr="008124D6">
              <w:rPr>
                <w:rFonts w:ascii="Arial Narrow" w:hAnsi="Arial Narrow"/>
                <w:sz w:val="20"/>
              </w:rPr>
              <w:t xml:space="preserve"> in subjects (≥ 16 to 70 years old) with Partial Onset Seizures. UCB Pharma SA</w:t>
            </w:r>
          </w:p>
          <w:p w:rsidR="00E42B39" w:rsidRPr="008124D6" w:rsidRDefault="00E42B39" w:rsidP="00E42B39">
            <w:pPr>
              <w:jc w:val="left"/>
              <w:rPr>
                <w:rFonts w:ascii="Arial Narrow" w:hAnsi="Arial Narrow"/>
                <w:sz w:val="20"/>
              </w:rPr>
            </w:pPr>
          </w:p>
          <w:p w:rsidR="00E42B39" w:rsidRPr="008124D6" w:rsidRDefault="00E42B39" w:rsidP="00E42B39">
            <w:pPr>
              <w:jc w:val="left"/>
              <w:rPr>
                <w:rFonts w:ascii="Arial Narrow" w:hAnsi="Arial Narrow"/>
                <w:sz w:val="20"/>
                <w:u w:val="single"/>
              </w:rPr>
            </w:pPr>
            <w:r w:rsidRPr="008124D6">
              <w:rPr>
                <w:rFonts w:ascii="Arial Narrow" w:hAnsi="Arial Narrow"/>
                <w:sz w:val="20"/>
                <w:u w:val="single"/>
              </w:rPr>
              <w:t>Publication</w:t>
            </w:r>
          </w:p>
          <w:p w:rsidR="00E42B39" w:rsidRPr="008124D6" w:rsidRDefault="00E42B39" w:rsidP="00E42B39">
            <w:pPr>
              <w:jc w:val="left"/>
              <w:rPr>
                <w:rFonts w:ascii="Arial Narrow" w:hAnsi="Arial Narrow"/>
                <w:sz w:val="20"/>
              </w:rPr>
            </w:pPr>
            <w:proofErr w:type="spellStart"/>
            <w:r w:rsidRPr="008124D6">
              <w:rPr>
                <w:rFonts w:ascii="Arial Narrow" w:hAnsi="Arial Narrow"/>
                <w:sz w:val="20"/>
              </w:rPr>
              <w:t>Biton</w:t>
            </w:r>
            <w:proofErr w:type="spellEnd"/>
            <w:r w:rsidRPr="008124D6">
              <w:rPr>
                <w:rFonts w:ascii="Arial Narrow" w:hAnsi="Arial Narrow"/>
                <w:sz w:val="20"/>
              </w:rPr>
              <w:t xml:space="preserve"> V, </w:t>
            </w:r>
            <w:proofErr w:type="spellStart"/>
            <w:r w:rsidRPr="008124D6">
              <w:rPr>
                <w:rFonts w:ascii="Arial Narrow" w:hAnsi="Arial Narrow"/>
                <w:sz w:val="20"/>
              </w:rPr>
              <w:t>Berkovic</w:t>
            </w:r>
            <w:proofErr w:type="spellEnd"/>
            <w:r w:rsidRPr="008124D6">
              <w:rPr>
                <w:rFonts w:ascii="Arial Narrow" w:hAnsi="Arial Narrow"/>
                <w:sz w:val="20"/>
              </w:rPr>
              <w:t xml:space="preserve"> SF, </w:t>
            </w:r>
            <w:proofErr w:type="spellStart"/>
            <w:r w:rsidRPr="008124D6">
              <w:rPr>
                <w:rFonts w:ascii="Arial Narrow" w:hAnsi="Arial Narrow"/>
                <w:sz w:val="20"/>
              </w:rPr>
              <w:t>Abou</w:t>
            </w:r>
            <w:proofErr w:type="spellEnd"/>
            <w:r w:rsidRPr="008124D6">
              <w:rPr>
                <w:rFonts w:ascii="Arial Narrow" w:hAnsi="Arial Narrow"/>
                <w:sz w:val="20"/>
              </w:rPr>
              <w:t xml:space="preserve">-Khalil B, </w:t>
            </w:r>
            <w:proofErr w:type="spellStart"/>
            <w:r w:rsidRPr="008124D6">
              <w:rPr>
                <w:rFonts w:ascii="Arial Narrow" w:hAnsi="Arial Narrow"/>
                <w:sz w:val="20"/>
              </w:rPr>
              <w:t>Sperling</w:t>
            </w:r>
            <w:proofErr w:type="spellEnd"/>
            <w:r w:rsidRPr="008124D6">
              <w:rPr>
                <w:rFonts w:ascii="Arial Narrow" w:hAnsi="Arial Narrow"/>
                <w:sz w:val="20"/>
              </w:rPr>
              <w:t xml:space="preserve"> MR, Johnson ME, Lu S. </w:t>
            </w:r>
            <w:proofErr w:type="spellStart"/>
            <w:r w:rsidRPr="008124D6">
              <w:rPr>
                <w:rFonts w:ascii="Arial Narrow" w:hAnsi="Arial Narrow"/>
                <w:sz w:val="20"/>
              </w:rPr>
              <w:t>Brivaracetam</w:t>
            </w:r>
            <w:proofErr w:type="spellEnd"/>
            <w:r w:rsidRPr="008124D6">
              <w:rPr>
                <w:rFonts w:ascii="Arial Narrow" w:hAnsi="Arial Narrow"/>
                <w:sz w:val="20"/>
              </w:rPr>
              <w:t xml:space="preserve"> as adjunctive treatment for uncontrolled partial epilepsy in adults: a phase III randomised, double-blind, placebo-controlled trial.</w:t>
            </w:r>
          </w:p>
        </w:tc>
        <w:tc>
          <w:tcPr>
            <w:tcW w:w="2277" w:type="pct"/>
          </w:tcPr>
          <w:p w:rsidR="00E42B39" w:rsidRPr="008124D6" w:rsidRDefault="00E42B39" w:rsidP="00E42B39">
            <w:pPr>
              <w:jc w:val="left"/>
              <w:rPr>
                <w:rFonts w:ascii="Arial Narrow" w:hAnsi="Arial Narrow"/>
                <w:sz w:val="20"/>
              </w:rPr>
            </w:pPr>
            <w:r w:rsidRPr="008124D6">
              <w:rPr>
                <w:rFonts w:ascii="Arial Narrow" w:hAnsi="Arial Narrow"/>
                <w:sz w:val="20"/>
              </w:rPr>
              <w:t>3 June 2011.</w:t>
            </w:r>
          </w:p>
          <w:p w:rsidR="00E42B39" w:rsidRPr="008124D6" w:rsidRDefault="00E42B39" w:rsidP="00E42B39">
            <w:pPr>
              <w:jc w:val="left"/>
              <w:rPr>
                <w:rFonts w:ascii="Arial Narrow" w:hAnsi="Arial Narrow"/>
                <w:sz w:val="20"/>
              </w:rPr>
            </w:pPr>
          </w:p>
          <w:p w:rsidR="00E42B39" w:rsidRPr="008124D6" w:rsidRDefault="00E42B39" w:rsidP="00E42B39">
            <w:pPr>
              <w:jc w:val="left"/>
              <w:rPr>
                <w:rFonts w:ascii="Arial Narrow" w:hAnsi="Arial Narrow"/>
                <w:sz w:val="20"/>
              </w:rPr>
            </w:pPr>
          </w:p>
          <w:p w:rsidR="00E42B39" w:rsidRPr="008124D6" w:rsidRDefault="00E42B39" w:rsidP="00E42B39">
            <w:pPr>
              <w:jc w:val="left"/>
              <w:rPr>
                <w:rFonts w:ascii="Arial Narrow" w:hAnsi="Arial Narrow"/>
                <w:sz w:val="20"/>
              </w:rPr>
            </w:pPr>
          </w:p>
          <w:p w:rsidR="00E42B39" w:rsidRPr="008124D6" w:rsidRDefault="00E42B39" w:rsidP="00E42B39">
            <w:pPr>
              <w:jc w:val="left"/>
              <w:rPr>
                <w:rFonts w:ascii="Arial Narrow" w:hAnsi="Arial Narrow"/>
                <w:sz w:val="20"/>
              </w:rPr>
            </w:pPr>
          </w:p>
          <w:p w:rsidR="00E42B39" w:rsidRPr="008124D6" w:rsidRDefault="00E42B39" w:rsidP="00E42B39">
            <w:pPr>
              <w:jc w:val="left"/>
              <w:rPr>
                <w:rFonts w:ascii="Arial Narrow" w:hAnsi="Arial Narrow"/>
                <w:sz w:val="20"/>
              </w:rPr>
            </w:pPr>
          </w:p>
          <w:p w:rsidR="00E42B39" w:rsidRPr="008124D6" w:rsidRDefault="00E42B39" w:rsidP="00E42B39">
            <w:pPr>
              <w:jc w:val="left"/>
              <w:rPr>
                <w:rFonts w:ascii="Arial Narrow" w:hAnsi="Arial Narrow"/>
                <w:sz w:val="20"/>
              </w:rPr>
            </w:pPr>
          </w:p>
          <w:p w:rsidR="00E42B39" w:rsidRPr="008124D6" w:rsidRDefault="00E42B39" w:rsidP="00E42B39">
            <w:pPr>
              <w:jc w:val="left"/>
              <w:rPr>
                <w:rFonts w:ascii="Arial Narrow" w:hAnsi="Arial Narrow"/>
                <w:sz w:val="20"/>
              </w:rPr>
            </w:pPr>
          </w:p>
          <w:p w:rsidR="00E42B39" w:rsidRPr="008124D6" w:rsidRDefault="00E42B39" w:rsidP="00E42B39">
            <w:pPr>
              <w:jc w:val="left"/>
              <w:rPr>
                <w:rFonts w:ascii="Arial Narrow" w:hAnsi="Arial Narrow"/>
                <w:sz w:val="20"/>
              </w:rPr>
            </w:pPr>
            <w:proofErr w:type="spellStart"/>
            <w:r w:rsidRPr="008124D6">
              <w:rPr>
                <w:rFonts w:ascii="Arial Narrow" w:hAnsi="Arial Narrow"/>
                <w:i/>
                <w:sz w:val="20"/>
              </w:rPr>
              <w:t>Epilepsia</w:t>
            </w:r>
            <w:proofErr w:type="spellEnd"/>
            <w:r w:rsidRPr="008124D6">
              <w:rPr>
                <w:rFonts w:ascii="Arial Narrow" w:hAnsi="Arial Narrow"/>
                <w:sz w:val="20"/>
              </w:rPr>
              <w:t xml:space="preserve"> 2014; 55(1):57-66</w:t>
            </w:r>
          </w:p>
          <w:p w:rsidR="00E42B39" w:rsidRPr="008124D6" w:rsidRDefault="00E42B39" w:rsidP="00E42B39">
            <w:pPr>
              <w:jc w:val="left"/>
              <w:rPr>
                <w:rFonts w:ascii="Arial Narrow" w:hAnsi="Arial Narrow"/>
                <w:sz w:val="20"/>
              </w:rPr>
            </w:pPr>
          </w:p>
        </w:tc>
      </w:tr>
      <w:tr w:rsidR="00E42B39" w:rsidRPr="008124D6" w:rsidTr="00E42B39">
        <w:tc>
          <w:tcPr>
            <w:tcW w:w="579" w:type="pct"/>
          </w:tcPr>
          <w:p w:rsidR="00E42B39" w:rsidRPr="008124D6" w:rsidRDefault="00E42B39" w:rsidP="00E42B39">
            <w:pPr>
              <w:jc w:val="left"/>
              <w:rPr>
                <w:rFonts w:ascii="Arial Narrow" w:hAnsi="Arial Narrow"/>
                <w:sz w:val="20"/>
              </w:rPr>
            </w:pPr>
            <w:r w:rsidRPr="008124D6">
              <w:rPr>
                <w:rFonts w:ascii="Arial Narrow" w:hAnsi="Arial Narrow"/>
                <w:sz w:val="20"/>
              </w:rPr>
              <w:t>1252 and 1253</w:t>
            </w:r>
          </w:p>
        </w:tc>
        <w:tc>
          <w:tcPr>
            <w:tcW w:w="2144" w:type="pct"/>
          </w:tcPr>
          <w:p w:rsidR="00E42B39" w:rsidRPr="008124D6" w:rsidRDefault="00E42B39" w:rsidP="00E42B39">
            <w:pPr>
              <w:jc w:val="left"/>
              <w:rPr>
                <w:rFonts w:ascii="Arial Narrow" w:hAnsi="Arial Narrow"/>
                <w:sz w:val="20"/>
                <w:u w:val="single"/>
              </w:rPr>
            </w:pPr>
            <w:r w:rsidRPr="008124D6">
              <w:rPr>
                <w:rFonts w:ascii="Arial Narrow" w:hAnsi="Arial Narrow"/>
                <w:sz w:val="20"/>
                <w:u w:val="single"/>
              </w:rPr>
              <w:t>Additional publications</w:t>
            </w:r>
          </w:p>
          <w:p w:rsidR="00E42B39" w:rsidRPr="008124D6" w:rsidRDefault="00E42B39" w:rsidP="00E42B39">
            <w:pPr>
              <w:jc w:val="left"/>
              <w:rPr>
                <w:rFonts w:ascii="Arial Narrow" w:hAnsi="Arial Narrow"/>
                <w:sz w:val="20"/>
              </w:rPr>
            </w:pPr>
            <w:proofErr w:type="spellStart"/>
            <w:r w:rsidRPr="008124D6">
              <w:rPr>
                <w:rFonts w:ascii="Arial Narrow" w:hAnsi="Arial Narrow"/>
                <w:sz w:val="20"/>
              </w:rPr>
              <w:t>Werhahn</w:t>
            </w:r>
            <w:proofErr w:type="spellEnd"/>
            <w:r w:rsidRPr="008124D6">
              <w:rPr>
                <w:rFonts w:ascii="Arial Narrow" w:hAnsi="Arial Narrow"/>
                <w:sz w:val="20"/>
              </w:rPr>
              <w:t xml:space="preserve"> KJ, </w:t>
            </w:r>
            <w:proofErr w:type="spellStart"/>
            <w:r w:rsidRPr="008124D6">
              <w:rPr>
                <w:rFonts w:ascii="Arial Narrow" w:hAnsi="Arial Narrow"/>
                <w:sz w:val="20"/>
              </w:rPr>
              <w:t>Biton</w:t>
            </w:r>
            <w:proofErr w:type="spellEnd"/>
            <w:r w:rsidRPr="008124D6">
              <w:rPr>
                <w:rFonts w:ascii="Arial Narrow" w:hAnsi="Arial Narrow"/>
                <w:sz w:val="20"/>
              </w:rPr>
              <w:t xml:space="preserve"> V, Johnson ME, </w:t>
            </w:r>
            <w:proofErr w:type="spellStart"/>
            <w:r w:rsidRPr="008124D6">
              <w:rPr>
                <w:rFonts w:ascii="Arial Narrow" w:hAnsi="Arial Narrow"/>
                <w:sz w:val="20"/>
              </w:rPr>
              <w:t>Merschhemke</w:t>
            </w:r>
            <w:proofErr w:type="spellEnd"/>
            <w:r w:rsidRPr="008124D6">
              <w:rPr>
                <w:rFonts w:ascii="Arial Narrow" w:hAnsi="Arial Narrow"/>
                <w:sz w:val="20"/>
              </w:rPr>
              <w:t xml:space="preserve"> M, Lu S. Adjunctive </w:t>
            </w:r>
            <w:proofErr w:type="spellStart"/>
            <w:r w:rsidRPr="008124D6">
              <w:rPr>
                <w:rFonts w:ascii="Arial Narrow" w:hAnsi="Arial Narrow"/>
                <w:sz w:val="20"/>
              </w:rPr>
              <w:t>brivaracetam</w:t>
            </w:r>
            <w:proofErr w:type="spellEnd"/>
            <w:r w:rsidRPr="008124D6">
              <w:rPr>
                <w:rFonts w:ascii="Arial Narrow" w:hAnsi="Arial Narrow"/>
                <w:sz w:val="20"/>
              </w:rPr>
              <w:t xml:space="preserve"> in adults with uncontrolled focal epilepsy: results from two randomised, double-blind, placebo-controlled trials [abstract no: p507].</w:t>
            </w:r>
          </w:p>
          <w:p w:rsidR="00E42B39" w:rsidRPr="008124D6" w:rsidRDefault="00E42B39" w:rsidP="00E42B39">
            <w:pPr>
              <w:jc w:val="left"/>
              <w:rPr>
                <w:rFonts w:ascii="Arial Narrow" w:hAnsi="Arial Narrow"/>
                <w:sz w:val="20"/>
              </w:rPr>
            </w:pPr>
          </w:p>
          <w:p w:rsidR="00E42B39" w:rsidRPr="008124D6" w:rsidRDefault="00E42B39" w:rsidP="00E42B39">
            <w:pPr>
              <w:jc w:val="left"/>
              <w:rPr>
                <w:rFonts w:ascii="Arial Narrow" w:hAnsi="Arial Narrow"/>
                <w:sz w:val="20"/>
              </w:rPr>
            </w:pPr>
            <w:proofErr w:type="spellStart"/>
            <w:r w:rsidRPr="008124D6">
              <w:rPr>
                <w:rFonts w:ascii="Arial Narrow" w:hAnsi="Arial Narrow"/>
                <w:sz w:val="20"/>
              </w:rPr>
              <w:t>Biton</w:t>
            </w:r>
            <w:proofErr w:type="spellEnd"/>
            <w:r w:rsidRPr="008124D6">
              <w:rPr>
                <w:rFonts w:ascii="Arial Narrow" w:hAnsi="Arial Narrow"/>
                <w:sz w:val="20"/>
              </w:rPr>
              <w:t xml:space="preserve"> V, AU: </w:t>
            </w:r>
            <w:proofErr w:type="spellStart"/>
            <w:r w:rsidRPr="008124D6">
              <w:rPr>
                <w:rFonts w:ascii="Arial Narrow" w:hAnsi="Arial Narrow"/>
                <w:sz w:val="20"/>
              </w:rPr>
              <w:t>Werhahn</w:t>
            </w:r>
            <w:proofErr w:type="spellEnd"/>
            <w:r w:rsidRPr="008124D6">
              <w:rPr>
                <w:rFonts w:ascii="Arial Narrow" w:hAnsi="Arial Narrow"/>
                <w:sz w:val="20"/>
              </w:rPr>
              <w:t xml:space="preserve"> KJ, Johnson ME, Falter U, </w:t>
            </w:r>
            <w:proofErr w:type="spellStart"/>
            <w:r w:rsidRPr="008124D6">
              <w:rPr>
                <w:rFonts w:ascii="Arial Narrow" w:hAnsi="Arial Narrow"/>
                <w:sz w:val="20"/>
              </w:rPr>
              <w:t>Climo</w:t>
            </w:r>
            <w:proofErr w:type="spellEnd"/>
            <w:r w:rsidRPr="008124D6">
              <w:rPr>
                <w:rFonts w:ascii="Arial Narrow" w:hAnsi="Arial Narrow"/>
                <w:sz w:val="20"/>
              </w:rPr>
              <w:t xml:space="preserve"> K, </w:t>
            </w:r>
            <w:proofErr w:type="spellStart"/>
            <w:r w:rsidRPr="008124D6">
              <w:rPr>
                <w:rFonts w:ascii="Arial Narrow" w:hAnsi="Arial Narrow"/>
                <w:sz w:val="20"/>
              </w:rPr>
              <w:t>Schelstraete</w:t>
            </w:r>
            <w:proofErr w:type="spellEnd"/>
            <w:r w:rsidRPr="008124D6">
              <w:rPr>
                <w:rFonts w:ascii="Arial Narrow" w:hAnsi="Arial Narrow"/>
                <w:sz w:val="20"/>
              </w:rPr>
              <w:t xml:space="preserve"> I, Brodsky AC, </w:t>
            </w:r>
            <w:proofErr w:type="spellStart"/>
            <w:r w:rsidRPr="008124D6">
              <w:rPr>
                <w:rFonts w:ascii="Arial Narrow" w:hAnsi="Arial Narrow"/>
                <w:sz w:val="20"/>
              </w:rPr>
              <w:t>Rosenstiel</w:t>
            </w:r>
            <w:proofErr w:type="spellEnd"/>
            <w:r w:rsidRPr="008124D6">
              <w:rPr>
                <w:rFonts w:ascii="Arial Narrow" w:hAnsi="Arial Narrow"/>
                <w:sz w:val="20"/>
              </w:rPr>
              <w:t xml:space="preserve"> P. </w:t>
            </w:r>
            <w:proofErr w:type="spellStart"/>
            <w:r w:rsidRPr="008124D6">
              <w:rPr>
                <w:rFonts w:ascii="Arial Narrow" w:hAnsi="Arial Narrow"/>
                <w:sz w:val="20"/>
              </w:rPr>
              <w:t>Brivaracetam</w:t>
            </w:r>
            <w:proofErr w:type="spellEnd"/>
            <w:r w:rsidRPr="008124D6">
              <w:rPr>
                <w:rFonts w:ascii="Arial Narrow" w:hAnsi="Arial Narrow"/>
                <w:sz w:val="20"/>
              </w:rPr>
              <w:t xml:space="preserve"> as adjunctive treatment of refractory partial-onset seizures in adults: results from two randomised, double-blind, placebo-controlled trials [abstract no: 1.216]. </w:t>
            </w:r>
            <w:proofErr w:type="spellStart"/>
            <w:r w:rsidRPr="008124D6">
              <w:rPr>
                <w:rFonts w:ascii="Arial Narrow" w:hAnsi="Arial Narrow"/>
                <w:sz w:val="20"/>
              </w:rPr>
              <w:t>Epilepsia</w:t>
            </w:r>
            <w:proofErr w:type="spellEnd"/>
            <w:r w:rsidRPr="008124D6">
              <w:rPr>
                <w:rFonts w:ascii="Arial Narrow" w:hAnsi="Arial Narrow"/>
                <w:sz w:val="20"/>
              </w:rPr>
              <w:t xml:space="preserve"> 50 (</w:t>
            </w:r>
            <w:proofErr w:type="spellStart"/>
            <w:r w:rsidRPr="008124D6">
              <w:rPr>
                <w:rFonts w:ascii="Arial Narrow" w:hAnsi="Arial Narrow"/>
                <w:sz w:val="20"/>
              </w:rPr>
              <w:t>Suppl</w:t>
            </w:r>
            <w:proofErr w:type="spellEnd"/>
            <w:r w:rsidRPr="008124D6">
              <w:rPr>
                <w:rFonts w:ascii="Arial Narrow" w:hAnsi="Arial Narrow"/>
                <w:sz w:val="20"/>
              </w:rPr>
              <w:t xml:space="preserve"> 11):106-7.</w:t>
            </w:r>
          </w:p>
        </w:tc>
        <w:tc>
          <w:tcPr>
            <w:tcW w:w="2277" w:type="pct"/>
          </w:tcPr>
          <w:p w:rsidR="00E42B39" w:rsidRPr="008124D6" w:rsidRDefault="00E42B39" w:rsidP="00E42B39">
            <w:pPr>
              <w:jc w:val="left"/>
              <w:rPr>
                <w:rFonts w:ascii="Arial Narrow" w:hAnsi="Arial Narrow"/>
                <w:sz w:val="20"/>
              </w:rPr>
            </w:pPr>
          </w:p>
          <w:p w:rsidR="00E42B39" w:rsidRPr="008124D6" w:rsidRDefault="00E42B39" w:rsidP="00E42B39">
            <w:pPr>
              <w:jc w:val="left"/>
              <w:rPr>
                <w:rFonts w:ascii="Arial Narrow" w:hAnsi="Arial Narrow"/>
                <w:sz w:val="20"/>
              </w:rPr>
            </w:pPr>
            <w:proofErr w:type="spellStart"/>
            <w:r w:rsidRPr="008124D6">
              <w:rPr>
                <w:rFonts w:ascii="Arial Narrow" w:hAnsi="Arial Narrow"/>
                <w:i/>
                <w:sz w:val="20"/>
              </w:rPr>
              <w:t>Epilepsia</w:t>
            </w:r>
            <w:proofErr w:type="spellEnd"/>
            <w:r w:rsidRPr="008124D6">
              <w:rPr>
                <w:rFonts w:ascii="Arial Narrow" w:hAnsi="Arial Narrow"/>
                <w:sz w:val="20"/>
              </w:rPr>
              <w:t xml:space="preserve"> 2010; 51 (</w:t>
            </w:r>
            <w:proofErr w:type="spellStart"/>
            <w:r w:rsidRPr="008124D6">
              <w:rPr>
                <w:rFonts w:ascii="Arial Narrow" w:hAnsi="Arial Narrow"/>
                <w:sz w:val="20"/>
              </w:rPr>
              <w:t>Suppl</w:t>
            </w:r>
            <w:proofErr w:type="spellEnd"/>
            <w:r w:rsidRPr="008124D6">
              <w:rPr>
                <w:rFonts w:ascii="Arial Narrow" w:hAnsi="Arial Narrow"/>
                <w:sz w:val="20"/>
              </w:rPr>
              <w:t xml:space="preserve"> 4):150</w:t>
            </w:r>
          </w:p>
          <w:p w:rsidR="00E42B39" w:rsidRPr="008124D6" w:rsidRDefault="00E42B39" w:rsidP="00E42B39">
            <w:pPr>
              <w:jc w:val="left"/>
              <w:rPr>
                <w:rFonts w:ascii="Arial Narrow" w:hAnsi="Arial Narrow"/>
                <w:sz w:val="20"/>
              </w:rPr>
            </w:pPr>
          </w:p>
          <w:p w:rsidR="00E42B39" w:rsidRPr="008124D6" w:rsidRDefault="00E42B39" w:rsidP="00E42B39">
            <w:pPr>
              <w:jc w:val="left"/>
              <w:rPr>
                <w:rFonts w:ascii="Arial Narrow" w:hAnsi="Arial Narrow"/>
                <w:sz w:val="20"/>
              </w:rPr>
            </w:pPr>
          </w:p>
          <w:p w:rsidR="00E42B39" w:rsidRPr="008124D6" w:rsidRDefault="00E42B39" w:rsidP="00E42B39">
            <w:pPr>
              <w:jc w:val="left"/>
              <w:rPr>
                <w:rFonts w:ascii="Arial Narrow" w:hAnsi="Arial Narrow"/>
                <w:sz w:val="20"/>
              </w:rPr>
            </w:pPr>
          </w:p>
          <w:p w:rsidR="00E42B39" w:rsidRPr="008124D6" w:rsidRDefault="00E42B39" w:rsidP="00E42B39">
            <w:pPr>
              <w:jc w:val="left"/>
              <w:rPr>
                <w:rFonts w:ascii="Arial Narrow" w:hAnsi="Arial Narrow"/>
                <w:sz w:val="20"/>
              </w:rPr>
            </w:pPr>
          </w:p>
          <w:p w:rsidR="00E42B39" w:rsidRPr="008124D6" w:rsidRDefault="00E42B39" w:rsidP="00E42B39">
            <w:pPr>
              <w:jc w:val="left"/>
              <w:rPr>
                <w:rFonts w:ascii="Arial Narrow" w:hAnsi="Arial Narrow"/>
                <w:sz w:val="20"/>
              </w:rPr>
            </w:pPr>
          </w:p>
          <w:p w:rsidR="00E42B39" w:rsidRPr="008124D6" w:rsidRDefault="00E42B39" w:rsidP="00E42B39">
            <w:pPr>
              <w:jc w:val="left"/>
              <w:rPr>
                <w:rFonts w:ascii="Arial Narrow" w:hAnsi="Arial Narrow"/>
                <w:sz w:val="20"/>
              </w:rPr>
            </w:pPr>
          </w:p>
          <w:p w:rsidR="00E42B39" w:rsidRPr="008124D6" w:rsidRDefault="00E42B39" w:rsidP="00E42B39">
            <w:pPr>
              <w:jc w:val="left"/>
              <w:rPr>
                <w:rFonts w:ascii="Arial Narrow" w:hAnsi="Arial Narrow"/>
                <w:sz w:val="20"/>
              </w:rPr>
            </w:pPr>
            <w:proofErr w:type="spellStart"/>
            <w:r w:rsidRPr="008124D6">
              <w:rPr>
                <w:rFonts w:ascii="Arial Narrow" w:hAnsi="Arial Narrow"/>
                <w:i/>
                <w:sz w:val="20"/>
              </w:rPr>
              <w:t>Epilepsia</w:t>
            </w:r>
            <w:proofErr w:type="spellEnd"/>
            <w:r w:rsidRPr="008124D6">
              <w:rPr>
                <w:rFonts w:ascii="Arial Narrow" w:hAnsi="Arial Narrow"/>
                <w:sz w:val="20"/>
              </w:rPr>
              <w:t xml:space="preserve"> 2009; 50 (</w:t>
            </w:r>
            <w:proofErr w:type="spellStart"/>
            <w:r w:rsidRPr="008124D6">
              <w:rPr>
                <w:rFonts w:ascii="Arial Narrow" w:hAnsi="Arial Narrow"/>
                <w:sz w:val="20"/>
              </w:rPr>
              <w:t>Suppl</w:t>
            </w:r>
            <w:proofErr w:type="spellEnd"/>
            <w:r w:rsidRPr="008124D6">
              <w:rPr>
                <w:rFonts w:ascii="Arial Narrow" w:hAnsi="Arial Narrow"/>
                <w:sz w:val="20"/>
              </w:rPr>
              <w:t xml:space="preserve"> 11):106-107</w:t>
            </w:r>
          </w:p>
        </w:tc>
      </w:tr>
      <w:tr w:rsidR="00E42B39" w:rsidRPr="008124D6" w:rsidTr="00E42B39">
        <w:tc>
          <w:tcPr>
            <w:tcW w:w="579" w:type="pct"/>
          </w:tcPr>
          <w:p w:rsidR="00E42B39" w:rsidRPr="008124D6" w:rsidRDefault="00E42B39" w:rsidP="00E42B39">
            <w:pPr>
              <w:jc w:val="left"/>
              <w:rPr>
                <w:rFonts w:ascii="Arial Narrow" w:hAnsi="Arial Narrow"/>
                <w:sz w:val="20"/>
              </w:rPr>
            </w:pPr>
            <w:r w:rsidRPr="008124D6">
              <w:rPr>
                <w:rFonts w:ascii="Arial Narrow" w:hAnsi="Arial Narrow"/>
                <w:sz w:val="20"/>
              </w:rPr>
              <w:t>1358</w:t>
            </w:r>
          </w:p>
        </w:tc>
        <w:tc>
          <w:tcPr>
            <w:tcW w:w="2144" w:type="pct"/>
          </w:tcPr>
          <w:p w:rsidR="00E42B39" w:rsidRPr="008124D6" w:rsidRDefault="00E42B39" w:rsidP="00E42B39">
            <w:pPr>
              <w:jc w:val="left"/>
              <w:rPr>
                <w:rFonts w:ascii="Arial Narrow" w:hAnsi="Arial Narrow"/>
                <w:sz w:val="20"/>
              </w:rPr>
            </w:pPr>
            <w:r w:rsidRPr="008124D6">
              <w:rPr>
                <w:rFonts w:ascii="Arial Narrow" w:hAnsi="Arial Narrow"/>
                <w:sz w:val="20"/>
              </w:rPr>
              <w:t xml:space="preserve">Primary clinical study report NCT01261325 - A randomised, double-blind, placebo-controlled, multicentre, parallel-group study to evaluate the efficacy and safety of </w:t>
            </w:r>
            <w:proofErr w:type="spellStart"/>
            <w:r w:rsidRPr="008124D6">
              <w:rPr>
                <w:rFonts w:ascii="Arial Narrow" w:hAnsi="Arial Narrow"/>
                <w:sz w:val="20"/>
              </w:rPr>
              <w:t>brivaracetam</w:t>
            </w:r>
            <w:proofErr w:type="spellEnd"/>
            <w:r w:rsidRPr="008124D6">
              <w:rPr>
                <w:rFonts w:ascii="Arial Narrow" w:hAnsi="Arial Narrow"/>
                <w:sz w:val="20"/>
              </w:rPr>
              <w:t xml:space="preserve"> in subjects (≥16 to 80 Years Old) with partial-onset seizures. UCB Pharma SA.</w:t>
            </w:r>
          </w:p>
          <w:p w:rsidR="00E42B39" w:rsidRPr="008124D6" w:rsidRDefault="00E42B39" w:rsidP="00E42B39">
            <w:pPr>
              <w:jc w:val="left"/>
              <w:rPr>
                <w:rFonts w:ascii="Arial Narrow" w:hAnsi="Arial Narrow"/>
                <w:sz w:val="20"/>
              </w:rPr>
            </w:pPr>
          </w:p>
          <w:p w:rsidR="00E42B39" w:rsidRPr="008124D6" w:rsidRDefault="00E42B39" w:rsidP="00E42B39">
            <w:pPr>
              <w:jc w:val="left"/>
              <w:rPr>
                <w:rFonts w:ascii="Arial Narrow" w:hAnsi="Arial Narrow"/>
                <w:sz w:val="20"/>
                <w:u w:val="single"/>
              </w:rPr>
            </w:pPr>
            <w:r w:rsidRPr="008124D6">
              <w:rPr>
                <w:rFonts w:ascii="Arial Narrow" w:hAnsi="Arial Narrow"/>
                <w:sz w:val="20"/>
                <w:u w:val="single"/>
              </w:rPr>
              <w:t>Publication</w:t>
            </w:r>
          </w:p>
          <w:p w:rsidR="00E42B39" w:rsidRPr="008124D6" w:rsidRDefault="00E42B39" w:rsidP="00E42B39">
            <w:pPr>
              <w:jc w:val="left"/>
              <w:rPr>
                <w:rFonts w:ascii="Arial Narrow" w:hAnsi="Arial Narrow"/>
                <w:sz w:val="20"/>
              </w:rPr>
            </w:pPr>
            <w:r w:rsidRPr="008124D6">
              <w:rPr>
                <w:rFonts w:ascii="Arial Narrow" w:hAnsi="Arial Narrow"/>
                <w:sz w:val="20"/>
              </w:rPr>
              <w:t xml:space="preserve">Klein P, </w:t>
            </w:r>
            <w:proofErr w:type="spellStart"/>
            <w:r w:rsidRPr="008124D6">
              <w:rPr>
                <w:rFonts w:ascii="Arial Narrow" w:hAnsi="Arial Narrow"/>
                <w:sz w:val="20"/>
              </w:rPr>
              <w:t>Schiemann</w:t>
            </w:r>
            <w:proofErr w:type="spellEnd"/>
            <w:r w:rsidRPr="008124D6">
              <w:rPr>
                <w:rFonts w:ascii="Arial Narrow" w:hAnsi="Arial Narrow"/>
                <w:sz w:val="20"/>
              </w:rPr>
              <w:t xml:space="preserve"> J, </w:t>
            </w:r>
            <w:proofErr w:type="spellStart"/>
            <w:r w:rsidRPr="008124D6">
              <w:rPr>
                <w:rFonts w:ascii="Arial Narrow" w:hAnsi="Arial Narrow"/>
                <w:sz w:val="20"/>
              </w:rPr>
              <w:t>Sperling</w:t>
            </w:r>
            <w:proofErr w:type="spellEnd"/>
            <w:r w:rsidRPr="008124D6">
              <w:rPr>
                <w:rFonts w:ascii="Arial Narrow" w:hAnsi="Arial Narrow"/>
                <w:sz w:val="20"/>
              </w:rPr>
              <w:t xml:space="preserve"> MR, </w:t>
            </w:r>
            <w:proofErr w:type="spellStart"/>
            <w:r w:rsidRPr="008124D6">
              <w:rPr>
                <w:rFonts w:ascii="Arial Narrow" w:hAnsi="Arial Narrow"/>
                <w:sz w:val="20"/>
              </w:rPr>
              <w:t>Whitesides</w:t>
            </w:r>
            <w:proofErr w:type="spellEnd"/>
            <w:r w:rsidRPr="008124D6">
              <w:rPr>
                <w:rFonts w:ascii="Arial Narrow" w:hAnsi="Arial Narrow"/>
                <w:sz w:val="20"/>
              </w:rPr>
              <w:t xml:space="preserve"> J, Liang W, </w:t>
            </w:r>
            <w:proofErr w:type="spellStart"/>
            <w:r w:rsidRPr="008124D6">
              <w:rPr>
                <w:rFonts w:ascii="Arial Narrow" w:hAnsi="Arial Narrow"/>
                <w:sz w:val="20"/>
              </w:rPr>
              <w:t>Stalvey</w:t>
            </w:r>
            <w:proofErr w:type="spellEnd"/>
            <w:r w:rsidRPr="008124D6">
              <w:rPr>
                <w:rFonts w:ascii="Arial Narrow" w:hAnsi="Arial Narrow"/>
                <w:sz w:val="20"/>
              </w:rPr>
              <w:t xml:space="preserve"> T, Brandt C, Kwan P. A randomised, double-blind, placebo-controlled, multicentre, parallel-group study to evaluate the efficacy and safety of adjunctive </w:t>
            </w:r>
            <w:proofErr w:type="spellStart"/>
            <w:r w:rsidRPr="008124D6">
              <w:rPr>
                <w:rFonts w:ascii="Arial Narrow" w:hAnsi="Arial Narrow"/>
                <w:sz w:val="20"/>
              </w:rPr>
              <w:t>brivaracetam</w:t>
            </w:r>
            <w:proofErr w:type="spellEnd"/>
            <w:r w:rsidRPr="008124D6">
              <w:rPr>
                <w:rFonts w:ascii="Arial Narrow" w:hAnsi="Arial Narrow"/>
                <w:sz w:val="20"/>
              </w:rPr>
              <w:t xml:space="preserve"> in adult patients with uncontrolled partial-onset seizures.</w:t>
            </w:r>
          </w:p>
          <w:p w:rsidR="00E42B39" w:rsidRPr="008124D6" w:rsidRDefault="00E42B39" w:rsidP="00E42B39">
            <w:pPr>
              <w:jc w:val="left"/>
              <w:rPr>
                <w:rFonts w:ascii="Arial Narrow" w:hAnsi="Arial Narrow"/>
                <w:sz w:val="20"/>
              </w:rPr>
            </w:pPr>
          </w:p>
          <w:p w:rsidR="00E42B39" w:rsidRPr="008124D6" w:rsidRDefault="00E42B39" w:rsidP="00E42B39">
            <w:pPr>
              <w:jc w:val="left"/>
              <w:rPr>
                <w:rFonts w:ascii="Arial Narrow" w:hAnsi="Arial Narrow"/>
                <w:sz w:val="20"/>
              </w:rPr>
            </w:pPr>
            <w:r w:rsidRPr="008124D6">
              <w:rPr>
                <w:rFonts w:ascii="Arial Narrow" w:hAnsi="Arial Narrow"/>
                <w:sz w:val="20"/>
              </w:rPr>
              <w:t xml:space="preserve">Klein P, </w:t>
            </w:r>
            <w:proofErr w:type="spellStart"/>
            <w:r w:rsidRPr="008124D6">
              <w:rPr>
                <w:rFonts w:ascii="Arial Narrow" w:hAnsi="Arial Narrow"/>
                <w:sz w:val="20"/>
              </w:rPr>
              <w:t>Schiemann</w:t>
            </w:r>
            <w:proofErr w:type="spellEnd"/>
            <w:r w:rsidRPr="008124D6">
              <w:rPr>
                <w:rFonts w:ascii="Arial Narrow" w:hAnsi="Arial Narrow"/>
                <w:sz w:val="20"/>
              </w:rPr>
              <w:t xml:space="preserve"> J, </w:t>
            </w:r>
            <w:proofErr w:type="spellStart"/>
            <w:r w:rsidRPr="008124D6">
              <w:rPr>
                <w:rFonts w:ascii="Arial Narrow" w:hAnsi="Arial Narrow"/>
                <w:sz w:val="20"/>
              </w:rPr>
              <w:t>Sperling</w:t>
            </w:r>
            <w:proofErr w:type="spellEnd"/>
            <w:r w:rsidRPr="008124D6">
              <w:rPr>
                <w:rFonts w:ascii="Arial Narrow" w:hAnsi="Arial Narrow"/>
                <w:sz w:val="20"/>
              </w:rPr>
              <w:t xml:space="preserve"> M, </w:t>
            </w:r>
            <w:proofErr w:type="spellStart"/>
            <w:r w:rsidRPr="008124D6">
              <w:rPr>
                <w:rFonts w:ascii="Arial Narrow" w:hAnsi="Arial Narrow"/>
                <w:sz w:val="20"/>
              </w:rPr>
              <w:t>Whitesides</w:t>
            </w:r>
            <w:proofErr w:type="spellEnd"/>
            <w:r w:rsidRPr="008124D6">
              <w:rPr>
                <w:rFonts w:ascii="Arial Narrow" w:hAnsi="Arial Narrow"/>
                <w:sz w:val="20"/>
              </w:rPr>
              <w:t xml:space="preserve"> J, Liang W, </w:t>
            </w:r>
            <w:proofErr w:type="spellStart"/>
            <w:r w:rsidRPr="008124D6">
              <w:rPr>
                <w:rFonts w:ascii="Arial Narrow" w:hAnsi="Arial Narrow"/>
                <w:sz w:val="20"/>
              </w:rPr>
              <w:t>Stalvey</w:t>
            </w:r>
            <w:proofErr w:type="spellEnd"/>
            <w:r w:rsidRPr="008124D6">
              <w:rPr>
                <w:rFonts w:ascii="Arial Narrow" w:hAnsi="Arial Narrow"/>
                <w:sz w:val="20"/>
              </w:rPr>
              <w:t xml:space="preserve"> T. A randomised, double-blind, placebo-controlled, multicentre, parallel-group study to evaluate the efficacy and safety of </w:t>
            </w:r>
            <w:proofErr w:type="spellStart"/>
            <w:r w:rsidRPr="008124D6">
              <w:rPr>
                <w:rFonts w:ascii="Arial Narrow" w:hAnsi="Arial Narrow"/>
                <w:sz w:val="20"/>
              </w:rPr>
              <w:t>brivaracetam</w:t>
            </w:r>
            <w:proofErr w:type="spellEnd"/>
            <w:r w:rsidRPr="008124D6">
              <w:rPr>
                <w:rFonts w:ascii="Arial Narrow" w:hAnsi="Arial Narrow"/>
                <w:sz w:val="20"/>
              </w:rPr>
              <w:t xml:space="preserve"> in adult patients with partial onset seizures. </w:t>
            </w:r>
          </w:p>
          <w:p w:rsidR="00E42B39" w:rsidRPr="008124D6" w:rsidRDefault="00E42B39" w:rsidP="00E42B39">
            <w:pPr>
              <w:jc w:val="left"/>
              <w:rPr>
                <w:rFonts w:ascii="Arial Narrow" w:hAnsi="Arial Narrow"/>
                <w:sz w:val="20"/>
              </w:rPr>
            </w:pPr>
          </w:p>
          <w:p w:rsidR="00E42B39" w:rsidRPr="008124D6" w:rsidRDefault="00E42B39" w:rsidP="00E42B39">
            <w:pPr>
              <w:jc w:val="left"/>
              <w:rPr>
                <w:rFonts w:ascii="Arial Narrow" w:hAnsi="Arial Narrow"/>
                <w:sz w:val="20"/>
                <w:u w:val="single"/>
              </w:rPr>
            </w:pPr>
            <w:r w:rsidRPr="008124D6">
              <w:rPr>
                <w:rFonts w:ascii="Arial Narrow" w:hAnsi="Arial Narrow"/>
                <w:sz w:val="20"/>
                <w:u w:val="single"/>
              </w:rPr>
              <w:t>Conference abstracts</w:t>
            </w:r>
          </w:p>
          <w:p w:rsidR="00E42B39" w:rsidRPr="008124D6" w:rsidRDefault="00E42B39" w:rsidP="00E42B39">
            <w:pPr>
              <w:jc w:val="left"/>
              <w:rPr>
                <w:rFonts w:ascii="Arial Narrow" w:hAnsi="Arial Narrow"/>
                <w:sz w:val="20"/>
              </w:rPr>
            </w:pPr>
            <w:r w:rsidRPr="008124D6">
              <w:rPr>
                <w:rFonts w:ascii="Arial Narrow" w:hAnsi="Arial Narrow"/>
                <w:sz w:val="20"/>
              </w:rPr>
              <w:t xml:space="preserve">Klein P, </w:t>
            </w:r>
            <w:proofErr w:type="spellStart"/>
            <w:r w:rsidRPr="008124D6">
              <w:rPr>
                <w:rFonts w:ascii="Arial Narrow" w:hAnsi="Arial Narrow"/>
                <w:sz w:val="20"/>
              </w:rPr>
              <w:t>Schiemann</w:t>
            </w:r>
            <w:proofErr w:type="spellEnd"/>
            <w:r w:rsidRPr="008124D6">
              <w:rPr>
                <w:rFonts w:ascii="Arial Narrow" w:hAnsi="Arial Narrow"/>
                <w:sz w:val="20"/>
              </w:rPr>
              <w:t xml:space="preserve"> J, </w:t>
            </w:r>
            <w:proofErr w:type="spellStart"/>
            <w:r w:rsidRPr="008124D6">
              <w:rPr>
                <w:rFonts w:ascii="Arial Narrow" w:hAnsi="Arial Narrow"/>
                <w:sz w:val="20"/>
              </w:rPr>
              <w:t>Sperling</w:t>
            </w:r>
            <w:proofErr w:type="spellEnd"/>
            <w:r w:rsidRPr="008124D6">
              <w:rPr>
                <w:rFonts w:ascii="Arial Narrow" w:hAnsi="Arial Narrow"/>
                <w:sz w:val="20"/>
              </w:rPr>
              <w:t xml:space="preserve"> M, </w:t>
            </w:r>
            <w:proofErr w:type="spellStart"/>
            <w:r w:rsidRPr="008124D6">
              <w:rPr>
                <w:rFonts w:ascii="Arial Narrow" w:hAnsi="Arial Narrow"/>
                <w:sz w:val="20"/>
              </w:rPr>
              <w:t>Whitesides</w:t>
            </w:r>
            <w:proofErr w:type="spellEnd"/>
            <w:r w:rsidRPr="008124D6">
              <w:rPr>
                <w:rFonts w:ascii="Arial Narrow" w:hAnsi="Arial Narrow"/>
                <w:sz w:val="20"/>
              </w:rPr>
              <w:t xml:space="preserve"> J, Liang W, </w:t>
            </w:r>
            <w:proofErr w:type="spellStart"/>
            <w:r w:rsidRPr="008124D6">
              <w:rPr>
                <w:rFonts w:ascii="Arial Narrow" w:hAnsi="Arial Narrow"/>
                <w:sz w:val="20"/>
              </w:rPr>
              <w:t>Stalvey</w:t>
            </w:r>
            <w:proofErr w:type="spellEnd"/>
            <w:r w:rsidRPr="008124D6">
              <w:rPr>
                <w:rFonts w:ascii="Arial Narrow" w:hAnsi="Arial Narrow"/>
                <w:sz w:val="20"/>
              </w:rPr>
              <w:t xml:space="preserve"> T. A randomised, double-blind, placebo-controlled, multicentre, parallel-group study to evaluate the efficacy and safety of </w:t>
            </w:r>
            <w:proofErr w:type="spellStart"/>
            <w:r w:rsidRPr="008124D6">
              <w:rPr>
                <w:rFonts w:ascii="Arial Narrow" w:hAnsi="Arial Narrow"/>
                <w:sz w:val="20"/>
              </w:rPr>
              <w:t>brivaracetam</w:t>
            </w:r>
            <w:proofErr w:type="spellEnd"/>
            <w:r w:rsidRPr="008124D6">
              <w:rPr>
                <w:rFonts w:ascii="Arial Narrow" w:hAnsi="Arial Narrow"/>
                <w:sz w:val="20"/>
              </w:rPr>
              <w:t xml:space="preserve"> in adult patients with partial onset seizures.</w:t>
            </w:r>
          </w:p>
          <w:p w:rsidR="00E42B39" w:rsidRPr="008124D6" w:rsidRDefault="00E42B39" w:rsidP="00E42B39">
            <w:pPr>
              <w:jc w:val="left"/>
              <w:rPr>
                <w:rFonts w:ascii="Arial Narrow" w:hAnsi="Arial Narrow"/>
                <w:sz w:val="20"/>
              </w:rPr>
            </w:pPr>
          </w:p>
          <w:p w:rsidR="00E42B39" w:rsidRPr="008124D6" w:rsidRDefault="00E42B39" w:rsidP="00E42B39">
            <w:pPr>
              <w:jc w:val="left"/>
              <w:rPr>
                <w:rFonts w:ascii="Arial Narrow" w:hAnsi="Arial Narrow"/>
                <w:sz w:val="20"/>
              </w:rPr>
            </w:pPr>
            <w:r w:rsidRPr="008124D6">
              <w:rPr>
                <w:rFonts w:ascii="Arial Narrow" w:hAnsi="Arial Narrow"/>
                <w:sz w:val="20"/>
              </w:rPr>
              <w:t xml:space="preserve">Klein P, </w:t>
            </w:r>
            <w:proofErr w:type="spellStart"/>
            <w:r w:rsidRPr="008124D6">
              <w:rPr>
                <w:rFonts w:ascii="Arial Narrow" w:hAnsi="Arial Narrow"/>
                <w:sz w:val="20"/>
              </w:rPr>
              <w:t>Schiemann</w:t>
            </w:r>
            <w:proofErr w:type="spellEnd"/>
            <w:r w:rsidRPr="008124D6">
              <w:rPr>
                <w:rFonts w:ascii="Arial Narrow" w:hAnsi="Arial Narrow"/>
                <w:sz w:val="20"/>
              </w:rPr>
              <w:t xml:space="preserve"> J, </w:t>
            </w:r>
            <w:proofErr w:type="spellStart"/>
            <w:r w:rsidRPr="008124D6">
              <w:rPr>
                <w:rFonts w:ascii="Arial Narrow" w:hAnsi="Arial Narrow"/>
                <w:sz w:val="20"/>
              </w:rPr>
              <w:t>Sperling</w:t>
            </w:r>
            <w:proofErr w:type="spellEnd"/>
            <w:r w:rsidRPr="008124D6">
              <w:rPr>
                <w:rFonts w:ascii="Arial Narrow" w:hAnsi="Arial Narrow"/>
                <w:sz w:val="20"/>
              </w:rPr>
              <w:t xml:space="preserve"> M, </w:t>
            </w:r>
            <w:proofErr w:type="spellStart"/>
            <w:r w:rsidRPr="008124D6">
              <w:rPr>
                <w:rFonts w:ascii="Arial Narrow" w:hAnsi="Arial Narrow"/>
                <w:sz w:val="20"/>
              </w:rPr>
              <w:t>Whitesides</w:t>
            </w:r>
            <w:proofErr w:type="spellEnd"/>
            <w:r w:rsidRPr="008124D6">
              <w:rPr>
                <w:rFonts w:ascii="Arial Narrow" w:hAnsi="Arial Narrow"/>
                <w:sz w:val="20"/>
              </w:rPr>
              <w:t xml:space="preserve"> J, Liang W, </w:t>
            </w:r>
            <w:proofErr w:type="spellStart"/>
            <w:r w:rsidRPr="008124D6">
              <w:rPr>
                <w:rFonts w:ascii="Arial Narrow" w:hAnsi="Arial Narrow"/>
                <w:sz w:val="20"/>
              </w:rPr>
              <w:t>Stalvey</w:t>
            </w:r>
            <w:proofErr w:type="spellEnd"/>
            <w:r w:rsidRPr="008124D6">
              <w:rPr>
                <w:rFonts w:ascii="Arial Narrow" w:hAnsi="Arial Narrow"/>
                <w:sz w:val="20"/>
              </w:rPr>
              <w:t xml:space="preserve"> T. A randomised, double-blind, placebo-controlled, multicentre, parallel-group study to evaluate the efficacy and safety of adjunctive </w:t>
            </w:r>
            <w:proofErr w:type="spellStart"/>
            <w:r w:rsidRPr="008124D6">
              <w:rPr>
                <w:rFonts w:ascii="Arial Narrow" w:hAnsi="Arial Narrow"/>
                <w:sz w:val="20"/>
              </w:rPr>
              <w:t>brivaracetam</w:t>
            </w:r>
            <w:proofErr w:type="spellEnd"/>
            <w:r w:rsidRPr="008124D6">
              <w:rPr>
                <w:rFonts w:ascii="Arial Narrow" w:hAnsi="Arial Narrow"/>
                <w:sz w:val="20"/>
              </w:rPr>
              <w:t xml:space="preserve"> in adult patients with partial-onset seizures.</w:t>
            </w:r>
          </w:p>
        </w:tc>
        <w:tc>
          <w:tcPr>
            <w:tcW w:w="2277" w:type="pct"/>
          </w:tcPr>
          <w:p w:rsidR="00E42B39" w:rsidRPr="008124D6" w:rsidRDefault="00E42B39" w:rsidP="00E42B39">
            <w:pPr>
              <w:jc w:val="left"/>
              <w:rPr>
                <w:rFonts w:ascii="Arial Narrow" w:hAnsi="Arial Narrow"/>
                <w:sz w:val="20"/>
              </w:rPr>
            </w:pPr>
            <w:r w:rsidRPr="008124D6">
              <w:rPr>
                <w:rFonts w:ascii="Arial Narrow" w:hAnsi="Arial Narrow"/>
                <w:sz w:val="20"/>
              </w:rPr>
              <w:t>19 September 2014.</w:t>
            </w:r>
          </w:p>
          <w:p w:rsidR="00E42B39" w:rsidRPr="008124D6" w:rsidRDefault="00E42B39" w:rsidP="00E42B39">
            <w:pPr>
              <w:jc w:val="left"/>
              <w:rPr>
                <w:rFonts w:ascii="Arial Narrow" w:hAnsi="Arial Narrow"/>
                <w:sz w:val="20"/>
              </w:rPr>
            </w:pPr>
          </w:p>
          <w:p w:rsidR="00E42B39" w:rsidRPr="008124D6" w:rsidRDefault="00E42B39" w:rsidP="00E42B39">
            <w:pPr>
              <w:jc w:val="left"/>
              <w:rPr>
                <w:rFonts w:ascii="Arial Narrow" w:hAnsi="Arial Narrow"/>
                <w:sz w:val="20"/>
              </w:rPr>
            </w:pPr>
          </w:p>
          <w:p w:rsidR="00E42B39" w:rsidRPr="008124D6" w:rsidRDefault="00E42B39" w:rsidP="00E42B39">
            <w:pPr>
              <w:jc w:val="left"/>
              <w:rPr>
                <w:rFonts w:ascii="Arial Narrow" w:hAnsi="Arial Narrow"/>
                <w:sz w:val="20"/>
              </w:rPr>
            </w:pPr>
          </w:p>
          <w:p w:rsidR="00E42B39" w:rsidRPr="008124D6" w:rsidRDefault="00E42B39" w:rsidP="00E42B39">
            <w:pPr>
              <w:jc w:val="left"/>
              <w:rPr>
                <w:rFonts w:ascii="Arial Narrow" w:hAnsi="Arial Narrow"/>
                <w:sz w:val="20"/>
              </w:rPr>
            </w:pPr>
          </w:p>
          <w:p w:rsidR="00E42B39" w:rsidRPr="008124D6" w:rsidRDefault="00E42B39" w:rsidP="00E42B39">
            <w:pPr>
              <w:jc w:val="left"/>
              <w:rPr>
                <w:rFonts w:ascii="Arial Narrow" w:hAnsi="Arial Narrow"/>
                <w:sz w:val="20"/>
              </w:rPr>
            </w:pPr>
          </w:p>
          <w:p w:rsidR="00E42B39" w:rsidRPr="008124D6" w:rsidRDefault="00E42B39" w:rsidP="00E42B39">
            <w:pPr>
              <w:jc w:val="left"/>
              <w:rPr>
                <w:rFonts w:ascii="Arial Narrow" w:hAnsi="Arial Narrow"/>
                <w:sz w:val="20"/>
              </w:rPr>
            </w:pPr>
          </w:p>
          <w:p w:rsidR="00E42B39" w:rsidRPr="008124D6" w:rsidRDefault="00E42B39" w:rsidP="00E42B39">
            <w:pPr>
              <w:jc w:val="left"/>
              <w:rPr>
                <w:rFonts w:ascii="Arial Narrow" w:hAnsi="Arial Narrow"/>
                <w:sz w:val="20"/>
              </w:rPr>
            </w:pPr>
          </w:p>
          <w:p w:rsidR="00E42B39" w:rsidRPr="008124D6" w:rsidRDefault="00E42B39" w:rsidP="00E42B39">
            <w:pPr>
              <w:jc w:val="left"/>
              <w:rPr>
                <w:rFonts w:ascii="Arial Narrow" w:hAnsi="Arial Narrow"/>
                <w:sz w:val="20"/>
              </w:rPr>
            </w:pPr>
            <w:proofErr w:type="spellStart"/>
            <w:r w:rsidRPr="008124D6">
              <w:rPr>
                <w:rFonts w:ascii="Arial Narrow" w:hAnsi="Arial Narrow"/>
                <w:i/>
                <w:sz w:val="20"/>
              </w:rPr>
              <w:t>Epilepsia</w:t>
            </w:r>
            <w:proofErr w:type="spellEnd"/>
            <w:r w:rsidRPr="008124D6">
              <w:rPr>
                <w:rFonts w:ascii="Arial Narrow" w:hAnsi="Arial Narrow"/>
                <w:sz w:val="20"/>
              </w:rPr>
              <w:t xml:space="preserve"> 2015; 56(12):1890-1898</w:t>
            </w:r>
          </w:p>
          <w:p w:rsidR="00E42B39" w:rsidRPr="008124D6" w:rsidRDefault="00E42B39" w:rsidP="00E42B39">
            <w:pPr>
              <w:jc w:val="left"/>
              <w:rPr>
                <w:rFonts w:ascii="Arial Narrow" w:hAnsi="Arial Narrow"/>
                <w:sz w:val="20"/>
              </w:rPr>
            </w:pPr>
          </w:p>
          <w:p w:rsidR="00E42B39" w:rsidRPr="008124D6" w:rsidRDefault="00E42B39" w:rsidP="00E42B39">
            <w:pPr>
              <w:jc w:val="left"/>
              <w:rPr>
                <w:rFonts w:ascii="Arial Narrow" w:hAnsi="Arial Narrow"/>
                <w:sz w:val="20"/>
              </w:rPr>
            </w:pPr>
          </w:p>
          <w:p w:rsidR="00E42B39" w:rsidRPr="008124D6" w:rsidRDefault="00E42B39" w:rsidP="00E42B39">
            <w:pPr>
              <w:jc w:val="left"/>
              <w:rPr>
                <w:rFonts w:ascii="Arial Narrow" w:hAnsi="Arial Narrow"/>
                <w:sz w:val="20"/>
              </w:rPr>
            </w:pPr>
          </w:p>
          <w:p w:rsidR="00E42B39" w:rsidRPr="008124D6" w:rsidRDefault="00E42B39" w:rsidP="00E42B39">
            <w:pPr>
              <w:jc w:val="left"/>
              <w:rPr>
                <w:rFonts w:ascii="Arial Narrow" w:hAnsi="Arial Narrow"/>
                <w:sz w:val="20"/>
              </w:rPr>
            </w:pPr>
          </w:p>
          <w:p w:rsidR="00E42B39" w:rsidRPr="008124D6" w:rsidRDefault="00E42B39" w:rsidP="00E42B39">
            <w:pPr>
              <w:jc w:val="left"/>
              <w:rPr>
                <w:rFonts w:ascii="Arial Narrow" w:hAnsi="Arial Narrow"/>
                <w:sz w:val="20"/>
              </w:rPr>
            </w:pPr>
          </w:p>
          <w:p w:rsidR="00E42B39" w:rsidRPr="008124D6" w:rsidRDefault="00E42B39" w:rsidP="00E42B39">
            <w:pPr>
              <w:jc w:val="left"/>
              <w:rPr>
                <w:rFonts w:ascii="Arial Narrow" w:hAnsi="Arial Narrow"/>
                <w:sz w:val="20"/>
              </w:rPr>
            </w:pPr>
          </w:p>
          <w:p w:rsidR="00E42B39" w:rsidRPr="008124D6" w:rsidRDefault="00E42B39" w:rsidP="00E42B39">
            <w:pPr>
              <w:jc w:val="left"/>
              <w:rPr>
                <w:rFonts w:ascii="Arial Narrow" w:hAnsi="Arial Narrow"/>
                <w:sz w:val="20"/>
              </w:rPr>
            </w:pPr>
          </w:p>
          <w:p w:rsidR="00E42B39" w:rsidRPr="008124D6" w:rsidRDefault="00E42B39" w:rsidP="00E42B39">
            <w:pPr>
              <w:jc w:val="left"/>
              <w:rPr>
                <w:rFonts w:ascii="Arial Narrow" w:hAnsi="Arial Narrow"/>
                <w:sz w:val="20"/>
              </w:rPr>
            </w:pPr>
            <w:r w:rsidRPr="008124D6">
              <w:rPr>
                <w:rFonts w:ascii="Arial Narrow" w:hAnsi="Arial Narrow"/>
                <w:i/>
                <w:sz w:val="20"/>
              </w:rPr>
              <w:t>Epilepsy Currents</w:t>
            </w:r>
            <w:r w:rsidRPr="008124D6">
              <w:rPr>
                <w:rFonts w:ascii="Arial Narrow" w:hAnsi="Arial Narrow"/>
                <w:sz w:val="20"/>
              </w:rPr>
              <w:t xml:space="preserve"> 2015; (15):379</w:t>
            </w:r>
          </w:p>
          <w:p w:rsidR="00E42B39" w:rsidRPr="008124D6" w:rsidRDefault="00E42B39" w:rsidP="00E42B39">
            <w:pPr>
              <w:jc w:val="left"/>
              <w:rPr>
                <w:rFonts w:ascii="Arial Narrow" w:hAnsi="Arial Narrow"/>
                <w:sz w:val="20"/>
              </w:rPr>
            </w:pPr>
          </w:p>
          <w:p w:rsidR="00E42B39" w:rsidRPr="008124D6" w:rsidRDefault="00E42B39" w:rsidP="00E42B39">
            <w:pPr>
              <w:jc w:val="left"/>
              <w:rPr>
                <w:rFonts w:ascii="Arial Narrow" w:hAnsi="Arial Narrow"/>
                <w:sz w:val="20"/>
              </w:rPr>
            </w:pPr>
          </w:p>
          <w:p w:rsidR="00E42B39" w:rsidRPr="008124D6" w:rsidRDefault="00E42B39" w:rsidP="00E42B39">
            <w:pPr>
              <w:jc w:val="left"/>
              <w:rPr>
                <w:rFonts w:ascii="Arial Narrow" w:hAnsi="Arial Narrow"/>
                <w:sz w:val="20"/>
              </w:rPr>
            </w:pPr>
          </w:p>
          <w:p w:rsidR="00E42B39" w:rsidRPr="008124D6" w:rsidRDefault="00E42B39" w:rsidP="00E42B39">
            <w:pPr>
              <w:jc w:val="left"/>
              <w:rPr>
                <w:rFonts w:ascii="Arial Narrow" w:hAnsi="Arial Narrow"/>
                <w:sz w:val="20"/>
              </w:rPr>
            </w:pPr>
          </w:p>
          <w:p w:rsidR="00E42B39" w:rsidRPr="008124D6" w:rsidRDefault="00E42B39" w:rsidP="00E42B39">
            <w:pPr>
              <w:jc w:val="left"/>
              <w:rPr>
                <w:rFonts w:ascii="Arial Narrow" w:hAnsi="Arial Narrow"/>
                <w:sz w:val="20"/>
              </w:rPr>
            </w:pPr>
          </w:p>
          <w:p w:rsidR="00E42B39" w:rsidRPr="008124D6" w:rsidRDefault="00E42B39" w:rsidP="00E42B39">
            <w:pPr>
              <w:jc w:val="left"/>
              <w:rPr>
                <w:rFonts w:ascii="Arial Narrow" w:hAnsi="Arial Narrow"/>
                <w:sz w:val="20"/>
              </w:rPr>
            </w:pPr>
          </w:p>
          <w:p w:rsidR="00E42B39" w:rsidRPr="008124D6" w:rsidRDefault="00E42B39" w:rsidP="00E42B39">
            <w:pPr>
              <w:jc w:val="left"/>
              <w:rPr>
                <w:rFonts w:ascii="Arial Narrow" w:hAnsi="Arial Narrow"/>
                <w:sz w:val="20"/>
              </w:rPr>
            </w:pPr>
          </w:p>
          <w:p w:rsidR="00E42B39" w:rsidRPr="008124D6" w:rsidRDefault="00E42B39" w:rsidP="00E42B39">
            <w:pPr>
              <w:jc w:val="left"/>
              <w:rPr>
                <w:rFonts w:ascii="Arial Narrow" w:hAnsi="Arial Narrow"/>
                <w:sz w:val="20"/>
              </w:rPr>
            </w:pPr>
            <w:r w:rsidRPr="008124D6">
              <w:rPr>
                <w:rFonts w:ascii="Arial Narrow" w:hAnsi="Arial Narrow"/>
                <w:sz w:val="20"/>
              </w:rPr>
              <w:t>68th Annual Meeting of the American Epilepsy Society, AES 2014 Seattle, WA United States. January-February 2015.</w:t>
            </w:r>
          </w:p>
          <w:p w:rsidR="00E42B39" w:rsidRPr="008124D6" w:rsidRDefault="00E42B39" w:rsidP="00E42B39">
            <w:pPr>
              <w:jc w:val="left"/>
              <w:rPr>
                <w:rFonts w:ascii="Arial Narrow" w:hAnsi="Arial Narrow"/>
                <w:sz w:val="20"/>
              </w:rPr>
            </w:pPr>
          </w:p>
          <w:p w:rsidR="00E42B39" w:rsidRPr="008124D6" w:rsidRDefault="00E42B39" w:rsidP="00E42B39">
            <w:pPr>
              <w:jc w:val="left"/>
              <w:rPr>
                <w:rFonts w:ascii="Arial Narrow" w:hAnsi="Arial Narrow"/>
                <w:sz w:val="20"/>
              </w:rPr>
            </w:pPr>
          </w:p>
          <w:p w:rsidR="00E42B39" w:rsidRPr="008124D6" w:rsidRDefault="00E42B39" w:rsidP="00E42B39">
            <w:pPr>
              <w:jc w:val="left"/>
              <w:rPr>
                <w:rFonts w:ascii="Arial Narrow" w:hAnsi="Arial Narrow"/>
                <w:sz w:val="20"/>
              </w:rPr>
            </w:pPr>
          </w:p>
          <w:p w:rsidR="00E42B39" w:rsidRPr="008124D6" w:rsidRDefault="00E42B39" w:rsidP="00E42B39">
            <w:pPr>
              <w:jc w:val="left"/>
              <w:rPr>
                <w:rFonts w:ascii="Arial Narrow" w:hAnsi="Arial Narrow"/>
                <w:sz w:val="20"/>
              </w:rPr>
            </w:pPr>
          </w:p>
          <w:p w:rsidR="00E42B39" w:rsidRPr="008124D6" w:rsidRDefault="00E42B39" w:rsidP="00E42B39">
            <w:pPr>
              <w:jc w:val="left"/>
              <w:rPr>
                <w:rFonts w:ascii="Arial Narrow" w:hAnsi="Arial Narrow"/>
                <w:sz w:val="20"/>
              </w:rPr>
            </w:pPr>
            <w:r w:rsidRPr="008124D6">
              <w:rPr>
                <w:rFonts w:ascii="Arial Narrow" w:hAnsi="Arial Narrow"/>
                <w:sz w:val="20"/>
              </w:rPr>
              <w:t>Neurology. Conference: 67th American Academy of Neurology Annual Meeting, AAN 2015 Washington, DC United States.</w:t>
            </w:r>
          </w:p>
          <w:p w:rsidR="00E42B39" w:rsidRPr="008124D6" w:rsidRDefault="00E42B39" w:rsidP="00E42B39">
            <w:pPr>
              <w:jc w:val="left"/>
              <w:rPr>
                <w:rFonts w:ascii="Arial Narrow" w:hAnsi="Arial Narrow"/>
                <w:sz w:val="20"/>
              </w:rPr>
            </w:pPr>
            <w:r w:rsidRPr="008124D6">
              <w:rPr>
                <w:rFonts w:ascii="Arial Narrow" w:hAnsi="Arial Narrow"/>
                <w:sz w:val="20"/>
              </w:rPr>
              <w:t>06 Apr 2015</w:t>
            </w:r>
          </w:p>
        </w:tc>
      </w:tr>
      <w:tr w:rsidR="00E42B39" w:rsidRPr="00B13E20" w:rsidTr="00E42B39">
        <w:tc>
          <w:tcPr>
            <w:tcW w:w="5000" w:type="pct"/>
            <w:gridSpan w:val="3"/>
          </w:tcPr>
          <w:p w:rsidR="00E42B39" w:rsidRPr="00B13E20" w:rsidRDefault="00E42B39" w:rsidP="00E42B39">
            <w:pPr>
              <w:jc w:val="left"/>
              <w:rPr>
                <w:rFonts w:ascii="Arial Narrow" w:hAnsi="Arial Narrow"/>
                <w:b/>
                <w:sz w:val="20"/>
              </w:rPr>
            </w:pPr>
            <w:r w:rsidRPr="00B13E20">
              <w:rPr>
                <w:rFonts w:ascii="Arial Narrow" w:hAnsi="Arial Narrow"/>
                <w:b/>
                <w:sz w:val="20"/>
              </w:rPr>
              <w:t xml:space="preserve">Proposed comparator </w:t>
            </w:r>
            <w:proofErr w:type="spellStart"/>
            <w:r w:rsidRPr="00B13E20">
              <w:rPr>
                <w:rFonts w:ascii="Arial Narrow" w:hAnsi="Arial Narrow"/>
                <w:b/>
                <w:sz w:val="20"/>
              </w:rPr>
              <w:t>lacosamide</w:t>
            </w:r>
            <w:proofErr w:type="spellEnd"/>
            <w:r w:rsidR="008D094F">
              <w:rPr>
                <w:rFonts w:ascii="Arial Narrow" w:hAnsi="Arial Narrow"/>
                <w:b/>
                <w:i/>
                <w:sz w:val="20"/>
              </w:rPr>
              <w:t xml:space="preserve"> versus </w:t>
            </w:r>
            <w:r w:rsidR="008D094F">
              <w:rPr>
                <w:rFonts w:ascii="Arial Narrow" w:hAnsi="Arial Narrow"/>
                <w:b/>
                <w:sz w:val="20"/>
              </w:rPr>
              <w:t>placebo</w:t>
            </w:r>
          </w:p>
        </w:tc>
      </w:tr>
      <w:tr w:rsidR="00E42B39" w:rsidRPr="008124D6" w:rsidTr="00E42B39">
        <w:tc>
          <w:tcPr>
            <w:tcW w:w="579" w:type="pct"/>
          </w:tcPr>
          <w:p w:rsidR="00E42B39" w:rsidRPr="008124D6" w:rsidRDefault="00E42B39" w:rsidP="00E42B39">
            <w:pPr>
              <w:jc w:val="left"/>
              <w:rPr>
                <w:rFonts w:ascii="Arial Narrow" w:hAnsi="Arial Narrow"/>
                <w:sz w:val="20"/>
              </w:rPr>
            </w:pPr>
            <w:r w:rsidRPr="008124D6">
              <w:rPr>
                <w:rFonts w:ascii="Arial Narrow" w:hAnsi="Arial Narrow"/>
                <w:sz w:val="20"/>
              </w:rPr>
              <w:t>SP667</w:t>
            </w:r>
          </w:p>
        </w:tc>
        <w:tc>
          <w:tcPr>
            <w:tcW w:w="2144" w:type="pct"/>
          </w:tcPr>
          <w:p w:rsidR="00E42B39" w:rsidRPr="008124D6" w:rsidRDefault="00E42B39" w:rsidP="00E42B39">
            <w:pPr>
              <w:jc w:val="left"/>
              <w:rPr>
                <w:rFonts w:ascii="Arial Narrow" w:hAnsi="Arial Narrow"/>
                <w:sz w:val="20"/>
              </w:rPr>
            </w:pPr>
            <w:r w:rsidRPr="008124D6">
              <w:rPr>
                <w:rFonts w:ascii="Arial Narrow" w:hAnsi="Arial Narrow"/>
                <w:sz w:val="20"/>
              </w:rPr>
              <w:t xml:space="preserve">Primary clinical study report - A multicentre, double-blind, randomised, placebo-controlled, parallel group trial to investigate the efficacy and safety of SPM 927 (200 mg/day, 400 mg/day, 600 mg/day) as adjunctive therapy in subjects with partial seizures with or without secondary generalization. Schwartz Biosciences, </w:t>
            </w:r>
            <w:proofErr w:type="spellStart"/>
            <w:r w:rsidRPr="008124D6">
              <w:rPr>
                <w:rFonts w:ascii="Arial Narrow" w:hAnsi="Arial Narrow"/>
                <w:sz w:val="20"/>
              </w:rPr>
              <w:t>Inc</w:t>
            </w:r>
            <w:proofErr w:type="spellEnd"/>
          </w:p>
          <w:p w:rsidR="00E42B39" w:rsidRPr="008124D6" w:rsidRDefault="00E42B39" w:rsidP="00E42B39">
            <w:pPr>
              <w:jc w:val="left"/>
              <w:rPr>
                <w:rFonts w:ascii="Arial Narrow" w:hAnsi="Arial Narrow"/>
                <w:sz w:val="20"/>
              </w:rPr>
            </w:pPr>
          </w:p>
          <w:p w:rsidR="00E42B39" w:rsidRPr="008124D6" w:rsidRDefault="00E42B39" w:rsidP="00E42B39">
            <w:pPr>
              <w:jc w:val="left"/>
              <w:rPr>
                <w:rFonts w:ascii="Arial Narrow" w:hAnsi="Arial Narrow"/>
                <w:sz w:val="20"/>
                <w:u w:val="single"/>
              </w:rPr>
            </w:pPr>
            <w:r w:rsidRPr="008124D6">
              <w:rPr>
                <w:rFonts w:ascii="Arial Narrow" w:hAnsi="Arial Narrow"/>
                <w:sz w:val="20"/>
                <w:u w:val="single"/>
              </w:rPr>
              <w:t>Publication</w:t>
            </w:r>
          </w:p>
          <w:p w:rsidR="00E42B39" w:rsidRPr="008124D6" w:rsidRDefault="00E42B39" w:rsidP="00E42B39">
            <w:pPr>
              <w:jc w:val="left"/>
              <w:rPr>
                <w:rFonts w:ascii="Arial Narrow" w:hAnsi="Arial Narrow"/>
                <w:sz w:val="20"/>
              </w:rPr>
            </w:pPr>
            <w:r w:rsidRPr="008124D6">
              <w:rPr>
                <w:rFonts w:ascii="Arial Narrow" w:hAnsi="Arial Narrow"/>
                <w:sz w:val="20"/>
              </w:rPr>
              <w:t xml:space="preserve">Ben-Menachem E, </w:t>
            </w:r>
            <w:proofErr w:type="spellStart"/>
            <w:r w:rsidRPr="008124D6">
              <w:rPr>
                <w:rFonts w:ascii="Arial Narrow" w:hAnsi="Arial Narrow"/>
                <w:sz w:val="20"/>
              </w:rPr>
              <w:t>Biton</w:t>
            </w:r>
            <w:proofErr w:type="spellEnd"/>
            <w:r w:rsidRPr="008124D6">
              <w:rPr>
                <w:rFonts w:ascii="Arial Narrow" w:hAnsi="Arial Narrow"/>
                <w:sz w:val="20"/>
              </w:rPr>
              <w:t xml:space="preserve"> V, </w:t>
            </w:r>
            <w:proofErr w:type="spellStart"/>
            <w:r w:rsidRPr="008124D6">
              <w:rPr>
                <w:rFonts w:ascii="Arial Narrow" w:hAnsi="Arial Narrow"/>
                <w:sz w:val="20"/>
              </w:rPr>
              <w:t>Jatuzis</w:t>
            </w:r>
            <w:proofErr w:type="spellEnd"/>
            <w:r w:rsidRPr="008124D6">
              <w:rPr>
                <w:rFonts w:ascii="Arial Narrow" w:hAnsi="Arial Narrow"/>
                <w:sz w:val="20"/>
              </w:rPr>
              <w:t xml:space="preserve"> D, </w:t>
            </w:r>
            <w:proofErr w:type="spellStart"/>
            <w:r w:rsidRPr="008124D6">
              <w:rPr>
                <w:rFonts w:ascii="Arial Narrow" w:hAnsi="Arial Narrow"/>
                <w:sz w:val="20"/>
              </w:rPr>
              <w:t>Abou</w:t>
            </w:r>
            <w:proofErr w:type="spellEnd"/>
            <w:r w:rsidRPr="008124D6">
              <w:rPr>
                <w:rFonts w:ascii="Arial Narrow" w:hAnsi="Arial Narrow"/>
                <w:sz w:val="20"/>
              </w:rPr>
              <w:t xml:space="preserve">-Khalil B, Doty P, Rudd GD. Efficacy and safety of oral </w:t>
            </w:r>
            <w:proofErr w:type="spellStart"/>
            <w:r w:rsidRPr="008124D6">
              <w:rPr>
                <w:rFonts w:ascii="Arial Narrow" w:hAnsi="Arial Narrow"/>
                <w:sz w:val="20"/>
              </w:rPr>
              <w:t>lacosamide</w:t>
            </w:r>
            <w:proofErr w:type="spellEnd"/>
            <w:r w:rsidRPr="008124D6">
              <w:rPr>
                <w:rFonts w:ascii="Arial Narrow" w:hAnsi="Arial Narrow"/>
                <w:sz w:val="20"/>
              </w:rPr>
              <w:t xml:space="preserve"> as adjunctive therapy in adults with partial-onset seizures</w:t>
            </w:r>
          </w:p>
        </w:tc>
        <w:tc>
          <w:tcPr>
            <w:tcW w:w="2277" w:type="pct"/>
          </w:tcPr>
          <w:p w:rsidR="00E42B39" w:rsidRPr="008124D6" w:rsidRDefault="00E42B39" w:rsidP="00E42B39">
            <w:pPr>
              <w:jc w:val="left"/>
              <w:rPr>
                <w:rFonts w:ascii="Arial Narrow" w:hAnsi="Arial Narrow"/>
                <w:sz w:val="20"/>
              </w:rPr>
            </w:pPr>
            <w:r w:rsidRPr="008124D6">
              <w:rPr>
                <w:rFonts w:ascii="Arial Narrow" w:hAnsi="Arial Narrow"/>
                <w:sz w:val="20"/>
              </w:rPr>
              <w:t xml:space="preserve">9 Mar 2005. </w:t>
            </w:r>
          </w:p>
          <w:p w:rsidR="00E42B39" w:rsidRPr="008124D6" w:rsidRDefault="00E42B39" w:rsidP="00E42B39">
            <w:pPr>
              <w:jc w:val="left"/>
              <w:rPr>
                <w:rFonts w:ascii="Arial Narrow" w:hAnsi="Arial Narrow"/>
                <w:sz w:val="20"/>
              </w:rPr>
            </w:pPr>
          </w:p>
          <w:p w:rsidR="00E42B39" w:rsidRPr="008124D6" w:rsidRDefault="00E42B39" w:rsidP="00E42B39">
            <w:pPr>
              <w:jc w:val="left"/>
              <w:rPr>
                <w:rFonts w:ascii="Arial Narrow" w:hAnsi="Arial Narrow"/>
                <w:sz w:val="20"/>
              </w:rPr>
            </w:pPr>
          </w:p>
          <w:p w:rsidR="00E42B39" w:rsidRPr="008124D6" w:rsidRDefault="00E42B39" w:rsidP="00E42B39">
            <w:pPr>
              <w:jc w:val="left"/>
              <w:rPr>
                <w:rFonts w:ascii="Arial Narrow" w:hAnsi="Arial Narrow"/>
                <w:sz w:val="20"/>
              </w:rPr>
            </w:pPr>
          </w:p>
          <w:p w:rsidR="00E42B39" w:rsidRPr="008124D6" w:rsidRDefault="00E42B39" w:rsidP="00E42B39">
            <w:pPr>
              <w:jc w:val="left"/>
              <w:rPr>
                <w:rFonts w:ascii="Arial Narrow" w:hAnsi="Arial Narrow"/>
                <w:sz w:val="20"/>
              </w:rPr>
            </w:pPr>
          </w:p>
          <w:p w:rsidR="00E42B39" w:rsidRPr="008124D6" w:rsidRDefault="00E42B39" w:rsidP="00E42B39">
            <w:pPr>
              <w:jc w:val="left"/>
              <w:rPr>
                <w:rFonts w:ascii="Arial Narrow" w:hAnsi="Arial Narrow"/>
                <w:sz w:val="20"/>
              </w:rPr>
            </w:pPr>
          </w:p>
          <w:p w:rsidR="00E42B39" w:rsidRPr="008124D6" w:rsidRDefault="00E42B39" w:rsidP="00E42B39">
            <w:pPr>
              <w:jc w:val="left"/>
              <w:rPr>
                <w:rFonts w:ascii="Arial Narrow" w:hAnsi="Arial Narrow"/>
                <w:sz w:val="20"/>
              </w:rPr>
            </w:pPr>
          </w:p>
          <w:p w:rsidR="00E42B39" w:rsidRPr="008124D6" w:rsidRDefault="00E42B39" w:rsidP="00E42B39">
            <w:pPr>
              <w:jc w:val="left"/>
              <w:rPr>
                <w:rFonts w:ascii="Arial Narrow" w:hAnsi="Arial Narrow"/>
                <w:sz w:val="20"/>
              </w:rPr>
            </w:pPr>
          </w:p>
          <w:p w:rsidR="00E42B39" w:rsidRPr="008124D6" w:rsidRDefault="00E42B39" w:rsidP="00E42B39">
            <w:pPr>
              <w:jc w:val="left"/>
              <w:rPr>
                <w:rFonts w:ascii="Arial Narrow" w:hAnsi="Arial Narrow"/>
                <w:sz w:val="20"/>
              </w:rPr>
            </w:pPr>
          </w:p>
          <w:p w:rsidR="00E42B39" w:rsidRPr="008124D6" w:rsidRDefault="00E42B39" w:rsidP="00E42B39">
            <w:pPr>
              <w:jc w:val="left"/>
              <w:rPr>
                <w:rFonts w:ascii="Arial Narrow" w:hAnsi="Arial Narrow"/>
                <w:sz w:val="20"/>
              </w:rPr>
            </w:pPr>
          </w:p>
          <w:p w:rsidR="00E42B39" w:rsidRPr="008124D6" w:rsidRDefault="00E42B39" w:rsidP="00E42B39">
            <w:pPr>
              <w:jc w:val="left"/>
              <w:rPr>
                <w:rFonts w:ascii="Arial Narrow" w:hAnsi="Arial Narrow"/>
                <w:sz w:val="20"/>
              </w:rPr>
            </w:pPr>
            <w:proofErr w:type="spellStart"/>
            <w:r w:rsidRPr="008124D6">
              <w:rPr>
                <w:rFonts w:ascii="Arial Narrow" w:hAnsi="Arial Narrow"/>
                <w:i/>
                <w:sz w:val="20"/>
              </w:rPr>
              <w:t>Epilepsia</w:t>
            </w:r>
            <w:proofErr w:type="spellEnd"/>
            <w:r w:rsidRPr="008124D6">
              <w:rPr>
                <w:rFonts w:ascii="Arial Narrow" w:hAnsi="Arial Narrow"/>
                <w:sz w:val="20"/>
              </w:rPr>
              <w:t xml:space="preserve"> 2007; 48(7): 1308-17.</w:t>
            </w:r>
          </w:p>
        </w:tc>
      </w:tr>
      <w:tr w:rsidR="00E42B39" w:rsidRPr="008124D6" w:rsidTr="00E42B39">
        <w:tc>
          <w:tcPr>
            <w:tcW w:w="579" w:type="pct"/>
          </w:tcPr>
          <w:p w:rsidR="00E42B39" w:rsidRPr="008124D6" w:rsidRDefault="00E42B39" w:rsidP="00E42B39">
            <w:pPr>
              <w:jc w:val="left"/>
              <w:rPr>
                <w:rFonts w:ascii="Arial Narrow" w:hAnsi="Arial Narrow"/>
                <w:sz w:val="20"/>
              </w:rPr>
            </w:pPr>
            <w:r w:rsidRPr="008124D6">
              <w:rPr>
                <w:rFonts w:ascii="Arial Narrow" w:hAnsi="Arial Narrow"/>
                <w:sz w:val="20"/>
              </w:rPr>
              <w:t>SP754</w:t>
            </w:r>
          </w:p>
        </w:tc>
        <w:tc>
          <w:tcPr>
            <w:tcW w:w="2144" w:type="pct"/>
          </w:tcPr>
          <w:p w:rsidR="00E42B39" w:rsidRPr="008124D6" w:rsidRDefault="00E42B39" w:rsidP="00E42B39">
            <w:pPr>
              <w:jc w:val="left"/>
              <w:rPr>
                <w:rFonts w:ascii="Arial Narrow" w:hAnsi="Arial Narrow"/>
                <w:sz w:val="20"/>
              </w:rPr>
            </w:pPr>
            <w:r w:rsidRPr="008124D6">
              <w:rPr>
                <w:rFonts w:ascii="Arial Narrow" w:hAnsi="Arial Narrow"/>
                <w:sz w:val="20"/>
              </w:rPr>
              <w:t xml:space="preserve">Primary clinical study report NCT00136019 - A multicentre, double-blind, randomised, placebo-controlled, parallel-group trial to investigate the efficacy and safety of SPM 927 (400 and 600mg/day) as adjunctive therapy in subjects with partial seizures with or without secondary generalization. Schwartz Biosciences, </w:t>
            </w:r>
            <w:proofErr w:type="spellStart"/>
            <w:r w:rsidRPr="008124D6">
              <w:rPr>
                <w:rFonts w:ascii="Arial Narrow" w:hAnsi="Arial Narrow"/>
                <w:sz w:val="20"/>
              </w:rPr>
              <w:t>Inc</w:t>
            </w:r>
            <w:proofErr w:type="spellEnd"/>
          </w:p>
          <w:p w:rsidR="00E42B39" w:rsidRPr="008124D6" w:rsidRDefault="00E42B39" w:rsidP="00E42B39">
            <w:pPr>
              <w:jc w:val="left"/>
              <w:rPr>
                <w:rFonts w:ascii="Arial Narrow" w:hAnsi="Arial Narrow"/>
                <w:sz w:val="20"/>
              </w:rPr>
            </w:pPr>
          </w:p>
          <w:p w:rsidR="00E42B39" w:rsidRPr="008124D6" w:rsidRDefault="00E42B39" w:rsidP="00E42B39">
            <w:pPr>
              <w:jc w:val="left"/>
              <w:rPr>
                <w:rFonts w:ascii="Arial Narrow" w:hAnsi="Arial Narrow"/>
                <w:sz w:val="20"/>
                <w:u w:val="single"/>
              </w:rPr>
            </w:pPr>
            <w:r w:rsidRPr="008124D6">
              <w:rPr>
                <w:rFonts w:ascii="Arial Narrow" w:hAnsi="Arial Narrow"/>
                <w:sz w:val="20"/>
                <w:u w:val="single"/>
              </w:rPr>
              <w:t>Publication</w:t>
            </w:r>
          </w:p>
          <w:p w:rsidR="00E42B39" w:rsidRPr="008124D6" w:rsidRDefault="00E42B39" w:rsidP="00E42B39">
            <w:pPr>
              <w:jc w:val="left"/>
              <w:rPr>
                <w:rFonts w:ascii="Arial Narrow" w:hAnsi="Arial Narrow"/>
                <w:sz w:val="20"/>
              </w:rPr>
            </w:pPr>
            <w:r w:rsidRPr="008124D6">
              <w:rPr>
                <w:rFonts w:ascii="Arial Narrow" w:hAnsi="Arial Narrow"/>
                <w:sz w:val="20"/>
              </w:rPr>
              <w:t xml:space="preserve">Chung S, </w:t>
            </w:r>
            <w:proofErr w:type="spellStart"/>
            <w:r w:rsidRPr="008124D6">
              <w:rPr>
                <w:rFonts w:ascii="Arial Narrow" w:hAnsi="Arial Narrow"/>
                <w:sz w:val="20"/>
              </w:rPr>
              <w:t>Sperling</w:t>
            </w:r>
            <w:proofErr w:type="spellEnd"/>
            <w:r w:rsidRPr="008124D6">
              <w:rPr>
                <w:rFonts w:ascii="Arial Narrow" w:hAnsi="Arial Narrow"/>
                <w:sz w:val="20"/>
              </w:rPr>
              <w:t xml:space="preserve"> MR, </w:t>
            </w:r>
            <w:proofErr w:type="spellStart"/>
            <w:r w:rsidRPr="008124D6">
              <w:rPr>
                <w:rFonts w:ascii="Arial Narrow" w:hAnsi="Arial Narrow"/>
                <w:sz w:val="20"/>
              </w:rPr>
              <w:t>Biton</w:t>
            </w:r>
            <w:proofErr w:type="spellEnd"/>
            <w:r w:rsidRPr="008124D6">
              <w:rPr>
                <w:rFonts w:ascii="Arial Narrow" w:hAnsi="Arial Narrow"/>
                <w:sz w:val="20"/>
              </w:rPr>
              <w:t xml:space="preserve"> V, Krauss G, Hebert D, Rudd GD, Doty P; SP754 Study Group. </w:t>
            </w:r>
            <w:proofErr w:type="spellStart"/>
            <w:r w:rsidRPr="008124D6">
              <w:rPr>
                <w:rFonts w:ascii="Arial Narrow" w:hAnsi="Arial Narrow"/>
                <w:sz w:val="20"/>
              </w:rPr>
              <w:t>Lacosamide</w:t>
            </w:r>
            <w:proofErr w:type="spellEnd"/>
            <w:r w:rsidRPr="008124D6">
              <w:rPr>
                <w:rFonts w:ascii="Arial Narrow" w:hAnsi="Arial Narrow"/>
                <w:sz w:val="20"/>
              </w:rPr>
              <w:t xml:space="preserve"> as adjunctive therapy for partial-onset seizures: a randomised controlled trial. </w:t>
            </w:r>
          </w:p>
        </w:tc>
        <w:tc>
          <w:tcPr>
            <w:tcW w:w="2277" w:type="pct"/>
          </w:tcPr>
          <w:p w:rsidR="00E42B39" w:rsidRPr="008124D6" w:rsidRDefault="00E42B39" w:rsidP="00E42B39">
            <w:pPr>
              <w:jc w:val="left"/>
              <w:rPr>
                <w:rFonts w:ascii="Arial Narrow" w:hAnsi="Arial Narrow"/>
                <w:sz w:val="20"/>
              </w:rPr>
            </w:pPr>
            <w:r w:rsidRPr="008124D6">
              <w:rPr>
                <w:rFonts w:ascii="Arial Narrow" w:hAnsi="Arial Narrow"/>
                <w:sz w:val="20"/>
              </w:rPr>
              <w:t>13 March 2007.</w:t>
            </w:r>
          </w:p>
          <w:p w:rsidR="00E42B39" w:rsidRPr="008124D6" w:rsidRDefault="00E42B39" w:rsidP="00E42B39">
            <w:pPr>
              <w:jc w:val="left"/>
              <w:rPr>
                <w:rFonts w:ascii="Arial Narrow" w:hAnsi="Arial Narrow"/>
                <w:sz w:val="20"/>
              </w:rPr>
            </w:pPr>
          </w:p>
          <w:p w:rsidR="00E42B39" w:rsidRPr="008124D6" w:rsidRDefault="00E42B39" w:rsidP="00E42B39">
            <w:pPr>
              <w:jc w:val="left"/>
              <w:rPr>
                <w:rFonts w:ascii="Arial Narrow" w:hAnsi="Arial Narrow"/>
                <w:sz w:val="20"/>
              </w:rPr>
            </w:pPr>
          </w:p>
          <w:p w:rsidR="00E42B39" w:rsidRPr="008124D6" w:rsidRDefault="00E42B39" w:rsidP="00E42B39">
            <w:pPr>
              <w:jc w:val="left"/>
              <w:rPr>
                <w:rFonts w:ascii="Arial Narrow" w:hAnsi="Arial Narrow"/>
                <w:sz w:val="20"/>
              </w:rPr>
            </w:pPr>
          </w:p>
          <w:p w:rsidR="00E42B39" w:rsidRPr="008124D6" w:rsidRDefault="00E42B39" w:rsidP="00E42B39">
            <w:pPr>
              <w:jc w:val="left"/>
              <w:rPr>
                <w:rFonts w:ascii="Arial Narrow" w:hAnsi="Arial Narrow"/>
                <w:sz w:val="20"/>
              </w:rPr>
            </w:pPr>
          </w:p>
          <w:p w:rsidR="00E42B39" w:rsidRPr="008124D6" w:rsidRDefault="00E42B39" w:rsidP="00E42B39">
            <w:pPr>
              <w:jc w:val="left"/>
              <w:rPr>
                <w:rFonts w:ascii="Arial Narrow" w:hAnsi="Arial Narrow"/>
                <w:sz w:val="20"/>
              </w:rPr>
            </w:pPr>
          </w:p>
          <w:p w:rsidR="00E42B39" w:rsidRPr="008124D6" w:rsidRDefault="00E42B39" w:rsidP="00E42B39">
            <w:pPr>
              <w:jc w:val="left"/>
              <w:rPr>
                <w:rFonts w:ascii="Arial Narrow" w:hAnsi="Arial Narrow"/>
                <w:sz w:val="20"/>
              </w:rPr>
            </w:pPr>
          </w:p>
          <w:p w:rsidR="00E42B39" w:rsidRPr="008124D6" w:rsidRDefault="00E42B39" w:rsidP="00E42B39">
            <w:pPr>
              <w:jc w:val="left"/>
              <w:rPr>
                <w:rFonts w:ascii="Arial Narrow" w:hAnsi="Arial Narrow"/>
                <w:sz w:val="20"/>
              </w:rPr>
            </w:pPr>
          </w:p>
          <w:p w:rsidR="00E42B39" w:rsidRPr="008124D6" w:rsidRDefault="00E42B39" w:rsidP="00E42B39">
            <w:pPr>
              <w:jc w:val="left"/>
              <w:rPr>
                <w:rFonts w:ascii="Arial Narrow" w:hAnsi="Arial Narrow"/>
                <w:sz w:val="20"/>
              </w:rPr>
            </w:pPr>
          </w:p>
          <w:p w:rsidR="00E42B39" w:rsidRPr="008124D6" w:rsidRDefault="00E42B39" w:rsidP="00E42B39">
            <w:pPr>
              <w:jc w:val="left"/>
              <w:rPr>
                <w:rFonts w:ascii="Arial Narrow" w:hAnsi="Arial Narrow"/>
                <w:sz w:val="20"/>
              </w:rPr>
            </w:pPr>
            <w:proofErr w:type="spellStart"/>
            <w:r w:rsidRPr="008124D6">
              <w:rPr>
                <w:rFonts w:ascii="Arial Narrow" w:hAnsi="Arial Narrow"/>
                <w:i/>
                <w:sz w:val="20"/>
              </w:rPr>
              <w:t>Epilepsia</w:t>
            </w:r>
            <w:proofErr w:type="spellEnd"/>
            <w:r w:rsidRPr="008124D6">
              <w:rPr>
                <w:rFonts w:ascii="Arial Narrow" w:hAnsi="Arial Narrow"/>
                <w:sz w:val="20"/>
              </w:rPr>
              <w:t>. 2010; 51(6):958-67</w:t>
            </w:r>
          </w:p>
        </w:tc>
      </w:tr>
      <w:tr w:rsidR="00E42B39" w:rsidRPr="008124D6" w:rsidTr="00E42B39">
        <w:tc>
          <w:tcPr>
            <w:tcW w:w="579" w:type="pct"/>
          </w:tcPr>
          <w:p w:rsidR="00E42B39" w:rsidRPr="008124D6" w:rsidRDefault="00E42B39" w:rsidP="00E42B39">
            <w:pPr>
              <w:jc w:val="left"/>
              <w:rPr>
                <w:rFonts w:ascii="Arial Narrow" w:hAnsi="Arial Narrow"/>
                <w:sz w:val="20"/>
              </w:rPr>
            </w:pPr>
            <w:r w:rsidRPr="008124D6">
              <w:rPr>
                <w:rFonts w:ascii="Arial Narrow" w:hAnsi="Arial Narrow"/>
                <w:sz w:val="20"/>
              </w:rPr>
              <w:t>SP755</w:t>
            </w:r>
          </w:p>
        </w:tc>
        <w:tc>
          <w:tcPr>
            <w:tcW w:w="2144" w:type="pct"/>
          </w:tcPr>
          <w:p w:rsidR="00E42B39" w:rsidRPr="008124D6" w:rsidRDefault="00E42B39" w:rsidP="00E42B39">
            <w:pPr>
              <w:jc w:val="left"/>
              <w:rPr>
                <w:rFonts w:ascii="Arial Narrow" w:hAnsi="Arial Narrow"/>
                <w:sz w:val="20"/>
              </w:rPr>
            </w:pPr>
            <w:r w:rsidRPr="008124D6">
              <w:rPr>
                <w:rFonts w:ascii="Arial Narrow" w:hAnsi="Arial Narrow"/>
                <w:sz w:val="20"/>
              </w:rPr>
              <w:t>Primary clinical study report NCT00220415 - A multicentre, double-blind, randomised, placebo-controlled, parallel-group trial to investigate the efficacy and safety of SPM 927 (200 and 400mg/day) as adjunctive therapy in subjects with partial seizures with or without secondary generalization. Schwartz Biosciences GmbH.</w:t>
            </w:r>
          </w:p>
          <w:p w:rsidR="00E42B39" w:rsidRPr="008124D6" w:rsidRDefault="00E42B39" w:rsidP="00E42B39">
            <w:pPr>
              <w:jc w:val="left"/>
              <w:rPr>
                <w:rFonts w:ascii="Arial Narrow" w:hAnsi="Arial Narrow"/>
                <w:sz w:val="20"/>
              </w:rPr>
            </w:pPr>
          </w:p>
          <w:p w:rsidR="00E42B39" w:rsidRPr="008124D6" w:rsidRDefault="00E42B39" w:rsidP="00E42B39">
            <w:pPr>
              <w:jc w:val="left"/>
              <w:rPr>
                <w:rFonts w:ascii="Arial Narrow" w:hAnsi="Arial Narrow"/>
                <w:sz w:val="20"/>
                <w:u w:val="single"/>
              </w:rPr>
            </w:pPr>
            <w:r w:rsidRPr="008124D6">
              <w:rPr>
                <w:rFonts w:ascii="Arial Narrow" w:hAnsi="Arial Narrow"/>
                <w:sz w:val="20"/>
                <w:u w:val="single"/>
              </w:rPr>
              <w:t>Publication</w:t>
            </w:r>
          </w:p>
          <w:p w:rsidR="00E42B39" w:rsidRPr="008124D6" w:rsidRDefault="00E42B39" w:rsidP="00E42B39">
            <w:pPr>
              <w:jc w:val="left"/>
              <w:rPr>
                <w:rFonts w:ascii="Arial Narrow" w:hAnsi="Arial Narrow"/>
                <w:sz w:val="20"/>
              </w:rPr>
            </w:pPr>
            <w:proofErr w:type="spellStart"/>
            <w:r w:rsidRPr="008124D6">
              <w:rPr>
                <w:rFonts w:ascii="Arial Narrow" w:hAnsi="Arial Narrow"/>
                <w:sz w:val="20"/>
              </w:rPr>
              <w:t>Halasz</w:t>
            </w:r>
            <w:proofErr w:type="spellEnd"/>
            <w:r w:rsidRPr="008124D6">
              <w:rPr>
                <w:rFonts w:ascii="Arial Narrow" w:hAnsi="Arial Narrow"/>
                <w:sz w:val="20"/>
              </w:rPr>
              <w:t xml:space="preserve"> P, </w:t>
            </w:r>
            <w:proofErr w:type="spellStart"/>
            <w:r w:rsidRPr="008124D6">
              <w:rPr>
                <w:rFonts w:ascii="Arial Narrow" w:hAnsi="Arial Narrow"/>
                <w:sz w:val="20"/>
              </w:rPr>
              <w:t>Kalviainen</w:t>
            </w:r>
            <w:proofErr w:type="spellEnd"/>
            <w:r w:rsidRPr="008124D6">
              <w:rPr>
                <w:rFonts w:ascii="Arial Narrow" w:hAnsi="Arial Narrow"/>
                <w:sz w:val="20"/>
              </w:rPr>
              <w:t xml:space="preserve"> R, </w:t>
            </w:r>
            <w:proofErr w:type="spellStart"/>
            <w:r w:rsidRPr="008124D6">
              <w:rPr>
                <w:rFonts w:ascii="Arial Narrow" w:hAnsi="Arial Narrow"/>
                <w:sz w:val="20"/>
              </w:rPr>
              <w:t>Mazurkiewicz-Beldzinska</w:t>
            </w:r>
            <w:proofErr w:type="spellEnd"/>
            <w:r w:rsidRPr="008124D6">
              <w:rPr>
                <w:rFonts w:ascii="Arial Narrow" w:hAnsi="Arial Narrow"/>
                <w:sz w:val="20"/>
              </w:rPr>
              <w:t xml:space="preserve"> M, </w:t>
            </w:r>
            <w:proofErr w:type="spellStart"/>
            <w:r w:rsidRPr="008124D6">
              <w:rPr>
                <w:rFonts w:ascii="Arial Narrow" w:hAnsi="Arial Narrow"/>
                <w:sz w:val="20"/>
              </w:rPr>
              <w:t>Rosenow</w:t>
            </w:r>
            <w:proofErr w:type="spellEnd"/>
            <w:r w:rsidRPr="008124D6">
              <w:rPr>
                <w:rFonts w:ascii="Arial Narrow" w:hAnsi="Arial Narrow"/>
                <w:sz w:val="20"/>
              </w:rPr>
              <w:t xml:space="preserve"> F, Doty P, Hebert D and Sullivan T. Adjunctive </w:t>
            </w:r>
            <w:proofErr w:type="spellStart"/>
            <w:r w:rsidRPr="008124D6">
              <w:rPr>
                <w:rFonts w:ascii="Arial Narrow" w:hAnsi="Arial Narrow"/>
                <w:sz w:val="20"/>
              </w:rPr>
              <w:t>lacosamide</w:t>
            </w:r>
            <w:proofErr w:type="spellEnd"/>
            <w:r w:rsidRPr="008124D6">
              <w:rPr>
                <w:rFonts w:ascii="Arial Narrow" w:hAnsi="Arial Narrow"/>
                <w:sz w:val="20"/>
              </w:rPr>
              <w:t xml:space="preserve"> for partial-onset seizures: Efficacy and safety results from a randomised controlled trial.</w:t>
            </w:r>
          </w:p>
        </w:tc>
        <w:tc>
          <w:tcPr>
            <w:tcW w:w="2277" w:type="pct"/>
          </w:tcPr>
          <w:p w:rsidR="00E42B39" w:rsidRPr="008124D6" w:rsidRDefault="00E42B39" w:rsidP="00E42B39">
            <w:pPr>
              <w:jc w:val="left"/>
              <w:rPr>
                <w:rFonts w:ascii="Arial Narrow" w:hAnsi="Arial Narrow"/>
                <w:sz w:val="20"/>
              </w:rPr>
            </w:pPr>
            <w:r w:rsidRPr="008124D6">
              <w:rPr>
                <w:rFonts w:ascii="Arial Narrow" w:hAnsi="Arial Narrow"/>
                <w:sz w:val="20"/>
              </w:rPr>
              <w:t>8 September 2006.</w:t>
            </w:r>
          </w:p>
          <w:p w:rsidR="00E42B39" w:rsidRPr="008124D6" w:rsidRDefault="00E42B39" w:rsidP="00E42B39">
            <w:pPr>
              <w:jc w:val="left"/>
              <w:rPr>
                <w:rFonts w:ascii="Arial Narrow" w:hAnsi="Arial Narrow"/>
                <w:sz w:val="20"/>
              </w:rPr>
            </w:pPr>
          </w:p>
          <w:p w:rsidR="00E42B39" w:rsidRPr="008124D6" w:rsidRDefault="00E42B39" w:rsidP="00E42B39">
            <w:pPr>
              <w:jc w:val="left"/>
              <w:rPr>
                <w:rFonts w:ascii="Arial Narrow" w:hAnsi="Arial Narrow"/>
                <w:sz w:val="20"/>
              </w:rPr>
            </w:pPr>
          </w:p>
          <w:p w:rsidR="00E42B39" w:rsidRPr="008124D6" w:rsidRDefault="00E42B39" w:rsidP="00E42B39">
            <w:pPr>
              <w:jc w:val="left"/>
              <w:rPr>
                <w:rFonts w:ascii="Arial Narrow" w:hAnsi="Arial Narrow"/>
                <w:sz w:val="20"/>
              </w:rPr>
            </w:pPr>
          </w:p>
          <w:p w:rsidR="00E42B39" w:rsidRPr="008124D6" w:rsidRDefault="00E42B39" w:rsidP="00E42B39">
            <w:pPr>
              <w:jc w:val="left"/>
              <w:rPr>
                <w:rFonts w:ascii="Arial Narrow" w:hAnsi="Arial Narrow"/>
                <w:sz w:val="20"/>
              </w:rPr>
            </w:pPr>
          </w:p>
          <w:p w:rsidR="00E42B39" w:rsidRPr="008124D6" w:rsidRDefault="00E42B39" w:rsidP="00E42B39">
            <w:pPr>
              <w:jc w:val="left"/>
              <w:rPr>
                <w:rFonts w:ascii="Arial Narrow" w:hAnsi="Arial Narrow"/>
                <w:sz w:val="20"/>
              </w:rPr>
            </w:pPr>
          </w:p>
          <w:p w:rsidR="00E42B39" w:rsidRPr="008124D6" w:rsidRDefault="00E42B39" w:rsidP="00E42B39">
            <w:pPr>
              <w:jc w:val="left"/>
              <w:rPr>
                <w:rFonts w:ascii="Arial Narrow" w:hAnsi="Arial Narrow"/>
                <w:sz w:val="20"/>
              </w:rPr>
            </w:pPr>
          </w:p>
          <w:p w:rsidR="00E42B39" w:rsidRPr="008124D6" w:rsidRDefault="00E42B39" w:rsidP="00E42B39">
            <w:pPr>
              <w:jc w:val="left"/>
              <w:rPr>
                <w:rFonts w:ascii="Arial Narrow" w:hAnsi="Arial Narrow"/>
                <w:sz w:val="20"/>
              </w:rPr>
            </w:pPr>
          </w:p>
          <w:p w:rsidR="00E42B39" w:rsidRPr="008124D6" w:rsidRDefault="00E42B39" w:rsidP="00E42B39">
            <w:pPr>
              <w:jc w:val="left"/>
              <w:rPr>
                <w:rFonts w:ascii="Arial Narrow" w:hAnsi="Arial Narrow"/>
                <w:sz w:val="20"/>
              </w:rPr>
            </w:pPr>
          </w:p>
          <w:p w:rsidR="00E42B39" w:rsidRPr="008124D6" w:rsidRDefault="00E42B39" w:rsidP="00E42B39">
            <w:pPr>
              <w:jc w:val="left"/>
              <w:rPr>
                <w:rFonts w:ascii="Arial Narrow" w:hAnsi="Arial Narrow"/>
                <w:sz w:val="20"/>
              </w:rPr>
            </w:pPr>
            <w:proofErr w:type="spellStart"/>
            <w:r w:rsidRPr="008124D6">
              <w:rPr>
                <w:rFonts w:ascii="Arial Narrow" w:hAnsi="Arial Narrow"/>
                <w:i/>
                <w:sz w:val="20"/>
              </w:rPr>
              <w:t>Epilepsia</w:t>
            </w:r>
            <w:proofErr w:type="spellEnd"/>
            <w:r w:rsidRPr="008124D6">
              <w:rPr>
                <w:rFonts w:ascii="Arial Narrow" w:hAnsi="Arial Narrow"/>
                <w:sz w:val="20"/>
              </w:rPr>
              <w:t xml:space="preserve"> 2009; 50 (3):443-453</w:t>
            </w:r>
          </w:p>
        </w:tc>
      </w:tr>
    </w:tbl>
    <w:p w:rsidR="00E42B39" w:rsidRDefault="00E42B39" w:rsidP="00E42B39">
      <w:pPr>
        <w:ind w:left="2138" w:hanging="1418"/>
        <w:rPr>
          <w:rFonts w:ascii="Arial Narrow" w:hAnsi="Arial Narrow"/>
          <w:sz w:val="18"/>
          <w:szCs w:val="18"/>
        </w:rPr>
      </w:pPr>
      <w:r>
        <w:rPr>
          <w:rFonts w:ascii="Arial Narrow" w:hAnsi="Arial Narrow"/>
          <w:sz w:val="18"/>
          <w:szCs w:val="18"/>
        </w:rPr>
        <w:t xml:space="preserve">SPM927 = </w:t>
      </w:r>
      <w:proofErr w:type="spellStart"/>
      <w:r>
        <w:rPr>
          <w:rFonts w:ascii="Arial Narrow" w:hAnsi="Arial Narrow"/>
          <w:sz w:val="18"/>
          <w:szCs w:val="18"/>
        </w:rPr>
        <w:t>lacosamide</w:t>
      </w:r>
      <w:proofErr w:type="spellEnd"/>
      <w:r>
        <w:rPr>
          <w:rFonts w:ascii="Arial Narrow" w:hAnsi="Arial Narrow"/>
          <w:sz w:val="18"/>
          <w:szCs w:val="18"/>
        </w:rPr>
        <w:t>.</w:t>
      </w:r>
    </w:p>
    <w:p w:rsidR="00E42B39" w:rsidRDefault="00E42B39" w:rsidP="00E42B39">
      <w:pPr>
        <w:ind w:left="2138" w:hanging="1418"/>
        <w:rPr>
          <w:rFonts w:ascii="Arial Narrow" w:hAnsi="Arial Narrow"/>
          <w:sz w:val="18"/>
          <w:szCs w:val="18"/>
        </w:rPr>
      </w:pPr>
      <w:r w:rsidRPr="00637FC4">
        <w:rPr>
          <w:rFonts w:ascii="Arial Narrow" w:hAnsi="Arial Narrow"/>
          <w:sz w:val="18"/>
          <w:szCs w:val="18"/>
        </w:rPr>
        <w:t xml:space="preserve">Source: Table </w:t>
      </w:r>
      <w:r>
        <w:rPr>
          <w:rFonts w:ascii="Arial Narrow" w:hAnsi="Arial Narrow"/>
          <w:sz w:val="18"/>
          <w:szCs w:val="18"/>
        </w:rPr>
        <w:t>B.5, pp49-52 of the main body of the submission.</w:t>
      </w:r>
    </w:p>
    <w:p w:rsidR="00E42B39" w:rsidRPr="008F120A" w:rsidRDefault="00E42B39" w:rsidP="00E42B39">
      <w:pPr>
        <w:widowControl/>
        <w:rPr>
          <w:szCs w:val="22"/>
        </w:rPr>
      </w:pPr>
    </w:p>
    <w:p w:rsidR="00B96F3E" w:rsidRDefault="00B96F3E" w:rsidP="005E4448">
      <w:pPr>
        <w:pStyle w:val="ListParagraph"/>
        <w:widowControl/>
        <w:numPr>
          <w:ilvl w:val="1"/>
          <w:numId w:val="2"/>
        </w:numPr>
      </w:pPr>
      <w:r w:rsidRPr="00B50DB8">
        <w:rPr>
          <w:szCs w:val="22"/>
        </w:rPr>
        <w:t xml:space="preserve">The key features of the </w:t>
      </w:r>
      <w:r>
        <w:rPr>
          <w:szCs w:val="22"/>
        </w:rPr>
        <w:t>evidence included in the in</w:t>
      </w:r>
      <w:r w:rsidRPr="00B50DB8">
        <w:rPr>
          <w:szCs w:val="22"/>
        </w:rPr>
        <w:t xml:space="preserve">direct </w:t>
      </w:r>
      <w:r>
        <w:rPr>
          <w:szCs w:val="22"/>
        </w:rPr>
        <w:t xml:space="preserve">comparison </w:t>
      </w:r>
      <w:r w:rsidRPr="00B50DB8">
        <w:rPr>
          <w:szCs w:val="22"/>
        </w:rPr>
        <w:t xml:space="preserve">are summarised in </w:t>
      </w:r>
      <w:r>
        <w:rPr>
          <w:szCs w:val="22"/>
        </w:rPr>
        <w:t>T</w:t>
      </w:r>
      <w:r w:rsidRPr="00B50DB8">
        <w:rPr>
          <w:szCs w:val="22"/>
        </w:rPr>
        <w:t xml:space="preserve">able </w:t>
      </w:r>
      <w:r>
        <w:rPr>
          <w:szCs w:val="22"/>
        </w:rPr>
        <w:t>2</w:t>
      </w:r>
      <w:r w:rsidRPr="00B50DB8">
        <w:rPr>
          <w:szCs w:val="22"/>
        </w:rPr>
        <w:t xml:space="preserve">.  </w:t>
      </w:r>
    </w:p>
    <w:p w:rsidR="007A258D" w:rsidRDefault="007A258D">
      <w:pPr>
        <w:widowControl/>
        <w:jc w:val="left"/>
        <w:rPr>
          <w:rFonts w:ascii="Arial Narrow" w:hAnsi="Arial Narrow"/>
          <w:b/>
          <w:sz w:val="20"/>
        </w:rPr>
      </w:pPr>
    </w:p>
    <w:p w:rsidR="00B96F3E" w:rsidRPr="008D094F" w:rsidRDefault="00B96F3E" w:rsidP="00E37750">
      <w:pPr>
        <w:pStyle w:val="TableHeader"/>
        <w:keepNext/>
        <w:ind w:left="737"/>
      </w:pPr>
      <w:r w:rsidRPr="008D094F">
        <w:t>Table 2: Key features of the included evidence – indirect comparison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34"/>
        <w:gridCol w:w="708"/>
        <w:gridCol w:w="1844"/>
        <w:gridCol w:w="991"/>
        <w:gridCol w:w="1417"/>
        <w:gridCol w:w="2251"/>
      </w:tblGrid>
      <w:tr w:rsidR="00B96F3E" w:rsidRPr="00E2771E" w:rsidTr="00460562">
        <w:trPr>
          <w:tblHeader/>
        </w:trPr>
        <w:tc>
          <w:tcPr>
            <w:tcW w:w="679" w:type="pct"/>
            <w:shd w:val="clear" w:color="auto" w:fill="auto"/>
            <w:vAlign w:val="center"/>
          </w:tcPr>
          <w:p w:rsidR="00B96F3E" w:rsidRPr="00E2771E" w:rsidRDefault="00B96F3E" w:rsidP="00E37750">
            <w:pPr>
              <w:keepNext/>
              <w:jc w:val="left"/>
              <w:rPr>
                <w:rFonts w:ascii="Arial Narrow" w:hAnsi="Arial Narrow"/>
                <w:b/>
                <w:sz w:val="20"/>
                <w:szCs w:val="16"/>
                <w:lang w:val="en-US"/>
              </w:rPr>
            </w:pPr>
            <w:r w:rsidRPr="00E2771E">
              <w:rPr>
                <w:rFonts w:ascii="Arial Narrow" w:hAnsi="Arial Narrow"/>
                <w:b/>
                <w:sz w:val="20"/>
                <w:szCs w:val="16"/>
                <w:lang w:val="en-US"/>
              </w:rPr>
              <w:t>Trial</w:t>
            </w:r>
          </w:p>
        </w:tc>
        <w:tc>
          <w:tcPr>
            <w:tcW w:w="424" w:type="pct"/>
            <w:shd w:val="clear" w:color="auto" w:fill="auto"/>
            <w:vAlign w:val="center"/>
          </w:tcPr>
          <w:p w:rsidR="00B96F3E" w:rsidRPr="00E2771E" w:rsidRDefault="00B96F3E" w:rsidP="00E37750">
            <w:pPr>
              <w:keepNext/>
              <w:jc w:val="center"/>
              <w:rPr>
                <w:rFonts w:ascii="Arial Narrow" w:hAnsi="Arial Narrow"/>
                <w:b/>
                <w:sz w:val="20"/>
                <w:szCs w:val="16"/>
                <w:lang w:val="en-US"/>
              </w:rPr>
            </w:pPr>
            <w:r w:rsidRPr="00E2771E">
              <w:rPr>
                <w:rFonts w:ascii="Arial Narrow" w:hAnsi="Arial Narrow"/>
                <w:b/>
                <w:sz w:val="20"/>
                <w:szCs w:val="16"/>
                <w:lang w:val="en-US"/>
              </w:rPr>
              <w:t>N</w:t>
            </w:r>
          </w:p>
        </w:tc>
        <w:tc>
          <w:tcPr>
            <w:tcW w:w="1105" w:type="pct"/>
            <w:shd w:val="clear" w:color="auto" w:fill="auto"/>
            <w:vAlign w:val="center"/>
          </w:tcPr>
          <w:p w:rsidR="00B96F3E" w:rsidRPr="00E2771E" w:rsidRDefault="00B96F3E" w:rsidP="00E37750">
            <w:pPr>
              <w:keepNext/>
              <w:jc w:val="center"/>
              <w:rPr>
                <w:rFonts w:ascii="Arial Narrow" w:hAnsi="Arial Narrow"/>
                <w:b/>
                <w:sz w:val="20"/>
                <w:szCs w:val="16"/>
                <w:lang w:val="en-US"/>
              </w:rPr>
            </w:pPr>
            <w:r w:rsidRPr="00E2771E">
              <w:rPr>
                <w:rFonts w:ascii="Arial Narrow" w:hAnsi="Arial Narrow"/>
                <w:b/>
                <w:sz w:val="20"/>
                <w:szCs w:val="16"/>
                <w:lang w:val="en-US"/>
              </w:rPr>
              <w:t>Design/ duration</w:t>
            </w:r>
          </w:p>
        </w:tc>
        <w:tc>
          <w:tcPr>
            <w:tcW w:w="594" w:type="pct"/>
            <w:shd w:val="clear" w:color="auto" w:fill="auto"/>
            <w:vAlign w:val="center"/>
          </w:tcPr>
          <w:p w:rsidR="00B96F3E" w:rsidRPr="00E2771E" w:rsidRDefault="00B96F3E" w:rsidP="00E37750">
            <w:pPr>
              <w:keepNext/>
              <w:jc w:val="center"/>
              <w:rPr>
                <w:rFonts w:ascii="Arial Narrow" w:hAnsi="Arial Narrow"/>
                <w:b/>
                <w:sz w:val="20"/>
                <w:szCs w:val="16"/>
                <w:lang w:val="en-US"/>
              </w:rPr>
            </w:pPr>
            <w:r w:rsidRPr="00E2771E">
              <w:rPr>
                <w:rFonts w:ascii="Arial Narrow" w:hAnsi="Arial Narrow"/>
                <w:b/>
                <w:sz w:val="20"/>
                <w:szCs w:val="16"/>
                <w:lang w:val="en-US"/>
              </w:rPr>
              <w:t>Risk of bias</w:t>
            </w:r>
          </w:p>
        </w:tc>
        <w:tc>
          <w:tcPr>
            <w:tcW w:w="849" w:type="pct"/>
            <w:shd w:val="clear" w:color="auto" w:fill="auto"/>
            <w:vAlign w:val="center"/>
          </w:tcPr>
          <w:p w:rsidR="00B96F3E" w:rsidRPr="00E2771E" w:rsidRDefault="00B96F3E" w:rsidP="00E37750">
            <w:pPr>
              <w:keepNext/>
              <w:jc w:val="center"/>
              <w:rPr>
                <w:rFonts w:ascii="Arial Narrow" w:hAnsi="Arial Narrow"/>
                <w:b/>
                <w:sz w:val="20"/>
                <w:szCs w:val="16"/>
                <w:lang w:val="en-US"/>
              </w:rPr>
            </w:pPr>
            <w:r w:rsidRPr="00E2771E">
              <w:rPr>
                <w:rFonts w:ascii="Arial Narrow" w:hAnsi="Arial Narrow"/>
                <w:b/>
                <w:sz w:val="20"/>
                <w:szCs w:val="16"/>
                <w:lang w:val="en-US"/>
              </w:rPr>
              <w:t>Patient population</w:t>
            </w:r>
          </w:p>
        </w:tc>
        <w:tc>
          <w:tcPr>
            <w:tcW w:w="1349" w:type="pct"/>
            <w:shd w:val="clear" w:color="auto" w:fill="auto"/>
            <w:vAlign w:val="center"/>
          </w:tcPr>
          <w:p w:rsidR="00B96F3E" w:rsidRPr="00E2771E" w:rsidRDefault="00B96F3E" w:rsidP="00E37750">
            <w:pPr>
              <w:keepNext/>
              <w:jc w:val="center"/>
              <w:rPr>
                <w:rFonts w:ascii="Arial Narrow" w:hAnsi="Arial Narrow"/>
                <w:b/>
                <w:sz w:val="20"/>
                <w:szCs w:val="16"/>
                <w:lang w:val="en-US"/>
              </w:rPr>
            </w:pPr>
            <w:r w:rsidRPr="00E2771E">
              <w:rPr>
                <w:rFonts w:ascii="Arial Narrow" w:hAnsi="Arial Narrow"/>
                <w:b/>
                <w:sz w:val="20"/>
                <w:szCs w:val="16"/>
                <w:lang w:val="en-US"/>
              </w:rPr>
              <w:t>Outcome</w:t>
            </w:r>
          </w:p>
        </w:tc>
      </w:tr>
      <w:tr w:rsidR="00B96F3E" w:rsidRPr="00E2771E" w:rsidTr="00460562">
        <w:tc>
          <w:tcPr>
            <w:tcW w:w="5000" w:type="pct"/>
            <w:gridSpan w:val="6"/>
            <w:shd w:val="clear" w:color="auto" w:fill="auto"/>
            <w:vAlign w:val="center"/>
          </w:tcPr>
          <w:p w:rsidR="00B96F3E" w:rsidRPr="00E2771E" w:rsidRDefault="00B96F3E" w:rsidP="00E37750">
            <w:pPr>
              <w:keepNext/>
              <w:jc w:val="left"/>
              <w:rPr>
                <w:rFonts w:ascii="Arial Narrow" w:hAnsi="Arial Narrow"/>
                <w:b/>
                <w:sz w:val="20"/>
                <w:szCs w:val="16"/>
                <w:lang w:val="en-US"/>
              </w:rPr>
            </w:pPr>
            <w:proofErr w:type="spellStart"/>
            <w:r>
              <w:rPr>
                <w:rFonts w:ascii="Arial Narrow" w:hAnsi="Arial Narrow"/>
                <w:b/>
                <w:sz w:val="20"/>
                <w:szCs w:val="16"/>
                <w:lang w:val="en-US"/>
              </w:rPr>
              <w:t>brivaracetam</w:t>
            </w:r>
            <w:proofErr w:type="spellEnd"/>
            <w:r w:rsidRPr="00E2771E">
              <w:rPr>
                <w:rFonts w:ascii="Arial Narrow" w:hAnsi="Arial Narrow"/>
                <w:b/>
                <w:sz w:val="20"/>
                <w:szCs w:val="16"/>
                <w:lang w:val="en-US"/>
              </w:rPr>
              <w:t xml:space="preserve"> vs. </w:t>
            </w:r>
            <w:r>
              <w:rPr>
                <w:rFonts w:ascii="Arial Narrow" w:hAnsi="Arial Narrow"/>
                <w:b/>
                <w:sz w:val="20"/>
                <w:szCs w:val="16"/>
                <w:lang w:val="en-US"/>
              </w:rPr>
              <w:t>placebo</w:t>
            </w:r>
          </w:p>
        </w:tc>
      </w:tr>
      <w:tr w:rsidR="00B96F3E" w:rsidRPr="00E2771E" w:rsidTr="00460562">
        <w:tc>
          <w:tcPr>
            <w:tcW w:w="679" w:type="pct"/>
            <w:shd w:val="clear" w:color="auto" w:fill="auto"/>
            <w:vAlign w:val="center"/>
          </w:tcPr>
          <w:p w:rsidR="00B96F3E" w:rsidRPr="00E2771E" w:rsidRDefault="00B96F3E" w:rsidP="00E37750">
            <w:pPr>
              <w:keepNext/>
              <w:jc w:val="left"/>
              <w:rPr>
                <w:rFonts w:ascii="Arial Narrow" w:hAnsi="Arial Narrow"/>
                <w:sz w:val="20"/>
                <w:szCs w:val="16"/>
                <w:lang w:val="en-US"/>
              </w:rPr>
            </w:pPr>
            <w:r>
              <w:rPr>
                <w:rFonts w:ascii="Arial Narrow" w:hAnsi="Arial Narrow"/>
                <w:sz w:val="20"/>
                <w:szCs w:val="16"/>
                <w:lang w:val="en-US"/>
              </w:rPr>
              <w:t>1252</w:t>
            </w:r>
          </w:p>
        </w:tc>
        <w:tc>
          <w:tcPr>
            <w:tcW w:w="424" w:type="pct"/>
            <w:shd w:val="clear" w:color="auto" w:fill="auto"/>
            <w:vAlign w:val="center"/>
          </w:tcPr>
          <w:p w:rsidR="00B96F3E" w:rsidRPr="00E2771E" w:rsidRDefault="00B96F3E" w:rsidP="00E37750">
            <w:pPr>
              <w:keepNext/>
              <w:jc w:val="center"/>
              <w:rPr>
                <w:rFonts w:ascii="Arial Narrow" w:hAnsi="Arial Narrow"/>
                <w:sz w:val="20"/>
                <w:szCs w:val="16"/>
                <w:lang w:val="en-US"/>
              </w:rPr>
            </w:pPr>
            <w:r>
              <w:rPr>
                <w:rFonts w:ascii="Arial Narrow" w:hAnsi="Arial Narrow"/>
                <w:sz w:val="20"/>
                <w:szCs w:val="16"/>
                <w:lang w:val="en-US"/>
              </w:rPr>
              <w:t>399</w:t>
            </w:r>
          </w:p>
        </w:tc>
        <w:tc>
          <w:tcPr>
            <w:tcW w:w="1105" w:type="pct"/>
            <w:shd w:val="clear" w:color="auto" w:fill="auto"/>
            <w:vAlign w:val="center"/>
          </w:tcPr>
          <w:p w:rsidR="00B96F3E" w:rsidRPr="00E2771E" w:rsidRDefault="00B96F3E" w:rsidP="00E37750">
            <w:pPr>
              <w:keepNext/>
              <w:jc w:val="center"/>
              <w:rPr>
                <w:rFonts w:ascii="Arial Narrow" w:hAnsi="Arial Narrow"/>
                <w:sz w:val="20"/>
                <w:szCs w:val="16"/>
                <w:lang w:val="en-US"/>
              </w:rPr>
            </w:pPr>
            <w:r w:rsidRPr="00E2771E">
              <w:rPr>
                <w:rFonts w:ascii="Arial Narrow" w:hAnsi="Arial Narrow"/>
                <w:sz w:val="20"/>
                <w:szCs w:val="16"/>
                <w:lang w:val="en-US"/>
              </w:rPr>
              <w:t>R, DB</w:t>
            </w:r>
          </w:p>
          <w:p w:rsidR="00B96F3E" w:rsidRPr="00E2771E" w:rsidRDefault="00B96F3E" w:rsidP="00E37750">
            <w:pPr>
              <w:keepNext/>
              <w:jc w:val="center"/>
              <w:rPr>
                <w:rFonts w:ascii="Arial Narrow" w:hAnsi="Arial Narrow"/>
                <w:sz w:val="20"/>
                <w:szCs w:val="16"/>
                <w:lang w:val="en-US"/>
              </w:rPr>
            </w:pPr>
            <w:r>
              <w:rPr>
                <w:rFonts w:ascii="Arial Narrow" w:hAnsi="Arial Narrow"/>
                <w:sz w:val="20"/>
                <w:szCs w:val="16"/>
                <w:lang w:val="en-US"/>
              </w:rPr>
              <w:t>Up to 14 weeks of treatment</w:t>
            </w:r>
          </w:p>
        </w:tc>
        <w:tc>
          <w:tcPr>
            <w:tcW w:w="594" w:type="pct"/>
            <w:shd w:val="clear" w:color="auto" w:fill="auto"/>
            <w:vAlign w:val="center"/>
          </w:tcPr>
          <w:p w:rsidR="00B96F3E" w:rsidRPr="00E2771E" w:rsidRDefault="00B96F3E" w:rsidP="00E37750">
            <w:pPr>
              <w:keepNext/>
              <w:jc w:val="center"/>
              <w:rPr>
                <w:rFonts w:ascii="Arial Narrow" w:hAnsi="Arial Narrow"/>
                <w:sz w:val="20"/>
                <w:szCs w:val="16"/>
                <w:lang w:val="en-US"/>
              </w:rPr>
            </w:pPr>
            <w:r w:rsidRPr="00E2771E">
              <w:rPr>
                <w:rFonts w:ascii="Arial Narrow" w:hAnsi="Arial Narrow"/>
                <w:sz w:val="20"/>
                <w:szCs w:val="16"/>
                <w:lang w:val="en-US"/>
              </w:rPr>
              <w:t>Low</w:t>
            </w:r>
          </w:p>
        </w:tc>
        <w:tc>
          <w:tcPr>
            <w:tcW w:w="849" w:type="pct"/>
            <w:shd w:val="clear" w:color="auto" w:fill="auto"/>
            <w:vAlign w:val="center"/>
          </w:tcPr>
          <w:p w:rsidR="00B96F3E" w:rsidRPr="00E2771E" w:rsidRDefault="00B96F3E" w:rsidP="00E37750">
            <w:pPr>
              <w:keepNext/>
              <w:jc w:val="center"/>
              <w:rPr>
                <w:rFonts w:ascii="Arial Narrow" w:hAnsi="Arial Narrow"/>
                <w:sz w:val="20"/>
                <w:szCs w:val="16"/>
                <w:lang w:val="en-US"/>
              </w:rPr>
            </w:pPr>
            <w:r>
              <w:rPr>
                <w:rFonts w:ascii="Arial Narrow" w:hAnsi="Arial Narrow"/>
                <w:sz w:val="20"/>
                <w:szCs w:val="16"/>
                <w:lang w:val="en-US"/>
              </w:rPr>
              <w:t>Adult patients with intractable POS</w:t>
            </w:r>
          </w:p>
        </w:tc>
        <w:tc>
          <w:tcPr>
            <w:tcW w:w="1349" w:type="pct"/>
            <w:shd w:val="clear" w:color="auto" w:fill="auto"/>
            <w:vAlign w:val="center"/>
          </w:tcPr>
          <w:p w:rsidR="00B96F3E" w:rsidRDefault="00B96F3E" w:rsidP="00E37750">
            <w:pPr>
              <w:pStyle w:val="TableBullets"/>
              <w:keepNext/>
              <w:numPr>
                <w:ilvl w:val="0"/>
                <w:numId w:val="0"/>
              </w:numPr>
              <w:rPr>
                <w:rFonts w:ascii="Arial Narrow" w:hAnsi="Arial Narrow"/>
                <w:szCs w:val="20"/>
              </w:rPr>
            </w:pPr>
            <w:r>
              <w:rPr>
                <w:rFonts w:ascii="Arial Narrow" w:hAnsi="Arial Narrow"/>
                <w:szCs w:val="20"/>
              </w:rPr>
              <w:t xml:space="preserve">1) POS frequency per week over the treatment period </w:t>
            </w:r>
          </w:p>
          <w:p w:rsidR="00B96F3E" w:rsidRDefault="00B96F3E" w:rsidP="00E37750">
            <w:pPr>
              <w:pStyle w:val="TableBullets"/>
              <w:keepNext/>
              <w:numPr>
                <w:ilvl w:val="0"/>
                <w:numId w:val="0"/>
              </w:numPr>
              <w:jc w:val="left"/>
              <w:rPr>
                <w:rFonts w:ascii="Arial Narrow" w:hAnsi="Arial Narrow"/>
                <w:szCs w:val="20"/>
              </w:rPr>
            </w:pPr>
            <w:r>
              <w:rPr>
                <w:rFonts w:ascii="Arial Narrow" w:hAnsi="Arial Narrow"/>
                <w:szCs w:val="20"/>
              </w:rPr>
              <w:t xml:space="preserve">2) ≥50% response rate for POS (≥50% </w:t>
            </w:r>
            <w:r w:rsidRPr="00FC6FBA">
              <w:rPr>
                <w:rFonts w:ascii="Arial Narrow" w:hAnsi="Arial Narrow"/>
                <w:szCs w:val="20"/>
              </w:rPr>
              <w:t>reduction from baseline in seizure frequency/week)</w:t>
            </w:r>
          </w:p>
          <w:p w:rsidR="00B96F3E" w:rsidRPr="00E2771E" w:rsidRDefault="00B96F3E" w:rsidP="00E37750">
            <w:pPr>
              <w:pStyle w:val="TableBullets"/>
              <w:keepNext/>
              <w:numPr>
                <w:ilvl w:val="0"/>
                <w:numId w:val="0"/>
              </w:numPr>
              <w:rPr>
                <w:rFonts w:ascii="Arial Narrow" w:hAnsi="Arial Narrow"/>
                <w:szCs w:val="16"/>
                <w:lang w:val="en-US"/>
              </w:rPr>
            </w:pPr>
            <w:r>
              <w:rPr>
                <w:rFonts w:ascii="Arial Narrow" w:hAnsi="Arial Narrow"/>
                <w:szCs w:val="20"/>
              </w:rPr>
              <w:t>3) POS freedom rate  over the treatment period</w:t>
            </w:r>
          </w:p>
        </w:tc>
      </w:tr>
      <w:tr w:rsidR="00B96F3E" w:rsidRPr="00E2771E" w:rsidTr="00460562">
        <w:tc>
          <w:tcPr>
            <w:tcW w:w="679" w:type="pct"/>
            <w:shd w:val="clear" w:color="auto" w:fill="auto"/>
            <w:vAlign w:val="center"/>
          </w:tcPr>
          <w:p w:rsidR="00B96F3E" w:rsidRPr="00E2771E" w:rsidRDefault="00B96F3E" w:rsidP="00E37750">
            <w:pPr>
              <w:keepNext/>
              <w:jc w:val="left"/>
              <w:rPr>
                <w:rFonts w:ascii="Arial Narrow" w:hAnsi="Arial Narrow"/>
                <w:sz w:val="20"/>
                <w:szCs w:val="16"/>
                <w:lang w:val="en-US"/>
              </w:rPr>
            </w:pPr>
            <w:r>
              <w:rPr>
                <w:rFonts w:ascii="Arial Narrow" w:hAnsi="Arial Narrow"/>
                <w:sz w:val="20"/>
                <w:szCs w:val="16"/>
                <w:lang w:val="en-US"/>
              </w:rPr>
              <w:t>1253</w:t>
            </w:r>
          </w:p>
        </w:tc>
        <w:tc>
          <w:tcPr>
            <w:tcW w:w="424" w:type="pct"/>
            <w:shd w:val="clear" w:color="auto" w:fill="auto"/>
            <w:vAlign w:val="center"/>
          </w:tcPr>
          <w:p w:rsidR="00B96F3E" w:rsidRPr="00E2771E" w:rsidRDefault="00B96F3E" w:rsidP="00E37750">
            <w:pPr>
              <w:keepNext/>
              <w:jc w:val="center"/>
              <w:rPr>
                <w:rFonts w:ascii="Arial Narrow" w:hAnsi="Arial Narrow"/>
                <w:sz w:val="20"/>
                <w:szCs w:val="16"/>
                <w:lang w:val="en-US"/>
              </w:rPr>
            </w:pPr>
            <w:r>
              <w:rPr>
                <w:rFonts w:ascii="Arial Narrow" w:hAnsi="Arial Narrow"/>
                <w:sz w:val="20"/>
                <w:szCs w:val="16"/>
                <w:lang w:val="en-US"/>
              </w:rPr>
              <w:t>400</w:t>
            </w:r>
          </w:p>
        </w:tc>
        <w:tc>
          <w:tcPr>
            <w:tcW w:w="1105" w:type="pct"/>
            <w:shd w:val="clear" w:color="auto" w:fill="auto"/>
            <w:vAlign w:val="center"/>
          </w:tcPr>
          <w:p w:rsidR="00B96F3E" w:rsidRPr="00E2771E" w:rsidRDefault="00B96F3E" w:rsidP="00E37750">
            <w:pPr>
              <w:keepNext/>
              <w:jc w:val="center"/>
              <w:rPr>
                <w:rFonts w:ascii="Arial Narrow" w:hAnsi="Arial Narrow"/>
                <w:sz w:val="20"/>
                <w:szCs w:val="16"/>
                <w:lang w:val="en-US"/>
              </w:rPr>
            </w:pPr>
            <w:r w:rsidRPr="00E2771E">
              <w:rPr>
                <w:rFonts w:ascii="Arial Narrow" w:hAnsi="Arial Narrow"/>
                <w:sz w:val="20"/>
                <w:szCs w:val="16"/>
                <w:lang w:val="en-US"/>
              </w:rPr>
              <w:t xml:space="preserve">R, </w:t>
            </w:r>
            <w:r>
              <w:rPr>
                <w:rFonts w:ascii="Arial Narrow" w:hAnsi="Arial Narrow"/>
                <w:sz w:val="20"/>
                <w:szCs w:val="16"/>
                <w:lang w:val="en-US"/>
              </w:rPr>
              <w:t>DB</w:t>
            </w:r>
          </w:p>
          <w:p w:rsidR="00B96F3E" w:rsidRPr="00E2771E" w:rsidRDefault="00B96F3E" w:rsidP="00E37750">
            <w:pPr>
              <w:keepNext/>
              <w:jc w:val="center"/>
              <w:rPr>
                <w:rFonts w:ascii="Arial Narrow" w:hAnsi="Arial Narrow"/>
                <w:sz w:val="20"/>
                <w:szCs w:val="16"/>
                <w:lang w:val="en-US"/>
              </w:rPr>
            </w:pPr>
            <w:r>
              <w:rPr>
                <w:rFonts w:ascii="Arial Narrow" w:hAnsi="Arial Narrow"/>
                <w:sz w:val="20"/>
                <w:szCs w:val="16"/>
                <w:lang w:val="en-US"/>
              </w:rPr>
              <w:t>Up to 13 weeks of treatment</w:t>
            </w:r>
          </w:p>
        </w:tc>
        <w:tc>
          <w:tcPr>
            <w:tcW w:w="594" w:type="pct"/>
            <w:shd w:val="clear" w:color="auto" w:fill="auto"/>
            <w:vAlign w:val="center"/>
          </w:tcPr>
          <w:p w:rsidR="00B96F3E" w:rsidRPr="00E2771E" w:rsidRDefault="00B96F3E" w:rsidP="00E37750">
            <w:pPr>
              <w:keepNext/>
              <w:jc w:val="center"/>
              <w:rPr>
                <w:rFonts w:ascii="Arial Narrow" w:hAnsi="Arial Narrow"/>
                <w:sz w:val="20"/>
                <w:szCs w:val="16"/>
                <w:lang w:val="en-US"/>
              </w:rPr>
            </w:pPr>
            <w:r>
              <w:rPr>
                <w:rFonts w:ascii="Arial Narrow" w:hAnsi="Arial Narrow"/>
                <w:sz w:val="20"/>
                <w:szCs w:val="16"/>
                <w:lang w:val="en-US"/>
              </w:rPr>
              <w:t>Low</w:t>
            </w:r>
          </w:p>
        </w:tc>
        <w:tc>
          <w:tcPr>
            <w:tcW w:w="849" w:type="pct"/>
            <w:shd w:val="clear" w:color="auto" w:fill="auto"/>
            <w:vAlign w:val="center"/>
          </w:tcPr>
          <w:p w:rsidR="00B96F3E" w:rsidRPr="00E2771E" w:rsidRDefault="00B96F3E" w:rsidP="00E37750">
            <w:pPr>
              <w:keepNext/>
              <w:jc w:val="center"/>
              <w:rPr>
                <w:rFonts w:ascii="Arial Narrow" w:hAnsi="Arial Narrow"/>
                <w:sz w:val="20"/>
                <w:szCs w:val="16"/>
                <w:lang w:val="en-US"/>
              </w:rPr>
            </w:pPr>
            <w:r>
              <w:rPr>
                <w:rFonts w:ascii="Arial Narrow" w:hAnsi="Arial Narrow"/>
                <w:sz w:val="20"/>
                <w:szCs w:val="16"/>
                <w:lang w:val="en-US"/>
              </w:rPr>
              <w:t>Adult patients with intractable POS</w:t>
            </w:r>
          </w:p>
        </w:tc>
        <w:tc>
          <w:tcPr>
            <w:tcW w:w="1349" w:type="pct"/>
            <w:shd w:val="clear" w:color="auto" w:fill="auto"/>
            <w:vAlign w:val="center"/>
          </w:tcPr>
          <w:p w:rsidR="00B96F3E" w:rsidRPr="00642746" w:rsidRDefault="00B96F3E" w:rsidP="00E37750">
            <w:pPr>
              <w:keepNext/>
              <w:jc w:val="left"/>
              <w:rPr>
                <w:rFonts w:ascii="Arial Narrow" w:hAnsi="Arial Narrow"/>
                <w:sz w:val="20"/>
                <w:lang w:val="en-US"/>
              </w:rPr>
            </w:pPr>
            <w:r>
              <w:rPr>
                <w:rFonts w:ascii="Arial Narrow" w:hAnsi="Arial Narrow"/>
                <w:sz w:val="20"/>
              </w:rPr>
              <w:t>Same as Trial 1252</w:t>
            </w:r>
          </w:p>
        </w:tc>
      </w:tr>
      <w:tr w:rsidR="00B96F3E" w:rsidRPr="00E2771E" w:rsidTr="00460562">
        <w:tc>
          <w:tcPr>
            <w:tcW w:w="679" w:type="pct"/>
            <w:shd w:val="clear" w:color="auto" w:fill="auto"/>
            <w:vAlign w:val="center"/>
          </w:tcPr>
          <w:p w:rsidR="00B96F3E" w:rsidRPr="00E2771E" w:rsidRDefault="00B96F3E" w:rsidP="00E37750">
            <w:pPr>
              <w:keepNext/>
              <w:jc w:val="left"/>
              <w:rPr>
                <w:rFonts w:ascii="Arial Narrow" w:hAnsi="Arial Narrow"/>
                <w:sz w:val="20"/>
                <w:szCs w:val="16"/>
                <w:lang w:val="en-US"/>
              </w:rPr>
            </w:pPr>
            <w:r>
              <w:rPr>
                <w:rFonts w:ascii="Arial Narrow" w:hAnsi="Arial Narrow"/>
                <w:sz w:val="20"/>
                <w:szCs w:val="16"/>
                <w:lang w:val="en-US"/>
              </w:rPr>
              <w:t>1358</w:t>
            </w:r>
          </w:p>
        </w:tc>
        <w:tc>
          <w:tcPr>
            <w:tcW w:w="424" w:type="pct"/>
            <w:shd w:val="clear" w:color="auto" w:fill="auto"/>
            <w:vAlign w:val="center"/>
          </w:tcPr>
          <w:p w:rsidR="00B96F3E" w:rsidRPr="00E2771E" w:rsidRDefault="00B96F3E" w:rsidP="00E37750">
            <w:pPr>
              <w:keepNext/>
              <w:jc w:val="center"/>
              <w:rPr>
                <w:rFonts w:ascii="Arial Narrow" w:hAnsi="Arial Narrow"/>
                <w:sz w:val="20"/>
                <w:szCs w:val="16"/>
                <w:lang w:val="en-US"/>
              </w:rPr>
            </w:pPr>
            <w:r>
              <w:rPr>
                <w:rFonts w:ascii="Arial Narrow" w:hAnsi="Arial Narrow"/>
                <w:sz w:val="20"/>
                <w:szCs w:val="16"/>
                <w:lang w:val="en-US"/>
              </w:rPr>
              <w:t>768</w:t>
            </w:r>
          </w:p>
        </w:tc>
        <w:tc>
          <w:tcPr>
            <w:tcW w:w="1105" w:type="pct"/>
            <w:shd w:val="clear" w:color="auto" w:fill="auto"/>
            <w:vAlign w:val="center"/>
          </w:tcPr>
          <w:p w:rsidR="00B96F3E" w:rsidRPr="00E2771E" w:rsidRDefault="00B96F3E" w:rsidP="00E37750">
            <w:pPr>
              <w:keepNext/>
              <w:jc w:val="center"/>
              <w:rPr>
                <w:rFonts w:ascii="Arial Narrow" w:hAnsi="Arial Narrow"/>
                <w:sz w:val="20"/>
                <w:szCs w:val="16"/>
                <w:lang w:val="en-US"/>
              </w:rPr>
            </w:pPr>
            <w:r w:rsidRPr="00E2771E">
              <w:rPr>
                <w:rFonts w:ascii="Arial Narrow" w:hAnsi="Arial Narrow"/>
                <w:sz w:val="20"/>
                <w:szCs w:val="16"/>
                <w:lang w:val="en-US"/>
              </w:rPr>
              <w:t>R, DB</w:t>
            </w:r>
          </w:p>
          <w:p w:rsidR="00B96F3E" w:rsidRPr="00E2771E" w:rsidRDefault="00B96F3E" w:rsidP="00E37750">
            <w:pPr>
              <w:keepNext/>
              <w:jc w:val="center"/>
              <w:rPr>
                <w:rFonts w:ascii="Arial Narrow" w:hAnsi="Arial Narrow"/>
                <w:sz w:val="20"/>
                <w:szCs w:val="16"/>
                <w:lang w:val="en-US"/>
              </w:rPr>
            </w:pPr>
            <w:r>
              <w:rPr>
                <w:rFonts w:ascii="Arial Narrow" w:hAnsi="Arial Narrow"/>
                <w:sz w:val="20"/>
                <w:szCs w:val="16"/>
                <w:lang w:val="en-US"/>
              </w:rPr>
              <w:t>Up to 16 weeks of treatment</w:t>
            </w:r>
          </w:p>
        </w:tc>
        <w:tc>
          <w:tcPr>
            <w:tcW w:w="594" w:type="pct"/>
            <w:shd w:val="clear" w:color="auto" w:fill="auto"/>
            <w:vAlign w:val="center"/>
          </w:tcPr>
          <w:p w:rsidR="00B96F3E" w:rsidRPr="00E2771E" w:rsidRDefault="00B96F3E" w:rsidP="00E37750">
            <w:pPr>
              <w:keepNext/>
              <w:jc w:val="center"/>
              <w:rPr>
                <w:rFonts w:ascii="Arial Narrow" w:hAnsi="Arial Narrow"/>
                <w:sz w:val="20"/>
                <w:szCs w:val="16"/>
                <w:lang w:val="en-US"/>
              </w:rPr>
            </w:pPr>
            <w:r w:rsidRPr="00E2771E">
              <w:rPr>
                <w:rFonts w:ascii="Arial Narrow" w:hAnsi="Arial Narrow"/>
                <w:sz w:val="20"/>
                <w:szCs w:val="16"/>
                <w:lang w:val="en-US"/>
              </w:rPr>
              <w:t>Low</w:t>
            </w:r>
          </w:p>
        </w:tc>
        <w:tc>
          <w:tcPr>
            <w:tcW w:w="849" w:type="pct"/>
            <w:shd w:val="clear" w:color="auto" w:fill="auto"/>
            <w:vAlign w:val="center"/>
          </w:tcPr>
          <w:p w:rsidR="00B96F3E" w:rsidRPr="00E2771E" w:rsidRDefault="00B96F3E" w:rsidP="00E37750">
            <w:pPr>
              <w:keepNext/>
              <w:jc w:val="center"/>
              <w:rPr>
                <w:rFonts w:ascii="Arial Narrow" w:hAnsi="Arial Narrow"/>
                <w:sz w:val="20"/>
                <w:szCs w:val="16"/>
                <w:lang w:val="en-US"/>
              </w:rPr>
            </w:pPr>
            <w:r>
              <w:rPr>
                <w:rFonts w:ascii="Arial Narrow" w:hAnsi="Arial Narrow"/>
                <w:sz w:val="20"/>
                <w:szCs w:val="16"/>
                <w:lang w:val="en-US"/>
              </w:rPr>
              <w:t>Adult patients with intractable POS</w:t>
            </w:r>
          </w:p>
        </w:tc>
        <w:tc>
          <w:tcPr>
            <w:tcW w:w="1349" w:type="pct"/>
            <w:shd w:val="clear" w:color="auto" w:fill="auto"/>
            <w:vAlign w:val="center"/>
          </w:tcPr>
          <w:p w:rsidR="00B96F3E" w:rsidRPr="00530CDB" w:rsidRDefault="00B96F3E" w:rsidP="00E37750">
            <w:pPr>
              <w:keepNext/>
              <w:jc w:val="left"/>
              <w:rPr>
                <w:rFonts w:ascii="Arial Narrow" w:hAnsi="Arial Narrow"/>
                <w:sz w:val="20"/>
              </w:rPr>
            </w:pPr>
            <w:r>
              <w:rPr>
                <w:rFonts w:ascii="Arial Narrow" w:hAnsi="Arial Narrow"/>
                <w:sz w:val="20"/>
              </w:rPr>
              <w:t xml:space="preserve">1) </w:t>
            </w:r>
            <w:r w:rsidRPr="00530CDB">
              <w:rPr>
                <w:rFonts w:ascii="Arial Narrow" w:hAnsi="Arial Narrow"/>
                <w:sz w:val="20"/>
              </w:rPr>
              <w:t>POS frequency per 28 days over the treatment period;</w:t>
            </w:r>
          </w:p>
          <w:p w:rsidR="00B96F3E" w:rsidRPr="00E2771E" w:rsidRDefault="00B96F3E" w:rsidP="00E37750">
            <w:pPr>
              <w:keepNext/>
              <w:jc w:val="left"/>
              <w:rPr>
                <w:rFonts w:ascii="Arial Narrow" w:hAnsi="Arial Narrow"/>
                <w:sz w:val="20"/>
                <w:szCs w:val="16"/>
                <w:lang w:val="en-US"/>
              </w:rPr>
            </w:pPr>
            <w:r>
              <w:rPr>
                <w:rFonts w:ascii="Arial Narrow" w:hAnsi="Arial Narrow"/>
                <w:sz w:val="20"/>
              </w:rPr>
              <w:t xml:space="preserve">2) 50% </w:t>
            </w:r>
            <w:r w:rsidR="000321A8">
              <w:rPr>
                <w:rFonts w:ascii="Arial Narrow" w:hAnsi="Arial Narrow"/>
                <w:sz w:val="20"/>
              </w:rPr>
              <w:t>responder rate</w:t>
            </w:r>
            <w:r>
              <w:rPr>
                <w:rFonts w:ascii="Arial Narrow" w:hAnsi="Arial Narrow"/>
                <w:sz w:val="20"/>
              </w:rPr>
              <w:t xml:space="preserve"> and seizure freedom rate (same as that presented for Trials 1252 and 1253) </w:t>
            </w:r>
          </w:p>
        </w:tc>
      </w:tr>
      <w:tr w:rsidR="00B96F3E" w:rsidRPr="00E2771E" w:rsidTr="00460562">
        <w:tc>
          <w:tcPr>
            <w:tcW w:w="5000" w:type="pct"/>
            <w:gridSpan w:val="6"/>
            <w:shd w:val="clear" w:color="auto" w:fill="auto"/>
            <w:vAlign w:val="center"/>
          </w:tcPr>
          <w:p w:rsidR="00B96F3E" w:rsidRPr="00E2771E" w:rsidRDefault="00B96F3E" w:rsidP="00E37750">
            <w:pPr>
              <w:keepNext/>
              <w:jc w:val="left"/>
              <w:rPr>
                <w:rFonts w:ascii="Arial Narrow" w:hAnsi="Arial Narrow"/>
                <w:b/>
                <w:sz w:val="20"/>
                <w:szCs w:val="16"/>
                <w:lang w:val="en-US"/>
              </w:rPr>
            </w:pPr>
            <w:proofErr w:type="spellStart"/>
            <w:r>
              <w:rPr>
                <w:rFonts w:ascii="Arial Narrow" w:hAnsi="Arial Narrow"/>
                <w:b/>
                <w:sz w:val="20"/>
                <w:szCs w:val="16"/>
                <w:lang w:val="en-US"/>
              </w:rPr>
              <w:t>lacosamide</w:t>
            </w:r>
            <w:proofErr w:type="spellEnd"/>
            <w:r w:rsidRPr="00E2771E">
              <w:rPr>
                <w:rFonts w:ascii="Arial Narrow" w:hAnsi="Arial Narrow"/>
                <w:b/>
                <w:sz w:val="20"/>
                <w:szCs w:val="16"/>
                <w:lang w:val="en-US"/>
              </w:rPr>
              <w:t xml:space="preserve"> vs. </w:t>
            </w:r>
            <w:r>
              <w:rPr>
                <w:rFonts w:ascii="Arial Narrow" w:hAnsi="Arial Narrow"/>
                <w:b/>
                <w:sz w:val="20"/>
                <w:szCs w:val="16"/>
                <w:lang w:val="en-US"/>
              </w:rPr>
              <w:t>placebo</w:t>
            </w:r>
          </w:p>
        </w:tc>
      </w:tr>
      <w:tr w:rsidR="00B96F3E" w:rsidRPr="00E2771E" w:rsidTr="00460562">
        <w:tc>
          <w:tcPr>
            <w:tcW w:w="679" w:type="pct"/>
            <w:shd w:val="clear" w:color="auto" w:fill="auto"/>
            <w:vAlign w:val="center"/>
          </w:tcPr>
          <w:p w:rsidR="00B96F3E" w:rsidRPr="00E2771E" w:rsidRDefault="00B96F3E" w:rsidP="00E37750">
            <w:pPr>
              <w:keepNext/>
              <w:jc w:val="left"/>
              <w:rPr>
                <w:rFonts w:ascii="Arial Narrow" w:hAnsi="Arial Narrow"/>
                <w:sz w:val="20"/>
                <w:szCs w:val="16"/>
                <w:lang w:val="en-US"/>
              </w:rPr>
            </w:pPr>
            <w:r>
              <w:rPr>
                <w:rFonts w:ascii="Arial Narrow" w:hAnsi="Arial Narrow"/>
                <w:sz w:val="20"/>
                <w:szCs w:val="16"/>
                <w:lang w:val="en-US"/>
              </w:rPr>
              <w:t>SP667</w:t>
            </w:r>
          </w:p>
        </w:tc>
        <w:tc>
          <w:tcPr>
            <w:tcW w:w="424" w:type="pct"/>
            <w:shd w:val="clear" w:color="auto" w:fill="auto"/>
            <w:vAlign w:val="center"/>
          </w:tcPr>
          <w:p w:rsidR="00B96F3E" w:rsidRPr="00E2771E" w:rsidRDefault="00B96F3E" w:rsidP="00E37750">
            <w:pPr>
              <w:keepNext/>
              <w:jc w:val="center"/>
              <w:rPr>
                <w:rFonts w:ascii="Arial Narrow" w:hAnsi="Arial Narrow"/>
                <w:sz w:val="20"/>
                <w:szCs w:val="16"/>
                <w:lang w:val="en-US"/>
              </w:rPr>
            </w:pPr>
            <w:r>
              <w:rPr>
                <w:rFonts w:ascii="Arial Narrow" w:hAnsi="Arial Narrow"/>
                <w:sz w:val="20"/>
                <w:szCs w:val="16"/>
                <w:lang w:val="en-US"/>
              </w:rPr>
              <w:t>497</w:t>
            </w:r>
          </w:p>
        </w:tc>
        <w:tc>
          <w:tcPr>
            <w:tcW w:w="1105" w:type="pct"/>
            <w:shd w:val="clear" w:color="auto" w:fill="auto"/>
            <w:vAlign w:val="center"/>
          </w:tcPr>
          <w:p w:rsidR="00B96F3E" w:rsidRDefault="00B96F3E" w:rsidP="00E37750">
            <w:pPr>
              <w:keepNext/>
              <w:jc w:val="center"/>
              <w:rPr>
                <w:rFonts w:ascii="Arial Narrow" w:hAnsi="Arial Narrow"/>
                <w:sz w:val="20"/>
                <w:szCs w:val="16"/>
                <w:lang w:val="en-US"/>
              </w:rPr>
            </w:pPr>
            <w:r>
              <w:rPr>
                <w:rFonts w:ascii="Arial Narrow" w:hAnsi="Arial Narrow"/>
                <w:sz w:val="20"/>
                <w:szCs w:val="16"/>
                <w:lang w:val="en-US"/>
              </w:rPr>
              <w:t>R, DB</w:t>
            </w:r>
          </w:p>
          <w:p w:rsidR="00B96F3E" w:rsidRPr="00E2771E" w:rsidRDefault="00B96F3E" w:rsidP="00E37750">
            <w:pPr>
              <w:keepNext/>
              <w:jc w:val="center"/>
              <w:rPr>
                <w:rFonts w:ascii="Arial Narrow" w:hAnsi="Arial Narrow"/>
                <w:sz w:val="20"/>
                <w:szCs w:val="16"/>
                <w:lang w:val="en-US"/>
              </w:rPr>
            </w:pPr>
            <w:r>
              <w:rPr>
                <w:rFonts w:ascii="Arial Narrow" w:hAnsi="Arial Narrow"/>
                <w:sz w:val="20"/>
                <w:szCs w:val="16"/>
                <w:lang w:val="en-US"/>
              </w:rPr>
              <w:t>12 weeks of maintenance treatment</w:t>
            </w:r>
          </w:p>
        </w:tc>
        <w:tc>
          <w:tcPr>
            <w:tcW w:w="594" w:type="pct"/>
            <w:shd w:val="clear" w:color="auto" w:fill="auto"/>
            <w:vAlign w:val="center"/>
          </w:tcPr>
          <w:p w:rsidR="00B96F3E" w:rsidRPr="00E2771E" w:rsidRDefault="00B96F3E" w:rsidP="00E37750">
            <w:pPr>
              <w:keepNext/>
              <w:jc w:val="center"/>
              <w:rPr>
                <w:rFonts w:ascii="Arial Narrow" w:hAnsi="Arial Narrow"/>
                <w:sz w:val="20"/>
                <w:szCs w:val="16"/>
                <w:lang w:val="en-US"/>
              </w:rPr>
            </w:pPr>
            <w:r>
              <w:rPr>
                <w:rFonts w:ascii="Arial Narrow" w:hAnsi="Arial Narrow"/>
                <w:sz w:val="20"/>
                <w:szCs w:val="16"/>
                <w:lang w:val="en-US"/>
              </w:rPr>
              <w:t>Low</w:t>
            </w:r>
          </w:p>
        </w:tc>
        <w:tc>
          <w:tcPr>
            <w:tcW w:w="849" w:type="pct"/>
            <w:shd w:val="clear" w:color="auto" w:fill="auto"/>
            <w:vAlign w:val="center"/>
          </w:tcPr>
          <w:p w:rsidR="00B96F3E" w:rsidRPr="00E2771E" w:rsidRDefault="00B96F3E" w:rsidP="00E37750">
            <w:pPr>
              <w:keepNext/>
              <w:jc w:val="center"/>
              <w:rPr>
                <w:rFonts w:ascii="Arial Narrow" w:hAnsi="Arial Narrow"/>
                <w:sz w:val="20"/>
                <w:szCs w:val="16"/>
                <w:lang w:val="en-US"/>
              </w:rPr>
            </w:pPr>
            <w:r>
              <w:rPr>
                <w:rFonts w:ascii="Arial Narrow" w:hAnsi="Arial Narrow"/>
                <w:sz w:val="20"/>
                <w:szCs w:val="16"/>
                <w:lang w:val="en-US"/>
              </w:rPr>
              <w:t>Adult patients with intractable POS</w:t>
            </w:r>
          </w:p>
        </w:tc>
        <w:tc>
          <w:tcPr>
            <w:tcW w:w="1349" w:type="pct"/>
            <w:shd w:val="clear" w:color="auto" w:fill="auto"/>
            <w:vAlign w:val="center"/>
          </w:tcPr>
          <w:p w:rsidR="00B96F3E" w:rsidRDefault="00B96F3E" w:rsidP="00E37750">
            <w:pPr>
              <w:keepNext/>
              <w:jc w:val="left"/>
              <w:rPr>
                <w:rFonts w:ascii="Arial Narrow" w:hAnsi="Arial Narrow"/>
                <w:sz w:val="20"/>
              </w:rPr>
            </w:pPr>
            <w:r>
              <w:rPr>
                <w:rFonts w:ascii="Arial Narrow" w:hAnsi="Arial Narrow"/>
                <w:sz w:val="20"/>
              </w:rPr>
              <w:t xml:space="preserve">1) </w:t>
            </w:r>
            <w:r w:rsidRPr="00322BAB">
              <w:rPr>
                <w:rFonts w:ascii="Arial Narrow" w:hAnsi="Arial Narrow"/>
                <w:sz w:val="20"/>
              </w:rPr>
              <w:t>≥50% respon</w:t>
            </w:r>
            <w:r>
              <w:rPr>
                <w:rFonts w:ascii="Arial Narrow" w:hAnsi="Arial Narrow"/>
                <w:sz w:val="20"/>
              </w:rPr>
              <w:t>se</w:t>
            </w:r>
            <w:r w:rsidRPr="00322BAB">
              <w:rPr>
                <w:rFonts w:ascii="Arial Narrow" w:hAnsi="Arial Narrow"/>
                <w:sz w:val="20"/>
              </w:rPr>
              <w:t xml:space="preserve"> rate for POS</w:t>
            </w:r>
          </w:p>
          <w:p w:rsidR="00B96F3E" w:rsidRDefault="00B96F3E" w:rsidP="00E37750">
            <w:pPr>
              <w:keepNext/>
              <w:jc w:val="left"/>
              <w:rPr>
                <w:rFonts w:ascii="Arial Narrow" w:hAnsi="Arial Narrow"/>
                <w:sz w:val="20"/>
              </w:rPr>
            </w:pPr>
            <w:r>
              <w:rPr>
                <w:rFonts w:ascii="Arial Narrow" w:hAnsi="Arial Narrow"/>
                <w:sz w:val="20"/>
              </w:rPr>
              <w:t xml:space="preserve">2) </w:t>
            </w:r>
            <w:r w:rsidRPr="00322BAB">
              <w:rPr>
                <w:rFonts w:ascii="Arial Narrow" w:hAnsi="Arial Narrow"/>
                <w:sz w:val="20"/>
              </w:rPr>
              <w:t>Change in % seizure-free days from baseline to maintenance</w:t>
            </w:r>
          </w:p>
          <w:p w:rsidR="00B96F3E" w:rsidRPr="00322BAB" w:rsidRDefault="00B96F3E" w:rsidP="00E37750">
            <w:pPr>
              <w:keepNext/>
              <w:jc w:val="left"/>
              <w:rPr>
                <w:rFonts w:ascii="Arial Narrow" w:hAnsi="Arial Narrow"/>
                <w:sz w:val="20"/>
                <w:lang w:val="en-US"/>
              </w:rPr>
            </w:pPr>
            <w:r>
              <w:rPr>
                <w:rFonts w:ascii="Arial Narrow" w:hAnsi="Arial Narrow"/>
                <w:sz w:val="20"/>
                <w:lang w:val="en-US"/>
              </w:rPr>
              <w:t xml:space="preserve">3) </w:t>
            </w:r>
            <w:r w:rsidRPr="00322BAB">
              <w:rPr>
                <w:rFonts w:ascii="Arial Narrow" w:hAnsi="Arial Narrow"/>
                <w:sz w:val="20"/>
                <w:lang w:val="en-US"/>
              </w:rPr>
              <w:t>Seizure freedom</w:t>
            </w:r>
          </w:p>
        </w:tc>
      </w:tr>
      <w:tr w:rsidR="00B96F3E" w:rsidRPr="00E2771E" w:rsidTr="00460562">
        <w:tc>
          <w:tcPr>
            <w:tcW w:w="679" w:type="pct"/>
            <w:shd w:val="clear" w:color="auto" w:fill="auto"/>
            <w:vAlign w:val="center"/>
          </w:tcPr>
          <w:p w:rsidR="00B96F3E" w:rsidRDefault="00B96F3E" w:rsidP="00E37750">
            <w:pPr>
              <w:keepNext/>
              <w:jc w:val="left"/>
              <w:rPr>
                <w:rFonts w:ascii="Arial Narrow" w:hAnsi="Arial Narrow"/>
                <w:sz w:val="20"/>
                <w:szCs w:val="16"/>
                <w:lang w:val="en-US"/>
              </w:rPr>
            </w:pPr>
            <w:r>
              <w:rPr>
                <w:rFonts w:ascii="Arial Narrow" w:hAnsi="Arial Narrow"/>
                <w:sz w:val="20"/>
                <w:szCs w:val="16"/>
                <w:lang w:val="en-US"/>
              </w:rPr>
              <w:t>SP754</w:t>
            </w:r>
          </w:p>
        </w:tc>
        <w:tc>
          <w:tcPr>
            <w:tcW w:w="424" w:type="pct"/>
            <w:shd w:val="clear" w:color="auto" w:fill="auto"/>
            <w:vAlign w:val="center"/>
          </w:tcPr>
          <w:p w:rsidR="00B96F3E" w:rsidRPr="00E2771E" w:rsidRDefault="00B96F3E" w:rsidP="00E37750">
            <w:pPr>
              <w:keepNext/>
              <w:jc w:val="center"/>
              <w:rPr>
                <w:rFonts w:ascii="Arial Narrow" w:hAnsi="Arial Narrow"/>
                <w:sz w:val="20"/>
                <w:szCs w:val="16"/>
                <w:lang w:val="en-US"/>
              </w:rPr>
            </w:pPr>
            <w:r>
              <w:rPr>
                <w:rFonts w:ascii="Arial Narrow" w:hAnsi="Arial Narrow"/>
                <w:sz w:val="20"/>
                <w:szCs w:val="16"/>
                <w:lang w:val="en-US"/>
              </w:rPr>
              <w:t>489</w:t>
            </w:r>
          </w:p>
        </w:tc>
        <w:tc>
          <w:tcPr>
            <w:tcW w:w="1105" w:type="pct"/>
            <w:shd w:val="clear" w:color="auto" w:fill="auto"/>
            <w:vAlign w:val="center"/>
          </w:tcPr>
          <w:p w:rsidR="00B96F3E" w:rsidRDefault="00B96F3E" w:rsidP="00E37750">
            <w:pPr>
              <w:keepNext/>
              <w:jc w:val="center"/>
              <w:rPr>
                <w:rFonts w:ascii="Arial Narrow" w:hAnsi="Arial Narrow"/>
                <w:sz w:val="20"/>
                <w:szCs w:val="16"/>
                <w:lang w:val="en-US"/>
              </w:rPr>
            </w:pPr>
            <w:r>
              <w:rPr>
                <w:rFonts w:ascii="Arial Narrow" w:hAnsi="Arial Narrow"/>
                <w:sz w:val="20"/>
                <w:szCs w:val="16"/>
                <w:lang w:val="en-US"/>
              </w:rPr>
              <w:t>R, DB</w:t>
            </w:r>
          </w:p>
          <w:p w:rsidR="00B96F3E" w:rsidRPr="00E2771E" w:rsidRDefault="00B96F3E" w:rsidP="00E37750">
            <w:pPr>
              <w:keepNext/>
              <w:jc w:val="center"/>
              <w:rPr>
                <w:rFonts w:ascii="Arial Narrow" w:hAnsi="Arial Narrow"/>
                <w:sz w:val="20"/>
                <w:szCs w:val="16"/>
                <w:lang w:val="en-US"/>
              </w:rPr>
            </w:pPr>
            <w:r>
              <w:rPr>
                <w:rFonts w:ascii="Arial Narrow" w:hAnsi="Arial Narrow"/>
                <w:sz w:val="20"/>
                <w:szCs w:val="16"/>
                <w:lang w:val="en-US"/>
              </w:rPr>
              <w:t>12 weeks of treatment</w:t>
            </w:r>
          </w:p>
        </w:tc>
        <w:tc>
          <w:tcPr>
            <w:tcW w:w="594" w:type="pct"/>
            <w:shd w:val="clear" w:color="auto" w:fill="auto"/>
            <w:vAlign w:val="center"/>
          </w:tcPr>
          <w:p w:rsidR="00B96F3E" w:rsidRPr="00E2771E" w:rsidRDefault="00B96F3E" w:rsidP="00E37750">
            <w:pPr>
              <w:keepNext/>
              <w:jc w:val="center"/>
              <w:rPr>
                <w:rFonts w:ascii="Arial Narrow" w:hAnsi="Arial Narrow"/>
                <w:sz w:val="20"/>
                <w:szCs w:val="16"/>
                <w:lang w:val="en-US"/>
              </w:rPr>
            </w:pPr>
            <w:r>
              <w:rPr>
                <w:rFonts w:ascii="Arial Narrow" w:hAnsi="Arial Narrow"/>
                <w:sz w:val="20"/>
                <w:szCs w:val="16"/>
                <w:lang w:val="en-US"/>
              </w:rPr>
              <w:t>Low</w:t>
            </w:r>
          </w:p>
        </w:tc>
        <w:tc>
          <w:tcPr>
            <w:tcW w:w="849" w:type="pct"/>
            <w:shd w:val="clear" w:color="auto" w:fill="auto"/>
            <w:vAlign w:val="center"/>
          </w:tcPr>
          <w:p w:rsidR="00B96F3E" w:rsidRDefault="00B96F3E" w:rsidP="00E37750">
            <w:pPr>
              <w:keepNext/>
              <w:jc w:val="center"/>
              <w:rPr>
                <w:rFonts w:ascii="Arial Narrow" w:hAnsi="Arial Narrow"/>
                <w:sz w:val="20"/>
                <w:szCs w:val="16"/>
                <w:lang w:val="en-US"/>
              </w:rPr>
            </w:pPr>
            <w:r>
              <w:rPr>
                <w:rFonts w:ascii="Arial Narrow" w:hAnsi="Arial Narrow"/>
                <w:sz w:val="20"/>
                <w:szCs w:val="16"/>
                <w:lang w:val="en-US"/>
              </w:rPr>
              <w:t>Adult patients with intractable POS</w:t>
            </w:r>
          </w:p>
        </w:tc>
        <w:tc>
          <w:tcPr>
            <w:tcW w:w="1349" w:type="pct"/>
            <w:shd w:val="clear" w:color="auto" w:fill="auto"/>
            <w:vAlign w:val="center"/>
          </w:tcPr>
          <w:p w:rsidR="00B96F3E" w:rsidRPr="00E2771E" w:rsidRDefault="00B96F3E" w:rsidP="00E37750">
            <w:pPr>
              <w:keepNext/>
              <w:jc w:val="center"/>
              <w:rPr>
                <w:rFonts w:ascii="Arial Narrow" w:hAnsi="Arial Narrow"/>
                <w:sz w:val="20"/>
                <w:szCs w:val="16"/>
                <w:lang w:val="en-US"/>
              </w:rPr>
            </w:pPr>
            <w:r>
              <w:rPr>
                <w:rFonts w:ascii="Arial Narrow" w:hAnsi="Arial Narrow"/>
                <w:sz w:val="20"/>
                <w:szCs w:val="16"/>
                <w:lang w:val="en-US"/>
              </w:rPr>
              <w:t>Same as SP667</w:t>
            </w:r>
          </w:p>
        </w:tc>
      </w:tr>
      <w:tr w:rsidR="00B96F3E" w:rsidRPr="00E2771E" w:rsidTr="00460562">
        <w:tc>
          <w:tcPr>
            <w:tcW w:w="679" w:type="pct"/>
            <w:shd w:val="clear" w:color="auto" w:fill="auto"/>
            <w:vAlign w:val="center"/>
          </w:tcPr>
          <w:p w:rsidR="00B96F3E" w:rsidRPr="00E2771E" w:rsidRDefault="00B96F3E" w:rsidP="00E37750">
            <w:pPr>
              <w:keepNext/>
              <w:jc w:val="left"/>
              <w:rPr>
                <w:rFonts w:ascii="Arial Narrow" w:hAnsi="Arial Narrow"/>
                <w:sz w:val="20"/>
                <w:szCs w:val="16"/>
                <w:lang w:val="en-US"/>
              </w:rPr>
            </w:pPr>
            <w:r>
              <w:rPr>
                <w:rFonts w:ascii="Arial Narrow" w:hAnsi="Arial Narrow"/>
                <w:sz w:val="20"/>
                <w:szCs w:val="16"/>
                <w:lang w:val="en-US"/>
              </w:rPr>
              <w:t>SP755</w:t>
            </w:r>
          </w:p>
        </w:tc>
        <w:tc>
          <w:tcPr>
            <w:tcW w:w="424" w:type="pct"/>
            <w:shd w:val="clear" w:color="auto" w:fill="auto"/>
            <w:vAlign w:val="center"/>
          </w:tcPr>
          <w:p w:rsidR="00B96F3E" w:rsidRPr="00E2771E" w:rsidRDefault="00B96F3E" w:rsidP="00E37750">
            <w:pPr>
              <w:keepNext/>
              <w:jc w:val="center"/>
              <w:rPr>
                <w:rFonts w:ascii="Arial Narrow" w:hAnsi="Arial Narrow"/>
                <w:sz w:val="20"/>
                <w:szCs w:val="16"/>
                <w:lang w:val="en-US"/>
              </w:rPr>
            </w:pPr>
            <w:r>
              <w:rPr>
                <w:rFonts w:ascii="Arial Narrow" w:hAnsi="Arial Narrow"/>
                <w:sz w:val="20"/>
                <w:szCs w:val="16"/>
                <w:lang w:val="en-US"/>
              </w:rPr>
              <w:t>546</w:t>
            </w:r>
          </w:p>
        </w:tc>
        <w:tc>
          <w:tcPr>
            <w:tcW w:w="1105" w:type="pct"/>
            <w:shd w:val="clear" w:color="auto" w:fill="auto"/>
            <w:vAlign w:val="center"/>
          </w:tcPr>
          <w:p w:rsidR="00B96F3E" w:rsidRDefault="00B96F3E" w:rsidP="00E37750">
            <w:pPr>
              <w:keepNext/>
              <w:jc w:val="center"/>
              <w:rPr>
                <w:rFonts w:ascii="Arial Narrow" w:hAnsi="Arial Narrow"/>
                <w:sz w:val="20"/>
                <w:szCs w:val="16"/>
                <w:lang w:val="en-US"/>
              </w:rPr>
            </w:pPr>
            <w:r>
              <w:rPr>
                <w:rFonts w:ascii="Arial Narrow" w:hAnsi="Arial Narrow"/>
                <w:sz w:val="20"/>
                <w:szCs w:val="16"/>
                <w:lang w:val="en-US"/>
              </w:rPr>
              <w:t>R, DB</w:t>
            </w:r>
          </w:p>
          <w:p w:rsidR="00B96F3E" w:rsidRPr="00E2771E" w:rsidRDefault="00B96F3E" w:rsidP="00E37750">
            <w:pPr>
              <w:keepNext/>
              <w:jc w:val="center"/>
              <w:rPr>
                <w:rFonts w:ascii="Arial Narrow" w:hAnsi="Arial Narrow"/>
                <w:sz w:val="20"/>
                <w:szCs w:val="16"/>
                <w:lang w:val="en-US"/>
              </w:rPr>
            </w:pPr>
            <w:r>
              <w:rPr>
                <w:rFonts w:ascii="Arial Narrow" w:hAnsi="Arial Narrow"/>
                <w:sz w:val="20"/>
                <w:szCs w:val="16"/>
                <w:lang w:val="en-US"/>
              </w:rPr>
              <w:t>12 weeks of treatment</w:t>
            </w:r>
          </w:p>
        </w:tc>
        <w:tc>
          <w:tcPr>
            <w:tcW w:w="594" w:type="pct"/>
            <w:shd w:val="clear" w:color="auto" w:fill="auto"/>
            <w:vAlign w:val="center"/>
          </w:tcPr>
          <w:p w:rsidR="00B96F3E" w:rsidRPr="00E2771E" w:rsidRDefault="00B96F3E" w:rsidP="00E37750">
            <w:pPr>
              <w:keepNext/>
              <w:jc w:val="center"/>
              <w:rPr>
                <w:rFonts w:ascii="Arial Narrow" w:hAnsi="Arial Narrow"/>
                <w:sz w:val="20"/>
                <w:szCs w:val="16"/>
                <w:lang w:val="en-US"/>
              </w:rPr>
            </w:pPr>
            <w:r>
              <w:rPr>
                <w:rFonts w:ascii="Arial Narrow" w:hAnsi="Arial Narrow"/>
                <w:sz w:val="20"/>
                <w:szCs w:val="16"/>
                <w:lang w:val="en-US"/>
              </w:rPr>
              <w:t>Low</w:t>
            </w:r>
          </w:p>
        </w:tc>
        <w:tc>
          <w:tcPr>
            <w:tcW w:w="849" w:type="pct"/>
            <w:shd w:val="clear" w:color="auto" w:fill="auto"/>
            <w:vAlign w:val="center"/>
          </w:tcPr>
          <w:p w:rsidR="00B96F3E" w:rsidRPr="00E2771E" w:rsidRDefault="00B96F3E" w:rsidP="00E37750">
            <w:pPr>
              <w:keepNext/>
              <w:jc w:val="center"/>
              <w:rPr>
                <w:rFonts w:ascii="Arial Narrow" w:hAnsi="Arial Narrow"/>
                <w:sz w:val="20"/>
                <w:szCs w:val="16"/>
                <w:lang w:val="en-US"/>
              </w:rPr>
            </w:pPr>
            <w:r>
              <w:rPr>
                <w:rFonts w:ascii="Arial Narrow" w:hAnsi="Arial Narrow"/>
                <w:sz w:val="20"/>
                <w:szCs w:val="16"/>
                <w:lang w:val="en-US"/>
              </w:rPr>
              <w:t>Adult patients with intractable POS</w:t>
            </w:r>
          </w:p>
        </w:tc>
        <w:tc>
          <w:tcPr>
            <w:tcW w:w="1349" w:type="pct"/>
            <w:shd w:val="clear" w:color="auto" w:fill="auto"/>
            <w:vAlign w:val="center"/>
          </w:tcPr>
          <w:p w:rsidR="00B96F3E" w:rsidRPr="00E2771E" w:rsidRDefault="00B96F3E" w:rsidP="00E37750">
            <w:pPr>
              <w:keepNext/>
              <w:jc w:val="center"/>
              <w:rPr>
                <w:rFonts w:ascii="Arial Narrow" w:hAnsi="Arial Narrow"/>
                <w:sz w:val="20"/>
                <w:szCs w:val="16"/>
                <w:lang w:val="en-US"/>
              </w:rPr>
            </w:pPr>
            <w:r>
              <w:rPr>
                <w:rFonts w:ascii="Arial Narrow" w:hAnsi="Arial Narrow"/>
                <w:sz w:val="20"/>
                <w:szCs w:val="16"/>
                <w:lang w:val="en-US"/>
              </w:rPr>
              <w:t>Same as SP667</w:t>
            </w:r>
          </w:p>
        </w:tc>
      </w:tr>
      <w:tr w:rsidR="00B96F3E" w:rsidRPr="00E2771E" w:rsidTr="00460562">
        <w:tc>
          <w:tcPr>
            <w:tcW w:w="5000" w:type="pct"/>
            <w:gridSpan w:val="6"/>
            <w:shd w:val="clear" w:color="auto" w:fill="auto"/>
            <w:vAlign w:val="center"/>
          </w:tcPr>
          <w:p w:rsidR="00B96F3E" w:rsidRPr="00F8655D" w:rsidRDefault="00B96F3E" w:rsidP="00E37750">
            <w:pPr>
              <w:keepNext/>
              <w:jc w:val="left"/>
              <w:rPr>
                <w:rFonts w:ascii="Arial Narrow" w:hAnsi="Arial Narrow"/>
                <w:b/>
                <w:sz w:val="20"/>
                <w:szCs w:val="16"/>
                <w:lang w:val="en-US"/>
              </w:rPr>
            </w:pPr>
            <w:proofErr w:type="spellStart"/>
            <w:r w:rsidRPr="00F8655D">
              <w:rPr>
                <w:rFonts w:ascii="Arial Narrow" w:hAnsi="Arial Narrow"/>
                <w:b/>
                <w:sz w:val="20"/>
                <w:szCs w:val="16"/>
                <w:lang w:val="en-US"/>
              </w:rPr>
              <w:t>Brivaracetam</w:t>
            </w:r>
            <w:proofErr w:type="spellEnd"/>
            <w:r w:rsidRPr="00F8655D">
              <w:rPr>
                <w:rFonts w:ascii="Arial Narrow" w:hAnsi="Arial Narrow"/>
                <w:b/>
                <w:sz w:val="20"/>
                <w:szCs w:val="16"/>
                <w:lang w:val="en-US"/>
              </w:rPr>
              <w:t xml:space="preserve"> vs. </w:t>
            </w:r>
            <w:proofErr w:type="spellStart"/>
            <w:r w:rsidRPr="00F8655D">
              <w:rPr>
                <w:rFonts w:ascii="Arial Narrow" w:hAnsi="Arial Narrow"/>
                <w:b/>
                <w:sz w:val="20"/>
                <w:szCs w:val="16"/>
                <w:lang w:val="en-US"/>
              </w:rPr>
              <w:t>lacosamide</w:t>
            </w:r>
            <w:proofErr w:type="spellEnd"/>
            <w:r w:rsidRPr="00F8655D">
              <w:rPr>
                <w:rFonts w:ascii="Arial Narrow" w:hAnsi="Arial Narrow"/>
                <w:b/>
                <w:sz w:val="20"/>
                <w:szCs w:val="16"/>
                <w:lang w:val="en-US"/>
              </w:rPr>
              <w:t xml:space="preserve"> </w:t>
            </w:r>
          </w:p>
        </w:tc>
      </w:tr>
      <w:tr w:rsidR="00B96F3E" w:rsidRPr="00E2771E" w:rsidTr="00460562">
        <w:tc>
          <w:tcPr>
            <w:tcW w:w="679" w:type="pct"/>
            <w:shd w:val="clear" w:color="auto" w:fill="auto"/>
            <w:vAlign w:val="center"/>
          </w:tcPr>
          <w:p w:rsidR="00B96F3E" w:rsidRPr="00E2771E" w:rsidRDefault="00B96F3E" w:rsidP="00E37750">
            <w:pPr>
              <w:keepNext/>
              <w:jc w:val="left"/>
              <w:rPr>
                <w:rFonts w:ascii="Arial Narrow" w:hAnsi="Arial Narrow"/>
                <w:sz w:val="20"/>
                <w:szCs w:val="16"/>
                <w:lang w:val="en-US"/>
              </w:rPr>
            </w:pPr>
            <w:r>
              <w:rPr>
                <w:rFonts w:ascii="Arial Narrow" w:hAnsi="Arial Narrow"/>
                <w:sz w:val="20"/>
                <w:szCs w:val="16"/>
                <w:lang w:val="en-US"/>
              </w:rPr>
              <w:t>Indirect comparison</w:t>
            </w:r>
          </w:p>
        </w:tc>
        <w:tc>
          <w:tcPr>
            <w:tcW w:w="424" w:type="pct"/>
            <w:shd w:val="clear" w:color="auto" w:fill="auto"/>
            <w:vAlign w:val="center"/>
          </w:tcPr>
          <w:p w:rsidR="00B96F3E" w:rsidRPr="00E2771E" w:rsidRDefault="00B96F3E" w:rsidP="00E37750">
            <w:pPr>
              <w:keepNext/>
              <w:jc w:val="center"/>
              <w:rPr>
                <w:rFonts w:ascii="Arial Narrow" w:hAnsi="Arial Narrow"/>
                <w:sz w:val="20"/>
                <w:szCs w:val="16"/>
                <w:lang w:val="en-US"/>
              </w:rPr>
            </w:pPr>
          </w:p>
        </w:tc>
        <w:tc>
          <w:tcPr>
            <w:tcW w:w="1105" w:type="pct"/>
            <w:shd w:val="clear" w:color="auto" w:fill="auto"/>
            <w:vAlign w:val="center"/>
          </w:tcPr>
          <w:p w:rsidR="00B96F3E" w:rsidRPr="00E2771E" w:rsidRDefault="00B96F3E" w:rsidP="00E37750">
            <w:pPr>
              <w:keepNext/>
              <w:jc w:val="center"/>
              <w:rPr>
                <w:rFonts w:ascii="Arial Narrow" w:hAnsi="Arial Narrow"/>
                <w:sz w:val="20"/>
                <w:szCs w:val="16"/>
                <w:lang w:val="en-US"/>
              </w:rPr>
            </w:pPr>
            <w:r>
              <w:rPr>
                <w:rFonts w:ascii="Arial Narrow" w:hAnsi="Arial Narrow"/>
                <w:sz w:val="20"/>
                <w:szCs w:val="16"/>
                <w:lang w:val="en-US"/>
              </w:rPr>
              <w:t>Non-</w:t>
            </w:r>
            <w:proofErr w:type="spellStart"/>
            <w:r>
              <w:rPr>
                <w:rFonts w:ascii="Arial Narrow" w:hAnsi="Arial Narrow"/>
                <w:sz w:val="20"/>
                <w:szCs w:val="16"/>
                <w:lang w:val="en-US"/>
              </w:rPr>
              <w:t>randomised</w:t>
            </w:r>
            <w:proofErr w:type="spellEnd"/>
            <w:r>
              <w:rPr>
                <w:rFonts w:ascii="Arial Narrow" w:hAnsi="Arial Narrow"/>
                <w:sz w:val="20"/>
                <w:szCs w:val="16"/>
                <w:lang w:val="en-US"/>
              </w:rPr>
              <w:t xml:space="preserve"> observational study (12-16 weeks)</w:t>
            </w:r>
          </w:p>
        </w:tc>
        <w:tc>
          <w:tcPr>
            <w:tcW w:w="594" w:type="pct"/>
            <w:shd w:val="clear" w:color="auto" w:fill="auto"/>
            <w:vAlign w:val="center"/>
          </w:tcPr>
          <w:p w:rsidR="00B96F3E" w:rsidRPr="00E2771E" w:rsidRDefault="00B96F3E" w:rsidP="00E37750">
            <w:pPr>
              <w:keepNext/>
              <w:jc w:val="center"/>
              <w:rPr>
                <w:rFonts w:ascii="Arial Narrow" w:hAnsi="Arial Narrow"/>
                <w:sz w:val="20"/>
                <w:szCs w:val="16"/>
                <w:lang w:val="en-US"/>
              </w:rPr>
            </w:pPr>
            <w:r>
              <w:rPr>
                <w:rFonts w:ascii="Arial Narrow" w:hAnsi="Arial Narrow"/>
                <w:sz w:val="20"/>
                <w:szCs w:val="16"/>
                <w:lang w:val="en-US"/>
              </w:rPr>
              <w:t>High</w:t>
            </w:r>
          </w:p>
        </w:tc>
        <w:tc>
          <w:tcPr>
            <w:tcW w:w="849" w:type="pct"/>
            <w:shd w:val="clear" w:color="auto" w:fill="auto"/>
            <w:vAlign w:val="center"/>
          </w:tcPr>
          <w:p w:rsidR="00B96F3E" w:rsidRPr="00E2771E" w:rsidRDefault="00B96F3E" w:rsidP="00E37750">
            <w:pPr>
              <w:keepNext/>
              <w:jc w:val="center"/>
              <w:rPr>
                <w:rFonts w:ascii="Arial Narrow" w:hAnsi="Arial Narrow"/>
                <w:sz w:val="20"/>
                <w:szCs w:val="16"/>
                <w:lang w:val="en-US"/>
              </w:rPr>
            </w:pPr>
            <w:r>
              <w:rPr>
                <w:rFonts w:ascii="Arial Narrow" w:hAnsi="Arial Narrow"/>
                <w:sz w:val="20"/>
                <w:szCs w:val="16"/>
                <w:lang w:val="en-US"/>
              </w:rPr>
              <w:t>Adult patients with intractable POS</w:t>
            </w:r>
          </w:p>
        </w:tc>
        <w:tc>
          <w:tcPr>
            <w:tcW w:w="1349" w:type="pct"/>
            <w:shd w:val="clear" w:color="auto" w:fill="auto"/>
            <w:vAlign w:val="center"/>
          </w:tcPr>
          <w:p w:rsidR="00B96F3E" w:rsidRPr="00E2771E" w:rsidRDefault="00B96F3E" w:rsidP="00E37750">
            <w:pPr>
              <w:keepNext/>
              <w:jc w:val="left"/>
              <w:rPr>
                <w:rFonts w:ascii="Arial Narrow" w:hAnsi="Arial Narrow"/>
                <w:sz w:val="20"/>
                <w:szCs w:val="16"/>
                <w:lang w:val="en-US"/>
              </w:rPr>
            </w:pPr>
            <w:r w:rsidRPr="00322BAB">
              <w:rPr>
                <w:rFonts w:ascii="Arial Narrow" w:hAnsi="Arial Narrow"/>
                <w:sz w:val="20"/>
              </w:rPr>
              <w:t>≥50% respon</w:t>
            </w:r>
            <w:r>
              <w:rPr>
                <w:rFonts w:ascii="Arial Narrow" w:hAnsi="Arial Narrow"/>
                <w:sz w:val="20"/>
              </w:rPr>
              <w:t>se</w:t>
            </w:r>
            <w:r w:rsidRPr="00322BAB">
              <w:rPr>
                <w:rFonts w:ascii="Arial Narrow" w:hAnsi="Arial Narrow"/>
                <w:sz w:val="20"/>
              </w:rPr>
              <w:t xml:space="preserve"> rate</w:t>
            </w:r>
            <w:r>
              <w:rPr>
                <w:rFonts w:ascii="Arial Narrow" w:hAnsi="Arial Narrow"/>
                <w:sz w:val="20"/>
              </w:rPr>
              <w:t xml:space="preserve"> and changes in POS frequency</w:t>
            </w:r>
          </w:p>
        </w:tc>
      </w:tr>
    </w:tbl>
    <w:p w:rsidR="00B96F3E" w:rsidRPr="00D13A3E" w:rsidRDefault="00B96F3E" w:rsidP="00E37750">
      <w:pPr>
        <w:pStyle w:val="TableFooter"/>
        <w:keepNext/>
        <w:ind w:firstLine="720"/>
      </w:pPr>
      <w:r w:rsidRPr="009A6831">
        <w:t>DB</w:t>
      </w:r>
      <w:r>
        <w:t xml:space="preserve"> </w:t>
      </w:r>
      <w:r w:rsidRPr="009A6831">
        <w:t>=</w:t>
      </w:r>
      <w:r>
        <w:t xml:space="preserve"> </w:t>
      </w:r>
      <w:r w:rsidRPr="009A6831">
        <w:t>double blind</w:t>
      </w:r>
      <w:r>
        <w:t>; POS = partial onset seizures</w:t>
      </w:r>
      <w:r w:rsidRPr="009A6831">
        <w:t xml:space="preserve">; </w:t>
      </w:r>
      <w:r w:rsidRPr="00D13A3E">
        <w:t>R</w:t>
      </w:r>
      <w:r>
        <w:t xml:space="preserve"> </w:t>
      </w:r>
      <w:r w:rsidRPr="00D13A3E">
        <w:t>=</w:t>
      </w:r>
      <w:r>
        <w:t xml:space="preserve"> </w:t>
      </w:r>
      <w:r w:rsidRPr="00D13A3E">
        <w:t>randomised</w:t>
      </w:r>
      <w:r>
        <w:t>.</w:t>
      </w:r>
    </w:p>
    <w:p w:rsidR="00B96F3E" w:rsidRDefault="00B96F3E" w:rsidP="00E37750">
      <w:pPr>
        <w:pStyle w:val="CaptionFootnote"/>
        <w:keepNext/>
        <w:ind w:left="720"/>
        <w:rPr>
          <w:rFonts w:ascii="Arial Narrow" w:hAnsi="Arial Narrow"/>
          <w:sz w:val="18"/>
        </w:rPr>
      </w:pPr>
      <w:r>
        <w:rPr>
          <w:rFonts w:ascii="Arial Narrow" w:hAnsi="Arial Narrow"/>
          <w:sz w:val="18"/>
        </w:rPr>
        <w:t xml:space="preserve">Note: POS </w:t>
      </w:r>
      <w:r w:rsidRPr="009242F5">
        <w:rPr>
          <w:rFonts w:ascii="Arial Narrow" w:hAnsi="Arial Narrow"/>
          <w:sz w:val="18"/>
        </w:rPr>
        <w:t xml:space="preserve">assessed in the </w:t>
      </w:r>
      <w:proofErr w:type="spellStart"/>
      <w:r w:rsidRPr="009242F5">
        <w:rPr>
          <w:rFonts w:ascii="Arial Narrow" w:hAnsi="Arial Narrow"/>
          <w:sz w:val="18"/>
        </w:rPr>
        <w:t>brivaracetam</w:t>
      </w:r>
      <w:proofErr w:type="spellEnd"/>
      <w:r w:rsidRPr="009242F5">
        <w:rPr>
          <w:rFonts w:ascii="Arial Narrow" w:hAnsi="Arial Narrow"/>
          <w:sz w:val="18"/>
        </w:rPr>
        <w:t xml:space="preserve"> and </w:t>
      </w:r>
      <w:proofErr w:type="spellStart"/>
      <w:r w:rsidRPr="009242F5">
        <w:rPr>
          <w:rFonts w:ascii="Arial Narrow" w:hAnsi="Arial Narrow"/>
          <w:sz w:val="18"/>
        </w:rPr>
        <w:t>lacosamide</w:t>
      </w:r>
      <w:proofErr w:type="spellEnd"/>
      <w:r w:rsidRPr="009242F5">
        <w:rPr>
          <w:rFonts w:ascii="Arial Narrow" w:hAnsi="Arial Narrow"/>
          <w:sz w:val="18"/>
        </w:rPr>
        <w:t xml:space="preserve"> trials were primarily Type 1 partial seizures which included simple partial seizures (no alteration of consciousness), complex partial seizures (alteration or impairment of awareness) and partial seizures evolving to secondarily generalised seizures (partial seizure with secondary generalisation; evolvement into loss of consciousness and onset of convulsions</w:t>
      </w:r>
      <w:r w:rsidR="00FD7872">
        <w:rPr>
          <w:rFonts w:ascii="Arial Narrow" w:hAnsi="Arial Narrow"/>
          <w:sz w:val="18"/>
        </w:rPr>
        <w:t>)</w:t>
      </w:r>
      <w:r>
        <w:rPr>
          <w:rFonts w:ascii="Arial Narrow" w:hAnsi="Arial Narrow"/>
          <w:sz w:val="18"/>
        </w:rPr>
        <w:t>.</w:t>
      </w:r>
    </w:p>
    <w:p w:rsidR="00E42B39" w:rsidRPr="00B13E20" w:rsidRDefault="00B13E20" w:rsidP="00B96F3E">
      <w:pPr>
        <w:pStyle w:val="CaptionFootnote"/>
        <w:ind w:left="720"/>
        <w:rPr>
          <w:rFonts w:ascii="Arial Narrow" w:hAnsi="Arial Narrow"/>
          <w:i/>
          <w:sz w:val="18"/>
        </w:rPr>
      </w:pPr>
      <w:r>
        <w:rPr>
          <w:rFonts w:ascii="Arial Narrow" w:hAnsi="Arial Narrow"/>
          <w:i/>
          <w:sz w:val="18"/>
        </w:rPr>
        <w:t>Source: C</w:t>
      </w:r>
      <w:r w:rsidR="00B96F3E" w:rsidRPr="00B13E20">
        <w:rPr>
          <w:rFonts w:ascii="Arial Narrow" w:hAnsi="Arial Narrow"/>
          <w:i/>
          <w:sz w:val="18"/>
        </w:rPr>
        <w:t>ompiled during the evaluation</w:t>
      </w:r>
    </w:p>
    <w:p w:rsidR="00B96F3E" w:rsidRPr="00B96F3E" w:rsidRDefault="00B96F3E" w:rsidP="00B96F3E">
      <w:pPr>
        <w:pStyle w:val="CaptionFootnote"/>
        <w:ind w:left="720"/>
        <w:rPr>
          <w:rFonts w:ascii="Arial Narrow" w:hAnsi="Arial Narrow"/>
          <w:sz w:val="18"/>
        </w:rPr>
      </w:pPr>
    </w:p>
    <w:p w:rsidR="00995F7D" w:rsidRPr="004235CC" w:rsidRDefault="00E42B39" w:rsidP="00102B96">
      <w:pPr>
        <w:pStyle w:val="ListParagraph"/>
        <w:widowControl/>
        <w:numPr>
          <w:ilvl w:val="1"/>
          <w:numId w:val="2"/>
        </w:numPr>
        <w:rPr>
          <w:szCs w:val="22"/>
        </w:rPr>
      </w:pPr>
      <w:r w:rsidRPr="004759CF">
        <w:rPr>
          <w:szCs w:val="22"/>
        </w:rPr>
        <w:t xml:space="preserve">There were </w:t>
      </w:r>
      <w:r w:rsidR="009242F5" w:rsidRPr="004759CF">
        <w:rPr>
          <w:szCs w:val="22"/>
        </w:rPr>
        <w:t xml:space="preserve">transitivity </w:t>
      </w:r>
      <w:r w:rsidRPr="004759CF">
        <w:rPr>
          <w:szCs w:val="22"/>
        </w:rPr>
        <w:t xml:space="preserve">concerns </w:t>
      </w:r>
      <w:r w:rsidR="009242F5" w:rsidRPr="004759CF">
        <w:rPr>
          <w:szCs w:val="22"/>
        </w:rPr>
        <w:t xml:space="preserve">between the </w:t>
      </w:r>
      <w:proofErr w:type="spellStart"/>
      <w:r w:rsidR="009242F5" w:rsidRPr="004759CF">
        <w:rPr>
          <w:szCs w:val="22"/>
        </w:rPr>
        <w:t>brivaracetam</w:t>
      </w:r>
      <w:proofErr w:type="spellEnd"/>
      <w:r w:rsidR="009242F5" w:rsidRPr="004759CF">
        <w:rPr>
          <w:szCs w:val="22"/>
        </w:rPr>
        <w:t xml:space="preserve"> and </w:t>
      </w:r>
      <w:proofErr w:type="spellStart"/>
      <w:r w:rsidR="009242F5" w:rsidRPr="004759CF">
        <w:rPr>
          <w:szCs w:val="22"/>
        </w:rPr>
        <w:t>lacosamide</w:t>
      </w:r>
      <w:proofErr w:type="spellEnd"/>
      <w:r w:rsidR="009242F5" w:rsidRPr="004759CF">
        <w:rPr>
          <w:szCs w:val="22"/>
        </w:rPr>
        <w:t xml:space="preserve"> </w:t>
      </w:r>
      <w:r w:rsidRPr="004759CF">
        <w:rPr>
          <w:szCs w:val="22"/>
        </w:rPr>
        <w:t xml:space="preserve">trials </w:t>
      </w:r>
      <w:r w:rsidR="009616C1" w:rsidRPr="004759CF">
        <w:rPr>
          <w:szCs w:val="22"/>
        </w:rPr>
        <w:t>due to</w:t>
      </w:r>
      <w:r w:rsidRPr="004759CF">
        <w:rPr>
          <w:szCs w:val="22"/>
        </w:rPr>
        <w:t xml:space="preserve"> differences</w:t>
      </w:r>
      <w:r w:rsidR="002F2359" w:rsidRPr="002F2359">
        <w:rPr>
          <w:szCs w:val="22"/>
        </w:rPr>
        <w:t xml:space="preserve"> </w:t>
      </w:r>
      <w:r w:rsidR="002F2359" w:rsidRPr="004759CF">
        <w:rPr>
          <w:szCs w:val="22"/>
        </w:rPr>
        <w:t>across the trials</w:t>
      </w:r>
      <w:r w:rsidRPr="004759CF">
        <w:rPr>
          <w:szCs w:val="22"/>
        </w:rPr>
        <w:t xml:space="preserve"> in </w:t>
      </w:r>
      <w:r w:rsidR="009242F5" w:rsidRPr="004759CF">
        <w:rPr>
          <w:szCs w:val="22"/>
        </w:rPr>
        <w:t xml:space="preserve">the common reference </w:t>
      </w:r>
      <w:r w:rsidR="002F2359">
        <w:rPr>
          <w:szCs w:val="22"/>
        </w:rPr>
        <w:t>(</w:t>
      </w:r>
      <w:r w:rsidR="009242F5" w:rsidRPr="004759CF">
        <w:rPr>
          <w:szCs w:val="22"/>
        </w:rPr>
        <w:t>placebo</w:t>
      </w:r>
      <w:r w:rsidR="002F2359">
        <w:rPr>
          <w:szCs w:val="22"/>
        </w:rPr>
        <w:t>)</w:t>
      </w:r>
      <w:r w:rsidR="009242F5" w:rsidRPr="004759CF">
        <w:rPr>
          <w:szCs w:val="22"/>
        </w:rPr>
        <w:t xml:space="preserve"> arm</w:t>
      </w:r>
      <w:r w:rsidR="002F2359">
        <w:rPr>
          <w:szCs w:val="22"/>
        </w:rPr>
        <w:t>s</w:t>
      </w:r>
      <w:r w:rsidR="009242F5" w:rsidRPr="004759CF">
        <w:rPr>
          <w:szCs w:val="22"/>
        </w:rPr>
        <w:t xml:space="preserve"> in terms of seizure </w:t>
      </w:r>
      <w:r w:rsidRPr="004759CF">
        <w:rPr>
          <w:szCs w:val="22"/>
        </w:rPr>
        <w:t>type</w:t>
      </w:r>
      <w:r w:rsidR="009242F5" w:rsidRPr="004759CF">
        <w:rPr>
          <w:szCs w:val="22"/>
        </w:rPr>
        <w:t>s</w:t>
      </w:r>
      <w:r w:rsidRPr="004759CF">
        <w:rPr>
          <w:szCs w:val="22"/>
        </w:rPr>
        <w:t xml:space="preserve">, </w:t>
      </w:r>
      <w:r w:rsidR="00AA30F6">
        <w:rPr>
          <w:szCs w:val="22"/>
        </w:rPr>
        <w:t xml:space="preserve">and </w:t>
      </w:r>
      <w:r w:rsidRPr="004759CF">
        <w:rPr>
          <w:szCs w:val="22"/>
        </w:rPr>
        <w:t>the number</w:t>
      </w:r>
      <w:r w:rsidR="009242F5" w:rsidRPr="004759CF">
        <w:rPr>
          <w:szCs w:val="22"/>
        </w:rPr>
        <w:t xml:space="preserve"> and types </w:t>
      </w:r>
      <w:r w:rsidRPr="004759CF">
        <w:rPr>
          <w:szCs w:val="22"/>
        </w:rPr>
        <w:t>of concomitant AEDs</w:t>
      </w:r>
      <w:r w:rsidR="00BC7036" w:rsidRPr="004759CF">
        <w:rPr>
          <w:szCs w:val="22"/>
        </w:rPr>
        <w:t xml:space="preserve">. </w:t>
      </w:r>
      <w:r w:rsidR="00BD2B68" w:rsidRPr="00006C26">
        <w:rPr>
          <w:szCs w:val="22"/>
        </w:rPr>
        <w:t xml:space="preserve">The ESC noted the trial populations in the indirect comparison were not well matched. It was noted that the </w:t>
      </w:r>
      <w:proofErr w:type="spellStart"/>
      <w:r w:rsidR="00BD2B68" w:rsidRPr="00006C26">
        <w:rPr>
          <w:szCs w:val="22"/>
        </w:rPr>
        <w:t>lacosamide</w:t>
      </w:r>
      <w:proofErr w:type="spellEnd"/>
      <w:r w:rsidR="00A82943" w:rsidRPr="00006C26">
        <w:rPr>
          <w:szCs w:val="22"/>
        </w:rPr>
        <w:t xml:space="preserve"> trial</w:t>
      </w:r>
      <w:r w:rsidR="00BD2B68" w:rsidRPr="00006C26">
        <w:rPr>
          <w:szCs w:val="22"/>
        </w:rPr>
        <w:t xml:space="preserve"> population</w:t>
      </w:r>
      <w:r w:rsidR="002F2359">
        <w:rPr>
          <w:szCs w:val="22"/>
        </w:rPr>
        <w:t>s</w:t>
      </w:r>
      <w:r w:rsidR="00BD2B68" w:rsidRPr="00006C26">
        <w:rPr>
          <w:szCs w:val="22"/>
        </w:rPr>
        <w:t xml:space="preserve"> appeared to </w:t>
      </w:r>
      <w:r w:rsidR="00A82943" w:rsidRPr="00006C26">
        <w:rPr>
          <w:szCs w:val="22"/>
        </w:rPr>
        <w:t xml:space="preserve">be </w:t>
      </w:r>
      <w:r w:rsidR="00BD2B68" w:rsidRPr="00006C26">
        <w:rPr>
          <w:szCs w:val="22"/>
        </w:rPr>
        <w:t xml:space="preserve">more refractory to treatment with other AEDs, </w:t>
      </w:r>
      <w:r w:rsidR="00A82943" w:rsidRPr="00006C26">
        <w:rPr>
          <w:szCs w:val="22"/>
        </w:rPr>
        <w:t xml:space="preserve">compared with the </w:t>
      </w:r>
      <w:proofErr w:type="spellStart"/>
      <w:r w:rsidR="00A82943" w:rsidRPr="00006C26">
        <w:rPr>
          <w:szCs w:val="22"/>
        </w:rPr>
        <w:t>brivaracetam</w:t>
      </w:r>
      <w:proofErr w:type="spellEnd"/>
      <w:r w:rsidR="00A82943" w:rsidRPr="00006C26">
        <w:rPr>
          <w:szCs w:val="22"/>
        </w:rPr>
        <w:t xml:space="preserve"> trial population</w:t>
      </w:r>
      <w:r w:rsidR="002F2359">
        <w:rPr>
          <w:szCs w:val="22"/>
        </w:rPr>
        <w:t>s</w:t>
      </w:r>
      <w:r w:rsidR="00A82943" w:rsidRPr="00006C26">
        <w:rPr>
          <w:szCs w:val="22"/>
        </w:rPr>
        <w:t>.</w:t>
      </w:r>
      <w:r w:rsidR="009F0B8E">
        <w:rPr>
          <w:szCs w:val="22"/>
        </w:rPr>
        <w:t xml:space="preserve"> </w:t>
      </w:r>
      <w:r w:rsidR="00587FC6">
        <w:rPr>
          <w:szCs w:val="22"/>
        </w:rPr>
        <w:t xml:space="preserve">The PBAC further noted that the </w:t>
      </w:r>
      <w:proofErr w:type="spellStart"/>
      <w:r w:rsidR="00587FC6">
        <w:rPr>
          <w:szCs w:val="22"/>
        </w:rPr>
        <w:t>lacosamide</w:t>
      </w:r>
      <w:proofErr w:type="spellEnd"/>
      <w:r w:rsidR="00587FC6">
        <w:rPr>
          <w:szCs w:val="22"/>
        </w:rPr>
        <w:t xml:space="preserve"> trials in the current submission were </w:t>
      </w:r>
      <w:r w:rsidR="00587FC6" w:rsidRPr="004235CC">
        <w:rPr>
          <w:szCs w:val="22"/>
        </w:rPr>
        <w:t xml:space="preserve">the same as included in the November 2009 </w:t>
      </w:r>
      <w:proofErr w:type="spellStart"/>
      <w:r w:rsidR="00587FC6" w:rsidRPr="004235CC">
        <w:rPr>
          <w:szCs w:val="22"/>
        </w:rPr>
        <w:t>lacosamide</w:t>
      </w:r>
      <w:proofErr w:type="spellEnd"/>
      <w:r w:rsidR="00587FC6" w:rsidRPr="004235CC">
        <w:rPr>
          <w:szCs w:val="22"/>
        </w:rPr>
        <w:t xml:space="preserve"> PBAC submission, and the PBS listing </w:t>
      </w:r>
      <w:r w:rsidR="00587FC6">
        <w:rPr>
          <w:szCs w:val="22"/>
        </w:rPr>
        <w:t xml:space="preserve">for </w:t>
      </w:r>
      <w:proofErr w:type="spellStart"/>
      <w:r w:rsidR="00587FC6">
        <w:rPr>
          <w:szCs w:val="22"/>
        </w:rPr>
        <w:t>lacosamide</w:t>
      </w:r>
      <w:proofErr w:type="spellEnd"/>
      <w:r w:rsidR="00587FC6">
        <w:rPr>
          <w:szCs w:val="22"/>
        </w:rPr>
        <w:t xml:space="preserve"> in refractory patients </w:t>
      </w:r>
      <w:r w:rsidR="00587FC6" w:rsidRPr="004235CC">
        <w:rPr>
          <w:szCs w:val="22"/>
        </w:rPr>
        <w:t>reflects</w:t>
      </w:r>
      <w:r w:rsidR="00587FC6">
        <w:rPr>
          <w:szCs w:val="22"/>
        </w:rPr>
        <w:t>, at least in part,</w:t>
      </w:r>
      <w:r w:rsidR="00587FC6" w:rsidRPr="004235CC">
        <w:rPr>
          <w:szCs w:val="22"/>
        </w:rPr>
        <w:t xml:space="preserve"> that </w:t>
      </w:r>
      <w:proofErr w:type="spellStart"/>
      <w:r w:rsidR="00587FC6" w:rsidRPr="004235CC">
        <w:rPr>
          <w:szCs w:val="22"/>
        </w:rPr>
        <w:t>lacosamide</w:t>
      </w:r>
      <w:proofErr w:type="spellEnd"/>
      <w:r w:rsidR="00587FC6" w:rsidRPr="004235CC">
        <w:rPr>
          <w:szCs w:val="22"/>
        </w:rPr>
        <w:t xml:space="preserve"> appears to be effective in heavily </w:t>
      </w:r>
      <w:r w:rsidR="00587FC6">
        <w:rPr>
          <w:szCs w:val="22"/>
        </w:rPr>
        <w:t>pre-</w:t>
      </w:r>
      <w:r w:rsidR="00587FC6" w:rsidRPr="004235CC">
        <w:rPr>
          <w:szCs w:val="22"/>
        </w:rPr>
        <w:t xml:space="preserve">treated patients </w:t>
      </w:r>
      <w:r w:rsidR="00587FC6">
        <w:rPr>
          <w:szCs w:val="22"/>
        </w:rPr>
        <w:t>(</w:t>
      </w:r>
      <w:r w:rsidR="00587FC6" w:rsidRPr="00D41F8F">
        <w:rPr>
          <w:szCs w:val="22"/>
        </w:rPr>
        <w:t xml:space="preserve">Public Summary Document, </w:t>
      </w:r>
      <w:proofErr w:type="spellStart"/>
      <w:r w:rsidR="00587FC6" w:rsidRPr="00D41F8F">
        <w:rPr>
          <w:szCs w:val="22"/>
        </w:rPr>
        <w:t>lacosamide</w:t>
      </w:r>
      <w:proofErr w:type="spellEnd"/>
      <w:r w:rsidR="00587FC6" w:rsidRPr="00D41F8F">
        <w:rPr>
          <w:szCs w:val="22"/>
        </w:rPr>
        <w:t xml:space="preserve"> November 2009).</w:t>
      </w:r>
      <w:r w:rsidR="00587FC6" w:rsidRPr="004235CC">
        <w:rPr>
          <w:szCs w:val="22"/>
        </w:rPr>
        <w:t xml:space="preserve"> </w:t>
      </w:r>
      <w:r w:rsidR="00587FC6">
        <w:rPr>
          <w:szCs w:val="22"/>
        </w:rPr>
        <w:t>Data for</w:t>
      </w:r>
      <w:r w:rsidR="00587FC6" w:rsidRPr="004235CC">
        <w:rPr>
          <w:szCs w:val="22"/>
        </w:rPr>
        <w:t xml:space="preserve"> </w:t>
      </w:r>
      <w:r w:rsidR="00587FC6">
        <w:rPr>
          <w:szCs w:val="22"/>
        </w:rPr>
        <w:t>equivalently pre-treated patients were not presented</w:t>
      </w:r>
      <w:r w:rsidR="00587FC6" w:rsidRPr="004235CC">
        <w:rPr>
          <w:szCs w:val="22"/>
        </w:rPr>
        <w:t xml:space="preserve"> for </w:t>
      </w:r>
      <w:proofErr w:type="spellStart"/>
      <w:r w:rsidR="00587FC6" w:rsidRPr="004235CC">
        <w:rPr>
          <w:szCs w:val="22"/>
        </w:rPr>
        <w:t>brivaracetam</w:t>
      </w:r>
      <w:proofErr w:type="spellEnd"/>
      <w:r w:rsidR="00587FC6" w:rsidRPr="004235CC">
        <w:rPr>
          <w:szCs w:val="22"/>
        </w:rPr>
        <w:t>.</w:t>
      </w:r>
    </w:p>
    <w:p w:rsidR="007A258D" w:rsidRDefault="007A258D">
      <w:pPr>
        <w:widowControl/>
        <w:jc w:val="left"/>
        <w:rPr>
          <w:b/>
          <w:i/>
        </w:rPr>
      </w:pPr>
      <w:bookmarkStart w:id="15" w:name="_Toc413139278"/>
      <w:bookmarkStart w:id="16" w:name="_Toc450135177"/>
    </w:p>
    <w:p w:rsidR="00E42B39" w:rsidRPr="00FA1EDF" w:rsidRDefault="00E42B39" w:rsidP="00944D88">
      <w:pPr>
        <w:pStyle w:val="Heading3"/>
      </w:pPr>
      <w:r w:rsidRPr="00FA1EDF">
        <w:t>Comparative effectiveness</w:t>
      </w:r>
      <w:bookmarkEnd w:id="15"/>
      <w:bookmarkEnd w:id="16"/>
    </w:p>
    <w:p w:rsidR="00E42B39" w:rsidRPr="00882085" w:rsidRDefault="00E42B39" w:rsidP="00E42B39">
      <w:pPr>
        <w:rPr>
          <w:szCs w:val="22"/>
        </w:rPr>
      </w:pPr>
    </w:p>
    <w:p w:rsidR="00E42B39" w:rsidRPr="00995F7D" w:rsidRDefault="00995F7D" w:rsidP="005E4448">
      <w:pPr>
        <w:pStyle w:val="ListParagraph"/>
        <w:widowControl/>
        <w:numPr>
          <w:ilvl w:val="1"/>
          <w:numId w:val="2"/>
        </w:numPr>
      </w:pPr>
      <w:r w:rsidRPr="00995F7D">
        <w:rPr>
          <w:szCs w:val="22"/>
        </w:rPr>
        <w:t xml:space="preserve">The submission presented meta-analyses of the </w:t>
      </w:r>
      <w:proofErr w:type="spellStart"/>
      <w:r w:rsidRPr="00995F7D">
        <w:rPr>
          <w:szCs w:val="22"/>
        </w:rPr>
        <w:t>brivaracetam</w:t>
      </w:r>
      <w:proofErr w:type="spellEnd"/>
      <w:r w:rsidRPr="00995F7D">
        <w:rPr>
          <w:szCs w:val="22"/>
        </w:rPr>
        <w:t xml:space="preserve"> versus placebo trials and of the </w:t>
      </w:r>
      <w:proofErr w:type="spellStart"/>
      <w:r w:rsidRPr="00995F7D">
        <w:rPr>
          <w:szCs w:val="22"/>
        </w:rPr>
        <w:t>lacosamide</w:t>
      </w:r>
      <w:proofErr w:type="spellEnd"/>
      <w:r w:rsidRPr="00995F7D">
        <w:rPr>
          <w:szCs w:val="22"/>
        </w:rPr>
        <w:t xml:space="preserve"> versus placebo trials</w:t>
      </w:r>
      <w:r w:rsidR="00FA1EDF">
        <w:rPr>
          <w:szCs w:val="22"/>
        </w:rPr>
        <w:t xml:space="preserve">. An </w:t>
      </w:r>
      <w:r w:rsidRPr="00995F7D">
        <w:rPr>
          <w:szCs w:val="22"/>
        </w:rPr>
        <w:t>indirect comparison of the meta-analysed results</w:t>
      </w:r>
      <w:r w:rsidR="00FA1EDF">
        <w:rPr>
          <w:szCs w:val="22"/>
        </w:rPr>
        <w:t xml:space="preserve"> was undertaken</w:t>
      </w:r>
      <w:r w:rsidRPr="00995F7D">
        <w:rPr>
          <w:szCs w:val="22"/>
        </w:rPr>
        <w:t xml:space="preserve"> using placebo as the common reference. </w:t>
      </w:r>
      <w:r w:rsidR="00014CC6">
        <w:rPr>
          <w:szCs w:val="22"/>
        </w:rPr>
        <w:t xml:space="preserve">These analyses were based on the intention-to-treat (ITT) or modified ITT populations of the key trials. </w:t>
      </w:r>
      <w:r w:rsidRPr="00995F7D">
        <w:rPr>
          <w:szCs w:val="22"/>
        </w:rPr>
        <w:t>The three outcomes of interest were: ≥50% responder rate (Table 3), change in seizure frequency (Table 4) and seizure freedom (Table 5).</w:t>
      </w:r>
    </w:p>
    <w:p w:rsidR="00E42B39" w:rsidRDefault="00E42B39" w:rsidP="00E42B39">
      <w:pPr>
        <w:pStyle w:val="ListParagraph"/>
        <w:widowControl/>
      </w:pPr>
    </w:p>
    <w:p w:rsidR="00E42B39" w:rsidRDefault="00984563" w:rsidP="00E42B39">
      <w:pPr>
        <w:pStyle w:val="TableHeader"/>
        <w:ind w:left="720"/>
      </w:pPr>
      <w:r>
        <w:t>Table 3</w:t>
      </w:r>
      <w:r w:rsidR="00E42B39">
        <w:t xml:space="preserve">: </w:t>
      </w:r>
      <w:r w:rsidR="00E42B39" w:rsidRPr="0063779A">
        <w:t xml:space="preserve">Indirect comparison between </w:t>
      </w:r>
      <w:proofErr w:type="spellStart"/>
      <w:r w:rsidR="00E42B39" w:rsidRPr="0063779A">
        <w:t>brivaracetam</w:t>
      </w:r>
      <w:proofErr w:type="spellEnd"/>
      <w:r w:rsidR="00E42B39" w:rsidRPr="0063779A">
        <w:t xml:space="preserve"> and </w:t>
      </w:r>
      <w:proofErr w:type="spellStart"/>
      <w:r w:rsidR="00E42B39" w:rsidRPr="0063779A">
        <w:t>lacosamide</w:t>
      </w:r>
      <w:proofErr w:type="spellEnd"/>
      <w:r w:rsidR="00E42B39" w:rsidRPr="0063779A">
        <w:t xml:space="preserve"> to achieve ≥50% reduction i</w:t>
      </w:r>
      <w:r w:rsidR="009616C1">
        <w:t xml:space="preserve">n </w:t>
      </w:r>
      <w:r w:rsidR="006E2C7C">
        <w:t xml:space="preserve">POS </w:t>
      </w:r>
      <w:r w:rsidR="009616C1">
        <w:t>frequency per 28 days</w:t>
      </w:r>
    </w:p>
    <w:tbl>
      <w:tblPr>
        <w:tblStyle w:val="TableGrid0"/>
        <w:tblW w:w="4599" w:type="pct"/>
        <w:tblInd w:w="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115" w:type="dxa"/>
        </w:tblCellMar>
        <w:tblLook w:val="04A0" w:firstRow="1" w:lastRow="0" w:firstColumn="1" w:lastColumn="0" w:noHBand="0" w:noVBand="1"/>
      </w:tblPr>
      <w:tblGrid>
        <w:gridCol w:w="1834"/>
        <w:gridCol w:w="2675"/>
        <w:gridCol w:w="1819"/>
        <w:gridCol w:w="2084"/>
      </w:tblGrid>
      <w:tr w:rsidR="0022201B" w:rsidRPr="0063779A" w:rsidTr="0022201B">
        <w:trPr>
          <w:trHeight w:val="20"/>
        </w:trPr>
        <w:tc>
          <w:tcPr>
            <w:tcW w:w="1090" w:type="pct"/>
            <w:vMerge w:val="restart"/>
            <w:shd w:val="clear" w:color="auto" w:fill="auto"/>
          </w:tcPr>
          <w:p w:rsidR="0022201B" w:rsidRPr="0063779A" w:rsidRDefault="0022201B" w:rsidP="00E42B39">
            <w:pPr>
              <w:pStyle w:val="Table"/>
              <w:rPr>
                <w:rStyle w:val="SmallBold"/>
                <w:rFonts w:ascii="Arial Narrow" w:hAnsi="Arial Narrow"/>
                <w:szCs w:val="20"/>
              </w:rPr>
            </w:pPr>
            <w:proofErr w:type="spellStart"/>
            <w:r w:rsidRPr="0063779A">
              <w:rPr>
                <w:rStyle w:val="SmallBold"/>
                <w:rFonts w:ascii="Arial Narrow" w:hAnsi="Arial Narrow"/>
                <w:szCs w:val="20"/>
              </w:rPr>
              <w:t>Brivaracetam</w:t>
            </w:r>
            <w:proofErr w:type="spellEnd"/>
            <w:r w:rsidRPr="0063779A">
              <w:rPr>
                <w:rStyle w:val="SmallBold"/>
                <w:rFonts w:ascii="Arial Narrow" w:hAnsi="Arial Narrow"/>
                <w:szCs w:val="20"/>
              </w:rPr>
              <w:t xml:space="preserve"> dose </w:t>
            </w:r>
          </w:p>
        </w:tc>
        <w:tc>
          <w:tcPr>
            <w:tcW w:w="1590" w:type="pct"/>
            <w:vMerge w:val="restart"/>
            <w:shd w:val="clear" w:color="auto" w:fill="auto"/>
          </w:tcPr>
          <w:p w:rsidR="0022201B" w:rsidRPr="0063779A" w:rsidRDefault="0022201B" w:rsidP="00E42B39">
            <w:pPr>
              <w:pStyle w:val="TableCentre"/>
              <w:rPr>
                <w:rStyle w:val="SmallBold"/>
                <w:rFonts w:ascii="Arial Narrow" w:hAnsi="Arial Narrow"/>
                <w:szCs w:val="20"/>
              </w:rPr>
            </w:pPr>
            <w:proofErr w:type="spellStart"/>
            <w:r w:rsidRPr="0063779A">
              <w:rPr>
                <w:rStyle w:val="SmallBold"/>
                <w:rFonts w:ascii="Arial Narrow" w:hAnsi="Arial Narrow"/>
                <w:szCs w:val="20"/>
              </w:rPr>
              <w:t>Lacosamide</w:t>
            </w:r>
            <w:proofErr w:type="spellEnd"/>
            <w:r w:rsidRPr="0063779A">
              <w:rPr>
                <w:rStyle w:val="SmallBold"/>
                <w:rFonts w:ascii="Arial Narrow" w:hAnsi="Arial Narrow"/>
                <w:szCs w:val="20"/>
              </w:rPr>
              <w:t xml:space="preserve"> dose  </w:t>
            </w:r>
          </w:p>
        </w:tc>
        <w:tc>
          <w:tcPr>
            <w:tcW w:w="2320" w:type="pct"/>
            <w:gridSpan w:val="2"/>
            <w:shd w:val="clear" w:color="auto" w:fill="auto"/>
          </w:tcPr>
          <w:p w:rsidR="0022201B" w:rsidRDefault="0022201B" w:rsidP="00C810CC">
            <w:pPr>
              <w:pStyle w:val="TableCentre"/>
              <w:rPr>
                <w:rStyle w:val="SmallBold"/>
                <w:rFonts w:ascii="Arial Narrow" w:hAnsi="Arial Narrow"/>
                <w:szCs w:val="20"/>
              </w:rPr>
            </w:pPr>
            <w:r w:rsidRPr="0063779A">
              <w:rPr>
                <w:rStyle w:val="SmallBold"/>
                <w:rFonts w:ascii="Arial Narrow" w:hAnsi="Arial Narrow"/>
                <w:szCs w:val="20"/>
              </w:rPr>
              <w:t xml:space="preserve">Difference </w:t>
            </w:r>
            <w:r>
              <w:rPr>
                <w:rStyle w:val="SmallBold"/>
                <w:rFonts w:ascii="Arial Narrow" w:hAnsi="Arial Narrow"/>
                <w:szCs w:val="20"/>
              </w:rPr>
              <w:t>in percentages</w:t>
            </w:r>
          </w:p>
          <w:p w:rsidR="0022201B" w:rsidRPr="0063779A" w:rsidRDefault="0022201B" w:rsidP="00C810CC">
            <w:pPr>
              <w:pStyle w:val="TableCentre"/>
              <w:rPr>
                <w:rStyle w:val="SmallBold"/>
                <w:rFonts w:ascii="Arial Narrow" w:hAnsi="Arial Narrow"/>
                <w:szCs w:val="20"/>
              </w:rPr>
            </w:pPr>
            <w:proofErr w:type="spellStart"/>
            <w:r w:rsidRPr="0063779A">
              <w:rPr>
                <w:rStyle w:val="SmallBold"/>
                <w:rFonts w:ascii="Arial Narrow" w:hAnsi="Arial Narrow"/>
                <w:szCs w:val="20"/>
              </w:rPr>
              <w:t>Brivaracetam</w:t>
            </w:r>
            <w:proofErr w:type="spellEnd"/>
            <w:r w:rsidRPr="0063779A">
              <w:rPr>
                <w:rStyle w:val="SmallBold"/>
                <w:rFonts w:ascii="Arial Narrow" w:hAnsi="Arial Narrow"/>
                <w:szCs w:val="20"/>
              </w:rPr>
              <w:t xml:space="preserve"> </w:t>
            </w:r>
            <w:r w:rsidRPr="0063779A">
              <w:rPr>
                <w:rStyle w:val="SmallBold"/>
                <w:rFonts w:ascii="Cambria Math" w:hAnsi="Cambria Math" w:cs="Cambria Math"/>
                <w:szCs w:val="20"/>
              </w:rPr>
              <w:t>‐</w:t>
            </w:r>
            <w:r w:rsidRPr="0063779A">
              <w:rPr>
                <w:rStyle w:val="SmallBold"/>
                <w:rFonts w:ascii="Arial Narrow" w:hAnsi="Arial Narrow"/>
                <w:szCs w:val="20"/>
              </w:rPr>
              <w:t xml:space="preserve"> </w:t>
            </w:r>
            <w:proofErr w:type="spellStart"/>
            <w:r w:rsidRPr="0063779A">
              <w:rPr>
                <w:rStyle w:val="SmallBold"/>
                <w:rFonts w:ascii="Arial Narrow" w:hAnsi="Arial Narrow"/>
                <w:szCs w:val="20"/>
              </w:rPr>
              <w:t>Lacosamide</w:t>
            </w:r>
            <w:proofErr w:type="spellEnd"/>
            <w:r w:rsidRPr="0063779A">
              <w:rPr>
                <w:rStyle w:val="SmallBold"/>
                <w:rFonts w:ascii="Arial Narrow" w:hAnsi="Arial Narrow"/>
                <w:szCs w:val="20"/>
              </w:rPr>
              <w:t xml:space="preserve"> </w:t>
            </w:r>
          </w:p>
        </w:tc>
      </w:tr>
      <w:tr w:rsidR="0022201B" w:rsidRPr="0063779A" w:rsidTr="0022201B">
        <w:trPr>
          <w:trHeight w:val="20"/>
        </w:trPr>
        <w:tc>
          <w:tcPr>
            <w:tcW w:w="1090" w:type="pct"/>
            <w:vMerge/>
            <w:tcBorders>
              <w:bottom w:val="single" w:sz="4" w:space="0" w:color="auto"/>
            </w:tcBorders>
            <w:shd w:val="clear" w:color="auto" w:fill="auto"/>
          </w:tcPr>
          <w:p w:rsidR="0022201B" w:rsidRPr="0063779A" w:rsidRDefault="0022201B" w:rsidP="00E42B39">
            <w:pPr>
              <w:pStyle w:val="Table"/>
              <w:rPr>
                <w:rStyle w:val="SmallBold"/>
                <w:rFonts w:ascii="Arial Narrow" w:hAnsi="Arial Narrow"/>
                <w:szCs w:val="20"/>
              </w:rPr>
            </w:pPr>
          </w:p>
        </w:tc>
        <w:tc>
          <w:tcPr>
            <w:tcW w:w="1590" w:type="pct"/>
            <w:vMerge/>
            <w:tcBorders>
              <w:bottom w:val="single" w:sz="4" w:space="0" w:color="auto"/>
            </w:tcBorders>
            <w:shd w:val="clear" w:color="auto" w:fill="auto"/>
          </w:tcPr>
          <w:p w:rsidR="0022201B" w:rsidRPr="0063779A" w:rsidRDefault="0022201B" w:rsidP="00E42B39">
            <w:pPr>
              <w:pStyle w:val="TableCentre"/>
              <w:rPr>
                <w:rStyle w:val="SmallBold"/>
                <w:rFonts w:ascii="Arial Narrow" w:hAnsi="Arial Narrow"/>
                <w:szCs w:val="20"/>
              </w:rPr>
            </w:pPr>
          </w:p>
        </w:tc>
        <w:tc>
          <w:tcPr>
            <w:tcW w:w="1081" w:type="pct"/>
            <w:tcBorders>
              <w:bottom w:val="single" w:sz="4" w:space="0" w:color="auto"/>
            </w:tcBorders>
            <w:shd w:val="clear" w:color="auto" w:fill="auto"/>
          </w:tcPr>
          <w:p w:rsidR="0022201B" w:rsidRPr="0063779A" w:rsidRDefault="0022201B" w:rsidP="00E42B39">
            <w:pPr>
              <w:pStyle w:val="TableCentre"/>
              <w:rPr>
                <w:rStyle w:val="SmallBold"/>
                <w:rFonts w:ascii="Arial Narrow" w:hAnsi="Arial Narrow"/>
                <w:szCs w:val="20"/>
              </w:rPr>
            </w:pPr>
            <w:r w:rsidRPr="0063779A">
              <w:rPr>
                <w:rStyle w:val="SmallBold"/>
                <w:rFonts w:ascii="Arial Narrow" w:hAnsi="Arial Narrow"/>
                <w:szCs w:val="20"/>
              </w:rPr>
              <w:t>Estimate</w:t>
            </w:r>
          </w:p>
        </w:tc>
        <w:tc>
          <w:tcPr>
            <w:tcW w:w="1239" w:type="pct"/>
            <w:tcBorders>
              <w:bottom w:val="single" w:sz="4" w:space="0" w:color="auto"/>
            </w:tcBorders>
            <w:shd w:val="clear" w:color="auto" w:fill="auto"/>
          </w:tcPr>
          <w:p w:rsidR="0022201B" w:rsidRPr="0063779A" w:rsidRDefault="0022201B" w:rsidP="00E42B39">
            <w:pPr>
              <w:pStyle w:val="TableCentre"/>
              <w:rPr>
                <w:rStyle w:val="SmallBold"/>
                <w:rFonts w:ascii="Arial Narrow" w:hAnsi="Arial Narrow"/>
                <w:szCs w:val="20"/>
              </w:rPr>
            </w:pPr>
            <w:r w:rsidRPr="0063779A">
              <w:rPr>
                <w:rStyle w:val="SmallBold"/>
                <w:rFonts w:ascii="Arial Narrow" w:hAnsi="Arial Narrow"/>
                <w:szCs w:val="20"/>
              </w:rPr>
              <w:t xml:space="preserve">95% confidence interval </w:t>
            </w:r>
          </w:p>
        </w:tc>
      </w:tr>
      <w:tr w:rsidR="00E42B39" w:rsidRPr="0063779A" w:rsidDel="004C5E0B" w:rsidTr="0022201B">
        <w:trPr>
          <w:trHeight w:val="20"/>
        </w:trPr>
        <w:tc>
          <w:tcPr>
            <w:tcW w:w="1090" w:type="pct"/>
            <w:tcBorders>
              <w:right w:val="nil"/>
            </w:tcBorders>
            <w:shd w:val="clear" w:color="auto" w:fill="auto"/>
          </w:tcPr>
          <w:p w:rsidR="00E42B39" w:rsidRPr="0063779A" w:rsidDel="004C5E0B" w:rsidRDefault="00E42B39" w:rsidP="00E42B39">
            <w:pPr>
              <w:pStyle w:val="Table"/>
              <w:rPr>
                <w:rFonts w:ascii="Arial Narrow" w:hAnsi="Arial Narrow"/>
                <w:szCs w:val="20"/>
              </w:rPr>
            </w:pPr>
            <w:r w:rsidRPr="0063779A">
              <w:rPr>
                <w:rFonts w:ascii="Arial Narrow" w:hAnsi="Arial Narrow"/>
                <w:szCs w:val="20"/>
              </w:rPr>
              <w:t>By individual dose</w:t>
            </w:r>
          </w:p>
        </w:tc>
        <w:tc>
          <w:tcPr>
            <w:tcW w:w="1590" w:type="pct"/>
            <w:tcBorders>
              <w:left w:val="nil"/>
              <w:right w:val="nil"/>
            </w:tcBorders>
            <w:shd w:val="clear" w:color="auto" w:fill="auto"/>
          </w:tcPr>
          <w:p w:rsidR="00E42B39" w:rsidRPr="0063779A" w:rsidDel="004C5E0B" w:rsidRDefault="00E42B39" w:rsidP="00E42B39">
            <w:pPr>
              <w:pStyle w:val="TableCentre"/>
              <w:rPr>
                <w:rFonts w:ascii="Arial Narrow" w:hAnsi="Arial Narrow"/>
                <w:szCs w:val="20"/>
              </w:rPr>
            </w:pPr>
          </w:p>
        </w:tc>
        <w:tc>
          <w:tcPr>
            <w:tcW w:w="1081" w:type="pct"/>
            <w:tcBorders>
              <w:left w:val="nil"/>
              <w:right w:val="nil"/>
            </w:tcBorders>
            <w:shd w:val="clear" w:color="auto" w:fill="auto"/>
          </w:tcPr>
          <w:p w:rsidR="00E42B39" w:rsidRPr="0063779A" w:rsidDel="004C5E0B" w:rsidRDefault="00E42B39" w:rsidP="00E42B39">
            <w:pPr>
              <w:pStyle w:val="TableCentre"/>
              <w:rPr>
                <w:rFonts w:ascii="Arial Narrow" w:hAnsi="Arial Narrow"/>
                <w:szCs w:val="20"/>
              </w:rPr>
            </w:pPr>
          </w:p>
        </w:tc>
        <w:tc>
          <w:tcPr>
            <w:tcW w:w="1239" w:type="pct"/>
            <w:tcBorders>
              <w:left w:val="nil"/>
            </w:tcBorders>
            <w:shd w:val="clear" w:color="auto" w:fill="auto"/>
            <w:vAlign w:val="bottom"/>
          </w:tcPr>
          <w:p w:rsidR="00E42B39" w:rsidRPr="0063779A" w:rsidDel="004C5E0B" w:rsidRDefault="00E42B39" w:rsidP="00E42B39">
            <w:pPr>
              <w:pStyle w:val="TableCentre"/>
              <w:rPr>
                <w:rFonts w:ascii="Arial Narrow" w:hAnsi="Arial Narrow"/>
                <w:szCs w:val="20"/>
              </w:rPr>
            </w:pPr>
          </w:p>
        </w:tc>
      </w:tr>
      <w:tr w:rsidR="00E42B39" w:rsidRPr="0063779A" w:rsidTr="00E42B39">
        <w:trPr>
          <w:trHeight w:val="20"/>
        </w:trPr>
        <w:tc>
          <w:tcPr>
            <w:tcW w:w="1090" w:type="pct"/>
            <w:shd w:val="clear" w:color="auto" w:fill="auto"/>
          </w:tcPr>
          <w:p w:rsidR="00E42B39" w:rsidRPr="0063779A" w:rsidRDefault="00E42B39" w:rsidP="00E42B39">
            <w:pPr>
              <w:pStyle w:val="Table"/>
              <w:rPr>
                <w:rFonts w:ascii="Arial Narrow" w:hAnsi="Arial Narrow"/>
                <w:szCs w:val="20"/>
              </w:rPr>
            </w:pPr>
            <w:r w:rsidRPr="0063779A">
              <w:rPr>
                <w:rFonts w:ascii="Arial Narrow" w:hAnsi="Arial Narrow"/>
                <w:szCs w:val="20"/>
              </w:rPr>
              <w:t>50</w:t>
            </w:r>
            <w:r w:rsidR="008D1D98">
              <w:rPr>
                <w:rFonts w:ascii="Arial Narrow" w:hAnsi="Arial Narrow"/>
                <w:szCs w:val="20"/>
              </w:rPr>
              <w:t> </w:t>
            </w:r>
            <w:r w:rsidRPr="0063779A">
              <w:rPr>
                <w:rFonts w:ascii="Arial Narrow" w:hAnsi="Arial Narrow"/>
                <w:szCs w:val="20"/>
              </w:rPr>
              <w:t xml:space="preserve">mg per day </w:t>
            </w:r>
          </w:p>
        </w:tc>
        <w:tc>
          <w:tcPr>
            <w:tcW w:w="1590" w:type="pct"/>
            <w:shd w:val="clear" w:color="auto" w:fill="auto"/>
          </w:tcPr>
          <w:p w:rsidR="00E42B39" w:rsidRPr="0063779A" w:rsidRDefault="00E42B39" w:rsidP="00E42B39">
            <w:pPr>
              <w:pStyle w:val="TableCentre"/>
              <w:rPr>
                <w:rFonts w:ascii="Arial Narrow" w:hAnsi="Arial Narrow"/>
                <w:szCs w:val="20"/>
              </w:rPr>
            </w:pPr>
            <w:r w:rsidRPr="0063779A">
              <w:rPr>
                <w:rFonts w:ascii="Arial Narrow" w:hAnsi="Arial Narrow"/>
                <w:szCs w:val="20"/>
              </w:rPr>
              <w:t>200/400</w:t>
            </w:r>
            <w:r w:rsidR="008D1D98">
              <w:rPr>
                <w:rFonts w:ascii="Arial Narrow" w:hAnsi="Arial Narrow"/>
                <w:szCs w:val="20"/>
              </w:rPr>
              <w:t> </w:t>
            </w:r>
            <w:r w:rsidRPr="0063779A">
              <w:rPr>
                <w:rFonts w:ascii="Arial Narrow" w:hAnsi="Arial Narrow"/>
                <w:szCs w:val="20"/>
              </w:rPr>
              <w:t xml:space="preserve">mg per day </w:t>
            </w:r>
          </w:p>
        </w:tc>
        <w:tc>
          <w:tcPr>
            <w:tcW w:w="1081" w:type="pct"/>
            <w:shd w:val="clear" w:color="auto" w:fill="auto"/>
          </w:tcPr>
          <w:p w:rsidR="00E42B39" w:rsidRPr="0063779A" w:rsidRDefault="00E42B39" w:rsidP="00E42B39">
            <w:pPr>
              <w:pStyle w:val="TableCentre"/>
              <w:rPr>
                <w:rFonts w:ascii="Arial Narrow" w:hAnsi="Arial Narrow"/>
                <w:szCs w:val="20"/>
              </w:rPr>
            </w:pPr>
            <w:r w:rsidRPr="0063779A">
              <w:rPr>
                <w:rFonts w:ascii="Arial Narrow" w:hAnsi="Arial Narrow"/>
                <w:szCs w:val="20"/>
              </w:rPr>
              <w:t>-3.67</w:t>
            </w:r>
          </w:p>
        </w:tc>
        <w:tc>
          <w:tcPr>
            <w:tcW w:w="1239" w:type="pct"/>
            <w:shd w:val="clear" w:color="auto" w:fill="auto"/>
            <w:vAlign w:val="bottom"/>
          </w:tcPr>
          <w:p w:rsidR="00E42B39" w:rsidRPr="0063779A" w:rsidRDefault="00E42B39" w:rsidP="00E42B39">
            <w:pPr>
              <w:pStyle w:val="TableCentre"/>
              <w:rPr>
                <w:rFonts w:ascii="Arial Narrow" w:hAnsi="Arial Narrow"/>
                <w:szCs w:val="20"/>
              </w:rPr>
            </w:pPr>
            <w:r w:rsidRPr="0063779A">
              <w:rPr>
                <w:rFonts w:ascii="Cambria Math" w:hAnsi="Cambria Math" w:cs="Cambria Math"/>
                <w:szCs w:val="20"/>
              </w:rPr>
              <w:t>‐</w:t>
            </w:r>
            <w:r w:rsidRPr="0063779A">
              <w:rPr>
                <w:rFonts w:ascii="Arial Narrow" w:hAnsi="Arial Narrow"/>
                <w:szCs w:val="20"/>
              </w:rPr>
              <w:t xml:space="preserve">13.87, 6.53 </w:t>
            </w:r>
          </w:p>
        </w:tc>
      </w:tr>
      <w:tr w:rsidR="00E42B39" w:rsidRPr="0063779A" w:rsidTr="00E42B39">
        <w:trPr>
          <w:trHeight w:val="20"/>
        </w:trPr>
        <w:tc>
          <w:tcPr>
            <w:tcW w:w="1090" w:type="pct"/>
            <w:shd w:val="clear" w:color="auto" w:fill="auto"/>
          </w:tcPr>
          <w:p w:rsidR="00E42B39" w:rsidRPr="0063779A" w:rsidRDefault="00E42B39" w:rsidP="00E42B39">
            <w:pPr>
              <w:pStyle w:val="Table"/>
              <w:rPr>
                <w:rFonts w:ascii="Arial Narrow" w:hAnsi="Arial Narrow"/>
                <w:szCs w:val="20"/>
              </w:rPr>
            </w:pPr>
            <w:r w:rsidRPr="0063779A">
              <w:rPr>
                <w:rFonts w:ascii="Arial Narrow" w:hAnsi="Arial Narrow"/>
                <w:szCs w:val="20"/>
              </w:rPr>
              <w:t>100</w:t>
            </w:r>
            <w:r w:rsidR="008D1D98">
              <w:rPr>
                <w:rFonts w:ascii="Arial Narrow" w:hAnsi="Arial Narrow"/>
                <w:szCs w:val="20"/>
              </w:rPr>
              <w:t> </w:t>
            </w:r>
            <w:r w:rsidRPr="0063779A">
              <w:rPr>
                <w:rFonts w:ascii="Arial Narrow" w:hAnsi="Arial Narrow"/>
                <w:szCs w:val="20"/>
              </w:rPr>
              <w:t xml:space="preserve">mg per day </w:t>
            </w:r>
          </w:p>
        </w:tc>
        <w:tc>
          <w:tcPr>
            <w:tcW w:w="1590" w:type="pct"/>
            <w:shd w:val="clear" w:color="auto" w:fill="auto"/>
          </w:tcPr>
          <w:p w:rsidR="00E42B39" w:rsidRPr="0063779A" w:rsidRDefault="00E42B39" w:rsidP="00E42B39">
            <w:pPr>
              <w:pStyle w:val="TableCentre"/>
              <w:rPr>
                <w:rFonts w:ascii="Arial Narrow" w:hAnsi="Arial Narrow"/>
                <w:szCs w:val="20"/>
              </w:rPr>
            </w:pPr>
            <w:r w:rsidRPr="0063779A">
              <w:rPr>
                <w:rFonts w:ascii="Arial Narrow" w:hAnsi="Arial Narrow"/>
                <w:szCs w:val="20"/>
              </w:rPr>
              <w:t>200/400</w:t>
            </w:r>
            <w:r w:rsidR="008D1D98">
              <w:rPr>
                <w:rFonts w:ascii="Arial Narrow" w:hAnsi="Arial Narrow"/>
                <w:szCs w:val="20"/>
              </w:rPr>
              <w:t> </w:t>
            </w:r>
            <w:r w:rsidRPr="0063779A">
              <w:rPr>
                <w:rFonts w:ascii="Arial Narrow" w:hAnsi="Arial Narrow"/>
                <w:szCs w:val="20"/>
              </w:rPr>
              <w:t xml:space="preserve">mg per day </w:t>
            </w:r>
          </w:p>
        </w:tc>
        <w:tc>
          <w:tcPr>
            <w:tcW w:w="1081" w:type="pct"/>
            <w:shd w:val="clear" w:color="auto" w:fill="auto"/>
          </w:tcPr>
          <w:p w:rsidR="00E42B39" w:rsidRPr="0063779A" w:rsidRDefault="00E42B39" w:rsidP="00E42B39">
            <w:pPr>
              <w:pStyle w:val="TableCentre"/>
              <w:rPr>
                <w:rFonts w:ascii="Arial Narrow" w:hAnsi="Arial Narrow"/>
                <w:szCs w:val="20"/>
              </w:rPr>
            </w:pPr>
            <w:r w:rsidRPr="0063779A">
              <w:rPr>
                <w:rFonts w:ascii="Arial Narrow" w:hAnsi="Arial Narrow"/>
                <w:szCs w:val="20"/>
              </w:rPr>
              <w:t>1.60</w:t>
            </w:r>
          </w:p>
        </w:tc>
        <w:tc>
          <w:tcPr>
            <w:tcW w:w="1239" w:type="pct"/>
            <w:shd w:val="clear" w:color="auto" w:fill="auto"/>
            <w:vAlign w:val="bottom"/>
          </w:tcPr>
          <w:p w:rsidR="00E42B39" w:rsidRPr="0063779A" w:rsidRDefault="00E42B39" w:rsidP="00E42B39">
            <w:pPr>
              <w:pStyle w:val="TableCentre"/>
              <w:rPr>
                <w:rFonts w:ascii="Arial Narrow" w:hAnsi="Arial Narrow"/>
                <w:szCs w:val="20"/>
              </w:rPr>
            </w:pPr>
            <w:r w:rsidRPr="0063779A">
              <w:rPr>
                <w:rFonts w:ascii="Cambria Math" w:hAnsi="Cambria Math" w:cs="Cambria Math"/>
                <w:szCs w:val="20"/>
              </w:rPr>
              <w:t>‐</w:t>
            </w:r>
            <w:r w:rsidRPr="0063779A">
              <w:rPr>
                <w:rFonts w:ascii="Arial Narrow" w:hAnsi="Arial Narrow"/>
                <w:szCs w:val="20"/>
              </w:rPr>
              <w:t xml:space="preserve">7.03, 10.23 </w:t>
            </w:r>
          </w:p>
        </w:tc>
      </w:tr>
      <w:tr w:rsidR="00E42B39" w:rsidRPr="0063779A" w:rsidTr="00E42B39">
        <w:trPr>
          <w:trHeight w:val="20"/>
        </w:trPr>
        <w:tc>
          <w:tcPr>
            <w:tcW w:w="1090" w:type="pct"/>
            <w:tcBorders>
              <w:bottom w:val="single" w:sz="4" w:space="0" w:color="auto"/>
            </w:tcBorders>
            <w:shd w:val="clear" w:color="auto" w:fill="auto"/>
          </w:tcPr>
          <w:p w:rsidR="00E42B39" w:rsidRPr="0063779A" w:rsidRDefault="00E42B39" w:rsidP="00E42B39">
            <w:pPr>
              <w:pStyle w:val="Table"/>
              <w:rPr>
                <w:rFonts w:ascii="Arial Narrow" w:hAnsi="Arial Narrow"/>
                <w:szCs w:val="20"/>
              </w:rPr>
            </w:pPr>
            <w:r w:rsidRPr="0063779A">
              <w:rPr>
                <w:rFonts w:ascii="Arial Narrow" w:hAnsi="Arial Narrow"/>
                <w:szCs w:val="20"/>
              </w:rPr>
              <w:t>200</w:t>
            </w:r>
            <w:r w:rsidR="008D1D98">
              <w:rPr>
                <w:rFonts w:ascii="Arial Narrow" w:hAnsi="Arial Narrow"/>
                <w:szCs w:val="20"/>
              </w:rPr>
              <w:t> </w:t>
            </w:r>
            <w:r w:rsidRPr="0063779A">
              <w:rPr>
                <w:rFonts w:ascii="Arial Narrow" w:hAnsi="Arial Narrow"/>
                <w:szCs w:val="20"/>
              </w:rPr>
              <w:t>mg per day</w:t>
            </w:r>
          </w:p>
        </w:tc>
        <w:tc>
          <w:tcPr>
            <w:tcW w:w="1590" w:type="pct"/>
            <w:tcBorders>
              <w:bottom w:val="single" w:sz="4" w:space="0" w:color="auto"/>
            </w:tcBorders>
            <w:shd w:val="clear" w:color="auto" w:fill="auto"/>
          </w:tcPr>
          <w:p w:rsidR="00E42B39" w:rsidRPr="0063779A" w:rsidRDefault="00E42B39" w:rsidP="00E42B39">
            <w:pPr>
              <w:pStyle w:val="TableCentre"/>
              <w:rPr>
                <w:rFonts w:ascii="Arial Narrow" w:hAnsi="Arial Narrow"/>
                <w:szCs w:val="20"/>
              </w:rPr>
            </w:pPr>
            <w:r w:rsidRPr="0063779A">
              <w:rPr>
                <w:rFonts w:ascii="Arial Narrow" w:hAnsi="Arial Narrow"/>
                <w:szCs w:val="20"/>
              </w:rPr>
              <w:t>200/400</w:t>
            </w:r>
            <w:r w:rsidR="008D1D98">
              <w:rPr>
                <w:rFonts w:ascii="Arial Narrow" w:hAnsi="Arial Narrow"/>
                <w:szCs w:val="20"/>
              </w:rPr>
              <w:t> </w:t>
            </w:r>
            <w:r w:rsidRPr="0063779A">
              <w:rPr>
                <w:rFonts w:ascii="Arial Narrow" w:hAnsi="Arial Narrow"/>
                <w:szCs w:val="20"/>
              </w:rPr>
              <w:t xml:space="preserve">mg per day </w:t>
            </w:r>
          </w:p>
        </w:tc>
        <w:tc>
          <w:tcPr>
            <w:tcW w:w="1081" w:type="pct"/>
            <w:tcBorders>
              <w:bottom w:val="single" w:sz="4" w:space="0" w:color="auto"/>
            </w:tcBorders>
            <w:shd w:val="clear" w:color="auto" w:fill="auto"/>
          </w:tcPr>
          <w:p w:rsidR="00E42B39" w:rsidRPr="0063779A" w:rsidRDefault="00E42B39" w:rsidP="00E42B39">
            <w:pPr>
              <w:pStyle w:val="TableCentre"/>
              <w:rPr>
                <w:rFonts w:ascii="Arial Narrow" w:hAnsi="Arial Narrow"/>
                <w:szCs w:val="20"/>
              </w:rPr>
            </w:pPr>
            <w:r w:rsidRPr="0063779A">
              <w:rPr>
                <w:rFonts w:ascii="Arial Narrow" w:hAnsi="Arial Narrow"/>
                <w:szCs w:val="20"/>
              </w:rPr>
              <w:t>0.83</w:t>
            </w:r>
          </w:p>
        </w:tc>
        <w:tc>
          <w:tcPr>
            <w:tcW w:w="1239" w:type="pct"/>
            <w:tcBorders>
              <w:bottom w:val="single" w:sz="4" w:space="0" w:color="auto"/>
            </w:tcBorders>
            <w:shd w:val="clear" w:color="auto" w:fill="auto"/>
            <w:vAlign w:val="bottom"/>
          </w:tcPr>
          <w:p w:rsidR="00E42B39" w:rsidRPr="0063779A" w:rsidRDefault="00E42B39" w:rsidP="00E42B39">
            <w:pPr>
              <w:pStyle w:val="TableCentre"/>
              <w:rPr>
                <w:rFonts w:ascii="Arial Narrow" w:hAnsi="Arial Narrow"/>
                <w:szCs w:val="20"/>
              </w:rPr>
            </w:pPr>
            <w:r w:rsidRPr="0063779A">
              <w:rPr>
                <w:rFonts w:ascii="Cambria Math" w:hAnsi="Cambria Math" w:cs="Cambria Math"/>
                <w:szCs w:val="20"/>
              </w:rPr>
              <w:t>‐</w:t>
            </w:r>
            <w:r w:rsidRPr="0063779A">
              <w:rPr>
                <w:rFonts w:ascii="Arial Narrow" w:hAnsi="Arial Narrow"/>
                <w:szCs w:val="20"/>
              </w:rPr>
              <w:t xml:space="preserve">8.74, 10.40 </w:t>
            </w:r>
          </w:p>
        </w:tc>
      </w:tr>
      <w:tr w:rsidR="00E42B39" w:rsidRPr="0063779A" w:rsidTr="0022201B">
        <w:trPr>
          <w:trHeight w:val="20"/>
        </w:trPr>
        <w:tc>
          <w:tcPr>
            <w:tcW w:w="1090" w:type="pct"/>
            <w:tcBorders>
              <w:right w:val="nil"/>
            </w:tcBorders>
            <w:shd w:val="clear" w:color="auto" w:fill="auto"/>
          </w:tcPr>
          <w:p w:rsidR="00E42B39" w:rsidRPr="005B2B46" w:rsidRDefault="003E2E0A" w:rsidP="00E42B39">
            <w:pPr>
              <w:pStyle w:val="Table"/>
              <w:rPr>
                <w:rFonts w:ascii="Arial Narrow" w:hAnsi="Arial Narrow"/>
                <w:szCs w:val="20"/>
                <w:u w:val="single"/>
              </w:rPr>
            </w:pPr>
            <w:r>
              <w:rPr>
                <w:rFonts w:ascii="Arial Narrow" w:hAnsi="Arial Narrow"/>
                <w:szCs w:val="20"/>
                <w:u w:val="single"/>
              </w:rPr>
              <w:t>All</w:t>
            </w:r>
            <w:r w:rsidR="00E42B39" w:rsidRPr="005B2B46">
              <w:rPr>
                <w:rFonts w:ascii="Arial Narrow" w:hAnsi="Arial Narrow"/>
                <w:szCs w:val="20"/>
                <w:u w:val="single"/>
              </w:rPr>
              <w:t xml:space="preserve"> doses</w:t>
            </w:r>
          </w:p>
        </w:tc>
        <w:tc>
          <w:tcPr>
            <w:tcW w:w="1590" w:type="pct"/>
            <w:tcBorders>
              <w:left w:val="nil"/>
              <w:right w:val="nil"/>
            </w:tcBorders>
            <w:shd w:val="clear" w:color="auto" w:fill="auto"/>
          </w:tcPr>
          <w:p w:rsidR="00E42B39" w:rsidRPr="0063779A" w:rsidRDefault="00E42B39" w:rsidP="00E42B39">
            <w:pPr>
              <w:pStyle w:val="TableCentre"/>
              <w:rPr>
                <w:rFonts w:ascii="Arial Narrow" w:hAnsi="Arial Narrow"/>
                <w:szCs w:val="20"/>
              </w:rPr>
            </w:pPr>
          </w:p>
        </w:tc>
        <w:tc>
          <w:tcPr>
            <w:tcW w:w="1081" w:type="pct"/>
            <w:tcBorders>
              <w:left w:val="nil"/>
              <w:right w:val="nil"/>
            </w:tcBorders>
            <w:shd w:val="clear" w:color="auto" w:fill="auto"/>
          </w:tcPr>
          <w:p w:rsidR="00E42B39" w:rsidRPr="0063779A" w:rsidRDefault="00E42B39" w:rsidP="00E42B39">
            <w:pPr>
              <w:pStyle w:val="TableCentre"/>
              <w:rPr>
                <w:rFonts w:ascii="Arial Narrow" w:hAnsi="Arial Narrow"/>
                <w:szCs w:val="20"/>
              </w:rPr>
            </w:pPr>
          </w:p>
        </w:tc>
        <w:tc>
          <w:tcPr>
            <w:tcW w:w="1239" w:type="pct"/>
            <w:tcBorders>
              <w:left w:val="nil"/>
            </w:tcBorders>
            <w:shd w:val="clear" w:color="auto" w:fill="auto"/>
            <w:vAlign w:val="bottom"/>
          </w:tcPr>
          <w:p w:rsidR="00E42B39" w:rsidRPr="0063779A" w:rsidRDefault="00E42B39" w:rsidP="00E42B39">
            <w:pPr>
              <w:pStyle w:val="TableCentre"/>
              <w:rPr>
                <w:rFonts w:ascii="Arial Narrow" w:hAnsi="Arial Narrow"/>
                <w:szCs w:val="20"/>
              </w:rPr>
            </w:pPr>
          </w:p>
        </w:tc>
      </w:tr>
      <w:tr w:rsidR="00E42B39" w:rsidRPr="0063779A" w:rsidTr="00E42B39">
        <w:trPr>
          <w:trHeight w:val="20"/>
        </w:trPr>
        <w:tc>
          <w:tcPr>
            <w:tcW w:w="1090" w:type="pct"/>
            <w:shd w:val="clear" w:color="auto" w:fill="auto"/>
          </w:tcPr>
          <w:p w:rsidR="00E42B39" w:rsidRPr="0063779A" w:rsidRDefault="00E42B39" w:rsidP="00E42B39">
            <w:pPr>
              <w:pStyle w:val="Table"/>
              <w:rPr>
                <w:rFonts w:ascii="Arial Narrow" w:hAnsi="Arial Narrow"/>
                <w:szCs w:val="20"/>
              </w:rPr>
            </w:pPr>
            <w:r w:rsidRPr="0063779A">
              <w:rPr>
                <w:rFonts w:ascii="Arial Narrow" w:hAnsi="Arial Narrow"/>
                <w:szCs w:val="20"/>
              </w:rPr>
              <w:t>50</w:t>
            </w:r>
            <w:r w:rsidRPr="0063779A">
              <w:rPr>
                <w:rFonts w:ascii="Cambria Math" w:hAnsi="Cambria Math" w:cs="Cambria Math"/>
                <w:szCs w:val="20"/>
              </w:rPr>
              <w:t>‐</w:t>
            </w:r>
            <w:r w:rsidRPr="0063779A">
              <w:rPr>
                <w:rFonts w:ascii="Arial Narrow" w:hAnsi="Arial Narrow"/>
                <w:szCs w:val="20"/>
              </w:rPr>
              <w:t>200</w:t>
            </w:r>
            <w:r w:rsidR="008D1D98">
              <w:rPr>
                <w:rFonts w:ascii="Arial Narrow" w:hAnsi="Arial Narrow"/>
                <w:szCs w:val="20"/>
              </w:rPr>
              <w:t> </w:t>
            </w:r>
            <w:r w:rsidRPr="0063779A">
              <w:rPr>
                <w:rFonts w:ascii="Arial Narrow" w:hAnsi="Arial Narrow"/>
                <w:szCs w:val="20"/>
              </w:rPr>
              <w:t xml:space="preserve">mg per day </w:t>
            </w:r>
          </w:p>
        </w:tc>
        <w:tc>
          <w:tcPr>
            <w:tcW w:w="1590" w:type="pct"/>
            <w:shd w:val="clear" w:color="auto" w:fill="auto"/>
          </w:tcPr>
          <w:p w:rsidR="00E42B39" w:rsidRPr="0063779A" w:rsidRDefault="00E42B39" w:rsidP="00E42B39">
            <w:pPr>
              <w:pStyle w:val="TableCentre"/>
              <w:rPr>
                <w:rFonts w:ascii="Arial Narrow" w:hAnsi="Arial Narrow"/>
                <w:szCs w:val="20"/>
              </w:rPr>
            </w:pPr>
            <w:r w:rsidRPr="0063779A">
              <w:rPr>
                <w:rFonts w:ascii="Arial Narrow" w:hAnsi="Arial Narrow"/>
                <w:szCs w:val="20"/>
              </w:rPr>
              <w:t>200/400</w:t>
            </w:r>
            <w:r w:rsidR="008D1D98">
              <w:rPr>
                <w:rFonts w:ascii="Arial Narrow" w:hAnsi="Arial Narrow"/>
                <w:szCs w:val="20"/>
              </w:rPr>
              <w:t> </w:t>
            </w:r>
            <w:r w:rsidRPr="0063779A">
              <w:rPr>
                <w:rFonts w:ascii="Arial Narrow" w:hAnsi="Arial Narrow"/>
                <w:szCs w:val="20"/>
              </w:rPr>
              <w:t xml:space="preserve">mg per day </w:t>
            </w:r>
          </w:p>
        </w:tc>
        <w:tc>
          <w:tcPr>
            <w:tcW w:w="1081" w:type="pct"/>
            <w:shd w:val="clear" w:color="auto" w:fill="auto"/>
          </w:tcPr>
          <w:p w:rsidR="00E42B39" w:rsidRPr="0063779A" w:rsidRDefault="00E42B39" w:rsidP="00E42B39">
            <w:pPr>
              <w:pStyle w:val="TableCentre"/>
              <w:rPr>
                <w:rFonts w:ascii="Arial Narrow" w:hAnsi="Arial Narrow"/>
                <w:szCs w:val="20"/>
              </w:rPr>
            </w:pPr>
            <w:r w:rsidRPr="0063779A">
              <w:rPr>
                <w:rFonts w:ascii="Arial Narrow" w:hAnsi="Arial Narrow"/>
                <w:szCs w:val="20"/>
              </w:rPr>
              <w:t>0.06</w:t>
            </w:r>
          </w:p>
        </w:tc>
        <w:tc>
          <w:tcPr>
            <w:tcW w:w="1239" w:type="pct"/>
            <w:shd w:val="clear" w:color="auto" w:fill="auto"/>
            <w:vAlign w:val="bottom"/>
          </w:tcPr>
          <w:p w:rsidR="00E42B39" w:rsidRPr="0063779A" w:rsidRDefault="00E42B39" w:rsidP="00E42B39">
            <w:pPr>
              <w:pStyle w:val="TableCentre"/>
              <w:rPr>
                <w:rFonts w:ascii="Arial Narrow" w:hAnsi="Arial Narrow"/>
                <w:szCs w:val="20"/>
              </w:rPr>
            </w:pPr>
            <w:r w:rsidRPr="0063779A">
              <w:rPr>
                <w:rFonts w:ascii="Cambria Math" w:hAnsi="Cambria Math" w:cs="Cambria Math"/>
                <w:szCs w:val="20"/>
              </w:rPr>
              <w:t>‐</w:t>
            </w:r>
            <w:r w:rsidRPr="0063779A">
              <w:rPr>
                <w:rFonts w:ascii="Arial Narrow" w:hAnsi="Arial Narrow"/>
                <w:szCs w:val="20"/>
              </w:rPr>
              <w:t xml:space="preserve">7.41, 7.53 </w:t>
            </w:r>
          </w:p>
        </w:tc>
      </w:tr>
      <w:tr w:rsidR="00E42B39" w:rsidRPr="0063779A" w:rsidTr="0022201B">
        <w:trPr>
          <w:trHeight w:val="20"/>
        </w:trPr>
        <w:tc>
          <w:tcPr>
            <w:tcW w:w="1090" w:type="pct"/>
            <w:shd w:val="clear" w:color="auto" w:fill="auto"/>
          </w:tcPr>
          <w:p w:rsidR="00E42B39" w:rsidRPr="0063779A" w:rsidRDefault="00E42B39" w:rsidP="00E42B39">
            <w:pPr>
              <w:pStyle w:val="Table"/>
              <w:rPr>
                <w:rStyle w:val="SmallBold"/>
                <w:rFonts w:ascii="Arial Narrow" w:hAnsi="Arial Narrow"/>
                <w:szCs w:val="20"/>
              </w:rPr>
            </w:pPr>
            <w:proofErr w:type="spellStart"/>
            <w:r w:rsidRPr="0063779A">
              <w:rPr>
                <w:rStyle w:val="SmallBold"/>
                <w:rFonts w:ascii="Arial Narrow" w:hAnsi="Arial Narrow"/>
                <w:szCs w:val="20"/>
              </w:rPr>
              <w:t>Brivaracetam</w:t>
            </w:r>
            <w:proofErr w:type="spellEnd"/>
            <w:r w:rsidRPr="0063779A">
              <w:rPr>
                <w:rStyle w:val="SmallBold"/>
                <w:rFonts w:ascii="Arial Narrow" w:hAnsi="Arial Narrow"/>
                <w:szCs w:val="20"/>
              </w:rPr>
              <w:t xml:space="preserve"> dose </w:t>
            </w:r>
          </w:p>
        </w:tc>
        <w:tc>
          <w:tcPr>
            <w:tcW w:w="1590" w:type="pct"/>
            <w:shd w:val="clear" w:color="auto" w:fill="auto"/>
          </w:tcPr>
          <w:p w:rsidR="00E42B39" w:rsidRPr="0063779A" w:rsidRDefault="00E42B39" w:rsidP="00E42B39">
            <w:pPr>
              <w:pStyle w:val="TableCentre"/>
              <w:rPr>
                <w:rStyle w:val="SmallBold"/>
                <w:rFonts w:ascii="Arial Narrow" w:hAnsi="Arial Narrow"/>
                <w:szCs w:val="20"/>
              </w:rPr>
            </w:pPr>
            <w:proofErr w:type="spellStart"/>
            <w:r w:rsidRPr="0063779A">
              <w:rPr>
                <w:rStyle w:val="SmallBold"/>
                <w:rFonts w:ascii="Arial Narrow" w:hAnsi="Arial Narrow"/>
                <w:szCs w:val="20"/>
              </w:rPr>
              <w:t>Lacosamide</w:t>
            </w:r>
            <w:proofErr w:type="spellEnd"/>
            <w:r w:rsidRPr="0063779A">
              <w:rPr>
                <w:rStyle w:val="SmallBold"/>
                <w:rFonts w:ascii="Arial Narrow" w:hAnsi="Arial Narrow"/>
                <w:szCs w:val="20"/>
              </w:rPr>
              <w:t xml:space="preserve"> dose  </w:t>
            </w:r>
          </w:p>
        </w:tc>
        <w:tc>
          <w:tcPr>
            <w:tcW w:w="2320" w:type="pct"/>
            <w:gridSpan w:val="2"/>
            <w:shd w:val="clear" w:color="auto" w:fill="auto"/>
          </w:tcPr>
          <w:p w:rsidR="00E42B39" w:rsidRPr="0063779A" w:rsidRDefault="00E42B39" w:rsidP="00E42B39">
            <w:pPr>
              <w:pStyle w:val="TableCentre"/>
              <w:rPr>
                <w:rStyle w:val="SmallBold"/>
                <w:rFonts w:ascii="Arial Narrow" w:hAnsi="Arial Narrow"/>
                <w:szCs w:val="20"/>
              </w:rPr>
            </w:pPr>
            <w:r w:rsidRPr="0063779A">
              <w:rPr>
                <w:rStyle w:val="SmallBold"/>
                <w:rFonts w:ascii="Arial Narrow" w:hAnsi="Arial Narrow"/>
                <w:szCs w:val="20"/>
              </w:rPr>
              <w:t xml:space="preserve">Risk ratio </w:t>
            </w:r>
            <w:proofErr w:type="spellStart"/>
            <w:r w:rsidRPr="0063779A">
              <w:rPr>
                <w:rStyle w:val="SmallBold"/>
                <w:rFonts w:ascii="Arial Narrow" w:hAnsi="Arial Narrow"/>
                <w:szCs w:val="20"/>
              </w:rPr>
              <w:t>Brivaracetam</w:t>
            </w:r>
            <w:proofErr w:type="spellEnd"/>
            <w:r w:rsidRPr="0063779A">
              <w:rPr>
                <w:rStyle w:val="SmallBold"/>
                <w:rFonts w:ascii="Arial Narrow" w:hAnsi="Arial Narrow"/>
                <w:szCs w:val="20"/>
              </w:rPr>
              <w:t xml:space="preserve"> / </w:t>
            </w:r>
            <w:proofErr w:type="spellStart"/>
            <w:r w:rsidRPr="0063779A">
              <w:rPr>
                <w:rStyle w:val="SmallBold"/>
                <w:rFonts w:ascii="Arial Narrow" w:hAnsi="Arial Narrow"/>
                <w:szCs w:val="20"/>
              </w:rPr>
              <w:t>Lacosamide</w:t>
            </w:r>
            <w:proofErr w:type="spellEnd"/>
            <w:r w:rsidRPr="0063779A">
              <w:rPr>
                <w:rStyle w:val="SmallBold"/>
                <w:rFonts w:ascii="Arial Narrow" w:hAnsi="Arial Narrow"/>
                <w:szCs w:val="20"/>
              </w:rPr>
              <w:t xml:space="preserve"> </w:t>
            </w:r>
          </w:p>
        </w:tc>
      </w:tr>
      <w:tr w:rsidR="00E42B39" w:rsidRPr="0063779A" w:rsidTr="0022201B">
        <w:trPr>
          <w:trHeight w:val="20"/>
        </w:trPr>
        <w:tc>
          <w:tcPr>
            <w:tcW w:w="1090" w:type="pct"/>
            <w:shd w:val="clear" w:color="auto" w:fill="auto"/>
          </w:tcPr>
          <w:p w:rsidR="00E42B39" w:rsidRPr="0063779A" w:rsidRDefault="00E42B39" w:rsidP="00E42B39">
            <w:pPr>
              <w:pStyle w:val="Table"/>
              <w:rPr>
                <w:rStyle w:val="SmallBold"/>
                <w:rFonts w:ascii="Arial Narrow" w:hAnsi="Arial Narrow"/>
                <w:szCs w:val="20"/>
              </w:rPr>
            </w:pPr>
          </w:p>
        </w:tc>
        <w:tc>
          <w:tcPr>
            <w:tcW w:w="1590" w:type="pct"/>
            <w:shd w:val="clear" w:color="auto" w:fill="auto"/>
          </w:tcPr>
          <w:p w:rsidR="00E42B39" w:rsidRPr="0063779A" w:rsidRDefault="00E42B39" w:rsidP="00E42B39">
            <w:pPr>
              <w:pStyle w:val="TableCentre"/>
              <w:rPr>
                <w:rStyle w:val="SmallBold"/>
                <w:rFonts w:ascii="Arial Narrow" w:hAnsi="Arial Narrow"/>
                <w:szCs w:val="20"/>
              </w:rPr>
            </w:pPr>
          </w:p>
        </w:tc>
        <w:tc>
          <w:tcPr>
            <w:tcW w:w="1081" w:type="pct"/>
            <w:shd w:val="clear" w:color="auto" w:fill="auto"/>
          </w:tcPr>
          <w:p w:rsidR="00E42B39" w:rsidRPr="0063779A" w:rsidRDefault="00E42B39" w:rsidP="00E42B39">
            <w:pPr>
              <w:pStyle w:val="TableCentre"/>
              <w:rPr>
                <w:rStyle w:val="SmallBold"/>
                <w:rFonts w:ascii="Arial Narrow" w:hAnsi="Arial Narrow"/>
                <w:szCs w:val="20"/>
              </w:rPr>
            </w:pPr>
            <w:r w:rsidRPr="0063779A">
              <w:rPr>
                <w:rStyle w:val="SmallBold"/>
                <w:rFonts w:ascii="Arial Narrow" w:hAnsi="Arial Narrow"/>
                <w:szCs w:val="20"/>
              </w:rPr>
              <w:t>Estimate</w:t>
            </w:r>
          </w:p>
        </w:tc>
        <w:tc>
          <w:tcPr>
            <w:tcW w:w="1239" w:type="pct"/>
            <w:shd w:val="clear" w:color="auto" w:fill="auto"/>
          </w:tcPr>
          <w:p w:rsidR="00E42B39" w:rsidRPr="0063779A" w:rsidRDefault="00E42B39" w:rsidP="00E42B39">
            <w:pPr>
              <w:pStyle w:val="TableCentre"/>
              <w:rPr>
                <w:rStyle w:val="SmallBold"/>
                <w:rFonts w:ascii="Arial Narrow" w:hAnsi="Arial Narrow"/>
                <w:szCs w:val="20"/>
              </w:rPr>
            </w:pPr>
            <w:r w:rsidRPr="0063779A">
              <w:rPr>
                <w:rStyle w:val="SmallBold"/>
                <w:rFonts w:ascii="Arial Narrow" w:hAnsi="Arial Narrow"/>
                <w:szCs w:val="20"/>
              </w:rPr>
              <w:t xml:space="preserve">95% confidence interval </w:t>
            </w:r>
          </w:p>
        </w:tc>
      </w:tr>
      <w:tr w:rsidR="00E42B39" w:rsidRPr="0063779A" w:rsidDel="004C5E0B" w:rsidTr="0022201B">
        <w:trPr>
          <w:trHeight w:val="20"/>
        </w:trPr>
        <w:tc>
          <w:tcPr>
            <w:tcW w:w="1090" w:type="pct"/>
            <w:tcBorders>
              <w:right w:val="nil"/>
            </w:tcBorders>
            <w:shd w:val="clear" w:color="auto" w:fill="auto"/>
          </w:tcPr>
          <w:p w:rsidR="00E42B39" w:rsidRPr="0063779A" w:rsidDel="004C5E0B" w:rsidRDefault="00E42B39" w:rsidP="00E42B39">
            <w:pPr>
              <w:pStyle w:val="Table"/>
              <w:rPr>
                <w:rFonts w:ascii="Arial Narrow" w:hAnsi="Arial Narrow"/>
                <w:szCs w:val="20"/>
              </w:rPr>
            </w:pPr>
            <w:r w:rsidRPr="0063779A">
              <w:rPr>
                <w:rFonts w:ascii="Arial Narrow" w:hAnsi="Arial Narrow"/>
                <w:szCs w:val="20"/>
              </w:rPr>
              <w:t>By individual dose</w:t>
            </w:r>
          </w:p>
        </w:tc>
        <w:tc>
          <w:tcPr>
            <w:tcW w:w="1590" w:type="pct"/>
            <w:tcBorders>
              <w:left w:val="nil"/>
              <w:right w:val="nil"/>
            </w:tcBorders>
            <w:shd w:val="clear" w:color="auto" w:fill="auto"/>
          </w:tcPr>
          <w:p w:rsidR="00E42B39" w:rsidRPr="0063779A" w:rsidDel="004C5E0B" w:rsidRDefault="00E42B39" w:rsidP="00E42B39">
            <w:pPr>
              <w:pStyle w:val="TableCentre"/>
              <w:rPr>
                <w:rFonts w:ascii="Arial Narrow" w:hAnsi="Arial Narrow"/>
                <w:szCs w:val="20"/>
              </w:rPr>
            </w:pPr>
          </w:p>
        </w:tc>
        <w:tc>
          <w:tcPr>
            <w:tcW w:w="1081" w:type="pct"/>
            <w:tcBorders>
              <w:left w:val="nil"/>
              <w:right w:val="nil"/>
            </w:tcBorders>
            <w:shd w:val="clear" w:color="auto" w:fill="auto"/>
          </w:tcPr>
          <w:p w:rsidR="00E42B39" w:rsidRPr="0063779A" w:rsidDel="004C5E0B" w:rsidRDefault="00E42B39" w:rsidP="00E42B39">
            <w:pPr>
              <w:pStyle w:val="TableCentre"/>
              <w:rPr>
                <w:rFonts w:ascii="Arial Narrow" w:hAnsi="Arial Narrow"/>
                <w:szCs w:val="20"/>
              </w:rPr>
            </w:pPr>
          </w:p>
        </w:tc>
        <w:tc>
          <w:tcPr>
            <w:tcW w:w="1239" w:type="pct"/>
            <w:tcBorders>
              <w:left w:val="nil"/>
            </w:tcBorders>
            <w:shd w:val="clear" w:color="auto" w:fill="auto"/>
            <w:vAlign w:val="bottom"/>
          </w:tcPr>
          <w:p w:rsidR="00E42B39" w:rsidRPr="0063779A" w:rsidDel="004C5E0B" w:rsidRDefault="00E42B39" w:rsidP="00E42B39">
            <w:pPr>
              <w:pStyle w:val="TableCentre"/>
              <w:rPr>
                <w:rFonts w:ascii="Arial Narrow" w:hAnsi="Arial Narrow"/>
                <w:szCs w:val="20"/>
              </w:rPr>
            </w:pPr>
          </w:p>
        </w:tc>
      </w:tr>
      <w:tr w:rsidR="00E42B39" w:rsidRPr="0063779A" w:rsidTr="00E42B39">
        <w:trPr>
          <w:trHeight w:val="20"/>
        </w:trPr>
        <w:tc>
          <w:tcPr>
            <w:tcW w:w="1090" w:type="pct"/>
            <w:shd w:val="clear" w:color="auto" w:fill="auto"/>
          </w:tcPr>
          <w:p w:rsidR="00E42B39" w:rsidRPr="0063779A" w:rsidRDefault="00E42B39" w:rsidP="00E42B39">
            <w:pPr>
              <w:pStyle w:val="Table"/>
              <w:rPr>
                <w:rFonts w:ascii="Arial Narrow" w:hAnsi="Arial Narrow"/>
                <w:szCs w:val="20"/>
              </w:rPr>
            </w:pPr>
            <w:r w:rsidRPr="0063779A">
              <w:rPr>
                <w:rFonts w:ascii="Arial Narrow" w:hAnsi="Arial Narrow"/>
                <w:szCs w:val="20"/>
              </w:rPr>
              <w:t>50</w:t>
            </w:r>
            <w:r w:rsidR="008D1D98">
              <w:rPr>
                <w:rFonts w:ascii="Arial Narrow" w:hAnsi="Arial Narrow"/>
                <w:szCs w:val="20"/>
              </w:rPr>
              <w:t> </w:t>
            </w:r>
            <w:r w:rsidRPr="0063779A">
              <w:rPr>
                <w:rFonts w:ascii="Arial Narrow" w:hAnsi="Arial Narrow"/>
                <w:szCs w:val="20"/>
              </w:rPr>
              <w:t xml:space="preserve">mg per day </w:t>
            </w:r>
          </w:p>
        </w:tc>
        <w:tc>
          <w:tcPr>
            <w:tcW w:w="1590" w:type="pct"/>
            <w:shd w:val="clear" w:color="auto" w:fill="auto"/>
          </w:tcPr>
          <w:p w:rsidR="00E42B39" w:rsidRPr="0063779A" w:rsidRDefault="00E42B39" w:rsidP="00E42B39">
            <w:pPr>
              <w:pStyle w:val="TableCentre"/>
              <w:rPr>
                <w:rFonts w:ascii="Arial Narrow" w:hAnsi="Arial Narrow"/>
                <w:szCs w:val="20"/>
              </w:rPr>
            </w:pPr>
            <w:r w:rsidRPr="0063779A">
              <w:rPr>
                <w:rFonts w:ascii="Arial Narrow" w:hAnsi="Arial Narrow"/>
                <w:szCs w:val="20"/>
              </w:rPr>
              <w:t>200/400</w:t>
            </w:r>
            <w:r w:rsidR="008D1D98">
              <w:rPr>
                <w:rFonts w:ascii="Arial Narrow" w:hAnsi="Arial Narrow"/>
                <w:szCs w:val="20"/>
              </w:rPr>
              <w:t> </w:t>
            </w:r>
            <w:r w:rsidRPr="0063779A">
              <w:rPr>
                <w:rFonts w:ascii="Arial Narrow" w:hAnsi="Arial Narrow"/>
                <w:szCs w:val="20"/>
              </w:rPr>
              <w:t xml:space="preserve">mg per day </w:t>
            </w:r>
          </w:p>
        </w:tc>
        <w:tc>
          <w:tcPr>
            <w:tcW w:w="1081" w:type="pct"/>
            <w:shd w:val="clear" w:color="auto" w:fill="auto"/>
          </w:tcPr>
          <w:p w:rsidR="00E42B39" w:rsidRPr="0063779A" w:rsidRDefault="00E42B39" w:rsidP="00E42B39">
            <w:pPr>
              <w:pStyle w:val="TableCentre"/>
              <w:rPr>
                <w:rFonts w:ascii="Arial Narrow" w:hAnsi="Arial Narrow"/>
                <w:szCs w:val="20"/>
              </w:rPr>
            </w:pPr>
            <w:r w:rsidRPr="0063779A">
              <w:rPr>
                <w:rFonts w:ascii="Arial Narrow" w:hAnsi="Arial Narrow"/>
                <w:szCs w:val="20"/>
              </w:rPr>
              <w:t>0.98</w:t>
            </w:r>
          </w:p>
        </w:tc>
        <w:tc>
          <w:tcPr>
            <w:tcW w:w="1239" w:type="pct"/>
            <w:shd w:val="clear" w:color="auto" w:fill="auto"/>
            <w:vAlign w:val="bottom"/>
          </w:tcPr>
          <w:p w:rsidR="00E42B39" w:rsidRPr="0063779A" w:rsidRDefault="00E42B39" w:rsidP="00E42B39">
            <w:pPr>
              <w:pStyle w:val="TableCentre"/>
              <w:rPr>
                <w:rFonts w:ascii="Arial Narrow" w:hAnsi="Arial Narrow"/>
                <w:szCs w:val="20"/>
              </w:rPr>
            </w:pPr>
            <w:r w:rsidRPr="0063779A">
              <w:rPr>
                <w:rFonts w:ascii="Arial Narrow" w:hAnsi="Arial Narrow"/>
                <w:szCs w:val="20"/>
              </w:rPr>
              <w:t xml:space="preserve">0.64, 1.50 </w:t>
            </w:r>
          </w:p>
        </w:tc>
      </w:tr>
      <w:tr w:rsidR="00E42B39" w:rsidRPr="0063779A" w:rsidTr="00E42B39">
        <w:trPr>
          <w:trHeight w:val="20"/>
        </w:trPr>
        <w:tc>
          <w:tcPr>
            <w:tcW w:w="1090" w:type="pct"/>
            <w:shd w:val="clear" w:color="auto" w:fill="auto"/>
          </w:tcPr>
          <w:p w:rsidR="00E42B39" w:rsidRPr="0063779A" w:rsidRDefault="00E42B39" w:rsidP="00E42B39">
            <w:pPr>
              <w:pStyle w:val="Table"/>
              <w:rPr>
                <w:rFonts w:ascii="Arial Narrow" w:hAnsi="Arial Narrow"/>
                <w:szCs w:val="20"/>
              </w:rPr>
            </w:pPr>
            <w:r w:rsidRPr="0063779A">
              <w:rPr>
                <w:rFonts w:ascii="Arial Narrow" w:hAnsi="Arial Narrow"/>
                <w:szCs w:val="20"/>
              </w:rPr>
              <w:t>100</w:t>
            </w:r>
            <w:r w:rsidR="008D1D98">
              <w:rPr>
                <w:rFonts w:ascii="Arial Narrow" w:hAnsi="Arial Narrow"/>
                <w:szCs w:val="20"/>
              </w:rPr>
              <w:t> </w:t>
            </w:r>
            <w:r w:rsidRPr="0063779A">
              <w:rPr>
                <w:rFonts w:ascii="Arial Narrow" w:hAnsi="Arial Narrow"/>
                <w:szCs w:val="20"/>
              </w:rPr>
              <w:t xml:space="preserve">mg per day </w:t>
            </w:r>
          </w:p>
        </w:tc>
        <w:tc>
          <w:tcPr>
            <w:tcW w:w="1590" w:type="pct"/>
            <w:shd w:val="clear" w:color="auto" w:fill="auto"/>
          </w:tcPr>
          <w:p w:rsidR="00E42B39" w:rsidRPr="0063779A" w:rsidRDefault="00E42B39" w:rsidP="00E42B39">
            <w:pPr>
              <w:pStyle w:val="TableCentre"/>
              <w:rPr>
                <w:rFonts w:ascii="Arial Narrow" w:hAnsi="Arial Narrow"/>
                <w:szCs w:val="20"/>
              </w:rPr>
            </w:pPr>
            <w:r w:rsidRPr="0063779A">
              <w:rPr>
                <w:rFonts w:ascii="Arial Narrow" w:hAnsi="Arial Narrow"/>
                <w:szCs w:val="20"/>
              </w:rPr>
              <w:t>200/400</w:t>
            </w:r>
            <w:r w:rsidR="008D1D98">
              <w:rPr>
                <w:rFonts w:ascii="Arial Narrow" w:hAnsi="Arial Narrow"/>
                <w:szCs w:val="20"/>
              </w:rPr>
              <w:t> </w:t>
            </w:r>
            <w:r w:rsidRPr="0063779A">
              <w:rPr>
                <w:rFonts w:ascii="Arial Narrow" w:hAnsi="Arial Narrow"/>
                <w:szCs w:val="20"/>
              </w:rPr>
              <w:t xml:space="preserve">mg per day </w:t>
            </w:r>
          </w:p>
        </w:tc>
        <w:tc>
          <w:tcPr>
            <w:tcW w:w="1081" w:type="pct"/>
            <w:shd w:val="clear" w:color="auto" w:fill="auto"/>
          </w:tcPr>
          <w:p w:rsidR="00E42B39" w:rsidRPr="0063779A" w:rsidRDefault="00E42B39" w:rsidP="00E42B39">
            <w:pPr>
              <w:pStyle w:val="TableCentre"/>
              <w:rPr>
                <w:rFonts w:ascii="Arial Narrow" w:hAnsi="Arial Narrow"/>
                <w:szCs w:val="20"/>
              </w:rPr>
            </w:pPr>
            <w:r w:rsidRPr="0063779A">
              <w:rPr>
                <w:rFonts w:ascii="Arial Narrow" w:hAnsi="Arial Narrow"/>
                <w:szCs w:val="20"/>
              </w:rPr>
              <w:t>1.09</w:t>
            </w:r>
          </w:p>
        </w:tc>
        <w:tc>
          <w:tcPr>
            <w:tcW w:w="1239" w:type="pct"/>
            <w:shd w:val="clear" w:color="auto" w:fill="auto"/>
            <w:vAlign w:val="bottom"/>
          </w:tcPr>
          <w:p w:rsidR="00E42B39" w:rsidRPr="0063779A" w:rsidRDefault="00E42B39" w:rsidP="00E42B39">
            <w:pPr>
              <w:pStyle w:val="TableCentre"/>
              <w:rPr>
                <w:rFonts w:ascii="Arial Narrow" w:hAnsi="Arial Narrow"/>
                <w:szCs w:val="20"/>
              </w:rPr>
            </w:pPr>
            <w:r w:rsidRPr="0063779A">
              <w:rPr>
                <w:rFonts w:ascii="Arial Narrow" w:hAnsi="Arial Narrow"/>
                <w:szCs w:val="20"/>
              </w:rPr>
              <w:t xml:space="preserve">0.79, 1.50 </w:t>
            </w:r>
          </w:p>
        </w:tc>
      </w:tr>
      <w:tr w:rsidR="00E42B39" w:rsidRPr="0063779A" w:rsidTr="00E42B39">
        <w:trPr>
          <w:trHeight w:val="20"/>
        </w:trPr>
        <w:tc>
          <w:tcPr>
            <w:tcW w:w="1090" w:type="pct"/>
            <w:shd w:val="clear" w:color="auto" w:fill="auto"/>
          </w:tcPr>
          <w:p w:rsidR="00E42B39" w:rsidRPr="0063779A" w:rsidRDefault="00E42B39" w:rsidP="00E42B39">
            <w:pPr>
              <w:pStyle w:val="Table"/>
              <w:rPr>
                <w:rFonts w:ascii="Arial Narrow" w:hAnsi="Arial Narrow"/>
                <w:szCs w:val="20"/>
              </w:rPr>
            </w:pPr>
            <w:r w:rsidRPr="0063779A">
              <w:rPr>
                <w:rFonts w:ascii="Arial Narrow" w:hAnsi="Arial Narrow"/>
                <w:szCs w:val="20"/>
              </w:rPr>
              <w:t>200</w:t>
            </w:r>
            <w:r w:rsidR="008D1D98">
              <w:rPr>
                <w:rFonts w:ascii="Arial Narrow" w:hAnsi="Arial Narrow"/>
                <w:szCs w:val="20"/>
              </w:rPr>
              <w:t> </w:t>
            </w:r>
            <w:r w:rsidRPr="0063779A">
              <w:rPr>
                <w:rFonts w:ascii="Arial Narrow" w:hAnsi="Arial Narrow"/>
                <w:szCs w:val="20"/>
              </w:rPr>
              <w:t xml:space="preserve">mg per day </w:t>
            </w:r>
          </w:p>
        </w:tc>
        <w:tc>
          <w:tcPr>
            <w:tcW w:w="1590" w:type="pct"/>
            <w:shd w:val="clear" w:color="auto" w:fill="auto"/>
          </w:tcPr>
          <w:p w:rsidR="00E42B39" w:rsidRPr="0063779A" w:rsidRDefault="00E42B39" w:rsidP="00E42B39">
            <w:pPr>
              <w:pStyle w:val="TableCentre"/>
              <w:rPr>
                <w:rFonts w:ascii="Arial Narrow" w:hAnsi="Arial Narrow"/>
                <w:szCs w:val="20"/>
              </w:rPr>
            </w:pPr>
            <w:r w:rsidRPr="0063779A">
              <w:rPr>
                <w:rFonts w:ascii="Arial Narrow" w:hAnsi="Arial Narrow"/>
                <w:szCs w:val="20"/>
              </w:rPr>
              <w:t>200/400</w:t>
            </w:r>
            <w:r w:rsidR="008D1D98">
              <w:rPr>
                <w:rFonts w:ascii="Arial Narrow" w:hAnsi="Arial Narrow"/>
                <w:szCs w:val="20"/>
              </w:rPr>
              <w:t> </w:t>
            </w:r>
            <w:r w:rsidRPr="0063779A">
              <w:rPr>
                <w:rFonts w:ascii="Arial Narrow" w:hAnsi="Arial Narrow"/>
                <w:szCs w:val="20"/>
              </w:rPr>
              <w:t xml:space="preserve">mg per day </w:t>
            </w:r>
          </w:p>
        </w:tc>
        <w:tc>
          <w:tcPr>
            <w:tcW w:w="1081" w:type="pct"/>
            <w:shd w:val="clear" w:color="auto" w:fill="auto"/>
          </w:tcPr>
          <w:p w:rsidR="00E42B39" w:rsidRPr="0063779A" w:rsidRDefault="00E42B39" w:rsidP="00E42B39">
            <w:pPr>
              <w:pStyle w:val="TableCentre"/>
              <w:rPr>
                <w:rFonts w:ascii="Arial Narrow" w:hAnsi="Arial Narrow"/>
                <w:szCs w:val="20"/>
              </w:rPr>
            </w:pPr>
            <w:r w:rsidRPr="0063779A">
              <w:rPr>
                <w:rFonts w:ascii="Arial Narrow" w:hAnsi="Arial Narrow"/>
                <w:szCs w:val="20"/>
              </w:rPr>
              <w:t>1.06</w:t>
            </w:r>
          </w:p>
        </w:tc>
        <w:tc>
          <w:tcPr>
            <w:tcW w:w="1239" w:type="pct"/>
            <w:shd w:val="clear" w:color="auto" w:fill="auto"/>
            <w:vAlign w:val="bottom"/>
          </w:tcPr>
          <w:p w:rsidR="00E42B39" w:rsidRPr="0063779A" w:rsidRDefault="00E42B39" w:rsidP="00E42B39">
            <w:pPr>
              <w:pStyle w:val="TableCentre"/>
              <w:rPr>
                <w:rFonts w:ascii="Arial Narrow" w:hAnsi="Arial Narrow"/>
                <w:szCs w:val="20"/>
              </w:rPr>
            </w:pPr>
            <w:r w:rsidRPr="0063779A">
              <w:rPr>
                <w:rFonts w:ascii="Arial Narrow" w:hAnsi="Arial Narrow"/>
                <w:szCs w:val="20"/>
              </w:rPr>
              <w:t xml:space="preserve">0.74, 1.51 </w:t>
            </w:r>
          </w:p>
        </w:tc>
      </w:tr>
      <w:tr w:rsidR="00E42B39" w:rsidRPr="0063779A" w:rsidTr="0022201B">
        <w:trPr>
          <w:trHeight w:val="20"/>
        </w:trPr>
        <w:tc>
          <w:tcPr>
            <w:tcW w:w="1090" w:type="pct"/>
            <w:tcBorders>
              <w:right w:val="nil"/>
            </w:tcBorders>
            <w:shd w:val="clear" w:color="auto" w:fill="auto"/>
          </w:tcPr>
          <w:p w:rsidR="00E42B39" w:rsidRPr="005B2B46" w:rsidRDefault="003E2E0A" w:rsidP="00E42B39">
            <w:pPr>
              <w:pStyle w:val="Table"/>
              <w:rPr>
                <w:rFonts w:ascii="Arial Narrow" w:hAnsi="Arial Narrow"/>
                <w:szCs w:val="20"/>
                <w:u w:val="single"/>
              </w:rPr>
            </w:pPr>
            <w:r>
              <w:rPr>
                <w:rFonts w:ascii="Arial Narrow" w:hAnsi="Arial Narrow"/>
                <w:szCs w:val="20"/>
                <w:u w:val="single"/>
              </w:rPr>
              <w:t>All</w:t>
            </w:r>
            <w:r w:rsidR="00E42B39" w:rsidRPr="005B2B46">
              <w:rPr>
                <w:rFonts w:ascii="Arial Narrow" w:hAnsi="Arial Narrow"/>
                <w:szCs w:val="20"/>
                <w:u w:val="single"/>
              </w:rPr>
              <w:t xml:space="preserve"> doses</w:t>
            </w:r>
          </w:p>
        </w:tc>
        <w:tc>
          <w:tcPr>
            <w:tcW w:w="1590" w:type="pct"/>
            <w:tcBorders>
              <w:left w:val="nil"/>
              <w:right w:val="nil"/>
            </w:tcBorders>
            <w:shd w:val="clear" w:color="auto" w:fill="auto"/>
          </w:tcPr>
          <w:p w:rsidR="00E42B39" w:rsidRPr="0063779A" w:rsidRDefault="00E42B39" w:rsidP="00E42B39">
            <w:pPr>
              <w:pStyle w:val="TableCentre"/>
              <w:rPr>
                <w:rFonts w:ascii="Arial Narrow" w:hAnsi="Arial Narrow"/>
                <w:szCs w:val="20"/>
              </w:rPr>
            </w:pPr>
          </w:p>
        </w:tc>
        <w:tc>
          <w:tcPr>
            <w:tcW w:w="1081" w:type="pct"/>
            <w:tcBorders>
              <w:left w:val="nil"/>
              <w:right w:val="nil"/>
            </w:tcBorders>
            <w:shd w:val="clear" w:color="auto" w:fill="auto"/>
          </w:tcPr>
          <w:p w:rsidR="00E42B39" w:rsidRPr="0063779A" w:rsidRDefault="00E42B39" w:rsidP="00E42B39">
            <w:pPr>
              <w:pStyle w:val="TableCentre"/>
              <w:rPr>
                <w:rFonts w:ascii="Arial Narrow" w:hAnsi="Arial Narrow"/>
                <w:szCs w:val="20"/>
              </w:rPr>
            </w:pPr>
          </w:p>
        </w:tc>
        <w:tc>
          <w:tcPr>
            <w:tcW w:w="1239" w:type="pct"/>
            <w:tcBorders>
              <w:left w:val="nil"/>
            </w:tcBorders>
            <w:shd w:val="clear" w:color="auto" w:fill="auto"/>
            <w:vAlign w:val="bottom"/>
          </w:tcPr>
          <w:p w:rsidR="00E42B39" w:rsidRPr="0063779A" w:rsidRDefault="00E42B39" w:rsidP="00E42B39">
            <w:pPr>
              <w:pStyle w:val="TableCentre"/>
              <w:rPr>
                <w:rFonts w:ascii="Arial Narrow" w:hAnsi="Arial Narrow"/>
                <w:szCs w:val="20"/>
              </w:rPr>
            </w:pPr>
          </w:p>
        </w:tc>
      </w:tr>
      <w:tr w:rsidR="00E42B39" w:rsidRPr="0063779A" w:rsidTr="00E42B39">
        <w:trPr>
          <w:trHeight w:val="20"/>
        </w:trPr>
        <w:tc>
          <w:tcPr>
            <w:tcW w:w="1090" w:type="pct"/>
            <w:shd w:val="clear" w:color="auto" w:fill="auto"/>
          </w:tcPr>
          <w:p w:rsidR="00E42B39" w:rsidRPr="0063779A" w:rsidRDefault="00E42B39" w:rsidP="00E42B39">
            <w:pPr>
              <w:pStyle w:val="Table"/>
              <w:rPr>
                <w:rFonts w:ascii="Arial Narrow" w:hAnsi="Arial Narrow"/>
                <w:szCs w:val="20"/>
              </w:rPr>
            </w:pPr>
            <w:r w:rsidRPr="0063779A">
              <w:rPr>
                <w:rFonts w:ascii="Arial Narrow" w:hAnsi="Arial Narrow"/>
                <w:szCs w:val="20"/>
              </w:rPr>
              <w:t>50</w:t>
            </w:r>
            <w:r w:rsidRPr="0063779A">
              <w:rPr>
                <w:rFonts w:ascii="Cambria Math" w:hAnsi="Cambria Math" w:cs="Cambria Math"/>
                <w:szCs w:val="20"/>
              </w:rPr>
              <w:t>‐</w:t>
            </w:r>
            <w:r w:rsidRPr="0063779A">
              <w:rPr>
                <w:rFonts w:ascii="Arial Narrow" w:hAnsi="Arial Narrow"/>
                <w:szCs w:val="20"/>
              </w:rPr>
              <w:t>200</w:t>
            </w:r>
            <w:r w:rsidR="008D1D98">
              <w:rPr>
                <w:rFonts w:ascii="Arial Narrow" w:hAnsi="Arial Narrow"/>
                <w:szCs w:val="20"/>
              </w:rPr>
              <w:t> </w:t>
            </w:r>
            <w:r w:rsidRPr="0063779A">
              <w:rPr>
                <w:rFonts w:ascii="Arial Narrow" w:hAnsi="Arial Narrow"/>
                <w:szCs w:val="20"/>
              </w:rPr>
              <w:t xml:space="preserve">mg per day </w:t>
            </w:r>
          </w:p>
        </w:tc>
        <w:tc>
          <w:tcPr>
            <w:tcW w:w="1590" w:type="pct"/>
            <w:shd w:val="clear" w:color="auto" w:fill="auto"/>
          </w:tcPr>
          <w:p w:rsidR="00E42B39" w:rsidRPr="0063779A" w:rsidRDefault="00E42B39" w:rsidP="00E42B39">
            <w:pPr>
              <w:pStyle w:val="TableCentre"/>
              <w:rPr>
                <w:rFonts w:ascii="Arial Narrow" w:hAnsi="Arial Narrow"/>
                <w:szCs w:val="20"/>
              </w:rPr>
            </w:pPr>
            <w:r w:rsidRPr="0063779A">
              <w:rPr>
                <w:rFonts w:ascii="Arial Narrow" w:hAnsi="Arial Narrow"/>
                <w:szCs w:val="20"/>
              </w:rPr>
              <w:t>200/400</w:t>
            </w:r>
            <w:r w:rsidR="008D1D98">
              <w:rPr>
                <w:rFonts w:ascii="Arial Narrow" w:hAnsi="Arial Narrow"/>
                <w:szCs w:val="20"/>
              </w:rPr>
              <w:t> </w:t>
            </w:r>
            <w:r w:rsidRPr="0063779A">
              <w:rPr>
                <w:rFonts w:ascii="Arial Narrow" w:hAnsi="Arial Narrow"/>
                <w:szCs w:val="20"/>
              </w:rPr>
              <w:t xml:space="preserve">mg per day </w:t>
            </w:r>
          </w:p>
        </w:tc>
        <w:tc>
          <w:tcPr>
            <w:tcW w:w="1081" w:type="pct"/>
            <w:shd w:val="clear" w:color="auto" w:fill="auto"/>
          </w:tcPr>
          <w:p w:rsidR="00E42B39" w:rsidRPr="0063779A" w:rsidRDefault="00E42B39" w:rsidP="00E42B39">
            <w:pPr>
              <w:pStyle w:val="TableCentre"/>
              <w:rPr>
                <w:rFonts w:ascii="Arial Narrow" w:hAnsi="Arial Narrow"/>
                <w:szCs w:val="20"/>
              </w:rPr>
            </w:pPr>
            <w:r w:rsidRPr="0063779A">
              <w:rPr>
                <w:rFonts w:ascii="Arial Narrow" w:hAnsi="Arial Narrow"/>
                <w:szCs w:val="20"/>
              </w:rPr>
              <w:t>1.06</w:t>
            </w:r>
          </w:p>
        </w:tc>
        <w:tc>
          <w:tcPr>
            <w:tcW w:w="1239" w:type="pct"/>
            <w:shd w:val="clear" w:color="auto" w:fill="auto"/>
            <w:vAlign w:val="bottom"/>
          </w:tcPr>
          <w:p w:rsidR="00E42B39" w:rsidRPr="0063779A" w:rsidRDefault="00E42B39" w:rsidP="00E42B39">
            <w:pPr>
              <w:pStyle w:val="TableCentre"/>
              <w:rPr>
                <w:rFonts w:ascii="Arial Narrow" w:hAnsi="Arial Narrow"/>
                <w:szCs w:val="20"/>
              </w:rPr>
            </w:pPr>
            <w:r w:rsidRPr="0063779A">
              <w:rPr>
                <w:rFonts w:ascii="Arial Narrow" w:hAnsi="Arial Narrow"/>
                <w:szCs w:val="20"/>
              </w:rPr>
              <w:t xml:space="preserve">0.79, 1.43 </w:t>
            </w:r>
          </w:p>
        </w:tc>
      </w:tr>
    </w:tbl>
    <w:p w:rsidR="00A50DEB" w:rsidRDefault="00E42B39" w:rsidP="00E42B39">
      <w:pPr>
        <w:pStyle w:val="TableFooter"/>
        <w:ind w:left="720"/>
      </w:pPr>
      <w:r w:rsidRPr="0063779A">
        <w:t>POS=partial onset seizures</w:t>
      </w:r>
    </w:p>
    <w:p w:rsidR="00E42B39" w:rsidRPr="00A70594" w:rsidRDefault="00E42B39" w:rsidP="00E42B39">
      <w:pPr>
        <w:pStyle w:val="TableFooter"/>
        <w:ind w:left="720"/>
      </w:pPr>
      <w:r w:rsidRPr="0063779A">
        <w:t>Source: Table B.32, p100 of the main body of the submission</w:t>
      </w:r>
    </w:p>
    <w:p w:rsidR="002158F6" w:rsidRDefault="002158F6">
      <w:pPr>
        <w:widowControl/>
        <w:jc w:val="left"/>
        <w:rPr>
          <w:rFonts w:ascii="Arial Narrow" w:hAnsi="Arial Narrow"/>
          <w:b/>
          <w:sz w:val="20"/>
        </w:rPr>
      </w:pPr>
    </w:p>
    <w:p w:rsidR="00E42B39" w:rsidRDefault="00984563" w:rsidP="00E42B39">
      <w:pPr>
        <w:pStyle w:val="TableHeader"/>
        <w:ind w:left="720"/>
      </w:pPr>
      <w:r>
        <w:t>Table 4</w:t>
      </w:r>
      <w:r w:rsidR="00E42B39">
        <w:t xml:space="preserve">: </w:t>
      </w:r>
      <w:r w:rsidR="00E42B39" w:rsidRPr="0063779A">
        <w:t xml:space="preserve">Indirect comparison between </w:t>
      </w:r>
      <w:proofErr w:type="spellStart"/>
      <w:r w:rsidR="00E42B39" w:rsidRPr="0063779A">
        <w:t>brivaracetam</w:t>
      </w:r>
      <w:proofErr w:type="spellEnd"/>
      <w:r w:rsidR="00E42B39" w:rsidRPr="0063779A">
        <w:t xml:space="preserve"> and </w:t>
      </w:r>
      <w:proofErr w:type="spellStart"/>
      <w:r w:rsidR="00E42B39" w:rsidRPr="0063779A">
        <w:t>lacosamide</w:t>
      </w:r>
      <w:proofErr w:type="spellEnd"/>
      <w:r w:rsidR="00E42B39" w:rsidRPr="0063779A">
        <w:t xml:space="preserve"> for reduction in </w:t>
      </w:r>
      <w:r w:rsidR="006E2C7C">
        <w:t xml:space="preserve">POS </w:t>
      </w:r>
      <w:r w:rsidR="00E42B39" w:rsidRPr="0063779A">
        <w:t>frequency</w:t>
      </w:r>
    </w:p>
    <w:tbl>
      <w:tblPr>
        <w:tblStyle w:val="TableGrid0"/>
        <w:tblW w:w="4607" w:type="pct"/>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115" w:type="dxa"/>
        </w:tblCellMar>
        <w:tblLook w:val="04A0" w:firstRow="1" w:lastRow="0" w:firstColumn="1" w:lastColumn="0" w:noHBand="0" w:noVBand="1"/>
      </w:tblPr>
      <w:tblGrid>
        <w:gridCol w:w="1220"/>
        <w:gridCol w:w="435"/>
        <w:gridCol w:w="1586"/>
        <w:gridCol w:w="1010"/>
        <w:gridCol w:w="1586"/>
        <w:gridCol w:w="32"/>
        <w:gridCol w:w="2558"/>
      </w:tblGrid>
      <w:tr w:rsidR="0022201B" w:rsidRPr="0063779A" w:rsidTr="0022201B">
        <w:trPr>
          <w:trHeight w:val="20"/>
          <w:tblHeader/>
        </w:trPr>
        <w:tc>
          <w:tcPr>
            <w:tcW w:w="982" w:type="pct"/>
            <w:gridSpan w:val="2"/>
            <w:vMerge w:val="restart"/>
            <w:shd w:val="clear" w:color="auto" w:fill="auto"/>
          </w:tcPr>
          <w:p w:rsidR="0022201B" w:rsidRPr="0063779A" w:rsidRDefault="0022201B" w:rsidP="00E42B39">
            <w:pPr>
              <w:pStyle w:val="Table"/>
              <w:rPr>
                <w:rStyle w:val="SmallBold"/>
                <w:rFonts w:ascii="Arial Narrow" w:hAnsi="Arial Narrow"/>
                <w:szCs w:val="20"/>
              </w:rPr>
            </w:pPr>
            <w:proofErr w:type="spellStart"/>
            <w:r w:rsidRPr="0063779A">
              <w:rPr>
                <w:rStyle w:val="SmallBold"/>
                <w:rFonts w:ascii="Arial Narrow" w:hAnsi="Arial Narrow"/>
                <w:szCs w:val="20"/>
              </w:rPr>
              <w:t>Brivaracetam</w:t>
            </w:r>
            <w:proofErr w:type="spellEnd"/>
            <w:r w:rsidRPr="0063779A">
              <w:rPr>
                <w:rStyle w:val="SmallBold"/>
                <w:rFonts w:ascii="Arial Narrow" w:hAnsi="Arial Narrow"/>
                <w:szCs w:val="20"/>
              </w:rPr>
              <w:t xml:space="preserve"> dose </w:t>
            </w:r>
          </w:p>
        </w:tc>
        <w:tc>
          <w:tcPr>
            <w:tcW w:w="1540" w:type="pct"/>
            <w:gridSpan w:val="2"/>
            <w:vMerge w:val="restart"/>
            <w:shd w:val="clear" w:color="auto" w:fill="auto"/>
          </w:tcPr>
          <w:p w:rsidR="0022201B" w:rsidRPr="0063779A" w:rsidRDefault="0022201B" w:rsidP="00E42B39">
            <w:pPr>
              <w:pStyle w:val="Table"/>
              <w:jc w:val="center"/>
              <w:rPr>
                <w:rStyle w:val="SmallBold"/>
                <w:rFonts w:ascii="Arial Narrow" w:hAnsi="Arial Narrow"/>
                <w:szCs w:val="20"/>
              </w:rPr>
            </w:pPr>
            <w:proofErr w:type="spellStart"/>
            <w:r w:rsidRPr="0063779A">
              <w:rPr>
                <w:rStyle w:val="SmallBold"/>
                <w:rFonts w:ascii="Arial Narrow" w:hAnsi="Arial Narrow"/>
                <w:szCs w:val="20"/>
              </w:rPr>
              <w:t>Lacosamide</w:t>
            </w:r>
            <w:proofErr w:type="spellEnd"/>
            <w:r w:rsidRPr="0063779A">
              <w:rPr>
                <w:rStyle w:val="SmallBold"/>
                <w:rFonts w:ascii="Arial Narrow" w:hAnsi="Arial Narrow"/>
                <w:szCs w:val="20"/>
              </w:rPr>
              <w:t xml:space="preserve"> dose</w:t>
            </w:r>
          </w:p>
        </w:tc>
        <w:tc>
          <w:tcPr>
            <w:tcW w:w="2478" w:type="pct"/>
            <w:gridSpan w:val="3"/>
            <w:shd w:val="clear" w:color="auto" w:fill="auto"/>
          </w:tcPr>
          <w:p w:rsidR="0022201B" w:rsidRPr="0063779A" w:rsidRDefault="0022201B" w:rsidP="00E42B39">
            <w:pPr>
              <w:pStyle w:val="TableCentre"/>
              <w:rPr>
                <w:rStyle w:val="SmallBold"/>
                <w:rFonts w:ascii="Arial Narrow" w:hAnsi="Arial Narrow"/>
                <w:b w:val="0"/>
                <w:szCs w:val="20"/>
              </w:rPr>
            </w:pPr>
            <w:r w:rsidRPr="0063779A">
              <w:rPr>
                <w:rStyle w:val="SmallBold"/>
                <w:rFonts w:ascii="Arial Narrow" w:hAnsi="Arial Narrow"/>
                <w:szCs w:val="20"/>
              </w:rPr>
              <w:t>Ratio of medians (seizure frequency + 1)</w:t>
            </w:r>
            <w:r>
              <w:rPr>
                <w:rStyle w:val="SmallBold"/>
                <w:rFonts w:ascii="Arial Narrow" w:hAnsi="Arial Narrow"/>
                <w:szCs w:val="20"/>
                <w:vertAlign w:val="superscript"/>
              </w:rPr>
              <w:t>a</w:t>
            </w:r>
            <w:r w:rsidRPr="0063779A">
              <w:rPr>
                <w:rStyle w:val="SmallBold"/>
                <w:rFonts w:ascii="Arial Narrow" w:hAnsi="Arial Narrow"/>
                <w:szCs w:val="20"/>
              </w:rPr>
              <w:t xml:space="preserve"> </w:t>
            </w:r>
            <w:proofErr w:type="spellStart"/>
            <w:r w:rsidRPr="0063779A">
              <w:rPr>
                <w:rStyle w:val="SmallBold"/>
                <w:rFonts w:ascii="Arial Narrow" w:hAnsi="Arial Narrow"/>
                <w:szCs w:val="20"/>
              </w:rPr>
              <w:t>Brivaracetam</w:t>
            </w:r>
            <w:proofErr w:type="spellEnd"/>
            <w:r w:rsidRPr="0063779A">
              <w:rPr>
                <w:rStyle w:val="SmallBold"/>
                <w:rFonts w:ascii="Arial Narrow" w:hAnsi="Arial Narrow"/>
                <w:szCs w:val="20"/>
              </w:rPr>
              <w:t>/</w:t>
            </w:r>
            <w:proofErr w:type="spellStart"/>
            <w:r w:rsidRPr="0063779A">
              <w:rPr>
                <w:rStyle w:val="SmallBold"/>
                <w:rFonts w:ascii="Arial Narrow" w:hAnsi="Arial Narrow"/>
                <w:szCs w:val="20"/>
              </w:rPr>
              <w:t>Lacosamide</w:t>
            </w:r>
            <w:proofErr w:type="spellEnd"/>
          </w:p>
        </w:tc>
      </w:tr>
      <w:tr w:rsidR="0022201B" w:rsidRPr="00D72EA5" w:rsidTr="0022201B">
        <w:trPr>
          <w:trHeight w:val="20"/>
        </w:trPr>
        <w:tc>
          <w:tcPr>
            <w:tcW w:w="982" w:type="pct"/>
            <w:gridSpan w:val="2"/>
            <w:vMerge/>
            <w:shd w:val="clear" w:color="auto" w:fill="auto"/>
          </w:tcPr>
          <w:p w:rsidR="0022201B" w:rsidRPr="0063779A" w:rsidRDefault="0022201B" w:rsidP="00E42B39">
            <w:pPr>
              <w:pStyle w:val="Table"/>
              <w:rPr>
                <w:rStyle w:val="SmallBold"/>
                <w:rFonts w:ascii="Arial Narrow" w:hAnsi="Arial Narrow"/>
                <w:szCs w:val="20"/>
              </w:rPr>
            </w:pPr>
          </w:p>
        </w:tc>
        <w:tc>
          <w:tcPr>
            <w:tcW w:w="1540" w:type="pct"/>
            <w:gridSpan w:val="2"/>
            <w:vMerge/>
            <w:shd w:val="clear" w:color="auto" w:fill="auto"/>
          </w:tcPr>
          <w:p w:rsidR="0022201B" w:rsidRPr="0063779A" w:rsidRDefault="0022201B" w:rsidP="00E42B39">
            <w:pPr>
              <w:pStyle w:val="Table"/>
              <w:rPr>
                <w:rStyle w:val="SmallBold"/>
                <w:rFonts w:ascii="Arial Narrow" w:hAnsi="Arial Narrow"/>
                <w:szCs w:val="20"/>
              </w:rPr>
            </w:pPr>
          </w:p>
        </w:tc>
        <w:tc>
          <w:tcPr>
            <w:tcW w:w="941" w:type="pct"/>
            <w:shd w:val="clear" w:color="auto" w:fill="auto"/>
          </w:tcPr>
          <w:p w:rsidR="0022201B" w:rsidRPr="0063779A" w:rsidRDefault="0022201B" w:rsidP="00E42B39">
            <w:pPr>
              <w:pStyle w:val="TableCentre"/>
              <w:rPr>
                <w:rStyle w:val="SmallBold"/>
                <w:rFonts w:ascii="Arial Narrow" w:hAnsi="Arial Narrow"/>
                <w:szCs w:val="20"/>
              </w:rPr>
            </w:pPr>
            <w:r w:rsidRPr="0063779A">
              <w:rPr>
                <w:rStyle w:val="SmallBold"/>
                <w:rFonts w:ascii="Arial Narrow" w:hAnsi="Arial Narrow"/>
                <w:szCs w:val="20"/>
              </w:rPr>
              <w:t xml:space="preserve">Estimate </w:t>
            </w:r>
          </w:p>
        </w:tc>
        <w:tc>
          <w:tcPr>
            <w:tcW w:w="1537" w:type="pct"/>
            <w:gridSpan w:val="2"/>
            <w:shd w:val="clear" w:color="auto" w:fill="auto"/>
          </w:tcPr>
          <w:p w:rsidR="0022201B" w:rsidRPr="00D72EA5" w:rsidRDefault="0022201B" w:rsidP="00E42B39">
            <w:pPr>
              <w:pStyle w:val="TableCentre"/>
              <w:rPr>
                <w:rStyle w:val="SmallBold"/>
                <w:rFonts w:ascii="Arial Narrow" w:hAnsi="Arial Narrow"/>
                <w:szCs w:val="20"/>
              </w:rPr>
            </w:pPr>
            <w:r w:rsidRPr="0063779A">
              <w:rPr>
                <w:rStyle w:val="SmallBold"/>
                <w:rFonts w:ascii="Arial Narrow" w:hAnsi="Arial Narrow"/>
                <w:szCs w:val="20"/>
              </w:rPr>
              <w:t>95% confidence interval</w:t>
            </w:r>
            <w:r w:rsidRPr="00D72EA5">
              <w:rPr>
                <w:rStyle w:val="SmallBold"/>
                <w:rFonts w:ascii="Arial Narrow" w:hAnsi="Arial Narrow"/>
                <w:szCs w:val="20"/>
              </w:rPr>
              <w:t xml:space="preserve"> </w:t>
            </w:r>
          </w:p>
        </w:tc>
      </w:tr>
      <w:tr w:rsidR="003E2E0A" w:rsidRPr="00D72EA5" w:rsidDel="004C5E0B" w:rsidTr="0022201B">
        <w:trPr>
          <w:trHeight w:val="20"/>
        </w:trPr>
        <w:tc>
          <w:tcPr>
            <w:tcW w:w="3482" w:type="pct"/>
            <w:gridSpan w:val="6"/>
            <w:tcBorders>
              <w:right w:val="nil"/>
            </w:tcBorders>
            <w:shd w:val="clear" w:color="auto" w:fill="auto"/>
          </w:tcPr>
          <w:p w:rsidR="003E2E0A" w:rsidRPr="00D72EA5" w:rsidDel="004C5E0B" w:rsidRDefault="003E2E0A" w:rsidP="003E2E0A">
            <w:pPr>
              <w:pStyle w:val="TableCentre"/>
              <w:jc w:val="both"/>
              <w:rPr>
                <w:rFonts w:ascii="Arial Narrow" w:hAnsi="Arial Narrow"/>
                <w:szCs w:val="20"/>
              </w:rPr>
            </w:pPr>
            <w:r w:rsidRPr="00D72EA5">
              <w:rPr>
                <w:rFonts w:ascii="Arial Narrow" w:hAnsi="Arial Narrow"/>
                <w:szCs w:val="20"/>
              </w:rPr>
              <w:t>By individual dose</w:t>
            </w:r>
          </w:p>
        </w:tc>
        <w:tc>
          <w:tcPr>
            <w:tcW w:w="1518" w:type="pct"/>
            <w:tcBorders>
              <w:left w:val="nil"/>
            </w:tcBorders>
            <w:shd w:val="clear" w:color="auto" w:fill="auto"/>
            <w:vAlign w:val="bottom"/>
          </w:tcPr>
          <w:p w:rsidR="003E2E0A" w:rsidRPr="00D72EA5" w:rsidDel="004C5E0B" w:rsidRDefault="003E2E0A" w:rsidP="00E42B39">
            <w:pPr>
              <w:pStyle w:val="TableCentre"/>
              <w:rPr>
                <w:rFonts w:ascii="Arial Narrow" w:hAnsi="Arial Narrow"/>
                <w:szCs w:val="20"/>
              </w:rPr>
            </w:pPr>
          </w:p>
        </w:tc>
      </w:tr>
      <w:tr w:rsidR="00E42B39" w:rsidRPr="00D72EA5" w:rsidTr="00E42B39">
        <w:trPr>
          <w:trHeight w:val="20"/>
        </w:trPr>
        <w:tc>
          <w:tcPr>
            <w:tcW w:w="982" w:type="pct"/>
            <w:gridSpan w:val="2"/>
            <w:shd w:val="clear" w:color="auto" w:fill="auto"/>
          </w:tcPr>
          <w:p w:rsidR="00E42B39" w:rsidRPr="00D72EA5" w:rsidRDefault="00E42B39" w:rsidP="00E42B39">
            <w:pPr>
              <w:pStyle w:val="Table"/>
              <w:rPr>
                <w:rFonts w:ascii="Arial Narrow" w:hAnsi="Arial Narrow"/>
                <w:szCs w:val="20"/>
              </w:rPr>
            </w:pPr>
            <w:r w:rsidRPr="00D72EA5">
              <w:rPr>
                <w:rFonts w:ascii="Arial Narrow" w:hAnsi="Arial Narrow"/>
                <w:szCs w:val="20"/>
              </w:rPr>
              <w:t>50</w:t>
            </w:r>
            <w:r w:rsidR="008D1D98">
              <w:rPr>
                <w:rFonts w:ascii="Arial Narrow" w:hAnsi="Arial Narrow"/>
                <w:szCs w:val="20"/>
              </w:rPr>
              <w:t> </w:t>
            </w:r>
            <w:r w:rsidRPr="00D72EA5">
              <w:rPr>
                <w:rFonts w:ascii="Arial Narrow" w:hAnsi="Arial Narrow"/>
                <w:szCs w:val="20"/>
              </w:rPr>
              <w:t xml:space="preserve">mg per day </w:t>
            </w:r>
          </w:p>
        </w:tc>
        <w:tc>
          <w:tcPr>
            <w:tcW w:w="1540" w:type="pct"/>
            <w:gridSpan w:val="2"/>
            <w:shd w:val="clear" w:color="auto" w:fill="auto"/>
          </w:tcPr>
          <w:p w:rsidR="00E42B39" w:rsidRPr="00D72EA5" w:rsidRDefault="00E42B39" w:rsidP="00E42B39">
            <w:pPr>
              <w:pStyle w:val="Table"/>
              <w:jc w:val="center"/>
              <w:rPr>
                <w:rFonts w:ascii="Arial Narrow" w:hAnsi="Arial Narrow"/>
                <w:szCs w:val="20"/>
              </w:rPr>
            </w:pPr>
            <w:r w:rsidRPr="00D72EA5">
              <w:rPr>
                <w:rFonts w:ascii="Arial Narrow" w:hAnsi="Arial Narrow"/>
                <w:szCs w:val="20"/>
              </w:rPr>
              <w:t>200/400</w:t>
            </w:r>
            <w:r w:rsidR="008D1D98">
              <w:rPr>
                <w:rFonts w:ascii="Arial Narrow" w:hAnsi="Arial Narrow"/>
                <w:szCs w:val="20"/>
              </w:rPr>
              <w:t> </w:t>
            </w:r>
            <w:r w:rsidRPr="00D72EA5">
              <w:rPr>
                <w:rFonts w:ascii="Arial Narrow" w:hAnsi="Arial Narrow"/>
                <w:szCs w:val="20"/>
              </w:rPr>
              <w:t>mg per day</w:t>
            </w:r>
          </w:p>
        </w:tc>
        <w:tc>
          <w:tcPr>
            <w:tcW w:w="941" w:type="pct"/>
            <w:shd w:val="clear" w:color="auto" w:fill="auto"/>
            <w:vAlign w:val="bottom"/>
          </w:tcPr>
          <w:p w:rsidR="00E42B39" w:rsidRPr="00D72EA5" w:rsidRDefault="00E42B39" w:rsidP="00E42B39">
            <w:pPr>
              <w:pStyle w:val="TableCentre"/>
              <w:rPr>
                <w:rFonts w:ascii="Arial Narrow" w:hAnsi="Arial Narrow"/>
                <w:szCs w:val="20"/>
              </w:rPr>
            </w:pPr>
            <w:r w:rsidRPr="00D72EA5">
              <w:rPr>
                <w:rFonts w:ascii="Arial Narrow" w:hAnsi="Arial Narrow"/>
                <w:szCs w:val="20"/>
              </w:rPr>
              <w:t xml:space="preserve">1.08 </w:t>
            </w:r>
          </w:p>
        </w:tc>
        <w:tc>
          <w:tcPr>
            <w:tcW w:w="1537" w:type="pct"/>
            <w:gridSpan w:val="2"/>
            <w:shd w:val="clear" w:color="auto" w:fill="auto"/>
            <w:vAlign w:val="bottom"/>
          </w:tcPr>
          <w:p w:rsidR="00E42B39" w:rsidRPr="00D72EA5" w:rsidRDefault="00E42B39" w:rsidP="00E42B39">
            <w:pPr>
              <w:pStyle w:val="TableCentre"/>
              <w:rPr>
                <w:rFonts w:ascii="Arial Narrow" w:hAnsi="Arial Narrow"/>
                <w:szCs w:val="20"/>
              </w:rPr>
            </w:pPr>
            <w:r w:rsidRPr="00D72EA5">
              <w:rPr>
                <w:rFonts w:ascii="Arial Narrow" w:hAnsi="Arial Narrow"/>
                <w:szCs w:val="20"/>
              </w:rPr>
              <w:t xml:space="preserve">0.94, 1.24 </w:t>
            </w:r>
          </w:p>
        </w:tc>
      </w:tr>
      <w:tr w:rsidR="00E42B39" w:rsidRPr="00D72EA5" w:rsidTr="00E42B39">
        <w:trPr>
          <w:trHeight w:val="20"/>
        </w:trPr>
        <w:tc>
          <w:tcPr>
            <w:tcW w:w="982" w:type="pct"/>
            <w:gridSpan w:val="2"/>
            <w:shd w:val="clear" w:color="auto" w:fill="auto"/>
          </w:tcPr>
          <w:p w:rsidR="00E42B39" w:rsidRPr="00D72EA5" w:rsidRDefault="00E42B39" w:rsidP="00E42B39">
            <w:pPr>
              <w:pStyle w:val="Table"/>
              <w:rPr>
                <w:rFonts w:ascii="Arial Narrow" w:hAnsi="Arial Narrow"/>
                <w:szCs w:val="20"/>
              </w:rPr>
            </w:pPr>
            <w:r w:rsidRPr="00D72EA5">
              <w:rPr>
                <w:rFonts w:ascii="Arial Narrow" w:hAnsi="Arial Narrow"/>
                <w:szCs w:val="20"/>
              </w:rPr>
              <w:t>100</w:t>
            </w:r>
            <w:r w:rsidR="008D1D98">
              <w:rPr>
                <w:rFonts w:ascii="Arial Narrow" w:hAnsi="Arial Narrow"/>
                <w:szCs w:val="20"/>
              </w:rPr>
              <w:t> </w:t>
            </w:r>
            <w:r w:rsidRPr="00D72EA5">
              <w:rPr>
                <w:rFonts w:ascii="Arial Narrow" w:hAnsi="Arial Narrow"/>
                <w:szCs w:val="20"/>
              </w:rPr>
              <w:t xml:space="preserve">mg per day </w:t>
            </w:r>
          </w:p>
        </w:tc>
        <w:tc>
          <w:tcPr>
            <w:tcW w:w="1540" w:type="pct"/>
            <w:gridSpan w:val="2"/>
            <w:shd w:val="clear" w:color="auto" w:fill="auto"/>
          </w:tcPr>
          <w:p w:rsidR="00E42B39" w:rsidRPr="00D72EA5" w:rsidRDefault="00E42B39" w:rsidP="00E42B39">
            <w:pPr>
              <w:pStyle w:val="Table"/>
              <w:jc w:val="center"/>
              <w:rPr>
                <w:rFonts w:ascii="Arial Narrow" w:hAnsi="Arial Narrow"/>
                <w:szCs w:val="20"/>
              </w:rPr>
            </w:pPr>
            <w:r w:rsidRPr="00D72EA5">
              <w:rPr>
                <w:rFonts w:ascii="Arial Narrow" w:hAnsi="Arial Narrow"/>
                <w:szCs w:val="20"/>
              </w:rPr>
              <w:t>200/400</w:t>
            </w:r>
            <w:r w:rsidR="008D1D98">
              <w:rPr>
                <w:rFonts w:ascii="Arial Narrow" w:hAnsi="Arial Narrow"/>
                <w:szCs w:val="20"/>
              </w:rPr>
              <w:t> </w:t>
            </w:r>
            <w:r w:rsidRPr="00D72EA5">
              <w:rPr>
                <w:rFonts w:ascii="Arial Narrow" w:hAnsi="Arial Narrow"/>
                <w:szCs w:val="20"/>
              </w:rPr>
              <w:t>mg per day</w:t>
            </w:r>
          </w:p>
        </w:tc>
        <w:tc>
          <w:tcPr>
            <w:tcW w:w="941" w:type="pct"/>
            <w:shd w:val="clear" w:color="auto" w:fill="auto"/>
            <w:vAlign w:val="bottom"/>
          </w:tcPr>
          <w:p w:rsidR="00E42B39" w:rsidRPr="00D72EA5" w:rsidRDefault="00E42B39" w:rsidP="00E42B39">
            <w:pPr>
              <w:pStyle w:val="TableCentre"/>
              <w:rPr>
                <w:rFonts w:ascii="Arial Narrow" w:hAnsi="Arial Narrow"/>
                <w:szCs w:val="20"/>
              </w:rPr>
            </w:pPr>
            <w:r w:rsidRPr="00D72EA5">
              <w:rPr>
                <w:rFonts w:ascii="Arial Narrow" w:hAnsi="Arial Narrow"/>
                <w:szCs w:val="20"/>
              </w:rPr>
              <w:t xml:space="preserve">0.98 </w:t>
            </w:r>
          </w:p>
        </w:tc>
        <w:tc>
          <w:tcPr>
            <w:tcW w:w="1537" w:type="pct"/>
            <w:gridSpan w:val="2"/>
            <w:shd w:val="clear" w:color="auto" w:fill="auto"/>
            <w:vAlign w:val="bottom"/>
          </w:tcPr>
          <w:p w:rsidR="00E42B39" w:rsidRPr="00D72EA5" w:rsidRDefault="00E42B39" w:rsidP="00E42B39">
            <w:pPr>
              <w:pStyle w:val="TableCentre"/>
              <w:rPr>
                <w:rFonts w:ascii="Arial Narrow" w:hAnsi="Arial Narrow"/>
                <w:szCs w:val="20"/>
              </w:rPr>
            </w:pPr>
            <w:r w:rsidRPr="00D72EA5">
              <w:rPr>
                <w:rFonts w:ascii="Arial Narrow" w:hAnsi="Arial Narrow"/>
                <w:szCs w:val="20"/>
              </w:rPr>
              <w:t xml:space="preserve">0.86, 1.11 </w:t>
            </w:r>
          </w:p>
        </w:tc>
      </w:tr>
      <w:tr w:rsidR="00E42B39" w:rsidRPr="00D72EA5" w:rsidTr="00E42B39">
        <w:trPr>
          <w:trHeight w:val="20"/>
        </w:trPr>
        <w:tc>
          <w:tcPr>
            <w:tcW w:w="982" w:type="pct"/>
            <w:gridSpan w:val="2"/>
            <w:shd w:val="clear" w:color="auto" w:fill="auto"/>
          </w:tcPr>
          <w:p w:rsidR="00E42B39" w:rsidRPr="00D72EA5" w:rsidRDefault="00E42B39" w:rsidP="00E42B39">
            <w:pPr>
              <w:pStyle w:val="Table"/>
              <w:rPr>
                <w:rFonts w:ascii="Arial Narrow" w:hAnsi="Arial Narrow"/>
                <w:szCs w:val="20"/>
              </w:rPr>
            </w:pPr>
            <w:r w:rsidRPr="00D72EA5">
              <w:rPr>
                <w:rFonts w:ascii="Arial Narrow" w:hAnsi="Arial Narrow"/>
                <w:szCs w:val="20"/>
              </w:rPr>
              <w:t>200</w:t>
            </w:r>
            <w:r w:rsidR="008D1D98">
              <w:rPr>
                <w:rFonts w:ascii="Arial Narrow" w:hAnsi="Arial Narrow"/>
                <w:szCs w:val="20"/>
              </w:rPr>
              <w:t> </w:t>
            </w:r>
            <w:r w:rsidRPr="00D72EA5">
              <w:rPr>
                <w:rFonts w:ascii="Arial Narrow" w:hAnsi="Arial Narrow"/>
                <w:szCs w:val="20"/>
              </w:rPr>
              <w:t xml:space="preserve">mg per day </w:t>
            </w:r>
          </w:p>
        </w:tc>
        <w:tc>
          <w:tcPr>
            <w:tcW w:w="1540" w:type="pct"/>
            <w:gridSpan w:val="2"/>
            <w:shd w:val="clear" w:color="auto" w:fill="auto"/>
          </w:tcPr>
          <w:p w:rsidR="00E42B39" w:rsidRPr="00D72EA5" w:rsidRDefault="00E42B39" w:rsidP="00E42B39">
            <w:pPr>
              <w:pStyle w:val="Table"/>
              <w:jc w:val="center"/>
              <w:rPr>
                <w:rFonts w:ascii="Arial Narrow" w:hAnsi="Arial Narrow"/>
                <w:szCs w:val="20"/>
              </w:rPr>
            </w:pPr>
            <w:r w:rsidRPr="00D72EA5">
              <w:rPr>
                <w:rFonts w:ascii="Arial Narrow" w:hAnsi="Arial Narrow"/>
                <w:szCs w:val="20"/>
              </w:rPr>
              <w:t>200/400</w:t>
            </w:r>
            <w:r w:rsidR="008D1D98">
              <w:rPr>
                <w:rFonts w:ascii="Arial Narrow" w:hAnsi="Arial Narrow"/>
                <w:szCs w:val="20"/>
              </w:rPr>
              <w:t> </w:t>
            </w:r>
            <w:r w:rsidRPr="00D72EA5">
              <w:rPr>
                <w:rFonts w:ascii="Arial Narrow" w:hAnsi="Arial Narrow"/>
                <w:szCs w:val="20"/>
              </w:rPr>
              <w:t>mg per day</w:t>
            </w:r>
          </w:p>
        </w:tc>
        <w:tc>
          <w:tcPr>
            <w:tcW w:w="941" w:type="pct"/>
            <w:shd w:val="clear" w:color="auto" w:fill="auto"/>
            <w:vAlign w:val="bottom"/>
          </w:tcPr>
          <w:p w:rsidR="00E42B39" w:rsidRPr="00D72EA5" w:rsidRDefault="00E42B39" w:rsidP="00E42B39">
            <w:pPr>
              <w:pStyle w:val="TableCentre"/>
              <w:rPr>
                <w:rFonts w:ascii="Arial Narrow" w:hAnsi="Arial Narrow"/>
                <w:szCs w:val="20"/>
              </w:rPr>
            </w:pPr>
            <w:r w:rsidRPr="00D72EA5">
              <w:rPr>
                <w:rFonts w:ascii="Arial Narrow" w:hAnsi="Arial Narrow"/>
                <w:szCs w:val="20"/>
              </w:rPr>
              <w:t xml:space="preserve">0.94 </w:t>
            </w:r>
          </w:p>
        </w:tc>
        <w:tc>
          <w:tcPr>
            <w:tcW w:w="1537" w:type="pct"/>
            <w:gridSpan w:val="2"/>
            <w:shd w:val="clear" w:color="auto" w:fill="auto"/>
            <w:vAlign w:val="bottom"/>
          </w:tcPr>
          <w:p w:rsidR="00E42B39" w:rsidRPr="00D72EA5" w:rsidRDefault="00E42B39" w:rsidP="00E42B39">
            <w:pPr>
              <w:pStyle w:val="TableCentre"/>
              <w:rPr>
                <w:rFonts w:ascii="Arial Narrow" w:hAnsi="Arial Narrow"/>
                <w:szCs w:val="20"/>
              </w:rPr>
            </w:pPr>
            <w:r w:rsidRPr="00D72EA5">
              <w:rPr>
                <w:rFonts w:ascii="Arial Narrow" w:hAnsi="Arial Narrow"/>
                <w:szCs w:val="20"/>
              </w:rPr>
              <w:t xml:space="preserve">0.81, 1.09 </w:t>
            </w:r>
          </w:p>
        </w:tc>
      </w:tr>
      <w:tr w:rsidR="00E42B39" w:rsidRPr="00D72EA5" w:rsidTr="0022201B">
        <w:trPr>
          <w:trHeight w:val="20"/>
        </w:trPr>
        <w:tc>
          <w:tcPr>
            <w:tcW w:w="724" w:type="pct"/>
            <w:tcBorders>
              <w:right w:val="nil"/>
            </w:tcBorders>
            <w:shd w:val="clear" w:color="auto" w:fill="auto"/>
          </w:tcPr>
          <w:p w:rsidR="00E42B39" w:rsidRPr="005B2B46" w:rsidRDefault="003E2E0A" w:rsidP="00E42B39">
            <w:pPr>
              <w:pStyle w:val="Table"/>
              <w:rPr>
                <w:rFonts w:ascii="Arial Narrow" w:hAnsi="Arial Narrow"/>
                <w:szCs w:val="20"/>
                <w:u w:val="single"/>
              </w:rPr>
            </w:pPr>
            <w:r>
              <w:rPr>
                <w:rFonts w:ascii="Arial Narrow" w:hAnsi="Arial Narrow"/>
                <w:szCs w:val="20"/>
                <w:u w:val="single"/>
              </w:rPr>
              <w:t>All</w:t>
            </w:r>
            <w:r w:rsidR="00E42B39" w:rsidRPr="005B2B46">
              <w:rPr>
                <w:rFonts w:ascii="Arial Narrow" w:hAnsi="Arial Narrow"/>
                <w:szCs w:val="20"/>
                <w:u w:val="single"/>
              </w:rPr>
              <w:t xml:space="preserve"> doses</w:t>
            </w:r>
          </w:p>
        </w:tc>
        <w:tc>
          <w:tcPr>
            <w:tcW w:w="1199" w:type="pct"/>
            <w:gridSpan w:val="2"/>
            <w:tcBorders>
              <w:left w:val="nil"/>
              <w:right w:val="nil"/>
            </w:tcBorders>
            <w:shd w:val="clear" w:color="auto" w:fill="auto"/>
          </w:tcPr>
          <w:p w:rsidR="00E42B39" w:rsidRPr="005B2B46" w:rsidRDefault="00E42B39" w:rsidP="00E42B39">
            <w:pPr>
              <w:pStyle w:val="TableCentre"/>
              <w:rPr>
                <w:rFonts w:ascii="Arial Narrow" w:hAnsi="Arial Narrow"/>
                <w:szCs w:val="20"/>
                <w:u w:val="single"/>
              </w:rPr>
            </w:pPr>
          </w:p>
        </w:tc>
        <w:tc>
          <w:tcPr>
            <w:tcW w:w="1559" w:type="pct"/>
            <w:gridSpan w:val="3"/>
            <w:tcBorders>
              <w:left w:val="nil"/>
              <w:right w:val="nil"/>
            </w:tcBorders>
            <w:shd w:val="clear" w:color="auto" w:fill="auto"/>
          </w:tcPr>
          <w:p w:rsidR="00E42B39" w:rsidRPr="00D72EA5" w:rsidRDefault="00E42B39" w:rsidP="00E42B39">
            <w:pPr>
              <w:pStyle w:val="TableCentre"/>
              <w:rPr>
                <w:rFonts w:ascii="Arial Narrow" w:hAnsi="Arial Narrow"/>
                <w:szCs w:val="20"/>
              </w:rPr>
            </w:pPr>
          </w:p>
        </w:tc>
        <w:tc>
          <w:tcPr>
            <w:tcW w:w="1518" w:type="pct"/>
            <w:tcBorders>
              <w:left w:val="nil"/>
            </w:tcBorders>
            <w:shd w:val="clear" w:color="auto" w:fill="auto"/>
            <w:vAlign w:val="bottom"/>
          </w:tcPr>
          <w:p w:rsidR="00E42B39" w:rsidRPr="00D72EA5" w:rsidRDefault="00E42B39" w:rsidP="00E42B39">
            <w:pPr>
              <w:pStyle w:val="TableCentre"/>
              <w:rPr>
                <w:rFonts w:ascii="Arial Narrow" w:hAnsi="Arial Narrow"/>
                <w:szCs w:val="20"/>
              </w:rPr>
            </w:pPr>
          </w:p>
        </w:tc>
      </w:tr>
      <w:tr w:rsidR="00E42B39" w:rsidRPr="00D72EA5" w:rsidTr="00E42B39">
        <w:trPr>
          <w:trHeight w:val="20"/>
        </w:trPr>
        <w:tc>
          <w:tcPr>
            <w:tcW w:w="982" w:type="pct"/>
            <w:gridSpan w:val="2"/>
            <w:shd w:val="clear" w:color="auto" w:fill="auto"/>
          </w:tcPr>
          <w:p w:rsidR="00E42B39" w:rsidRPr="00D72EA5" w:rsidRDefault="00E42B39" w:rsidP="00E42B39">
            <w:pPr>
              <w:pStyle w:val="Table"/>
              <w:rPr>
                <w:rFonts w:ascii="Arial Narrow" w:hAnsi="Arial Narrow"/>
                <w:szCs w:val="20"/>
              </w:rPr>
            </w:pPr>
            <w:r w:rsidRPr="00D72EA5">
              <w:rPr>
                <w:rFonts w:ascii="Arial Narrow" w:hAnsi="Arial Narrow"/>
                <w:szCs w:val="20"/>
              </w:rPr>
              <w:t>50</w:t>
            </w:r>
            <w:r w:rsidRPr="00D72EA5">
              <w:rPr>
                <w:rFonts w:ascii="Cambria Math" w:hAnsi="Cambria Math" w:cs="Cambria Math"/>
                <w:szCs w:val="20"/>
              </w:rPr>
              <w:t>‐</w:t>
            </w:r>
            <w:r w:rsidRPr="00D72EA5">
              <w:rPr>
                <w:rFonts w:ascii="Arial Narrow" w:hAnsi="Arial Narrow"/>
                <w:szCs w:val="20"/>
              </w:rPr>
              <w:t>200</w:t>
            </w:r>
            <w:r w:rsidR="008D1D98">
              <w:rPr>
                <w:rFonts w:ascii="Arial Narrow" w:hAnsi="Arial Narrow"/>
                <w:szCs w:val="20"/>
              </w:rPr>
              <w:t> </w:t>
            </w:r>
            <w:r w:rsidRPr="00D72EA5">
              <w:rPr>
                <w:rFonts w:ascii="Arial Narrow" w:hAnsi="Arial Narrow"/>
                <w:szCs w:val="20"/>
              </w:rPr>
              <w:t xml:space="preserve">mg per day </w:t>
            </w:r>
          </w:p>
        </w:tc>
        <w:tc>
          <w:tcPr>
            <w:tcW w:w="1540" w:type="pct"/>
            <w:gridSpan w:val="2"/>
            <w:shd w:val="clear" w:color="auto" w:fill="auto"/>
          </w:tcPr>
          <w:p w:rsidR="00E42B39" w:rsidRPr="00D72EA5" w:rsidRDefault="00E42B39" w:rsidP="00E42B39">
            <w:pPr>
              <w:pStyle w:val="Table"/>
              <w:jc w:val="center"/>
              <w:rPr>
                <w:rFonts w:ascii="Arial Narrow" w:hAnsi="Arial Narrow"/>
                <w:szCs w:val="20"/>
              </w:rPr>
            </w:pPr>
            <w:r w:rsidRPr="00D72EA5">
              <w:rPr>
                <w:rFonts w:ascii="Arial Narrow" w:hAnsi="Arial Narrow"/>
                <w:szCs w:val="20"/>
              </w:rPr>
              <w:t>200/400</w:t>
            </w:r>
            <w:r w:rsidR="008D1D98">
              <w:rPr>
                <w:rFonts w:ascii="Arial Narrow" w:hAnsi="Arial Narrow"/>
                <w:szCs w:val="20"/>
              </w:rPr>
              <w:t> </w:t>
            </w:r>
            <w:r w:rsidRPr="00D72EA5">
              <w:rPr>
                <w:rFonts w:ascii="Arial Narrow" w:hAnsi="Arial Narrow"/>
                <w:szCs w:val="20"/>
              </w:rPr>
              <w:t>mg per day</w:t>
            </w:r>
          </w:p>
        </w:tc>
        <w:tc>
          <w:tcPr>
            <w:tcW w:w="941" w:type="pct"/>
            <w:shd w:val="clear" w:color="auto" w:fill="auto"/>
            <w:vAlign w:val="bottom"/>
          </w:tcPr>
          <w:p w:rsidR="00E42B39" w:rsidRPr="00D72EA5" w:rsidRDefault="00E42B39" w:rsidP="00E42B39">
            <w:pPr>
              <w:pStyle w:val="TableCentre"/>
              <w:rPr>
                <w:rFonts w:ascii="Arial Narrow" w:hAnsi="Arial Narrow"/>
                <w:szCs w:val="20"/>
              </w:rPr>
            </w:pPr>
            <w:r w:rsidRPr="00D72EA5">
              <w:rPr>
                <w:rFonts w:ascii="Arial Narrow" w:hAnsi="Arial Narrow"/>
                <w:szCs w:val="20"/>
              </w:rPr>
              <w:t xml:space="preserve">1.00 </w:t>
            </w:r>
          </w:p>
        </w:tc>
        <w:tc>
          <w:tcPr>
            <w:tcW w:w="1537" w:type="pct"/>
            <w:gridSpan w:val="2"/>
            <w:shd w:val="clear" w:color="auto" w:fill="auto"/>
            <w:vAlign w:val="bottom"/>
          </w:tcPr>
          <w:p w:rsidR="00E42B39" w:rsidRPr="00D72EA5" w:rsidRDefault="00E42B39" w:rsidP="00E42B39">
            <w:pPr>
              <w:pStyle w:val="TableCentre"/>
              <w:rPr>
                <w:rFonts w:ascii="Arial Narrow" w:hAnsi="Arial Narrow"/>
                <w:szCs w:val="20"/>
              </w:rPr>
            </w:pPr>
            <w:r w:rsidRPr="00D72EA5">
              <w:rPr>
                <w:rFonts w:ascii="Arial Narrow" w:hAnsi="Arial Narrow"/>
                <w:szCs w:val="20"/>
              </w:rPr>
              <w:t xml:space="preserve">0.89, 1.14 </w:t>
            </w:r>
          </w:p>
        </w:tc>
      </w:tr>
    </w:tbl>
    <w:p w:rsidR="003E2E0A" w:rsidRDefault="003E2E0A" w:rsidP="003E2E0A">
      <w:pPr>
        <w:pStyle w:val="Tabletext"/>
        <w:ind w:left="720"/>
        <w:jc w:val="both"/>
        <w:rPr>
          <w:sz w:val="18"/>
          <w:szCs w:val="18"/>
        </w:rPr>
      </w:pPr>
      <w:proofErr w:type="spellStart"/>
      <w:proofErr w:type="gramStart"/>
      <w:r>
        <w:rPr>
          <w:sz w:val="18"/>
          <w:szCs w:val="18"/>
          <w:vertAlign w:val="superscript"/>
        </w:rPr>
        <w:t>a</w:t>
      </w:r>
      <w:proofErr w:type="spellEnd"/>
      <w:proofErr w:type="gramEnd"/>
      <w:r>
        <w:rPr>
          <w:sz w:val="18"/>
          <w:szCs w:val="18"/>
        </w:rPr>
        <w:t xml:space="preserve"> </w:t>
      </w:r>
      <w:r w:rsidRPr="003E2E0A">
        <w:rPr>
          <w:sz w:val="18"/>
          <w:szCs w:val="18"/>
        </w:rPr>
        <w:t>In each study, statistical analysis was performed on the log</w:t>
      </w:r>
      <w:r w:rsidRPr="003E2E0A">
        <w:rPr>
          <w:rFonts w:ascii="Cambria Math" w:hAnsi="Cambria Math" w:cs="Cambria Math"/>
          <w:sz w:val="18"/>
          <w:szCs w:val="18"/>
        </w:rPr>
        <w:t>‐</w:t>
      </w:r>
      <w:r w:rsidRPr="003E2E0A">
        <w:rPr>
          <w:sz w:val="18"/>
          <w:szCs w:val="18"/>
        </w:rPr>
        <w:t>transformed scale; if x is</w:t>
      </w:r>
      <w:r>
        <w:rPr>
          <w:sz w:val="18"/>
          <w:szCs w:val="18"/>
        </w:rPr>
        <w:t xml:space="preserve"> </w:t>
      </w:r>
      <w:r w:rsidRPr="003E2E0A">
        <w:rPr>
          <w:sz w:val="18"/>
          <w:szCs w:val="18"/>
        </w:rPr>
        <w:t xml:space="preserve">the average number of seizures per </w:t>
      </w:r>
      <w:r w:rsidR="00375C03">
        <w:rPr>
          <w:sz w:val="18"/>
          <w:szCs w:val="18"/>
        </w:rPr>
        <w:t>measurement period</w:t>
      </w:r>
      <w:r w:rsidRPr="003E2E0A">
        <w:rPr>
          <w:sz w:val="18"/>
          <w:szCs w:val="18"/>
        </w:rPr>
        <w:t>, the log transformation used was log(</w:t>
      </w:r>
      <w:r w:rsidR="00375C03">
        <w:rPr>
          <w:sz w:val="18"/>
          <w:szCs w:val="18"/>
        </w:rPr>
        <w:t>4</w:t>
      </w:r>
      <w:r w:rsidRPr="003E2E0A">
        <w:rPr>
          <w:sz w:val="18"/>
          <w:szCs w:val="18"/>
        </w:rPr>
        <w:t>x + 1)</w:t>
      </w:r>
      <w:r>
        <w:rPr>
          <w:sz w:val="18"/>
          <w:szCs w:val="18"/>
        </w:rPr>
        <w:t xml:space="preserve"> for studies 1252 and </w:t>
      </w:r>
      <w:r w:rsidRPr="003E2E0A">
        <w:rPr>
          <w:sz w:val="18"/>
          <w:szCs w:val="18"/>
        </w:rPr>
        <w:t>1</w:t>
      </w:r>
      <w:r>
        <w:rPr>
          <w:sz w:val="18"/>
          <w:szCs w:val="18"/>
        </w:rPr>
        <w:t xml:space="preserve">253 and log(x + 1) for study </w:t>
      </w:r>
      <w:r w:rsidRPr="003E2E0A">
        <w:rPr>
          <w:sz w:val="18"/>
          <w:szCs w:val="18"/>
        </w:rPr>
        <w:t>1358. The addition of 1</w:t>
      </w:r>
      <w:r>
        <w:rPr>
          <w:sz w:val="18"/>
          <w:szCs w:val="18"/>
        </w:rPr>
        <w:t xml:space="preserve"> </w:t>
      </w:r>
      <w:r w:rsidRPr="003E2E0A">
        <w:rPr>
          <w:sz w:val="18"/>
          <w:szCs w:val="18"/>
        </w:rPr>
        <w:t xml:space="preserve">before taking logarithms </w:t>
      </w:r>
      <w:r w:rsidR="00CF4D7A">
        <w:rPr>
          <w:sz w:val="18"/>
          <w:szCs w:val="18"/>
        </w:rPr>
        <w:t xml:space="preserve">was the approach taken in the submission to address </w:t>
      </w:r>
      <w:r w:rsidRPr="003E2E0A">
        <w:rPr>
          <w:sz w:val="18"/>
          <w:szCs w:val="18"/>
        </w:rPr>
        <w:t>zero seizure</w:t>
      </w:r>
      <w:r>
        <w:rPr>
          <w:sz w:val="18"/>
          <w:szCs w:val="18"/>
        </w:rPr>
        <w:t xml:space="preserve"> </w:t>
      </w:r>
      <w:r w:rsidRPr="003E2E0A">
        <w:rPr>
          <w:sz w:val="18"/>
          <w:szCs w:val="18"/>
        </w:rPr>
        <w:t>frequencies in some cases.</w:t>
      </w:r>
    </w:p>
    <w:p w:rsidR="00A50DEB" w:rsidRDefault="00E42B39" w:rsidP="003E2E0A">
      <w:pPr>
        <w:pStyle w:val="Tabletext"/>
        <w:ind w:left="720"/>
        <w:jc w:val="both"/>
        <w:rPr>
          <w:sz w:val="18"/>
          <w:szCs w:val="18"/>
        </w:rPr>
      </w:pPr>
      <w:r>
        <w:rPr>
          <w:sz w:val="18"/>
          <w:szCs w:val="18"/>
        </w:rPr>
        <w:t>POS</w:t>
      </w:r>
      <w:r w:rsidR="00DC5B87">
        <w:rPr>
          <w:sz w:val="18"/>
          <w:szCs w:val="18"/>
        </w:rPr>
        <w:t xml:space="preserve"> </w:t>
      </w:r>
      <w:r>
        <w:rPr>
          <w:sz w:val="18"/>
          <w:szCs w:val="18"/>
        </w:rPr>
        <w:t>=</w:t>
      </w:r>
      <w:r w:rsidR="00DC5B87">
        <w:rPr>
          <w:sz w:val="18"/>
          <w:szCs w:val="18"/>
        </w:rPr>
        <w:t xml:space="preserve"> </w:t>
      </w:r>
      <w:r>
        <w:rPr>
          <w:sz w:val="18"/>
          <w:szCs w:val="18"/>
        </w:rPr>
        <w:t>partial onset seizures</w:t>
      </w:r>
    </w:p>
    <w:p w:rsidR="00E42B39" w:rsidRPr="00D72EA5" w:rsidRDefault="00E42B39" w:rsidP="00E42B39">
      <w:pPr>
        <w:pStyle w:val="Caption"/>
        <w:ind w:left="720"/>
        <w:rPr>
          <w:b w:val="0"/>
          <w:szCs w:val="20"/>
        </w:rPr>
      </w:pPr>
      <w:r w:rsidRPr="00D72EA5">
        <w:rPr>
          <w:b w:val="0"/>
          <w:sz w:val="18"/>
        </w:rPr>
        <w:t>Source: Table B.3</w:t>
      </w:r>
      <w:r>
        <w:rPr>
          <w:b w:val="0"/>
          <w:sz w:val="18"/>
        </w:rPr>
        <w:t>5</w:t>
      </w:r>
      <w:r w:rsidRPr="00D72EA5">
        <w:rPr>
          <w:b w:val="0"/>
          <w:sz w:val="18"/>
        </w:rPr>
        <w:t>, p10</w:t>
      </w:r>
      <w:r>
        <w:rPr>
          <w:b w:val="0"/>
          <w:sz w:val="18"/>
        </w:rPr>
        <w:t>2</w:t>
      </w:r>
      <w:r w:rsidRPr="00D72EA5">
        <w:rPr>
          <w:b w:val="0"/>
          <w:sz w:val="18"/>
        </w:rPr>
        <w:t xml:space="preserve"> of the main body </w:t>
      </w:r>
      <w:r>
        <w:rPr>
          <w:b w:val="0"/>
          <w:sz w:val="18"/>
        </w:rPr>
        <w:t>of the submission</w:t>
      </w:r>
    </w:p>
    <w:p w:rsidR="00E42B39" w:rsidRDefault="00E42B39" w:rsidP="00534A2B">
      <w:pPr>
        <w:pStyle w:val="PBACHeading1"/>
        <w:numPr>
          <w:ilvl w:val="0"/>
          <w:numId w:val="0"/>
        </w:numPr>
        <w:ind w:left="720"/>
      </w:pPr>
    </w:p>
    <w:p w:rsidR="00E42B39" w:rsidRDefault="00984563" w:rsidP="00FA1EDF">
      <w:pPr>
        <w:pStyle w:val="TableHeader"/>
        <w:keepNext/>
        <w:ind w:left="720"/>
      </w:pPr>
      <w:r>
        <w:t>Table 5</w:t>
      </w:r>
      <w:r w:rsidR="00E42B39">
        <w:t xml:space="preserve">: </w:t>
      </w:r>
      <w:r w:rsidR="00E42B39" w:rsidRPr="0063779A">
        <w:t xml:space="preserve">Indirect comparison between </w:t>
      </w:r>
      <w:proofErr w:type="spellStart"/>
      <w:r w:rsidR="00E42B39" w:rsidRPr="0063779A">
        <w:t>brivaracetam</w:t>
      </w:r>
      <w:proofErr w:type="spellEnd"/>
      <w:r w:rsidR="00E42B39" w:rsidRPr="0063779A">
        <w:t xml:space="preserve"> and </w:t>
      </w:r>
      <w:proofErr w:type="spellStart"/>
      <w:r w:rsidR="00E42B39" w:rsidRPr="0063779A">
        <w:t>lacosamide</w:t>
      </w:r>
      <w:proofErr w:type="spellEnd"/>
      <w:r w:rsidR="00E42B39" w:rsidRPr="0063779A">
        <w:t xml:space="preserve"> for proportion of patients achieving seizure free status</w:t>
      </w:r>
      <w:r w:rsidR="009616C1">
        <w:t xml:space="preserve"> (all seizure </w:t>
      </w:r>
      <w:proofErr w:type="spellStart"/>
      <w:r w:rsidR="009616C1">
        <w:t>types</w:t>
      </w:r>
      <w:r w:rsidR="00A50DEB">
        <w:rPr>
          <w:vertAlign w:val="superscript"/>
        </w:rPr>
        <w:t>a</w:t>
      </w:r>
      <w:proofErr w:type="spellEnd"/>
      <w:r w:rsidR="009616C1">
        <w:t>)</w:t>
      </w:r>
      <w:r w:rsidR="00E42B39" w:rsidRPr="0063779A">
        <w:t xml:space="preserve"> in the treatment phase</w:t>
      </w:r>
    </w:p>
    <w:tbl>
      <w:tblPr>
        <w:tblStyle w:val="TableGrid0"/>
        <w:tblW w:w="4607" w:type="pct"/>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1" w:type="dxa"/>
          <w:right w:w="115" w:type="dxa"/>
        </w:tblCellMar>
        <w:tblLook w:val="04A0" w:firstRow="1" w:lastRow="0" w:firstColumn="1" w:lastColumn="0" w:noHBand="0" w:noVBand="1"/>
      </w:tblPr>
      <w:tblGrid>
        <w:gridCol w:w="1652"/>
        <w:gridCol w:w="2142"/>
        <w:gridCol w:w="2100"/>
        <w:gridCol w:w="2533"/>
      </w:tblGrid>
      <w:tr w:rsidR="0022201B" w:rsidRPr="0063779A" w:rsidTr="0022201B">
        <w:trPr>
          <w:trHeight w:val="20"/>
        </w:trPr>
        <w:tc>
          <w:tcPr>
            <w:tcW w:w="980" w:type="pct"/>
            <w:vMerge w:val="restart"/>
            <w:shd w:val="clear" w:color="auto" w:fill="auto"/>
          </w:tcPr>
          <w:p w:rsidR="0022201B" w:rsidRPr="0063779A" w:rsidRDefault="0022201B" w:rsidP="00FA1EDF">
            <w:pPr>
              <w:pStyle w:val="Table"/>
              <w:keepNext/>
              <w:widowControl w:val="0"/>
              <w:rPr>
                <w:rStyle w:val="SmallBold"/>
                <w:rFonts w:ascii="Arial Narrow" w:hAnsi="Arial Narrow"/>
                <w:szCs w:val="20"/>
              </w:rPr>
            </w:pPr>
            <w:proofErr w:type="spellStart"/>
            <w:r w:rsidRPr="0063779A">
              <w:rPr>
                <w:rStyle w:val="SmallBold"/>
                <w:rFonts w:ascii="Arial Narrow" w:hAnsi="Arial Narrow"/>
                <w:szCs w:val="20"/>
              </w:rPr>
              <w:t>Brivaracetam</w:t>
            </w:r>
            <w:proofErr w:type="spellEnd"/>
            <w:r w:rsidRPr="0063779A">
              <w:rPr>
                <w:rStyle w:val="SmallBold"/>
                <w:rFonts w:ascii="Arial Narrow" w:hAnsi="Arial Narrow"/>
                <w:szCs w:val="20"/>
              </w:rPr>
              <w:t xml:space="preserve"> dose </w:t>
            </w:r>
          </w:p>
        </w:tc>
        <w:tc>
          <w:tcPr>
            <w:tcW w:w="1271" w:type="pct"/>
            <w:vMerge w:val="restart"/>
            <w:shd w:val="clear" w:color="auto" w:fill="auto"/>
          </w:tcPr>
          <w:p w:rsidR="0022201B" w:rsidRPr="0063779A" w:rsidRDefault="0022201B" w:rsidP="00FA1EDF">
            <w:pPr>
              <w:pStyle w:val="Table"/>
              <w:keepNext/>
              <w:widowControl w:val="0"/>
              <w:jc w:val="center"/>
              <w:rPr>
                <w:rStyle w:val="SmallBold"/>
                <w:rFonts w:ascii="Arial Narrow" w:hAnsi="Arial Narrow"/>
                <w:szCs w:val="20"/>
              </w:rPr>
            </w:pPr>
            <w:proofErr w:type="spellStart"/>
            <w:r w:rsidRPr="0063779A">
              <w:rPr>
                <w:rStyle w:val="SmallBold"/>
                <w:rFonts w:ascii="Arial Narrow" w:hAnsi="Arial Narrow"/>
                <w:szCs w:val="20"/>
              </w:rPr>
              <w:t>Lacosamide</w:t>
            </w:r>
            <w:proofErr w:type="spellEnd"/>
            <w:r w:rsidRPr="0063779A">
              <w:rPr>
                <w:rStyle w:val="SmallBold"/>
                <w:rFonts w:ascii="Arial Narrow" w:hAnsi="Arial Narrow"/>
                <w:szCs w:val="20"/>
              </w:rPr>
              <w:t xml:space="preserve"> dose</w:t>
            </w:r>
          </w:p>
        </w:tc>
        <w:tc>
          <w:tcPr>
            <w:tcW w:w="2749" w:type="pct"/>
            <w:gridSpan w:val="2"/>
            <w:shd w:val="clear" w:color="auto" w:fill="auto"/>
          </w:tcPr>
          <w:p w:rsidR="0022201B" w:rsidRDefault="0022201B" w:rsidP="00FA1EDF">
            <w:pPr>
              <w:pStyle w:val="TableCentre"/>
              <w:keepNext/>
              <w:widowControl w:val="0"/>
              <w:rPr>
                <w:rStyle w:val="SmallBold"/>
                <w:rFonts w:ascii="Arial Narrow" w:hAnsi="Arial Narrow"/>
                <w:szCs w:val="20"/>
              </w:rPr>
            </w:pPr>
            <w:r w:rsidRPr="0063779A">
              <w:rPr>
                <w:rStyle w:val="SmallBold"/>
                <w:rFonts w:ascii="Arial Narrow" w:hAnsi="Arial Narrow"/>
                <w:szCs w:val="20"/>
              </w:rPr>
              <w:t xml:space="preserve">Difference </w:t>
            </w:r>
            <w:r>
              <w:rPr>
                <w:rStyle w:val="SmallBold"/>
                <w:rFonts w:ascii="Arial Narrow" w:hAnsi="Arial Narrow"/>
                <w:szCs w:val="20"/>
              </w:rPr>
              <w:t>in</w:t>
            </w:r>
            <w:r w:rsidRPr="0063779A">
              <w:rPr>
                <w:rStyle w:val="SmallBold"/>
                <w:rFonts w:ascii="Arial Narrow" w:hAnsi="Arial Narrow"/>
                <w:szCs w:val="20"/>
              </w:rPr>
              <w:t xml:space="preserve"> percentag</w:t>
            </w:r>
            <w:r>
              <w:rPr>
                <w:rStyle w:val="SmallBold"/>
                <w:rFonts w:ascii="Arial Narrow" w:hAnsi="Arial Narrow"/>
                <w:szCs w:val="20"/>
              </w:rPr>
              <w:t>es</w:t>
            </w:r>
          </w:p>
          <w:p w:rsidR="0022201B" w:rsidRPr="0063779A" w:rsidRDefault="0022201B" w:rsidP="00FA1EDF">
            <w:pPr>
              <w:pStyle w:val="TableCentre"/>
              <w:keepNext/>
              <w:widowControl w:val="0"/>
              <w:rPr>
                <w:rStyle w:val="SmallBold"/>
                <w:rFonts w:ascii="Arial Narrow" w:hAnsi="Arial Narrow"/>
                <w:szCs w:val="20"/>
              </w:rPr>
            </w:pPr>
            <w:proofErr w:type="spellStart"/>
            <w:r w:rsidRPr="0063779A">
              <w:rPr>
                <w:rStyle w:val="SmallBold"/>
                <w:rFonts w:ascii="Arial Narrow" w:hAnsi="Arial Narrow"/>
                <w:szCs w:val="20"/>
              </w:rPr>
              <w:t>Brivaracetam</w:t>
            </w:r>
            <w:proofErr w:type="spellEnd"/>
            <w:r w:rsidRPr="0063779A">
              <w:rPr>
                <w:rStyle w:val="SmallBold"/>
                <w:rFonts w:ascii="Arial Narrow" w:hAnsi="Arial Narrow"/>
                <w:szCs w:val="20"/>
              </w:rPr>
              <w:t xml:space="preserve"> </w:t>
            </w:r>
            <w:r w:rsidRPr="0063779A">
              <w:rPr>
                <w:rStyle w:val="SmallBold"/>
                <w:rFonts w:ascii="Cambria Math" w:hAnsi="Cambria Math" w:cs="Cambria Math"/>
                <w:szCs w:val="20"/>
              </w:rPr>
              <w:t>‐</w:t>
            </w:r>
            <w:r w:rsidRPr="0063779A">
              <w:rPr>
                <w:rStyle w:val="SmallBold"/>
                <w:rFonts w:ascii="Arial Narrow" w:hAnsi="Arial Narrow"/>
                <w:szCs w:val="20"/>
              </w:rPr>
              <w:t xml:space="preserve"> </w:t>
            </w:r>
            <w:proofErr w:type="spellStart"/>
            <w:r w:rsidRPr="0063779A">
              <w:rPr>
                <w:rStyle w:val="SmallBold"/>
                <w:rFonts w:ascii="Arial Narrow" w:hAnsi="Arial Narrow"/>
                <w:szCs w:val="20"/>
              </w:rPr>
              <w:t>Lacosamide</w:t>
            </w:r>
            <w:proofErr w:type="spellEnd"/>
          </w:p>
        </w:tc>
      </w:tr>
      <w:tr w:rsidR="0022201B" w:rsidRPr="0063779A" w:rsidTr="0022201B">
        <w:trPr>
          <w:trHeight w:val="20"/>
        </w:trPr>
        <w:tc>
          <w:tcPr>
            <w:tcW w:w="980" w:type="pct"/>
            <w:vMerge/>
            <w:shd w:val="clear" w:color="auto" w:fill="auto"/>
          </w:tcPr>
          <w:p w:rsidR="0022201B" w:rsidRPr="0063779A" w:rsidRDefault="0022201B" w:rsidP="00FA1EDF">
            <w:pPr>
              <w:pStyle w:val="Table"/>
              <w:keepNext/>
              <w:widowControl w:val="0"/>
              <w:rPr>
                <w:rStyle w:val="SmallBold"/>
                <w:rFonts w:ascii="Arial Narrow" w:hAnsi="Arial Narrow"/>
                <w:szCs w:val="20"/>
              </w:rPr>
            </w:pPr>
          </w:p>
        </w:tc>
        <w:tc>
          <w:tcPr>
            <w:tcW w:w="1271" w:type="pct"/>
            <w:vMerge/>
            <w:shd w:val="clear" w:color="auto" w:fill="auto"/>
          </w:tcPr>
          <w:p w:rsidR="0022201B" w:rsidRPr="0063779A" w:rsidRDefault="0022201B" w:rsidP="00FA1EDF">
            <w:pPr>
              <w:pStyle w:val="Table"/>
              <w:keepNext/>
              <w:widowControl w:val="0"/>
              <w:jc w:val="center"/>
              <w:rPr>
                <w:rStyle w:val="SmallBold"/>
                <w:rFonts w:ascii="Arial Narrow" w:hAnsi="Arial Narrow"/>
                <w:szCs w:val="20"/>
              </w:rPr>
            </w:pPr>
          </w:p>
        </w:tc>
        <w:tc>
          <w:tcPr>
            <w:tcW w:w="1246" w:type="pct"/>
            <w:shd w:val="clear" w:color="auto" w:fill="auto"/>
          </w:tcPr>
          <w:p w:rsidR="0022201B" w:rsidRPr="0063779A" w:rsidRDefault="0022201B" w:rsidP="00FA1EDF">
            <w:pPr>
              <w:pStyle w:val="TableCentre"/>
              <w:keepNext/>
              <w:widowControl w:val="0"/>
              <w:rPr>
                <w:rStyle w:val="SmallBold"/>
                <w:rFonts w:ascii="Arial Narrow" w:hAnsi="Arial Narrow"/>
                <w:szCs w:val="20"/>
              </w:rPr>
            </w:pPr>
            <w:r w:rsidRPr="0063779A">
              <w:rPr>
                <w:rStyle w:val="SmallBold"/>
                <w:rFonts w:ascii="Arial Narrow" w:hAnsi="Arial Narrow"/>
                <w:szCs w:val="20"/>
              </w:rPr>
              <w:t>Estimate</w:t>
            </w:r>
          </w:p>
        </w:tc>
        <w:tc>
          <w:tcPr>
            <w:tcW w:w="1503" w:type="pct"/>
            <w:shd w:val="clear" w:color="auto" w:fill="auto"/>
          </w:tcPr>
          <w:p w:rsidR="0022201B" w:rsidRPr="0063779A" w:rsidRDefault="0022201B" w:rsidP="00FA1EDF">
            <w:pPr>
              <w:pStyle w:val="TableCentre"/>
              <w:keepNext/>
              <w:widowControl w:val="0"/>
              <w:rPr>
                <w:rStyle w:val="SmallBold"/>
                <w:rFonts w:ascii="Arial Narrow" w:hAnsi="Arial Narrow"/>
                <w:szCs w:val="20"/>
              </w:rPr>
            </w:pPr>
            <w:r w:rsidRPr="0063779A">
              <w:rPr>
                <w:rStyle w:val="SmallBold"/>
                <w:rFonts w:ascii="Arial Narrow" w:hAnsi="Arial Narrow"/>
                <w:szCs w:val="20"/>
              </w:rPr>
              <w:t>95% confidence interval</w:t>
            </w:r>
          </w:p>
        </w:tc>
      </w:tr>
      <w:tr w:rsidR="00E42B39" w:rsidRPr="0063779A" w:rsidTr="0022201B">
        <w:trPr>
          <w:trHeight w:val="20"/>
        </w:trPr>
        <w:tc>
          <w:tcPr>
            <w:tcW w:w="980" w:type="pct"/>
            <w:shd w:val="clear" w:color="auto" w:fill="auto"/>
          </w:tcPr>
          <w:p w:rsidR="00E42B39" w:rsidRPr="0063779A" w:rsidRDefault="00E42B39" w:rsidP="00FA1EDF">
            <w:pPr>
              <w:pStyle w:val="Table"/>
              <w:keepNext/>
              <w:widowControl w:val="0"/>
              <w:rPr>
                <w:rFonts w:ascii="Arial Narrow" w:hAnsi="Arial Narrow"/>
                <w:szCs w:val="20"/>
              </w:rPr>
            </w:pPr>
            <w:r w:rsidRPr="0063779A">
              <w:rPr>
                <w:rFonts w:ascii="Arial Narrow" w:hAnsi="Arial Narrow"/>
                <w:szCs w:val="20"/>
              </w:rPr>
              <w:t>50</w:t>
            </w:r>
            <w:r w:rsidRPr="0063779A">
              <w:rPr>
                <w:rFonts w:ascii="Cambria Math" w:hAnsi="Cambria Math" w:cs="Cambria Math"/>
                <w:szCs w:val="20"/>
              </w:rPr>
              <w:t>‐</w:t>
            </w:r>
            <w:r w:rsidRPr="0063779A">
              <w:rPr>
                <w:rFonts w:ascii="Arial Narrow" w:hAnsi="Arial Narrow"/>
                <w:szCs w:val="20"/>
              </w:rPr>
              <w:t>200</w:t>
            </w:r>
            <w:r w:rsidR="008D1D98">
              <w:rPr>
                <w:rFonts w:ascii="Arial Narrow" w:hAnsi="Arial Narrow"/>
                <w:szCs w:val="20"/>
              </w:rPr>
              <w:t> </w:t>
            </w:r>
            <w:r w:rsidRPr="0063779A">
              <w:rPr>
                <w:rFonts w:ascii="Arial Narrow" w:hAnsi="Arial Narrow"/>
                <w:szCs w:val="20"/>
              </w:rPr>
              <w:t xml:space="preserve">mg per day </w:t>
            </w:r>
          </w:p>
        </w:tc>
        <w:tc>
          <w:tcPr>
            <w:tcW w:w="1271" w:type="pct"/>
            <w:shd w:val="clear" w:color="auto" w:fill="auto"/>
          </w:tcPr>
          <w:p w:rsidR="00E42B39" w:rsidRPr="0063779A" w:rsidRDefault="00E42B39" w:rsidP="00FA1EDF">
            <w:pPr>
              <w:pStyle w:val="TableCentre"/>
              <w:keepNext/>
              <w:widowControl w:val="0"/>
              <w:rPr>
                <w:rFonts w:ascii="Arial Narrow" w:hAnsi="Arial Narrow"/>
                <w:szCs w:val="20"/>
              </w:rPr>
            </w:pPr>
            <w:r w:rsidRPr="0063779A">
              <w:rPr>
                <w:rFonts w:ascii="Arial Narrow" w:hAnsi="Arial Narrow"/>
                <w:szCs w:val="20"/>
              </w:rPr>
              <w:t>200/400</w:t>
            </w:r>
            <w:r w:rsidR="008D1D98">
              <w:rPr>
                <w:rFonts w:ascii="Arial Narrow" w:hAnsi="Arial Narrow"/>
                <w:szCs w:val="20"/>
              </w:rPr>
              <w:t> </w:t>
            </w:r>
            <w:r w:rsidRPr="0063779A">
              <w:rPr>
                <w:rFonts w:ascii="Arial Narrow" w:hAnsi="Arial Narrow"/>
                <w:szCs w:val="20"/>
              </w:rPr>
              <w:t>mg per day</w:t>
            </w:r>
          </w:p>
        </w:tc>
        <w:tc>
          <w:tcPr>
            <w:tcW w:w="1246" w:type="pct"/>
            <w:shd w:val="clear" w:color="auto" w:fill="auto"/>
          </w:tcPr>
          <w:p w:rsidR="00E42B39" w:rsidRPr="0063779A" w:rsidRDefault="00E42B39" w:rsidP="00FA1EDF">
            <w:pPr>
              <w:pStyle w:val="TableCentre"/>
              <w:keepNext/>
              <w:widowControl w:val="0"/>
              <w:rPr>
                <w:rFonts w:ascii="Arial Narrow" w:hAnsi="Arial Narrow"/>
                <w:szCs w:val="20"/>
              </w:rPr>
            </w:pPr>
            <w:r w:rsidRPr="0063779A">
              <w:rPr>
                <w:rFonts w:ascii="Arial Narrow" w:hAnsi="Arial Narrow"/>
                <w:szCs w:val="20"/>
              </w:rPr>
              <w:t>0.92</w:t>
            </w:r>
          </w:p>
        </w:tc>
        <w:tc>
          <w:tcPr>
            <w:tcW w:w="1503" w:type="pct"/>
            <w:shd w:val="clear" w:color="auto" w:fill="auto"/>
            <w:vAlign w:val="bottom"/>
          </w:tcPr>
          <w:p w:rsidR="00E42B39" w:rsidRPr="0063779A" w:rsidRDefault="00E42B39" w:rsidP="00FA1EDF">
            <w:pPr>
              <w:pStyle w:val="TableCentre"/>
              <w:keepNext/>
              <w:widowControl w:val="0"/>
              <w:rPr>
                <w:rFonts w:ascii="Arial Narrow" w:hAnsi="Arial Narrow"/>
                <w:szCs w:val="20"/>
              </w:rPr>
            </w:pPr>
            <w:r w:rsidRPr="0063779A">
              <w:rPr>
                <w:rFonts w:ascii="Cambria Math" w:hAnsi="Cambria Math" w:cs="Cambria Math"/>
                <w:szCs w:val="20"/>
              </w:rPr>
              <w:t>‐</w:t>
            </w:r>
            <w:r w:rsidRPr="0063779A">
              <w:rPr>
                <w:rFonts w:ascii="Arial Narrow" w:hAnsi="Arial Narrow"/>
                <w:szCs w:val="20"/>
              </w:rPr>
              <w:t>1.46, 3.30</w:t>
            </w:r>
          </w:p>
        </w:tc>
      </w:tr>
      <w:tr w:rsidR="0022201B" w:rsidRPr="0063779A" w:rsidTr="0022201B">
        <w:trPr>
          <w:trHeight w:val="20"/>
        </w:trPr>
        <w:tc>
          <w:tcPr>
            <w:tcW w:w="980" w:type="pct"/>
            <w:vMerge w:val="restart"/>
            <w:shd w:val="clear" w:color="auto" w:fill="auto"/>
          </w:tcPr>
          <w:p w:rsidR="0022201B" w:rsidRPr="0063779A" w:rsidRDefault="0022201B" w:rsidP="00FA1EDF">
            <w:pPr>
              <w:pStyle w:val="Table"/>
              <w:keepNext/>
              <w:widowControl w:val="0"/>
              <w:rPr>
                <w:rStyle w:val="SmallBold"/>
                <w:rFonts w:ascii="Arial Narrow" w:hAnsi="Arial Narrow"/>
                <w:szCs w:val="20"/>
              </w:rPr>
            </w:pPr>
            <w:proofErr w:type="spellStart"/>
            <w:r w:rsidRPr="0063779A">
              <w:rPr>
                <w:rStyle w:val="SmallBold"/>
                <w:rFonts w:ascii="Arial Narrow" w:hAnsi="Arial Narrow"/>
                <w:szCs w:val="20"/>
              </w:rPr>
              <w:t>Brivaracetam</w:t>
            </w:r>
            <w:proofErr w:type="spellEnd"/>
            <w:r w:rsidRPr="0063779A">
              <w:rPr>
                <w:rStyle w:val="SmallBold"/>
                <w:rFonts w:ascii="Arial Narrow" w:hAnsi="Arial Narrow"/>
                <w:szCs w:val="20"/>
              </w:rPr>
              <w:t xml:space="preserve"> dose </w:t>
            </w:r>
          </w:p>
        </w:tc>
        <w:tc>
          <w:tcPr>
            <w:tcW w:w="1271" w:type="pct"/>
            <w:vMerge w:val="restart"/>
            <w:shd w:val="clear" w:color="auto" w:fill="auto"/>
          </w:tcPr>
          <w:p w:rsidR="0022201B" w:rsidRPr="0063779A" w:rsidRDefault="0022201B" w:rsidP="00FA1EDF">
            <w:pPr>
              <w:pStyle w:val="Table"/>
              <w:keepNext/>
              <w:widowControl w:val="0"/>
              <w:jc w:val="center"/>
              <w:rPr>
                <w:rStyle w:val="SmallBold"/>
                <w:rFonts w:ascii="Arial Narrow" w:hAnsi="Arial Narrow"/>
                <w:szCs w:val="20"/>
              </w:rPr>
            </w:pPr>
            <w:proofErr w:type="spellStart"/>
            <w:r w:rsidRPr="0063779A">
              <w:rPr>
                <w:rStyle w:val="SmallBold"/>
                <w:rFonts w:ascii="Arial Narrow" w:hAnsi="Arial Narrow"/>
                <w:szCs w:val="20"/>
              </w:rPr>
              <w:t>Lacosamide</w:t>
            </w:r>
            <w:proofErr w:type="spellEnd"/>
            <w:r w:rsidRPr="0063779A">
              <w:rPr>
                <w:rStyle w:val="SmallBold"/>
                <w:rFonts w:ascii="Arial Narrow" w:hAnsi="Arial Narrow"/>
                <w:szCs w:val="20"/>
              </w:rPr>
              <w:t xml:space="preserve"> dose</w:t>
            </w:r>
          </w:p>
        </w:tc>
        <w:tc>
          <w:tcPr>
            <w:tcW w:w="2749" w:type="pct"/>
            <w:gridSpan w:val="2"/>
            <w:shd w:val="clear" w:color="auto" w:fill="auto"/>
          </w:tcPr>
          <w:p w:rsidR="0022201B" w:rsidRPr="0063779A" w:rsidRDefault="0022201B" w:rsidP="00FA1EDF">
            <w:pPr>
              <w:pStyle w:val="TableCentre"/>
              <w:keepNext/>
              <w:widowControl w:val="0"/>
              <w:rPr>
                <w:rStyle w:val="SmallBold"/>
                <w:rFonts w:ascii="Arial Narrow" w:hAnsi="Arial Narrow"/>
                <w:szCs w:val="20"/>
              </w:rPr>
            </w:pPr>
            <w:r w:rsidRPr="0063779A">
              <w:rPr>
                <w:rStyle w:val="SmallBold"/>
                <w:rFonts w:ascii="Arial Narrow" w:hAnsi="Arial Narrow"/>
                <w:szCs w:val="20"/>
              </w:rPr>
              <w:t xml:space="preserve">Risk ratio </w:t>
            </w:r>
            <w:proofErr w:type="spellStart"/>
            <w:r w:rsidRPr="0063779A">
              <w:rPr>
                <w:rStyle w:val="SmallBold"/>
                <w:rFonts w:ascii="Arial Narrow" w:hAnsi="Arial Narrow"/>
                <w:szCs w:val="20"/>
              </w:rPr>
              <w:t>Brivaracetam</w:t>
            </w:r>
            <w:proofErr w:type="spellEnd"/>
            <w:r w:rsidRPr="0063779A">
              <w:rPr>
                <w:rStyle w:val="SmallBold"/>
                <w:rFonts w:ascii="Arial Narrow" w:hAnsi="Arial Narrow"/>
                <w:szCs w:val="20"/>
              </w:rPr>
              <w:t xml:space="preserve"> / </w:t>
            </w:r>
            <w:proofErr w:type="spellStart"/>
            <w:r w:rsidRPr="0063779A">
              <w:rPr>
                <w:rStyle w:val="SmallBold"/>
                <w:rFonts w:ascii="Arial Narrow" w:hAnsi="Arial Narrow"/>
                <w:szCs w:val="20"/>
              </w:rPr>
              <w:t>Lacosamide</w:t>
            </w:r>
            <w:proofErr w:type="spellEnd"/>
          </w:p>
        </w:tc>
      </w:tr>
      <w:tr w:rsidR="0022201B" w:rsidRPr="0063779A" w:rsidTr="0022201B">
        <w:trPr>
          <w:trHeight w:val="20"/>
        </w:trPr>
        <w:tc>
          <w:tcPr>
            <w:tcW w:w="980" w:type="pct"/>
            <w:vMerge/>
            <w:shd w:val="clear" w:color="auto" w:fill="auto"/>
          </w:tcPr>
          <w:p w:rsidR="0022201B" w:rsidRPr="0063779A" w:rsidRDefault="0022201B" w:rsidP="00FA1EDF">
            <w:pPr>
              <w:pStyle w:val="Table"/>
              <w:keepNext/>
              <w:widowControl w:val="0"/>
              <w:rPr>
                <w:rStyle w:val="SmallBold"/>
                <w:rFonts w:ascii="Arial Narrow" w:hAnsi="Arial Narrow"/>
                <w:szCs w:val="20"/>
              </w:rPr>
            </w:pPr>
          </w:p>
        </w:tc>
        <w:tc>
          <w:tcPr>
            <w:tcW w:w="1271" w:type="pct"/>
            <w:vMerge/>
            <w:shd w:val="clear" w:color="auto" w:fill="auto"/>
          </w:tcPr>
          <w:p w:rsidR="0022201B" w:rsidRPr="0063779A" w:rsidRDefault="0022201B" w:rsidP="00FA1EDF">
            <w:pPr>
              <w:pStyle w:val="Table"/>
              <w:keepNext/>
              <w:widowControl w:val="0"/>
              <w:jc w:val="center"/>
              <w:rPr>
                <w:rStyle w:val="SmallBold"/>
                <w:rFonts w:ascii="Arial Narrow" w:hAnsi="Arial Narrow"/>
                <w:szCs w:val="20"/>
              </w:rPr>
            </w:pPr>
          </w:p>
        </w:tc>
        <w:tc>
          <w:tcPr>
            <w:tcW w:w="1246" w:type="pct"/>
            <w:shd w:val="clear" w:color="auto" w:fill="auto"/>
          </w:tcPr>
          <w:p w:rsidR="0022201B" w:rsidRPr="0063779A" w:rsidRDefault="0022201B" w:rsidP="00FA1EDF">
            <w:pPr>
              <w:pStyle w:val="TableCentre"/>
              <w:keepNext/>
              <w:widowControl w:val="0"/>
              <w:rPr>
                <w:rStyle w:val="SmallBold"/>
                <w:rFonts w:ascii="Arial Narrow" w:hAnsi="Arial Narrow"/>
                <w:szCs w:val="20"/>
              </w:rPr>
            </w:pPr>
            <w:r w:rsidRPr="0063779A">
              <w:rPr>
                <w:rStyle w:val="SmallBold"/>
                <w:rFonts w:ascii="Arial Narrow" w:hAnsi="Arial Narrow"/>
                <w:szCs w:val="20"/>
              </w:rPr>
              <w:t>Estimate</w:t>
            </w:r>
          </w:p>
        </w:tc>
        <w:tc>
          <w:tcPr>
            <w:tcW w:w="1503" w:type="pct"/>
            <w:shd w:val="clear" w:color="auto" w:fill="auto"/>
          </w:tcPr>
          <w:p w:rsidR="0022201B" w:rsidRPr="0063779A" w:rsidRDefault="0022201B" w:rsidP="00FA1EDF">
            <w:pPr>
              <w:pStyle w:val="TableCentre"/>
              <w:keepNext/>
              <w:widowControl w:val="0"/>
              <w:rPr>
                <w:rStyle w:val="SmallBold"/>
                <w:rFonts w:ascii="Arial Narrow" w:hAnsi="Arial Narrow"/>
                <w:szCs w:val="20"/>
              </w:rPr>
            </w:pPr>
            <w:r w:rsidRPr="0063779A">
              <w:rPr>
                <w:rStyle w:val="SmallBold"/>
                <w:rFonts w:ascii="Arial Narrow" w:hAnsi="Arial Narrow"/>
                <w:szCs w:val="20"/>
              </w:rPr>
              <w:t>95% confidence interval</w:t>
            </w:r>
          </w:p>
        </w:tc>
      </w:tr>
      <w:tr w:rsidR="00E42B39" w:rsidRPr="0063779A" w:rsidTr="0022201B">
        <w:trPr>
          <w:trHeight w:val="20"/>
        </w:trPr>
        <w:tc>
          <w:tcPr>
            <w:tcW w:w="980" w:type="pct"/>
            <w:shd w:val="clear" w:color="auto" w:fill="auto"/>
          </w:tcPr>
          <w:p w:rsidR="00E42B39" w:rsidRPr="0063779A" w:rsidRDefault="00E42B39" w:rsidP="00FA1EDF">
            <w:pPr>
              <w:pStyle w:val="Table"/>
              <w:keepNext/>
              <w:widowControl w:val="0"/>
              <w:rPr>
                <w:rFonts w:ascii="Arial Narrow" w:hAnsi="Arial Narrow"/>
                <w:szCs w:val="20"/>
              </w:rPr>
            </w:pPr>
            <w:r w:rsidRPr="0063779A">
              <w:rPr>
                <w:rFonts w:ascii="Arial Narrow" w:hAnsi="Arial Narrow"/>
                <w:szCs w:val="20"/>
              </w:rPr>
              <w:t>50</w:t>
            </w:r>
            <w:r w:rsidRPr="0063779A">
              <w:rPr>
                <w:rFonts w:ascii="Cambria Math" w:hAnsi="Cambria Math" w:cs="Cambria Math"/>
                <w:szCs w:val="20"/>
              </w:rPr>
              <w:t>‐</w:t>
            </w:r>
            <w:r w:rsidRPr="0063779A">
              <w:rPr>
                <w:rFonts w:ascii="Arial Narrow" w:hAnsi="Arial Narrow"/>
                <w:szCs w:val="20"/>
              </w:rPr>
              <w:t>200</w:t>
            </w:r>
            <w:r w:rsidR="008D1D98">
              <w:rPr>
                <w:rFonts w:ascii="Arial Narrow" w:hAnsi="Arial Narrow"/>
                <w:szCs w:val="20"/>
              </w:rPr>
              <w:t> </w:t>
            </w:r>
            <w:r w:rsidRPr="0063779A">
              <w:rPr>
                <w:rFonts w:ascii="Arial Narrow" w:hAnsi="Arial Narrow"/>
                <w:szCs w:val="20"/>
              </w:rPr>
              <w:t xml:space="preserve">mg per day </w:t>
            </w:r>
          </w:p>
        </w:tc>
        <w:tc>
          <w:tcPr>
            <w:tcW w:w="1271" w:type="pct"/>
            <w:shd w:val="clear" w:color="auto" w:fill="auto"/>
          </w:tcPr>
          <w:p w:rsidR="00E42B39" w:rsidRPr="0063779A" w:rsidRDefault="00E42B39" w:rsidP="00FA1EDF">
            <w:pPr>
              <w:pStyle w:val="TableCentre"/>
              <w:keepNext/>
              <w:widowControl w:val="0"/>
              <w:rPr>
                <w:rFonts w:ascii="Arial Narrow" w:hAnsi="Arial Narrow"/>
                <w:szCs w:val="20"/>
              </w:rPr>
            </w:pPr>
            <w:r w:rsidRPr="0063779A">
              <w:rPr>
                <w:rFonts w:ascii="Arial Narrow" w:hAnsi="Arial Narrow"/>
                <w:szCs w:val="20"/>
              </w:rPr>
              <w:t>200/400</w:t>
            </w:r>
            <w:r w:rsidR="008D1D98">
              <w:rPr>
                <w:rFonts w:ascii="Arial Narrow" w:hAnsi="Arial Narrow"/>
                <w:szCs w:val="20"/>
              </w:rPr>
              <w:t> </w:t>
            </w:r>
            <w:r w:rsidRPr="0063779A">
              <w:rPr>
                <w:rFonts w:ascii="Arial Narrow" w:hAnsi="Arial Narrow"/>
                <w:szCs w:val="20"/>
              </w:rPr>
              <w:t>mg per day</w:t>
            </w:r>
          </w:p>
        </w:tc>
        <w:tc>
          <w:tcPr>
            <w:tcW w:w="1246" w:type="pct"/>
            <w:shd w:val="clear" w:color="auto" w:fill="auto"/>
          </w:tcPr>
          <w:p w:rsidR="00E42B39" w:rsidRPr="0063779A" w:rsidRDefault="00E42B39" w:rsidP="00FA1EDF">
            <w:pPr>
              <w:pStyle w:val="TableCentre"/>
              <w:keepNext/>
              <w:widowControl w:val="0"/>
              <w:rPr>
                <w:rFonts w:ascii="Arial Narrow" w:hAnsi="Arial Narrow"/>
                <w:szCs w:val="20"/>
              </w:rPr>
            </w:pPr>
            <w:r w:rsidRPr="0063779A">
              <w:rPr>
                <w:rFonts w:ascii="Arial Narrow" w:hAnsi="Arial Narrow"/>
                <w:szCs w:val="20"/>
              </w:rPr>
              <w:t>2.73</w:t>
            </w:r>
          </w:p>
        </w:tc>
        <w:tc>
          <w:tcPr>
            <w:tcW w:w="1503" w:type="pct"/>
            <w:shd w:val="clear" w:color="auto" w:fill="auto"/>
          </w:tcPr>
          <w:p w:rsidR="00E42B39" w:rsidRPr="0063779A" w:rsidRDefault="00E42B39" w:rsidP="00FA1EDF">
            <w:pPr>
              <w:pStyle w:val="TableCentre"/>
              <w:keepNext/>
              <w:widowControl w:val="0"/>
              <w:rPr>
                <w:rFonts w:ascii="Arial Narrow" w:hAnsi="Arial Narrow"/>
                <w:szCs w:val="20"/>
              </w:rPr>
            </w:pPr>
            <w:r w:rsidRPr="0063779A">
              <w:rPr>
                <w:rFonts w:ascii="Arial Narrow" w:hAnsi="Arial Narrow"/>
                <w:szCs w:val="20"/>
              </w:rPr>
              <w:t>0.54, 13.70</w:t>
            </w:r>
          </w:p>
        </w:tc>
      </w:tr>
    </w:tbl>
    <w:p w:rsidR="00822370" w:rsidRDefault="00A50DEB" w:rsidP="00FA1EDF">
      <w:pPr>
        <w:pStyle w:val="Tabletext"/>
        <w:keepNext/>
        <w:widowControl w:val="0"/>
        <w:ind w:left="720"/>
        <w:rPr>
          <w:sz w:val="18"/>
          <w:szCs w:val="18"/>
        </w:rPr>
      </w:pPr>
      <w:proofErr w:type="gramStart"/>
      <w:r>
        <w:rPr>
          <w:sz w:val="18"/>
          <w:szCs w:val="18"/>
          <w:vertAlign w:val="superscript"/>
        </w:rPr>
        <w:t>a</w:t>
      </w:r>
      <w:proofErr w:type="gramEnd"/>
      <w:r>
        <w:rPr>
          <w:sz w:val="18"/>
          <w:szCs w:val="18"/>
          <w:vertAlign w:val="superscript"/>
        </w:rPr>
        <w:t xml:space="preserve"> </w:t>
      </w:r>
      <w:r w:rsidR="00822370">
        <w:rPr>
          <w:sz w:val="18"/>
          <w:szCs w:val="18"/>
        </w:rPr>
        <w:t xml:space="preserve">The majority of seizures in the </w:t>
      </w:r>
      <w:r w:rsidR="00822370" w:rsidRPr="00822370">
        <w:rPr>
          <w:sz w:val="18"/>
          <w:szCs w:val="18"/>
        </w:rPr>
        <w:t xml:space="preserve">assessed in the </w:t>
      </w:r>
      <w:proofErr w:type="spellStart"/>
      <w:r w:rsidR="00822370" w:rsidRPr="00822370">
        <w:rPr>
          <w:sz w:val="18"/>
          <w:szCs w:val="18"/>
        </w:rPr>
        <w:t>brivaracetam</w:t>
      </w:r>
      <w:proofErr w:type="spellEnd"/>
      <w:r w:rsidR="00822370" w:rsidRPr="00822370">
        <w:rPr>
          <w:sz w:val="18"/>
          <w:szCs w:val="18"/>
        </w:rPr>
        <w:t xml:space="preserve"> and </w:t>
      </w:r>
      <w:proofErr w:type="spellStart"/>
      <w:r w:rsidR="00822370" w:rsidRPr="00822370">
        <w:rPr>
          <w:sz w:val="18"/>
          <w:szCs w:val="18"/>
        </w:rPr>
        <w:t>lacosamide</w:t>
      </w:r>
      <w:proofErr w:type="spellEnd"/>
      <w:r w:rsidR="00822370" w:rsidRPr="00822370">
        <w:rPr>
          <w:sz w:val="18"/>
          <w:szCs w:val="18"/>
        </w:rPr>
        <w:t xml:space="preserve"> trials </w:t>
      </w:r>
      <w:r w:rsidR="00822370">
        <w:rPr>
          <w:sz w:val="18"/>
          <w:szCs w:val="18"/>
        </w:rPr>
        <w:t>constituted of p</w:t>
      </w:r>
      <w:r w:rsidR="00822370" w:rsidRPr="00822370">
        <w:rPr>
          <w:sz w:val="18"/>
          <w:szCs w:val="18"/>
        </w:rPr>
        <w:t>artial onset seizures.</w:t>
      </w:r>
    </w:p>
    <w:p w:rsidR="00E42B39" w:rsidRPr="0063779A" w:rsidRDefault="00E42B39" w:rsidP="00E42B39">
      <w:pPr>
        <w:pStyle w:val="Tabletext"/>
        <w:ind w:left="720"/>
      </w:pPr>
      <w:r w:rsidRPr="0063779A">
        <w:rPr>
          <w:sz w:val="18"/>
          <w:szCs w:val="18"/>
        </w:rPr>
        <w:t>Source: Table B.37, p103 of the main body of the submission</w:t>
      </w:r>
      <w:r w:rsidRPr="0063779A">
        <w:t>.</w:t>
      </w:r>
    </w:p>
    <w:p w:rsidR="00E42B39" w:rsidRPr="00A70594" w:rsidRDefault="00E42B39" w:rsidP="00E42B39"/>
    <w:p w:rsidR="00E42B39" w:rsidRPr="00E2098F" w:rsidRDefault="00FA1EDF" w:rsidP="005E4448">
      <w:pPr>
        <w:pStyle w:val="ListParagraph"/>
        <w:widowControl/>
        <w:numPr>
          <w:ilvl w:val="1"/>
          <w:numId w:val="2"/>
        </w:numPr>
        <w:rPr>
          <w:szCs w:val="22"/>
        </w:rPr>
      </w:pPr>
      <w:r>
        <w:t>Based on the</w:t>
      </w:r>
      <w:r w:rsidR="00E42B39" w:rsidRPr="00E2098F">
        <w:t xml:space="preserve"> indirect comparisons there were no statistically significant differences between </w:t>
      </w:r>
      <w:proofErr w:type="spellStart"/>
      <w:r w:rsidR="00E42B39" w:rsidRPr="00E2098F">
        <w:t>brivaracetam</w:t>
      </w:r>
      <w:proofErr w:type="spellEnd"/>
      <w:r w:rsidR="00E42B39" w:rsidRPr="00E2098F">
        <w:t xml:space="preserve"> and </w:t>
      </w:r>
      <w:proofErr w:type="spellStart"/>
      <w:r w:rsidR="00E42B39" w:rsidRPr="00E2098F">
        <w:t>lacosamide</w:t>
      </w:r>
      <w:proofErr w:type="spellEnd"/>
      <w:r w:rsidR="00E42B39" w:rsidRPr="00E2098F">
        <w:t xml:space="preserve"> in terms of 1) the proportion of patients achieving ≥50% reduction </w:t>
      </w:r>
      <w:r w:rsidR="000A2DA8" w:rsidRPr="00E2098F">
        <w:t xml:space="preserve">from baseline </w:t>
      </w:r>
      <w:r w:rsidR="00E42B39" w:rsidRPr="00E2098F">
        <w:t xml:space="preserve">in </w:t>
      </w:r>
      <w:r w:rsidR="004712AA" w:rsidRPr="00E2098F">
        <w:t xml:space="preserve">POS </w:t>
      </w:r>
      <w:r w:rsidR="00E42B39" w:rsidRPr="00E2098F">
        <w:t xml:space="preserve">frequency per 28 days, 2) the reduction </w:t>
      </w:r>
      <w:r w:rsidR="003E2E0A" w:rsidRPr="00E2098F">
        <w:t xml:space="preserve">from baseline </w:t>
      </w:r>
      <w:r w:rsidR="00E42B39" w:rsidRPr="00E2098F">
        <w:t xml:space="preserve">in seizure frequency per 28 days, and 3) the proportion of patients who experienced </w:t>
      </w:r>
      <w:r w:rsidR="004712AA" w:rsidRPr="00E2098F">
        <w:t xml:space="preserve">all </w:t>
      </w:r>
      <w:r w:rsidR="00E42B39" w:rsidRPr="00E2098F">
        <w:t>seizure free status during the treatment phase of the trials. The</w:t>
      </w:r>
      <w:r>
        <w:t xml:space="preserve"> evaluation considered the results of the</w:t>
      </w:r>
      <w:r w:rsidR="00E42B39" w:rsidRPr="00E2098F">
        <w:t xml:space="preserve"> indirect comparison</w:t>
      </w:r>
      <w:r>
        <w:t>s</w:t>
      </w:r>
      <w:r w:rsidR="00E42B39" w:rsidRPr="00E2098F">
        <w:t xml:space="preserve"> should be viewed with caution given</w:t>
      </w:r>
      <w:r w:rsidR="00660E81" w:rsidRPr="00E2098F">
        <w:t xml:space="preserve"> </w:t>
      </w:r>
      <w:r w:rsidR="00E42B39" w:rsidRPr="00E2098F">
        <w:t xml:space="preserve">transitivity concerns </w:t>
      </w:r>
      <w:r w:rsidR="00660E81" w:rsidRPr="00E2098F">
        <w:t xml:space="preserve">across the </w:t>
      </w:r>
      <w:proofErr w:type="spellStart"/>
      <w:r w:rsidR="00660E81" w:rsidRPr="00E2098F">
        <w:t>brivarac</w:t>
      </w:r>
      <w:r>
        <w:t>etam</w:t>
      </w:r>
      <w:proofErr w:type="spellEnd"/>
      <w:r>
        <w:t xml:space="preserve"> and </w:t>
      </w:r>
      <w:proofErr w:type="spellStart"/>
      <w:r>
        <w:t>lacosamide</w:t>
      </w:r>
      <w:proofErr w:type="spellEnd"/>
      <w:r>
        <w:t xml:space="preserve"> trials</w:t>
      </w:r>
      <w:r w:rsidR="000A2DA8" w:rsidRPr="00E2098F">
        <w:t xml:space="preserve"> in terms of </w:t>
      </w:r>
      <w:r>
        <w:t xml:space="preserve">patient </w:t>
      </w:r>
      <w:r w:rsidR="000A2DA8" w:rsidRPr="00E2098F">
        <w:t>baseline characteristics for seizure type (simple partial and partial secondary generalised)</w:t>
      </w:r>
      <w:r w:rsidR="000A2DA8" w:rsidRPr="00E2098F">
        <w:rPr>
          <w:rStyle w:val="FontUnderlined"/>
          <w:rFonts w:ascii="Arial" w:hAnsi="Arial"/>
          <w:sz w:val="22"/>
          <w:u w:val="none"/>
        </w:rPr>
        <w:t xml:space="preserve">, </w:t>
      </w:r>
      <w:r w:rsidR="0018556B">
        <w:rPr>
          <w:rStyle w:val="FontUnderlined"/>
          <w:rFonts w:ascii="Arial" w:hAnsi="Arial"/>
          <w:sz w:val="22"/>
          <w:u w:val="none"/>
        </w:rPr>
        <w:t xml:space="preserve">and </w:t>
      </w:r>
      <w:r w:rsidR="000A2DA8" w:rsidRPr="00E2098F">
        <w:rPr>
          <w:rStyle w:val="FontUnderlined"/>
          <w:rFonts w:ascii="Arial" w:hAnsi="Arial"/>
          <w:sz w:val="22"/>
          <w:u w:val="none"/>
        </w:rPr>
        <w:t>the number and type of concomitant AEDs, which are potential treatment effect modifiers</w:t>
      </w:r>
      <w:r w:rsidR="000A2DA8" w:rsidRPr="00E2098F">
        <w:t>.</w:t>
      </w:r>
    </w:p>
    <w:p w:rsidR="00E42B39" w:rsidRPr="00E2098F" w:rsidRDefault="00E42B39" w:rsidP="00E42B39">
      <w:pPr>
        <w:rPr>
          <w:szCs w:val="22"/>
        </w:rPr>
      </w:pPr>
    </w:p>
    <w:p w:rsidR="00FB3501" w:rsidRPr="00E2098F" w:rsidRDefault="00FB3501" w:rsidP="005E4448">
      <w:pPr>
        <w:pStyle w:val="ListParagraph"/>
        <w:widowControl/>
        <w:numPr>
          <w:ilvl w:val="1"/>
          <w:numId w:val="2"/>
        </w:numPr>
        <w:rPr>
          <w:szCs w:val="22"/>
        </w:rPr>
      </w:pPr>
      <w:r w:rsidRPr="00E2098F">
        <w:t xml:space="preserve">The </w:t>
      </w:r>
      <w:r w:rsidR="007D58F5">
        <w:t xml:space="preserve">inclusion criteria for the </w:t>
      </w:r>
      <w:proofErr w:type="spellStart"/>
      <w:r w:rsidR="007D58F5">
        <w:t>brivaracetam</w:t>
      </w:r>
      <w:proofErr w:type="spellEnd"/>
      <w:r w:rsidR="007D58F5">
        <w:t xml:space="preserve"> trials did not match</w:t>
      </w:r>
      <w:r w:rsidRPr="00E2098F">
        <w:t xml:space="preserve"> the proposed PBS restrictions. The first proposed restriction was for refractory patients i</w:t>
      </w:r>
      <w:r w:rsidR="0018556B">
        <w:t>.</w:t>
      </w:r>
      <w:r w:rsidRPr="00E2098F">
        <w:t>e</w:t>
      </w:r>
      <w:r w:rsidR="0018556B">
        <w:t>.</w:t>
      </w:r>
      <w:r w:rsidRPr="00E2098F">
        <w:t xml:space="preserve"> those who were not adequately controlled on three</w:t>
      </w:r>
      <w:r w:rsidR="0018556B">
        <w:t xml:space="preserve"> or more</w:t>
      </w:r>
      <w:r w:rsidRPr="00E2098F">
        <w:t xml:space="preserve"> AEDs (at least one first-line AED and at least two second-line adjunctive AEDs). However, the </w:t>
      </w:r>
      <w:proofErr w:type="spellStart"/>
      <w:r w:rsidRPr="00E2098F">
        <w:t>brivaracetam</w:t>
      </w:r>
      <w:proofErr w:type="spellEnd"/>
      <w:r w:rsidRPr="00E2098F">
        <w:t xml:space="preserve"> trials enrolled some patients who were not adequately controlled on </w:t>
      </w:r>
      <w:r w:rsidR="0018556B">
        <w:t>less than</w:t>
      </w:r>
      <w:r w:rsidRPr="00E2098F">
        <w:t xml:space="preserve"> three AEDs. The second proposed restriction was for patients who were adequately controlled on </w:t>
      </w:r>
      <w:proofErr w:type="spellStart"/>
      <w:r w:rsidRPr="00E2098F">
        <w:t>levetiracetam</w:t>
      </w:r>
      <w:proofErr w:type="spellEnd"/>
      <w:r w:rsidRPr="00E2098F">
        <w:t xml:space="preserve"> but intolerant to it. The proportion of patients who discontinued </w:t>
      </w:r>
      <w:proofErr w:type="spellStart"/>
      <w:r w:rsidRPr="00E2098F">
        <w:t>levetiracetam</w:t>
      </w:r>
      <w:proofErr w:type="spellEnd"/>
      <w:r w:rsidRPr="00E2098F">
        <w:t xml:space="preserve"> due to adverse events (AEs) in the key trials was too small for any meaningful analyses (10% in Trial 1358). The submission attempted to address these applicability issues by analysing subgroups from the </w:t>
      </w:r>
      <w:proofErr w:type="spellStart"/>
      <w:r w:rsidRPr="00E2098F">
        <w:t>brivaracetam</w:t>
      </w:r>
      <w:proofErr w:type="spellEnd"/>
      <w:r w:rsidRPr="00E2098F">
        <w:t xml:space="preserve"> placebo-controlled trials and comparing the results with the findings in the ITT trial population. The submission claimed that the patient baseline characteristics and the efficacy of </w:t>
      </w:r>
      <w:proofErr w:type="spellStart"/>
      <w:r w:rsidRPr="00E2098F">
        <w:t>brivaracetam</w:t>
      </w:r>
      <w:proofErr w:type="spellEnd"/>
      <w:r w:rsidRPr="00E2098F">
        <w:t xml:space="preserve"> in the subgroups were similar to those </w:t>
      </w:r>
      <w:r w:rsidR="00D41F8F">
        <w:t>in the ITT population</w:t>
      </w:r>
      <w:r w:rsidR="007D58F5">
        <w:t>s</w:t>
      </w:r>
      <w:r w:rsidR="00D41F8F">
        <w:t xml:space="preserve"> for</w:t>
      </w:r>
      <w:r w:rsidRPr="00E2098F">
        <w:t xml:space="preserve"> Trials 1252, 1253 and 1358. These analyses were post hoc in nature and there were differences in baseline disease characteristics across treatment arms that could potentially confound the results. The submission did not consider any applicability issues relating to the </w:t>
      </w:r>
      <w:proofErr w:type="spellStart"/>
      <w:r w:rsidRPr="00E2098F">
        <w:t>lacosamide</w:t>
      </w:r>
      <w:proofErr w:type="spellEnd"/>
      <w:r w:rsidRPr="00E2098F">
        <w:t xml:space="preserve"> trials.</w:t>
      </w:r>
      <w:r w:rsidRPr="00E2098F">
        <w:rPr>
          <w:szCs w:val="22"/>
        </w:rPr>
        <w:t xml:space="preserve"> </w:t>
      </w:r>
    </w:p>
    <w:p w:rsidR="00FB3501" w:rsidRPr="00E2098F" w:rsidRDefault="00FB3501" w:rsidP="00FB3501">
      <w:pPr>
        <w:pStyle w:val="ListParagraph"/>
        <w:widowControl/>
        <w:rPr>
          <w:szCs w:val="22"/>
        </w:rPr>
      </w:pPr>
    </w:p>
    <w:p w:rsidR="00FB3501" w:rsidRPr="00E2098F" w:rsidRDefault="00C810CC" w:rsidP="005E4448">
      <w:pPr>
        <w:pStyle w:val="ListParagraph"/>
        <w:widowControl/>
        <w:numPr>
          <w:ilvl w:val="1"/>
          <w:numId w:val="2"/>
        </w:numPr>
      </w:pPr>
      <w:r w:rsidRPr="00E2098F">
        <w:t>The submission noted the indirect comparison</w:t>
      </w:r>
      <w:r w:rsidR="00040BB1">
        <w:t>s were</w:t>
      </w:r>
      <w:r w:rsidRPr="00E2098F">
        <w:t xml:space="preserve"> based on the broader </w:t>
      </w:r>
      <w:proofErr w:type="spellStart"/>
      <w:r w:rsidRPr="00E2098F">
        <w:t>brivaracetam</w:t>
      </w:r>
      <w:proofErr w:type="spellEnd"/>
      <w:r w:rsidRPr="00E2098F">
        <w:t xml:space="preserve"> trial populations which included patients receiving concomitant treatment with </w:t>
      </w:r>
      <w:proofErr w:type="spellStart"/>
      <w:r w:rsidRPr="00E2098F">
        <w:t>levetiracetam</w:t>
      </w:r>
      <w:proofErr w:type="spellEnd"/>
      <w:r w:rsidRPr="00E2098F">
        <w:t xml:space="preserve"> and since </w:t>
      </w:r>
      <w:proofErr w:type="spellStart"/>
      <w:r w:rsidRPr="00E2098F">
        <w:t>levetiracetam</w:t>
      </w:r>
      <w:proofErr w:type="spellEnd"/>
      <w:r w:rsidRPr="00E2098F">
        <w:t xml:space="preserve"> has the potential to mitigate the efficacy of </w:t>
      </w:r>
      <w:proofErr w:type="spellStart"/>
      <w:r w:rsidRPr="00E2098F">
        <w:t>brivaracetam</w:t>
      </w:r>
      <w:proofErr w:type="spellEnd"/>
      <w:r w:rsidRPr="00E2098F">
        <w:t xml:space="preserve"> (given that they both compete at </w:t>
      </w:r>
      <w:r w:rsidRPr="00E2098F">
        <w:rPr>
          <w:szCs w:val="22"/>
        </w:rPr>
        <w:t xml:space="preserve">synaptic vesicle (SV2A) binding site), </w:t>
      </w:r>
      <w:r w:rsidR="007D58F5">
        <w:rPr>
          <w:szCs w:val="22"/>
        </w:rPr>
        <w:t xml:space="preserve">and thus </w:t>
      </w:r>
      <w:r w:rsidRPr="00E2098F">
        <w:rPr>
          <w:szCs w:val="22"/>
        </w:rPr>
        <w:t xml:space="preserve">the </w:t>
      </w:r>
      <w:r w:rsidR="007D58F5">
        <w:rPr>
          <w:szCs w:val="22"/>
        </w:rPr>
        <w:t xml:space="preserve">submission considered the </w:t>
      </w:r>
      <w:r w:rsidRPr="00E2098F">
        <w:rPr>
          <w:szCs w:val="22"/>
        </w:rPr>
        <w:t>findings of the indirect comparison</w:t>
      </w:r>
      <w:r w:rsidR="007D58F5">
        <w:rPr>
          <w:szCs w:val="22"/>
        </w:rPr>
        <w:t>s</w:t>
      </w:r>
      <w:r w:rsidRPr="00E2098F">
        <w:rPr>
          <w:szCs w:val="22"/>
        </w:rPr>
        <w:t xml:space="preserve"> </w:t>
      </w:r>
      <w:r w:rsidR="007D58F5">
        <w:rPr>
          <w:szCs w:val="22"/>
        </w:rPr>
        <w:t>to be</w:t>
      </w:r>
      <w:r w:rsidRPr="00E2098F">
        <w:rPr>
          <w:szCs w:val="22"/>
        </w:rPr>
        <w:t xml:space="preserve"> “conservative”. </w:t>
      </w:r>
    </w:p>
    <w:p w:rsidR="00FB3501" w:rsidRPr="00E2098F" w:rsidRDefault="00FB3501" w:rsidP="00FB3501">
      <w:pPr>
        <w:pStyle w:val="ListParagraph"/>
        <w:widowControl/>
      </w:pPr>
    </w:p>
    <w:p w:rsidR="00E42B39" w:rsidRPr="00E2098F" w:rsidRDefault="000A2DA8" w:rsidP="005E4448">
      <w:pPr>
        <w:pStyle w:val="ListParagraph"/>
        <w:widowControl/>
        <w:numPr>
          <w:ilvl w:val="1"/>
          <w:numId w:val="2"/>
        </w:numPr>
        <w:rPr>
          <w:szCs w:val="22"/>
        </w:rPr>
      </w:pPr>
      <w:r w:rsidRPr="00E2098F">
        <w:rPr>
          <w:szCs w:val="22"/>
        </w:rPr>
        <w:t>T</w:t>
      </w:r>
      <w:r w:rsidR="00E42B39" w:rsidRPr="00E2098F">
        <w:rPr>
          <w:szCs w:val="22"/>
        </w:rPr>
        <w:t xml:space="preserve">he submission presented pooled efficacy data from the key </w:t>
      </w:r>
      <w:proofErr w:type="spellStart"/>
      <w:r w:rsidR="00E42B39" w:rsidRPr="00E2098F">
        <w:rPr>
          <w:szCs w:val="22"/>
        </w:rPr>
        <w:t>brivaracetam</w:t>
      </w:r>
      <w:proofErr w:type="spellEnd"/>
      <w:r w:rsidR="00E42B39" w:rsidRPr="00E2098F">
        <w:rPr>
          <w:szCs w:val="22"/>
        </w:rPr>
        <w:t xml:space="preserve"> trials </w:t>
      </w:r>
      <w:r w:rsidR="00E42B39" w:rsidRPr="0018556B">
        <w:rPr>
          <w:szCs w:val="22"/>
        </w:rPr>
        <w:t>excluding</w:t>
      </w:r>
      <w:r w:rsidR="00E42B39" w:rsidRPr="00E2098F">
        <w:rPr>
          <w:szCs w:val="22"/>
        </w:rPr>
        <w:t xml:space="preserve"> patients who were on concomitant </w:t>
      </w:r>
      <w:proofErr w:type="spellStart"/>
      <w:r w:rsidR="00E42B39" w:rsidRPr="00E2098F">
        <w:rPr>
          <w:szCs w:val="22"/>
        </w:rPr>
        <w:t>levetiracetam</w:t>
      </w:r>
      <w:proofErr w:type="spellEnd"/>
      <w:r w:rsidR="00E42B39" w:rsidRPr="00E2098F">
        <w:rPr>
          <w:szCs w:val="22"/>
        </w:rPr>
        <w:t xml:space="preserve"> (defined as Pool E1 analysis in the submission). Trials 1252 and 1253 restricted the enrolment of patients on concomitant </w:t>
      </w:r>
      <w:proofErr w:type="spellStart"/>
      <w:r w:rsidR="00E42B39" w:rsidRPr="00E2098F">
        <w:rPr>
          <w:szCs w:val="22"/>
        </w:rPr>
        <w:t>levetiracetam</w:t>
      </w:r>
      <w:proofErr w:type="spellEnd"/>
      <w:r w:rsidR="00E42B39" w:rsidRPr="00E2098F">
        <w:rPr>
          <w:szCs w:val="22"/>
        </w:rPr>
        <w:t xml:space="preserve"> to approximately 20% whilst Trial 1358 did not enrol such patients. The Pool E1 results were not substantially different to the broader ITT results of the individual trials which included concomitant </w:t>
      </w:r>
      <w:proofErr w:type="spellStart"/>
      <w:r w:rsidR="00E42B39" w:rsidRPr="00E2098F">
        <w:rPr>
          <w:szCs w:val="22"/>
        </w:rPr>
        <w:t>levetiracetam</w:t>
      </w:r>
      <w:proofErr w:type="spellEnd"/>
      <w:r w:rsidR="00E42B39" w:rsidRPr="00E2098F">
        <w:rPr>
          <w:szCs w:val="22"/>
        </w:rPr>
        <w:t xml:space="preserve"> use. This </w:t>
      </w:r>
      <w:r w:rsidR="007D58F5">
        <w:rPr>
          <w:szCs w:val="22"/>
        </w:rPr>
        <w:t>probably reflects that</w:t>
      </w:r>
      <w:r w:rsidR="00E42B39" w:rsidRPr="00E2098F">
        <w:rPr>
          <w:szCs w:val="22"/>
        </w:rPr>
        <w:t xml:space="preserve"> the subgroup of patients who were not on concomitant </w:t>
      </w:r>
      <w:proofErr w:type="spellStart"/>
      <w:r w:rsidR="00E42B39" w:rsidRPr="00E2098F">
        <w:rPr>
          <w:szCs w:val="22"/>
        </w:rPr>
        <w:t>levetiracetam</w:t>
      </w:r>
      <w:proofErr w:type="spellEnd"/>
      <w:r w:rsidR="00E42B39" w:rsidRPr="00E2098F">
        <w:rPr>
          <w:szCs w:val="22"/>
        </w:rPr>
        <w:t xml:space="preserve"> made up the majority of the </w:t>
      </w:r>
      <w:r w:rsidR="007D58F5">
        <w:rPr>
          <w:szCs w:val="22"/>
        </w:rPr>
        <w:t>trial ITT</w:t>
      </w:r>
      <w:r w:rsidR="00E42B39" w:rsidRPr="00E2098F">
        <w:rPr>
          <w:szCs w:val="22"/>
        </w:rPr>
        <w:t xml:space="preserve"> populations. </w:t>
      </w:r>
      <w:r w:rsidR="00115801">
        <w:rPr>
          <w:szCs w:val="22"/>
        </w:rPr>
        <w:t>Ad</w:t>
      </w:r>
      <w:r w:rsidR="00E42B39" w:rsidRPr="00E2098F">
        <w:rPr>
          <w:szCs w:val="22"/>
        </w:rPr>
        <w:t xml:space="preserve">ditional informative analyses, not presented in the submission, would be based on the </w:t>
      </w:r>
      <w:r w:rsidR="00E42B39" w:rsidRPr="0018556B">
        <w:rPr>
          <w:szCs w:val="22"/>
        </w:rPr>
        <w:t>complement sub-group of</w:t>
      </w:r>
      <w:r w:rsidR="00E42B39" w:rsidRPr="00E2098F">
        <w:rPr>
          <w:szCs w:val="22"/>
        </w:rPr>
        <w:t xml:space="preserve"> patients on concomitant </w:t>
      </w:r>
      <w:proofErr w:type="spellStart"/>
      <w:r w:rsidR="00E42B39" w:rsidRPr="00E2098F">
        <w:rPr>
          <w:szCs w:val="22"/>
        </w:rPr>
        <w:t>levetiracetam</w:t>
      </w:r>
      <w:proofErr w:type="spellEnd"/>
      <w:r w:rsidR="00E42B39" w:rsidRPr="00E2098F">
        <w:rPr>
          <w:szCs w:val="22"/>
        </w:rPr>
        <w:t xml:space="preserve"> from Trials 1252 and 1253 and subsequent statistical interaction tests between the concomitant use and non-concomitant use of </w:t>
      </w:r>
      <w:proofErr w:type="spellStart"/>
      <w:r w:rsidR="00E42B39" w:rsidRPr="00E2098F">
        <w:rPr>
          <w:szCs w:val="22"/>
        </w:rPr>
        <w:t>levetiracetam</w:t>
      </w:r>
      <w:proofErr w:type="spellEnd"/>
      <w:r w:rsidR="00E42B39" w:rsidRPr="00E2098F">
        <w:rPr>
          <w:szCs w:val="22"/>
        </w:rPr>
        <w:t xml:space="preserve"> </w:t>
      </w:r>
      <w:r w:rsidR="00C810CC" w:rsidRPr="00E2098F">
        <w:rPr>
          <w:szCs w:val="22"/>
        </w:rPr>
        <w:t>subgroups.</w:t>
      </w:r>
    </w:p>
    <w:p w:rsidR="00E42B39" w:rsidRPr="00882085" w:rsidRDefault="00E42B39" w:rsidP="00E42B39">
      <w:pPr>
        <w:rPr>
          <w:szCs w:val="22"/>
        </w:rPr>
      </w:pPr>
    </w:p>
    <w:p w:rsidR="00E42B39" w:rsidRPr="00C9380F" w:rsidRDefault="00E42B39" w:rsidP="00944D88">
      <w:pPr>
        <w:pStyle w:val="Heading3"/>
      </w:pPr>
      <w:bookmarkStart w:id="17" w:name="_Toc413139279"/>
      <w:bookmarkStart w:id="18" w:name="_Toc450135178"/>
      <w:r w:rsidRPr="00C9380F">
        <w:t>Comparative harms</w:t>
      </w:r>
      <w:bookmarkEnd w:id="17"/>
      <w:bookmarkEnd w:id="18"/>
    </w:p>
    <w:p w:rsidR="00E42B39" w:rsidRPr="00882085" w:rsidRDefault="00E42B39" w:rsidP="00E42B39">
      <w:pPr>
        <w:ind w:left="720" w:hanging="720"/>
        <w:rPr>
          <w:szCs w:val="22"/>
        </w:rPr>
      </w:pPr>
    </w:p>
    <w:p w:rsidR="00E42B39" w:rsidRPr="00DF30A1" w:rsidRDefault="00E42B39" w:rsidP="005E4448">
      <w:pPr>
        <w:pStyle w:val="ListParagraph"/>
        <w:widowControl/>
        <w:numPr>
          <w:ilvl w:val="1"/>
          <w:numId w:val="2"/>
        </w:numPr>
        <w:rPr>
          <w:szCs w:val="22"/>
        </w:rPr>
      </w:pPr>
      <w:r>
        <w:t xml:space="preserve">An indirect comparison of any treatment-emergent adverse events (TEAEs), serious AEs (SAEs) and common TEAEs </w:t>
      </w:r>
      <w:r w:rsidR="00FF2429">
        <w:t>for</w:t>
      </w:r>
      <w:r>
        <w:t xml:space="preserve"> </w:t>
      </w:r>
      <w:proofErr w:type="spellStart"/>
      <w:r>
        <w:t>brivaracetam</w:t>
      </w:r>
      <w:proofErr w:type="spellEnd"/>
      <w:r>
        <w:t xml:space="preserve"> and </w:t>
      </w:r>
      <w:proofErr w:type="spellStart"/>
      <w:r>
        <w:t>lacosamide</w:t>
      </w:r>
      <w:proofErr w:type="spellEnd"/>
      <w:r>
        <w:t xml:space="preserve"> </w:t>
      </w:r>
      <w:r w:rsidR="00FF2429">
        <w:t xml:space="preserve">for the recommended doses </w:t>
      </w:r>
      <w:r>
        <w:t xml:space="preserve">is presented </w:t>
      </w:r>
      <w:r w:rsidR="00EA3977">
        <w:t>in Table 6</w:t>
      </w:r>
      <w:r>
        <w:t>.</w:t>
      </w:r>
    </w:p>
    <w:p w:rsidR="00E42B39" w:rsidRDefault="00E42B39" w:rsidP="00E42B39">
      <w:pPr>
        <w:pStyle w:val="ListParagraph"/>
        <w:widowControl/>
      </w:pPr>
    </w:p>
    <w:p w:rsidR="002158F6" w:rsidRDefault="002158F6">
      <w:pPr>
        <w:widowControl/>
        <w:jc w:val="left"/>
        <w:rPr>
          <w:rFonts w:ascii="Arial Narrow" w:hAnsi="Arial Narrow"/>
          <w:b/>
          <w:sz w:val="20"/>
        </w:rPr>
      </w:pPr>
      <w:r>
        <w:br w:type="page"/>
      </w:r>
    </w:p>
    <w:p w:rsidR="00E42B39" w:rsidRDefault="00984563" w:rsidP="00E42B39">
      <w:pPr>
        <w:pStyle w:val="TableHeader"/>
        <w:ind w:left="720"/>
      </w:pPr>
      <w:r>
        <w:t>Table 6</w:t>
      </w:r>
      <w:r w:rsidR="00A50DEB">
        <w:t xml:space="preserve">: </w:t>
      </w:r>
      <w:r w:rsidR="00E42B39" w:rsidRPr="0063779A">
        <w:t>Indirect comparison of Pool S1</w:t>
      </w:r>
      <w:r w:rsidR="00D41F8F" w:rsidRPr="00D41F8F">
        <w:rPr>
          <w:vertAlign w:val="superscript"/>
        </w:rPr>
        <w:t>a</w:t>
      </w:r>
      <w:r w:rsidR="00E42B39" w:rsidRPr="0063779A">
        <w:t xml:space="preserve"> TEAE data between </w:t>
      </w:r>
      <w:proofErr w:type="spellStart"/>
      <w:r w:rsidR="00E42B39" w:rsidRPr="0063779A">
        <w:t>brivaracetam</w:t>
      </w:r>
      <w:proofErr w:type="spellEnd"/>
      <w:r w:rsidR="00E42B39" w:rsidRPr="0063779A">
        <w:t xml:space="preserve"> and </w:t>
      </w:r>
      <w:proofErr w:type="spellStart"/>
      <w:r w:rsidR="00E42B39" w:rsidRPr="0063779A">
        <w:t>lacosamide</w:t>
      </w:r>
      <w:proofErr w:type="spellEnd"/>
      <w:r w:rsidR="00E42B39" w:rsidRPr="0063779A">
        <w:t xml:space="preserve"> (</w:t>
      </w:r>
      <w:r w:rsidR="00FF2429">
        <w:t>recommended</w:t>
      </w:r>
      <w:r w:rsidR="00E42B39" w:rsidRPr="0063779A">
        <w:t xml:space="preserve"> doses)</w:t>
      </w:r>
    </w:p>
    <w:tbl>
      <w:tblPr>
        <w:tblStyle w:val="TableGrid"/>
        <w:tblW w:w="4577" w:type="pct"/>
        <w:tblInd w:w="817" w:type="dxa"/>
        <w:tblLayout w:type="fixed"/>
        <w:tblLook w:val="04A0" w:firstRow="1" w:lastRow="0" w:firstColumn="1" w:lastColumn="0" w:noHBand="0" w:noVBand="1"/>
      </w:tblPr>
      <w:tblGrid>
        <w:gridCol w:w="1535"/>
        <w:gridCol w:w="937"/>
        <w:gridCol w:w="865"/>
        <w:gridCol w:w="1151"/>
        <w:gridCol w:w="778"/>
        <w:gridCol w:w="871"/>
        <w:gridCol w:w="1161"/>
        <w:gridCol w:w="1162"/>
      </w:tblGrid>
      <w:tr w:rsidR="00E42B39" w:rsidRPr="0063779A" w:rsidTr="00D40E1A">
        <w:tc>
          <w:tcPr>
            <w:tcW w:w="907" w:type="pct"/>
          </w:tcPr>
          <w:p w:rsidR="00E42B39" w:rsidRPr="0063779A" w:rsidRDefault="00E42B39" w:rsidP="00E42B39">
            <w:pPr>
              <w:pStyle w:val="Table"/>
              <w:rPr>
                <w:rStyle w:val="SmallBold"/>
                <w:rFonts w:ascii="Arial Narrow" w:hAnsi="Arial Narrow"/>
                <w:szCs w:val="20"/>
              </w:rPr>
            </w:pPr>
          </w:p>
        </w:tc>
        <w:tc>
          <w:tcPr>
            <w:tcW w:w="1745" w:type="pct"/>
            <w:gridSpan w:val="3"/>
          </w:tcPr>
          <w:p w:rsidR="00E42B39" w:rsidRPr="0063779A" w:rsidRDefault="00E42B39" w:rsidP="00E42B39">
            <w:pPr>
              <w:pStyle w:val="TableCentre"/>
              <w:rPr>
                <w:rStyle w:val="SmallBold"/>
                <w:rFonts w:ascii="Arial Narrow" w:hAnsi="Arial Narrow"/>
                <w:szCs w:val="20"/>
              </w:rPr>
            </w:pPr>
            <w:proofErr w:type="spellStart"/>
            <w:r w:rsidRPr="0063779A">
              <w:rPr>
                <w:rStyle w:val="SmallBold"/>
                <w:rFonts w:ascii="Arial Narrow" w:hAnsi="Arial Narrow"/>
                <w:szCs w:val="20"/>
              </w:rPr>
              <w:t>Brivaracetam</w:t>
            </w:r>
            <w:proofErr w:type="spellEnd"/>
          </w:p>
        </w:tc>
        <w:tc>
          <w:tcPr>
            <w:tcW w:w="1661" w:type="pct"/>
            <w:gridSpan w:val="3"/>
          </w:tcPr>
          <w:p w:rsidR="00E42B39" w:rsidRPr="0063779A" w:rsidRDefault="00E42B39" w:rsidP="00E42B39">
            <w:pPr>
              <w:pStyle w:val="TableCentre"/>
              <w:rPr>
                <w:rStyle w:val="SmallBold"/>
                <w:rFonts w:ascii="Arial Narrow" w:hAnsi="Arial Narrow"/>
                <w:szCs w:val="20"/>
              </w:rPr>
            </w:pPr>
            <w:proofErr w:type="spellStart"/>
            <w:r w:rsidRPr="0063779A">
              <w:rPr>
                <w:rStyle w:val="SmallBold"/>
                <w:rFonts w:ascii="Arial Narrow" w:hAnsi="Arial Narrow"/>
                <w:szCs w:val="20"/>
              </w:rPr>
              <w:t>Lacosamide</w:t>
            </w:r>
            <w:proofErr w:type="spellEnd"/>
          </w:p>
        </w:tc>
        <w:tc>
          <w:tcPr>
            <w:tcW w:w="687" w:type="pct"/>
          </w:tcPr>
          <w:p w:rsidR="00E42B39" w:rsidRDefault="00E42B39" w:rsidP="00E42B39">
            <w:pPr>
              <w:pStyle w:val="TableCentre"/>
              <w:rPr>
                <w:rStyle w:val="SmallBold"/>
                <w:rFonts w:ascii="Arial Narrow" w:hAnsi="Arial Narrow"/>
                <w:szCs w:val="20"/>
              </w:rPr>
            </w:pPr>
            <w:r w:rsidRPr="0063779A">
              <w:rPr>
                <w:rStyle w:val="SmallBold"/>
                <w:rFonts w:ascii="Arial Narrow" w:hAnsi="Arial Narrow"/>
                <w:szCs w:val="20"/>
              </w:rPr>
              <w:t>ITC</w:t>
            </w:r>
          </w:p>
          <w:p w:rsidR="00812CCE" w:rsidRPr="0063779A" w:rsidRDefault="00812CCE" w:rsidP="00E42B39">
            <w:pPr>
              <w:pStyle w:val="TableCentre"/>
              <w:rPr>
                <w:rStyle w:val="SmallBold"/>
                <w:rFonts w:ascii="Arial Narrow" w:hAnsi="Arial Narrow"/>
                <w:szCs w:val="20"/>
              </w:rPr>
            </w:pPr>
            <w:r>
              <w:rPr>
                <w:rStyle w:val="SmallBold"/>
                <w:rFonts w:ascii="Arial Narrow" w:hAnsi="Arial Narrow"/>
                <w:szCs w:val="20"/>
              </w:rPr>
              <w:t>BRV vs. LAC</w:t>
            </w:r>
          </w:p>
        </w:tc>
      </w:tr>
      <w:tr w:rsidR="00E42B39" w:rsidRPr="0063779A" w:rsidTr="00D40E1A">
        <w:tc>
          <w:tcPr>
            <w:tcW w:w="907" w:type="pct"/>
          </w:tcPr>
          <w:p w:rsidR="00E42B39" w:rsidRPr="0063779A" w:rsidRDefault="00E42B39" w:rsidP="00E42B39">
            <w:pPr>
              <w:pStyle w:val="Table"/>
              <w:rPr>
                <w:rStyle w:val="SmallBold"/>
                <w:rFonts w:ascii="Arial Narrow" w:hAnsi="Arial Narrow"/>
                <w:szCs w:val="20"/>
              </w:rPr>
            </w:pPr>
          </w:p>
        </w:tc>
        <w:tc>
          <w:tcPr>
            <w:tcW w:w="554" w:type="pct"/>
          </w:tcPr>
          <w:p w:rsidR="00E42B39" w:rsidRPr="0063779A" w:rsidRDefault="00E42B39" w:rsidP="00E42B39">
            <w:pPr>
              <w:pStyle w:val="TableCentre"/>
              <w:rPr>
                <w:rStyle w:val="SmallBold"/>
                <w:rFonts w:ascii="Arial Narrow" w:hAnsi="Arial Narrow"/>
                <w:szCs w:val="20"/>
              </w:rPr>
            </w:pPr>
            <w:r w:rsidRPr="0063779A">
              <w:rPr>
                <w:rStyle w:val="SmallBold"/>
                <w:rFonts w:ascii="Arial Narrow" w:hAnsi="Arial Narrow"/>
                <w:szCs w:val="20"/>
              </w:rPr>
              <w:t>BRV 50-200 mg/day</w:t>
            </w:r>
          </w:p>
        </w:tc>
        <w:tc>
          <w:tcPr>
            <w:tcW w:w="511" w:type="pct"/>
          </w:tcPr>
          <w:p w:rsidR="00E42B39" w:rsidRPr="0063779A" w:rsidRDefault="00E42B39" w:rsidP="00E42B39">
            <w:pPr>
              <w:pStyle w:val="TableCentre"/>
              <w:rPr>
                <w:rStyle w:val="SmallBold"/>
                <w:rFonts w:ascii="Arial Narrow" w:hAnsi="Arial Narrow"/>
                <w:szCs w:val="20"/>
              </w:rPr>
            </w:pPr>
            <w:r w:rsidRPr="0063779A">
              <w:rPr>
                <w:rStyle w:val="SmallBold"/>
                <w:rFonts w:ascii="Arial Narrow" w:hAnsi="Arial Narrow"/>
                <w:szCs w:val="20"/>
              </w:rPr>
              <w:t>PBO</w:t>
            </w:r>
          </w:p>
        </w:tc>
        <w:tc>
          <w:tcPr>
            <w:tcW w:w="679" w:type="pct"/>
          </w:tcPr>
          <w:p w:rsidR="00E42B39" w:rsidRPr="0063779A" w:rsidRDefault="00E42B39" w:rsidP="00E42B39">
            <w:pPr>
              <w:pStyle w:val="TableCentre"/>
              <w:rPr>
                <w:rStyle w:val="SmallBold"/>
                <w:rFonts w:ascii="Arial Narrow" w:hAnsi="Arial Narrow"/>
                <w:szCs w:val="20"/>
              </w:rPr>
            </w:pPr>
            <w:r w:rsidRPr="0063779A">
              <w:rPr>
                <w:rStyle w:val="SmallBold"/>
                <w:rFonts w:ascii="Arial Narrow" w:hAnsi="Arial Narrow"/>
                <w:szCs w:val="20"/>
              </w:rPr>
              <w:t>RR, 95% CI</w:t>
            </w:r>
          </w:p>
        </w:tc>
        <w:tc>
          <w:tcPr>
            <w:tcW w:w="460" w:type="pct"/>
          </w:tcPr>
          <w:p w:rsidR="00E42B39" w:rsidRPr="0063779A" w:rsidRDefault="00E42B39" w:rsidP="00A50DEB">
            <w:pPr>
              <w:pStyle w:val="TableCentre"/>
              <w:ind w:left="-57" w:right="-57"/>
              <w:rPr>
                <w:rStyle w:val="SmallBold"/>
                <w:rFonts w:ascii="Arial Narrow" w:hAnsi="Arial Narrow"/>
                <w:szCs w:val="20"/>
              </w:rPr>
            </w:pPr>
            <w:r w:rsidRPr="0063779A">
              <w:rPr>
                <w:rStyle w:val="SmallBold"/>
                <w:rFonts w:ascii="Arial Narrow" w:hAnsi="Arial Narrow"/>
                <w:szCs w:val="20"/>
              </w:rPr>
              <w:t>LAC 200 &amp; 400 mg/day</w:t>
            </w:r>
          </w:p>
        </w:tc>
        <w:tc>
          <w:tcPr>
            <w:tcW w:w="515" w:type="pct"/>
          </w:tcPr>
          <w:p w:rsidR="00E42B39" w:rsidRPr="0063779A" w:rsidRDefault="00E42B39" w:rsidP="00E42B39">
            <w:pPr>
              <w:pStyle w:val="TableCentre"/>
              <w:rPr>
                <w:rStyle w:val="SmallBold"/>
                <w:rFonts w:ascii="Arial Narrow" w:hAnsi="Arial Narrow"/>
                <w:szCs w:val="20"/>
              </w:rPr>
            </w:pPr>
            <w:r w:rsidRPr="0063779A">
              <w:rPr>
                <w:rStyle w:val="SmallBold"/>
                <w:rFonts w:ascii="Arial Narrow" w:hAnsi="Arial Narrow"/>
                <w:szCs w:val="20"/>
              </w:rPr>
              <w:t>PBO</w:t>
            </w:r>
          </w:p>
        </w:tc>
        <w:tc>
          <w:tcPr>
            <w:tcW w:w="686" w:type="pct"/>
          </w:tcPr>
          <w:p w:rsidR="00E42B39" w:rsidRPr="0063779A" w:rsidRDefault="00E42B39" w:rsidP="00E42B39">
            <w:pPr>
              <w:pStyle w:val="TableCentre"/>
              <w:rPr>
                <w:rStyle w:val="SmallBold"/>
                <w:rFonts w:ascii="Arial Narrow" w:hAnsi="Arial Narrow"/>
                <w:szCs w:val="20"/>
              </w:rPr>
            </w:pPr>
            <w:r w:rsidRPr="0063779A">
              <w:rPr>
                <w:rStyle w:val="SmallBold"/>
                <w:rFonts w:ascii="Arial Narrow" w:hAnsi="Arial Narrow"/>
                <w:szCs w:val="20"/>
              </w:rPr>
              <w:t>RR, 95% CI</w:t>
            </w:r>
          </w:p>
        </w:tc>
        <w:tc>
          <w:tcPr>
            <w:tcW w:w="687" w:type="pct"/>
          </w:tcPr>
          <w:p w:rsidR="00E42B39" w:rsidRPr="0063779A" w:rsidRDefault="00E42B39" w:rsidP="00463D64">
            <w:pPr>
              <w:pStyle w:val="TableCentre"/>
              <w:ind w:left="-57" w:right="-57"/>
              <w:rPr>
                <w:rStyle w:val="SmallBold"/>
                <w:rFonts w:ascii="Arial Narrow" w:hAnsi="Arial Narrow"/>
                <w:szCs w:val="20"/>
              </w:rPr>
            </w:pPr>
            <w:r w:rsidRPr="0063779A">
              <w:rPr>
                <w:rStyle w:val="SmallBold"/>
                <w:rFonts w:ascii="Arial Narrow" w:hAnsi="Arial Narrow"/>
                <w:szCs w:val="20"/>
              </w:rPr>
              <w:t xml:space="preserve">RR, </w:t>
            </w:r>
            <w:r w:rsidR="003F08AE">
              <w:rPr>
                <w:rStyle w:val="SmallBold"/>
                <w:rFonts w:ascii="Arial Narrow" w:hAnsi="Arial Narrow"/>
                <w:szCs w:val="20"/>
              </w:rPr>
              <w:br/>
            </w:r>
            <w:r w:rsidRPr="0063779A">
              <w:rPr>
                <w:rStyle w:val="SmallBold"/>
                <w:rFonts w:ascii="Arial Narrow" w:hAnsi="Arial Narrow"/>
                <w:szCs w:val="20"/>
              </w:rPr>
              <w:t>95% CI</w:t>
            </w:r>
          </w:p>
        </w:tc>
      </w:tr>
      <w:tr w:rsidR="00E42B39" w:rsidRPr="0063779A" w:rsidTr="00D40E1A">
        <w:tc>
          <w:tcPr>
            <w:tcW w:w="907" w:type="pct"/>
          </w:tcPr>
          <w:p w:rsidR="00E42B39" w:rsidRPr="0063779A" w:rsidRDefault="00E42B39" w:rsidP="00E42B39">
            <w:pPr>
              <w:pStyle w:val="Table"/>
              <w:rPr>
                <w:rFonts w:ascii="Arial Narrow" w:hAnsi="Arial Narrow"/>
                <w:szCs w:val="20"/>
              </w:rPr>
            </w:pPr>
            <w:r w:rsidRPr="0063779A">
              <w:rPr>
                <w:rFonts w:ascii="Arial Narrow" w:hAnsi="Arial Narrow"/>
                <w:szCs w:val="20"/>
              </w:rPr>
              <w:t>N</w:t>
            </w:r>
          </w:p>
        </w:tc>
        <w:tc>
          <w:tcPr>
            <w:tcW w:w="554" w:type="pct"/>
          </w:tcPr>
          <w:p w:rsidR="00E42B39" w:rsidRPr="0063779A" w:rsidRDefault="00E42B39" w:rsidP="00E42B39">
            <w:pPr>
              <w:pStyle w:val="TableCentre"/>
              <w:rPr>
                <w:rFonts w:ascii="Arial Narrow" w:hAnsi="Arial Narrow"/>
                <w:szCs w:val="20"/>
              </w:rPr>
            </w:pPr>
            <w:r w:rsidRPr="0063779A">
              <w:rPr>
                <w:rFonts w:ascii="Arial Narrow" w:hAnsi="Arial Narrow"/>
                <w:szCs w:val="20"/>
              </w:rPr>
              <w:t>803</w:t>
            </w:r>
          </w:p>
        </w:tc>
        <w:tc>
          <w:tcPr>
            <w:tcW w:w="511" w:type="pct"/>
          </w:tcPr>
          <w:p w:rsidR="00E42B39" w:rsidRPr="0063779A" w:rsidRDefault="00E42B39" w:rsidP="00E42B39">
            <w:pPr>
              <w:pStyle w:val="TableCentre"/>
              <w:rPr>
                <w:rFonts w:ascii="Arial Narrow" w:hAnsi="Arial Narrow"/>
                <w:szCs w:val="20"/>
              </w:rPr>
            </w:pPr>
            <w:r w:rsidRPr="0063779A">
              <w:rPr>
                <w:rFonts w:ascii="Arial Narrow" w:hAnsi="Arial Narrow"/>
                <w:szCs w:val="20"/>
              </w:rPr>
              <w:t>459</w:t>
            </w:r>
          </w:p>
        </w:tc>
        <w:tc>
          <w:tcPr>
            <w:tcW w:w="679" w:type="pct"/>
          </w:tcPr>
          <w:p w:rsidR="00E42B39" w:rsidRPr="0063779A" w:rsidRDefault="00E42B39" w:rsidP="00E42B39">
            <w:pPr>
              <w:pStyle w:val="TableCentre"/>
              <w:rPr>
                <w:rFonts w:ascii="Arial Narrow" w:hAnsi="Arial Narrow"/>
                <w:szCs w:val="20"/>
              </w:rPr>
            </w:pPr>
          </w:p>
        </w:tc>
        <w:tc>
          <w:tcPr>
            <w:tcW w:w="460" w:type="pct"/>
          </w:tcPr>
          <w:p w:rsidR="00E42B39" w:rsidRPr="0063779A" w:rsidRDefault="00E42B39" w:rsidP="00E42B39">
            <w:pPr>
              <w:pStyle w:val="TableCentre"/>
              <w:rPr>
                <w:rFonts w:ascii="Arial Narrow" w:hAnsi="Arial Narrow"/>
                <w:szCs w:val="20"/>
              </w:rPr>
            </w:pPr>
            <w:r w:rsidRPr="0063779A">
              <w:rPr>
                <w:rFonts w:ascii="Arial Narrow" w:hAnsi="Arial Narrow"/>
                <w:szCs w:val="20"/>
              </w:rPr>
              <w:t>741</w:t>
            </w:r>
          </w:p>
        </w:tc>
        <w:tc>
          <w:tcPr>
            <w:tcW w:w="515" w:type="pct"/>
          </w:tcPr>
          <w:p w:rsidR="00E42B39" w:rsidRPr="0063779A" w:rsidRDefault="00E42B39" w:rsidP="00E42B39">
            <w:pPr>
              <w:pStyle w:val="TableCentre"/>
              <w:rPr>
                <w:rFonts w:ascii="Arial Narrow" w:hAnsi="Arial Narrow"/>
                <w:szCs w:val="20"/>
              </w:rPr>
            </w:pPr>
            <w:r w:rsidRPr="0063779A">
              <w:rPr>
                <w:rFonts w:ascii="Arial Narrow" w:hAnsi="Arial Narrow"/>
                <w:szCs w:val="20"/>
              </w:rPr>
              <w:t>364</w:t>
            </w:r>
          </w:p>
        </w:tc>
        <w:tc>
          <w:tcPr>
            <w:tcW w:w="686" w:type="pct"/>
          </w:tcPr>
          <w:p w:rsidR="00E42B39" w:rsidRPr="0063779A" w:rsidRDefault="00E42B39" w:rsidP="00E42B39">
            <w:pPr>
              <w:pStyle w:val="TableCentre"/>
              <w:rPr>
                <w:rFonts w:ascii="Arial Narrow" w:hAnsi="Arial Narrow"/>
                <w:szCs w:val="20"/>
              </w:rPr>
            </w:pPr>
          </w:p>
        </w:tc>
        <w:tc>
          <w:tcPr>
            <w:tcW w:w="687" w:type="pct"/>
          </w:tcPr>
          <w:p w:rsidR="00E42B39" w:rsidRPr="0063779A" w:rsidRDefault="00E42B39" w:rsidP="00463D64">
            <w:pPr>
              <w:pStyle w:val="TableCentre"/>
              <w:ind w:left="-57" w:right="-57"/>
              <w:rPr>
                <w:rFonts w:ascii="Arial Narrow" w:hAnsi="Arial Narrow"/>
                <w:szCs w:val="20"/>
              </w:rPr>
            </w:pPr>
          </w:p>
        </w:tc>
      </w:tr>
      <w:tr w:rsidR="00E42B39" w:rsidRPr="0063779A" w:rsidTr="00D40E1A">
        <w:tc>
          <w:tcPr>
            <w:tcW w:w="907" w:type="pct"/>
          </w:tcPr>
          <w:p w:rsidR="00E42B39" w:rsidRPr="0063779A" w:rsidRDefault="00E42B39" w:rsidP="00E42B39">
            <w:pPr>
              <w:pStyle w:val="Table"/>
              <w:rPr>
                <w:rFonts w:ascii="Arial Narrow" w:hAnsi="Arial Narrow"/>
                <w:szCs w:val="20"/>
              </w:rPr>
            </w:pPr>
            <w:r w:rsidRPr="0063779A">
              <w:rPr>
                <w:rFonts w:ascii="Arial Narrow" w:hAnsi="Arial Narrow"/>
                <w:szCs w:val="20"/>
              </w:rPr>
              <w:t>Any TEAE</w:t>
            </w:r>
          </w:p>
        </w:tc>
        <w:tc>
          <w:tcPr>
            <w:tcW w:w="554" w:type="pct"/>
          </w:tcPr>
          <w:p w:rsidR="00E42B39" w:rsidRPr="0063779A" w:rsidRDefault="00E42B39" w:rsidP="00E42B39">
            <w:pPr>
              <w:pStyle w:val="TableCentre"/>
              <w:rPr>
                <w:rFonts w:ascii="Arial Narrow" w:hAnsi="Arial Narrow"/>
                <w:szCs w:val="20"/>
              </w:rPr>
            </w:pPr>
            <w:r w:rsidRPr="0063779A">
              <w:rPr>
                <w:rFonts w:ascii="Arial Narrow" w:hAnsi="Arial Narrow"/>
                <w:szCs w:val="20"/>
              </w:rPr>
              <w:t>546 (68%)</w:t>
            </w:r>
          </w:p>
        </w:tc>
        <w:tc>
          <w:tcPr>
            <w:tcW w:w="511" w:type="pct"/>
          </w:tcPr>
          <w:p w:rsidR="00E42B39" w:rsidRPr="0063779A" w:rsidRDefault="00E42B39" w:rsidP="00E42B39">
            <w:pPr>
              <w:pStyle w:val="TableCentre"/>
              <w:rPr>
                <w:rFonts w:ascii="Arial Narrow" w:hAnsi="Arial Narrow"/>
                <w:szCs w:val="20"/>
              </w:rPr>
            </w:pPr>
            <w:r w:rsidRPr="0063779A">
              <w:rPr>
                <w:rFonts w:ascii="Arial Narrow" w:hAnsi="Arial Narrow"/>
                <w:szCs w:val="20"/>
              </w:rPr>
              <w:t>285 (62.1%)</w:t>
            </w:r>
          </w:p>
        </w:tc>
        <w:tc>
          <w:tcPr>
            <w:tcW w:w="679" w:type="pct"/>
          </w:tcPr>
          <w:p w:rsidR="00E42B39" w:rsidRPr="0063779A" w:rsidRDefault="00E42B39" w:rsidP="00E42B39">
            <w:pPr>
              <w:pStyle w:val="TableCentre"/>
              <w:rPr>
                <w:rFonts w:ascii="Arial Narrow" w:hAnsi="Arial Narrow"/>
                <w:szCs w:val="20"/>
              </w:rPr>
            </w:pPr>
            <w:r w:rsidRPr="0063779A">
              <w:rPr>
                <w:rFonts w:ascii="Arial Narrow" w:hAnsi="Arial Narrow"/>
                <w:szCs w:val="20"/>
              </w:rPr>
              <w:t>1.10</w:t>
            </w:r>
          </w:p>
          <w:p w:rsidR="00E42B39" w:rsidRPr="0063779A" w:rsidRDefault="00E42B39" w:rsidP="00E42B39">
            <w:pPr>
              <w:pStyle w:val="TableCentre"/>
              <w:rPr>
                <w:rFonts w:ascii="Arial Narrow" w:hAnsi="Arial Narrow"/>
                <w:szCs w:val="20"/>
              </w:rPr>
            </w:pPr>
            <w:r w:rsidRPr="0063779A">
              <w:rPr>
                <w:rFonts w:ascii="Arial Narrow" w:hAnsi="Arial Narrow"/>
                <w:szCs w:val="20"/>
              </w:rPr>
              <w:t>[1.01, 1.19]</w:t>
            </w:r>
          </w:p>
        </w:tc>
        <w:tc>
          <w:tcPr>
            <w:tcW w:w="460" w:type="pct"/>
          </w:tcPr>
          <w:p w:rsidR="00E42B39" w:rsidRPr="0063779A" w:rsidRDefault="00E42B39" w:rsidP="00463D64">
            <w:pPr>
              <w:pStyle w:val="TableCentre"/>
              <w:ind w:left="-57" w:right="-57"/>
              <w:rPr>
                <w:rFonts w:ascii="Arial Narrow" w:hAnsi="Arial Narrow"/>
                <w:szCs w:val="20"/>
              </w:rPr>
            </w:pPr>
            <w:r w:rsidRPr="0063779A">
              <w:rPr>
                <w:rFonts w:ascii="Arial Narrow" w:hAnsi="Arial Narrow"/>
                <w:szCs w:val="20"/>
              </w:rPr>
              <w:t>576 (77.7%)</w:t>
            </w:r>
          </w:p>
        </w:tc>
        <w:tc>
          <w:tcPr>
            <w:tcW w:w="515" w:type="pct"/>
          </w:tcPr>
          <w:p w:rsidR="00E42B39" w:rsidRPr="0063779A" w:rsidRDefault="00E42B39" w:rsidP="00E42B39">
            <w:pPr>
              <w:pStyle w:val="TableCentre"/>
              <w:rPr>
                <w:rFonts w:ascii="Arial Narrow" w:hAnsi="Arial Narrow"/>
                <w:szCs w:val="20"/>
              </w:rPr>
            </w:pPr>
            <w:r w:rsidRPr="0063779A">
              <w:rPr>
                <w:rFonts w:ascii="Arial Narrow" w:hAnsi="Arial Narrow"/>
                <w:szCs w:val="20"/>
              </w:rPr>
              <w:t>234 (64.3%)</w:t>
            </w:r>
          </w:p>
        </w:tc>
        <w:tc>
          <w:tcPr>
            <w:tcW w:w="686" w:type="pct"/>
          </w:tcPr>
          <w:p w:rsidR="00E42B39" w:rsidRPr="0063779A" w:rsidRDefault="00E42B39" w:rsidP="00E42B39">
            <w:pPr>
              <w:pStyle w:val="TableCentre"/>
              <w:rPr>
                <w:rFonts w:ascii="Arial Narrow" w:hAnsi="Arial Narrow"/>
                <w:szCs w:val="20"/>
              </w:rPr>
            </w:pPr>
            <w:r w:rsidRPr="0063779A">
              <w:rPr>
                <w:rFonts w:ascii="Arial Narrow" w:hAnsi="Arial Narrow"/>
                <w:szCs w:val="20"/>
              </w:rPr>
              <w:t xml:space="preserve">1.21 </w:t>
            </w:r>
            <w:r>
              <w:rPr>
                <w:rFonts w:ascii="Arial Narrow" w:hAnsi="Arial Narrow"/>
                <w:szCs w:val="20"/>
              </w:rPr>
              <w:br/>
              <w:t xml:space="preserve"> </w:t>
            </w:r>
            <w:r w:rsidRPr="0063779A">
              <w:rPr>
                <w:rFonts w:ascii="Arial Narrow" w:hAnsi="Arial Narrow"/>
                <w:szCs w:val="20"/>
              </w:rPr>
              <w:t>[1.11, 1.32]</w:t>
            </w:r>
          </w:p>
        </w:tc>
        <w:tc>
          <w:tcPr>
            <w:tcW w:w="687" w:type="pct"/>
          </w:tcPr>
          <w:p w:rsidR="00E42B39" w:rsidRPr="0063779A" w:rsidRDefault="00E42B39" w:rsidP="00463D64">
            <w:pPr>
              <w:pStyle w:val="TableCentre"/>
              <w:ind w:left="-57" w:right="-57"/>
              <w:rPr>
                <w:rFonts w:ascii="Arial Narrow" w:hAnsi="Arial Narrow"/>
                <w:szCs w:val="20"/>
              </w:rPr>
            </w:pPr>
            <w:r w:rsidRPr="0063779A">
              <w:rPr>
                <w:rFonts w:ascii="Arial Narrow" w:hAnsi="Arial Narrow"/>
                <w:szCs w:val="20"/>
              </w:rPr>
              <w:t>0.91</w:t>
            </w:r>
          </w:p>
          <w:p w:rsidR="00E42B39" w:rsidRPr="0063779A" w:rsidRDefault="00E42B39" w:rsidP="00463D64">
            <w:pPr>
              <w:pStyle w:val="TableCentre"/>
              <w:ind w:left="-57" w:right="-57"/>
              <w:rPr>
                <w:rFonts w:ascii="Arial Narrow" w:hAnsi="Arial Narrow"/>
                <w:szCs w:val="20"/>
              </w:rPr>
            </w:pPr>
            <w:r w:rsidRPr="0063779A">
              <w:rPr>
                <w:rFonts w:ascii="Arial Narrow" w:hAnsi="Arial Narrow"/>
                <w:szCs w:val="20"/>
              </w:rPr>
              <w:t>[0.81, 1.02]</w:t>
            </w:r>
          </w:p>
        </w:tc>
      </w:tr>
      <w:tr w:rsidR="00E42B39" w:rsidRPr="00E3491F" w:rsidTr="00D40E1A">
        <w:tc>
          <w:tcPr>
            <w:tcW w:w="907" w:type="pct"/>
          </w:tcPr>
          <w:p w:rsidR="00E42B39" w:rsidRPr="0063779A" w:rsidRDefault="00E42B39" w:rsidP="00E42B39">
            <w:pPr>
              <w:pStyle w:val="Table"/>
              <w:rPr>
                <w:rFonts w:ascii="Arial Narrow" w:hAnsi="Arial Narrow"/>
                <w:szCs w:val="20"/>
              </w:rPr>
            </w:pPr>
            <w:r w:rsidRPr="0063779A">
              <w:rPr>
                <w:rFonts w:ascii="Arial Narrow" w:hAnsi="Arial Narrow"/>
                <w:szCs w:val="20"/>
              </w:rPr>
              <w:t>Discontinuation due to TEAE</w:t>
            </w:r>
          </w:p>
        </w:tc>
        <w:tc>
          <w:tcPr>
            <w:tcW w:w="554" w:type="pct"/>
          </w:tcPr>
          <w:p w:rsidR="00E42B39" w:rsidRPr="0063779A" w:rsidRDefault="00E42B39" w:rsidP="00E42B39">
            <w:pPr>
              <w:pStyle w:val="TableCentre"/>
              <w:rPr>
                <w:rFonts w:ascii="Arial Narrow" w:hAnsi="Arial Narrow"/>
                <w:szCs w:val="20"/>
              </w:rPr>
            </w:pPr>
            <w:r w:rsidRPr="0063779A">
              <w:rPr>
                <w:rFonts w:ascii="Arial Narrow" w:hAnsi="Arial Narrow"/>
                <w:szCs w:val="20"/>
              </w:rPr>
              <w:t>54 (6.7%)</w:t>
            </w:r>
          </w:p>
        </w:tc>
        <w:tc>
          <w:tcPr>
            <w:tcW w:w="511" w:type="pct"/>
          </w:tcPr>
          <w:p w:rsidR="00E42B39" w:rsidRPr="0063779A" w:rsidRDefault="00E42B39" w:rsidP="00E42B39">
            <w:pPr>
              <w:pStyle w:val="TableCentre"/>
              <w:rPr>
                <w:rFonts w:ascii="Arial Narrow" w:hAnsi="Arial Narrow"/>
                <w:szCs w:val="20"/>
              </w:rPr>
            </w:pPr>
            <w:r w:rsidRPr="0063779A">
              <w:rPr>
                <w:rFonts w:ascii="Arial Narrow" w:hAnsi="Arial Narrow"/>
                <w:szCs w:val="20"/>
              </w:rPr>
              <w:t>18 (3.9%)</w:t>
            </w:r>
          </w:p>
        </w:tc>
        <w:tc>
          <w:tcPr>
            <w:tcW w:w="679" w:type="pct"/>
          </w:tcPr>
          <w:p w:rsidR="00E42B39" w:rsidRPr="0063779A" w:rsidRDefault="00E42B39" w:rsidP="00E42B39">
            <w:pPr>
              <w:pStyle w:val="TableCentre"/>
              <w:rPr>
                <w:rFonts w:ascii="Arial Narrow" w:hAnsi="Arial Narrow"/>
                <w:szCs w:val="20"/>
              </w:rPr>
            </w:pPr>
            <w:r w:rsidRPr="0063779A">
              <w:rPr>
                <w:rFonts w:ascii="Arial Narrow" w:hAnsi="Arial Narrow"/>
                <w:szCs w:val="20"/>
              </w:rPr>
              <w:t>1.71</w:t>
            </w:r>
          </w:p>
          <w:p w:rsidR="00E42B39" w:rsidRPr="0063779A" w:rsidRDefault="00E42B39" w:rsidP="00E42B39">
            <w:pPr>
              <w:pStyle w:val="TableCentre"/>
              <w:rPr>
                <w:rFonts w:ascii="Arial Narrow" w:hAnsi="Arial Narrow"/>
                <w:szCs w:val="20"/>
              </w:rPr>
            </w:pPr>
            <w:r w:rsidRPr="0063779A">
              <w:rPr>
                <w:rFonts w:ascii="Arial Narrow" w:hAnsi="Arial Narrow"/>
                <w:szCs w:val="20"/>
              </w:rPr>
              <w:t>[1.02, 2.89]</w:t>
            </w:r>
          </w:p>
        </w:tc>
        <w:tc>
          <w:tcPr>
            <w:tcW w:w="460" w:type="pct"/>
          </w:tcPr>
          <w:p w:rsidR="00E42B39" w:rsidRPr="0063779A" w:rsidRDefault="00E42B39" w:rsidP="00463D64">
            <w:pPr>
              <w:pStyle w:val="TableCentre"/>
              <w:ind w:left="-57" w:right="-57"/>
              <w:rPr>
                <w:rFonts w:ascii="Arial Narrow" w:hAnsi="Arial Narrow"/>
                <w:szCs w:val="20"/>
              </w:rPr>
            </w:pPr>
            <w:r w:rsidRPr="0063779A">
              <w:rPr>
                <w:rFonts w:ascii="Arial Narrow" w:hAnsi="Arial Narrow"/>
                <w:szCs w:val="20"/>
              </w:rPr>
              <w:t>102 (13.8%)</w:t>
            </w:r>
          </w:p>
        </w:tc>
        <w:tc>
          <w:tcPr>
            <w:tcW w:w="515" w:type="pct"/>
          </w:tcPr>
          <w:p w:rsidR="00E42B39" w:rsidRPr="0063779A" w:rsidRDefault="00E42B39" w:rsidP="00E42B39">
            <w:pPr>
              <w:pStyle w:val="TableCentre"/>
              <w:rPr>
                <w:rFonts w:ascii="Arial Narrow" w:hAnsi="Arial Narrow"/>
                <w:szCs w:val="20"/>
              </w:rPr>
            </w:pPr>
            <w:r w:rsidRPr="0063779A">
              <w:rPr>
                <w:rFonts w:ascii="Arial Narrow" w:hAnsi="Arial Narrow"/>
                <w:szCs w:val="20"/>
              </w:rPr>
              <w:t>18 (4.9%)</w:t>
            </w:r>
          </w:p>
        </w:tc>
        <w:tc>
          <w:tcPr>
            <w:tcW w:w="686" w:type="pct"/>
          </w:tcPr>
          <w:p w:rsidR="00E42B39" w:rsidRPr="0063779A" w:rsidRDefault="00E42B39" w:rsidP="00E42B39">
            <w:pPr>
              <w:pStyle w:val="TableCentre"/>
              <w:rPr>
                <w:rFonts w:ascii="Arial Narrow" w:hAnsi="Arial Narrow"/>
                <w:szCs w:val="20"/>
              </w:rPr>
            </w:pPr>
            <w:r w:rsidRPr="0063779A">
              <w:rPr>
                <w:rFonts w:ascii="Arial Narrow" w:hAnsi="Arial Narrow"/>
                <w:szCs w:val="20"/>
              </w:rPr>
              <w:t xml:space="preserve">2.78 </w:t>
            </w:r>
            <w:r>
              <w:rPr>
                <w:rFonts w:ascii="Arial Narrow" w:hAnsi="Arial Narrow"/>
                <w:szCs w:val="20"/>
              </w:rPr>
              <w:br/>
              <w:t xml:space="preserve"> </w:t>
            </w:r>
            <w:r w:rsidRPr="0063779A">
              <w:rPr>
                <w:rFonts w:ascii="Arial Narrow" w:hAnsi="Arial Narrow"/>
                <w:szCs w:val="20"/>
              </w:rPr>
              <w:t>[1.71, 4.52]</w:t>
            </w:r>
          </w:p>
        </w:tc>
        <w:tc>
          <w:tcPr>
            <w:tcW w:w="687" w:type="pct"/>
          </w:tcPr>
          <w:p w:rsidR="00E42B39" w:rsidRPr="0063779A" w:rsidRDefault="00E42B39" w:rsidP="00463D64">
            <w:pPr>
              <w:pStyle w:val="TableCentre"/>
              <w:ind w:left="-57" w:right="-57"/>
              <w:rPr>
                <w:rFonts w:ascii="Arial Narrow" w:hAnsi="Arial Narrow"/>
                <w:szCs w:val="20"/>
              </w:rPr>
            </w:pPr>
            <w:r w:rsidRPr="0063779A">
              <w:rPr>
                <w:rFonts w:ascii="Arial Narrow" w:hAnsi="Arial Narrow"/>
                <w:szCs w:val="20"/>
              </w:rPr>
              <w:t>0.62</w:t>
            </w:r>
          </w:p>
          <w:p w:rsidR="00E42B39" w:rsidRPr="00E3491F" w:rsidRDefault="00E42B39" w:rsidP="00463D64">
            <w:pPr>
              <w:pStyle w:val="TableCentre"/>
              <w:ind w:left="-57" w:right="-57"/>
              <w:rPr>
                <w:rFonts w:ascii="Arial Narrow" w:hAnsi="Arial Narrow"/>
                <w:szCs w:val="20"/>
              </w:rPr>
            </w:pPr>
            <w:r w:rsidRPr="0063779A">
              <w:rPr>
                <w:rFonts w:ascii="Arial Narrow" w:hAnsi="Arial Narrow"/>
                <w:szCs w:val="20"/>
              </w:rPr>
              <w:t>[0.30, 1.25]</w:t>
            </w:r>
          </w:p>
        </w:tc>
      </w:tr>
      <w:tr w:rsidR="00E42B39" w:rsidRPr="00E3491F" w:rsidTr="00D40E1A">
        <w:tc>
          <w:tcPr>
            <w:tcW w:w="907" w:type="pct"/>
          </w:tcPr>
          <w:p w:rsidR="00E42B39" w:rsidRPr="00E3491F" w:rsidRDefault="00E42B39" w:rsidP="00E42B39">
            <w:pPr>
              <w:pStyle w:val="Table"/>
              <w:rPr>
                <w:rFonts w:ascii="Arial Narrow" w:hAnsi="Arial Narrow"/>
                <w:szCs w:val="20"/>
              </w:rPr>
            </w:pPr>
            <w:r w:rsidRPr="00E3491F">
              <w:rPr>
                <w:rFonts w:ascii="Arial Narrow" w:hAnsi="Arial Narrow"/>
                <w:szCs w:val="20"/>
              </w:rPr>
              <w:t>SAE</w:t>
            </w:r>
          </w:p>
        </w:tc>
        <w:tc>
          <w:tcPr>
            <w:tcW w:w="554" w:type="pct"/>
          </w:tcPr>
          <w:p w:rsidR="00E42B39" w:rsidRPr="00E3491F" w:rsidRDefault="00E42B39" w:rsidP="00E42B39">
            <w:pPr>
              <w:pStyle w:val="TableCentre"/>
              <w:rPr>
                <w:rFonts w:ascii="Arial Narrow" w:hAnsi="Arial Narrow"/>
                <w:szCs w:val="20"/>
              </w:rPr>
            </w:pPr>
            <w:r w:rsidRPr="00E3491F">
              <w:rPr>
                <w:rFonts w:ascii="Arial Narrow" w:hAnsi="Arial Narrow"/>
                <w:szCs w:val="20"/>
              </w:rPr>
              <w:t>24 (3.0%)</w:t>
            </w:r>
          </w:p>
        </w:tc>
        <w:tc>
          <w:tcPr>
            <w:tcW w:w="511" w:type="pct"/>
          </w:tcPr>
          <w:p w:rsidR="00E42B39" w:rsidRPr="00E3491F" w:rsidRDefault="00E42B39" w:rsidP="00E42B39">
            <w:pPr>
              <w:pStyle w:val="TableCentre"/>
              <w:rPr>
                <w:rFonts w:ascii="Arial Narrow" w:hAnsi="Arial Narrow"/>
                <w:szCs w:val="20"/>
              </w:rPr>
            </w:pPr>
            <w:r w:rsidRPr="00E3491F">
              <w:rPr>
                <w:rFonts w:ascii="Arial Narrow" w:hAnsi="Arial Narrow"/>
                <w:szCs w:val="20"/>
              </w:rPr>
              <w:t>13 (2.8%)</w:t>
            </w:r>
          </w:p>
        </w:tc>
        <w:tc>
          <w:tcPr>
            <w:tcW w:w="679" w:type="pct"/>
          </w:tcPr>
          <w:p w:rsidR="00E42B39" w:rsidRDefault="00E42B39" w:rsidP="00E42B39">
            <w:pPr>
              <w:pStyle w:val="TableCentre"/>
              <w:rPr>
                <w:rFonts w:ascii="Arial Narrow" w:hAnsi="Arial Narrow"/>
                <w:szCs w:val="20"/>
              </w:rPr>
            </w:pPr>
            <w:r>
              <w:rPr>
                <w:rFonts w:ascii="Arial Narrow" w:hAnsi="Arial Narrow"/>
                <w:szCs w:val="20"/>
              </w:rPr>
              <w:t>1.06</w:t>
            </w:r>
          </w:p>
          <w:p w:rsidR="00E42B39" w:rsidRPr="00E3491F" w:rsidRDefault="00E42B39" w:rsidP="00E42B39">
            <w:pPr>
              <w:pStyle w:val="TableCentre"/>
              <w:rPr>
                <w:rFonts w:ascii="Arial Narrow" w:hAnsi="Arial Narrow"/>
                <w:szCs w:val="20"/>
              </w:rPr>
            </w:pPr>
            <w:r w:rsidRPr="00E3491F">
              <w:rPr>
                <w:rFonts w:ascii="Arial Narrow" w:hAnsi="Arial Narrow"/>
                <w:szCs w:val="20"/>
              </w:rPr>
              <w:t>[0.54, 2.05]</w:t>
            </w:r>
          </w:p>
        </w:tc>
        <w:tc>
          <w:tcPr>
            <w:tcW w:w="460" w:type="pct"/>
          </w:tcPr>
          <w:p w:rsidR="00E42B39" w:rsidRPr="00E3491F" w:rsidRDefault="00E42B39" w:rsidP="00463D64">
            <w:pPr>
              <w:pStyle w:val="TableCentre"/>
              <w:ind w:left="-57" w:right="-57"/>
              <w:rPr>
                <w:rFonts w:ascii="Arial Narrow" w:hAnsi="Arial Narrow"/>
                <w:szCs w:val="20"/>
              </w:rPr>
            </w:pPr>
            <w:r w:rsidRPr="00E3491F">
              <w:rPr>
                <w:rFonts w:ascii="Arial Narrow" w:hAnsi="Arial Narrow"/>
                <w:szCs w:val="20"/>
              </w:rPr>
              <w:t>57 (7.7%)</w:t>
            </w:r>
          </w:p>
        </w:tc>
        <w:tc>
          <w:tcPr>
            <w:tcW w:w="515" w:type="pct"/>
          </w:tcPr>
          <w:p w:rsidR="00E42B39" w:rsidRPr="00E3491F" w:rsidRDefault="00E42B39" w:rsidP="00E42B39">
            <w:pPr>
              <w:pStyle w:val="TableCentre"/>
              <w:rPr>
                <w:rFonts w:ascii="Arial Narrow" w:hAnsi="Arial Narrow"/>
                <w:szCs w:val="20"/>
              </w:rPr>
            </w:pPr>
            <w:r w:rsidRPr="00E3491F">
              <w:rPr>
                <w:rFonts w:ascii="Arial Narrow" w:hAnsi="Arial Narrow"/>
                <w:szCs w:val="20"/>
              </w:rPr>
              <w:t>14 (3.8%)</w:t>
            </w:r>
          </w:p>
        </w:tc>
        <w:tc>
          <w:tcPr>
            <w:tcW w:w="686" w:type="pct"/>
          </w:tcPr>
          <w:p w:rsidR="00E42B39" w:rsidRPr="00E3491F" w:rsidRDefault="00E42B39" w:rsidP="00E42B39">
            <w:pPr>
              <w:pStyle w:val="TableCentre"/>
              <w:rPr>
                <w:rFonts w:ascii="Arial Narrow" w:hAnsi="Arial Narrow"/>
                <w:szCs w:val="20"/>
              </w:rPr>
            </w:pPr>
            <w:r w:rsidRPr="00E3491F">
              <w:rPr>
                <w:rFonts w:ascii="Arial Narrow" w:hAnsi="Arial Narrow"/>
                <w:szCs w:val="20"/>
              </w:rPr>
              <w:t>2.00</w:t>
            </w:r>
            <w:r>
              <w:rPr>
                <w:rFonts w:ascii="Arial Narrow" w:hAnsi="Arial Narrow"/>
                <w:szCs w:val="20"/>
              </w:rPr>
              <w:t xml:space="preserve"> </w:t>
            </w:r>
            <w:r>
              <w:rPr>
                <w:rFonts w:ascii="Arial Narrow" w:hAnsi="Arial Narrow"/>
                <w:szCs w:val="20"/>
              </w:rPr>
              <w:br/>
            </w:r>
            <w:r w:rsidRPr="00E3491F">
              <w:rPr>
                <w:rFonts w:ascii="Arial Narrow" w:hAnsi="Arial Narrow"/>
                <w:szCs w:val="20"/>
              </w:rPr>
              <w:t>[1.13, 3.54]</w:t>
            </w:r>
          </w:p>
        </w:tc>
        <w:tc>
          <w:tcPr>
            <w:tcW w:w="687" w:type="pct"/>
          </w:tcPr>
          <w:p w:rsidR="00E42B39" w:rsidRDefault="00E42B39" w:rsidP="00463D64">
            <w:pPr>
              <w:pStyle w:val="TableCentre"/>
              <w:ind w:left="-57" w:right="-57"/>
              <w:rPr>
                <w:rFonts w:ascii="Arial Narrow" w:hAnsi="Arial Narrow"/>
                <w:szCs w:val="20"/>
              </w:rPr>
            </w:pPr>
            <w:r>
              <w:rPr>
                <w:rFonts w:ascii="Arial Narrow" w:hAnsi="Arial Narrow"/>
                <w:szCs w:val="20"/>
              </w:rPr>
              <w:t>0.53</w:t>
            </w:r>
          </w:p>
          <w:p w:rsidR="00E42B39" w:rsidRPr="00E3491F" w:rsidRDefault="00E42B39" w:rsidP="00463D64">
            <w:pPr>
              <w:pStyle w:val="TableCentre"/>
              <w:ind w:left="-57" w:right="-57"/>
              <w:rPr>
                <w:rFonts w:ascii="Arial Narrow" w:hAnsi="Arial Narrow"/>
                <w:szCs w:val="20"/>
              </w:rPr>
            </w:pPr>
            <w:r w:rsidRPr="00E3491F">
              <w:rPr>
                <w:rFonts w:ascii="Arial Narrow" w:hAnsi="Arial Narrow"/>
                <w:szCs w:val="20"/>
              </w:rPr>
              <w:t>[0.22, 1.28]</w:t>
            </w:r>
          </w:p>
        </w:tc>
      </w:tr>
      <w:tr w:rsidR="00E42B39" w:rsidRPr="00E3491F" w:rsidTr="00D40E1A">
        <w:tc>
          <w:tcPr>
            <w:tcW w:w="907" w:type="pct"/>
          </w:tcPr>
          <w:p w:rsidR="00E42B39" w:rsidRPr="00E3491F" w:rsidRDefault="00E42B39" w:rsidP="00E42B39">
            <w:pPr>
              <w:pStyle w:val="Table"/>
              <w:rPr>
                <w:rFonts w:ascii="Arial Narrow" w:hAnsi="Arial Narrow"/>
                <w:szCs w:val="20"/>
              </w:rPr>
            </w:pPr>
            <w:r w:rsidRPr="00E3491F">
              <w:rPr>
                <w:rFonts w:ascii="Arial Narrow" w:hAnsi="Arial Narrow"/>
                <w:szCs w:val="20"/>
              </w:rPr>
              <w:t xml:space="preserve">Common </w:t>
            </w:r>
            <w:proofErr w:type="spellStart"/>
            <w:r w:rsidRPr="00E3491F">
              <w:rPr>
                <w:rFonts w:ascii="Arial Narrow" w:hAnsi="Arial Narrow"/>
                <w:szCs w:val="20"/>
              </w:rPr>
              <w:t>TEAEs</w:t>
            </w:r>
            <w:r w:rsidR="00FF2429">
              <w:rPr>
                <w:rFonts w:ascii="Arial Narrow" w:hAnsi="Arial Narrow"/>
                <w:szCs w:val="20"/>
                <w:vertAlign w:val="superscript"/>
              </w:rPr>
              <w:t>b</w:t>
            </w:r>
            <w:proofErr w:type="spellEnd"/>
          </w:p>
        </w:tc>
        <w:tc>
          <w:tcPr>
            <w:tcW w:w="4093" w:type="pct"/>
            <w:gridSpan w:val="7"/>
          </w:tcPr>
          <w:p w:rsidR="00E42B39" w:rsidRPr="00E3491F" w:rsidRDefault="00E42B39" w:rsidP="00463D64">
            <w:pPr>
              <w:pStyle w:val="TableCentre"/>
              <w:ind w:left="-57" w:right="-57"/>
              <w:rPr>
                <w:rFonts w:ascii="Arial Narrow" w:hAnsi="Arial Narrow"/>
                <w:szCs w:val="20"/>
              </w:rPr>
            </w:pPr>
          </w:p>
        </w:tc>
      </w:tr>
      <w:tr w:rsidR="00E42B39" w:rsidRPr="00E3491F" w:rsidTr="00D40E1A">
        <w:tc>
          <w:tcPr>
            <w:tcW w:w="907" w:type="pct"/>
          </w:tcPr>
          <w:p w:rsidR="00E42B39" w:rsidRPr="00E3491F" w:rsidRDefault="00E42B39" w:rsidP="00D40E1A">
            <w:pPr>
              <w:pStyle w:val="Table"/>
              <w:ind w:left="176"/>
              <w:rPr>
                <w:rFonts w:ascii="Arial Narrow" w:hAnsi="Arial Narrow"/>
                <w:szCs w:val="20"/>
              </w:rPr>
            </w:pPr>
            <w:r w:rsidRPr="00E3491F">
              <w:rPr>
                <w:rFonts w:ascii="Arial Narrow" w:hAnsi="Arial Narrow"/>
                <w:szCs w:val="20"/>
              </w:rPr>
              <w:t>Fatigue</w:t>
            </w:r>
          </w:p>
        </w:tc>
        <w:tc>
          <w:tcPr>
            <w:tcW w:w="554" w:type="pct"/>
          </w:tcPr>
          <w:p w:rsidR="00E42B39" w:rsidRPr="00E3491F" w:rsidRDefault="00E42B39" w:rsidP="00E42B39">
            <w:pPr>
              <w:pStyle w:val="TableCentre"/>
              <w:rPr>
                <w:rFonts w:ascii="Arial Narrow" w:hAnsi="Arial Narrow"/>
                <w:szCs w:val="20"/>
              </w:rPr>
            </w:pPr>
            <w:r w:rsidRPr="00E3491F">
              <w:rPr>
                <w:rFonts w:ascii="Arial Narrow" w:hAnsi="Arial Narrow"/>
                <w:szCs w:val="20"/>
              </w:rPr>
              <w:t>70 (8.7%)</w:t>
            </w:r>
          </w:p>
        </w:tc>
        <w:tc>
          <w:tcPr>
            <w:tcW w:w="511" w:type="pct"/>
          </w:tcPr>
          <w:p w:rsidR="00E42B39" w:rsidRPr="00E3491F" w:rsidRDefault="00E42B39" w:rsidP="00E42B39">
            <w:pPr>
              <w:pStyle w:val="TableCentre"/>
              <w:rPr>
                <w:rFonts w:ascii="Arial Narrow" w:hAnsi="Arial Narrow"/>
                <w:szCs w:val="20"/>
              </w:rPr>
            </w:pPr>
            <w:r w:rsidRPr="00E3491F">
              <w:rPr>
                <w:rFonts w:ascii="Arial Narrow" w:hAnsi="Arial Narrow"/>
                <w:szCs w:val="20"/>
              </w:rPr>
              <w:t>17 (3.7%)</w:t>
            </w:r>
          </w:p>
        </w:tc>
        <w:tc>
          <w:tcPr>
            <w:tcW w:w="679" w:type="pct"/>
          </w:tcPr>
          <w:p w:rsidR="00E42B39" w:rsidRDefault="00E42B39" w:rsidP="00D1036C">
            <w:pPr>
              <w:pStyle w:val="TableCentre"/>
              <w:ind w:left="-57" w:right="-57"/>
              <w:rPr>
                <w:rFonts w:ascii="Arial Narrow" w:hAnsi="Arial Narrow"/>
                <w:szCs w:val="20"/>
              </w:rPr>
            </w:pPr>
            <w:r>
              <w:rPr>
                <w:rFonts w:ascii="Arial Narrow" w:hAnsi="Arial Narrow"/>
                <w:szCs w:val="20"/>
              </w:rPr>
              <w:t>2.35</w:t>
            </w:r>
          </w:p>
          <w:p w:rsidR="00E42B39" w:rsidRPr="00E3491F" w:rsidRDefault="00E42B39" w:rsidP="00D1036C">
            <w:pPr>
              <w:pStyle w:val="TableCentre"/>
              <w:ind w:left="-57" w:right="-57"/>
              <w:rPr>
                <w:rFonts w:ascii="Arial Narrow" w:hAnsi="Arial Narrow"/>
                <w:szCs w:val="20"/>
              </w:rPr>
            </w:pPr>
            <w:r w:rsidRPr="00E3491F">
              <w:rPr>
                <w:rFonts w:ascii="Arial Narrow" w:hAnsi="Arial Narrow"/>
                <w:szCs w:val="20"/>
              </w:rPr>
              <w:t>[1.40, 3.95]</w:t>
            </w:r>
          </w:p>
        </w:tc>
        <w:tc>
          <w:tcPr>
            <w:tcW w:w="460" w:type="pct"/>
          </w:tcPr>
          <w:p w:rsidR="00E42B39" w:rsidRPr="00E3491F" w:rsidRDefault="00E42B39" w:rsidP="003F08AE">
            <w:pPr>
              <w:pStyle w:val="TableCentre"/>
              <w:rPr>
                <w:rFonts w:ascii="Arial Narrow" w:hAnsi="Arial Narrow"/>
                <w:szCs w:val="20"/>
              </w:rPr>
            </w:pPr>
            <w:r w:rsidRPr="00E3491F">
              <w:rPr>
                <w:rFonts w:ascii="Arial Narrow" w:hAnsi="Arial Narrow"/>
                <w:szCs w:val="20"/>
              </w:rPr>
              <w:t>52</w:t>
            </w:r>
            <w:r w:rsidR="003F08AE">
              <w:rPr>
                <w:rFonts w:ascii="Arial Narrow" w:hAnsi="Arial Narrow"/>
                <w:szCs w:val="20"/>
              </w:rPr>
              <w:t xml:space="preserve"> </w:t>
            </w:r>
            <w:r w:rsidRPr="00E3491F">
              <w:rPr>
                <w:rFonts w:ascii="Arial Narrow" w:hAnsi="Arial Narrow"/>
                <w:szCs w:val="20"/>
              </w:rPr>
              <w:t>(7.0%)</w:t>
            </w:r>
          </w:p>
        </w:tc>
        <w:tc>
          <w:tcPr>
            <w:tcW w:w="515" w:type="pct"/>
          </w:tcPr>
          <w:p w:rsidR="00E42B39" w:rsidRPr="00E3491F" w:rsidRDefault="00E42B39" w:rsidP="00E42B39">
            <w:pPr>
              <w:pStyle w:val="TableCentre"/>
              <w:rPr>
                <w:rFonts w:ascii="Arial Narrow" w:hAnsi="Arial Narrow"/>
                <w:szCs w:val="20"/>
              </w:rPr>
            </w:pPr>
            <w:r w:rsidRPr="00E3491F">
              <w:rPr>
                <w:rFonts w:ascii="Arial Narrow" w:hAnsi="Arial Narrow"/>
                <w:szCs w:val="20"/>
              </w:rPr>
              <w:t>20 (5.5%)</w:t>
            </w:r>
          </w:p>
        </w:tc>
        <w:tc>
          <w:tcPr>
            <w:tcW w:w="686" w:type="pct"/>
          </w:tcPr>
          <w:p w:rsidR="00E42B39" w:rsidRPr="00E3491F" w:rsidRDefault="00E42B39" w:rsidP="00E42B39">
            <w:pPr>
              <w:pStyle w:val="TableCentre"/>
              <w:rPr>
                <w:rFonts w:ascii="Arial Narrow" w:hAnsi="Arial Narrow"/>
                <w:szCs w:val="20"/>
              </w:rPr>
            </w:pPr>
            <w:r w:rsidRPr="00E3491F">
              <w:rPr>
                <w:rFonts w:ascii="Arial Narrow" w:hAnsi="Arial Narrow"/>
                <w:szCs w:val="20"/>
              </w:rPr>
              <w:t>1.28</w:t>
            </w:r>
            <w:r>
              <w:rPr>
                <w:rFonts w:ascii="Arial Narrow" w:hAnsi="Arial Narrow"/>
                <w:szCs w:val="20"/>
              </w:rPr>
              <w:t xml:space="preserve"> </w:t>
            </w:r>
            <w:r>
              <w:rPr>
                <w:rFonts w:ascii="Arial Narrow" w:hAnsi="Arial Narrow"/>
                <w:szCs w:val="20"/>
              </w:rPr>
              <w:br/>
            </w:r>
            <w:r w:rsidRPr="00E3491F">
              <w:rPr>
                <w:rFonts w:ascii="Arial Narrow" w:hAnsi="Arial Narrow"/>
                <w:szCs w:val="20"/>
              </w:rPr>
              <w:t xml:space="preserve"> [0.77, 2.11]</w:t>
            </w:r>
          </w:p>
        </w:tc>
        <w:tc>
          <w:tcPr>
            <w:tcW w:w="687" w:type="pct"/>
          </w:tcPr>
          <w:p w:rsidR="00E42B39" w:rsidRDefault="00E42B39" w:rsidP="00463D64">
            <w:pPr>
              <w:pStyle w:val="TableCentre"/>
              <w:ind w:left="-57" w:right="-57"/>
              <w:rPr>
                <w:rFonts w:ascii="Arial Narrow" w:hAnsi="Arial Narrow"/>
                <w:szCs w:val="20"/>
              </w:rPr>
            </w:pPr>
            <w:r>
              <w:rPr>
                <w:rFonts w:ascii="Arial Narrow" w:hAnsi="Arial Narrow"/>
                <w:szCs w:val="20"/>
              </w:rPr>
              <w:t>1.84</w:t>
            </w:r>
          </w:p>
          <w:p w:rsidR="00E42B39" w:rsidRPr="00E3491F" w:rsidRDefault="00E42B39" w:rsidP="00463D64">
            <w:pPr>
              <w:pStyle w:val="TableCentre"/>
              <w:ind w:left="-57" w:right="-57"/>
              <w:rPr>
                <w:rFonts w:ascii="Arial Narrow" w:hAnsi="Arial Narrow"/>
                <w:szCs w:val="20"/>
              </w:rPr>
            </w:pPr>
            <w:r w:rsidRPr="00E3491F">
              <w:rPr>
                <w:rFonts w:ascii="Arial Narrow" w:hAnsi="Arial Narrow"/>
                <w:szCs w:val="20"/>
              </w:rPr>
              <w:t>[0.89, 3.78]</w:t>
            </w:r>
          </w:p>
        </w:tc>
      </w:tr>
      <w:tr w:rsidR="00E42B39" w:rsidRPr="00E3491F" w:rsidTr="00D40E1A">
        <w:tc>
          <w:tcPr>
            <w:tcW w:w="907" w:type="pct"/>
          </w:tcPr>
          <w:p w:rsidR="00E42B39" w:rsidRPr="00E3491F" w:rsidRDefault="00E42B39" w:rsidP="00D40E1A">
            <w:pPr>
              <w:pStyle w:val="Table"/>
              <w:ind w:left="176"/>
              <w:rPr>
                <w:rFonts w:ascii="Arial Narrow" w:hAnsi="Arial Narrow"/>
                <w:szCs w:val="20"/>
              </w:rPr>
            </w:pPr>
            <w:r w:rsidRPr="00E3491F">
              <w:rPr>
                <w:rFonts w:ascii="Arial Narrow" w:hAnsi="Arial Narrow"/>
                <w:szCs w:val="20"/>
              </w:rPr>
              <w:t>Somnolence</w:t>
            </w:r>
          </w:p>
        </w:tc>
        <w:tc>
          <w:tcPr>
            <w:tcW w:w="554" w:type="pct"/>
          </w:tcPr>
          <w:p w:rsidR="00E42B39" w:rsidRPr="00E3491F" w:rsidRDefault="00E42B39" w:rsidP="00E42B39">
            <w:pPr>
              <w:pStyle w:val="TableCentre"/>
              <w:rPr>
                <w:rFonts w:ascii="Arial Narrow" w:hAnsi="Arial Narrow"/>
                <w:szCs w:val="20"/>
              </w:rPr>
            </w:pPr>
            <w:r w:rsidRPr="00E3491F">
              <w:rPr>
                <w:rFonts w:ascii="Arial Narrow" w:hAnsi="Arial Narrow"/>
                <w:szCs w:val="20"/>
              </w:rPr>
              <w:t>122 (15.2%)</w:t>
            </w:r>
          </w:p>
        </w:tc>
        <w:tc>
          <w:tcPr>
            <w:tcW w:w="511" w:type="pct"/>
          </w:tcPr>
          <w:p w:rsidR="00E42B39" w:rsidRPr="00E3491F" w:rsidRDefault="00E42B39" w:rsidP="00E42B39">
            <w:pPr>
              <w:pStyle w:val="TableCentre"/>
              <w:rPr>
                <w:rFonts w:ascii="Arial Narrow" w:hAnsi="Arial Narrow"/>
                <w:szCs w:val="20"/>
              </w:rPr>
            </w:pPr>
            <w:r w:rsidRPr="00E3491F">
              <w:rPr>
                <w:rFonts w:ascii="Arial Narrow" w:hAnsi="Arial Narrow"/>
                <w:szCs w:val="20"/>
              </w:rPr>
              <w:t>39 (8.5%)</w:t>
            </w:r>
          </w:p>
        </w:tc>
        <w:tc>
          <w:tcPr>
            <w:tcW w:w="679" w:type="pct"/>
          </w:tcPr>
          <w:p w:rsidR="00E42B39" w:rsidRDefault="00E42B39" w:rsidP="00D1036C">
            <w:pPr>
              <w:pStyle w:val="TableCentre"/>
              <w:ind w:left="-57" w:right="-57"/>
              <w:rPr>
                <w:rFonts w:ascii="Arial Narrow" w:hAnsi="Arial Narrow"/>
                <w:szCs w:val="20"/>
              </w:rPr>
            </w:pPr>
            <w:r>
              <w:rPr>
                <w:rFonts w:ascii="Arial Narrow" w:hAnsi="Arial Narrow"/>
                <w:szCs w:val="20"/>
              </w:rPr>
              <w:t>1.79</w:t>
            </w:r>
          </w:p>
          <w:p w:rsidR="00E42B39" w:rsidRPr="00E3491F" w:rsidRDefault="00E42B39" w:rsidP="00D1036C">
            <w:pPr>
              <w:pStyle w:val="TableCentre"/>
              <w:ind w:left="-57" w:right="-57"/>
              <w:rPr>
                <w:rFonts w:ascii="Arial Narrow" w:hAnsi="Arial Narrow"/>
                <w:szCs w:val="20"/>
              </w:rPr>
            </w:pPr>
            <w:r w:rsidRPr="00E3491F">
              <w:rPr>
                <w:rFonts w:ascii="Arial Narrow" w:hAnsi="Arial Narrow"/>
                <w:szCs w:val="20"/>
              </w:rPr>
              <w:t>[1.27, 2.52]</w:t>
            </w:r>
          </w:p>
        </w:tc>
        <w:tc>
          <w:tcPr>
            <w:tcW w:w="460" w:type="pct"/>
          </w:tcPr>
          <w:p w:rsidR="00E42B39" w:rsidRPr="00E3491F" w:rsidRDefault="00E42B39" w:rsidP="00E42B39">
            <w:pPr>
              <w:pStyle w:val="TableCentre"/>
              <w:rPr>
                <w:rFonts w:ascii="Arial Narrow" w:hAnsi="Arial Narrow"/>
                <w:szCs w:val="20"/>
              </w:rPr>
            </w:pPr>
            <w:r w:rsidRPr="00E3491F">
              <w:rPr>
                <w:rFonts w:ascii="Arial Narrow" w:hAnsi="Arial Narrow"/>
                <w:szCs w:val="20"/>
              </w:rPr>
              <w:t>52 (7.0%)</w:t>
            </w:r>
          </w:p>
        </w:tc>
        <w:tc>
          <w:tcPr>
            <w:tcW w:w="515" w:type="pct"/>
          </w:tcPr>
          <w:p w:rsidR="00E42B39" w:rsidRPr="00E3491F" w:rsidRDefault="00E42B39" w:rsidP="00E42B39">
            <w:pPr>
              <w:pStyle w:val="TableCentre"/>
              <w:rPr>
                <w:rFonts w:ascii="Arial Narrow" w:hAnsi="Arial Narrow"/>
                <w:szCs w:val="20"/>
              </w:rPr>
            </w:pPr>
            <w:r w:rsidRPr="00E3491F">
              <w:rPr>
                <w:rFonts w:ascii="Arial Narrow" w:hAnsi="Arial Narrow"/>
                <w:szCs w:val="20"/>
              </w:rPr>
              <w:t>17 (4.7%)</w:t>
            </w:r>
          </w:p>
        </w:tc>
        <w:tc>
          <w:tcPr>
            <w:tcW w:w="686" w:type="pct"/>
          </w:tcPr>
          <w:p w:rsidR="00E42B39" w:rsidRPr="00E3491F" w:rsidRDefault="00E42B39" w:rsidP="00E42B39">
            <w:pPr>
              <w:pStyle w:val="TableCentre"/>
              <w:rPr>
                <w:rFonts w:ascii="Arial Narrow" w:hAnsi="Arial Narrow"/>
                <w:szCs w:val="20"/>
              </w:rPr>
            </w:pPr>
            <w:r w:rsidRPr="00E3491F">
              <w:rPr>
                <w:rFonts w:ascii="Arial Narrow" w:hAnsi="Arial Narrow"/>
                <w:szCs w:val="20"/>
              </w:rPr>
              <w:t xml:space="preserve">1.50 </w:t>
            </w:r>
            <w:r>
              <w:rPr>
                <w:rFonts w:ascii="Arial Narrow" w:hAnsi="Arial Narrow"/>
                <w:szCs w:val="20"/>
              </w:rPr>
              <w:br/>
            </w:r>
            <w:r w:rsidRPr="00E3491F">
              <w:rPr>
                <w:rFonts w:ascii="Arial Narrow" w:hAnsi="Arial Narrow"/>
                <w:szCs w:val="20"/>
              </w:rPr>
              <w:t>[0.88, 2.56]</w:t>
            </w:r>
          </w:p>
        </w:tc>
        <w:tc>
          <w:tcPr>
            <w:tcW w:w="687" w:type="pct"/>
          </w:tcPr>
          <w:p w:rsidR="00E42B39" w:rsidRDefault="00E42B39" w:rsidP="00463D64">
            <w:pPr>
              <w:pStyle w:val="TableCentre"/>
              <w:ind w:left="-57" w:right="-57"/>
              <w:rPr>
                <w:rFonts w:ascii="Arial Narrow" w:hAnsi="Arial Narrow"/>
                <w:szCs w:val="20"/>
              </w:rPr>
            </w:pPr>
            <w:r>
              <w:rPr>
                <w:rFonts w:ascii="Arial Narrow" w:hAnsi="Arial Narrow"/>
                <w:szCs w:val="20"/>
              </w:rPr>
              <w:t>1.19</w:t>
            </w:r>
          </w:p>
          <w:p w:rsidR="00E42B39" w:rsidRPr="00E3491F" w:rsidRDefault="00E42B39" w:rsidP="00463D64">
            <w:pPr>
              <w:pStyle w:val="TableCentre"/>
              <w:ind w:left="-57" w:right="-57"/>
              <w:rPr>
                <w:rFonts w:ascii="Arial Narrow" w:hAnsi="Arial Narrow"/>
                <w:szCs w:val="20"/>
              </w:rPr>
            </w:pPr>
            <w:r w:rsidRPr="00E3491F">
              <w:rPr>
                <w:rFonts w:ascii="Arial Narrow" w:hAnsi="Arial Narrow"/>
                <w:szCs w:val="20"/>
              </w:rPr>
              <w:t>[0.63, 2.25]</w:t>
            </w:r>
          </w:p>
        </w:tc>
      </w:tr>
      <w:tr w:rsidR="00E42B39" w:rsidRPr="00E3491F" w:rsidTr="00D40E1A">
        <w:tc>
          <w:tcPr>
            <w:tcW w:w="907" w:type="pct"/>
          </w:tcPr>
          <w:p w:rsidR="00E42B39" w:rsidRPr="00E3491F" w:rsidRDefault="00E42B39" w:rsidP="00D40E1A">
            <w:pPr>
              <w:pStyle w:val="Table"/>
              <w:ind w:left="176"/>
              <w:rPr>
                <w:rFonts w:ascii="Arial Narrow" w:hAnsi="Arial Narrow"/>
                <w:szCs w:val="20"/>
              </w:rPr>
            </w:pPr>
            <w:r w:rsidRPr="00E3491F">
              <w:rPr>
                <w:rFonts w:ascii="Arial Narrow" w:hAnsi="Arial Narrow"/>
                <w:szCs w:val="20"/>
              </w:rPr>
              <w:t>Dizziness</w:t>
            </w:r>
          </w:p>
        </w:tc>
        <w:tc>
          <w:tcPr>
            <w:tcW w:w="554" w:type="pct"/>
          </w:tcPr>
          <w:p w:rsidR="00E42B39" w:rsidRPr="00E3491F" w:rsidRDefault="00E42B39" w:rsidP="00E42B39">
            <w:pPr>
              <w:pStyle w:val="TableCentre"/>
              <w:rPr>
                <w:rFonts w:ascii="Arial Narrow" w:hAnsi="Arial Narrow"/>
                <w:szCs w:val="20"/>
              </w:rPr>
            </w:pPr>
            <w:r w:rsidRPr="00E3491F">
              <w:rPr>
                <w:rFonts w:ascii="Arial Narrow" w:hAnsi="Arial Narrow"/>
                <w:szCs w:val="20"/>
              </w:rPr>
              <w:t>90 (11.2%)</w:t>
            </w:r>
          </w:p>
        </w:tc>
        <w:tc>
          <w:tcPr>
            <w:tcW w:w="511" w:type="pct"/>
          </w:tcPr>
          <w:p w:rsidR="00E42B39" w:rsidRPr="00E3491F" w:rsidRDefault="00E42B39" w:rsidP="00E42B39">
            <w:pPr>
              <w:pStyle w:val="TableCentre"/>
              <w:rPr>
                <w:rFonts w:ascii="Arial Narrow" w:hAnsi="Arial Narrow"/>
                <w:szCs w:val="20"/>
              </w:rPr>
            </w:pPr>
            <w:r w:rsidRPr="00E3491F">
              <w:rPr>
                <w:rFonts w:ascii="Arial Narrow" w:hAnsi="Arial Narrow"/>
                <w:szCs w:val="20"/>
              </w:rPr>
              <w:t>33 (7.2%)</w:t>
            </w:r>
          </w:p>
        </w:tc>
        <w:tc>
          <w:tcPr>
            <w:tcW w:w="679" w:type="pct"/>
          </w:tcPr>
          <w:p w:rsidR="00E42B39" w:rsidRDefault="00E42B39" w:rsidP="00D1036C">
            <w:pPr>
              <w:pStyle w:val="TableCentre"/>
              <w:ind w:left="-57" w:right="-57"/>
              <w:rPr>
                <w:rFonts w:ascii="Arial Narrow" w:hAnsi="Arial Narrow"/>
                <w:szCs w:val="20"/>
              </w:rPr>
            </w:pPr>
            <w:r>
              <w:rPr>
                <w:rFonts w:ascii="Arial Narrow" w:hAnsi="Arial Narrow"/>
                <w:szCs w:val="20"/>
              </w:rPr>
              <w:t>1.56</w:t>
            </w:r>
          </w:p>
          <w:p w:rsidR="00E42B39" w:rsidRPr="00E3491F" w:rsidRDefault="00E42B39" w:rsidP="00D1036C">
            <w:pPr>
              <w:pStyle w:val="TableCentre"/>
              <w:ind w:left="-57" w:right="-57"/>
              <w:rPr>
                <w:rFonts w:ascii="Arial Narrow" w:hAnsi="Arial Narrow"/>
                <w:szCs w:val="20"/>
              </w:rPr>
            </w:pPr>
            <w:r w:rsidRPr="00E3491F">
              <w:rPr>
                <w:rFonts w:ascii="Arial Narrow" w:hAnsi="Arial Narrow"/>
                <w:szCs w:val="20"/>
              </w:rPr>
              <w:t>[1.06, 2.28]</w:t>
            </w:r>
          </w:p>
        </w:tc>
        <w:tc>
          <w:tcPr>
            <w:tcW w:w="460" w:type="pct"/>
          </w:tcPr>
          <w:p w:rsidR="00E42B39" w:rsidRPr="00E3491F" w:rsidRDefault="00E42B39" w:rsidP="00463D64">
            <w:pPr>
              <w:pStyle w:val="TableCentre"/>
              <w:ind w:left="-57" w:right="-57"/>
              <w:rPr>
                <w:rFonts w:ascii="Arial Narrow" w:hAnsi="Arial Narrow"/>
                <w:szCs w:val="20"/>
              </w:rPr>
            </w:pPr>
            <w:r w:rsidRPr="00E3491F">
              <w:rPr>
                <w:rFonts w:ascii="Arial Narrow" w:hAnsi="Arial Narrow"/>
                <w:szCs w:val="20"/>
              </w:rPr>
              <w:t>182 (24.6%)</w:t>
            </w:r>
          </w:p>
        </w:tc>
        <w:tc>
          <w:tcPr>
            <w:tcW w:w="515" w:type="pct"/>
          </w:tcPr>
          <w:p w:rsidR="00E42B39" w:rsidRPr="00E3491F" w:rsidRDefault="00E42B39" w:rsidP="00463D64">
            <w:pPr>
              <w:pStyle w:val="TableCentre"/>
              <w:ind w:left="-57" w:right="-57"/>
              <w:rPr>
                <w:rFonts w:ascii="Arial Narrow" w:hAnsi="Arial Narrow"/>
                <w:szCs w:val="20"/>
              </w:rPr>
            </w:pPr>
            <w:r w:rsidRPr="00E3491F">
              <w:rPr>
                <w:rFonts w:ascii="Arial Narrow" w:hAnsi="Arial Narrow"/>
                <w:szCs w:val="20"/>
              </w:rPr>
              <w:t>29 (8.0%)</w:t>
            </w:r>
          </w:p>
        </w:tc>
        <w:tc>
          <w:tcPr>
            <w:tcW w:w="686" w:type="pct"/>
          </w:tcPr>
          <w:p w:rsidR="00E42B39" w:rsidRPr="00E3491F" w:rsidRDefault="00E42B39" w:rsidP="00463D64">
            <w:pPr>
              <w:pStyle w:val="TableCentre"/>
              <w:ind w:left="-57" w:right="-57"/>
              <w:rPr>
                <w:rFonts w:ascii="Arial Narrow" w:hAnsi="Arial Narrow"/>
                <w:szCs w:val="20"/>
              </w:rPr>
            </w:pPr>
            <w:r w:rsidRPr="00E3491F">
              <w:rPr>
                <w:rFonts w:ascii="Arial Narrow" w:hAnsi="Arial Narrow"/>
                <w:szCs w:val="20"/>
              </w:rPr>
              <w:t xml:space="preserve">3.08 </w:t>
            </w:r>
            <w:r>
              <w:rPr>
                <w:rFonts w:ascii="Arial Narrow" w:hAnsi="Arial Narrow"/>
                <w:szCs w:val="20"/>
              </w:rPr>
              <w:br/>
            </w:r>
            <w:r w:rsidRPr="00E3491F">
              <w:rPr>
                <w:rFonts w:ascii="Arial Narrow" w:hAnsi="Arial Narrow"/>
                <w:szCs w:val="20"/>
              </w:rPr>
              <w:t>[2.13, 4.47]</w:t>
            </w:r>
          </w:p>
        </w:tc>
        <w:tc>
          <w:tcPr>
            <w:tcW w:w="687" w:type="pct"/>
          </w:tcPr>
          <w:p w:rsidR="00E42B39" w:rsidRPr="00ED5947" w:rsidRDefault="00E42B39" w:rsidP="00463D64">
            <w:pPr>
              <w:pStyle w:val="TableCentre"/>
              <w:ind w:left="-57" w:right="-57"/>
              <w:rPr>
                <w:rFonts w:ascii="Arial Narrow" w:hAnsi="Arial Narrow"/>
                <w:b/>
                <w:szCs w:val="20"/>
              </w:rPr>
            </w:pPr>
            <w:r w:rsidRPr="00ED5947">
              <w:rPr>
                <w:rFonts w:ascii="Arial Narrow" w:hAnsi="Arial Narrow"/>
                <w:b/>
                <w:szCs w:val="20"/>
              </w:rPr>
              <w:t>0.51</w:t>
            </w:r>
          </w:p>
          <w:p w:rsidR="00E42B39" w:rsidRPr="00E3491F" w:rsidRDefault="00E42B39" w:rsidP="00463D64">
            <w:pPr>
              <w:pStyle w:val="TableCentre"/>
              <w:ind w:left="-57" w:right="-57"/>
              <w:rPr>
                <w:rFonts w:ascii="Arial Narrow" w:hAnsi="Arial Narrow"/>
                <w:szCs w:val="20"/>
              </w:rPr>
            </w:pPr>
            <w:r w:rsidRPr="00ED5947">
              <w:rPr>
                <w:rFonts w:ascii="Arial Narrow" w:hAnsi="Arial Narrow"/>
                <w:b/>
                <w:szCs w:val="20"/>
              </w:rPr>
              <w:t>[0.30, 0.86</w:t>
            </w:r>
            <w:r w:rsidRPr="00E3491F">
              <w:rPr>
                <w:rFonts w:ascii="Arial Narrow" w:hAnsi="Arial Narrow"/>
                <w:szCs w:val="20"/>
              </w:rPr>
              <w:t>]</w:t>
            </w:r>
          </w:p>
        </w:tc>
      </w:tr>
      <w:tr w:rsidR="00E42B39" w:rsidRPr="00E3491F" w:rsidTr="00D40E1A">
        <w:tc>
          <w:tcPr>
            <w:tcW w:w="907" w:type="pct"/>
          </w:tcPr>
          <w:p w:rsidR="00E42B39" w:rsidRPr="00E3491F" w:rsidRDefault="00E42B39" w:rsidP="00D40E1A">
            <w:pPr>
              <w:pStyle w:val="Table"/>
              <w:ind w:left="176"/>
              <w:rPr>
                <w:rFonts w:ascii="Arial Narrow" w:hAnsi="Arial Narrow"/>
                <w:szCs w:val="20"/>
              </w:rPr>
            </w:pPr>
            <w:r w:rsidRPr="00E3491F">
              <w:rPr>
                <w:rFonts w:ascii="Arial Narrow" w:hAnsi="Arial Narrow"/>
                <w:szCs w:val="20"/>
              </w:rPr>
              <w:t>Headache</w:t>
            </w:r>
          </w:p>
        </w:tc>
        <w:tc>
          <w:tcPr>
            <w:tcW w:w="554" w:type="pct"/>
          </w:tcPr>
          <w:p w:rsidR="00E42B39" w:rsidRPr="00E3491F" w:rsidRDefault="00E42B39" w:rsidP="00E42B39">
            <w:pPr>
              <w:pStyle w:val="TableCentre"/>
              <w:rPr>
                <w:rFonts w:ascii="Arial Narrow" w:hAnsi="Arial Narrow"/>
                <w:szCs w:val="20"/>
              </w:rPr>
            </w:pPr>
            <w:r w:rsidRPr="00E3491F">
              <w:rPr>
                <w:rFonts w:ascii="Arial Narrow" w:hAnsi="Arial Narrow"/>
                <w:szCs w:val="20"/>
              </w:rPr>
              <w:t>77 (9.6%)</w:t>
            </w:r>
          </w:p>
        </w:tc>
        <w:tc>
          <w:tcPr>
            <w:tcW w:w="511" w:type="pct"/>
          </w:tcPr>
          <w:p w:rsidR="00E42B39" w:rsidRPr="00E3491F" w:rsidRDefault="00E42B39" w:rsidP="00E42B39">
            <w:pPr>
              <w:pStyle w:val="TableCentre"/>
              <w:rPr>
                <w:rFonts w:ascii="Arial Narrow" w:hAnsi="Arial Narrow"/>
                <w:szCs w:val="20"/>
              </w:rPr>
            </w:pPr>
            <w:r w:rsidRPr="00E3491F">
              <w:rPr>
                <w:rFonts w:ascii="Arial Narrow" w:hAnsi="Arial Narrow"/>
                <w:szCs w:val="20"/>
              </w:rPr>
              <w:t>47 (10.2%)</w:t>
            </w:r>
          </w:p>
        </w:tc>
        <w:tc>
          <w:tcPr>
            <w:tcW w:w="679" w:type="pct"/>
          </w:tcPr>
          <w:p w:rsidR="00E42B39" w:rsidRDefault="00E42B39" w:rsidP="00D1036C">
            <w:pPr>
              <w:pStyle w:val="TableCentre"/>
              <w:ind w:left="-57" w:right="-57"/>
              <w:rPr>
                <w:rFonts w:ascii="Arial Narrow" w:hAnsi="Arial Narrow"/>
                <w:szCs w:val="20"/>
              </w:rPr>
            </w:pPr>
            <w:r>
              <w:rPr>
                <w:rFonts w:ascii="Arial Narrow" w:hAnsi="Arial Narrow"/>
                <w:szCs w:val="20"/>
              </w:rPr>
              <w:t>0.94</w:t>
            </w:r>
          </w:p>
          <w:p w:rsidR="00E42B39" w:rsidRPr="00E3491F" w:rsidRDefault="00E42B39" w:rsidP="00D1036C">
            <w:pPr>
              <w:pStyle w:val="TableCentre"/>
              <w:ind w:left="-57" w:right="-57"/>
              <w:rPr>
                <w:rFonts w:ascii="Arial Narrow" w:hAnsi="Arial Narrow"/>
                <w:szCs w:val="20"/>
              </w:rPr>
            </w:pPr>
            <w:r w:rsidRPr="00E3491F">
              <w:rPr>
                <w:rFonts w:ascii="Arial Narrow" w:hAnsi="Arial Narrow"/>
                <w:szCs w:val="20"/>
              </w:rPr>
              <w:t>[0.66, 1.32]</w:t>
            </w:r>
          </w:p>
        </w:tc>
        <w:tc>
          <w:tcPr>
            <w:tcW w:w="460" w:type="pct"/>
          </w:tcPr>
          <w:p w:rsidR="00E42B39" w:rsidRPr="00E3491F" w:rsidRDefault="00E42B39" w:rsidP="00463D64">
            <w:pPr>
              <w:pStyle w:val="TableCentre"/>
              <w:ind w:left="-57" w:right="-57"/>
              <w:rPr>
                <w:rFonts w:ascii="Arial Narrow" w:hAnsi="Arial Narrow"/>
                <w:szCs w:val="20"/>
              </w:rPr>
            </w:pPr>
            <w:r w:rsidRPr="00E3491F">
              <w:rPr>
                <w:rFonts w:ascii="Arial Narrow" w:hAnsi="Arial Narrow"/>
                <w:szCs w:val="20"/>
              </w:rPr>
              <w:t>95 (12.8%)</w:t>
            </w:r>
          </w:p>
        </w:tc>
        <w:tc>
          <w:tcPr>
            <w:tcW w:w="515" w:type="pct"/>
          </w:tcPr>
          <w:p w:rsidR="00E42B39" w:rsidRPr="00E3491F" w:rsidRDefault="00E42B39" w:rsidP="00463D64">
            <w:pPr>
              <w:pStyle w:val="TableCentre"/>
              <w:ind w:left="-57" w:right="-57"/>
              <w:rPr>
                <w:rFonts w:ascii="Arial Narrow" w:hAnsi="Arial Narrow"/>
                <w:szCs w:val="20"/>
              </w:rPr>
            </w:pPr>
            <w:r w:rsidRPr="00E3491F">
              <w:rPr>
                <w:rFonts w:ascii="Arial Narrow" w:hAnsi="Arial Narrow"/>
                <w:szCs w:val="20"/>
              </w:rPr>
              <w:t>32 (8.8%)</w:t>
            </w:r>
          </w:p>
        </w:tc>
        <w:tc>
          <w:tcPr>
            <w:tcW w:w="686" w:type="pct"/>
          </w:tcPr>
          <w:p w:rsidR="00E42B39" w:rsidRPr="00E3491F" w:rsidRDefault="00E42B39" w:rsidP="00463D64">
            <w:pPr>
              <w:pStyle w:val="TableCentre"/>
              <w:ind w:left="-57" w:right="-57"/>
              <w:rPr>
                <w:rFonts w:ascii="Arial Narrow" w:hAnsi="Arial Narrow"/>
                <w:szCs w:val="20"/>
              </w:rPr>
            </w:pPr>
            <w:r w:rsidRPr="00E3491F">
              <w:rPr>
                <w:rFonts w:ascii="Arial Narrow" w:hAnsi="Arial Narrow"/>
                <w:szCs w:val="20"/>
              </w:rPr>
              <w:t xml:space="preserve">1.46 </w:t>
            </w:r>
            <w:r>
              <w:rPr>
                <w:rFonts w:ascii="Arial Narrow" w:hAnsi="Arial Narrow"/>
                <w:szCs w:val="20"/>
              </w:rPr>
              <w:br/>
            </w:r>
            <w:r w:rsidRPr="00E3491F">
              <w:rPr>
                <w:rFonts w:ascii="Arial Narrow" w:hAnsi="Arial Narrow"/>
                <w:szCs w:val="20"/>
              </w:rPr>
              <w:t>[1.00, 2.13]</w:t>
            </w:r>
          </w:p>
        </w:tc>
        <w:tc>
          <w:tcPr>
            <w:tcW w:w="687" w:type="pct"/>
          </w:tcPr>
          <w:p w:rsidR="00E42B39" w:rsidRDefault="00E42B39" w:rsidP="00463D64">
            <w:pPr>
              <w:pStyle w:val="TableCentre"/>
              <w:ind w:left="-57" w:right="-57"/>
              <w:rPr>
                <w:rFonts w:ascii="Arial Narrow" w:hAnsi="Arial Narrow"/>
                <w:szCs w:val="20"/>
              </w:rPr>
            </w:pPr>
            <w:r>
              <w:rPr>
                <w:rFonts w:ascii="Arial Narrow" w:hAnsi="Arial Narrow"/>
                <w:szCs w:val="20"/>
              </w:rPr>
              <w:t>0.64</w:t>
            </w:r>
          </w:p>
          <w:p w:rsidR="00E42B39" w:rsidRPr="00E3491F" w:rsidRDefault="00E42B39" w:rsidP="00463D64">
            <w:pPr>
              <w:pStyle w:val="TableCentre"/>
              <w:ind w:left="-57" w:right="-57"/>
              <w:rPr>
                <w:rFonts w:ascii="Arial Narrow" w:hAnsi="Arial Narrow"/>
                <w:szCs w:val="20"/>
              </w:rPr>
            </w:pPr>
            <w:r w:rsidRPr="00E3491F">
              <w:rPr>
                <w:rFonts w:ascii="Arial Narrow" w:hAnsi="Arial Narrow"/>
                <w:szCs w:val="20"/>
              </w:rPr>
              <w:t>[0.39, 1.08]</w:t>
            </w:r>
          </w:p>
        </w:tc>
      </w:tr>
      <w:tr w:rsidR="00E42B39" w:rsidRPr="00E3491F" w:rsidTr="00D40E1A">
        <w:tc>
          <w:tcPr>
            <w:tcW w:w="907" w:type="pct"/>
          </w:tcPr>
          <w:p w:rsidR="00E42B39" w:rsidRPr="00E3491F" w:rsidRDefault="00E42B39" w:rsidP="00D40E1A">
            <w:pPr>
              <w:pStyle w:val="Table"/>
              <w:ind w:left="176"/>
              <w:rPr>
                <w:rFonts w:ascii="Arial Narrow" w:hAnsi="Arial Narrow"/>
                <w:szCs w:val="20"/>
              </w:rPr>
            </w:pPr>
            <w:r w:rsidRPr="00E3491F">
              <w:rPr>
                <w:rFonts w:ascii="Arial Narrow" w:hAnsi="Arial Narrow"/>
                <w:szCs w:val="20"/>
              </w:rPr>
              <w:t>Nausea</w:t>
            </w:r>
          </w:p>
        </w:tc>
        <w:tc>
          <w:tcPr>
            <w:tcW w:w="554" w:type="pct"/>
          </w:tcPr>
          <w:p w:rsidR="00E42B39" w:rsidRPr="00E3491F" w:rsidRDefault="00E42B39" w:rsidP="00E42B39">
            <w:pPr>
              <w:pStyle w:val="TableCentre"/>
              <w:rPr>
                <w:rFonts w:ascii="Arial Narrow" w:hAnsi="Arial Narrow"/>
                <w:szCs w:val="20"/>
              </w:rPr>
            </w:pPr>
            <w:r w:rsidRPr="00E3491F">
              <w:rPr>
                <w:rFonts w:ascii="Arial Narrow" w:hAnsi="Arial Narrow"/>
                <w:szCs w:val="20"/>
              </w:rPr>
              <w:t>32 (4.0%)</w:t>
            </w:r>
          </w:p>
        </w:tc>
        <w:tc>
          <w:tcPr>
            <w:tcW w:w="511" w:type="pct"/>
          </w:tcPr>
          <w:p w:rsidR="00E42B39" w:rsidRPr="00E3491F" w:rsidRDefault="00E42B39" w:rsidP="00E42B39">
            <w:pPr>
              <w:pStyle w:val="TableCentre"/>
              <w:rPr>
                <w:rFonts w:ascii="Arial Narrow" w:hAnsi="Arial Narrow"/>
                <w:szCs w:val="20"/>
              </w:rPr>
            </w:pPr>
            <w:r w:rsidRPr="00E3491F">
              <w:rPr>
                <w:rFonts w:ascii="Arial Narrow" w:hAnsi="Arial Narrow"/>
                <w:szCs w:val="20"/>
              </w:rPr>
              <w:t>11 (2.4%)</w:t>
            </w:r>
          </w:p>
        </w:tc>
        <w:tc>
          <w:tcPr>
            <w:tcW w:w="679" w:type="pct"/>
          </w:tcPr>
          <w:p w:rsidR="00E42B39" w:rsidRDefault="00E42B39" w:rsidP="00D1036C">
            <w:pPr>
              <w:pStyle w:val="TableCentre"/>
              <w:ind w:left="-57" w:right="-57"/>
              <w:rPr>
                <w:rFonts w:ascii="Arial Narrow" w:hAnsi="Arial Narrow"/>
                <w:szCs w:val="20"/>
              </w:rPr>
            </w:pPr>
            <w:r>
              <w:rPr>
                <w:rFonts w:ascii="Arial Narrow" w:hAnsi="Arial Narrow"/>
                <w:szCs w:val="20"/>
              </w:rPr>
              <w:t>1.66</w:t>
            </w:r>
          </w:p>
          <w:p w:rsidR="00E42B39" w:rsidRPr="00E3491F" w:rsidRDefault="00E42B39" w:rsidP="00D1036C">
            <w:pPr>
              <w:pStyle w:val="TableCentre"/>
              <w:ind w:left="-57" w:right="-57"/>
              <w:rPr>
                <w:rFonts w:ascii="Arial Narrow" w:hAnsi="Arial Narrow"/>
                <w:szCs w:val="20"/>
              </w:rPr>
            </w:pPr>
            <w:r w:rsidRPr="00E3491F">
              <w:rPr>
                <w:rFonts w:ascii="Arial Narrow" w:hAnsi="Arial Narrow"/>
                <w:szCs w:val="20"/>
              </w:rPr>
              <w:t>[0.85, 3.27]</w:t>
            </w:r>
          </w:p>
        </w:tc>
        <w:tc>
          <w:tcPr>
            <w:tcW w:w="460" w:type="pct"/>
          </w:tcPr>
          <w:p w:rsidR="00E42B39" w:rsidRPr="00E3491F" w:rsidRDefault="00E42B39" w:rsidP="00463D64">
            <w:pPr>
              <w:pStyle w:val="TableCentre"/>
              <w:ind w:left="-57" w:right="-57"/>
              <w:rPr>
                <w:rFonts w:ascii="Arial Narrow" w:hAnsi="Arial Narrow"/>
                <w:szCs w:val="20"/>
              </w:rPr>
            </w:pPr>
            <w:r w:rsidRPr="00E3491F">
              <w:rPr>
                <w:rFonts w:ascii="Arial Narrow" w:hAnsi="Arial Narrow"/>
                <w:szCs w:val="20"/>
              </w:rPr>
              <w:t>73 (9.9%)</w:t>
            </w:r>
          </w:p>
        </w:tc>
        <w:tc>
          <w:tcPr>
            <w:tcW w:w="515" w:type="pct"/>
          </w:tcPr>
          <w:p w:rsidR="00E42B39" w:rsidRPr="00E3491F" w:rsidRDefault="00E42B39" w:rsidP="00463D64">
            <w:pPr>
              <w:pStyle w:val="TableCentre"/>
              <w:ind w:left="-57" w:right="-57"/>
              <w:rPr>
                <w:rFonts w:ascii="Arial Narrow" w:hAnsi="Arial Narrow"/>
                <w:szCs w:val="20"/>
              </w:rPr>
            </w:pPr>
            <w:r w:rsidRPr="00E3491F">
              <w:rPr>
                <w:rFonts w:ascii="Arial Narrow" w:hAnsi="Arial Narrow"/>
                <w:szCs w:val="20"/>
              </w:rPr>
              <w:t>16 (4.4%)</w:t>
            </w:r>
          </w:p>
        </w:tc>
        <w:tc>
          <w:tcPr>
            <w:tcW w:w="686" w:type="pct"/>
          </w:tcPr>
          <w:p w:rsidR="00E42B39" w:rsidRPr="00E3491F" w:rsidRDefault="00E42B39" w:rsidP="00463D64">
            <w:pPr>
              <w:pStyle w:val="TableCentre"/>
              <w:ind w:left="-57" w:right="-57"/>
              <w:rPr>
                <w:rFonts w:ascii="Arial Narrow" w:hAnsi="Arial Narrow"/>
                <w:szCs w:val="20"/>
              </w:rPr>
            </w:pPr>
            <w:r w:rsidRPr="00E3491F">
              <w:rPr>
                <w:rFonts w:ascii="Arial Narrow" w:hAnsi="Arial Narrow"/>
                <w:szCs w:val="20"/>
              </w:rPr>
              <w:t xml:space="preserve">2.24 </w:t>
            </w:r>
            <w:r>
              <w:rPr>
                <w:rFonts w:ascii="Arial Narrow" w:hAnsi="Arial Narrow"/>
                <w:szCs w:val="20"/>
              </w:rPr>
              <w:br/>
            </w:r>
            <w:r w:rsidRPr="00E3491F">
              <w:rPr>
                <w:rFonts w:ascii="Arial Narrow" w:hAnsi="Arial Narrow"/>
                <w:szCs w:val="20"/>
              </w:rPr>
              <w:t>[1.32, 3.79]</w:t>
            </w:r>
          </w:p>
        </w:tc>
        <w:tc>
          <w:tcPr>
            <w:tcW w:w="687" w:type="pct"/>
          </w:tcPr>
          <w:p w:rsidR="00E42B39" w:rsidRDefault="00E42B39" w:rsidP="00463D64">
            <w:pPr>
              <w:pStyle w:val="TableCentre"/>
              <w:ind w:left="-57" w:right="-57"/>
              <w:rPr>
                <w:rFonts w:ascii="Arial Narrow" w:hAnsi="Arial Narrow"/>
                <w:szCs w:val="20"/>
              </w:rPr>
            </w:pPr>
            <w:r>
              <w:rPr>
                <w:rFonts w:ascii="Arial Narrow" w:hAnsi="Arial Narrow"/>
                <w:szCs w:val="20"/>
              </w:rPr>
              <w:t>0.74</w:t>
            </w:r>
          </w:p>
          <w:p w:rsidR="00E42B39" w:rsidRPr="00E3491F" w:rsidRDefault="00E42B39" w:rsidP="00463D64">
            <w:pPr>
              <w:pStyle w:val="TableCentre"/>
              <w:ind w:left="-57" w:right="-57"/>
              <w:rPr>
                <w:rFonts w:ascii="Arial Narrow" w:hAnsi="Arial Narrow"/>
                <w:szCs w:val="20"/>
              </w:rPr>
            </w:pPr>
            <w:r w:rsidRPr="00E3491F">
              <w:rPr>
                <w:rFonts w:ascii="Arial Narrow" w:hAnsi="Arial Narrow"/>
                <w:szCs w:val="20"/>
              </w:rPr>
              <w:t>[ 0.32, 1.74]</w:t>
            </w:r>
          </w:p>
        </w:tc>
      </w:tr>
      <w:tr w:rsidR="00E42B39" w:rsidRPr="00E3491F" w:rsidTr="00D40E1A">
        <w:tc>
          <w:tcPr>
            <w:tcW w:w="907" w:type="pct"/>
          </w:tcPr>
          <w:p w:rsidR="00E42B39" w:rsidRPr="00E3491F" w:rsidRDefault="00E42B39" w:rsidP="00D40E1A">
            <w:pPr>
              <w:pStyle w:val="Table"/>
              <w:ind w:left="176"/>
              <w:rPr>
                <w:rFonts w:ascii="Arial Narrow" w:hAnsi="Arial Narrow"/>
                <w:szCs w:val="20"/>
              </w:rPr>
            </w:pPr>
            <w:r w:rsidRPr="00E3491F">
              <w:rPr>
                <w:rFonts w:ascii="Arial Narrow" w:hAnsi="Arial Narrow"/>
                <w:szCs w:val="20"/>
              </w:rPr>
              <w:t>Diplopia</w:t>
            </w:r>
          </w:p>
        </w:tc>
        <w:tc>
          <w:tcPr>
            <w:tcW w:w="554" w:type="pct"/>
          </w:tcPr>
          <w:p w:rsidR="00E42B39" w:rsidRPr="00E3491F" w:rsidRDefault="00E42B39" w:rsidP="00E42B39">
            <w:pPr>
              <w:pStyle w:val="TableCentre"/>
              <w:rPr>
                <w:rFonts w:ascii="Arial Narrow" w:hAnsi="Arial Narrow"/>
                <w:szCs w:val="20"/>
              </w:rPr>
            </w:pPr>
            <w:r w:rsidRPr="00E3491F">
              <w:rPr>
                <w:rFonts w:ascii="Arial Narrow" w:hAnsi="Arial Narrow"/>
                <w:szCs w:val="20"/>
              </w:rPr>
              <w:t>7 (0.9%)</w:t>
            </w:r>
          </w:p>
        </w:tc>
        <w:tc>
          <w:tcPr>
            <w:tcW w:w="511" w:type="pct"/>
          </w:tcPr>
          <w:p w:rsidR="00E42B39" w:rsidRPr="00E3491F" w:rsidRDefault="00E42B39" w:rsidP="00E42B39">
            <w:pPr>
              <w:pStyle w:val="TableCentre"/>
              <w:rPr>
                <w:rFonts w:ascii="Arial Narrow" w:hAnsi="Arial Narrow"/>
                <w:szCs w:val="20"/>
              </w:rPr>
            </w:pPr>
            <w:r w:rsidRPr="00E3491F">
              <w:rPr>
                <w:rFonts w:ascii="Arial Narrow" w:hAnsi="Arial Narrow"/>
                <w:szCs w:val="20"/>
              </w:rPr>
              <w:t>4 (0.9%)</w:t>
            </w:r>
          </w:p>
        </w:tc>
        <w:tc>
          <w:tcPr>
            <w:tcW w:w="679" w:type="pct"/>
          </w:tcPr>
          <w:p w:rsidR="00E42B39" w:rsidRDefault="00E42B39" w:rsidP="00D1036C">
            <w:pPr>
              <w:pStyle w:val="TableCentre"/>
              <w:ind w:left="-57" w:right="-57"/>
              <w:rPr>
                <w:rFonts w:ascii="Arial Narrow" w:hAnsi="Arial Narrow"/>
                <w:szCs w:val="20"/>
              </w:rPr>
            </w:pPr>
            <w:r>
              <w:rPr>
                <w:rFonts w:ascii="Arial Narrow" w:hAnsi="Arial Narrow"/>
                <w:szCs w:val="20"/>
              </w:rPr>
              <w:t>1.00</w:t>
            </w:r>
          </w:p>
          <w:p w:rsidR="00E42B39" w:rsidRPr="00E3491F" w:rsidRDefault="00E42B39" w:rsidP="00D1036C">
            <w:pPr>
              <w:pStyle w:val="TableCentre"/>
              <w:ind w:left="-57" w:right="-57"/>
              <w:rPr>
                <w:rFonts w:ascii="Arial Narrow" w:hAnsi="Arial Narrow"/>
                <w:szCs w:val="20"/>
              </w:rPr>
            </w:pPr>
            <w:r w:rsidRPr="00E3491F">
              <w:rPr>
                <w:rFonts w:ascii="Arial Narrow" w:hAnsi="Arial Narrow"/>
                <w:szCs w:val="20"/>
              </w:rPr>
              <w:t>[0.29, 3.40]</w:t>
            </w:r>
          </w:p>
        </w:tc>
        <w:tc>
          <w:tcPr>
            <w:tcW w:w="460" w:type="pct"/>
          </w:tcPr>
          <w:p w:rsidR="00E42B39" w:rsidRPr="00E3491F" w:rsidRDefault="00E42B39" w:rsidP="00463D64">
            <w:pPr>
              <w:pStyle w:val="TableCentre"/>
              <w:ind w:left="-57" w:right="-57"/>
              <w:rPr>
                <w:rFonts w:ascii="Arial Narrow" w:hAnsi="Arial Narrow"/>
                <w:szCs w:val="20"/>
              </w:rPr>
            </w:pPr>
            <w:r w:rsidRPr="00E3491F">
              <w:rPr>
                <w:rFonts w:ascii="Arial Narrow" w:hAnsi="Arial Narrow"/>
                <w:szCs w:val="20"/>
              </w:rPr>
              <w:t>66 (8.9%)</w:t>
            </w:r>
          </w:p>
        </w:tc>
        <w:tc>
          <w:tcPr>
            <w:tcW w:w="515" w:type="pct"/>
          </w:tcPr>
          <w:p w:rsidR="00E42B39" w:rsidRPr="00E3491F" w:rsidRDefault="00E42B39" w:rsidP="00463D64">
            <w:pPr>
              <w:pStyle w:val="TableCentre"/>
              <w:ind w:left="-57" w:right="-57"/>
              <w:rPr>
                <w:rFonts w:ascii="Arial Narrow" w:hAnsi="Arial Narrow"/>
                <w:szCs w:val="20"/>
              </w:rPr>
            </w:pPr>
            <w:r w:rsidRPr="00E3491F">
              <w:rPr>
                <w:rFonts w:ascii="Arial Narrow" w:hAnsi="Arial Narrow"/>
                <w:szCs w:val="20"/>
              </w:rPr>
              <w:t>7 (1.9%)</w:t>
            </w:r>
          </w:p>
        </w:tc>
        <w:tc>
          <w:tcPr>
            <w:tcW w:w="686" w:type="pct"/>
          </w:tcPr>
          <w:p w:rsidR="00E42B39" w:rsidRPr="00E3491F" w:rsidRDefault="00E42B39" w:rsidP="00463D64">
            <w:pPr>
              <w:pStyle w:val="TableCentre"/>
              <w:ind w:left="-57" w:right="-57"/>
              <w:rPr>
                <w:rFonts w:ascii="Arial Narrow" w:hAnsi="Arial Narrow"/>
                <w:szCs w:val="20"/>
              </w:rPr>
            </w:pPr>
            <w:r w:rsidRPr="00E3491F">
              <w:rPr>
                <w:rFonts w:ascii="Arial Narrow" w:hAnsi="Arial Narrow"/>
                <w:szCs w:val="20"/>
              </w:rPr>
              <w:t>4.63</w:t>
            </w:r>
            <w:r>
              <w:rPr>
                <w:rFonts w:ascii="Arial Narrow" w:hAnsi="Arial Narrow"/>
                <w:szCs w:val="20"/>
              </w:rPr>
              <w:br/>
            </w:r>
            <w:r w:rsidRPr="00E3491F">
              <w:rPr>
                <w:rFonts w:ascii="Arial Narrow" w:hAnsi="Arial Narrow"/>
                <w:szCs w:val="20"/>
              </w:rPr>
              <w:t>[2.15, 9.99]</w:t>
            </w:r>
          </w:p>
        </w:tc>
        <w:tc>
          <w:tcPr>
            <w:tcW w:w="687" w:type="pct"/>
          </w:tcPr>
          <w:p w:rsidR="00E42B39" w:rsidRPr="00ED5947" w:rsidRDefault="00E42B39" w:rsidP="00463D64">
            <w:pPr>
              <w:pStyle w:val="TableCentre"/>
              <w:ind w:left="-57" w:right="-57"/>
              <w:rPr>
                <w:rFonts w:ascii="Arial Narrow" w:hAnsi="Arial Narrow"/>
                <w:b/>
                <w:szCs w:val="20"/>
              </w:rPr>
            </w:pPr>
            <w:r w:rsidRPr="00ED5947">
              <w:rPr>
                <w:rFonts w:ascii="Arial Narrow" w:hAnsi="Arial Narrow"/>
                <w:b/>
                <w:szCs w:val="20"/>
              </w:rPr>
              <w:t>0.22</w:t>
            </w:r>
          </w:p>
          <w:p w:rsidR="00E42B39" w:rsidRPr="00E3491F" w:rsidRDefault="00E42B39" w:rsidP="00463D64">
            <w:pPr>
              <w:pStyle w:val="TableCentre"/>
              <w:ind w:left="-57" w:right="-57"/>
              <w:rPr>
                <w:rFonts w:ascii="Arial Narrow" w:hAnsi="Arial Narrow"/>
                <w:szCs w:val="20"/>
              </w:rPr>
            </w:pPr>
            <w:r w:rsidRPr="00ED5947">
              <w:rPr>
                <w:rFonts w:ascii="Arial Narrow" w:hAnsi="Arial Narrow"/>
                <w:b/>
                <w:szCs w:val="20"/>
              </w:rPr>
              <w:t>[0.05, 0.92]</w:t>
            </w:r>
          </w:p>
        </w:tc>
      </w:tr>
      <w:tr w:rsidR="00E42B39" w:rsidRPr="00E3491F" w:rsidTr="00D40E1A">
        <w:tc>
          <w:tcPr>
            <w:tcW w:w="907" w:type="pct"/>
          </w:tcPr>
          <w:p w:rsidR="00E42B39" w:rsidRPr="00E3491F" w:rsidRDefault="00E42B39" w:rsidP="00D40E1A">
            <w:pPr>
              <w:pStyle w:val="Table"/>
              <w:ind w:left="176"/>
              <w:rPr>
                <w:rFonts w:ascii="Arial Narrow" w:hAnsi="Arial Narrow"/>
                <w:szCs w:val="20"/>
              </w:rPr>
            </w:pPr>
            <w:r w:rsidRPr="00E3491F">
              <w:rPr>
                <w:rFonts w:ascii="Arial Narrow" w:hAnsi="Arial Narrow"/>
                <w:szCs w:val="20"/>
              </w:rPr>
              <w:t>Vomiting</w:t>
            </w:r>
          </w:p>
        </w:tc>
        <w:tc>
          <w:tcPr>
            <w:tcW w:w="554" w:type="pct"/>
          </w:tcPr>
          <w:p w:rsidR="00E42B39" w:rsidRPr="00E3491F" w:rsidRDefault="00E42B39" w:rsidP="00E42B39">
            <w:pPr>
              <w:pStyle w:val="TableCentre"/>
              <w:rPr>
                <w:rFonts w:ascii="Arial Narrow" w:hAnsi="Arial Narrow"/>
                <w:szCs w:val="20"/>
              </w:rPr>
            </w:pPr>
            <w:r w:rsidRPr="00E3491F">
              <w:rPr>
                <w:rFonts w:ascii="Arial Narrow" w:hAnsi="Arial Narrow"/>
                <w:szCs w:val="20"/>
              </w:rPr>
              <w:t>17 (2.1%)</w:t>
            </w:r>
          </w:p>
        </w:tc>
        <w:tc>
          <w:tcPr>
            <w:tcW w:w="511" w:type="pct"/>
          </w:tcPr>
          <w:p w:rsidR="00E42B39" w:rsidRPr="00E3491F" w:rsidRDefault="00E42B39" w:rsidP="00E42B39">
            <w:pPr>
              <w:pStyle w:val="TableCentre"/>
              <w:rPr>
                <w:rFonts w:ascii="Arial Narrow" w:hAnsi="Arial Narrow"/>
                <w:szCs w:val="20"/>
              </w:rPr>
            </w:pPr>
            <w:r w:rsidRPr="00E3491F">
              <w:rPr>
                <w:rFonts w:ascii="Arial Narrow" w:hAnsi="Arial Narrow"/>
                <w:szCs w:val="20"/>
              </w:rPr>
              <w:t>4 (0.9%)</w:t>
            </w:r>
          </w:p>
        </w:tc>
        <w:tc>
          <w:tcPr>
            <w:tcW w:w="679" w:type="pct"/>
          </w:tcPr>
          <w:p w:rsidR="00E42B39" w:rsidRDefault="00E42B39" w:rsidP="00D1036C">
            <w:pPr>
              <w:pStyle w:val="TableCentre"/>
              <w:ind w:left="-57" w:right="-57"/>
              <w:rPr>
                <w:rFonts w:ascii="Arial Narrow" w:hAnsi="Arial Narrow"/>
                <w:szCs w:val="20"/>
              </w:rPr>
            </w:pPr>
            <w:r>
              <w:rPr>
                <w:rFonts w:ascii="Arial Narrow" w:hAnsi="Arial Narrow"/>
                <w:szCs w:val="20"/>
              </w:rPr>
              <w:t>2.43</w:t>
            </w:r>
          </w:p>
          <w:p w:rsidR="00E42B39" w:rsidRPr="00E3491F" w:rsidRDefault="00E42B39" w:rsidP="00D1036C">
            <w:pPr>
              <w:pStyle w:val="TableCentre"/>
              <w:ind w:left="-57" w:right="-57"/>
              <w:rPr>
                <w:rFonts w:ascii="Arial Narrow" w:hAnsi="Arial Narrow"/>
                <w:szCs w:val="20"/>
              </w:rPr>
            </w:pPr>
            <w:r w:rsidRPr="00E3491F">
              <w:rPr>
                <w:rFonts w:ascii="Arial Narrow" w:hAnsi="Arial Narrow"/>
                <w:szCs w:val="20"/>
              </w:rPr>
              <w:t>[0.82, 7.18]</w:t>
            </w:r>
          </w:p>
        </w:tc>
        <w:tc>
          <w:tcPr>
            <w:tcW w:w="460" w:type="pct"/>
          </w:tcPr>
          <w:p w:rsidR="00E42B39" w:rsidRPr="00E3491F" w:rsidRDefault="00E42B39" w:rsidP="00463D64">
            <w:pPr>
              <w:pStyle w:val="TableCentre"/>
              <w:ind w:left="-57" w:right="-57"/>
              <w:rPr>
                <w:rFonts w:ascii="Arial Narrow" w:hAnsi="Arial Narrow"/>
                <w:szCs w:val="20"/>
              </w:rPr>
            </w:pPr>
            <w:r w:rsidRPr="00E3491F">
              <w:rPr>
                <w:rFonts w:ascii="Arial Narrow" w:hAnsi="Arial Narrow"/>
                <w:szCs w:val="20"/>
              </w:rPr>
              <w:t>56 (7.6%)</w:t>
            </w:r>
          </w:p>
        </w:tc>
        <w:tc>
          <w:tcPr>
            <w:tcW w:w="515" w:type="pct"/>
          </w:tcPr>
          <w:p w:rsidR="00E42B39" w:rsidRPr="00E3491F" w:rsidRDefault="00E42B39" w:rsidP="00463D64">
            <w:pPr>
              <w:pStyle w:val="TableCentre"/>
              <w:ind w:left="-57" w:right="-57"/>
              <w:rPr>
                <w:rFonts w:ascii="Arial Narrow" w:hAnsi="Arial Narrow"/>
                <w:szCs w:val="20"/>
              </w:rPr>
            </w:pPr>
            <w:r w:rsidRPr="00E3491F">
              <w:rPr>
                <w:rFonts w:ascii="Arial Narrow" w:hAnsi="Arial Narrow"/>
                <w:szCs w:val="20"/>
              </w:rPr>
              <w:t>9 (2.5%)</w:t>
            </w:r>
          </w:p>
        </w:tc>
        <w:tc>
          <w:tcPr>
            <w:tcW w:w="686" w:type="pct"/>
          </w:tcPr>
          <w:p w:rsidR="00E42B39" w:rsidRPr="00E3491F" w:rsidRDefault="00E42B39" w:rsidP="00463D64">
            <w:pPr>
              <w:pStyle w:val="TableCentre"/>
              <w:ind w:left="-57" w:right="-57"/>
              <w:rPr>
                <w:rFonts w:ascii="Arial Narrow" w:hAnsi="Arial Narrow"/>
                <w:szCs w:val="20"/>
              </w:rPr>
            </w:pPr>
            <w:r w:rsidRPr="00E3491F">
              <w:rPr>
                <w:rFonts w:ascii="Arial Narrow" w:hAnsi="Arial Narrow"/>
                <w:szCs w:val="20"/>
              </w:rPr>
              <w:t xml:space="preserve">3.06 </w:t>
            </w:r>
            <w:r>
              <w:rPr>
                <w:rFonts w:ascii="Arial Narrow" w:hAnsi="Arial Narrow"/>
                <w:szCs w:val="20"/>
              </w:rPr>
              <w:br/>
            </w:r>
            <w:r w:rsidRPr="00E3491F">
              <w:rPr>
                <w:rFonts w:ascii="Arial Narrow" w:hAnsi="Arial Narrow"/>
                <w:szCs w:val="20"/>
              </w:rPr>
              <w:t>[1.53, 6.11]</w:t>
            </w:r>
          </w:p>
        </w:tc>
        <w:tc>
          <w:tcPr>
            <w:tcW w:w="687" w:type="pct"/>
          </w:tcPr>
          <w:p w:rsidR="00E42B39" w:rsidRDefault="00E42B39" w:rsidP="00463D64">
            <w:pPr>
              <w:pStyle w:val="TableCentre"/>
              <w:ind w:left="-57" w:right="-57"/>
              <w:rPr>
                <w:rFonts w:ascii="Arial Narrow" w:hAnsi="Arial Narrow"/>
                <w:szCs w:val="20"/>
              </w:rPr>
            </w:pPr>
            <w:r>
              <w:rPr>
                <w:rFonts w:ascii="Arial Narrow" w:hAnsi="Arial Narrow"/>
                <w:szCs w:val="20"/>
              </w:rPr>
              <w:t>0.79</w:t>
            </w:r>
          </w:p>
          <w:p w:rsidR="00E42B39" w:rsidRPr="00E3491F" w:rsidRDefault="00E42B39" w:rsidP="00463D64">
            <w:pPr>
              <w:pStyle w:val="TableCentre"/>
              <w:ind w:left="-57" w:right="-57"/>
              <w:rPr>
                <w:rFonts w:ascii="Arial Narrow" w:hAnsi="Arial Narrow"/>
                <w:szCs w:val="20"/>
              </w:rPr>
            </w:pPr>
            <w:r w:rsidRPr="00E3491F">
              <w:rPr>
                <w:rFonts w:ascii="Arial Narrow" w:hAnsi="Arial Narrow"/>
                <w:szCs w:val="20"/>
              </w:rPr>
              <w:t>[0.22, 2.88]</w:t>
            </w:r>
          </w:p>
        </w:tc>
      </w:tr>
      <w:tr w:rsidR="00E42B39" w:rsidRPr="00E3491F" w:rsidTr="00D40E1A">
        <w:tc>
          <w:tcPr>
            <w:tcW w:w="907" w:type="pct"/>
          </w:tcPr>
          <w:p w:rsidR="00E42B39" w:rsidRPr="00E3491F" w:rsidRDefault="00E42B39" w:rsidP="00D40E1A">
            <w:pPr>
              <w:pStyle w:val="Table"/>
              <w:ind w:left="176"/>
              <w:rPr>
                <w:rFonts w:ascii="Arial Narrow" w:hAnsi="Arial Narrow"/>
                <w:szCs w:val="20"/>
              </w:rPr>
            </w:pPr>
            <w:r w:rsidRPr="00E3491F">
              <w:rPr>
                <w:rFonts w:ascii="Arial Narrow" w:hAnsi="Arial Narrow"/>
                <w:szCs w:val="20"/>
              </w:rPr>
              <w:t>Vision blurred</w:t>
            </w:r>
          </w:p>
        </w:tc>
        <w:tc>
          <w:tcPr>
            <w:tcW w:w="554" w:type="pct"/>
          </w:tcPr>
          <w:p w:rsidR="00E42B39" w:rsidRPr="00E3491F" w:rsidRDefault="00E42B39" w:rsidP="00E42B39">
            <w:pPr>
              <w:pStyle w:val="TableCentre"/>
              <w:rPr>
                <w:rFonts w:ascii="Arial Narrow" w:hAnsi="Arial Narrow"/>
                <w:szCs w:val="20"/>
              </w:rPr>
            </w:pPr>
            <w:r w:rsidRPr="00E3491F">
              <w:rPr>
                <w:rFonts w:ascii="Arial Narrow" w:hAnsi="Arial Narrow"/>
                <w:szCs w:val="20"/>
              </w:rPr>
              <w:t>11 (1.4%)</w:t>
            </w:r>
          </w:p>
        </w:tc>
        <w:tc>
          <w:tcPr>
            <w:tcW w:w="511" w:type="pct"/>
          </w:tcPr>
          <w:p w:rsidR="00E42B39" w:rsidRPr="00E3491F" w:rsidRDefault="00E42B39" w:rsidP="00E42B39">
            <w:pPr>
              <w:pStyle w:val="TableCentre"/>
              <w:rPr>
                <w:rFonts w:ascii="Arial Narrow" w:hAnsi="Arial Narrow"/>
                <w:szCs w:val="20"/>
              </w:rPr>
            </w:pPr>
            <w:r w:rsidRPr="00E3491F">
              <w:rPr>
                <w:rFonts w:ascii="Arial Narrow" w:hAnsi="Arial Narrow"/>
                <w:szCs w:val="20"/>
              </w:rPr>
              <w:t>3 (0.7%)</w:t>
            </w:r>
          </w:p>
        </w:tc>
        <w:tc>
          <w:tcPr>
            <w:tcW w:w="679" w:type="pct"/>
          </w:tcPr>
          <w:p w:rsidR="00E42B39" w:rsidRDefault="00E42B39" w:rsidP="00D1036C">
            <w:pPr>
              <w:pStyle w:val="TableCentre"/>
              <w:ind w:left="-57" w:right="-57"/>
              <w:rPr>
                <w:rFonts w:ascii="Arial Narrow" w:hAnsi="Arial Narrow"/>
                <w:szCs w:val="20"/>
              </w:rPr>
            </w:pPr>
            <w:r>
              <w:rPr>
                <w:rFonts w:ascii="Arial Narrow" w:hAnsi="Arial Narrow"/>
                <w:szCs w:val="20"/>
              </w:rPr>
              <w:t>2.10</w:t>
            </w:r>
          </w:p>
          <w:p w:rsidR="00E42B39" w:rsidRPr="00E3491F" w:rsidRDefault="00E42B39" w:rsidP="00D1036C">
            <w:pPr>
              <w:pStyle w:val="TableCentre"/>
              <w:ind w:left="-57" w:right="-57"/>
              <w:rPr>
                <w:rFonts w:ascii="Arial Narrow" w:hAnsi="Arial Narrow"/>
                <w:szCs w:val="20"/>
              </w:rPr>
            </w:pPr>
            <w:r w:rsidRPr="00E3491F">
              <w:rPr>
                <w:rFonts w:ascii="Arial Narrow" w:hAnsi="Arial Narrow"/>
                <w:szCs w:val="20"/>
              </w:rPr>
              <w:t>[0.59, 7.47]</w:t>
            </w:r>
          </w:p>
        </w:tc>
        <w:tc>
          <w:tcPr>
            <w:tcW w:w="460" w:type="pct"/>
          </w:tcPr>
          <w:p w:rsidR="00E42B39" w:rsidRPr="00E3491F" w:rsidRDefault="00E42B39" w:rsidP="00463D64">
            <w:pPr>
              <w:pStyle w:val="TableCentre"/>
              <w:ind w:left="-57" w:right="-57"/>
              <w:rPr>
                <w:rFonts w:ascii="Arial Narrow" w:hAnsi="Arial Narrow"/>
                <w:szCs w:val="20"/>
              </w:rPr>
            </w:pPr>
            <w:r w:rsidRPr="00E3491F">
              <w:rPr>
                <w:rFonts w:ascii="Arial Narrow" w:hAnsi="Arial Narrow"/>
                <w:szCs w:val="20"/>
              </w:rPr>
              <w:t>46 (6.2%)</w:t>
            </w:r>
          </w:p>
        </w:tc>
        <w:tc>
          <w:tcPr>
            <w:tcW w:w="515" w:type="pct"/>
          </w:tcPr>
          <w:p w:rsidR="00E42B39" w:rsidRPr="00E3491F" w:rsidRDefault="00E42B39" w:rsidP="00463D64">
            <w:pPr>
              <w:pStyle w:val="TableCentre"/>
              <w:ind w:left="-57" w:right="-57"/>
              <w:rPr>
                <w:rFonts w:ascii="Arial Narrow" w:hAnsi="Arial Narrow"/>
                <w:szCs w:val="20"/>
              </w:rPr>
            </w:pPr>
            <w:r w:rsidRPr="00E3491F">
              <w:rPr>
                <w:rFonts w:ascii="Arial Narrow" w:hAnsi="Arial Narrow"/>
                <w:szCs w:val="20"/>
              </w:rPr>
              <w:t>8 (2.2%)</w:t>
            </w:r>
          </w:p>
        </w:tc>
        <w:tc>
          <w:tcPr>
            <w:tcW w:w="686" w:type="pct"/>
          </w:tcPr>
          <w:p w:rsidR="00E42B39" w:rsidRPr="00E3491F" w:rsidRDefault="00E42B39" w:rsidP="00463D64">
            <w:pPr>
              <w:pStyle w:val="TableCentre"/>
              <w:ind w:left="-57" w:right="-57"/>
              <w:rPr>
                <w:rFonts w:ascii="Arial Narrow" w:hAnsi="Arial Narrow"/>
                <w:szCs w:val="20"/>
              </w:rPr>
            </w:pPr>
            <w:r w:rsidRPr="00E3491F">
              <w:rPr>
                <w:rFonts w:ascii="Arial Narrow" w:hAnsi="Arial Narrow"/>
                <w:szCs w:val="20"/>
              </w:rPr>
              <w:t xml:space="preserve">2.82 </w:t>
            </w:r>
            <w:r>
              <w:rPr>
                <w:rFonts w:ascii="Arial Narrow" w:hAnsi="Arial Narrow"/>
                <w:szCs w:val="20"/>
              </w:rPr>
              <w:br/>
            </w:r>
            <w:r w:rsidRPr="00E3491F">
              <w:rPr>
                <w:rFonts w:ascii="Arial Narrow" w:hAnsi="Arial Narrow"/>
                <w:szCs w:val="20"/>
              </w:rPr>
              <w:t>[1.35, 5.92]</w:t>
            </w:r>
          </w:p>
        </w:tc>
        <w:tc>
          <w:tcPr>
            <w:tcW w:w="687" w:type="pct"/>
          </w:tcPr>
          <w:p w:rsidR="00E42B39" w:rsidRDefault="00E42B39" w:rsidP="00463D64">
            <w:pPr>
              <w:pStyle w:val="TableCentre"/>
              <w:ind w:left="-57" w:right="-57"/>
              <w:rPr>
                <w:rFonts w:ascii="Arial Narrow" w:hAnsi="Arial Narrow"/>
                <w:szCs w:val="20"/>
              </w:rPr>
            </w:pPr>
            <w:r>
              <w:rPr>
                <w:rFonts w:ascii="Arial Narrow" w:hAnsi="Arial Narrow"/>
                <w:szCs w:val="20"/>
              </w:rPr>
              <w:t>0.75</w:t>
            </w:r>
          </w:p>
          <w:p w:rsidR="00E42B39" w:rsidRPr="00E3491F" w:rsidRDefault="00E42B39" w:rsidP="00463D64">
            <w:pPr>
              <w:pStyle w:val="TableCentre"/>
              <w:ind w:left="-57" w:right="-57"/>
              <w:rPr>
                <w:rFonts w:ascii="Arial Narrow" w:hAnsi="Arial Narrow"/>
                <w:szCs w:val="20"/>
              </w:rPr>
            </w:pPr>
            <w:r w:rsidRPr="00E3491F">
              <w:rPr>
                <w:rFonts w:ascii="Arial Narrow" w:hAnsi="Arial Narrow"/>
                <w:szCs w:val="20"/>
              </w:rPr>
              <w:t>[0.17, 3.24]</w:t>
            </w:r>
          </w:p>
        </w:tc>
      </w:tr>
      <w:tr w:rsidR="00E42B39" w:rsidRPr="00E3491F" w:rsidTr="00D40E1A">
        <w:tc>
          <w:tcPr>
            <w:tcW w:w="907" w:type="pct"/>
          </w:tcPr>
          <w:p w:rsidR="00E42B39" w:rsidRPr="00E3491F" w:rsidRDefault="00E42B39" w:rsidP="00D40E1A">
            <w:pPr>
              <w:pStyle w:val="Table"/>
              <w:ind w:left="176"/>
              <w:rPr>
                <w:rFonts w:ascii="Arial Narrow" w:hAnsi="Arial Narrow"/>
                <w:szCs w:val="20"/>
              </w:rPr>
            </w:pPr>
            <w:r w:rsidRPr="00E3491F">
              <w:rPr>
                <w:rFonts w:ascii="Arial Narrow" w:hAnsi="Arial Narrow"/>
                <w:szCs w:val="20"/>
              </w:rPr>
              <w:t>Coordination abnormal</w:t>
            </w:r>
          </w:p>
        </w:tc>
        <w:tc>
          <w:tcPr>
            <w:tcW w:w="554" w:type="pct"/>
          </w:tcPr>
          <w:p w:rsidR="00E42B39" w:rsidRPr="00E3491F" w:rsidRDefault="00E42B39" w:rsidP="00E42B39">
            <w:pPr>
              <w:pStyle w:val="TableCentre"/>
              <w:rPr>
                <w:rFonts w:ascii="Arial Narrow" w:hAnsi="Arial Narrow"/>
                <w:szCs w:val="20"/>
              </w:rPr>
            </w:pPr>
            <w:r w:rsidRPr="00E3491F">
              <w:rPr>
                <w:rFonts w:ascii="Arial Narrow" w:hAnsi="Arial Narrow"/>
                <w:szCs w:val="20"/>
              </w:rPr>
              <w:t>3 (0.3%)</w:t>
            </w:r>
          </w:p>
        </w:tc>
        <w:tc>
          <w:tcPr>
            <w:tcW w:w="511" w:type="pct"/>
          </w:tcPr>
          <w:p w:rsidR="00E42B39" w:rsidRPr="00E3491F" w:rsidRDefault="00E42B39" w:rsidP="00E42B39">
            <w:pPr>
              <w:pStyle w:val="TableCentre"/>
              <w:rPr>
                <w:rFonts w:ascii="Arial Narrow" w:hAnsi="Arial Narrow"/>
                <w:szCs w:val="20"/>
              </w:rPr>
            </w:pPr>
            <w:r w:rsidRPr="00E3491F">
              <w:rPr>
                <w:rFonts w:ascii="Arial Narrow" w:hAnsi="Arial Narrow"/>
                <w:szCs w:val="20"/>
              </w:rPr>
              <w:t>0</w:t>
            </w:r>
          </w:p>
        </w:tc>
        <w:tc>
          <w:tcPr>
            <w:tcW w:w="679" w:type="pct"/>
          </w:tcPr>
          <w:p w:rsidR="00E42B39" w:rsidRDefault="00E42B39" w:rsidP="00D1036C">
            <w:pPr>
              <w:pStyle w:val="TableCentre"/>
              <w:ind w:left="-57" w:right="-57"/>
              <w:rPr>
                <w:rFonts w:ascii="Arial Narrow" w:hAnsi="Arial Narrow"/>
                <w:szCs w:val="20"/>
              </w:rPr>
            </w:pPr>
            <w:r>
              <w:rPr>
                <w:rFonts w:ascii="Arial Narrow" w:hAnsi="Arial Narrow"/>
                <w:szCs w:val="20"/>
              </w:rPr>
              <w:t>4.00</w:t>
            </w:r>
          </w:p>
          <w:p w:rsidR="00E42B39" w:rsidRPr="00E3491F" w:rsidRDefault="00E42B39" w:rsidP="00D1036C">
            <w:pPr>
              <w:pStyle w:val="TableCentre"/>
              <w:ind w:left="-57" w:right="-57"/>
              <w:rPr>
                <w:rFonts w:ascii="Arial Narrow" w:hAnsi="Arial Narrow"/>
                <w:szCs w:val="20"/>
              </w:rPr>
            </w:pPr>
            <w:r w:rsidRPr="00E3491F">
              <w:rPr>
                <w:rFonts w:ascii="Arial Narrow" w:hAnsi="Arial Narrow"/>
                <w:szCs w:val="20"/>
              </w:rPr>
              <w:t>[0.21, 77.36]</w:t>
            </w:r>
          </w:p>
        </w:tc>
        <w:tc>
          <w:tcPr>
            <w:tcW w:w="460" w:type="pct"/>
          </w:tcPr>
          <w:p w:rsidR="00E42B39" w:rsidRPr="00E3491F" w:rsidRDefault="00E42B39" w:rsidP="00463D64">
            <w:pPr>
              <w:pStyle w:val="TableCentre"/>
              <w:ind w:left="-57" w:right="-57"/>
              <w:rPr>
                <w:rFonts w:ascii="Arial Narrow" w:hAnsi="Arial Narrow"/>
                <w:szCs w:val="20"/>
              </w:rPr>
            </w:pPr>
            <w:r w:rsidRPr="00E3491F">
              <w:rPr>
                <w:rFonts w:ascii="Arial Narrow" w:hAnsi="Arial Narrow"/>
                <w:szCs w:val="20"/>
              </w:rPr>
              <w:t>45 (6.1%)</w:t>
            </w:r>
          </w:p>
        </w:tc>
        <w:tc>
          <w:tcPr>
            <w:tcW w:w="515" w:type="pct"/>
          </w:tcPr>
          <w:p w:rsidR="00E42B39" w:rsidRPr="00E3491F" w:rsidRDefault="00E42B39" w:rsidP="00463D64">
            <w:pPr>
              <w:pStyle w:val="TableCentre"/>
              <w:ind w:left="-57" w:right="-57"/>
              <w:rPr>
                <w:rFonts w:ascii="Arial Narrow" w:hAnsi="Arial Narrow"/>
                <w:szCs w:val="20"/>
              </w:rPr>
            </w:pPr>
            <w:r w:rsidRPr="00E3491F">
              <w:rPr>
                <w:rFonts w:ascii="Arial Narrow" w:hAnsi="Arial Narrow"/>
                <w:szCs w:val="20"/>
              </w:rPr>
              <w:t>6 (1.6%)</w:t>
            </w:r>
          </w:p>
        </w:tc>
        <w:tc>
          <w:tcPr>
            <w:tcW w:w="686" w:type="pct"/>
          </w:tcPr>
          <w:p w:rsidR="00E42B39" w:rsidRPr="00E3491F" w:rsidRDefault="00E42B39" w:rsidP="00463D64">
            <w:pPr>
              <w:pStyle w:val="TableCentre"/>
              <w:ind w:left="-57" w:right="-57"/>
              <w:rPr>
                <w:rFonts w:ascii="Arial Narrow" w:hAnsi="Arial Narrow"/>
                <w:szCs w:val="20"/>
              </w:rPr>
            </w:pPr>
            <w:r w:rsidRPr="00E3491F">
              <w:rPr>
                <w:rFonts w:ascii="Arial Narrow" w:hAnsi="Arial Narrow"/>
                <w:szCs w:val="20"/>
              </w:rPr>
              <w:t>3.68</w:t>
            </w:r>
            <w:r>
              <w:rPr>
                <w:rFonts w:ascii="Arial Narrow" w:hAnsi="Arial Narrow"/>
                <w:szCs w:val="20"/>
              </w:rPr>
              <w:br/>
            </w:r>
            <w:r w:rsidRPr="00E3491F">
              <w:rPr>
                <w:rFonts w:ascii="Arial Narrow" w:hAnsi="Arial Narrow"/>
                <w:szCs w:val="20"/>
              </w:rPr>
              <w:t>[1.59, 8.56]</w:t>
            </w:r>
          </w:p>
        </w:tc>
        <w:tc>
          <w:tcPr>
            <w:tcW w:w="687" w:type="pct"/>
          </w:tcPr>
          <w:p w:rsidR="00E42B39" w:rsidRDefault="00E42B39" w:rsidP="00463D64">
            <w:pPr>
              <w:pStyle w:val="TableCentre"/>
              <w:ind w:left="-57" w:right="-57"/>
              <w:rPr>
                <w:rFonts w:ascii="Arial Narrow" w:hAnsi="Arial Narrow"/>
                <w:szCs w:val="20"/>
              </w:rPr>
            </w:pPr>
            <w:r>
              <w:rPr>
                <w:rFonts w:ascii="Arial Narrow" w:hAnsi="Arial Narrow"/>
                <w:szCs w:val="20"/>
              </w:rPr>
              <w:t>1.09</w:t>
            </w:r>
          </w:p>
          <w:p w:rsidR="00E42B39" w:rsidRPr="00E3491F" w:rsidRDefault="00E42B39" w:rsidP="00463D64">
            <w:pPr>
              <w:pStyle w:val="TableCentre"/>
              <w:ind w:left="-57" w:right="-57"/>
              <w:rPr>
                <w:rFonts w:ascii="Arial Narrow" w:hAnsi="Arial Narrow"/>
                <w:szCs w:val="20"/>
              </w:rPr>
            </w:pPr>
            <w:r w:rsidRPr="00E3491F">
              <w:rPr>
                <w:rFonts w:ascii="Arial Narrow" w:hAnsi="Arial Narrow"/>
                <w:szCs w:val="20"/>
              </w:rPr>
              <w:t>[0.05, 23.47]</w:t>
            </w:r>
          </w:p>
        </w:tc>
      </w:tr>
      <w:tr w:rsidR="00E42B39" w:rsidRPr="00E3491F" w:rsidTr="00D40E1A">
        <w:tc>
          <w:tcPr>
            <w:tcW w:w="907" w:type="pct"/>
          </w:tcPr>
          <w:p w:rsidR="00E42B39" w:rsidRPr="00E3491F" w:rsidRDefault="00E42B39" w:rsidP="00D40E1A">
            <w:pPr>
              <w:pStyle w:val="Table"/>
              <w:ind w:left="176"/>
              <w:rPr>
                <w:rFonts w:ascii="Arial Narrow" w:hAnsi="Arial Narrow"/>
                <w:szCs w:val="20"/>
              </w:rPr>
            </w:pPr>
            <w:r w:rsidRPr="00E3491F">
              <w:rPr>
                <w:rFonts w:ascii="Arial Narrow" w:hAnsi="Arial Narrow"/>
                <w:szCs w:val="20"/>
              </w:rPr>
              <w:t>Tremor</w:t>
            </w:r>
          </w:p>
        </w:tc>
        <w:tc>
          <w:tcPr>
            <w:tcW w:w="554" w:type="pct"/>
          </w:tcPr>
          <w:p w:rsidR="00E42B39" w:rsidRPr="00E3491F" w:rsidRDefault="00E42B39" w:rsidP="00E42B39">
            <w:pPr>
              <w:pStyle w:val="TableCentre"/>
              <w:rPr>
                <w:rFonts w:ascii="Arial Narrow" w:hAnsi="Arial Narrow"/>
                <w:szCs w:val="20"/>
              </w:rPr>
            </w:pPr>
            <w:r w:rsidRPr="00E3491F">
              <w:rPr>
                <w:rFonts w:ascii="Arial Narrow" w:hAnsi="Arial Narrow"/>
                <w:szCs w:val="20"/>
              </w:rPr>
              <w:t>9 (1.1%)</w:t>
            </w:r>
          </w:p>
        </w:tc>
        <w:tc>
          <w:tcPr>
            <w:tcW w:w="511" w:type="pct"/>
          </w:tcPr>
          <w:p w:rsidR="00E42B39" w:rsidRPr="00E3491F" w:rsidRDefault="00E42B39" w:rsidP="00E42B39">
            <w:pPr>
              <w:pStyle w:val="TableCentre"/>
              <w:rPr>
                <w:rFonts w:ascii="Arial Narrow" w:hAnsi="Arial Narrow"/>
                <w:szCs w:val="20"/>
              </w:rPr>
            </w:pPr>
            <w:r w:rsidRPr="00E3491F">
              <w:rPr>
                <w:rFonts w:ascii="Arial Narrow" w:hAnsi="Arial Narrow"/>
                <w:szCs w:val="20"/>
              </w:rPr>
              <w:t>6 (1.3%)</w:t>
            </w:r>
          </w:p>
        </w:tc>
        <w:tc>
          <w:tcPr>
            <w:tcW w:w="679" w:type="pct"/>
          </w:tcPr>
          <w:p w:rsidR="00E42B39" w:rsidRDefault="00E42B39" w:rsidP="00D1036C">
            <w:pPr>
              <w:pStyle w:val="TableCentre"/>
              <w:ind w:left="-57" w:right="-57"/>
              <w:rPr>
                <w:rFonts w:ascii="Arial Narrow" w:hAnsi="Arial Narrow"/>
                <w:szCs w:val="20"/>
              </w:rPr>
            </w:pPr>
            <w:r>
              <w:rPr>
                <w:rFonts w:ascii="Arial Narrow" w:hAnsi="Arial Narrow"/>
                <w:szCs w:val="20"/>
              </w:rPr>
              <w:t>0.86</w:t>
            </w:r>
          </w:p>
          <w:p w:rsidR="00E42B39" w:rsidRPr="00E3491F" w:rsidRDefault="00E42B39" w:rsidP="00D1036C">
            <w:pPr>
              <w:pStyle w:val="TableCentre"/>
              <w:ind w:left="-57" w:right="-57"/>
              <w:rPr>
                <w:rFonts w:ascii="Arial Narrow" w:hAnsi="Arial Narrow"/>
                <w:szCs w:val="20"/>
              </w:rPr>
            </w:pPr>
            <w:r w:rsidRPr="00E3491F">
              <w:rPr>
                <w:rFonts w:ascii="Arial Narrow" w:hAnsi="Arial Narrow"/>
                <w:szCs w:val="20"/>
              </w:rPr>
              <w:t>[0.31, 2.39]</w:t>
            </w:r>
          </w:p>
        </w:tc>
        <w:tc>
          <w:tcPr>
            <w:tcW w:w="460" w:type="pct"/>
          </w:tcPr>
          <w:p w:rsidR="00E42B39" w:rsidRPr="00E3491F" w:rsidRDefault="00E42B39" w:rsidP="00463D64">
            <w:pPr>
              <w:pStyle w:val="TableCentre"/>
              <w:ind w:left="-57" w:right="-57"/>
              <w:rPr>
                <w:rFonts w:ascii="Arial Narrow" w:hAnsi="Arial Narrow"/>
                <w:szCs w:val="20"/>
              </w:rPr>
            </w:pPr>
            <w:r w:rsidRPr="00E3491F">
              <w:rPr>
                <w:rFonts w:ascii="Arial Narrow" w:hAnsi="Arial Narrow"/>
                <w:szCs w:val="20"/>
              </w:rPr>
              <w:t>39 (5.3%)</w:t>
            </w:r>
          </w:p>
        </w:tc>
        <w:tc>
          <w:tcPr>
            <w:tcW w:w="515" w:type="pct"/>
          </w:tcPr>
          <w:p w:rsidR="00E42B39" w:rsidRPr="00E3491F" w:rsidRDefault="00E42B39" w:rsidP="00463D64">
            <w:pPr>
              <w:pStyle w:val="TableCentre"/>
              <w:ind w:left="-57" w:right="-57"/>
              <w:rPr>
                <w:rFonts w:ascii="Arial Narrow" w:hAnsi="Arial Narrow"/>
                <w:szCs w:val="20"/>
              </w:rPr>
            </w:pPr>
            <w:r w:rsidRPr="00E3491F">
              <w:rPr>
                <w:rFonts w:ascii="Arial Narrow" w:hAnsi="Arial Narrow"/>
                <w:szCs w:val="20"/>
              </w:rPr>
              <w:t>15 (4.1%)</w:t>
            </w:r>
          </w:p>
        </w:tc>
        <w:tc>
          <w:tcPr>
            <w:tcW w:w="686" w:type="pct"/>
          </w:tcPr>
          <w:p w:rsidR="00E42B39" w:rsidRPr="00E3491F" w:rsidRDefault="00E42B39" w:rsidP="00463D64">
            <w:pPr>
              <w:pStyle w:val="TableCentre"/>
              <w:ind w:left="-57" w:right="-57"/>
              <w:rPr>
                <w:rFonts w:ascii="Arial Narrow" w:hAnsi="Arial Narrow"/>
                <w:szCs w:val="20"/>
              </w:rPr>
            </w:pPr>
            <w:r w:rsidRPr="00E3491F">
              <w:rPr>
                <w:rFonts w:ascii="Arial Narrow" w:hAnsi="Arial Narrow"/>
                <w:szCs w:val="20"/>
              </w:rPr>
              <w:t>1.28</w:t>
            </w:r>
            <w:r>
              <w:rPr>
                <w:rFonts w:ascii="Arial Narrow" w:hAnsi="Arial Narrow"/>
                <w:szCs w:val="20"/>
              </w:rPr>
              <w:br/>
            </w:r>
            <w:r w:rsidRPr="00E3491F">
              <w:rPr>
                <w:rFonts w:ascii="Arial Narrow" w:hAnsi="Arial Narrow"/>
                <w:szCs w:val="20"/>
              </w:rPr>
              <w:t>[0.71, 2.29]</w:t>
            </w:r>
          </w:p>
        </w:tc>
        <w:tc>
          <w:tcPr>
            <w:tcW w:w="687" w:type="pct"/>
          </w:tcPr>
          <w:p w:rsidR="00E42B39" w:rsidRDefault="00E42B39" w:rsidP="00463D64">
            <w:pPr>
              <w:pStyle w:val="TableCentre"/>
              <w:ind w:left="-57" w:right="-57"/>
              <w:rPr>
                <w:rFonts w:ascii="Arial Narrow" w:hAnsi="Arial Narrow"/>
                <w:szCs w:val="20"/>
              </w:rPr>
            </w:pPr>
            <w:r>
              <w:rPr>
                <w:rFonts w:ascii="Arial Narrow" w:hAnsi="Arial Narrow"/>
                <w:szCs w:val="20"/>
              </w:rPr>
              <w:t>0.67</w:t>
            </w:r>
          </w:p>
          <w:p w:rsidR="00E42B39" w:rsidRPr="00E3491F" w:rsidRDefault="00E42B39" w:rsidP="00463D64">
            <w:pPr>
              <w:pStyle w:val="TableCentre"/>
              <w:ind w:left="-57" w:right="-57"/>
              <w:rPr>
                <w:rFonts w:ascii="Arial Narrow" w:hAnsi="Arial Narrow"/>
                <w:szCs w:val="20"/>
              </w:rPr>
            </w:pPr>
            <w:r w:rsidRPr="00E3491F">
              <w:rPr>
                <w:rFonts w:ascii="Arial Narrow" w:hAnsi="Arial Narrow"/>
                <w:szCs w:val="20"/>
              </w:rPr>
              <w:t>[0.21, 2.18]</w:t>
            </w:r>
          </w:p>
        </w:tc>
      </w:tr>
      <w:tr w:rsidR="00E42B39" w:rsidRPr="00E3491F" w:rsidTr="00D40E1A">
        <w:tc>
          <w:tcPr>
            <w:tcW w:w="907" w:type="pct"/>
          </w:tcPr>
          <w:p w:rsidR="00E42B39" w:rsidRPr="00E3491F" w:rsidRDefault="00E42B39" w:rsidP="00D40E1A">
            <w:pPr>
              <w:pStyle w:val="Table"/>
              <w:ind w:left="176" w:right="-57"/>
              <w:rPr>
                <w:rFonts w:ascii="Arial Narrow" w:hAnsi="Arial Narrow"/>
                <w:szCs w:val="20"/>
              </w:rPr>
            </w:pPr>
            <w:proofErr w:type="spellStart"/>
            <w:r w:rsidRPr="00E3491F">
              <w:rPr>
                <w:rFonts w:ascii="Arial Narrow" w:hAnsi="Arial Narrow"/>
                <w:szCs w:val="20"/>
              </w:rPr>
              <w:t>Nasopharyngitis</w:t>
            </w:r>
            <w:proofErr w:type="spellEnd"/>
          </w:p>
        </w:tc>
        <w:tc>
          <w:tcPr>
            <w:tcW w:w="554" w:type="pct"/>
          </w:tcPr>
          <w:p w:rsidR="00E42B39" w:rsidRPr="00E3491F" w:rsidRDefault="00E42B39" w:rsidP="00E42B39">
            <w:pPr>
              <w:pStyle w:val="TableCentre"/>
              <w:rPr>
                <w:rFonts w:ascii="Arial Narrow" w:hAnsi="Arial Narrow"/>
                <w:szCs w:val="20"/>
              </w:rPr>
            </w:pPr>
            <w:r w:rsidRPr="00E3491F">
              <w:rPr>
                <w:rFonts w:ascii="Arial Narrow" w:hAnsi="Arial Narrow"/>
                <w:szCs w:val="20"/>
              </w:rPr>
              <w:t>27 (3.4%)</w:t>
            </w:r>
          </w:p>
        </w:tc>
        <w:tc>
          <w:tcPr>
            <w:tcW w:w="511" w:type="pct"/>
          </w:tcPr>
          <w:p w:rsidR="00E42B39" w:rsidRPr="00E3491F" w:rsidRDefault="00E42B39" w:rsidP="00E42B39">
            <w:pPr>
              <w:pStyle w:val="TableCentre"/>
              <w:rPr>
                <w:rFonts w:ascii="Arial Narrow" w:hAnsi="Arial Narrow"/>
                <w:szCs w:val="20"/>
              </w:rPr>
            </w:pPr>
            <w:r w:rsidRPr="00E3491F">
              <w:rPr>
                <w:rFonts w:ascii="Arial Narrow" w:hAnsi="Arial Narrow"/>
                <w:szCs w:val="20"/>
              </w:rPr>
              <w:t>14 (3.1%)</w:t>
            </w:r>
          </w:p>
        </w:tc>
        <w:tc>
          <w:tcPr>
            <w:tcW w:w="679" w:type="pct"/>
          </w:tcPr>
          <w:p w:rsidR="00E42B39" w:rsidRDefault="00E42B39" w:rsidP="00D1036C">
            <w:pPr>
              <w:pStyle w:val="TableCentre"/>
              <w:ind w:left="-57" w:right="-57"/>
              <w:rPr>
                <w:rFonts w:ascii="Arial Narrow" w:hAnsi="Arial Narrow"/>
                <w:szCs w:val="20"/>
              </w:rPr>
            </w:pPr>
            <w:r>
              <w:rPr>
                <w:rFonts w:ascii="Arial Narrow" w:hAnsi="Arial Narrow"/>
                <w:szCs w:val="20"/>
              </w:rPr>
              <w:t>1.10</w:t>
            </w:r>
          </w:p>
          <w:p w:rsidR="00E42B39" w:rsidRPr="00E3491F" w:rsidRDefault="00E42B39" w:rsidP="00D1036C">
            <w:pPr>
              <w:pStyle w:val="TableCentre"/>
              <w:ind w:left="-57" w:right="-57"/>
              <w:rPr>
                <w:rFonts w:ascii="Arial Narrow" w:hAnsi="Arial Narrow"/>
                <w:szCs w:val="20"/>
              </w:rPr>
            </w:pPr>
            <w:r w:rsidRPr="00E3491F">
              <w:rPr>
                <w:rFonts w:ascii="Arial Narrow" w:hAnsi="Arial Narrow"/>
                <w:szCs w:val="20"/>
              </w:rPr>
              <w:t>[0.58, 2.08]</w:t>
            </w:r>
          </w:p>
        </w:tc>
        <w:tc>
          <w:tcPr>
            <w:tcW w:w="460" w:type="pct"/>
          </w:tcPr>
          <w:p w:rsidR="00E42B39" w:rsidRPr="00E3491F" w:rsidRDefault="00E42B39" w:rsidP="00463D64">
            <w:pPr>
              <w:pStyle w:val="TableCentre"/>
              <w:ind w:left="-57" w:right="-57"/>
              <w:rPr>
                <w:rFonts w:ascii="Arial Narrow" w:hAnsi="Arial Narrow"/>
                <w:szCs w:val="20"/>
              </w:rPr>
            </w:pPr>
            <w:r w:rsidRPr="00E3491F">
              <w:rPr>
                <w:rFonts w:ascii="Arial Narrow" w:hAnsi="Arial Narrow"/>
                <w:szCs w:val="20"/>
              </w:rPr>
              <w:t>53 (7.2%)</w:t>
            </w:r>
          </w:p>
        </w:tc>
        <w:tc>
          <w:tcPr>
            <w:tcW w:w="515" w:type="pct"/>
          </w:tcPr>
          <w:p w:rsidR="00E42B39" w:rsidRPr="00E3491F" w:rsidRDefault="00E42B39" w:rsidP="00463D64">
            <w:pPr>
              <w:pStyle w:val="TableCentre"/>
              <w:ind w:left="-57" w:right="-57"/>
              <w:rPr>
                <w:rFonts w:ascii="Arial Narrow" w:hAnsi="Arial Narrow"/>
                <w:szCs w:val="20"/>
              </w:rPr>
            </w:pPr>
            <w:r w:rsidRPr="00E3491F">
              <w:rPr>
                <w:rFonts w:ascii="Arial Narrow" w:hAnsi="Arial Narrow"/>
                <w:szCs w:val="20"/>
              </w:rPr>
              <w:t>21 (5.8%)</w:t>
            </w:r>
          </w:p>
        </w:tc>
        <w:tc>
          <w:tcPr>
            <w:tcW w:w="686" w:type="pct"/>
          </w:tcPr>
          <w:p w:rsidR="00E42B39" w:rsidRPr="00E3491F" w:rsidRDefault="00E42B39" w:rsidP="00463D64">
            <w:pPr>
              <w:pStyle w:val="TableCentre"/>
              <w:ind w:left="-57" w:right="-57"/>
              <w:rPr>
                <w:rFonts w:ascii="Arial Narrow" w:hAnsi="Arial Narrow"/>
                <w:szCs w:val="20"/>
              </w:rPr>
            </w:pPr>
            <w:r w:rsidRPr="00E3491F">
              <w:rPr>
                <w:rFonts w:ascii="Arial Narrow" w:hAnsi="Arial Narrow"/>
                <w:szCs w:val="20"/>
              </w:rPr>
              <w:t>1.24</w:t>
            </w:r>
            <w:r>
              <w:rPr>
                <w:rFonts w:ascii="Arial Narrow" w:hAnsi="Arial Narrow"/>
                <w:szCs w:val="20"/>
              </w:rPr>
              <w:br/>
            </w:r>
            <w:r w:rsidRPr="00E3491F">
              <w:rPr>
                <w:rFonts w:ascii="Arial Narrow" w:hAnsi="Arial Narrow"/>
                <w:szCs w:val="20"/>
              </w:rPr>
              <w:t>[0.76, 2.02]</w:t>
            </w:r>
          </w:p>
        </w:tc>
        <w:tc>
          <w:tcPr>
            <w:tcW w:w="687" w:type="pct"/>
          </w:tcPr>
          <w:p w:rsidR="00E42B39" w:rsidRDefault="00E42B39" w:rsidP="00463D64">
            <w:pPr>
              <w:pStyle w:val="TableCentre"/>
              <w:ind w:left="-57" w:right="-57"/>
              <w:rPr>
                <w:rFonts w:ascii="Arial Narrow" w:hAnsi="Arial Narrow"/>
                <w:szCs w:val="20"/>
              </w:rPr>
            </w:pPr>
            <w:r>
              <w:rPr>
                <w:rFonts w:ascii="Arial Narrow" w:hAnsi="Arial Narrow"/>
                <w:szCs w:val="20"/>
              </w:rPr>
              <w:t>0.89</w:t>
            </w:r>
          </w:p>
          <w:p w:rsidR="00E42B39" w:rsidRPr="00E3491F" w:rsidRDefault="00E42B39" w:rsidP="00463D64">
            <w:pPr>
              <w:pStyle w:val="TableCentre"/>
              <w:ind w:left="-57" w:right="-57"/>
              <w:rPr>
                <w:rFonts w:ascii="Arial Narrow" w:hAnsi="Arial Narrow"/>
                <w:szCs w:val="20"/>
              </w:rPr>
            </w:pPr>
            <w:r w:rsidRPr="00E3491F">
              <w:rPr>
                <w:rFonts w:ascii="Arial Narrow" w:hAnsi="Arial Narrow"/>
                <w:szCs w:val="20"/>
              </w:rPr>
              <w:t>[0.40, 1.98]</w:t>
            </w:r>
          </w:p>
        </w:tc>
      </w:tr>
      <w:tr w:rsidR="00E42B39" w:rsidRPr="00E3491F" w:rsidTr="00D40E1A">
        <w:tc>
          <w:tcPr>
            <w:tcW w:w="907" w:type="pct"/>
          </w:tcPr>
          <w:p w:rsidR="00E42B39" w:rsidRPr="00E3491F" w:rsidRDefault="00E42B39" w:rsidP="00D40E1A">
            <w:pPr>
              <w:pStyle w:val="Table"/>
              <w:ind w:left="176"/>
              <w:rPr>
                <w:rFonts w:ascii="Arial Narrow" w:hAnsi="Arial Narrow"/>
                <w:szCs w:val="20"/>
              </w:rPr>
            </w:pPr>
            <w:r w:rsidRPr="00E3491F">
              <w:rPr>
                <w:rFonts w:ascii="Arial Narrow" w:hAnsi="Arial Narrow"/>
                <w:szCs w:val="20"/>
              </w:rPr>
              <w:t>Nystagmus</w:t>
            </w:r>
          </w:p>
        </w:tc>
        <w:tc>
          <w:tcPr>
            <w:tcW w:w="554" w:type="pct"/>
          </w:tcPr>
          <w:p w:rsidR="00E42B39" w:rsidRPr="00E3491F" w:rsidRDefault="00E42B39" w:rsidP="00E42B39">
            <w:pPr>
              <w:pStyle w:val="TableCentre"/>
              <w:rPr>
                <w:rFonts w:ascii="Arial Narrow" w:hAnsi="Arial Narrow"/>
                <w:szCs w:val="20"/>
              </w:rPr>
            </w:pPr>
            <w:r w:rsidRPr="00E3491F">
              <w:rPr>
                <w:rFonts w:ascii="Arial Narrow" w:hAnsi="Arial Narrow"/>
                <w:szCs w:val="20"/>
              </w:rPr>
              <w:t>4 (0.5%)</w:t>
            </w:r>
          </w:p>
        </w:tc>
        <w:tc>
          <w:tcPr>
            <w:tcW w:w="511" w:type="pct"/>
          </w:tcPr>
          <w:p w:rsidR="00E42B39" w:rsidRPr="00E3491F" w:rsidRDefault="00E42B39" w:rsidP="00E42B39">
            <w:pPr>
              <w:pStyle w:val="TableCentre"/>
              <w:rPr>
                <w:rFonts w:ascii="Arial Narrow" w:hAnsi="Arial Narrow"/>
                <w:szCs w:val="20"/>
              </w:rPr>
            </w:pPr>
            <w:r w:rsidRPr="00E3491F">
              <w:rPr>
                <w:rFonts w:ascii="Arial Narrow" w:hAnsi="Arial Narrow"/>
                <w:szCs w:val="20"/>
              </w:rPr>
              <w:t>1 (0.2%)</w:t>
            </w:r>
          </w:p>
        </w:tc>
        <w:tc>
          <w:tcPr>
            <w:tcW w:w="679" w:type="pct"/>
          </w:tcPr>
          <w:p w:rsidR="00E42B39" w:rsidRDefault="00E42B39" w:rsidP="00D1036C">
            <w:pPr>
              <w:pStyle w:val="TableCentre"/>
              <w:ind w:left="-57" w:right="-57"/>
              <w:rPr>
                <w:rFonts w:ascii="Arial Narrow" w:hAnsi="Arial Narrow"/>
                <w:szCs w:val="20"/>
              </w:rPr>
            </w:pPr>
            <w:r>
              <w:rPr>
                <w:rFonts w:ascii="Arial Narrow" w:hAnsi="Arial Narrow"/>
                <w:szCs w:val="20"/>
              </w:rPr>
              <w:t>2.29</w:t>
            </w:r>
          </w:p>
          <w:p w:rsidR="00E42B39" w:rsidRPr="00E3491F" w:rsidRDefault="00E42B39" w:rsidP="00D1036C">
            <w:pPr>
              <w:pStyle w:val="TableCentre"/>
              <w:ind w:left="-57" w:right="-57"/>
              <w:rPr>
                <w:rFonts w:ascii="Arial Narrow" w:hAnsi="Arial Narrow"/>
                <w:szCs w:val="20"/>
              </w:rPr>
            </w:pPr>
            <w:r w:rsidRPr="00E3491F">
              <w:rPr>
                <w:rFonts w:ascii="Arial Narrow" w:hAnsi="Arial Narrow"/>
                <w:szCs w:val="20"/>
              </w:rPr>
              <w:t xml:space="preserve">[0.26, </w:t>
            </w:r>
            <w:r>
              <w:rPr>
                <w:rFonts w:ascii="Arial Narrow" w:hAnsi="Arial Narrow"/>
                <w:szCs w:val="20"/>
              </w:rPr>
              <w:t>2</w:t>
            </w:r>
            <w:r w:rsidRPr="00E3491F">
              <w:rPr>
                <w:rFonts w:ascii="Arial Narrow" w:hAnsi="Arial Narrow"/>
                <w:szCs w:val="20"/>
              </w:rPr>
              <w:t>0.40]</w:t>
            </w:r>
          </w:p>
        </w:tc>
        <w:tc>
          <w:tcPr>
            <w:tcW w:w="460" w:type="pct"/>
          </w:tcPr>
          <w:p w:rsidR="00E42B39" w:rsidRPr="00E3491F" w:rsidRDefault="00E42B39" w:rsidP="00463D64">
            <w:pPr>
              <w:pStyle w:val="TableCentre"/>
              <w:ind w:left="-57" w:right="-57"/>
              <w:rPr>
                <w:rFonts w:ascii="Arial Narrow" w:hAnsi="Arial Narrow"/>
                <w:szCs w:val="20"/>
              </w:rPr>
            </w:pPr>
            <w:r w:rsidRPr="00E3491F">
              <w:rPr>
                <w:rFonts w:ascii="Arial Narrow" w:hAnsi="Arial Narrow"/>
                <w:szCs w:val="20"/>
              </w:rPr>
              <w:t>27 (3.6%)</w:t>
            </w:r>
          </w:p>
        </w:tc>
        <w:tc>
          <w:tcPr>
            <w:tcW w:w="515" w:type="pct"/>
          </w:tcPr>
          <w:p w:rsidR="00E42B39" w:rsidRPr="00E3491F" w:rsidRDefault="00E42B39" w:rsidP="00463D64">
            <w:pPr>
              <w:pStyle w:val="TableCentre"/>
              <w:ind w:left="-57" w:right="-57"/>
              <w:rPr>
                <w:rFonts w:ascii="Arial Narrow" w:hAnsi="Arial Narrow"/>
                <w:szCs w:val="20"/>
              </w:rPr>
            </w:pPr>
            <w:r w:rsidRPr="00E3491F">
              <w:rPr>
                <w:rFonts w:ascii="Arial Narrow" w:hAnsi="Arial Narrow"/>
                <w:szCs w:val="20"/>
              </w:rPr>
              <w:t>14 (3.8%)</w:t>
            </w:r>
          </w:p>
        </w:tc>
        <w:tc>
          <w:tcPr>
            <w:tcW w:w="686" w:type="pct"/>
          </w:tcPr>
          <w:p w:rsidR="00E42B39" w:rsidRPr="00E3491F" w:rsidRDefault="00E42B39" w:rsidP="00463D64">
            <w:pPr>
              <w:pStyle w:val="TableCentre"/>
              <w:ind w:left="-57" w:right="-57"/>
              <w:rPr>
                <w:rFonts w:ascii="Arial Narrow" w:hAnsi="Arial Narrow"/>
                <w:szCs w:val="20"/>
              </w:rPr>
            </w:pPr>
            <w:r w:rsidRPr="00E3491F">
              <w:rPr>
                <w:rFonts w:ascii="Arial Narrow" w:hAnsi="Arial Narrow"/>
                <w:szCs w:val="20"/>
              </w:rPr>
              <w:t xml:space="preserve">0.95 </w:t>
            </w:r>
            <w:r>
              <w:rPr>
                <w:rFonts w:ascii="Arial Narrow" w:hAnsi="Arial Narrow"/>
                <w:szCs w:val="20"/>
              </w:rPr>
              <w:br/>
            </w:r>
            <w:r w:rsidRPr="00E3491F">
              <w:rPr>
                <w:rFonts w:ascii="Arial Narrow" w:hAnsi="Arial Narrow"/>
                <w:szCs w:val="20"/>
              </w:rPr>
              <w:t>[0.50, 1.78]</w:t>
            </w:r>
          </w:p>
        </w:tc>
        <w:tc>
          <w:tcPr>
            <w:tcW w:w="687" w:type="pct"/>
          </w:tcPr>
          <w:p w:rsidR="00E42B39" w:rsidRDefault="00E42B39" w:rsidP="00463D64">
            <w:pPr>
              <w:pStyle w:val="TableCentre"/>
              <w:ind w:left="-57" w:right="-57"/>
              <w:rPr>
                <w:rFonts w:ascii="Arial Narrow" w:hAnsi="Arial Narrow"/>
                <w:szCs w:val="20"/>
              </w:rPr>
            </w:pPr>
            <w:r>
              <w:rPr>
                <w:rFonts w:ascii="Arial Narrow" w:hAnsi="Arial Narrow"/>
                <w:szCs w:val="20"/>
              </w:rPr>
              <w:t>2.41</w:t>
            </w:r>
          </w:p>
          <w:p w:rsidR="00E42B39" w:rsidRPr="00E3491F" w:rsidRDefault="00E42B39" w:rsidP="00463D64">
            <w:pPr>
              <w:pStyle w:val="TableCentre"/>
              <w:ind w:left="-57" w:right="-57"/>
              <w:rPr>
                <w:rFonts w:ascii="Arial Narrow" w:hAnsi="Arial Narrow"/>
                <w:szCs w:val="20"/>
              </w:rPr>
            </w:pPr>
            <w:r w:rsidRPr="00E3491F">
              <w:rPr>
                <w:rFonts w:ascii="Arial Narrow" w:hAnsi="Arial Narrow"/>
                <w:szCs w:val="20"/>
              </w:rPr>
              <w:t>[0.25, 23.38]</w:t>
            </w:r>
          </w:p>
        </w:tc>
      </w:tr>
    </w:tbl>
    <w:p w:rsidR="00ED5947" w:rsidRDefault="00ED5947" w:rsidP="00A50DEB">
      <w:pPr>
        <w:pStyle w:val="TableFooter"/>
        <w:ind w:left="720"/>
      </w:pPr>
      <w:proofErr w:type="gramStart"/>
      <w:r w:rsidRPr="00ED5947">
        <w:rPr>
          <w:b/>
        </w:rPr>
        <w:t>Statistically significant results bolded</w:t>
      </w:r>
      <w:r>
        <w:t>.</w:t>
      </w:r>
      <w:proofErr w:type="gramEnd"/>
    </w:p>
    <w:p w:rsidR="00A50DEB" w:rsidRDefault="00A50DEB" w:rsidP="00A50DEB">
      <w:pPr>
        <w:pStyle w:val="TableFooter"/>
        <w:ind w:left="720"/>
      </w:pPr>
      <w:r w:rsidRPr="00F53F00">
        <w:t>BRV</w:t>
      </w:r>
      <w:r>
        <w:t xml:space="preserve"> </w:t>
      </w:r>
      <w:r w:rsidRPr="00F53F00">
        <w:t>=</w:t>
      </w:r>
      <w:r>
        <w:t xml:space="preserve"> </w:t>
      </w:r>
      <w:proofErr w:type="spellStart"/>
      <w:r w:rsidRPr="00F53F00">
        <w:t>brivaracetam</w:t>
      </w:r>
      <w:proofErr w:type="spellEnd"/>
      <w:r w:rsidRPr="00F53F00">
        <w:t>; ITC</w:t>
      </w:r>
      <w:r>
        <w:t xml:space="preserve"> </w:t>
      </w:r>
      <w:r w:rsidRPr="00F53F00">
        <w:t>=</w:t>
      </w:r>
      <w:r>
        <w:t xml:space="preserve"> </w:t>
      </w:r>
      <w:r w:rsidRPr="00F53F00">
        <w:t>indirect treatment comparison; LAC</w:t>
      </w:r>
      <w:r>
        <w:t xml:space="preserve"> </w:t>
      </w:r>
      <w:r w:rsidRPr="00F53F00">
        <w:t>=</w:t>
      </w:r>
      <w:r>
        <w:t xml:space="preserve"> </w:t>
      </w:r>
      <w:proofErr w:type="spellStart"/>
      <w:r w:rsidRPr="00F53F00">
        <w:t>lacosamide</w:t>
      </w:r>
      <w:proofErr w:type="spellEnd"/>
      <w:r w:rsidRPr="00F53F00">
        <w:t>; PBO</w:t>
      </w:r>
      <w:r>
        <w:t xml:space="preserve"> </w:t>
      </w:r>
      <w:r w:rsidRPr="00F53F00">
        <w:t>=</w:t>
      </w:r>
      <w:r>
        <w:t xml:space="preserve"> </w:t>
      </w:r>
      <w:r w:rsidRPr="00F53F00">
        <w:t>placebo; RR</w:t>
      </w:r>
      <w:r>
        <w:t xml:space="preserve"> </w:t>
      </w:r>
      <w:r w:rsidRPr="00F53F00">
        <w:t>=</w:t>
      </w:r>
      <w:r>
        <w:t xml:space="preserve"> </w:t>
      </w:r>
      <w:r w:rsidRPr="00F53F00">
        <w:t>risk ratio; SAE</w:t>
      </w:r>
      <w:r>
        <w:t xml:space="preserve"> </w:t>
      </w:r>
      <w:r w:rsidRPr="00F53F00">
        <w:t>=</w:t>
      </w:r>
      <w:r>
        <w:t xml:space="preserve"> </w:t>
      </w:r>
      <w:r w:rsidRPr="00F53F00">
        <w:t>serious adverse event; TEAE</w:t>
      </w:r>
      <w:r>
        <w:t xml:space="preserve"> </w:t>
      </w:r>
      <w:r w:rsidRPr="00F53F00">
        <w:t>=</w:t>
      </w:r>
      <w:r>
        <w:t xml:space="preserve"> </w:t>
      </w:r>
      <w:r w:rsidRPr="00F53F00">
        <w:t>treatment emergent adverse event</w:t>
      </w:r>
    </w:p>
    <w:p w:rsidR="00FF2429" w:rsidRPr="00F53F00" w:rsidRDefault="00FF2429" w:rsidP="00A50DEB">
      <w:pPr>
        <w:pStyle w:val="TableFooter"/>
        <w:ind w:left="720"/>
      </w:pPr>
      <w:r>
        <w:rPr>
          <w:rStyle w:val="FootnoteReference"/>
        </w:rPr>
        <w:footnoteRef/>
      </w:r>
      <w:r>
        <w:t xml:space="preserve"> Pool S1 is pooled safety data for </w:t>
      </w:r>
      <w:proofErr w:type="spellStart"/>
      <w:r>
        <w:t>brivaracetam</w:t>
      </w:r>
      <w:proofErr w:type="spellEnd"/>
      <w:r>
        <w:t xml:space="preserve"> (Trials 1252, 1253 and 1358 which included 5-200 mg/day doses) and </w:t>
      </w:r>
      <w:proofErr w:type="spellStart"/>
      <w:r>
        <w:t>lacosamide</w:t>
      </w:r>
      <w:proofErr w:type="spellEnd"/>
      <w:r>
        <w:t xml:space="preserve"> (Trials SP667, SP754 and SP755 which included 200 – 400 mg/day doses).</w:t>
      </w:r>
    </w:p>
    <w:p w:rsidR="00E42B39" w:rsidRPr="00F53F00" w:rsidRDefault="00FF2429" w:rsidP="00E42B39">
      <w:pPr>
        <w:pStyle w:val="TableFooter"/>
        <w:ind w:left="720"/>
      </w:pPr>
      <w:proofErr w:type="gramStart"/>
      <w:r>
        <w:rPr>
          <w:vertAlign w:val="superscript"/>
        </w:rPr>
        <w:t>b</w:t>
      </w:r>
      <w:proofErr w:type="gramEnd"/>
      <w:r w:rsidR="00A50DEB">
        <w:t xml:space="preserve"> </w:t>
      </w:r>
      <w:r w:rsidR="00E42B39" w:rsidRPr="00F53F00">
        <w:t xml:space="preserve">Common TEAEs are those reported by ≥5% subjects in Pool S1 </w:t>
      </w:r>
      <w:r w:rsidR="00EF1525">
        <w:t>(</w:t>
      </w:r>
      <w:proofErr w:type="spellStart"/>
      <w:r w:rsidR="00EF1525" w:rsidRPr="00EF1525">
        <w:t>brivaracetam</w:t>
      </w:r>
      <w:proofErr w:type="spellEnd"/>
      <w:r w:rsidR="00EF1525">
        <w:t>:</w:t>
      </w:r>
      <w:r w:rsidR="00EF1525" w:rsidRPr="00EF1525">
        <w:t xml:space="preserve"> Trials 1252, 1253 and 1358 wh</w:t>
      </w:r>
      <w:r w:rsidR="00EF1525">
        <w:t>ich included 5-200</w:t>
      </w:r>
      <w:r w:rsidR="00283279">
        <w:t> </w:t>
      </w:r>
      <w:r w:rsidR="00EF1525">
        <w:t>mg/day doses</w:t>
      </w:r>
      <w:r w:rsidR="00EF1525" w:rsidRPr="00EF1525">
        <w:t xml:space="preserve"> and </w:t>
      </w:r>
      <w:proofErr w:type="spellStart"/>
      <w:r w:rsidR="00EF1525" w:rsidRPr="00EF1525">
        <w:t>lacosamide</w:t>
      </w:r>
      <w:proofErr w:type="spellEnd"/>
      <w:r w:rsidR="00EF1525">
        <w:t xml:space="preserve">: </w:t>
      </w:r>
      <w:r w:rsidR="00EF1525" w:rsidRPr="00EF1525">
        <w:t xml:space="preserve">Trials SP667, SP754 and SP755 which included 200 </w:t>
      </w:r>
      <w:r w:rsidR="00283279">
        <w:t>–</w:t>
      </w:r>
      <w:r w:rsidR="00EF1525" w:rsidRPr="00EF1525">
        <w:t xml:space="preserve"> 400</w:t>
      </w:r>
      <w:r w:rsidR="00283279">
        <w:t> </w:t>
      </w:r>
      <w:r w:rsidR="00EF1525" w:rsidRPr="00EF1525">
        <w:t xml:space="preserve">mg/day doses). </w:t>
      </w:r>
      <w:r w:rsidR="0059516B">
        <w:t>S</w:t>
      </w:r>
      <w:r w:rsidR="00EF1525">
        <w:t xml:space="preserve">afety data were sourced from </w:t>
      </w:r>
      <w:r w:rsidR="00E42B39" w:rsidRPr="00F53F00">
        <w:t xml:space="preserve">the Treatment </w:t>
      </w:r>
      <w:r w:rsidR="00EF1525" w:rsidRPr="00F53F00">
        <w:t xml:space="preserve">Phase </w:t>
      </w:r>
      <w:r w:rsidR="00E42B39" w:rsidRPr="00F53F00">
        <w:t xml:space="preserve">(i.e. </w:t>
      </w:r>
      <w:r w:rsidR="0059516B">
        <w:t>both titration and m</w:t>
      </w:r>
      <w:r w:rsidR="00E42B39" w:rsidRPr="00F53F00">
        <w:t>aintenance</w:t>
      </w:r>
      <w:r w:rsidR="0059516B">
        <w:t xml:space="preserve"> phases</w:t>
      </w:r>
      <w:r w:rsidR="00E42B39" w:rsidRPr="00F53F00">
        <w:t>).</w:t>
      </w:r>
      <w:r w:rsidR="0059516B">
        <w:t xml:space="preserve"> </w:t>
      </w:r>
    </w:p>
    <w:p w:rsidR="00E42B39" w:rsidRPr="00F53F00" w:rsidRDefault="00E42B39" w:rsidP="00E42B39">
      <w:pPr>
        <w:pStyle w:val="TableFooter"/>
        <w:ind w:left="720"/>
      </w:pPr>
      <w:r w:rsidRPr="00F53F00">
        <w:rPr>
          <w:szCs w:val="18"/>
        </w:rPr>
        <w:t>Source: Table B.66, p141 of the main body of the submission</w:t>
      </w:r>
      <w:r w:rsidRPr="00F53F00">
        <w:t>.</w:t>
      </w:r>
    </w:p>
    <w:p w:rsidR="00E42B39" w:rsidRPr="00DF30A1" w:rsidRDefault="00E42B39" w:rsidP="00E42B39">
      <w:pPr>
        <w:pStyle w:val="ListParagraph"/>
        <w:widowControl/>
        <w:rPr>
          <w:szCs w:val="22"/>
        </w:rPr>
      </w:pPr>
    </w:p>
    <w:p w:rsidR="00ED5947" w:rsidRPr="00E2098F" w:rsidRDefault="00ED5947" w:rsidP="005E4448">
      <w:pPr>
        <w:pStyle w:val="ListParagraph"/>
        <w:widowControl/>
        <w:numPr>
          <w:ilvl w:val="1"/>
          <w:numId w:val="2"/>
        </w:numPr>
        <w:rPr>
          <w:szCs w:val="22"/>
        </w:rPr>
      </w:pPr>
      <w:proofErr w:type="spellStart"/>
      <w:r w:rsidRPr="00E2098F">
        <w:t>Brivaracetam</w:t>
      </w:r>
      <w:proofErr w:type="spellEnd"/>
      <w:r w:rsidRPr="00E2098F">
        <w:t xml:space="preserve"> related TEAEs (as determined by the investigator) were substantially higher in the overall </w:t>
      </w:r>
      <w:proofErr w:type="spellStart"/>
      <w:r w:rsidRPr="00E2098F">
        <w:t>brivaracetam</w:t>
      </w:r>
      <w:proofErr w:type="spellEnd"/>
      <w:r w:rsidRPr="00E2098F">
        <w:t xml:space="preserve"> group compared with placebo (42% vs. 30%) although the majority of these were mild to moderate AEs. The most common TEAEs reported were somnolence (14% vs 9%), dizziness (11% vs 7%), and fatigue (8% vs 4%). No dose relationship was seen for TEAEs with the exception of non-serious somnolence and fatigue, the incidence of which increased </w:t>
      </w:r>
      <w:r w:rsidR="00D754F5">
        <w:t>as the dose of</w:t>
      </w:r>
      <w:r w:rsidR="00283279" w:rsidRPr="00E2098F">
        <w:t xml:space="preserve"> </w:t>
      </w:r>
      <w:proofErr w:type="spellStart"/>
      <w:r w:rsidR="00283279" w:rsidRPr="00E2098F">
        <w:t>brivaracetam</w:t>
      </w:r>
      <w:proofErr w:type="spellEnd"/>
      <w:r w:rsidR="00283279" w:rsidRPr="00E2098F">
        <w:t xml:space="preserve"> </w:t>
      </w:r>
      <w:r w:rsidR="00D754F5">
        <w:t xml:space="preserve">increased from </w:t>
      </w:r>
      <w:r w:rsidR="00283279" w:rsidRPr="00E2098F">
        <w:t>50 mg/day to 200 </w:t>
      </w:r>
      <w:r w:rsidRPr="00E2098F">
        <w:t>mg/day.</w:t>
      </w:r>
    </w:p>
    <w:p w:rsidR="00ED5947" w:rsidRPr="00E2098F" w:rsidRDefault="00ED5947" w:rsidP="00ED5947">
      <w:pPr>
        <w:pStyle w:val="ListParagraph"/>
        <w:widowControl/>
        <w:rPr>
          <w:szCs w:val="22"/>
        </w:rPr>
      </w:pPr>
    </w:p>
    <w:p w:rsidR="00ED5947" w:rsidRPr="00E2098F" w:rsidRDefault="00ED5947" w:rsidP="005E4448">
      <w:pPr>
        <w:pStyle w:val="ListParagraph"/>
        <w:widowControl/>
        <w:numPr>
          <w:ilvl w:val="1"/>
          <w:numId w:val="2"/>
        </w:numPr>
        <w:rPr>
          <w:szCs w:val="22"/>
        </w:rPr>
      </w:pPr>
      <w:proofErr w:type="spellStart"/>
      <w:r w:rsidRPr="00E2098F">
        <w:t>Lacosamide</w:t>
      </w:r>
      <w:proofErr w:type="spellEnd"/>
      <w:r w:rsidRPr="00E2098F">
        <w:t xml:space="preserve"> related TEAEs during the Treatment Phase </w:t>
      </w:r>
      <w:r w:rsidR="005D5F49" w:rsidRPr="00E2098F">
        <w:t xml:space="preserve">(both </w:t>
      </w:r>
      <w:r w:rsidR="00D754F5">
        <w:t>t</w:t>
      </w:r>
      <w:r w:rsidR="005D5F49" w:rsidRPr="00E2098F">
        <w:t xml:space="preserve">itration and </w:t>
      </w:r>
      <w:r w:rsidR="00D754F5">
        <w:t>m</w:t>
      </w:r>
      <w:r w:rsidR="005D5F49" w:rsidRPr="00E2098F">
        <w:t xml:space="preserve">aintenance) </w:t>
      </w:r>
      <w:r w:rsidRPr="00E2098F">
        <w:t xml:space="preserve">were reported by 81.0% of subjects in the total </w:t>
      </w:r>
      <w:proofErr w:type="spellStart"/>
      <w:r w:rsidRPr="00E2098F">
        <w:t>lacosamide</w:t>
      </w:r>
      <w:proofErr w:type="spellEnd"/>
      <w:r w:rsidRPr="00E2098F">
        <w:t xml:space="preserve"> group and 64.3% of subjects in the placebo group. The overall incidence of subjects reporting any TEAE increased with increasing doses of </w:t>
      </w:r>
      <w:proofErr w:type="spellStart"/>
      <w:r w:rsidRPr="00E2098F">
        <w:t>lacosamide</w:t>
      </w:r>
      <w:proofErr w:type="spellEnd"/>
      <w:r w:rsidRPr="00E2098F">
        <w:t xml:space="preserve"> (69.6%, 82.2%, and 93.6% for </w:t>
      </w:r>
      <w:proofErr w:type="spellStart"/>
      <w:r w:rsidRPr="00E2098F">
        <w:t>lacosamide</w:t>
      </w:r>
      <w:proofErr w:type="spellEnd"/>
      <w:r w:rsidRPr="00E2098F">
        <w:t xml:space="preserve"> 200</w:t>
      </w:r>
      <w:r w:rsidR="00283279" w:rsidRPr="00E2098F">
        <w:t> </w:t>
      </w:r>
      <w:r w:rsidRPr="00E2098F">
        <w:t>mg/day, 400</w:t>
      </w:r>
      <w:r w:rsidR="00283279" w:rsidRPr="00E2098F">
        <w:t> </w:t>
      </w:r>
      <w:r w:rsidRPr="00E2098F">
        <w:t>mg/day, and 600</w:t>
      </w:r>
      <w:r w:rsidR="00283279" w:rsidRPr="00E2098F">
        <w:t> </w:t>
      </w:r>
      <w:r w:rsidRPr="00E2098F">
        <w:t xml:space="preserve">mg/day, respectively). The most frequent AEs occurring in ≥5% of </w:t>
      </w:r>
      <w:proofErr w:type="spellStart"/>
      <w:r w:rsidRPr="00E2098F">
        <w:t>lacosamide</w:t>
      </w:r>
      <w:proofErr w:type="spellEnd"/>
      <w:r w:rsidRPr="00E2098F">
        <w:t>-treated subjects compared with placebo were dizziness (31% vs. 8%), headache (13</w:t>
      </w:r>
      <w:r w:rsidR="00C9380F">
        <w:t>% vs. 9%), and nausea (11% v</w:t>
      </w:r>
      <w:r w:rsidRPr="00E2098F">
        <w:t>s</w:t>
      </w:r>
      <w:r w:rsidR="00C9380F">
        <w:t>.</w:t>
      </w:r>
      <w:r w:rsidRPr="00E2098F">
        <w:t xml:space="preserve"> 4%).</w:t>
      </w:r>
    </w:p>
    <w:p w:rsidR="00E42B39" w:rsidRPr="00E2098F" w:rsidRDefault="00E42B39" w:rsidP="00E42B39">
      <w:pPr>
        <w:pStyle w:val="ListParagraph"/>
        <w:rPr>
          <w:szCs w:val="22"/>
        </w:rPr>
      </w:pPr>
    </w:p>
    <w:p w:rsidR="00E42B39" w:rsidRPr="008A0BAE" w:rsidRDefault="00E42B39" w:rsidP="005E4448">
      <w:pPr>
        <w:pStyle w:val="ListParagraph"/>
        <w:widowControl/>
        <w:numPr>
          <w:ilvl w:val="1"/>
          <w:numId w:val="2"/>
        </w:numPr>
        <w:rPr>
          <w:i/>
          <w:szCs w:val="22"/>
        </w:rPr>
      </w:pPr>
      <w:r w:rsidRPr="00E2098F">
        <w:t xml:space="preserve">There were no significant differences in TEAEs between </w:t>
      </w:r>
      <w:proofErr w:type="spellStart"/>
      <w:r w:rsidRPr="00E2098F">
        <w:t>brivaracetam</w:t>
      </w:r>
      <w:proofErr w:type="spellEnd"/>
      <w:r w:rsidRPr="00E2098F">
        <w:t xml:space="preserve"> and </w:t>
      </w:r>
      <w:proofErr w:type="spellStart"/>
      <w:r w:rsidRPr="00E2098F">
        <w:t>lacosamide</w:t>
      </w:r>
      <w:proofErr w:type="spellEnd"/>
      <w:r w:rsidRPr="00E2098F">
        <w:t xml:space="preserve"> from pooled safety data </w:t>
      </w:r>
      <w:r w:rsidR="00D754F5">
        <w:t>for</w:t>
      </w:r>
      <w:r w:rsidR="00D754F5" w:rsidRPr="00E2098F">
        <w:t xml:space="preserve"> </w:t>
      </w:r>
      <w:r w:rsidRPr="00E2098F">
        <w:t xml:space="preserve">the key trials. </w:t>
      </w:r>
      <w:r w:rsidR="00D754F5">
        <w:t>T</w:t>
      </w:r>
      <w:r w:rsidRPr="00E2098F">
        <w:t xml:space="preserve">here are no long term safety data for </w:t>
      </w:r>
      <w:proofErr w:type="spellStart"/>
      <w:r w:rsidRPr="00E2098F">
        <w:t>brivaracetam</w:t>
      </w:r>
      <w:proofErr w:type="spellEnd"/>
      <w:r w:rsidRPr="00E2098F">
        <w:t>.</w:t>
      </w:r>
    </w:p>
    <w:p w:rsidR="00E42B39" w:rsidRPr="00882085" w:rsidRDefault="00E42B39" w:rsidP="00E42B39"/>
    <w:p w:rsidR="00ED5947" w:rsidRPr="00C9380F" w:rsidRDefault="00ED5947" w:rsidP="00944D88">
      <w:pPr>
        <w:pStyle w:val="Heading3"/>
      </w:pPr>
      <w:bookmarkStart w:id="19" w:name="_Toc413139281"/>
      <w:bookmarkStart w:id="20" w:name="_Toc450135179"/>
      <w:bookmarkStart w:id="21" w:name="_Toc413139282"/>
      <w:r w:rsidRPr="00C9380F">
        <w:t>Clinical claim</w:t>
      </w:r>
      <w:bookmarkEnd w:id="19"/>
      <w:bookmarkEnd w:id="20"/>
    </w:p>
    <w:p w:rsidR="00ED5947" w:rsidRPr="00882085" w:rsidRDefault="00ED5947" w:rsidP="00ED5947">
      <w:pPr>
        <w:ind w:left="720" w:hanging="720"/>
        <w:rPr>
          <w:szCs w:val="22"/>
        </w:rPr>
      </w:pPr>
    </w:p>
    <w:p w:rsidR="00ED5947" w:rsidRPr="00E2098F" w:rsidRDefault="00ED5947" w:rsidP="005E4448">
      <w:pPr>
        <w:pStyle w:val="ListParagraph"/>
        <w:widowControl/>
        <w:numPr>
          <w:ilvl w:val="1"/>
          <w:numId w:val="2"/>
        </w:numPr>
        <w:rPr>
          <w:szCs w:val="22"/>
        </w:rPr>
      </w:pPr>
      <w:r w:rsidRPr="00E2098F">
        <w:t>The submission describe</w:t>
      </w:r>
      <w:r w:rsidR="005D5F49" w:rsidRPr="00E2098F">
        <w:t>d</w:t>
      </w:r>
      <w:r w:rsidRPr="00E2098F">
        <w:t xml:space="preserve"> </w:t>
      </w:r>
      <w:proofErr w:type="spellStart"/>
      <w:r w:rsidRPr="00E2098F">
        <w:t>brivaracetam</w:t>
      </w:r>
      <w:proofErr w:type="spellEnd"/>
      <w:r w:rsidRPr="00E2098F">
        <w:t xml:space="preserve"> as non-inferio</w:t>
      </w:r>
      <w:r w:rsidR="00C9380F">
        <w:t xml:space="preserve">r to </w:t>
      </w:r>
      <w:proofErr w:type="spellStart"/>
      <w:r w:rsidR="00C9380F">
        <w:t>lacosamide</w:t>
      </w:r>
      <w:proofErr w:type="spellEnd"/>
      <w:r w:rsidR="00C9380F">
        <w:t xml:space="preserve"> in terms of</w:t>
      </w:r>
      <w:r w:rsidRPr="00E2098F">
        <w:t xml:space="preserve"> comparative effectiveness and </w:t>
      </w:r>
      <w:r w:rsidR="00587FC6">
        <w:t>comparative safety. The evaluation considered the</w:t>
      </w:r>
      <w:r w:rsidR="00C9380F">
        <w:t xml:space="preserve"> claim wa</w:t>
      </w:r>
      <w:r w:rsidRPr="00E2098F">
        <w:t>s not adequately supported given that:</w:t>
      </w:r>
    </w:p>
    <w:p w:rsidR="00ED5947" w:rsidRPr="00E2098F" w:rsidRDefault="00ED5947" w:rsidP="005E4448">
      <w:pPr>
        <w:pStyle w:val="ListParagraph"/>
        <w:widowControl/>
        <w:numPr>
          <w:ilvl w:val="0"/>
          <w:numId w:val="5"/>
        </w:numPr>
        <w:rPr>
          <w:szCs w:val="22"/>
        </w:rPr>
      </w:pPr>
      <w:r w:rsidRPr="00E2098F">
        <w:rPr>
          <w:szCs w:val="22"/>
        </w:rPr>
        <w:t xml:space="preserve">There were concerns regarding the transitivity of the populations in the </w:t>
      </w:r>
      <w:proofErr w:type="spellStart"/>
      <w:r w:rsidRPr="00E2098F">
        <w:rPr>
          <w:szCs w:val="22"/>
        </w:rPr>
        <w:t>brivaracetam</w:t>
      </w:r>
      <w:proofErr w:type="spellEnd"/>
      <w:r w:rsidRPr="00E2098F">
        <w:rPr>
          <w:szCs w:val="22"/>
        </w:rPr>
        <w:t xml:space="preserve"> and </w:t>
      </w:r>
      <w:proofErr w:type="spellStart"/>
      <w:r w:rsidRPr="00E2098F">
        <w:rPr>
          <w:szCs w:val="22"/>
        </w:rPr>
        <w:t>lacosamide</w:t>
      </w:r>
      <w:proofErr w:type="spellEnd"/>
      <w:r w:rsidRPr="00E2098F">
        <w:rPr>
          <w:szCs w:val="22"/>
        </w:rPr>
        <w:t xml:space="preserve"> trials included in the indirect comparison. There were differences </w:t>
      </w:r>
      <w:r w:rsidR="00C9380F">
        <w:rPr>
          <w:szCs w:val="22"/>
        </w:rPr>
        <w:t>across</w:t>
      </w:r>
      <w:r w:rsidRPr="00E2098F">
        <w:rPr>
          <w:szCs w:val="22"/>
        </w:rPr>
        <w:t xml:space="preserve"> the trials with respect to</w:t>
      </w:r>
      <w:r w:rsidR="000A2DA8" w:rsidRPr="00E2098F">
        <w:rPr>
          <w:szCs w:val="22"/>
        </w:rPr>
        <w:t xml:space="preserve"> potential</w:t>
      </w:r>
      <w:r w:rsidRPr="00E2098F">
        <w:rPr>
          <w:szCs w:val="22"/>
        </w:rPr>
        <w:t xml:space="preserve"> effect mod</w:t>
      </w:r>
      <w:r w:rsidR="00C9380F">
        <w:rPr>
          <w:szCs w:val="22"/>
        </w:rPr>
        <w:t>ifiers such as seizure type,</w:t>
      </w:r>
      <w:r w:rsidRPr="00E2098F">
        <w:rPr>
          <w:szCs w:val="22"/>
        </w:rPr>
        <w:t xml:space="preserve"> the number and type of concomitant AED</w:t>
      </w:r>
      <w:r w:rsidR="00040BB1">
        <w:rPr>
          <w:szCs w:val="22"/>
        </w:rPr>
        <w:t>s and the number of prior AEDs</w:t>
      </w:r>
      <w:r w:rsidRPr="00E2098F">
        <w:rPr>
          <w:szCs w:val="22"/>
        </w:rPr>
        <w:t xml:space="preserve">. </w:t>
      </w:r>
    </w:p>
    <w:p w:rsidR="00ED5947" w:rsidRDefault="00C9380F" w:rsidP="005E4448">
      <w:pPr>
        <w:pStyle w:val="ListParagraph"/>
        <w:widowControl/>
        <w:numPr>
          <w:ilvl w:val="0"/>
          <w:numId w:val="5"/>
        </w:numPr>
      </w:pPr>
      <w:r>
        <w:t>The trials were of short</w:t>
      </w:r>
      <w:r w:rsidR="00ED5947" w:rsidRPr="00E2098F">
        <w:t xml:space="preserve"> </w:t>
      </w:r>
      <w:proofErr w:type="gramStart"/>
      <w:r w:rsidR="00ED5947" w:rsidRPr="00E2098F">
        <w:t>duration,</w:t>
      </w:r>
      <w:proofErr w:type="gramEnd"/>
      <w:r w:rsidR="00ED5947" w:rsidRPr="00E2098F">
        <w:t xml:space="preserve"> therefore </w:t>
      </w:r>
      <w:r>
        <w:t>the efficacy and safety of long-</w:t>
      </w:r>
      <w:r w:rsidR="00ED5947" w:rsidRPr="00E2098F">
        <w:t xml:space="preserve">term use of </w:t>
      </w:r>
      <w:proofErr w:type="spellStart"/>
      <w:r w:rsidR="00ED5947" w:rsidRPr="00E2098F">
        <w:t>brivaracetam</w:t>
      </w:r>
      <w:proofErr w:type="spellEnd"/>
      <w:r w:rsidR="00ED5947" w:rsidRPr="00E2098F">
        <w:t xml:space="preserve"> are unknown. This is particular relevant given that the proposed treatment is a life-long therapy. </w:t>
      </w:r>
    </w:p>
    <w:p w:rsidR="00040BB1" w:rsidRPr="00E2098F" w:rsidRDefault="00040BB1" w:rsidP="00040BB1">
      <w:pPr>
        <w:pStyle w:val="ListParagraph"/>
        <w:widowControl/>
        <w:ind w:left="1440"/>
      </w:pPr>
    </w:p>
    <w:p w:rsidR="00ED5947" w:rsidRPr="00040BB1" w:rsidRDefault="00040BB1" w:rsidP="00040BB1">
      <w:pPr>
        <w:pStyle w:val="ListParagraph"/>
        <w:widowControl/>
        <w:numPr>
          <w:ilvl w:val="1"/>
          <w:numId w:val="2"/>
        </w:numPr>
        <w:rPr>
          <w:rStyle w:val="FontUnderlined"/>
          <w:rFonts w:ascii="Arial" w:hAnsi="Arial"/>
          <w:sz w:val="22"/>
          <w:u w:val="none"/>
        </w:rPr>
      </w:pPr>
      <w:r w:rsidRPr="00040BB1">
        <w:rPr>
          <w:rStyle w:val="FontUnderlined"/>
          <w:rFonts w:ascii="Arial" w:hAnsi="Arial"/>
          <w:sz w:val="22"/>
          <w:u w:val="none"/>
        </w:rPr>
        <w:t xml:space="preserve">The PBAC considered the efficacy claim was not adequately supported given the </w:t>
      </w:r>
      <w:proofErr w:type="spellStart"/>
      <w:r w:rsidRPr="00040BB1">
        <w:rPr>
          <w:szCs w:val="22"/>
        </w:rPr>
        <w:t>brivaracetam</w:t>
      </w:r>
      <w:proofErr w:type="spellEnd"/>
      <w:r w:rsidRPr="00040BB1">
        <w:rPr>
          <w:szCs w:val="22"/>
        </w:rPr>
        <w:t xml:space="preserve"> </w:t>
      </w:r>
      <w:r w:rsidRPr="00040BB1">
        <w:rPr>
          <w:rStyle w:val="FontUnderlined"/>
          <w:rFonts w:ascii="Arial" w:hAnsi="Arial"/>
          <w:sz w:val="22"/>
          <w:u w:val="none"/>
        </w:rPr>
        <w:t xml:space="preserve">trials included a less resistant patient population compared with the </w:t>
      </w:r>
      <w:proofErr w:type="spellStart"/>
      <w:r w:rsidRPr="00040BB1">
        <w:rPr>
          <w:rStyle w:val="FontUnderlined"/>
          <w:rFonts w:ascii="Arial" w:hAnsi="Arial"/>
          <w:sz w:val="22"/>
          <w:u w:val="none"/>
        </w:rPr>
        <w:t>lacosamide</w:t>
      </w:r>
      <w:proofErr w:type="spellEnd"/>
      <w:r w:rsidRPr="00040BB1">
        <w:rPr>
          <w:rStyle w:val="FontUnderlined"/>
          <w:rFonts w:ascii="Arial" w:hAnsi="Arial"/>
          <w:sz w:val="22"/>
          <w:u w:val="none"/>
        </w:rPr>
        <w:t xml:space="preserve"> trials. </w:t>
      </w:r>
      <w:r w:rsidR="003B37F8">
        <w:rPr>
          <w:rStyle w:val="FontUnderlined"/>
          <w:rFonts w:ascii="Arial" w:hAnsi="Arial"/>
          <w:sz w:val="22"/>
          <w:u w:val="none"/>
        </w:rPr>
        <w:t xml:space="preserve">The PBAC further noted </w:t>
      </w:r>
      <w:r w:rsidR="003B37F8">
        <w:rPr>
          <w:bCs/>
          <w:lang w:val="en-GB"/>
        </w:rPr>
        <w:t>that t</w:t>
      </w:r>
      <w:r w:rsidR="003B37F8" w:rsidRPr="004A7D24">
        <w:rPr>
          <w:bCs/>
          <w:lang w:val="en-GB"/>
        </w:rPr>
        <w:t>he submission</w:t>
      </w:r>
      <w:r w:rsidR="003B37F8" w:rsidRPr="00FB785A">
        <w:t xml:space="preserve"> </w:t>
      </w:r>
      <w:r w:rsidR="003B37F8">
        <w:t xml:space="preserve">provided a non-inferiority margin for the comparison of </w:t>
      </w:r>
      <w:proofErr w:type="spellStart"/>
      <w:r w:rsidR="003B37F8" w:rsidRPr="00B413C0">
        <w:rPr>
          <w:bCs/>
          <w:lang w:val="en-GB"/>
        </w:rPr>
        <w:t>brivaracetam</w:t>
      </w:r>
      <w:proofErr w:type="spellEnd"/>
      <w:r w:rsidR="003B37F8" w:rsidRPr="00B413C0">
        <w:rPr>
          <w:bCs/>
          <w:lang w:val="en-GB"/>
        </w:rPr>
        <w:t xml:space="preserve"> </w:t>
      </w:r>
      <w:r w:rsidR="003B37F8">
        <w:rPr>
          <w:bCs/>
          <w:lang w:val="en-GB"/>
        </w:rPr>
        <w:t>and placebo, but not</w:t>
      </w:r>
      <w:r w:rsidR="003B37F8" w:rsidRPr="00FB785A">
        <w:rPr>
          <w:bCs/>
          <w:lang w:val="en-GB"/>
        </w:rPr>
        <w:t xml:space="preserve"> for </w:t>
      </w:r>
      <w:r w:rsidR="003B37F8">
        <w:rPr>
          <w:bCs/>
          <w:lang w:val="en-GB"/>
        </w:rPr>
        <w:t xml:space="preserve">the </w:t>
      </w:r>
      <w:r w:rsidR="003B37F8" w:rsidRPr="00FB785A">
        <w:rPr>
          <w:bCs/>
          <w:lang w:val="en-GB"/>
        </w:rPr>
        <w:t xml:space="preserve">comparison with </w:t>
      </w:r>
      <w:proofErr w:type="spellStart"/>
      <w:r w:rsidR="003B37F8" w:rsidRPr="00FB785A">
        <w:rPr>
          <w:bCs/>
          <w:lang w:val="en-GB"/>
        </w:rPr>
        <w:t>lacosamide</w:t>
      </w:r>
      <w:proofErr w:type="spellEnd"/>
      <w:r w:rsidR="003B37F8">
        <w:rPr>
          <w:bCs/>
          <w:lang w:val="en-GB"/>
        </w:rPr>
        <w:t xml:space="preserve">. </w:t>
      </w:r>
      <w:r w:rsidRPr="00040BB1">
        <w:rPr>
          <w:rStyle w:val="FontUnderlined"/>
          <w:rFonts w:ascii="Arial" w:hAnsi="Arial"/>
          <w:sz w:val="22"/>
          <w:u w:val="none"/>
        </w:rPr>
        <w:t xml:space="preserve">The PBAC considered the safety claim was not adequately supported given the short-term trials used as evidence and that </w:t>
      </w:r>
      <w:r>
        <w:rPr>
          <w:rStyle w:val="FontUnderlined"/>
          <w:rFonts w:ascii="Arial" w:hAnsi="Arial"/>
          <w:sz w:val="22"/>
          <w:u w:val="none"/>
        </w:rPr>
        <w:t>t</w:t>
      </w:r>
      <w:r w:rsidRPr="00040BB1">
        <w:rPr>
          <w:rStyle w:val="FontUnderlined"/>
          <w:rFonts w:ascii="Arial" w:hAnsi="Arial"/>
          <w:sz w:val="22"/>
          <w:u w:val="none"/>
        </w:rPr>
        <w:t xml:space="preserve">here is known psychological issues (suicidal thoughts) with </w:t>
      </w:r>
      <w:proofErr w:type="spellStart"/>
      <w:r w:rsidR="00BF02EA" w:rsidRPr="00040BB1">
        <w:rPr>
          <w:szCs w:val="22"/>
        </w:rPr>
        <w:t>brivaracetam</w:t>
      </w:r>
      <w:proofErr w:type="spellEnd"/>
      <w:r w:rsidR="00BF02EA" w:rsidRPr="00040BB1">
        <w:rPr>
          <w:szCs w:val="22"/>
        </w:rPr>
        <w:t xml:space="preserve"> </w:t>
      </w:r>
      <w:r w:rsidRPr="00040BB1">
        <w:rPr>
          <w:rStyle w:val="FontUnderlined"/>
          <w:rFonts w:ascii="Arial" w:hAnsi="Arial"/>
          <w:sz w:val="22"/>
          <w:u w:val="none"/>
        </w:rPr>
        <w:t>and other AEDs</w:t>
      </w:r>
      <w:r>
        <w:rPr>
          <w:rStyle w:val="FontUnderlined"/>
          <w:rFonts w:ascii="Arial" w:hAnsi="Arial"/>
          <w:sz w:val="22"/>
          <w:u w:val="none"/>
        </w:rPr>
        <w:t>.</w:t>
      </w:r>
      <w:r w:rsidR="003B37F8">
        <w:rPr>
          <w:rStyle w:val="FontUnderlined"/>
          <w:rFonts w:ascii="Arial" w:hAnsi="Arial"/>
          <w:sz w:val="22"/>
          <w:u w:val="none"/>
        </w:rPr>
        <w:t xml:space="preserve"> </w:t>
      </w:r>
    </w:p>
    <w:p w:rsidR="00864C14" w:rsidRDefault="00864C14" w:rsidP="00864C14">
      <w:pPr>
        <w:widowControl/>
      </w:pPr>
    </w:p>
    <w:p w:rsidR="0031770A" w:rsidRPr="00006C26" w:rsidRDefault="00040BB1" w:rsidP="00040BB1">
      <w:pPr>
        <w:pStyle w:val="ListParagraph"/>
        <w:widowControl/>
        <w:numPr>
          <w:ilvl w:val="1"/>
          <w:numId w:val="2"/>
        </w:numPr>
      </w:pPr>
      <w:r>
        <w:t>The PBAC noted that there was n</w:t>
      </w:r>
      <w:r w:rsidRPr="00040BB1">
        <w:t xml:space="preserve">o </w:t>
      </w:r>
      <w:r>
        <w:t>clinical claim</w:t>
      </w:r>
      <w:r w:rsidRPr="00040BB1">
        <w:t xml:space="preserve">, nor any data provided, for the second requested listing for patients responding to </w:t>
      </w:r>
      <w:proofErr w:type="spellStart"/>
      <w:r w:rsidRPr="00040BB1">
        <w:t>levetiracetam</w:t>
      </w:r>
      <w:proofErr w:type="spellEnd"/>
      <w:r w:rsidRPr="00040BB1">
        <w:t xml:space="preserve"> but not tolerating it</w:t>
      </w:r>
      <w:r w:rsidR="00864C14" w:rsidRPr="00006C26">
        <w:t xml:space="preserve">. </w:t>
      </w:r>
    </w:p>
    <w:p w:rsidR="00E42B39" w:rsidRDefault="00E42B39" w:rsidP="007A258D">
      <w:pPr>
        <w:widowControl/>
        <w:rPr>
          <w:szCs w:val="22"/>
        </w:rPr>
      </w:pPr>
    </w:p>
    <w:p w:rsidR="00165DEC" w:rsidRDefault="00165DEC" w:rsidP="00165DEC">
      <w:pPr>
        <w:widowControl/>
        <w:ind w:firstLine="720"/>
        <w:rPr>
          <w:szCs w:val="22"/>
        </w:rPr>
      </w:pPr>
      <w:r w:rsidRPr="00464713">
        <w:rPr>
          <w:bCs/>
          <w:i/>
          <w:szCs w:val="22"/>
        </w:rPr>
        <w:t>For more detail on PBAC’s view, see section 7 “PBAC outcome”</w:t>
      </w:r>
    </w:p>
    <w:p w:rsidR="00165DEC" w:rsidRPr="007A258D" w:rsidRDefault="00165DEC" w:rsidP="007A258D">
      <w:pPr>
        <w:widowControl/>
        <w:rPr>
          <w:szCs w:val="22"/>
        </w:rPr>
      </w:pPr>
    </w:p>
    <w:p w:rsidR="00E42B39" w:rsidRPr="005E02C5" w:rsidRDefault="00E42B39" w:rsidP="00944D88">
      <w:pPr>
        <w:pStyle w:val="Heading3"/>
      </w:pPr>
      <w:bookmarkStart w:id="22" w:name="_Toc450135180"/>
      <w:r w:rsidRPr="005E02C5">
        <w:t>Economic analysis</w:t>
      </w:r>
      <w:bookmarkEnd w:id="21"/>
      <w:bookmarkEnd w:id="22"/>
      <w:r w:rsidRPr="005E02C5">
        <w:t xml:space="preserve"> </w:t>
      </w:r>
    </w:p>
    <w:p w:rsidR="00E42B39" w:rsidRPr="00A86E8B" w:rsidRDefault="00E42B39" w:rsidP="00E42B39">
      <w:pPr>
        <w:widowControl/>
        <w:rPr>
          <w:szCs w:val="22"/>
        </w:rPr>
      </w:pPr>
    </w:p>
    <w:p w:rsidR="007C3163" w:rsidRPr="00006C26" w:rsidRDefault="005E02C5" w:rsidP="00BF02EA">
      <w:pPr>
        <w:pStyle w:val="ListParagraph"/>
        <w:widowControl/>
        <w:numPr>
          <w:ilvl w:val="1"/>
          <w:numId w:val="2"/>
        </w:numPr>
      </w:pPr>
      <w:r>
        <w:t xml:space="preserve">The submission presented a cost minimisation analysis of </w:t>
      </w:r>
      <w:proofErr w:type="spellStart"/>
      <w:r>
        <w:t>brivaracetam</w:t>
      </w:r>
      <w:proofErr w:type="spellEnd"/>
      <w:r>
        <w:t xml:space="preserve"> and </w:t>
      </w:r>
      <w:proofErr w:type="spellStart"/>
      <w:r>
        <w:t>lacosamide</w:t>
      </w:r>
      <w:proofErr w:type="spellEnd"/>
      <w:r>
        <w:t xml:space="preserve">. </w:t>
      </w:r>
      <w:r w:rsidR="00413450">
        <w:t xml:space="preserve">The PBAC considered the cost minimisation analysis </w:t>
      </w:r>
      <w:r w:rsidR="00BF02EA">
        <w:t>versus</w:t>
      </w:r>
      <w:r w:rsidR="00413450">
        <w:t xml:space="preserve"> </w:t>
      </w:r>
      <w:proofErr w:type="spellStart"/>
      <w:r w:rsidR="00413450">
        <w:t>lacosamide</w:t>
      </w:r>
      <w:proofErr w:type="spellEnd"/>
      <w:r w:rsidR="00413450">
        <w:t xml:space="preserve"> was not appropriate given the lack of evidence comparing the two treatments in patients of similar ‘resistant’ epilepsy.</w:t>
      </w:r>
      <w:r w:rsidR="00413450" w:rsidRPr="00006C26">
        <w:t xml:space="preserve"> </w:t>
      </w:r>
      <w:r w:rsidR="00413450">
        <w:t xml:space="preserve">The ESC </w:t>
      </w:r>
      <w:r w:rsidR="00370AC6">
        <w:t xml:space="preserve">and PBAC </w:t>
      </w:r>
      <w:r w:rsidR="00413450">
        <w:t>noted</w:t>
      </w:r>
      <w:r w:rsidR="007C3163" w:rsidRPr="00006C26">
        <w:t xml:space="preserve"> the potential for other PBS listed AEDs to be</w:t>
      </w:r>
      <w:r>
        <w:t xml:space="preserve"> alternative therapies</w:t>
      </w:r>
      <w:r w:rsidR="007C3163" w:rsidRPr="00006C26">
        <w:t xml:space="preserve"> for </w:t>
      </w:r>
      <w:proofErr w:type="spellStart"/>
      <w:r w:rsidR="007C3163" w:rsidRPr="00006C26">
        <w:t>briva</w:t>
      </w:r>
      <w:r w:rsidR="004759CF" w:rsidRPr="00006C26">
        <w:t>ra</w:t>
      </w:r>
      <w:r w:rsidR="007C3163" w:rsidRPr="00006C26">
        <w:t>cetam</w:t>
      </w:r>
      <w:proofErr w:type="spellEnd"/>
      <w:r w:rsidR="007C3163" w:rsidRPr="00006C26">
        <w:t xml:space="preserve">, </w:t>
      </w:r>
      <w:r w:rsidR="00413450">
        <w:t xml:space="preserve">and therefore </w:t>
      </w:r>
      <w:r w:rsidR="007C3163" w:rsidRPr="00006C26">
        <w:t xml:space="preserve">a different </w:t>
      </w:r>
      <w:r w:rsidR="003B37F8">
        <w:t>economic</w:t>
      </w:r>
      <w:r w:rsidR="007C3163" w:rsidRPr="00006C26">
        <w:t xml:space="preserve"> analysis may be appropriate.</w:t>
      </w:r>
    </w:p>
    <w:p w:rsidR="007C3163" w:rsidRDefault="007C3163" w:rsidP="007C3163">
      <w:pPr>
        <w:pStyle w:val="ListParagraph"/>
        <w:widowControl/>
      </w:pPr>
    </w:p>
    <w:p w:rsidR="00DC5B87" w:rsidRPr="00E2098F" w:rsidRDefault="00DC5B87" w:rsidP="005E4448">
      <w:pPr>
        <w:pStyle w:val="ListParagraph"/>
        <w:widowControl/>
        <w:numPr>
          <w:ilvl w:val="1"/>
          <w:numId w:val="2"/>
        </w:numPr>
        <w:rPr>
          <w:szCs w:val="22"/>
        </w:rPr>
      </w:pPr>
      <w:r w:rsidRPr="00E2098F">
        <w:t xml:space="preserve">The </w:t>
      </w:r>
      <w:proofErr w:type="spellStart"/>
      <w:r w:rsidRPr="00E2098F">
        <w:t>equi</w:t>
      </w:r>
      <w:proofErr w:type="spellEnd"/>
      <w:r w:rsidRPr="00E2098F">
        <w:t xml:space="preserve">-effective doses were estimated </w:t>
      </w:r>
      <w:r w:rsidR="00370AC6">
        <w:t xml:space="preserve">in the submission </w:t>
      </w:r>
      <w:r w:rsidRPr="00E2098F">
        <w:t xml:space="preserve">as </w:t>
      </w:r>
      <w:proofErr w:type="spellStart"/>
      <w:r w:rsidRPr="00E2098F">
        <w:t>brivaracetam</w:t>
      </w:r>
      <w:proofErr w:type="spellEnd"/>
      <w:r w:rsidRPr="00E2098F">
        <w:t xml:space="preserve"> 124.55</w:t>
      </w:r>
      <w:r w:rsidR="00283279" w:rsidRPr="00E2098F">
        <w:t> </w:t>
      </w:r>
      <w:r w:rsidRPr="00E2098F">
        <w:t xml:space="preserve">mg daily and </w:t>
      </w:r>
      <w:proofErr w:type="spellStart"/>
      <w:r w:rsidRPr="00E2098F">
        <w:t>lacosamide</w:t>
      </w:r>
      <w:proofErr w:type="spellEnd"/>
      <w:r w:rsidRPr="00E2098F">
        <w:t xml:space="preserve"> 291.35</w:t>
      </w:r>
      <w:r w:rsidR="00283279" w:rsidRPr="00E2098F">
        <w:t> </w:t>
      </w:r>
      <w:r w:rsidRPr="00E2098F">
        <w:t xml:space="preserve">mg daily. The steady-state dose of </w:t>
      </w:r>
      <w:proofErr w:type="spellStart"/>
      <w:r w:rsidRPr="00E2098F">
        <w:t>brivaracetam</w:t>
      </w:r>
      <w:proofErr w:type="spellEnd"/>
      <w:r w:rsidRPr="00E2098F">
        <w:t xml:space="preserve"> was derived from Pool S4 where patients from Phase 2 or 3 studies</w:t>
      </w:r>
      <w:r w:rsidR="00413450">
        <w:t>,</w:t>
      </w:r>
      <w:r w:rsidRPr="00E2098F">
        <w:t xml:space="preserve"> and the long-term follow-up studies</w:t>
      </w:r>
      <w:r w:rsidR="00413450">
        <w:t>,</w:t>
      </w:r>
      <w:r w:rsidRPr="00E2098F">
        <w:t xml:space="preserve"> were allowed individualised dosing up to </w:t>
      </w:r>
      <w:proofErr w:type="spellStart"/>
      <w:r w:rsidRPr="00E2098F">
        <w:t>brivaracetam</w:t>
      </w:r>
      <w:proofErr w:type="spellEnd"/>
      <w:r w:rsidRPr="00E2098F">
        <w:t xml:space="preserve"> 200</w:t>
      </w:r>
      <w:r w:rsidR="00283279" w:rsidRPr="00E2098F">
        <w:t> </w:t>
      </w:r>
      <w:r w:rsidRPr="00E2098F">
        <w:t xml:space="preserve">mg/day. The dose distribution at Month 24 in Pool S4 </w:t>
      </w:r>
      <w:r w:rsidR="003B37F8">
        <w:t>was</w:t>
      </w:r>
      <w:r w:rsidRPr="00E2098F">
        <w:t xml:space="preserve"> used in the base case analysis. </w:t>
      </w:r>
      <w:r w:rsidR="00370AC6">
        <w:t>The d</w:t>
      </w:r>
      <w:r w:rsidRPr="00E2098F">
        <w:t xml:space="preserve">ose distribution </w:t>
      </w:r>
      <w:r w:rsidR="00370AC6">
        <w:t>for</w:t>
      </w:r>
      <w:r w:rsidRPr="00E2098F">
        <w:t xml:space="preserve"> </w:t>
      </w:r>
      <w:proofErr w:type="spellStart"/>
      <w:r w:rsidRPr="00E2098F">
        <w:t>lacosamide</w:t>
      </w:r>
      <w:proofErr w:type="spellEnd"/>
      <w:r w:rsidRPr="00E2098F">
        <w:t xml:space="preserve"> </w:t>
      </w:r>
      <w:r w:rsidR="003B37F8">
        <w:t>was</w:t>
      </w:r>
      <w:r w:rsidRPr="00E2098F">
        <w:t xml:space="preserve"> obtained from the number of </w:t>
      </w:r>
      <w:proofErr w:type="spellStart"/>
      <w:r w:rsidRPr="00E2098F">
        <w:t>lacosamide</w:t>
      </w:r>
      <w:proofErr w:type="spellEnd"/>
      <w:r w:rsidRPr="00E2098F">
        <w:t xml:space="preserve"> PBS items processed </w:t>
      </w:r>
      <w:r w:rsidR="00370AC6" w:rsidRPr="00E2098F">
        <w:t xml:space="preserve">in the 2014-2015 financial year </w:t>
      </w:r>
      <w:r w:rsidR="00370AC6">
        <w:t>for the continuing treatment phase listing</w:t>
      </w:r>
      <w:r w:rsidRPr="00E2098F">
        <w:t xml:space="preserve">. </w:t>
      </w:r>
    </w:p>
    <w:p w:rsidR="00DC5B87" w:rsidRPr="00E2098F" w:rsidRDefault="00DC5B87" w:rsidP="00DC5B87">
      <w:pPr>
        <w:pStyle w:val="ListParagraph"/>
        <w:rPr>
          <w:szCs w:val="22"/>
        </w:rPr>
      </w:pPr>
    </w:p>
    <w:p w:rsidR="00DC5B87" w:rsidRPr="00E2098F" w:rsidRDefault="00DC5B87" w:rsidP="005E4448">
      <w:pPr>
        <w:pStyle w:val="ListParagraph"/>
        <w:widowControl/>
        <w:numPr>
          <w:ilvl w:val="1"/>
          <w:numId w:val="2"/>
        </w:numPr>
        <w:rPr>
          <w:szCs w:val="22"/>
        </w:rPr>
      </w:pPr>
      <w:r w:rsidRPr="00E2098F">
        <w:t>The submission’s approach to determin</w:t>
      </w:r>
      <w:r w:rsidR="004A67B3" w:rsidRPr="00E2098F">
        <w:t>ing</w:t>
      </w:r>
      <w:r w:rsidRPr="00E2098F">
        <w:t xml:space="preserve"> the dose relativity between </w:t>
      </w:r>
      <w:proofErr w:type="spellStart"/>
      <w:r w:rsidRPr="00E2098F">
        <w:t>brivaracetam</w:t>
      </w:r>
      <w:proofErr w:type="spellEnd"/>
      <w:r w:rsidRPr="00E2098F">
        <w:t xml:space="preserve"> and </w:t>
      </w:r>
      <w:proofErr w:type="spellStart"/>
      <w:r w:rsidRPr="00E2098F">
        <w:t>lacosamid</w:t>
      </w:r>
      <w:r w:rsidR="003B37F8">
        <w:t>e</w:t>
      </w:r>
      <w:proofErr w:type="spellEnd"/>
      <w:r w:rsidR="003B37F8">
        <w:t xml:space="preserve"> in the refractory population wa</w:t>
      </w:r>
      <w:r w:rsidRPr="00E2098F">
        <w:t xml:space="preserve">s not </w:t>
      </w:r>
      <w:r w:rsidR="003B37F8">
        <w:t xml:space="preserve">considered </w:t>
      </w:r>
      <w:r w:rsidRPr="00E2098F">
        <w:t>reliable</w:t>
      </w:r>
      <w:r w:rsidR="003B37F8">
        <w:t xml:space="preserve"> during the evaluation</w:t>
      </w:r>
      <w:r w:rsidRPr="00E2098F">
        <w:t xml:space="preserve"> given that:</w:t>
      </w:r>
    </w:p>
    <w:p w:rsidR="00DC5B87" w:rsidRPr="00E2098F" w:rsidRDefault="00DC5B87" w:rsidP="005E4448">
      <w:pPr>
        <w:pStyle w:val="ListParagraph"/>
        <w:widowControl/>
        <w:numPr>
          <w:ilvl w:val="0"/>
          <w:numId w:val="1"/>
        </w:numPr>
        <w:ind w:left="1276" w:hanging="284"/>
      </w:pPr>
      <w:r w:rsidRPr="00E2098F">
        <w:t xml:space="preserve">All </w:t>
      </w:r>
      <w:proofErr w:type="spellStart"/>
      <w:r w:rsidRPr="00E2098F">
        <w:t>brivaracetam</w:t>
      </w:r>
      <w:proofErr w:type="spellEnd"/>
      <w:r w:rsidRPr="00E2098F">
        <w:t xml:space="preserve"> studies </w:t>
      </w:r>
      <w:r w:rsidR="00370AC6">
        <w:t>included</w:t>
      </w:r>
      <w:r w:rsidRPr="00E2098F">
        <w:t xml:space="preserve"> in Pool S4 enrolled patients with a prior treatment history less intensive than the proposed PBS population. Therefore, the </w:t>
      </w:r>
      <w:proofErr w:type="spellStart"/>
      <w:r w:rsidRPr="00E2098F">
        <w:t>brivaracetam</w:t>
      </w:r>
      <w:proofErr w:type="spellEnd"/>
      <w:r w:rsidRPr="00E2098F">
        <w:t xml:space="preserve"> dosage in the target population could have been </w:t>
      </w:r>
      <w:r w:rsidR="00370AC6">
        <w:t>underestimated</w:t>
      </w:r>
      <w:r w:rsidRPr="00E2098F">
        <w:t xml:space="preserve">; and  </w:t>
      </w:r>
    </w:p>
    <w:p w:rsidR="00DC5B87" w:rsidRPr="00B67229" w:rsidRDefault="00DC5B87" w:rsidP="00475892">
      <w:pPr>
        <w:pStyle w:val="ListParagraph"/>
        <w:widowControl/>
        <w:numPr>
          <w:ilvl w:val="0"/>
          <w:numId w:val="1"/>
        </w:numPr>
        <w:ind w:left="1276" w:hanging="284"/>
        <w:rPr>
          <w:i/>
        </w:rPr>
      </w:pPr>
      <w:r w:rsidRPr="00E2098F">
        <w:t xml:space="preserve">The </w:t>
      </w:r>
      <w:proofErr w:type="spellStart"/>
      <w:r w:rsidRPr="00E2098F">
        <w:t>equi</w:t>
      </w:r>
      <w:proofErr w:type="spellEnd"/>
      <w:r w:rsidRPr="00E2098F">
        <w:t xml:space="preserve">-effective doses of </w:t>
      </w:r>
      <w:proofErr w:type="spellStart"/>
      <w:r w:rsidRPr="00E2098F">
        <w:t>brivaracetam</w:t>
      </w:r>
      <w:proofErr w:type="spellEnd"/>
      <w:r w:rsidRPr="00E2098F">
        <w:t xml:space="preserve"> and </w:t>
      </w:r>
      <w:proofErr w:type="spellStart"/>
      <w:r w:rsidRPr="00E2098F">
        <w:t>lacosamide</w:t>
      </w:r>
      <w:proofErr w:type="spellEnd"/>
      <w:r w:rsidRPr="00E2098F">
        <w:t xml:space="preserve"> were not determined </w:t>
      </w:r>
      <w:r w:rsidR="00DC116D" w:rsidRPr="00E2098F">
        <w:t>by considering the health outcomes presented in</w:t>
      </w:r>
      <w:r w:rsidR="005D5F49" w:rsidRPr="00E2098F">
        <w:t xml:space="preserve"> Section B</w:t>
      </w:r>
      <w:r w:rsidR="00DC116D" w:rsidRPr="00E2098F">
        <w:t xml:space="preserve"> of the submission</w:t>
      </w:r>
      <w:r w:rsidRPr="00E2098F">
        <w:t xml:space="preserve">. Instead, the submission has used long-term </w:t>
      </w:r>
      <w:proofErr w:type="spellStart"/>
      <w:r w:rsidRPr="00E2098F">
        <w:t>brivaracetam</w:t>
      </w:r>
      <w:proofErr w:type="spellEnd"/>
      <w:r w:rsidRPr="00E2098F">
        <w:t xml:space="preserve"> exposure data and PBS statistics for </w:t>
      </w:r>
      <w:proofErr w:type="spellStart"/>
      <w:r w:rsidRPr="00E2098F">
        <w:t>lacosamide</w:t>
      </w:r>
      <w:proofErr w:type="spellEnd"/>
      <w:r w:rsidRPr="00E2098F">
        <w:t xml:space="preserve"> to inform the dose relativity between these two drugs. The PBAC </w:t>
      </w:r>
      <w:r w:rsidR="00DC116D" w:rsidRPr="00E2098F">
        <w:t>G</w:t>
      </w:r>
      <w:r w:rsidRPr="00E2098F">
        <w:t>uidelines (version 4.5) consider this approach “the least preferred” (p209</w:t>
      </w:r>
      <w:r w:rsidRPr="00006C26">
        <w:t>).</w:t>
      </w:r>
      <w:r w:rsidR="00B67229" w:rsidRPr="00006C26">
        <w:t xml:space="preserve">  The ESC noted that the trial dose</w:t>
      </w:r>
      <w:r w:rsidR="00370AC6">
        <w:t>s</w:t>
      </w:r>
      <w:r w:rsidR="00B67229" w:rsidRPr="00006C26">
        <w:t xml:space="preserve"> should have been used for </w:t>
      </w:r>
      <w:proofErr w:type="spellStart"/>
      <w:r w:rsidR="00B67229" w:rsidRPr="00006C26">
        <w:t>lacosamide</w:t>
      </w:r>
      <w:proofErr w:type="spellEnd"/>
      <w:r w:rsidR="00B67229" w:rsidRPr="00006C26">
        <w:t xml:space="preserve"> for the purposes of informing the dose relativity between it and </w:t>
      </w:r>
      <w:proofErr w:type="spellStart"/>
      <w:r w:rsidR="00B67229" w:rsidRPr="00006C26">
        <w:t>brivaracetam</w:t>
      </w:r>
      <w:proofErr w:type="spellEnd"/>
      <w:r w:rsidR="00B67229" w:rsidRPr="00006C26">
        <w:t>.</w:t>
      </w:r>
      <w:r w:rsidR="00B67229" w:rsidRPr="000A0536">
        <w:rPr>
          <w:i/>
        </w:rPr>
        <w:t xml:space="preserve"> </w:t>
      </w:r>
      <w:r w:rsidR="00475892">
        <w:t xml:space="preserve">Doses from the trials were presented in the pre-PBAC response, however, it was noted that doses </w:t>
      </w:r>
      <w:r w:rsidR="00475892" w:rsidRPr="00475892">
        <w:t xml:space="preserve">were titrated to </w:t>
      </w:r>
      <w:r w:rsidR="00475892">
        <w:t>a specified doses and hence doses were</w:t>
      </w:r>
      <w:r w:rsidR="00475892" w:rsidRPr="00475892">
        <w:t xml:space="preserve"> not representative of </w:t>
      </w:r>
      <w:r w:rsidR="00475892">
        <w:t xml:space="preserve">those in </w:t>
      </w:r>
      <w:r w:rsidR="00475892" w:rsidRPr="00475892">
        <w:t>clinical practice</w:t>
      </w:r>
      <w:r w:rsidR="00475892">
        <w:t>.</w:t>
      </w:r>
    </w:p>
    <w:p w:rsidR="00DC5B87" w:rsidRPr="00E2098F" w:rsidRDefault="00DC5B87" w:rsidP="00DC5B87">
      <w:pPr>
        <w:pStyle w:val="ListParagraph"/>
        <w:widowControl/>
        <w:rPr>
          <w:szCs w:val="22"/>
        </w:rPr>
      </w:pPr>
    </w:p>
    <w:p w:rsidR="00DC5B87" w:rsidRPr="00E2098F" w:rsidRDefault="00DC5B87" w:rsidP="005E4448">
      <w:pPr>
        <w:pStyle w:val="ListParagraph"/>
        <w:widowControl/>
        <w:numPr>
          <w:ilvl w:val="1"/>
          <w:numId w:val="2"/>
        </w:numPr>
        <w:rPr>
          <w:szCs w:val="22"/>
        </w:rPr>
      </w:pPr>
      <w:r w:rsidRPr="00E2098F">
        <w:t xml:space="preserve">In the cost-minimisation analysis for the proposed </w:t>
      </w:r>
      <w:proofErr w:type="spellStart"/>
      <w:r w:rsidR="00DC116D" w:rsidRPr="00E2098F">
        <w:t>levetiracetam</w:t>
      </w:r>
      <w:proofErr w:type="spellEnd"/>
      <w:r w:rsidR="00DC116D" w:rsidRPr="00E2098F">
        <w:t xml:space="preserve">-intolerant </w:t>
      </w:r>
      <w:r w:rsidRPr="00E2098F">
        <w:t xml:space="preserve">PBS population, the submission selected </w:t>
      </w:r>
      <w:proofErr w:type="spellStart"/>
      <w:r w:rsidRPr="00E2098F">
        <w:t>levetiracetam</w:t>
      </w:r>
      <w:proofErr w:type="spellEnd"/>
      <w:r w:rsidRPr="00E2098F">
        <w:t xml:space="preserve"> as a proxy for all other second-line adjunctive agents and estimated </w:t>
      </w:r>
      <w:proofErr w:type="spellStart"/>
      <w:r w:rsidRPr="00E2098F">
        <w:t>equi</w:t>
      </w:r>
      <w:proofErr w:type="spellEnd"/>
      <w:r w:rsidRPr="00E2098F">
        <w:t>-effective doses of 124.55</w:t>
      </w:r>
      <w:r w:rsidR="00283279" w:rsidRPr="00E2098F">
        <w:t> </w:t>
      </w:r>
      <w:r w:rsidRPr="00E2098F">
        <w:t xml:space="preserve">mg </w:t>
      </w:r>
      <w:proofErr w:type="spellStart"/>
      <w:r w:rsidRPr="00E2098F">
        <w:t>brivaracetam</w:t>
      </w:r>
      <w:proofErr w:type="spellEnd"/>
      <w:r w:rsidRPr="00E2098F">
        <w:t xml:space="preserve"> and 1,456.77</w:t>
      </w:r>
      <w:r w:rsidR="00283279" w:rsidRPr="00E2098F">
        <w:t> </w:t>
      </w:r>
      <w:r w:rsidRPr="00E2098F">
        <w:t xml:space="preserve">mg </w:t>
      </w:r>
      <w:proofErr w:type="spellStart"/>
      <w:r w:rsidRPr="00E2098F">
        <w:t>levetiracetam</w:t>
      </w:r>
      <w:proofErr w:type="spellEnd"/>
      <w:r w:rsidRPr="00E2098F">
        <w:t>. The</w:t>
      </w:r>
      <w:r w:rsidR="009C4A37">
        <w:t xml:space="preserve"> evaluation considered the</w:t>
      </w:r>
      <w:r w:rsidRPr="00E2098F">
        <w:t xml:space="preserve"> submission’s approach to cost-minimising </w:t>
      </w:r>
      <w:proofErr w:type="spellStart"/>
      <w:r w:rsidRPr="00E2098F">
        <w:t>brivaracetam</w:t>
      </w:r>
      <w:proofErr w:type="spellEnd"/>
      <w:r w:rsidRPr="00E2098F">
        <w:t xml:space="preserve"> against </w:t>
      </w:r>
      <w:proofErr w:type="spellStart"/>
      <w:r w:rsidRPr="00E2098F">
        <w:t>levetiracetam</w:t>
      </w:r>
      <w:proofErr w:type="spellEnd"/>
      <w:r w:rsidRPr="00E2098F">
        <w:t xml:space="preserve"> in the </w:t>
      </w:r>
      <w:proofErr w:type="spellStart"/>
      <w:r w:rsidRPr="00E2098F">
        <w:t>levet</w:t>
      </w:r>
      <w:r w:rsidR="003B37F8">
        <w:t>iracetam</w:t>
      </w:r>
      <w:proofErr w:type="spellEnd"/>
      <w:r w:rsidR="003B37F8">
        <w:t>-intolerant population was</w:t>
      </w:r>
      <w:r w:rsidRPr="00E2098F">
        <w:t xml:space="preserve"> neither justified nor conservative, as:</w:t>
      </w:r>
    </w:p>
    <w:p w:rsidR="00DC5B87" w:rsidRPr="00E2098F" w:rsidRDefault="00DC5B87" w:rsidP="005E4448">
      <w:pPr>
        <w:pStyle w:val="ListParagraph"/>
        <w:widowControl/>
        <w:numPr>
          <w:ilvl w:val="0"/>
          <w:numId w:val="1"/>
        </w:numPr>
        <w:ind w:left="1276" w:hanging="284"/>
      </w:pPr>
      <w:proofErr w:type="spellStart"/>
      <w:r w:rsidRPr="00E2098F">
        <w:t>Levetiracetam</w:t>
      </w:r>
      <w:proofErr w:type="spellEnd"/>
      <w:r w:rsidRPr="00E2098F">
        <w:t xml:space="preserve"> is not a reasonable comparator for patients with partial epileptic seizure</w:t>
      </w:r>
      <w:r w:rsidR="004A67B3" w:rsidRPr="00E2098F">
        <w:t>s</w:t>
      </w:r>
      <w:r w:rsidRPr="00E2098F">
        <w:t xml:space="preserve"> who cannot tolerate </w:t>
      </w:r>
      <w:proofErr w:type="spellStart"/>
      <w:r w:rsidRPr="00E2098F">
        <w:t>levetiracetam</w:t>
      </w:r>
      <w:proofErr w:type="spellEnd"/>
      <w:r w:rsidRPr="00E2098F">
        <w:t xml:space="preserve"> therapy due to AEs;</w:t>
      </w:r>
      <w:r w:rsidR="007C3163">
        <w:t xml:space="preserve"> and</w:t>
      </w:r>
    </w:p>
    <w:p w:rsidR="00DC5B87" w:rsidRPr="00E2098F" w:rsidRDefault="00DC5B87" w:rsidP="005E4448">
      <w:pPr>
        <w:pStyle w:val="ListParagraph"/>
        <w:widowControl/>
        <w:numPr>
          <w:ilvl w:val="0"/>
          <w:numId w:val="1"/>
        </w:numPr>
        <w:ind w:left="1276" w:hanging="284"/>
      </w:pPr>
      <w:r w:rsidRPr="00E2098F">
        <w:t xml:space="preserve">The submission did not provide clinical evidence to support a non-inferiority </w:t>
      </w:r>
      <w:r w:rsidR="009C4A37">
        <w:t>claim</w:t>
      </w:r>
      <w:r w:rsidRPr="00E2098F">
        <w:t xml:space="preserve"> </w:t>
      </w:r>
      <w:r w:rsidR="009C4A37">
        <w:t>for</w:t>
      </w:r>
      <w:r w:rsidRPr="00E2098F">
        <w:t xml:space="preserve"> </w:t>
      </w:r>
      <w:proofErr w:type="spellStart"/>
      <w:r w:rsidRPr="00E2098F">
        <w:t>brivaracetam</w:t>
      </w:r>
      <w:proofErr w:type="spellEnd"/>
      <w:r w:rsidRPr="00E2098F">
        <w:t xml:space="preserve"> compared with any other second-line adjunctive AEDs</w:t>
      </w:r>
      <w:r w:rsidR="007C3163">
        <w:t>.</w:t>
      </w:r>
    </w:p>
    <w:p w:rsidR="00DC5B87" w:rsidRPr="00E2098F" w:rsidRDefault="00DC5B87" w:rsidP="00DC5B87">
      <w:pPr>
        <w:pStyle w:val="ListParagraph"/>
        <w:widowControl/>
        <w:rPr>
          <w:szCs w:val="22"/>
        </w:rPr>
      </w:pPr>
    </w:p>
    <w:p w:rsidR="00DC5B87" w:rsidRPr="00E2098F" w:rsidRDefault="00DC5B87" w:rsidP="005E4448">
      <w:pPr>
        <w:pStyle w:val="ListParagraph"/>
        <w:widowControl/>
        <w:numPr>
          <w:ilvl w:val="1"/>
          <w:numId w:val="2"/>
        </w:numPr>
        <w:rPr>
          <w:szCs w:val="22"/>
        </w:rPr>
      </w:pPr>
      <w:r w:rsidRPr="00E2098F">
        <w:t xml:space="preserve">The submission calculated the </w:t>
      </w:r>
      <w:proofErr w:type="spellStart"/>
      <w:r w:rsidRPr="00E2098F">
        <w:t>brivaracetam</w:t>
      </w:r>
      <w:proofErr w:type="spellEnd"/>
      <w:r w:rsidRPr="00E2098F">
        <w:t xml:space="preserve"> price for treatment of refractory patients based on the PBS ex-manufacturer price for </w:t>
      </w:r>
      <w:proofErr w:type="spellStart"/>
      <w:r w:rsidRPr="00E2098F">
        <w:t>lacosamide</w:t>
      </w:r>
      <w:proofErr w:type="spellEnd"/>
      <w:r w:rsidRPr="00E2098F">
        <w:t xml:space="preserve"> </w:t>
      </w:r>
      <w:r w:rsidR="00C95D2E" w:rsidRPr="00E2098F">
        <w:t>prior to</w:t>
      </w:r>
      <w:r w:rsidRPr="00E2098F">
        <w:t xml:space="preserve"> 1 April </w:t>
      </w:r>
      <w:r w:rsidR="009C4A37">
        <w:t xml:space="preserve">2016. The submission proposed </w:t>
      </w:r>
      <w:r w:rsidRPr="00E2098F">
        <w:t>flat pricing for all strength</w:t>
      </w:r>
      <w:r w:rsidR="004A67B3" w:rsidRPr="00E2098F">
        <w:t>s</w:t>
      </w:r>
      <w:r w:rsidRPr="00E2098F">
        <w:t xml:space="preserve"> </w:t>
      </w:r>
      <w:r w:rsidR="00C95D2E" w:rsidRPr="00E2098F">
        <w:t xml:space="preserve">of </w:t>
      </w:r>
      <w:proofErr w:type="spellStart"/>
      <w:r w:rsidR="00C95D2E" w:rsidRPr="00E2098F">
        <w:t>brivaracetam</w:t>
      </w:r>
      <w:proofErr w:type="spellEnd"/>
      <w:r w:rsidRPr="00E2098F">
        <w:t xml:space="preserve">; whilst </w:t>
      </w:r>
      <w:proofErr w:type="spellStart"/>
      <w:r w:rsidRPr="00E2098F">
        <w:t>lacosamide</w:t>
      </w:r>
      <w:proofErr w:type="spellEnd"/>
      <w:r w:rsidRPr="00E2098F">
        <w:t xml:space="preserve"> is linear priced, with all strengths reimbursed at the same approved ex-manufacturer price (AEMP) per milligram ($</w:t>
      </w:r>
      <w:r w:rsidR="00534A2B">
        <w:rPr>
          <w:noProof/>
          <w:color w:val="000000"/>
          <w:highlight w:val="black"/>
        </w:rPr>
        <w:t>'''''''''''''''</w:t>
      </w:r>
      <w:r w:rsidRPr="00E2098F">
        <w:t xml:space="preserve"> per mg). The cost-minimised price derived </w:t>
      </w:r>
      <w:r w:rsidR="009C4A37">
        <w:t xml:space="preserve">for the refractory </w:t>
      </w:r>
      <w:r w:rsidRPr="00E2098F">
        <w:t>population (DPMQ of $</w:t>
      </w:r>
      <w:r w:rsidR="00534A2B">
        <w:rPr>
          <w:noProof/>
          <w:color w:val="000000"/>
          <w:highlight w:val="black"/>
        </w:rPr>
        <w:t>'''''''''''''''''</w:t>
      </w:r>
      <w:r w:rsidRPr="00E2098F">
        <w:t>) is the proposed</w:t>
      </w:r>
      <w:r w:rsidR="008D46E8">
        <w:t xml:space="preserve"> published</w:t>
      </w:r>
      <w:r w:rsidRPr="00E2098F">
        <w:t xml:space="preserve"> price for </w:t>
      </w:r>
      <w:proofErr w:type="spellStart"/>
      <w:r w:rsidRPr="00E2098F">
        <w:t>brivaracetam</w:t>
      </w:r>
      <w:proofErr w:type="spellEnd"/>
      <w:r w:rsidRPr="00E2098F">
        <w:t>.</w:t>
      </w:r>
    </w:p>
    <w:p w:rsidR="00DC5B87" w:rsidRPr="00E2098F" w:rsidRDefault="00DC5B87" w:rsidP="00DC5B87">
      <w:pPr>
        <w:pStyle w:val="ListParagraph"/>
        <w:widowControl/>
        <w:rPr>
          <w:szCs w:val="22"/>
        </w:rPr>
      </w:pPr>
    </w:p>
    <w:p w:rsidR="00DC5B87" w:rsidRPr="00E2098F" w:rsidRDefault="00DC5B87" w:rsidP="005E4448">
      <w:pPr>
        <w:pStyle w:val="ListParagraph"/>
        <w:widowControl/>
        <w:numPr>
          <w:ilvl w:val="1"/>
          <w:numId w:val="2"/>
        </w:numPr>
        <w:rPr>
          <w:szCs w:val="22"/>
        </w:rPr>
      </w:pPr>
      <w:r w:rsidRPr="00E2098F">
        <w:t xml:space="preserve">The submission argued that the non-refractory, </w:t>
      </w:r>
      <w:proofErr w:type="spellStart"/>
      <w:r w:rsidRPr="00E2098F">
        <w:t>levetiracetam</w:t>
      </w:r>
      <w:proofErr w:type="spellEnd"/>
      <w:r w:rsidRPr="00E2098F">
        <w:t>-intolerant population is much smaller than the requested refractory population; th</w:t>
      </w:r>
      <w:r w:rsidR="004A67B3" w:rsidRPr="00E2098F">
        <w:t>is</w:t>
      </w:r>
      <w:r w:rsidRPr="00E2098F">
        <w:t xml:space="preserve"> proportion, however, cannot be reliably estimated. The proportion of non-refractory, </w:t>
      </w:r>
      <w:proofErr w:type="spellStart"/>
      <w:r w:rsidRPr="00E2098F">
        <w:t>levetiracetam</w:t>
      </w:r>
      <w:proofErr w:type="spellEnd"/>
      <w:r w:rsidRPr="00E2098F">
        <w:t xml:space="preserve">-intolerant </w:t>
      </w:r>
      <w:r w:rsidR="004A67B3" w:rsidRPr="00E2098F">
        <w:t xml:space="preserve">patients </w:t>
      </w:r>
      <w:r w:rsidRPr="00E2098F">
        <w:t xml:space="preserve">would impact on the cost-minimised price of </w:t>
      </w:r>
      <w:proofErr w:type="spellStart"/>
      <w:r w:rsidRPr="00E2098F">
        <w:t>brivaracetam</w:t>
      </w:r>
      <w:proofErr w:type="spellEnd"/>
      <w:r w:rsidRPr="00E2098F">
        <w:t xml:space="preserve"> versus a combination of </w:t>
      </w:r>
      <w:proofErr w:type="spellStart"/>
      <w:r w:rsidRPr="00E2098F">
        <w:t>lacosamide</w:t>
      </w:r>
      <w:proofErr w:type="spellEnd"/>
      <w:r w:rsidRPr="00E2098F">
        <w:t xml:space="preserve"> and </w:t>
      </w:r>
      <w:proofErr w:type="spellStart"/>
      <w:r w:rsidRPr="00E2098F">
        <w:t>levetiracetam</w:t>
      </w:r>
      <w:proofErr w:type="spellEnd"/>
      <w:r w:rsidRPr="00E2098F">
        <w:t xml:space="preserve">. To address this uncertainty, the submission proposed a special pricing arrangement that includes a </w:t>
      </w:r>
      <w:r w:rsidR="00534A2B">
        <w:rPr>
          <w:noProof/>
          <w:color w:val="000000"/>
          <w:highlight w:val="black"/>
        </w:rPr>
        <w:t>''''''</w:t>
      </w:r>
      <w:r w:rsidRPr="00E2098F">
        <w:t>% discount off the published ex-manufacturer price ($</w:t>
      </w:r>
      <w:r w:rsidR="00534A2B">
        <w:rPr>
          <w:noProof/>
          <w:color w:val="000000"/>
          <w:highlight w:val="black"/>
        </w:rPr>
        <w:t>''''''''''</w:t>
      </w:r>
      <w:r w:rsidRPr="00E2098F">
        <w:t xml:space="preserve"> per tablet versus $</w:t>
      </w:r>
      <w:r w:rsidR="00534A2B">
        <w:rPr>
          <w:noProof/>
          <w:color w:val="000000"/>
          <w:highlight w:val="black"/>
        </w:rPr>
        <w:t>'''''''''''</w:t>
      </w:r>
      <w:r w:rsidRPr="00E2098F">
        <w:t xml:space="preserve"> per tablet). This is similar to </w:t>
      </w:r>
      <w:r w:rsidR="00E14FFA">
        <w:t>a</w:t>
      </w:r>
      <w:r w:rsidRPr="00E2098F">
        <w:t xml:space="preserve"> cost-minimised price of </w:t>
      </w:r>
      <w:proofErr w:type="spellStart"/>
      <w:r w:rsidRPr="00E2098F">
        <w:t>brivaracetam</w:t>
      </w:r>
      <w:proofErr w:type="spellEnd"/>
      <w:r w:rsidRPr="00E2098F">
        <w:t xml:space="preserve"> versus a mixed comparator of </w:t>
      </w:r>
      <w:proofErr w:type="spellStart"/>
      <w:r w:rsidRPr="00E2098F">
        <w:t>lacosamide</w:t>
      </w:r>
      <w:proofErr w:type="spellEnd"/>
      <w:r w:rsidRPr="00E2098F">
        <w:t xml:space="preserve"> (</w:t>
      </w:r>
      <w:r w:rsidR="00534A2B">
        <w:rPr>
          <w:noProof/>
          <w:color w:val="000000"/>
          <w:highlight w:val="black"/>
        </w:rPr>
        <w:t>'''''''</w:t>
      </w:r>
      <w:r w:rsidRPr="00E2098F">
        <w:t xml:space="preserve">%) and </w:t>
      </w:r>
      <w:proofErr w:type="spellStart"/>
      <w:r w:rsidRPr="00E2098F">
        <w:t>levetiracetam</w:t>
      </w:r>
      <w:proofErr w:type="spellEnd"/>
      <w:r w:rsidRPr="00E2098F">
        <w:t xml:space="preserve"> (</w:t>
      </w:r>
      <w:r w:rsidR="00534A2B">
        <w:rPr>
          <w:noProof/>
          <w:color w:val="000000"/>
          <w:highlight w:val="black"/>
        </w:rPr>
        <w:t>'''''</w:t>
      </w:r>
      <w:r w:rsidRPr="00E2098F">
        <w:t>%)</w:t>
      </w:r>
      <w:r w:rsidR="008D46E8">
        <w:t xml:space="preserve"> (</w:t>
      </w:r>
      <w:r w:rsidRPr="00E2098F">
        <w:t>Table 7</w:t>
      </w:r>
      <w:r w:rsidR="008D46E8">
        <w:t xml:space="preserve">). These prices do not include the </w:t>
      </w:r>
      <w:r w:rsidRPr="00E2098F">
        <w:t>1 April 2016</w:t>
      </w:r>
      <w:r w:rsidR="008D46E8">
        <w:t xml:space="preserve"> price reductions</w:t>
      </w:r>
      <w:r w:rsidRPr="00E2098F">
        <w:t>.</w:t>
      </w:r>
    </w:p>
    <w:p w:rsidR="002158F6" w:rsidRDefault="002158F6">
      <w:pPr>
        <w:widowControl/>
        <w:jc w:val="left"/>
        <w:rPr>
          <w:rFonts w:ascii="Arial Narrow" w:hAnsi="Arial Narrow"/>
          <w:b/>
          <w:sz w:val="20"/>
          <w:szCs w:val="22"/>
        </w:rPr>
      </w:pPr>
    </w:p>
    <w:p w:rsidR="00DC5B87" w:rsidRPr="00DC5B87" w:rsidRDefault="00DC5B87" w:rsidP="00DC5B87">
      <w:pPr>
        <w:pStyle w:val="TableHeader"/>
        <w:ind w:firstLine="720"/>
      </w:pPr>
      <w:r w:rsidRPr="00DC5B87">
        <w:rPr>
          <w:szCs w:val="22"/>
        </w:rPr>
        <w:t xml:space="preserve">Table 7: </w:t>
      </w:r>
      <w:r w:rsidRPr="00DC5B87">
        <w:t>Illustrative price scenarios (1 April 2016</w:t>
      </w:r>
      <w:r w:rsidR="00046841">
        <w:t xml:space="preserve"> price reductions not included</w:t>
      </w:r>
      <w:r w:rsidRPr="00DC5B87">
        <w:t>)</w:t>
      </w:r>
    </w:p>
    <w:tbl>
      <w:tblPr>
        <w:tblW w:w="4595" w:type="pct"/>
        <w:tblInd w:w="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4A0" w:firstRow="1" w:lastRow="0" w:firstColumn="1" w:lastColumn="0" w:noHBand="0" w:noVBand="1"/>
      </w:tblPr>
      <w:tblGrid>
        <w:gridCol w:w="1267"/>
        <w:gridCol w:w="1246"/>
        <w:gridCol w:w="995"/>
        <w:gridCol w:w="624"/>
        <w:gridCol w:w="369"/>
        <w:gridCol w:w="995"/>
        <w:gridCol w:w="649"/>
        <w:gridCol w:w="772"/>
        <w:gridCol w:w="1387"/>
      </w:tblGrid>
      <w:tr w:rsidR="00DC5B87" w:rsidRPr="00DC5B87" w:rsidTr="00742C1D">
        <w:trPr>
          <w:trHeight w:val="20"/>
        </w:trPr>
        <w:tc>
          <w:tcPr>
            <w:tcW w:w="5000" w:type="pct"/>
            <w:gridSpan w:val="9"/>
            <w:shd w:val="clear" w:color="auto" w:fill="FFFFFF" w:themeFill="background1"/>
            <w:noWrap/>
            <w:vAlign w:val="center"/>
            <w:hideMark/>
          </w:tcPr>
          <w:p w:rsidR="00DC5B87" w:rsidRPr="00DC5B87" w:rsidRDefault="00DC5B87" w:rsidP="00742C1D">
            <w:pPr>
              <w:pStyle w:val="Table"/>
              <w:rPr>
                <w:rFonts w:ascii="Arial Narrow" w:hAnsi="Arial Narrow"/>
                <w:b/>
                <w:szCs w:val="20"/>
              </w:rPr>
            </w:pPr>
            <w:r w:rsidRPr="00DC5B87">
              <w:rPr>
                <w:rFonts w:ascii="Arial Narrow" w:hAnsi="Arial Narrow"/>
                <w:b/>
                <w:szCs w:val="20"/>
              </w:rPr>
              <w:t>Daily relativity and component pricing</w:t>
            </w:r>
          </w:p>
        </w:tc>
      </w:tr>
      <w:tr w:rsidR="00DC5B87" w:rsidRPr="00DC5B87" w:rsidTr="008D46E8">
        <w:trPr>
          <w:trHeight w:val="20"/>
        </w:trPr>
        <w:tc>
          <w:tcPr>
            <w:tcW w:w="1513" w:type="pct"/>
            <w:gridSpan w:val="2"/>
            <w:shd w:val="clear" w:color="auto" w:fill="FFFFFF" w:themeFill="background1"/>
            <w:noWrap/>
            <w:vAlign w:val="center"/>
            <w:hideMark/>
          </w:tcPr>
          <w:p w:rsidR="00DC5B87" w:rsidRPr="00DC5B87" w:rsidRDefault="00DC5B87" w:rsidP="00742C1D">
            <w:pPr>
              <w:pStyle w:val="Table"/>
              <w:jc w:val="left"/>
              <w:rPr>
                <w:rFonts w:ascii="Arial Narrow" w:hAnsi="Arial Narrow"/>
                <w:b/>
                <w:szCs w:val="20"/>
              </w:rPr>
            </w:pPr>
            <w:r w:rsidRPr="00DC5B87">
              <w:rPr>
                <w:rFonts w:ascii="Arial Narrow" w:hAnsi="Arial Narrow"/>
                <w:b/>
                <w:szCs w:val="20"/>
              </w:rPr>
              <w:t>Drug</w:t>
            </w:r>
          </w:p>
        </w:tc>
        <w:tc>
          <w:tcPr>
            <w:tcW w:w="975" w:type="pct"/>
            <w:gridSpan w:val="2"/>
            <w:shd w:val="clear" w:color="auto" w:fill="FFFFFF" w:themeFill="background1"/>
            <w:noWrap/>
            <w:vAlign w:val="center"/>
            <w:hideMark/>
          </w:tcPr>
          <w:p w:rsidR="00DC5B87" w:rsidRPr="00DC5B87" w:rsidRDefault="00DC5B87" w:rsidP="00742C1D">
            <w:pPr>
              <w:pStyle w:val="Table"/>
              <w:jc w:val="center"/>
              <w:rPr>
                <w:rFonts w:ascii="Arial Narrow" w:hAnsi="Arial Narrow"/>
                <w:b/>
                <w:szCs w:val="20"/>
              </w:rPr>
            </w:pPr>
            <w:r w:rsidRPr="00DC5B87">
              <w:rPr>
                <w:rFonts w:ascii="Arial Narrow" w:hAnsi="Arial Narrow"/>
                <w:b/>
                <w:szCs w:val="20"/>
              </w:rPr>
              <w:t>Daily dose (mg)</w:t>
            </w:r>
          </w:p>
        </w:tc>
        <w:tc>
          <w:tcPr>
            <w:tcW w:w="1212" w:type="pct"/>
            <w:gridSpan w:val="3"/>
            <w:shd w:val="clear" w:color="auto" w:fill="FFFFFF" w:themeFill="background1"/>
            <w:noWrap/>
            <w:vAlign w:val="center"/>
            <w:hideMark/>
          </w:tcPr>
          <w:p w:rsidR="00DC5B87" w:rsidRPr="00DC5B87" w:rsidRDefault="00DC5B87" w:rsidP="00742C1D">
            <w:pPr>
              <w:pStyle w:val="Table"/>
              <w:jc w:val="center"/>
              <w:rPr>
                <w:rFonts w:ascii="Arial Narrow" w:hAnsi="Arial Narrow"/>
                <w:b/>
                <w:szCs w:val="20"/>
              </w:rPr>
            </w:pPr>
            <w:r w:rsidRPr="00DC5B87">
              <w:rPr>
                <w:rFonts w:ascii="Arial Narrow" w:hAnsi="Arial Narrow"/>
                <w:b/>
                <w:szCs w:val="20"/>
              </w:rPr>
              <w:t xml:space="preserve">Relativity to </w:t>
            </w:r>
            <w:proofErr w:type="spellStart"/>
            <w:r w:rsidRPr="00DC5B87">
              <w:rPr>
                <w:rFonts w:ascii="Arial Narrow" w:hAnsi="Arial Narrow"/>
                <w:b/>
                <w:szCs w:val="20"/>
              </w:rPr>
              <w:t>brivaracetam</w:t>
            </w:r>
            <w:proofErr w:type="spellEnd"/>
          </w:p>
        </w:tc>
        <w:tc>
          <w:tcPr>
            <w:tcW w:w="1300" w:type="pct"/>
            <w:gridSpan w:val="2"/>
            <w:shd w:val="clear" w:color="auto" w:fill="FFFFFF" w:themeFill="background1"/>
            <w:vAlign w:val="center"/>
          </w:tcPr>
          <w:p w:rsidR="00DC5B87" w:rsidRPr="00DC5B87" w:rsidRDefault="00DC5B87" w:rsidP="00742C1D">
            <w:pPr>
              <w:pStyle w:val="Table"/>
              <w:jc w:val="center"/>
              <w:rPr>
                <w:rFonts w:ascii="Arial Narrow" w:hAnsi="Arial Narrow"/>
                <w:b/>
                <w:szCs w:val="20"/>
              </w:rPr>
            </w:pPr>
            <w:r w:rsidRPr="00DC5B87">
              <w:rPr>
                <w:rFonts w:ascii="Arial Narrow" w:hAnsi="Arial Narrow"/>
                <w:b/>
                <w:szCs w:val="20"/>
              </w:rPr>
              <w:t>AEMP/mg</w:t>
            </w:r>
          </w:p>
        </w:tc>
      </w:tr>
      <w:tr w:rsidR="00DC5B87" w:rsidRPr="00DC5B87" w:rsidTr="008D46E8">
        <w:trPr>
          <w:trHeight w:val="20"/>
        </w:trPr>
        <w:tc>
          <w:tcPr>
            <w:tcW w:w="1513" w:type="pct"/>
            <w:gridSpan w:val="2"/>
            <w:shd w:val="clear" w:color="auto" w:fill="FFFFFF" w:themeFill="background1"/>
            <w:noWrap/>
            <w:vAlign w:val="center"/>
            <w:hideMark/>
          </w:tcPr>
          <w:p w:rsidR="00DC5B87" w:rsidRPr="00DC5B87" w:rsidRDefault="00DC5B87" w:rsidP="00742C1D">
            <w:pPr>
              <w:pStyle w:val="Table"/>
              <w:jc w:val="left"/>
              <w:rPr>
                <w:rFonts w:ascii="Arial Narrow" w:hAnsi="Arial Narrow"/>
                <w:szCs w:val="20"/>
              </w:rPr>
            </w:pPr>
            <w:proofErr w:type="spellStart"/>
            <w:r w:rsidRPr="00DC5B87">
              <w:rPr>
                <w:rFonts w:ascii="Arial Narrow" w:hAnsi="Arial Narrow"/>
                <w:szCs w:val="20"/>
              </w:rPr>
              <w:t>Brivaracetam</w:t>
            </w:r>
            <w:proofErr w:type="spellEnd"/>
          </w:p>
        </w:tc>
        <w:tc>
          <w:tcPr>
            <w:tcW w:w="975" w:type="pct"/>
            <w:gridSpan w:val="2"/>
            <w:shd w:val="clear" w:color="auto" w:fill="FFFFFF" w:themeFill="background1"/>
            <w:noWrap/>
            <w:vAlign w:val="center"/>
            <w:hideMark/>
          </w:tcPr>
          <w:p w:rsidR="00DC5B87" w:rsidRPr="00DC5B87" w:rsidRDefault="00DC5B87" w:rsidP="00742C1D">
            <w:pPr>
              <w:pStyle w:val="Table"/>
              <w:jc w:val="center"/>
              <w:rPr>
                <w:rFonts w:ascii="Arial Narrow" w:hAnsi="Arial Narrow"/>
                <w:szCs w:val="20"/>
              </w:rPr>
            </w:pPr>
            <w:r w:rsidRPr="00DC5B87">
              <w:rPr>
                <w:rFonts w:ascii="Arial Narrow" w:hAnsi="Arial Narrow"/>
                <w:szCs w:val="20"/>
              </w:rPr>
              <w:t>124.55</w:t>
            </w:r>
          </w:p>
        </w:tc>
        <w:tc>
          <w:tcPr>
            <w:tcW w:w="1212" w:type="pct"/>
            <w:gridSpan w:val="3"/>
            <w:shd w:val="clear" w:color="auto" w:fill="FFFFFF" w:themeFill="background1"/>
            <w:noWrap/>
            <w:vAlign w:val="center"/>
            <w:hideMark/>
          </w:tcPr>
          <w:p w:rsidR="00DC5B87" w:rsidRPr="00DC5B87" w:rsidRDefault="00DC5B87" w:rsidP="00742C1D">
            <w:pPr>
              <w:pStyle w:val="Table"/>
              <w:jc w:val="center"/>
              <w:rPr>
                <w:rFonts w:ascii="Arial Narrow" w:hAnsi="Arial Narrow"/>
                <w:szCs w:val="20"/>
              </w:rPr>
            </w:pPr>
          </w:p>
        </w:tc>
        <w:tc>
          <w:tcPr>
            <w:tcW w:w="1300" w:type="pct"/>
            <w:gridSpan w:val="2"/>
            <w:shd w:val="clear" w:color="auto" w:fill="FFFFFF" w:themeFill="background1"/>
            <w:vAlign w:val="center"/>
          </w:tcPr>
          <w:p w:rsidR="00DC5B87" w:rsidRPr="00DC5B87" w:rsidRDefault="00DC5B87" w:rsidP="00742C1D">
            <w:pPr>
              <w:pStyle w:val="Table"/>
              <w:jc w:val="center"/>
              <w:rPr>
                <w:rFonts w:ascii="Arial Narrow" w:hAnsi="Arial Narrow"/>
                <w:szCs w:val="20"/>
              </w:rPr>
            </w:pPr>
          </w:p>
        </w:tc>
      </w:tr>
      <w:tr w:rsidR="00DC5B87" w:rsidRPr="00DC5B87" w:rsidTr="008D46E8">
        <w:trPr>
          <w:trHeight w:val="20"/>
        </w:trPr>
        <w:tc>
          <w:tcPr>
            <w:tcW w:w="1513" w:type="pct"/>
            <w:gridSpan w:val="2"/>
            <w:shd w:val="clear" w:color="auto" w:fill="FFFFFF" w:themeFill="background1"/>
            <w:noWrap/>
            <w:vAlign w:val="center"/>
            <w:hideMark/>
          </w:tcPr>
          <w:p w:rsidR="00DC5B87" w:rsidRPr="00DC5B87" w:rsidRDefault="00DC5B87" w:rsidP="00742C1D">
            <w:pPr>
              <w:pStyle w:val="Table"/>
              <w:jc w:val="left"/>
              <w:rPr>
                <w:rFonts w:ascii="Arial Narrow" w:hAnsi="Arial Narrow"/>
                <w:szCs w:val="20"/>
              </w:rPr>
            </w:pPr>
            <w:proofErr w:type="spellStart"/>
            <w:r w:rsidRPr="00DC5B87">
              <w:rPr>
                <w:rFonts w:ascii="Arial Narrow" w:hAnsi="Arial Narrow"/>
                <w:szCs w:val="20"/>
              </w:rPr>
              <w:t>Lacosamide</w:t>
            </w:r>
            <w:proofErr w:type="spellEnd"/>
            <w:r w:rsidRPr="00DC5B87">
              <w:rPr>
                <w:rFonts w:ascii="Arial Narrow" w:hAnsi="Arial Narrow"/>
                <w:szCs w:val="20"/>
              </w:rPr>
              <w:t xml:space="preserve"> (refractory)</w:t>
            </w:r>
          </w:p>
        </w:tc>
        <w:tc>
          <w:tcPr>
            <w:tcW w:w="975" w:type="pct"/>
            <w:gridSpan w:val="2"/>
            <w:shd w:val="clear" w:color="auto" w:fill="FFFFFF" w:themeFill="background1"/>
            <w:noWrap/>
            <w:vAlign w:val="center"/>
            <w:hideMark/>
          </w:tcPr>
          <w:p w:rsidR="00DC5B87" w:rsidRPr="00DC5B87" w:rsidRDefault="00DC5B87" w:rsidP="00742C1D">
            <w:pPr>
              <w:pStyle w:val="Table"/>
              <w:jc w:val="center"/>
              <w:rPr>
                <w:rFonts w:ascii="Arial Narrow" w:hAnsi="Arial Narrow"/>
                <w:szCs w:val="20"/>
              </w:rPr>
            </w:pPr>
            <w:r w:rsidRPr="00DC5B87">
              <w:rPr>
                <w:rFonts w:ascii="Arial Narrow" w:hAnsi="Arial Narrow"/>
                <w:szCs w:val="20"/>
              </w:rPr>
              <w:t>291.35</w:t>
            </w:r>
          </w:p>
        </w:tc>
        <w:tc>
          <w:tcPr>
            <w:tcW w:w="1212" w:type="pct"/>
            <w:gridSpan w:val="3"/>
            <w:shd w:val="clear" w:color="auto" w:fill="FFFFFF" w:themeFill="background1"/>
            <w:noWrap/>
            <w:vAlign w:val="center"/>
            <w:hideMark/>
          </w:tcPr>
          <w:p w:rsidR="00DC5B87" w:rsidRPr="00DC5B87" w:rsidRDefault="00DC5B87" w:rsidP="00742C1D">
            <w:pPr>
              <w:pStyle w:val="Table"/>
              <w:jc w:val="center"/>
              <w:rPr>
                <w:rFonts w:ascii="Arial Narrow" w:hAnsi="Arial Narrow"/>
                <w:szCs w:val="20"/>
              </w:rPr>
            </w:pPr>
            <w:r w:rsidRPr="00DC5B87">
              <w:rPr>
                <w:rFonts w:ascii="Arial Narrow" w:hAnsi="Arial Narrow"/>
                <w:szCs w:val="20"/>
              </w:rPr>
              <w:t>2.34</w:t>
            </w:r>
          </w:p>
        </w:tc>
        <w:tc>
          <w:tcPr>
            <w:tcW w:w="1300" w:type="pct"/>
            <w:gridSpan w:val="2"/>
            <w:shd w:val="clear" w:color="auto" w:fill="FFFFFF" w:themeFill="background1"/>
            <w:vAlign w:val="center"/>
          </w:tcPr>
          <w:p w:rsidR="00DC5B87" w:rsidRPr="00DC5B87" w:rsidRDefault="00DC5B87" w:rsidP="00742C1D">
            <w:pPr>
              <w:pStyle w:val="Table"/>
              <w:jc w:val="center"/>
              <w:rPr>
                <w:rFonts w:ascii="Arial Narrow" w:hAnsi="Arial Narrow"/>
                <w:szCs w:val="20"/>
              </w:rPr>
            </w:pPr>
            <w:r w:rsidRPr="00DC5B87">
              <w:rPr>
                <w:rFonts w:ascii="Arial Narrow" w:hAnsi="Arial Narrow"/>
                <w:szCs w:val="20"/>
              </w:rPr>
              <w:t>$</w:t>
            </w:r>
            <w:r w:rsidR="00534A2B">
              <w:rPr>
                <w:rFonts w:ascii="Arial Narrow" w:hAnsi="Arial Narrow"/>
                <w:noProof/>
                <w:color w:val="000000"/>
                <w:szCs w:val="20"/>
                <w:highlight w:val="black"/>
              </w:rPr>
              <w:t>'''''''''''''''''</w:t>
            </w:r>
          </w:p>
        </w:tc>
      </w:tr>
      <w:tr w:rsidR="00DC5B87" w:rsidRPr="00DC5B87" w:rsidTr="008D46E8">
        <w:trPr>
          <w:trHeight w:val="20"/>
        </w:trPr>
        <w:tc>
          <w:tcPr>
            <w:tcW w:w="1513" w:type="pct"/>
            <w:gridSpan w:val="2"/>
            <w:shd w:val="clear" w:color="auto" w:fill="FFFFFF" w:themeFill="background1"/>
            <w:noWrap/>
            <w:vAlign w:val="center"/>
            <w:hideMark/>
          </w:tcPr>
          <w:p w:rsidR="00DC5B87" w:rsidRPr="00DC5B87" w:rsidRDefault="00DC5B87" w:rsidP="00742C1D">
            <w:pPr>
              <w:pStyle w:val="Table"/>
              <w:jc w:val="left"/>
              <w:rPr>
                <w:rFonts w:ascii="Arial Narrow" w:hAnsi="Arial Narrow"/>
                <w:szCs w:val="20"/>
              </w:rPr>
            </w:pPr>
            <w:proofErr w:type="spellStart"/>
            <w:r w:rsidRPr="00DC5B87">
              <w:rPr>
                <w:rFonts w:ascii="Arial Narrow" w:hAnsi="Arial Narrow"/>
                <w:szCs w:val="20"/>
              </w:rPr>
              <w:t>Levetiracetam</w:t>
            </w:r>
            <w:proofErr w:type="spellEnd"/>
            <w:r w:rsidRPr="00DC5B87">
              <w:rPr>
                <w:rFonts w:ascii="Arial Narrow" w:hAnsi="Arial Narrow"/>
                <w:szCs w:val="20"/>
              </w:rPr>
              <w:t xml:space="preserve"> (non-refractory, </w:t>
            </w:r>
            <w:r w:rsidRPr="00DC5B87">
              <w:rPr>
                <w:rFonts w:ascii="Arial Narrow" w:hAnsi="Arial Narrow"/>
                <w:szCs w:val="20"/>
              </w:rPr>
              <w:br/>
            </w:r>
            <w:proofErr w:type="spellStart"/>
            <w:r w:rsidRPr="00DC5B87">
              <w:rPr>
                <w:rFonts w:ascii="Arial Narrow" w:hAnsi="Arial Narrow"/>
                <w:szCs w:val="20"/>
              </w:rPr>
              <w:t>levetiracetam</w:t>
            </w:r>
            <w:proofErr w:type="spellEnd"/>
            <w:r w:rsidRPr="00DC5B87">
              <w:rPr>
                <w:rFonts w:ascii="Arial Narrow" w:hAnsi="Arial Narrow"/>
                <w:szCs w:val="20"/>
              </w:rPr>
              <w:t>-intolerant)</w:t>
            </w:r>
          </w:p>
        </w:tc>
        <w:tc>
          <w:tcPr>
            <w:tcW w:w="975" w:type="pct"/>
            <w:gridSpan w:val="2"/>
            <w:shd w:val="clear" w:color="auto" w:fill="FFFFFF" w:themeFill="background1"/>
            <w:noWrap/>
            <w:vAlign w:val="center"/>
            <w:hideMark/>
          </w:tcPr>
          <w:p w:rsidR="00DC5B87" w:rsidRPr="00DC5B87" w:rsidRDefault="00DC5B87" w:rsidP="00742C1D">
            <w:pPr>
              <w:pStyle w:val="Table"/>
              <w:jc w:val="center"/>
              <w:rPr>
                <w:rFonts w:ascii="Arial Narrow" w:hAnsi="Arial Narrow"/>
                <w:szCs w:val="20"/>
              </w:rPr>
            </w:pPr>
            <w:r w:rsidRPr="00DC5B87">
              <w:rPr>
                <w:rFonts w:ascii="Arial Narrow" w:hAnsi="Arial Narrow"/>
                <w:szCs w:val="20"/>
              </w:rPr>
              <w:t>1456.77</w:t>
            </w:r>
          </w:p>
        </w:tc>
        <w:tc>
          <w:tcPr>
            <w:tcW w:w="1212" w:type="pct"/>
            <w:gridSpan w:val="3"/>
            <w:shd w:val="clear" w:color="auto" w:fill="FFFFFF" w:themeFill="background1"/>
            <w:noWrap/>
            <w:vAlign w:val="center"/>
            <w:hideMark/>
          </w:tcPr>
          <w:p w:rsidR="00DC5B87" w:rsidRPr="00DC5B87" w:rsidRDefault="00DC5B87" w:rsidP="00742C1D">
            <w:pPr>
              <w:pStyle w:val="Table"/>
              <w:jc w:val="center"/>
              <w:rPr>
                <w:rFonts w:ascii="Arial Narrow" w:hAnsi="Arial Narrow"/>
                <w:szCs w:val="20"/>
              </w:rPr>
            </w:pPr>
            <w:r w:rsidRPr="00DC5B87">
              <w:rPr>
                <w:rFonts w:ascii="Arial Narrow" w:hAnsi="Arial Narrow"/>
                <w:szCs w:val="20"/>
              </w:rPr>
              <w:t>11.70</w:t>
            </w:r>
          </w:p>
        </w:tc>
        <w:tc>
          <w:tcPr>
            <w:tcW w:w="1300" w:type="pct"/>
            <w:gridSpan w:val="2"/>
            <w:shd w:val="clear" w:color="auto" w:fill="FFFFFF" w:themeFill="background1"/>
            <w:vAlign w:val="center"/>
          </w:tcPr>
          <w:p w:rsidR="00DC5B87" w:rsidRPr="00DC5B87" w:rsidRDefault="00DC5B87" w:rsidP="00742C1D">
            <w:pPr>
              <w:pStyle w:val="Table"/>
              <w:jc w:val="center"/>
              <w:rPr>
                <w:rFonts w:ascii="Arial Narrow" w:hAnsi="Arial Narrow"/>
                <w:szCs w:val="20"/>
              </w:rPr>
            </w:pPr>
            <w:r w:rsidRPr="00DC5B87">
              <w:rPr>
                <w:rFonts w:ascii="Arial Narrow" w:hAnsi="Arial Narrow"/>
                <w:szCs w:val="20"/>
              </w:rPr>
              <w:t>$</w:t>
            </w:r>
            <w:r w:rsidR="00534A2B">
              <w:rPr>
                <w:rFonts w:ascii="Arial Narrow" w:hAnsi="Arial Narrow"/>
                <w:noProof/>
                <w:color w:val="000000"/>
                <w:szCs w:val="20"/>
                <w:highlight w:val="black"/>
              </w:rPr>
              <w:t>'''''''''''''''''</w:t>
            </w:r>
          </w:p>
        </w:tc>
      </w:tr>
      <w:tr w:rsidR="00DC5B87" w:rsidRPr="00DC5B87" w:rsidTr="00742C1D">
        <w:trPr>
          <w:trHeight w:val="20"/>
        </w:trPr>
        <w:tc>
          <w:tcPr>
            <w:tcW w:w="5000" w:type="pct"/>
            <w:gridSpan w:val="9"/>
            <w:shd w:val="clear" w:color="auto" w:fill="FFFFFF" w:themeFill="background1"/>
            <w:noWrap/>
            <w:vAlign w:val="center"/>
            <w:hideMark/>
          </w:tcPr>
          <w:p w:rsidR="00DC5B87" w:rsidRPr="00DC5B87" w:rsidRDefault="00DC5B87" w:rsidP="00742C1D">
            <w:pPr>
              <w:pStyle w:val="Table"/>
              <w:rPr>
                <w:rFonts w:ascii="Arial Narrow" w:hAnsi="Arial Narrow"/>
                <w:b/>
                <w:szCs w:val="20"/>
              </w:rPr>
            </w:pPr>
            <w:r w:rsidRPr="00DC5B87">
              <w:rPr>
                <w:rFonts w:ascii="Arial Narrow" w:hAnsi="Arial Narrow"/>
                <w:b/>
                <w:szCs w:val="20"/>
              </w:rPr>
              <w:t xml:space="preserve">Illustrative </w:t>
            </w:r>
            <w:proofErr w:type="spellStart"/>
            <w:r w:rsidRPr="00DC5B87">
              <w:rPr>
                <w:rFonts w:ascii="Arial Narrow" w:hAnsi="Arial Narrow"/>
                <w:b/>
                <w:szCs w:val="20"/>
              </w:rPr>
              <w:t>brivaracetam</w:t>
            </w:r>
            <w:proofErr w:type="spellEnd"/>
            <w:r w:rsidRPr="00DC5B87">
              <w:rPr>
                <w:rFonts w:ascii="Arial Narrow" w:hAnsi="Arial Narrow"/>
                <w:b/>
                <w:szCs w:val="20"/>
              </w:rPr>
              <w:t xml:space="preserve"> pricing</w:t>
            </w:r>
          </w:p>
        </w:tc>
      </w:tr>
      <w:tr w:rsidR="00DC5B87" w:rsidRPr="00DC5B87" w:rsidTr="00742C1D">
        <w:tblPrEx>
          <w:tblCellMar>
            <w:left w:w="85" w:type="dxa"/>
            <w:right w:w="85" w:type="dxa"/>
          </w:tblCellMar>
        </w:tblPrEx>
        <w:trPr>
          <w:trHeight w:val="20"/>
        </w:trPr>
        <w:tc>
          <w:tcPr>
            <w:tcW w:w="763" w:type="pct"/>
            <w:shd w:val="clear" w:color="auto" w:fill="FFFFFF" w:themeFill="background1"/>
            <w:hideMark/>
          </w:tcPr>
          <w:p w:rsidR="00DC5B87" w:rsidRPr="00DC5B87" w:rsidRDefault="00DC5B87" w:rsidP="00742C1D">
            <w:pPr>
              <w:pStyle w:val="Table"/>
              <w:jc w:val="center"/>
              <w:rPr>
                <w:rStyle w:val="SmallBold"/>
                <w:rFonts w:ascii="Arial Narrow" w:hAnsi="Arial Narrow"/>
                <w:szCs w:val="20"/>
              </w:rPr>
            </w:pPr>
            <w:r w:rsidRPr="00DC5B87">
              <w:rPr>
                <w:rStyle w:val="SmallBold"/>
                <w:rFonts w:ascii="Arial Narrow" w:hAnsi="Arial Narrow"/>
                <w:szCs w:val="20"/>
              </w:rPr>
              <w:t>Strength (mg)</w:t>
            </w:r>
          </w:p>
        </w:tc>
        <w:tc>
          <w:tcPr>
            <w:tcW w:w="750" w:type="pct"/>
            <w:shd w:val="clear" w:color="auto" w:fill="FFFFFF" w:themeFill="background1"/>
          </w:tcPr>
          <w:p w:rsidR="00DC5B87" w:rsidRPr="00DC5B87" w:rsidRDefault="00DC5B87" w:rsidP="00742C1D">
            <w:pPr>
              <w:pStyle w:val="TableCentre"/>
              <w:rPr>
                <w:rStyle w:val="SmallBold"/>
                <w:rFonts w:ascii="Arial Narrow" w:hAnsi="Arial Narrow"/>
                <w:szCs w:val="20"/>
              </w:rPr>
            </w:pPr>
            <w:r w:rsidRPr="00DC5B87">
              <w:rPr>
                <w:rStyle w:val="SmallBold"/>
                <w:rFonts w:ascii="Arial Narrow" w:hAnsi="Arial Narrow"/>
                <w:szCs w:val="20"/>
              </w:rPr>
              <w:t>Maximum Quantity</w:t>
            </w:r>
          </w:p>
        </w:tc>
        <w:tc>
          <w:tcPr>
            <w:tcW w:w="599" w:type="pct"/>
            <w:shd w:val="clear" w:color="auto" w:fill="FFFFFF" w:themeFill="background1"/>
            <w:hideMark/>
          </w:tcPr>
          <w:p w:rsidR="00DC5B87" w:rsidRPr="00DC5B87" w:rsidRDefault="00DC5B87" w:rsidP="00742C1D">
            <w:pPr>
              <w:pStyle w:val="TableCentre"/>
              <w:rPr>
                <w:rStyle w:val="SmallBold"/>
                <w:rFonts w:ascii="Arial Narrow" w:hAnsi="Arial Narrow"/>
                <w:szCs w:val="20"/>
              </w:rPr>
            </w:pPr>
            <w:r w:rsidRPr="00DC5B87">
              <w:rPr>
                <w:rStyle w:val="SmallBold"/>
                <w:rFonts w:ascii="Arial Narrow" w:hAnsi="Arial Narrow"/>
                <w:szCs w:val="20"/>
              </w:rPr>
              <w:t>Flat price AEMP /tablet</w:t>
            </w:r>
          </w:p>
        </w:tc>
        <w:tc>
          <w:tcPr>
            <w:tcW w:w="598" w:type="pct"/>
            <w:gridSpan w:val="2"/>
            <w:shd w:val="clear" w:color="auto" w:fill="FFFFFF" w:themeFill="background1"/>
          </w:tcPr>
          <w:p w:rsidR="00DC5B87" w:rsidRPr="00DC5B87" w:rsidRDefault="00DC5B87" w:rsidP="00742C1D">
            <w:pPr>
              <w:pStyle w:val="TableCentre"/>
              <w:rPr>
                <w:rStyle w:val="SmallBold"/>
                <w:rFonts w:ascii="Arial Narrow" w:hAnsi="Arial Narrow"/>
                <w:szCs w:val="20"/>
              </w:rPr>
            </w:pPr>
            <w:r w:rsidRPr="00DC5B87">
              <w:rPr>
                <w:rStyle w:val="SmallBold"/>
                <w:rFonts w:ascii="Arial Narrow" w:hAnsi="Arial Narrow"/>
                <w:szCs w:val="20"/>
              </w:rPr>
              <w:t>AEMP</w:t>
            </w:r>
          </w:p>
        </w:tc>
        <w:tc>
          <w:tcPr>
            <w:tcW w:w="599" w:type="pct"/>
            <w:shd w:val="clear" w:color="auto" w:fill="FFFFFF" w:themeFill="background1"/>
            <w:hideMark/>
          </w:tcPr>
          <w:p w:rsidR="00DC5B87" w:rsidRPr="00DC5B87" w:rsidRDefault="00DC5B87" w:rsidP="00742C1D">
            <w:pPr>
              <w:pStyle w:val="TableCentre"/>
              <w:rPr>
                <w:rStyle w:val="SmallBold"/>
                <w:rFonts w:ascii="Arial Narrow" w:hAnsi="Arial Narrow"/>
                <w:szCs w:val="20"/>
              </w:rPr>
            </w:pPr>
            <w:r w:rsidRPr="00DC5B87">
              <w:rPr>
                <w:rStyle w:val="SmallBold"/>
                <w:rFonts w:ascii="Arial Narrow" w:hAnsi="Arial Narrow"/>
                <w:szCs w:val="20"/>
              </w:rPr>
              <w:t>DPMQ</w:t>
            </w:r>
          </w:p>
        </w:tc>
        <w:tc>
          <w:tcPr>
            <w:tcW w:w="856" w:type="pct"/>
            <w:gridSpan w:val="2"/>
            <w:shd w:val="clear" w:color="auto" w:fill="FFFFFF" w:themeFill="background1"/>
          </w:tcPr>
          <w:p w:rsidR="00DC5B87" w:rsidRPr="00DC5B87" w:rsidRDefault="00DC5B87" w:rsidP="00742C1D">
            <w:pPr>
              <w:pStyle w:val="TableCentre"/>
              <w:rPr>
                <w:rStyle w:val="SmallBold"/>
                <w:rFonts w:ascii="Arial Narrow" w:hAnsi="Arial Narrow"/>
                <w:szCs w:val="20"/>
              </w:rPr>
            </w:pPr>
            <w:r w:rsidRPr="00DC5B87">
              <w:rPr>
                <w:rStyle w:val="SmallBold"/>
                <w:rFonts w:ascii="Arial Narrow" w:hAnsi="Arial Narrow"/>
                <w:szCs w:val="20"/>
              </w:rPr>
              <w:t xml:space="preserve">Reduction in AEMP </w:t>
            </w:r>
            <w:r w:rsidRPr="00DC5B87">
              <w:rPr>
                <w:rStyle w:val="SmallBold"/>
                <w:rFonts w:ascii="Arial Narrow" w:hAnsi="Arial Narrow"/>
                <w:i/>
                <w:szCs w:val="20"/>
              </w:rPr>
              <w:t>vs.</w:t>
            </w:r>
            <w:r w:rsidRPr="00DC5B87">
              <w:rPr>
                <w:rStyle w:val="SmallBold"/>
                <w:rFonts w:ascii="Arial Narrow" w:hAnsi="Arial Narrow"/>
                <w:szCs w:val="20"/>
              </w:rPr>
              <w:t xml:space="preserve"> the proposed published </w:t>
            </w:r>
            <w:proofErr w:type="spellStart"/>
            <w:r w:rsidRPr="00DC5B87">
              <w:rPr>
                <w:rStyle w:val="SmallBold"/>
                <w:rFonts w:ascii="Arial Narrow" w:hAnsi="Arial Narrow"/>
                <w:szCs w:val="20"/>
              </w:rPr>
              <w:t>price</w:t>
            </w:r>
            <w:r w:rsidRPr="00DC5B87">
              <w:rPr>
                <w:rStyle w:val="SmallBold"/>
                <w:rFonts w:ascii="Arial Narrow" w:hAnsi="Arial Narrow"/>
                <w:szCs w:val="20"/>
                <w:vertAlign w:val="superscript"/>
              </w:rPr>
              <w:t>a</w:t>
            </w:r>
            <w:proofErr w:type="spellEnd"/>
          </w:p>
        </w:tc>
        <w:tc>
          <w:tcPr>
            <w:tcW w:w="835" w:type="pct"/>
            <w:shd w:val="clear" w:color="auto" w:fill="FFFFFF" w:themeFill="background1"/>
          </w:tcPr>
          <w:p w:rsidR="00DC5B87" w:rsidRPr="00DC5B87" w:rsidRDefault="00DC5B87" w:rsidP="00742C1D">
            <w:pPr>
              <w:pStyle w:val="TableCentre"/>
              <w:rPr>
                <w:rStyle w:val="SmallBold"/>
                <w:rFonts w:ascii="Arial Narrow" w:hAnsi="Arial Narrow"/>
                <w:szCs w:val="20"/>
              </w:rPr>
            </w:pPr>
            <w:r w:rsidRPr="00DC5B87">
              <w:rPr>
                <w:rStyle w:val="SmallBold"/>
                <w:rFonts w:ascii="Arial Narrow" w:hAnsi="Arial Narrow"/>
                <w:szCs w:val="20"/>
              </w:rPr>
              <w:t xml:space="preserve">Reduction in DPMQ </w:t>
            </w:r>
            <w:r w:rsidRPr="00DC5B87">
              <w:rPr>
                <w:rStyle w:val="SmallBold"/>
                <w:rFonts w:ascii="Arial Narrow" w:hAnsi="Arial Narrow"/>
                <w:i/>
                <w:szCs w:val="20"/>
              </w:rPr>
              <w:t>vs.</w:t>
            </w:r>
            <w:r w:rsidRPr="00DC5B87">
              <w:rPr>
                <w:rStyle w:val="SmallBold"/>
                <w:rFonts w:ascii="Arial Narrow" w:hAnsi="Arial Narrow"/>
                <w:szCs w:val="20"/>
              </w:rPr>
              <w:t xml:space="preserve"> the proposed published </w:t>
            </w:r>
            <w:proofErr w:type="spellStart"/>
            <w:r w:rsidRPr="00DC5B87">
              <w:rPr>
                <w:rStyle w:val="SmallBold"/>
                <w:rFonts w:ascii="Arial Narrow" w:hAnsi="Arial Narrow"/>
                <w:szCs w:val="20"/>
              </w:rPr>
              <w:t>price</w:t>
            </w:r>
            <w:r w:rsidRPr="00DC5B87">
              <w:rPr>
                <w:rStyle w:val="SmallBold"/>
                <w:rFonts w:ascii="Arial Narrow" w:hAnsi="Arial Narrow"/>
                <w:szCs w:val="20"/>
                <w:vertAlign w:val="superscript"/>
              </w:rPr>
              <w:t>a</w:t>
            </w:r>
            <w:proofErr w:type="spellEnd"/>
          </w:p>
        </w:tc>
      </w:tr>
      <w:tr w:rsidR="00DC5B87" w:rsidRPr="00DC5B87" w:rsidTr="00742C1D">
        <w:tblPrEx>
          <w:tblCellMar>
            <w:left w:w="85" w:type="dxa"/>
            <w:right w:w="85" w:type="dxa"/>
          </w:tblCellMar>
        </w:tblPrEx>
        <w:trPr>
          <w:trHeight w:val="20"/>
        </w:trPr>
        <w:tc>
          <w:tcPr>
            <w:tcW w:w="5000" w:type="pct"/>
            <w:gridSpan w:val="9"/>
            <w:shd w:val="clear" w:color="auto" w:fill="FFFFFF" w:themeFill="background1"/>
          </w:tcPr>
          <w:p w:rsidR="00DC5B87" w:rsidRPr="00DC5B87" w:rsidRDefault="00DC5B87" w:rsidP="00742C1D">
            <w:pPr>
              <w:pStyle w:val="TableCentre"/>
              <w:ind w:right="-57"/>
              <w:jc w:val="both"/>
              <w:rPr>
                <w:rStyle w:val="SmallBold"/>
                <w:rFonts w:ascii="Arial Narrow" w:hAnsi="Arial Narrow"/>
                <w:b w:val="0"/>
                <w:szCs w:val="20"/>
              </w:rPr>
            </w:pPr>
            <w:r w:rsidRPr="00DC5B87">
              <w:rPr>
                <w:rStyle w:val="SmallBold"/>
                <w:rFonts w:ascii="Arial Narrow" w:hAnsi="Arial Narrow"/>
                <w:szCs w:val="20"/>
              </w:rPr>
              <w:t xml:space="preserve">75% refractory and 25% non-refractory, </w:t>
            </w:r>
            <w:proofErr w:type="spellStart"/>
            <w:r w:rsidRPr="00DC5B87">
              <w:rPr>
                <w:rStyle w:val="SmallBold"/>
                <w:rFonts w:ascii="Arial Narrow" w:hAnsi="Arial Narrow"/>
                <w:szCs w:val="20"/>
              </w:rPr>
              <w:t>levetiracetam</w:t>
            </w:r>
            <w:proofErr w:type="spellEnd"/>
            <w:r w:rsidRPr="00DC5B87">
              <w:rPr>
                <w:rStyle w:val="SmallBold"/>
                <w:rFonts w:ascii="Arial Narrow" w:hAnsi="Arial Narrow"/>
                <w:szCs w:val="20"/>
              </w:rPr>
              <w:t>-intolerant</w:t>
            </w:r>
          </w:p>
        </w:tc>
      </w:tr>
      <w:tr w:rsidR="00DC5B87" w:rsidRPr="00DC5B87" w:rsidTr="00742C1D">
        <w:tblPrEx>
          <w:tblCellMar>
            <w:left w:w="85" w:type="dxa"/>
            <w:right w:w="85" w:type="dxa"/>
          </w:tblCellMar>
        </w:tblPrEx>
        <w:trPr>
          <w:trHeight w:val="20"/>
        </w:trPr>
        <w:tc>
          <w:tcPr>
            <w:tcW w:w="763" w:type="pct"/>
            <w:shd w:val="clear" w:color="auto" w:fill="FFFFFF" w:themeFill="background1"/>
            <w:noWrap/>
          </w:tcPr>
          <w:p w:rsidR="00DC5B87" w:rsidRPr="00DC5B87" w:rsidRDefault="00DC5B87" w:rsidP="00742C1D">
            <w:pPr>
              <w:pStyle w:val="Table"/>
              <w:ind w:right="-57"/>
              <w:jc w:val="center"/>
              <w:rPr>
                <w:rFonts w:ascii="Arial Narrow" w:hAnsi="Arial Narrow"/>
                <w:szCs w:val="20"/>
              </w:rPr>
            </w:pPr>
            <w:r w:rsidRPr="00DC5B87">
              <w:rPr>
                <w:rFonts w:ascii="Arial Narrow" w:hAnsi="Arial Narrow"/>
                <w:szCs w:val="20"/>
              </w:rPr>
              <w:t>25, 50, 75, 100</w:t>
            </w:r>
          </w:p>
        </w:tc>
        <w:tc>
          <w:tcPr>
            <w:tcW w:w="750" w:type="pct"/>
            <w:shd w:val="clear" w:color="auto" w:fill="FFFFFF" w:themeFill="background1"/>
          </w:tcPr>
          <w:p w:rsidR="00DC5B87" w:rsidRPr="00DC5B87" w:rsidRDefault="00DC5B87" w:rsidP="00742C1D">
            <w:pPr>
              <w:pStyle w:val="TableCentre"/>
              <w:rPr>
                <w:rFonts w:ascii="Arial Narrow" w:hAnsi="Arial Narrow"/>
                <w:szCs w:val="20"/>
              </w:rPr>
            </w:pPr>
            <w:r w:rsidRPr="00DC5B87">
              <w:rPr>
                <w:rFonts w:ascii="Arial Narrow" w:hAnsi="Arial Narrow"/>
                <w:szCs w:val="20"/>
              </w:rPr>
              <w:t>56</w:t>
            </w:r>
          </w:p>
        </w:tc>
        <w:tc>
          <w:tcPr>
            <w:tcW w:w="599" w:type="pct"/>
            <w:shd w:val="clear" w:color="auto" w:fill="FFFFFF" w:themeFill="background1"/>
            <w:noWrap/>
            <w:vAlign w:val="center"/>
          </w:tcPr>
          <w:p w:rsidR="00DC5B87" w:rsidRPr="00DC5B87" w:rsidRDefault="00DC5B87" w:rsidP="00742C1D">
            <w:pPr>
              <w:pStyle w:val="TableCentre"/>
              <w:rPr>
                <w:rFonts w:ascii="Arial Narrow" w:hAnsi="Arial Narrow"/>
                <w:szCs w:val="20"/>
              </w:rPr>
            </w:pPr>
            <w:r w:rsidRPr="00DC5B87">
              <w:rPr>
                <w:rFonts w:ascii="Arial Narrow" w:hAnsi="Arial Narrow"/>
                <w:szCs w:val="20"/>
              </w:rPr>
              <w:t>$</w:t>
            </w:r>
            <w:r w:rsidR="00534A2B">
              <w:rPr>
                <w:rFonts w:ascii="Arial Narrow" w:hAnsi="Arial Narrow"/>
                <w:noProof/>
                <w:color w:val="000000"/>
                <w:szCs w:val="20"/>
                <w:highlight w:val="black"/>
              </w:rPr>
              <w:t>'''''''''''</w:t>
            </w:r>
          </w:p>
        </w:tc>
        <w:tc>
          <w:tcPr>
            <w:tcW w:w="598" w:type="pct"/>
            <w:gridSpan w:val="2"/>
            <w:shd w:val="clear" w:color="auto" w:fill="FFFFFF" w:themeFill="background1"/>
          </w:tcPr>
          <w:p w:rsidR="00DC5B87" w:rsidRPr="00DC5B87" w:rsidRDefault="00DC5B87" w:rsidP="00742C1D">
            <w:pPr>
              <w:pStyle w:val="TableCentre"/>
              <w:rPr>
                <w:rFonts w:ascii="Arial Narrow" w:hAnsi="Arial Narrow"/>
                <w:szCs w:val="20"/>
              </w:rPr>
            </w:pPr>
            <w:r w:rsidRPr="00DC5B87">
              <w:rPr>
                <w:rFonts w:ascii="Arial Narrow" w:hAnsi="Arial Narrow"/>
                <w:szCs w:val="20"/>
              </w:rPr>
              <w:t>$</w:t>
            </w:r>
            <w:r w:rsidR="00534A2B">
              <w:rPr>
                <w:rFonts w:ascii="Arial Narrow" w:hAnsi="Arial Narrow"/>
                <w:noProof/>
                <w:color w:val="000000"/>
                <w:szCs w:val="20"/>
                <w:highlight w:val="black"/>
              </w:rPr>
              <w:t>''''''''''''''''</w:t>
            </w:r>
          </w:p>
        </w:tc>
        <w:tc>
          <w:tcPr>
            <w:tcW w:w="599" w:type="pct"/>
            <w:shd w:val="clear" w:color="auto" w:fill="FFFFFF" w:themeFill="background1"/>
            <w:noWrap/>
          </w:tcPr>
          <w:p w:rsidR="00DC5B87" w:rsidRPr="00DC5B87" w:rsidRDefault="00DC5B87" w:rsidP="00742C1D">
            <w:pPr>
              <w:pStyle w:val="TableCentre"/>
              <w:rPr>
                <w:rFonts w:ascii="Arial Narrow" w:hAnsi="Arial Narrow"/>
                <w:szCs w:val="20"/>
              </w:rPr>
            </w:pPr>
            <w:r w:rsidRPr="00DC5B87">
              <w:rPr>
                <w:rFonts w:ascii="Arial Narrow" w:hAnsi="Arial Narrow"/>
                <w:szCs w:val="20"/>
              </w:rPr>
              <w:t>$</w:t>
            </w:r>
            <w:r w:rsidR="00534A2B">
              <w:rPr>
                <w:rFonts w:ascii="Arial Narrow" w:hAnsi="Arial Narrow"/>
                <w:noProof/>
                <w:color w:val="000000"/>
                <w:szCs w:val="20"/>
                <w:highlight w:val="black"/>
              </w:rPr>
              <w:t>'''''''''''''''</w:t>
            </w:r>
          </w:p>
        </w:tc>
        <w:tc>
          <w:tcPr>
            <w:tcW w:w="856" w:type="pct"/>
            <w:gridSpan w:val="2"/>
            <w:shd w:val="clear" w:color="auto" w:fill="FFFFFF" w:themeFill="background1"/>
          </w:tcPr>
          <w:p w:rsidR="00DC5B87" w:rsidRPr="00DC5B87" w:rsidRDefault="00DC5B87" w:rsidP="00742C1D">
            <w:pPr>
              <w:pStyle w:val="TableCentre"/>
              <w:rPr>
                <w:rFonts w:ascii="Arial Narrow" w:hAnsi="Arial Narrow"/>
                <w:szCs w:val="20"/>
              </w:rPr>
            </w:pPr>
            <w:r w:rsidRPr="00DC5B87">
              <w:rPr>
                <w:rFonts w:ascii="Arial Narrow" w:hAnsi="Arial Narrow"/>
                <w:szCs w:val="20"/>
              </w:rPr>
              <w:t>-</w:t>
            </w:r>
            <w:r w:rsidR="00534A2B">
              <w:rPr>
                <w:rFonts w:ascii="Arial Narrow" w:hAnsi="Arial Narrow"/>
                <w:noProof/>
                <w:color w:val="000000"/>
                <w:szCs w:val="20"/>
                <w:highlight w:val="black"/>
              </w:rPr>
              <w:t>''''''</w:t>
            </w:r>
            <w:r w:rsidRPr="00DC5B87">
              <w:rPr>
                <w:rFonts w:ascii="Arial Narrow" w:hAnsi="Arial Narrow"/>
                <w:szCs w:val="20"/>
              </w:rPr>
              <w:t>%</w:t>
            </w:r>
          </w:p>
        </w:tc>
        <w:tc>
          <w:tcPr>
            <w:tcW w:w="835" w:type="pct"/>
            <w:shd w:val="clear" w:color="auto" w:fill="FFFFFF" w:themeFill="background1"/>
          </w:tcPr>
          <w:p w:rsidR="00DC5B87" w:rsidRPr="00DC5B87" w:rsidRDefault="00DC5B87" w:rsidP="00742C1D">
            <w:pPr>
              <w:pStyle w:val="TableCentre"/>
              <w:rPr>
                <w:rFonts w:ascii="Arial Narrow" w:hAnsi="Arial Narrow"/>
                <w:szCs w:val="20"/>
              </w:rPr>
            </w:pPr>
            <w:r w:rsidRPr="00DC5B87">
              <w:rPr>
                <w:rFonts w:ascii="Arial Narrow" w:hAnsi="Arial Narrow"/>
                <w:szCs w:val="20"/>
              </w:rPr>
              <w:t>-</w:t>
            </w:r>
            <w:r w:rsidR="00534A2B">
              <w:rPr>
                <w:rFonts w:ascii="Arial Narrow" w:hAnsi="Arial Narrow"/>
                <w:noProof/>
                <w:color w:val="000000"/>
                <w:szCs w:val="20"/>
                <w:highlight w:val="black"/>
              </w:rPr>
              <w:t>'''''</w:t>
            </w:r>
            <w:r w:rsidRPr="00DC5B87">
              <w:rPr>
                <w:rFonts w:ascii="Arial Narrow" w:hAnsi="Arial Narrow"/>
                <w:szCs w:val="20"/>
              </w:rPr>
              <w:t>%</w:t>
            </w:r>
          </w:p>
        </w:tc>
      </w:tr>
      <w:tr w:rsidR="00DC5B87" w:rsidRPr="00DC5B87" w:rsidTr="00742C1D">
        <w:tblPrEx>
          <w:tblCellMar>
            <w:left w:w="85" w:type="dxa"/>
            <w:right w:w="85" w:type="dxa"/>
          </w:tblCellMar>
        </w:tblPrEx>
        <w:trPr>
          <w:trHeight w:val="20"/>
        </w:trPr>
        <w:tc>
          <w:tcPr>
            <w:tcW w:w="5000" w:type="pct"/>
            <w:gridSpan w:val="9"/>
            <w:shd w:val="clear" w:color="auto" w:fill="FFFFFF" w:themeFill="background1"/>
          </w:tcPr>
          <w:p w:rsidR="00DC5B87" w:rsidRPr="00DC5B87" w:rsidRDefault="00DC5B87" w:rsidP="00742C1D">
            <w:pPr>
              <w:pStyle w:val="TableCentre"/>
              <w:ind w:right="-57"/>
              <w:jc w:val="both"/>
              <w:rPr>
                <w:rStyle w:val="SmallBold"/>
                <w:rFonts w:ascii="Arial Narrow" w:hAnsi="Arial Narrow"/>
                <w:szCs w:val="20"/>
              </w:rPr>
            </w:pPr>
            <w:r w:rsidRPr="00DC5B87">
              <w:rPr>
                <w:rStyle w:val="SmallBold"/>
                <w:rFonts w:ascii="Arial Narrow" w:hAnsi="Arial Narrow"/>
                <w:szCs w:val="20"/>
              </w:rPr>
              <w:t>Proposed effective price</w:t>
            </w:r>
          </w:p>
        </w:tc>
      </w:tr>
      <w:tr w:rsidR="00DC5B87" w:rsidRPr="00DC5B87" w:rsidTr="00742C1D">
        <w:tblPrEx>
          <w:tblCellMar>
            <w:left w:w="85" w:type="dxa"/>
            <w:right w:w="85" w:type="dxa"/>
          </w:tblCellMar>
        </w:tblPrEx>
        <w:trPr>
          <w:trHeight w:val="20"/>
        </w:trPr>
        <w:tc>
          <w:tcPr>
            <w:tcW w:w="763" w:type="pct"/>
            <w:shd w:val="clear" w:color="auto" w:fill="FFFFFF" w:themeFill="background1"/>
            <w:noWrap/>
          </w:tcPr>
          <w:p w:rsidR="00DC5B87" w:rsidRPr="00DC5B87" w:rsidRDefault="00DC5B87" w:rsidP="00742C1D">
            <w:pPr>
              <w:pStyle w:val="Table"/>
              <w:ind w:right="-57"/>
              <w:jc w:val="center"/>
              <w:rPr>
                <w:rFonts w:ascii="Arial Narrow" w:hAnsi="Arial Narrow"/>
                <w:b/>
                <w:szCs w:val="20"/>
              </w:rPr>
            </w:pPr>
            <w:r w:rsidRPr="00DC5B87">
              <w:rPr>
                <w:rFonts w:ascii="Arial Narrow" w:hAnsi="Arial Narrow"/>
                <w:b/>
                <w:szCs w:val="20"/>
              </w:rPr>
              <w:t>25, 50, 75, 100</w:t>
            </w:r>
          </w:p>
        </w:tc>
        <w:tc>
          <w:tcPr>
            <w:tcW w:w="750" w:type="pct"/>
            <w:shd w:val="clear" w:color="auto" w:fill="FFFFFF" w:themeFill="background1"/>
          </w:tcPr>
          <w:p w:rsidR="00DC5B87" w:rsidRPr="00DC5B87" w:rsidRDefault="00DC5B87" w:rsidP="00742C1D">
            <w:pPr>
              <w:pStyle w:val="TableCentre"/>
              <w:rPr>
                <w:rFonts w:ascii="Arial Narrow" w:hAnsi="Arial Narrow"/>
                <w:b/>
                <w:szCs w:val="20"/>
              </w:rPr>
            </w:pPr>
            <w:r w:rsidRPr="00DC5B87">
              <w:rPr>
                <w:rFonts w:ascii="Arial Narrow" w:hAnsi="Arial Narrow"/>
                <w:b/>
                <w:szCs w:val="20"/>
              </w:rPr>
              <w:t>56</w:t>
            </w:r>
          </w:p>
        </w:tc>
        <w:tc>
          <w:tcPr>
            <w:tcW w:w="599" w:type="pct"/>
            <w:shd w:val="clear" w:color="auto" w:fill="FFFFFF" w:themeFill="background1"/>
            <w:noWrap/>
            <w:vAlign w:val="center"/>
          </w:tcPr>
          <w:p w:rsidR="00DC5B87" w:rsidRPr="00DC5B87" w:rsidRDefault="00DC5B87" w:rsidP="00742C1D">
            <w:pPr>
              <w:pStyle w:val="TableCentre"/>
              <w:rPr>
                <w:rFonts w:ascii="Arial Narrow" w:hAnsi="Arial Narrow"/>
                <w:b/>
                <w:szCs w:val="20"/>
              </w:rPr>
            </w:pPr>
            <w:r w:rsidRPr="00DC5B87">
              <w:rPr>
                <w:rFonts w:ascii="Arial Narrow" w:hAnsi="Arial Narrow"/>
                <w:b/>
                <w:szCs w:val="20"/>
              </w:rPr>
              <w:t>$</w:t>
            </w:r>
            <w:r w:rsidR="00534A2B">
              <w:rPr>
                <w:rFonts w:ascii="Arial Narrow" w:hAnsi="Arial Narrow"/>
                <w:b/>
                <w:noProof/>
                <w:color w:val="000000"/>
                <w:szCs w:val="20"/>
                <w:highlight w:val="black"/>
              </w:rPr>
              <w:t>'''''''''</w:t>
            </w:r>
          </w:p>
        </w:tc>
        <w:tc>
          <w:tcPr>
            <w:tcW w:w="598" w:type="pct"/>
            <w:gridSpan w:val="2"/>
            <w:shd w:val="clear" w:color="auto" w:fill="FFFFFF" w:themeFill="background1"/>
          </w:tcPr>
          <w:p w:rsidR="00DC5B87" w:rsidRPr="00DC5B87" w:rsidRDefault="00DC5B87" w:rsidP="00742C1D">
            <w:pPr>
              <w:pStyle w:val="TableCentre"/>
              <w:rPr>
                <w:rFonts w:ascii="Arial Narrow" w:hAnsi="Arial Narrow"/>
                <w:b/>
                <w:szCs w:val="20"/>
              </w:rPr>
            </w:pPr>
            <w:r w:rsidRPr="00DC5B87">
              <w:rPr>
                <w:rFonts w:ascii="Arial Narrow" w:hAnsi="Arial Narrow"/>
                <w:b/>
                <w:szCs w:val="20"/>
              </w:rPr>
              <w:t>$</w:t>
            </w:r>
            <w:r w:rsidR="00534A2B">
              <w:rPr>
                <w:rFonts w:ascii="Arial Narrow" w:hAnsi="Arial Narrow"/>
                <w:b/>
                <w:noProof/>
                <w:color w:val="000000"/>
                <w:szCs w:val="20"/>
                <w:highlight w:val="black"/>
              </w:rPr>
              <w:t>'''''''''''''''</w:t>
            </w:r>
          </w:p>
        </w:tc>
        <w:tc>
          <w:tcPr>
            <w:tcW w:w="599" w:type="pct"/>
            <w:shd w:val="clear" w:color="auto" w:fill="FFFFFF" w:themeFill="background1"/>
            <w:noWrap/>
          </w:tcPr>
          <w:p w:rsidR="00DC5B87" w:rsidRPr="00DC5B87" w:rsidRDefault="00DC5B87" w:rsidP="00742C1D">
            <w:pPr>
              <w:pStyle w:val="TableCentre"/>
              <w:rPr>
                <w:rFonts w:ascii="Arial Narrow" w:hAnsi="Arial Narrow"/>
                <w:b/>
                <w:szCs w:val="20"/>
              </w:rPr>
            </w:pPr>
            <w:r w:rsidRPr="00DC5B87">
              <w:rPr>
                <w:rFonts w:ascii="Arial Narrow" w:hAnsi="Arial Narrow"/>
                <w:b/>
                <w:szCs w:val="20"/>
              </w:rPr>
              <w:t>$</w:t>
            </w:r>
            <w:r w:rsidR="00534A2B">
              <w:rPr>
                <w:rFonts w:ascii="Arial Narrow" w:hAnsi="Arial Narrow"/>
                <w:b/>
                <w:noProof/>
                <w:color w:val="000000"/>
                <w:szCs w:val="20"/>
                <w:highlight w:val="black"/>
              </w:rPr>
              <w:t>''''''''''''</w:t>
            </w:r>
          </w:p>
        </w:tc>
        <w:tc>
          <w:tcPr>
            <w:tcW w:w="856" w:type="pct"/>
            <w:gridSpan w:val="2"/>
            <w:shd w:val="clear" w:color="auto" w:fill="FFFFFF" w:themeFill="background1"/>
          </w:tcPr>
          <w:p w:rsidR="00DC5B87" w:rsidRPr="00DC5B87" w:rsidRDefault="00DC5B87" w:rsidP="00742C1D">
            <w:pPr>
              <w:pStyle w:val="TableCentre"/>
              <w:rPr>
                <w:rFonts w:ascii="Arial Narrow" w:hAnsi="Arial Narrow"/>
                <w:b/>
                <w:szCs w:val="20"/>
              </w:rPr>
            </w:pPr>
            <w:r w:rsidRPr="00DC5B87">
              <w:rPr>
                <w:rFonts w:ascii="Arial Narrow" w:hAnsi="Arial Narrow"/>
                <w:b/>
                <w:szCs w:val="20"/>
              </w:rPr>
              <w:t>-</w:t>
            </w:r>
            <w:r w:rsidR="00534A2B">
              <w:rPr>
                <w:rFonts w:ascii="Arial Narrow" w:hAnsi="Arial Narrow"/>
                <w:b/>
                <w:noProof/>
                <w:color w:val="000000"/>
                <w:szCs w:val="20"/>
                <w:highlight w:val="black"/>
              </w:rPr>
              <w:t>'''''</w:t>
            </w:r>
            <w:r w:rsidRPr="00DC5B87">
              <w:rPr>
                <w:rFonts w:ascii="Arial Narrow" w:hAnsi="Arial Narrow"/>
                <w:b/>
                <w:szCs w:val="20"/>
              </w:rPr>
              <w:t>%</w:t>
            </w:r>
          </w:p>
        </w:tc>
        <w:tc>
          <w:tcPr>
            <w:tcW w:w="835" w:type="pct"/>
            <w:shd w:val="clear" w:color="auto" w:fill="FFFFFF" w:themeFill="background1"/>
          </w:tcPr>
          <w:p w:rsidR="00DC5B87" w:rsidRPr="00DC5B87" w:rsidRDefault="00DC5B87" w:rsidP="00742C1D">
            <w:pPr>
              <w:pStyle w:val="TableCentre"/>
              <w:rPr>
                <w:rFonts w:ascii="Arial Narrow" w:hAnsi="Arial Narrow"/>
                <w:b/>
                <w:szCs w:val="20"/>
              </w:rPr>
            </w:pPr>
            <w:r w:rsidRPr="00DC5B87">
              <w:rPr>
                <w:rFonts w:ascii="Arial Narrow" w:hAnsi="Arial Narrow"/>
                <w:b/>
                <w:szCs w:val="20"/>
              </w:rPr>
              <w:t>-</w:t>
            </w:r>
            <w:r w:rsidR="00534A2B">
              <w:rPr>
                <w:rFonts w:ascii="Arial Narrow" w:hAnsi="Arial Narrow"/>
                <w:b/>
                <w:noProof/>
                <w:color w:val="000000"/>
                <w:szCs w:val="20"/>
                <w:highlight w:val="black"/>
              </w:rPr>
              <w:t>'''''</w:t>
            </w:r>
            <w:r w:rsidRPr="00DC5B87">
              <w:rPr>
                <w:rFonts w:ascii="Arial Narrow" w:hAnsi="Arial Narrow"/>
                <w:b/>
                <w:szCs w:val="20"/>
              </w:rPr>
              <w:t>%</w:t>
            </w:r>
          </w:p>
        </w:tc>
      </w:tr>
    </w:tbl>
    <w:p w:rsidR="00DC5B87" w:rsidRPr="00DC5B87" w:rsidRDefault="00DC5B87" w:rsidP="00DC5B87">
      <w:pPr>
        <w:pStyle w:val="TableFooter"/>
        <w:ind w:left="720"/>
      </w:pPr>
      <w:r w:rsidRPr="00DC5B87">
        <w:t>AEMP = approved ex-manufacturer price; DPMQ = dispensed price for maximum quantity</w:t>
      </w:r>
    </w:p>
    <w:p w:rsidR="00DC5B87" w:rsidRPr="00DC5B87" w:rsidRDefault="00DC5B87" w:rsidP="00DC5B87">
      <w:pPr>
        <w:pStyle w:val="TableFooter"/>
        <w:ind w:left="720"/>
      </w:pPr>
      <w:proofErr w:type="spellStart"/>
      <w:proofErr w:type="gramStart"/>
      <w:r w:rsidRPr="00DC5B87">
        <w:rPr>
          <w:vertAlign w:val="superscript"/>
        </w:rPr>
        <w:t>a</w:t>
      </w:r>
      <w:proofErr w:type="spellEnd"/>
      <w:proofErr w:type="gramEnd"/>
      <w:r w:rsidRPr="00DC5B87">
        <w:t xml:space="preserve"> The cost-minimised price for </w:t>
      </w:r>
      <w:proofErr w:type="spellStart"/>
      <w:r w:rsidRPr="00DC5B87">
        <w:t>brivaracetam</w:t>
      </w:r>
      <w:proofErr w:type="spellEnd"/>
      <w:r w:rsidRPr="00DC5B87">
        <w:t xml:space="preserve"> in the refractory population is the published price proposed for </w:t>
      </w:r>
      <w:proofErr w:type="spellStart"/>
      <w:r w:rsidRPr="00DC5B87">
        <w:t>brivaracetam</w:t>
      </w:r>
      <w:proofErr w:type="spellEnd"/>
    </w:p>
    <w:p w:rsidR="00DC5B87" w:rsidRPr="00DC5B87" w:rsidRDefault="00DC5B87" w:rsidP="00DC5B87">
      <w:pPr>
        <w:pStyle w:val="TableFooter"/>
        <w:ind w:left="720"/>
      </w:pPr>
      <w:r w:rsidRPr="00DC5B87">
        <w:t xml:space="preserve">Source: Table D-15, p175 of the submission. </w:t>
      </w:r>
    </w:p>
    <w:p w:rsidR="00DC5B87" w:rsidRPr="00DC5B87" w:rsidRDefault="00DC5B87" w:rsidP="00DC5B87">
      <w:pPr>
        <w:pStyle w:val="ListParagraph"/>
        <w:rPr>
          <w:szCs w:val="22"/>
        </w:rPr>
      </w:pPr>
    </w:p>
    <w:p w:rsidR="00DC5B87" w:rsidRPr="00E2098F" w:rsidRDefault="00046841" w:rsidP="005E4448">
      <w:pPr>
        <w:pStyle w:val="ListParagraph"/>
        <w:numPr>
          <w:ilvl w:val="1"/>
          <w:numId w:val="2"/>
        </w:numPr>
        <w:rPr>
          <w:szCs w:val="22"/>
        </w:rPr>
      </w:pPr>
      <w:r>
        <w:rPr>
          <w:szCs w:val="22"/>
        </w:rPr>
        <w:t>As at</w:t>
      </w:r>
      <w:r w:rsidRPr="00E2098F">
        <w:rPr>
          <w:szCs w:val="22"/>
        </w:rPr>
        <w:t xml:space="preserve"> </w:t>
      </w:r>
      <w:r w:rsidR="00DC5B87" w:rsidRPr="00E2098F">
        <w:rPr>
          <w:szCs w:val="22"/>
        </w:rPr>
        <w:t xml:space="preserve">1 April 2016, the price for </w:t>
      </w:r>
      <w:proofErr w:type="spellStart"/>
      <w:r w:rsidR="00DC5B87" w:rsidRPr="00E2098F">
        <w:rPr>
          <w:szCs w:val="22"/>
        </w:rPr>
        <w:t>lacosamide</w:t>
      </w:r>
      <w:proofErr w:type="spellEnd"/>
      <w:r w:rsidR="00DC5B87" w:rsidRPr="00E2098F">
        <w:rPr>
          <w:szCs w:val="22"/>
        </w:rPr>
        <w:t xml:space="preserve"> </w:t>
      </w:r>
      <w:r>
        <w:rPr>
          <w:szCs w:val="22"/>
        </w:rPr>
        <w:t>was reduced</w:t>
      </w:r>
      <w:r w:rsidR="00DC5B87" w:rsidRPr="00E2098F">
        <w:rPr>
          <w:szCs w:val="22"/>
        </w:rPr>
        <w:t xml:space="preserve"> by 5.0%; and </w:t>
      </w:r>
      <w:proofErr w:type="spellStart"/>
      <w:r w:rsidR="00DC5B87" w:rsidRPr="00E2098F">
        <w:rPr>
          <w:szCs w:val="22"/>
        </w:rPr>
        <w:t>levetiracetam</w:t>
      </w:r>
      <w:proofErr w:type="spellEnd"/>
      <w:r w:rsidR="00DC5B87" w:rsidRPr="00E2098F">
        <w:rPr>
          <w:szCs w:val="22"/>
        </w:rPr>
        <w:t xml:space="preserve"> moved fro</w:t>
      </w:r>
      <w:r>
        <w:rPr>
          <w:szCs w:val="22"/>
        </w:rPr>
        <w:t xml:space="preserve">m the </w:t>
      </w:r>
      <w:r w:rsidR="00DC5B87" w:rsidRPr="00E2098F">
        <w:rPr>
          <w:szCs w:val="22"/>
        </w:rPr>
        <w:t xml:space="preserve">F1 </w:t>
      </w:r>
      <w:r>
        <w:rPr>
          <w:szCs w:val="22"/>
        </w:rPr>
        <w:t xml:space="preserve">formulary </w:t>
      </w:r>
      <w:r w:rsidR="00DC5B87" w:rsidRPr="00E2098F">
        <w:rPr>
          <w:szCs w:val="22"/>
        </w:rPr>
        <w:t xml:space="preserve">to </w:t>
      </w:r>
      <w:r>
        <w:rPr>
          <w:szCs w:val="22"/>
        </w:rPr>
        <w:t xml:space="preserve">the </w:t>
      </w:r>
      <w:r w:rsidR="00DC5B87" w:rsidRPr="00E2098F">
        <w:rPr>
          <w:szCs w:val="22"/>
        </w:rPr>
        <w:t>F2</w:t>
      </w:r>
      <w:r>
        <w:rPr>
          <w:szCs w:val="22"/>
        </w:rPr>
        <w:t xml:space="preserve"> formulary</w:t>
      </w:r>
      <w:r w:rsidR="00DC5B87" w:rsidRPr="00E2098F">
        <w:rPr>
          <w:szCs w:val="22"/>
        </w:rPr>
        <w:t xml:space="preserve"> with a </w:t>
      </w:r>
      <w:r w:rsidR="00534A2B">
        <w:rPr>
          <w:noProof/>
          <w:color w:val="000000"/>
          <w:szCs w:val="22"/>
          <w:highlight w:val="black"/>
        </w:rPr>
        <w:t>''''''''''</w:t>
      </w:r>
      <w:r w:rsidR="00DC5B87" w:rsidRPr="00E2098F">
        <w:rPr>
          <w:szCs w:val="22"/>
        </w:rPr>
        <w:t xml:space="preserve">% price reduction. The cost minimised price for </w:t>
      </w:r>
      <w:proofErr w:type="spellStart"/>
      <w:r w:rsidR="00DC5B87" w:rsidRPr="00E2098F">
        <w:rPr>
          <w:szCs w:val="22"/>
        </w:rPr>
        <w:t>brivaracetam</w:t>
      </w:r>
      <w:proofErr w:type="spellEnd"/>
      <w:r w:rsidR="00DC5B87" w:rsidRPr="00E2098F">
        <w:rPr>
          <w:szCs w:val="22"/>
        </w:rPr>
        <w:t xml:space="preserve"> in a scenario </w:t>
      </w:r>
      <w:r w:rsidR="004A67B3" w:rsidRPr="00E2098F">
        <w:rPr>
          <w:szCs w:val="22"/>
        </w:rPr>
        <w:t xml:space="preserve">where </w:t>
      </w:r>
      <w:r w:rsidR="00DC5B87" w:rsidRPr="00E2098F">
        <w:rPr>
          <w:szCs w:val="22"/>
        </w:rPr>
        <w:t xml:space="preserve">100% </w:t>
      </w:r>
      <w:r>
        <w:rPr>
          <w:szCs w:val="22"/>
        </w:rPr>
        <w:t xml:space="preserve">of </w:t>
      </w:r>
      <w:r w:rsidR="00DC5B87" w:rsidRPr="00E2098F">
        <w:rPr>
          <w:szCs w:val="22"/>
        </w:rPr>
        <w:t xml:space="preserve">patients would otherwise receive </w:t>
      </w:r>
      <w:proofErr w:type="spellStart"/>
      <w:r w:rsidR="00DC5B87" w:rsidRPr="00E2098F">
        <w:rPr>
          <w:szCs w:val="22"/>
        </w:rPr>
        <w:t>lacosamide</w:t>
      </w:r>
      <w:proofErr w:type="spellEnd"/>
      <w:r w:rsidR="00DC5B87" w:rsidRPr="00E2098F">
        <w:rPr>
          <w:szCs w:val="22"/>
        </w:rPr>
        <w:t xml:space="preserve"> would be $</w:t>
      </w:r>
      <w:r w:rsidR="00534A2B">
        <w:rPr>
          <w:noProof/>
          <w:color w:val="000000"/>
          <w:szCs w:val="22"/>
          <w:highlight w:val="black"/>
        </w:rPr>
        <w:t>'''''''''''</w:t>
      </w:r>
      <w:r w:rsidR="00DC5B87" w:rsidRPr="00E2098F">
        <w:rPr>
          <w:szCs w:val="22"/>
        </w:rPr>
        <w:t xml:space="preserve">/tablet. Assuming </w:t>
      </w:r>
      <w:r w:rsidR="00534A2B">
        <w:rPr>
          <w:noProof/>
          <w:color w:val="000000"/>
          <w:szCs w:val="22"/>
          <w:highlight w:val="black"/>
        </w:rPr>
        <w:t>''''''</w:t>
      </w:r>
      <w:r w:rsidR="00DC5B87" w:rsidRPr="00E2098F">
        <w:rPr>
          <w:szCs w:val="22"/>
        </w:rPr>
        <w:t xml:space="preserve">% of the target population would otherwise be treated with </w:t>
      </w:r>
      <w:proofErr w:type="spellStart"/>
      <w:r w:rsidR="00DC5B87" w:rsidRPr="00E2098F">
        <w:rPr>
          <w:szCs w:val="22"/>
        </w:rPr>
        <w:t>lacosamide</w:t>
      </w:r>
      <w:proofErr w:type="spellEnd"/>
      <w:r w:rsidR="00DC5B87" w:rsidRPr="00E2098F">
        <w:rPr>
          <w:szCs w:val="22"/>
        </w:rPr>
        <w:t xml:space="preserve"> and </w:t>
      </w:r>
      <w:r w:rsidR="00534A2B">
        <w:rPr>
          <w:noProof/>
          <w:color w:val="000000"/>
          <w:szCs w:val="22"/>
          <w:highlight w:val="black"/>
        </w:rPr>
        <w:t>''''''</w:t>
      </w:r>
      <w:r w:rsidR="00DC5B87" w:rsidRPr="00E2098F">
        <w:rPr>
          <w:szCs w:val="22"/>
        </w:rPr>
        <w:t xml:space="preserve">% with </w:t>
      </w:r>
      <w:proofErr w:type="spellStart"/>
      <w:r w:rsidR="00DC5B87" w:rsidRPr="00E2098F">
        <w:rPr>
          <w:szCs w:val="22"/>
        </w:rPr>
        <w:t>levetiracetam</w:t>
      </w:r>
      <w:proofErr w:type="spellEnd"/>
      <w:r w:rsidR="00DC5B87" w:rsidRPr="00E2098F">
        <w:rPr>
          <w:szCs w:val="22"/>
        </w:rPr>
        <w:t>, the cost minimised price was estimated to be $</w:t>
      </w:r>
      <w:r w:rsidR="00534A2B">
        <w:rPr>
          <w:noProof/>
          <w:color w:val="000000"/>
          <w:szCs w:val="22"/>
          <w:highlight w:val="black"/>
        </w:rPr>
        <w:t>'''''''''''</w:t>
      </w:r>
      <w:r w:rsidR="00DC5B87" w:rsidRPr="00E2098F">
        <w:rPr>
          <w:szCs w:val="22"/>
        </w:rPr>
        <w:t xml:space="preserve">/tablet. </w:t>
      </w:r>
    </w:p>
    <w:p w:rsidR="00DC5B87" w:rsidRPr="00E2098F" w:rsidRDefault="00DC5B87" w:rsidP="00DC5B87">
      <w:pPr>
        <w:pStyle w:val="ListParagraph"/>
        <w:widowControl/>
        <w:rPr>
          <w:szCs w:val="22"/>
        </w:rPr>
      </w:pPr>
    </w:p>
    <w:p w:rsidR="00DC5B87" w:rsidRPr="00E2098F" w:rsidRDefault="00DC5B87" w:rsidP="005E4448">
      <w:pPr>
        <w:pStyle w:val="ListParagraph"/>
        <w:widowControl/>
        <w:numPr>
          <w:ilvl w:val="1"/>
          <w:numId w:val="2"/>
        </w:numPr>
        <w:rPr>
          <w:szCs w:val="22"/>
        </w:rPr>
      </w:pPr>
      <w:r w:rsidRPr="00E2098F">
        <w:t xml:space="preserve">The proposal of a flat pricing structure across dose strengths for </w:t>
      </w:r>
      <w:proofErr w:type="spellStart"/>
      <w:r w:rsidRPr="00E2098F">
        <w:t>brivaracetam</w:t>
      </w:r>
      <w:proofErr w:type="spellEnd"/>
      <w:r w:rsidRPr="00E2098F">
        <w:t xml:space="preserve"> </w:t>
      </w:r>
      <w:r w:rsidR="00706966" w:rsidRPr="00E2098F">
        <w:t>ameliorates, to some extent</w:t>
      </w:r>
      <w:r w:rsidRPr="00E2098F">
        <w:t xml:space="preserve">, the economic uncertainty surrounding the dose relativity between </w:t>
      </w:r>
      <w:proofErr w:type="spellStart"/>
      <w:r w:rsidRPr="00E2098F">
        <w:t>brivaracetam</w:t>
      </w:r>
      <w:proofErr w:type="spellEnd"/>
      <w:r w:rsidRPr="00E2098F">
        <w:t xml:space="preserve"> and </w:t>
      </w:r>
      <w:proofErr w:type="spellStart"/>
      <w:r w:rsidRPr="00E2098F">
        <w:t>lacosamide</w:t>
      </w:r>
      <w:proofErr w:type="spellEnd"/>
      <w:r w:rsidRPr="00E2098F">
        <w:t xml:space="preserve"> as both drugs usually require one tablet per administration during the maintenance therapy period. The appropriateness of a cost-minimisation approach depends on whether the non-inferior effectiveness and safety of </w:t>
      </w:r>
      <w:proofErr w:type="spellStart"/>
      <w:r w:rsidRPr="00E2098F">
        <w:t>brivaracetam</w:t>
      </w:r>
      <w:proofErr w:type="spellEnd"/>
      <w:r w:rsidRPr="00E2098F">
        <w:t xml:space="preserve"> versus </w:t>
      </w:r>
      <w:proofErr w:type="spellStart"/>
      <w:r w:rsidRPr="00E2098F">
        <w:t>lacosamide</w:t>
      </w:r>
      <w:proofErr w:type="spellEnd"/>
      <w:r w:rsidRPr="00E2098F">
        <w:t xml:space="preserve"> in the proposed refractory PBS population is adequately justified. The cost-effectiveness of </w:t>
      </w:r>
      <w:proofErr w:type="spellStart"/>
      <w:r w:rsidRPr="00E2098F">
        <w:t>brivaracetam</w:t>
      </w:r>
      <w:proofErr w:type="spellEnd"/>
      <w:r w:rsidRPr="00E2098F">
        <w:t xml:space="preserve"> versus second-line adjunctive AEDs, including </w:t>
      </w:r>
      <w:proofErr w:type="spellStart"/>
      <w:r w:rsidRPr="00E2098F">
        <w:t>levetiracetam</w:t>
      </w:r>
      <w:proofErr w:type="spellEnd"/>
      <w:r w:rsidRPr="00E2098F">
        <w:t>, in the PBS target population</w:t>
      </w:r>
      <w:r w:rsidR="00C9380F">
        <w:t xml:space="preserve"> </w:t>
      </w:r>
      <w:r w:rsidRPr="00E2098F">
        <w:t>cannot be reliably assessed primarily due to the lack of comparative evidence</w:t>
      </w:r>
      <w:r w:rsidR="00352D1C">
        <w:t xml:space="preserve"> presented</w:t>
      </w:r>
      <w:r w:rsidRPr="00E2098F">
        <w:t>.</w:t>
      </w:r>
    </w:p>
    <w:p w:rsidR="00DC5B87" w:rsidRPr="00E2098F" w:rsidRDefault="00DC5B87" w:rsidP="00DC5B87">
      <w:pPr>
        <w:pStyle w:val="ListParagraph"/>
        <w:widowControl/>
        <w:rPr>
          <w:szCs w:val="22"/>
        </w:rPr>
      </w:pPr>
    </w:p>
    <w:p w:rsidR="00DC5B87" w:rsidRPr="00165DEC" w:rsidRDefault="00DC5B87" w:rsidP="005E4448">
      <w:pPr>
        <w:pStyle w:val="ListParagraph"/>
        <w:numPr>
          <w:ilvl w:val="1"/>
          <w:numId w:val="2"/>
        </w:numPr>
        <w:rPr>
          <w:szCs w:val="22"/>
        </w:rPr>
      </w:pPr>
      <w:r w:rsidRPr="00E2098F">
        <w:rPr>
          <w:szCs w:val="22"/>
        </w:rPr>
        <w:t xml:space="preserve">The effective price </w:t>
      </w:r>
      <w:r w:rsidR="00FB3501" w:rsidRPr="00E2098F">
        <w:rPr>
          <w:szCs w:val="22"/>
        </w:rPr>
        <w:t xml:space="preserve">proposed in the submission </w:t>
      </w:r>
      <w:r w:rsidRPr="00E2098F">
        <w:rPr>
          <w:szCs w:val="22"/>
        </w:rPr>
        <w:t xml:space="preserve">for </w:t>
      </w:r>
      <w:proofErr w:type="spellStart"/>
      <w:r w:rsidRPr="00E2098F">
        <w:rPr>
          <w:szCs w:val="22"/>
        </w:rPr>
        <w:t>brivaracetam</w:t>
      </w:r>
      <w:proofErr w:type="spellEnd"/>
      <w:r w:rsidRPr="00E2098F">
        <w:rPr>
          <w:szCs w:val="22"/>
        </w:rPr>
        <w:t xml:space="preserve"> is similar to the weighted price assuming that, in the comparator arm, </w:t>
      </w:r>
      <w:r w:rsidR="00534A2B">
        <w:rPr>
          <w:noProof/>
          <w:color w:val="000000"/>
          <w:szCs w:val="22"/>
          <w:highlight w:val="black"/>
        </w:rPr>
        <w:t>''''''</w:t>
      </w:r>
      <w:r w:rsidRPr="00E2098F">
        <w:rPr>
          <w:szCs w:val="22"/>
        </w:rPr>
        <w:t xml:space="preserve">% </w:t>
      </w:r>
      <w:r w:rsidR="00352D1C">
        <w:rPr>
          <w:szCs w:val="22"/>
        </w:rPr>
        <w:t xml:space="preserve">of </w:t>
      </w:r>
      <w:r w:rsidRPr="00E2098F">
        <w:rPr>
          <w:szCs w:val="22"/>
        </w:rPr>
        <w:t xml:space="preserve">patients would receive </w:t>
      </w:r>
      <w:proofErr w:type="spellStart"/>
      <w:r w:rsidRPr="00E2098F">
        <w:rPr>
          <w:szCs w:val="22"/>
        </w:rPr>
        <w:t>lacosamide</w:t>
      </w:r>
      <w:proofErr w:type="spellEnd"/>
      <w:r w:rsidRPr="00E2098F">
        <w:rPr>
          <w:szCs w:val="22"/>
        </w:rPr>
        <w:t xml:space="preserve"> and the remaining </w:t>
      </w:r>
      <w:r w:rsidR="00534A2B">
        <w:rPr>
          <w:noProof/>
          <w:color w:val="000000"/>
          <w:szCs w:val="22"/>
          <w:highlight w:val="black"/>
        </w:rPr>
        <w:t>''''''</w:t>
      </w:r>
      <w:r w:rsidRPr="00E2098F">
        <w:rPr>
          <w:szCs w:val="22"/>
        </w:rPr>
        <w:t xml:space="preserve">% would receive </w:t>
      </w:r>
      <w:proofErr w:type="spellStart"/>
      <w:r w:rsidRPr="00E2098F">
        <w:rPr>
          <w:szCs w:val="22"/>
        </w:rPr>
        <w:t>levetiracetam</w:t>
      </w:r>
      <w:proofErr w:type="spellEnd"/>
      <w:r w:rsidRPr="00E2098F">
        <w:rPr>
          <w:szCs w:val="22"/>
        </w:rPr>
        <w:t xml:space="preserve">. This estimate is not consistent with </w:t>
      </w:r>
      <w:r w:rsidR="00352D1C">
        <w:rPr>
          <w:szCs w:val="22"/>
        </w:rPr>
        <w:t xml:space="preserve">that used for </w:t>
      </w:r>
      <w:r w:rsidRPr="00E2098F">
        <w:rPr>
          <w:szCs w:val="22"/>
        </w:rPr>
        <w:t>the financial analysis in the submission,</w:t>
      </w:r>
      <w:r w:rsidR="00352D1C">
        <w:rPr>
          <w:szCs w:val="22"/>
        </w:rPr>
        <w:t xml:space="preserve"> in</w:t>
      </w:r>
      <w:r w:rsidRPr="00E2098F">
        <w:rPr>
          <w:szCs w:val="22"/>
        </w:rPr>
        <w:t xml:space="preserve"> which</w:t>
      </w:r>
      <w:r w:rsidR="00352D1C">
        <w:rPr>
          <w:szCs w:val="22"/>
        </w:rPr>
        <w:t xml:space="preserve"> it was</w:t>
      </w:r>
      <w:r w:rsidRPr="00E2098F">
        <w:rPr>
          <w:szCs w:val="22"/>
        </w:rPr>
        <w:t xml:space="preserve"> assumed a higher proportion of patients (</w:t>
      </w:r>
      <w:r w:rsidR="00534A2B">
        <w:rPr>
          <w:noProof/>
          <w:color w:val="000000"/>
          <w:szCs w:val="22"/>
          <w:highlight w:val="black"/>
        </w:rPr>
        <w:t>'''''</w:t>
      </w:r>
      <w:r w:rsidRPr="00E2098F">
        <w:rPr>
          <w:szCs w:val="22"/>
        </w:rPr>
        <w:t>%-</w:t>
      </w:r>
      <w:r w:rsidR="00534A2B">
        <w:rPr>
          <w:noProof/>
          <w:color w:val="000000"/>
          <w:szCs w:val="22"/>
          <w:highlight w:val="black"/>
        </w:rPr>
        <w:t>''''''</w:t>
      </w:r>
      <w:r w:rsidRPr="00E2098F">
        <w:rPr>
          <w:szCs w:val="22"/>
        </w:rPr>
        <w:t>%) w</w:t>
      </w:r>
      <w:r w:rsidR="004A67B3" w:rsidRPr="00E2098F">
        <w:rPr>
          <w:szCs w:val="22"/>
        </w:rPr>
        <w:t>ould</w:t>
      </w:r>
      <w:r w:rsidRPr="00E2098F">
        <w:rPr>
          <w:szCs w:val="22"/>
        </w:rPr>
        <w:t xml:space="preserve"> otherwise be treated with </w:t>
      </w:r>
      <w:proofErr w:type="spellStart"/>
      <w:r w:rsidRPr="00E2098F">
        <w:rPr>
          <w:szCs w:val="22"/>
        </w:rPr>
        <w:t>levetiracetam</w:t>
      </w:r>
      <w:proofErr w:type="spellEnd"/>
      <w:r w:rsidRPr="00E2098F">
        <w:rPr>
          <w:szCs w:val="22"/>
        </w:rPr>
        <w:t xml:space="preserve"> over the first 5 years of listing. The cost-minimised price of </w:t>
      </w:r>
      <w:proofErr w:type="spellStart"/>
      <w:r w:rsidRPr="00E2098F">
        <w:rPr>
          <w:szCs w:val="22"/>
        </w:rPr>
        <w:t>brivaracetam</w:t>
      </w:r>
      <w:proofErr w:type="spellEnd"/>
      <w:r w:rsidRPr="00E2098F">
        <w:rPr>
          <w:szCs w:val="22"/>
        </w:rPr>
        <w:t xml:space="preserve"> w</w:t>
      </w:r>
      <w:r w:rsidR="00FB3501" w:rsidRPr="00E2098F">
        <w:rPr>
          <w:szCs w:val="22"/>
        </w:rPr>
        <w:t>ill</w:t>
      </w:r>
      <w:r w:rsidRPr="00E2098F">
        <w:rPr>
          <w:szCs w:val="22"/>
        </w:rPr>
        <w:t xml:space="preserve"> be lower than the submission’s estimate if </w:t>
      </w:r>
      <w:proofErr w:type="spellStart"/>
      <w:r w:rsidRPr="00E2098F">
        <w:rPr>
          <w:szCs w:val="22"/>
        </w:rPr>
        <w:t>brivaracetam</w:t>
      </w:r>
      <w:proofErr w:type="spellEnd"/>
      <w:r w:rsidRPr="00E2098F">
        <w:rPr>
          <w:szCs w:val="22"/>
        </w:rPr>
        <w:t xml:space="preserve"> substitute</w:t>
      </w:r>
      <w:r w:rsidR="00FB3501" w:rsidRPr="00E2098F">
        <w:rPr>
          <w:szCs w:val="22"/>
        </w:rPr>
        <w:t>s for</w:t>
      </w:r>
      <w:r w:rsidRPr="00E2098F">
        <w:rPr>
          <w:szCs w:val="22"/>
        </w:rPr>
        <w:t xml:space="preserve"> </w:t>
      </w:r>
      <w:proofErr w:type="spellStart"/>
      <w:r w:rsidRPr="00E2098F">
        <w:rPr>
          <w:szCs w:val="22"/>
        </w:rPr>
        <w:t>levetiracetam</w:t>
      </w:r>
      <w:proofErr w:type="spellEnd"/>
      <w:r w:rsidRPr="00E2098F">
        <w:rPr>
          <w:szCs w:val="22"/>
        </w:rPr>
        <w:t xml:space="preserve"> and other second-line AEDs at a higher rate</w:t>
      </w:r>
      <w:r w:rsidRPr="00006C26">
        <w:rPr>
          <w:szCs w:val="22"/>
        </w:rPr>
        <w:t xml:space="preserve">.  </w:t>
      </w:r>
      <w:r w:rsidR="003F4DA8" w:rsidRPr="00006C26">
        <w:t xml:space="preserve">The </w:t>
      </w:r>
      <w:proofErr w:type="gramStart"/>
      <w:r w:rsidR="003F4DA8" w:rsidRPr="00006C26">
        <w:t>PSCR  stated</w:t>
      </w:r>
      <w:proofErr w:type="gramEnd"/>
      <w:r w:rsidR="003F4DA8" w:rsidRPr="00006C26">
        <w:t xml:space="preserve"> </w:t>
      </w:r>
      <w:proofErr w:type="spellStart"/>
      <w:r w:rsidR="003F4DA8" w:rsidRPr="00006C26">
        <w:t>levetiracetam</w:t>
      </w:r>
      <w:proofErr w:type="spellEnd"/>
      <w:r w:rsidR="003F4DA8" w:rsidRPr="00006C26">
        <w:t xml:space="preserve"> is not a comparator and the proposed price is not the result of weighting between comparators. The price is stated to be based on a cost-minimisation analysis with </w:t>
      </w:r>
      <w:proofErr w:type="spellStart"/>
      <w:r w:rsidR="003F4DA8" w:rsidRPr="00006C26">
        <w:t>lacosamide</w:t>
      </w:r>
      <w:proofErr w:type="spellEnd"/>
      <w:r w:rsidR="003F4DA8" w:rsidRPr="00006C26">
        <w:t xml:space="preserve"> and the </w:t>
      </w:r>
      <w:r w:rsidR="00534A2B">
        <w:rPr>
          <w:noProof/>
          <w:color w:val="000000"/>
          <w:highlight w:val="black"/>
        </w:rPr>
        <w:t>'''''''</w:t>
      </w:r>
      <w:r w:rsidR="003F4DA8" w:rsidRPr="00006C26">
        <w:t xml:space="preserve">% price reduction represents a practical recognition of use of </w:t>
      </w:r>
      <w:proofErr w:type="spellStart"/>
      <w:r w:rsidR="003F4DA8" w:rsidRPr="00006C26">
        <w:t>brivaracetam</w:t>
      </w:r>
      <w:proofErr w:type="spellEnd"/>
      <w:r w:rsidR="003F4DA8" w:rsidRPr="00006C26">
        <w:t xml:space="preserve"> in patients who are not refractory as defined in the requested listing.</w:t>
      </w:r>
    </w:p>
    <w:p w:rsidR="00165DEC" w:rsidRPr="00165DEC" w:rsidRDefault="00165DEC" w:rsidP="00165DEC">
      <w:pPr>
        <w:pStyle w:val="ListParagraph"/>
        <w:rPr>
          <w:szCs w:val="22"/>
        </w:rPr>
      </w:pPr>
    </w:p>
    <w:p w:rsidR="00165DEC" w:rsidRDefault="00165DEC" w:rsidP="00165DEC">
      <w:pPr>
        <w:pStyle w:val="ListParagraph"/>
        <w:rPr>
          <w:szCs w:val="22"/>
        </w:rPr>
      </w:pPr>
      <w:r w:rsidRPr="00464713">
        <w:rPr>
          <w:bCs/>
          <w:i/>
          <w:szCs w:val="22"/>
        </w:rPr>
        <w:t>For more detail on PBAC’s view, see section 7 “PBAC outcome”</w:t>
      </w:r>
    </w:p>
    <w:p w:rsidR="00F60C7F" w:rsidRDefault="00F60C7F" w:rsidP="00F60C7F">
      <w:pPr>
        <w:pStyle w:val="ListParagraph"/>
        <w:rPr>
          <w:szCs w:val="22"/>
        </w:rPr>
      </w:pPr>
    </w:p>
    <w:p w:rsidR="00DC5B87" w:rsidRPr="00DC5B87" w:rsidRDefault="00DC5B87" w:rsidP="00944D88">
      <w:pPr>
        <w:pStyle w:val="Heading3"/>
      </w:pPr>
      <w:bookmarkStart w:id="23" w:name="_Toc413139283"/>
      <w:bookmarkStart w:id="24" w:name="_Toc450135181"/>
      <w:proofErr w:type="gramStart"/>
      <w:r w:rsidRPr="00944D88">
        <w:t>Drug cost/patient/day:</w:t>
      </w:r>
      <w:r w:rsidRPr="00DC5B87">
        <w:t xml:space="preserve"> $</w:t>
      </w:r>
      <w:r w:rsidR="00534A2B">
        <w:rPr>
          <w:noProof/>
          <w:color w:val="000000"/>
          <w:highlight w:val="black"/>
        </w:rPr>
        <w:t>'''''''''</w:t>
      </w:r>
      <w:r w:rsidR="008D46E8">
        <w:t xml:space="preserve"> (effective price)</w:t>
      </w:r>
      <w:r w:rsidRPr="00DC5B87">
        <w:t>.</w:t>
      </w:r>
      <w:bookmarkEnd w:id="23"/>
      <w:bookmarkEnd w:id="24"/>
      <w:proofErr w:type="gramEnd"/>
    </w:p>
    <w:p w:rsidR="00DC5B87" w:rsidRPr="00DC5B87" w:rsidRDefault="00DC5B87" w:rsidP="00DC5B87">
      <w:pPr>
        <w:widowControl/>
        <w:rPr>
          <w:szCs w:val="22"/>
        </w:rPr>
      </w:pPr>
    </w:p>
    <w:p w:rsidR="00DC5B87" w:rsidRPr="00E2098F" w:rsidRDefault="00DC5B87" w:rsidP="005E4448">
      <w:pPr>
        <w:pStyle w:val="ListParagraph"/>
        <w:widowControl/>
        <w:numPr>
          <w:ilvl w:val="1"/>
          <w:numId w:val="2"/>
        </w:numPr>
        <w:rPr>
          <w:szCs w:val="22"/>
        </w:rPr>
      </w:pPr>
      <w:r w:rsidRPr="00E2098F">
        <w:rPr>
          <w:szCs w:val="22"/>
        </w:rPr>
        <w:t>$</w:t>
      </w:r>
      <w:r w:rsidR="00534A2B">
        <w:rPr>
          <w:noProof/>
          <w:color w:val="000000"/>
          <w:szCs w:val="22"/>
          <w:highlight w:val="black"/>
        </w:rPr>
        <w:t>''''''''''</w:t>
      </w:r>
      <w:r w:rsidRPr="00E2098F">
        <w:rPr>
          <w:szCs w:val="22"/>
        </w:rPr>
        <w:t>/patient/day (published price) or $</w:t>
      </w:r>
      <w:r w:rsidR="00534A2B">
        <w:rPr>
          <w:noProof/>
          <w:color w:val="000000"/>
          <w:szCs w:val="22"/>
          <w:highlight w:val="black"/>
        </w:rPr>
        <w:t>''''''''''''</w:t>
      </w:r>
      <w:r w:rsidRPr="00E2098F">
        <w:rPr>
          <w:szCs w:val="22"/>
        </w:rPr>
        <w:t>/patient/day (effecti</w:t>
      </w:r>
      <w:r w:rsidR="00202E21">
        <w:rPr>
          <w:szCs w:val="22"/>
        </w:rPr>
        <w:t xml:space="preserve">ve price) for </w:t>
      </w:r>
      <w:proofErr w:type="spellStart"/>
      <w:r w:rsidR="00202E21">
        <w:rPr>
          <w:szCs w:val="22"/>
        </w:rPr>
        <w:t>brivaracetam</w:t>
      </w:r>
      <w:proofErr w:type="spellEnd"/>
      <w:r w:rsidR="00202E21">
        <w:rPr>
          <w:szCs w:val="22"/>
        </w:rPr>
        <w:t xml:space="preserve"> (two </w:t>
      </w:r>
      <w:r w:rsidRPr="00E2098F">
        <w:rPr>
          <w:szCs w:val="22"/>
        </w:rPr>
        <w:t xml:space="preserve">tablets/patient/day). This is compared with the cost of </w:t>
      </w:r>
      <w:proofErr w:type="spellStart"/>
      <w:r w:rsidRPr="00E2098F">
        <w:rPr>
          <w:szCs w:val="22"/>
        </w:rPr>
        <w:t>lacosamide</w:t>
      </w:r>
      <w:proofErr w:type="spellEnd"/>
      <w:r w:rsidRPr="00E2098F">
        <w:rPr>
          <w:szCs w:val="22"/>
        </w:rPr>
        <w:t xml:space="preserve"> </w:t>
      </w:r>
      <w:r w:rsidR="004A67B3" w:rsidRPr="00E2098F">
        <w:rPr>
          <w:szCs w:val="22"/>
        </w:rPr>
        <w:t xml:space="preserve">being </w:t>
      </w:r>
      <w:r w:rsidRPr="00E2098F">
        <w:rPr>
          <w:szCs w:val="22"/>
        </w:rPr>
        <w:t>from $</w:t>
      </w:r>
      <w:r w:rsidR="00534A2B">
        <w:rPr>
          <w:noProof/>
          <w:color w:val="000000"/>
          <w:szCs w:val="22"/>
          <w:highlight w:val="black"/>
        </w:rPr>
        <w:t>''''''''''''</w:t>
      </w:r>
      <w:r w:rsidRPr="00E2098F">
        <w:rPr>
          <w:szCs w:val="22"/>
        </w:rPr>
        <w:t>/patient/day to $</w:t>
      </w:r>
      <w:r w:rsidR="00534A2B">
        <w:rPr>
          <w:noProof/>
          <w:color w:val="000000"/>
          <w:szCs w:val="22"/>
          <w:highlight w:val="black"/>
        </w:rPr>
        <w:t>'''''''''''''''</w:t>
      </w:r>
      <w:r w:rsidRPr="00E2098F">
        <w:rPr>
          <w:szCs w:val="22"/>
        </w:rPr>
        <w:t>/patient/day (200</w:t>
      </w:r>
      <w:r w:rsidR="0044716B">
        <w:rPr>
          <w:szCs w:val="22"/>
        </w:rPr>
        <w:t xml:space="preserve"> </w:t>
      </w:r>
      <w:r w:rsidRPr="00E2098F">
        <w:rPr>
          <w:szCs w:val="22"/>
        </w:rPr>
        <w:t>mg-400</w:t>
      </w:r>
      <w:r w:rsidR="0044716B">
        <w:rPr>
          <w:szCs w:val="22"/>
        </w:rPr>
        <w:t xml:space="preserve"> </w:t>
      </w:r>
      <w:r w:rsidRPr="00E2098F">
        <w:rPr>
          <w:szCs w:val="22"/>
        </w:rPr>
        <w:t xml:space="preserve">mg/patient/day) and the cost of </w:t>
      </w:r>
      <w:proofErr w:type="spellStart"/>
      <w:r w:rsidRPr="00E2098F">
        <w:rPr>
          <w:szCs w:val="22"/>
        </w:rPr>
        <w:t>levetiracetam</w:t>
      </w:r>
      <w:proofErr w:type="spellEnd"/>
      <w:r w:rsidRPr="00E2098F">
        <w:rPr>
          <w:szCs w:val="22"/>
        </w:rPr>
        <w:t xml:space="preserve"> from </w:t>
      </w:r>
      <w:r w:rsidR="004A67B3" w:rsidRPr="00E2098F">
        <w:rPr>
          <w:szCs w:val="22"/>
        </w:rPr>
        <w:t xml:space="preserve">being </w:t>
      </w:r>
      <w:r w:rsidRPr="00E2098F">
        <w:rPr>
          <w:szCs w:val="22"/>
        </w:rPr>
        <w:t>$</w:t>
      </w:r>
      <w:r w:rsidR="00534A2B">
        <w:rPr>
          <w:noProof/>
          <w:color w:val="000000"/>
          <w:szCs w:val="22"/>
          <w:highlight w:val="black"/>
        </w:rPr>
        <w:t>''''''''''''</w:t>
      </w:r>
      <w:r w:rsidRPr="00E2098F">
        <w:rPr>
          <w:szCs w:val="22"/>
        </w:rPr>
        <w:t>/patient/day to $</w:t>
      </w:r>
      <w:r w:rsidR="00534A2B">
        <w:rPr>
          <w:noProof/>
          <w:color w:val="000000"/>
          <w:szCs w:val="22"/>
          <w:highlight w:val="black"/>
        </w:rPr>
        <w:t>'''''''''''</w:t>
      </w:r>
      <w:r w:rsidRPr="00E2098F">
        <w:rPr>
          <w:szCs w:val="22"/>
        </w:rPr>
        <w:t>/patient/day (1,000</w:t>
      </w:r>
      <w:r w:rsidR="0044716B">
        <w:rPr>
          <w:szCs w:val="22"/>
        </w:rPr>
        <w:t> </w:t>
      </w:r>
      <w:r w:rsidRPr="00E2098F">
        <w:rPr>
          <w:szCs w:val="22"/>
        </w:rPr>
        <w:t>mg-3,000</w:t>
      </w:r>
      <w:r w:rsidR="0044716B">
        <w:rPr>
          <w:szCs w:val="22"/>
        </w:rPr>
        <w:t xml:space="preserve"> </w:t>
      </w:r>
      <w:r w:rsidRPr="00E2098F">
        <w:rPr>
          <w:szCs w:val="22"/>
        </w:rPr>
        <w:t>mg/patient/day) (1</w:t>
      </w:r>
      <w:r w:rsidRPr="00E2098F">
        <w:rPr>
          <w:szCs w:val="22"/>
          <w:vertAlign w:val="superscript"/>
        </w:rPr>
        <w:t>st</w:t>
      </w:r>
      <w:r w:rsidRPr="00E2098F">
        <w:rPr>
          <w:szCs w:val="22"/>
        </w:rPr>
        <w:t xml:space="preserve"> April 2016</w:t>
      </w:r>
      <w:r w:rsidR="00046841">
        <w:rPr>
          <w:szCs w:val="22"/>
        </w:rPr>
        <w:t xml:space="preserve"> price reductions not included</w:t>
      </w:r>
      <w:r w:rsidRPr="00E2098F">
        <w:rPr>
          <w:szCs w:val="22"/>
        </w:rPr>
        <w:t>).</w:t>
      </w:r>
    </w:p>
    <w:p w:rsidR="00B60939" w:rsidRPr="001E2B1E" w:rsidRDefault="00B60939" w:rsidP="00944D88">
      <w:bookmarkStart w:id="25" w:name="_GoBack"/>
      <w:bookmarkEnd w:id="25"/>
    </w:p>
    <w:p w:rsidR="00B60939" w:rsidRPr="00944D88" w:rsidRDefault="00B60939" w:rsidP="00944D88">
      <w:pPr>
        <w:pStyle w:val="Heading3"/>
      </w:pPr>
      <w:bookmarkStart w:id="26" w:name="_Toc450135182"/>
      <w:r w:rsidRPr="00944D88">
        <w:t>Estimated PBS usage &amp; financial implications</w:t>
      </w:r>
      <w:bookmarkEnd w:id="26"/>
    </w:p>
    <w:p w:rsidR="00B60939" w:rsidRPr="00882085" w:rsidRDefault="00B60939" w:rsidP="00B60939">
      <w:pPr>
        <w:ind w:left="720" w:hanging="720"/>
        <w:rPr>
          <w:b/>
          <w:i/>
          <w:szCs w:val="22"/>
        </w:rPr>
      </w:pPr>
    </w:p>
    <w:p w:rsidR="00CC26C4" w:rsidRPr="00CC26C4" w:rsidRDefault="00CC26C4" w:rsidP="005E4448">
      <w:pPr>
        <w:pStyle w:val="ListParagraph"/>
        <w:widowControl/>
        <w:numPr>
          <w:ilvl w:val="1"/>
          <w:numId w:val="2"/>
        </w:numPr>
        <w:ind w:left="709"/>
        <w:rPr>
          <w:szCs w:val="22"/>
        </w:rPr>
      </w:pPr>
      <w:r>
        <w:rPr>
          <w:bCs/>
          <w:szCs w:val="22"/>
        </w:rPr>
        <w:t>T</w:t>
      </w:r>
      <w:r w:rsidRPr="00EF0E1D">
        <w:rPr>
          <w:bCs/>
          <w:szCs w:val="22"/>
        </w:rPr>
        <w:t>his submission was not considered by DUSC</w:t>
      </w:r>
      <w:r w:rsidR="00C25D9C" w:rsidRPr="00CC26C4">
        <w:rPr>
          <w:color w:val="0070C0"/>
        </w:rPr>
        <w:t>.</w:t>
      </w:r>
    </w:p>
    <w:p w:rsidR="00CC26C4" w:rsidRPr="00CC26C4" w:rsidRDefault="00CC26C4" w:rsidP="00CC26C4">
      <w:pPr>
        <w:pStyle w:val="ListParagraph"/>
        <w:widowControl/>
        <w:ind w:left="709"/>
        <w:rPr>
          <w:szCs w:val="22"/>
        </w:rPr>
      </w:pPr>
    </w:p>
    <w:p w:rsidR="00CA40B7" w:rsidRPr="00CC26C4" w:rsidRDefault="0027192A" w:rsidP="005E4448">
      <w:pPr>
        <w:pStyle w:val="ListParagraph"/>
        <w:widowControl/>
        <w:numPr>
          <w:ilvl w:val="1"/>
          <w:numId w:val="2"/>
        </w:numPr>
        <w:ind w:left="709"/>
        <w:rPr>
          <w:szCs w:val="22"/>
        </w:rPr>
      </w:pPr>
      <w:r w:rsidRPr="00CC26C4">
        <w:rPr>
          <w:szCs w:val="22"/>
        </w:rPr>
        <w:t xml:space="preserve">The submission used both an epidemiological </w:t>
      </w:r>
      <w:r w:rsidR="00337302" w:rsidRPr="00CC26C4">
        <w:rPr>
          <w:szCs w:val="22"/>
        </w:rPr>
        <w:t xml:space="preserve">approach </w:t>
      </w:r>
      <w:r w:rsidRPr="00CC26C4">
        <w:rPr>
          <w:szCs w:val="22"/>
        </w:rPr>
        <w:t xml:space="preserve">and a market share approach to estimate the financial implications of listing </w:t>
      </w:r>
      <w:proofErr w:type="spellStart"/>
      <w:r w:rsidRPr="00CC26C4">
        <w:rPr>
          <w:szCs w:val="22"/>
        </w:rPr>
        <w:t>brivaracetam</w:t>
      </w:r>
      <w:proofErr w:type="spellEnd"/>
      <w:r w:rsidRPr="00CC26C4">
        <w:rPr>
          <w:szCs w:val="22"/>
        </w:rPr>
        <w:t xml:space="preserve">. </w:t>
      </w:r>
      <w:r w:rsidR="003865F8" w:rsidRPr="00CC26C4">
        <w:rPr>
          <w:szCs w:val="22"/>
        </w:rPr>
        <w:t xml:space="preserve">The </w:t>
      </w:r>
      <w:r w:rsidR="00DC5B87" w:rsidRPr="00CC26C4">
        <w:rPr>
          <w:szCs w:val="22"/>
        </w:rPr>
        <w:t xml:space="preserve">extent of use of </w:t>
      </w:r>
      <w:proofErr w:type="spellStart"/>
      <w:r w:rsidR="00DC5B87" w:rsidRPr="00CC26C4">
        <w:rPr>
          <w:szCs w:val="22"/>
        </w:rPr>
        <w:t>brivaracetam</w:t>
      </w:r>
      <w:proofErr w:type="spellEnd"/>
      <w:r w:rsidR="00DC5B87" w:rsidRPr="00CC26C4">
        <w:rPr>
          <w:szCs w:val="22"/>
        </w:rPr>
        <w:t xml:space="preserve"> ha</w:t>
      </w:r>
      <w:r w:rsidR="00CA40B7" w:rsidRPr="00CC26C4">
        <w:rPr>
          <w:szCs w:val="22"/>
        </w:rPr>
        <w:t xml:space="preserve">s </w:t>
      </w:r>
      <w:r w:rsidR="00DC5B87" w:rsidRPr="00CC26C4">
        <w:rPr>
          <w:szCs w:val="22"/>
        </w:rPr>
        <w:t xml:space="preserve">been </w:t>
      </w:r>
      <w:r w:rsidR="00CA40B7" w:rsidRPr="00CC26C4">
        <w:rPr>
          <w:szCs w:val="22"/>
        </w:rPr>
        <w:t xml:space="preserve">estimated </w:t>
      </w:r>
      <w:r w:rsidR="007724B2">
        <w:rPr>
          <w:szCs w:val="22"/>
        </w:rPr>
        <w:t>using</w:t>
      </w:r>
      <w:r w:rsidR="00CA40B7" w:rsidRPr="00CC26C4">
        <w:rPr>
          <w:szCs w:val="22"/>
        </w:rPr>
        <w:t xml:space="preserve"> </w:t>
      </w:r>
      <w:r w:rsidR="0051635A" w:rsidRPr="00CC26C4">
        <w:rPr>
          <w:szCs w:val="22"/>
        </w:rPr>
        <w:t xml:space="preserve">a number of published and unpublished data sources, including </w:t>
      </w:r>
      <w:r w:rsidR="004A67B3" w:rsidRPr="00CC26C4">
        <w:rPr>
          <w:szCs w:val="22"/>
        </w:rPr>
        <w:t xml:space="preserve">the </w:t>
      </w:r>
      <w:r w:rsidR="00CA40B7" w:rsidRPr="00CC26C4">
        <w:rPr>
          <w:szCs w:val="22"/>
        </w:rPr>
        <w:t xml:space="preserve">Australian Bureau of Statistics, Epilepsy Action Australia, </w:t>
      </w:r>
      <w:r w:rsidR="0051635A" w:rsidRPr="00CC26C4">
        <w:rPr>
          <w:szCs w:val="22"/>
        </w:rPr>
        <w:t xml:space="preserve">the </w:t>
      </w:r>
      <w:r w:rsidR="00544A35">
        <w:rPr>
          <w:szCs w:val="22"/>
        </w:rPr>
        <w:t xml:space="preserve">clinical </w:t>
      </w:r>
      <w:r w:rsidR="0051635A" w:rsidRPr="00CC26C4">
        <w:rPr>
          <w:szCs w:val="22"/>
        </w:rPr>
        <w:t xml:space="preserve">literature, </w:t>
      </w:r>
      <w:r w:rsidR="00DC5B87" w:rsidRPr="00CC26C4">
        <w:rPr>
          <w:szCs w:val="22"/>
        </w:rPr>
        <w:t xml:space="preserve">the </w:t>
      </w:r>
      <w:r w:rsidR="00CA40B7" w:rsidRPr="00CC26C4">
        <w:rPr>
          <w:szCs w:val="22"/>
        </w:rPr>
        <w:t xml:space="preserve">AED treatment analyses conducted by IMS Health and the </w:t>
      </w:r>
      <w:r w:rsidR="00231BF2" w:rsidRPr="00CC26C4">
        <w:rPr>
          <w:szCs w:val="22"/>
        </w:rPr>
        <w:t>PBS</w:t>
      </w:r>
      <w:r w:rsidR="00CA40B7" w:rsidRPr="00CC26C4">
        <w:rPr>
          <w:szCs w:val="22"/>
        </w:rPr>
        <w:t xml:space="preserve"> </w:t>
      </w:r>
      <w:r w:rsidR="00C44D2E" w:rsidRPr="00CC26C4">
        <w:rPr>
          <w:szCs w:val="22"/>
        </w:rPr>
        <w:t xml:space="preserve">prescription </w:t>
      </w:r>
      <w:r w:rsidR="00CA40B7" w:rsidRPr="00CC26C4">
        <w:rPr>
          <w:szCs w:val="22"/>
        </w:rPr>
        <w:t xml:space="preserve">data </w:t>
      </w:r>
      <w:r w:rsidR="00046841">
        <w:rPr>
          <w:szCs w:val="22"/>
        </w:rPr>
        <w:t>for</w:t>
      </w:r>
      <w:r w:rsidR="00231BF2" w:rsidRPr="00CC26C4">
        <w:rPr>
          <w:szCs w:val="22"/>
        </w:rPr>
        <w:t xml:space="preserve"> </w:t>
      </w:r>
      <w:r w:rsidR="00CA40B7" w:rsidRPr="00CC26C4">
        <w:rPr>
          <w:szCs w:val="22"/>
        </w:rPr>
        <w:t xml:space="preserve">AEDs. </w:t>
      </w:r>
      <w:r w:rsidR="00C11996" w:rsidRPr="00CC26C4">
        <w:rPr>
          <w:szCs w:val="22"/>
        </w:rPr>
        <w:t xml:space="preserve">The submission assumed that patients </w:t>
      </w:r>
      <w:r w:rsidR="00231BF2" w:rsidRPr="00CC26C4">
        <w:rPr>
          <w:szCs w:val="22"/>
        </w:rPr>
        <w:t xml:space="preserve">eligible for </w:t>
      </w:r>
      <w:proofErr w:type="spellStart"/>
      <w:r w:rsidR="00C11996" w:rsidRPr="00CC26C4">
        <w:rPr>
          <w:szCs w:val="22"/>
        </w:rPr>
        <w:t>brivaracetam</w:t>
      </w:r>
      <w:proofErr w:type="spellEnd"/>
      <w:r w:rsidR="00C11996" w:rsidRPr="00CC26C4">
        <w:rPr>
          <w:szCs w:val="22"/>
        </w:rPr>
        <w:t xml:space="preserve"> would otherwise receive </w:t>
      </w:r>
      <w:proofErr w:type="spellStart"/>
      <w:r w:rsidR="00AC026A" w:rsidRPr="008D46E8">
        <w:rPr>
          <w:szCs w:val="22"/>
        </w:rPr>
        <w:t>lacosamide</w:t>
      </w:r>
      <w:proofErr w:type="spellEnd"/>
      <w:r w:rsidR="00AC026A" w:rsidRPr="008D46E8">
        <w:rPr>
          <w:szCs w:val="22"/>
        </w:rPr>
        <w:t xml:space="preserve"> or </w:t>
      </w:r>
      <w:proofErr w:type="spellStart"/>
      <w:r w:rsidR="00AC026A" w:rsidRPr="008D46E8">
        <w:rPr>
          <w:szCs w:val="22"/>
        </w:rPr>
        <w:t>levetiracetam</w:t>
      </w:r>
      <w:proofErr w:type="spellEnd"/>
      <w:r w:rsidR="00AC026A" w:rsidRPr="008D46E8">
        <w:rPr>
          <w:szCs w:val="22"/>
        </w:rPr>
        <w:t xml:space="preserve"> in the refractory population and </w:t>
      </w:r>
      <w:r w:rsidR="00DC5B87" w:rsidRPr="008D46E8">
        <w:rPr>
          <w:szCs w:val="22"/>
        </w:rPr>
        <w:t xml:space="preserve">otherwise </w:t>
      </w:r>
      <w:r w:rsidR="00AC026A" w:rsidRPr="008D46E8">
        <w:rPr>
          <w:szCs w:val="22"/>
        </w:rPr>
        <w:t xml:space="preserve">receive </w:t>
      </w:r>
      <w:proofErr w:type="spellStart"/>
      <w:r w:rsidR="00AC026A" w:rsidRPr="008D46E8">
        <w:rPr>
          <w:szCs w:val="22"/>
        </w:rPr>
        <w:t>levetiracetam</w:t>
      </w:r>
      <w:proofErr w:type="spellEnd"/>
      <w:r w:rsidR="00AC026A" w:rsidRPr="008D46E8">
        <w:rPr>
          <w:szCs w:val="22"/>
        </w:rPr>
        <w:t xml:space="preserve"> in the </w:t>
      </w:r>
      <w:proofErr w:type="spellStart"/>
      <w:r w:rsidR="00AC026A" w:rsidRPr="008D46E8">
        <w:rPr>
          <w:szCs w:val="22"/>
        </w:rPr>
        <w:t>levetiracetam</w:t>
      </w:r>
      <w:proofErr w:type="spellEnd"/>
      <w:r w:rsidR="00AC026A" w:rsidRPr="008D46E8">
        <w:rPr>
          <w:szCs w:val="22"/>
        </w:rPr>
        <w:t xml:space="preserve">-intolerant </w:t>
      </w:r>
      <w:r w:rsidR="004D1545" w:rsidRPr="008D46E8">
        <w:rPr>
          <w:szCs w:val="22"/>
        </w:rPr>
        <w:t xml:space="preserve">non-refractory </w:t>
      </w:r>
      <w:r w:rsidR="00AC026A" w:rsidRPr="008D46E8">
        <w:rPr>
          <w:szCs w:val="22"/>
        </w:rPr>
        <w:t>population. The extent of us</w:t>
      </w:r>
      <w:r w:rsidR="00AC026A" w:rsidRPr="00CC26C4">
        <w:rPr>
          <w:szCs w:val="22"/>
        </w:rPr>
        <w:t xml:space="preserve">e and financial implications associated </w:t>
      </w:r>
      <w:r w:rsidR="00C44D2E" w:rsidRPr="00CC26C4">
        <w:rPr>
          <w:szCs w:val="22"/>
        </w:rPr>
        <w:t xml:space="preserve">with </w:t>
      </w:r>
      <w:r w:rsidR="00AC026A" w:rsidRPr="00CC26C4">
        <w:rPr>
          <w:szCs w:val="22"/>
        </w:rPr>
        <w:t xml:space="preserve">the proposed listing </w:t>
      </w:r>
      <w:r w:rsidR="00221AAD" w:rsidRPr="00CC26C4">
        <w:rPr>
          <w:szCs w:val="22"/>
        </w:rPr>
        <w:t xml:space="preserve">of </w:t>
      </w:r>
      <w:proofErr w:type="spellStart"/>
      <w:r w:rsidR="00AC026A" w:rsidRPr="00CC26C4">
        <w:rPr>
          <w:szCs w:val="22"/>
        </w:rPr>
        <w:t>brivaracetam</w:t>
      </w:r>
      <w:proofErr w:type="spellEnd"/>
      <w:r w:rsidR="00AC026A" w:rsidRPr="00CC26C4">
        <w:rPr>
          <w:szCs w:val="22"/>
        </w:rPr>
        <w:t xml:space="preserve"> are summarised in Table 8. </w:t>
      </w:r>
    </w:p>
    <w:p w:rsidR="003865F8" w:rsidRDefault="003865F8" w:rsidP="0072416F">
      <w:pPr>
        <w:pStyle w:val="ListParagraph"/>
        <w:widowControl/>
        <w:ind w:left="709"/>
        <w:rPr>
          <w:szCs w:val="22"/>
        </w:rPr>
      </w:pPr>
    </w:p>
    <w:p w:rsidR="00BF2005" w:rsidRDefault="00BF2005">
      <w:pPr>
        <w:widowControl/>
        <w:jc w:val="left"/>
        <w:rPr>
          <w:rFonts w:ascii="Arial Narrow" w:hAnsi="Arial Narrow"/>
          <w:b/>
          <w:sz w:val="20"/>
        </w:rPr>
      </w:pPr>
      <w:r>
        <w:br w:type="page"/>
      </w:r>
    </w:p>
    <w:p w:rsidR="00C25D9C" w:rsidRPr="00046841" w:rsidRDefault="00984563" w:rsidP="00046841">
      <w:pPr>
        <w:pStyle w:val="TableHeader"/>
        <w:ind w:firstLine="720"/>
      </w:pPr>
      <w:r w:rsidRPr="00046841">
        <w:t>Table 8</w:t>
      </w:r>
      <w:r w:rsidR="00C25D9C" w:rsidRPr="00046841">
        <w:t>: Estimated use and financial implications</w:t>
      </w:r>
    </w:p>
    <w:tbl>
      <w:tblPr>
        <w:tblW w:w="834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30" w:type="dxa"/>
          <w:right w:w="30" w:type="dxa"/>
        </w:tblCellMar>
        <w:tblLook w:val="0000" w:firstRow="0" w:lastRow="0" w:firstColumn="0" w:lastColumn="0" w:noHBand="0" w:noVBand="0"/>
      </w:tblPr>
      <w:tblGrid>
        <w:gridCol w:w="1685"/>
        <w:gridCol w:w="1276"/>
        <w:gridCol w:w="1417"/>
        <w:gridCol w:w="1418"/>
        <w:gridCol w:w="1276"/>
        <w:gridCol w:w="1276"/>
      </w:tblGrid>
      <w:tr w:rsidR="0027192A" w:rsidRPr="00341B8F" w:rsidTr="003865F8">
        <w:trPr>
          <w:trHeight w:val="20"/>
        </w:trPr>
        <w:tc>
          <w:tcPr>
            <w:tcW w:w="1685" w:type="dxa"/>
            <w:tcBorders>
              <w:bottom w:val="single" w:sz="4" w:space="0" w:color="auto"/>
            </w:tcBorders>
            <w:shd w:val="clear" w:color="auto" w:fill="FFFFFF" w:themeFill="background1"/>
          </w:tcPr>
          <w:p w:rsidR="0027192A" w:rsidRPr="00341B8F" w:rsidRDefault="0027192A" w:rsidP="002F289F">
            <w:pPr>
              <w:rPr>
                <w:rFonts w:ascii="Arial Narrow" w:hAnsi="Arial Narrow"/>
                <w:b/>
                <w:sz w:val="20"/>
              </w:rPr>
            </w:pPr>
          </w:p>
        </w:tc>
        <w:tc>
          <w:tcPr>
            <w:tcW w:w="1276" w:type="dxa"/>
            <w:tcBorders>
              <w:bottom w:val="single" w:sz="4" w:space="0" w:color="auto"/>
            </w:tcBorders>
            <w:shd w:val="clear" w:color="auto" w:fill="FFFFFF" w:themeFill="background1"/>
          </w:tcPr>
          <w:p w:rsidR="0027192A" w:rsidRPr="00341B8F" w:rsidRDefault="0027192A" w:rsidP="002F289F">
            <w:pPr>
              <w:jc w:val="center"/>
              <w:rPr>
                <w:rFonts w:ascii="Arial Narrow" w:hAnsi="Arial Narrow"/>
                <w:b/>
                <w:sz w:val="20"/>
              </w:rPr>
            </w:pPr>
            <w:r w:rsidRPr="00341B8F">
              <w:rPr>
                <w:rFonts w:ascii="Arial Narrow" w:hAnsi="Arial Narrow"/>
                <w:b/>
                <w:sz w:val="20"/>
              </w:rPr>
              <w:t>Year 1</w:t>
            </w:r>
          </w:p>
        </w:tc>
        <w:tc>
          <w:tcPr>
            <w:tcW w:w="1417" w:type="dxa"/>
            <w:tcBorders>
              <w:bottom w:val="single" w:sz="4" w:space="0" w:color="auto"/>
            </w:tcBorders>
            <w:shd w:val="clear" w:color="auto" w:fill="FFFFFF" w:themeFill="background1"/>
          </w:tcPr>
          <w:p w:rsidR="0027192A" w:rsidRPr="00341B8F" w:rsidRDefault="0027192A" w:rsidP="002F289F">
            <w:pPr>
              <w:jc w:val="center"/>
              <w:rPr>
                <w:rFonts w:ascii="Arial Narrow" w:hAnsi="Arial Narrow"/>
                <w:b/>
                <w:sz w:val="20"/>
              </w:rPr>
            </w:pPr>
            <w:r w:rsidRPr="00341B8F">
              <w:rPr>
                <w:rFonts w:ascii="Arial Narrow" w:hAnsi="Arial Narrow"/>
                <w:b/>
                <w:sz w:val="20"/>
              </w:rPr>
              <w:t>Year 2</w:t>
            </w:r>
          </w:p>
        </w:tc>
        <w:tc>
          <w:tcPr>
            <w:tcW w:w="1418" w:type="dxa"/>
            <w:tcBorders>
              <w:bottom w:val="single" w:sz="4" w:space="0" w:color="auto"/>
            </w:tcBorders>
            <w:shd w:val="clear" w:color="auto" w:fill="FFFFFF" w:themeFill="background1"/>
          </w:tcPr>
          <w:p w:rsidR="0027192A" w:rsidRPr="00341B8F" w:rsidRDefault="0027192A" w:rsidP="002F289F">
            <w:pPr>
              <w:jc w:val="center"/>
              <w:rPr>
                <w:rFonts w:ascii="Arial Narrow" w:hAnsi="Arial Narrow"/>
                <w:b/>
                <w:sz w:val="20"/>
              </w:rPr>
            </w:pPr>
            <w:r w:rsidRPr="00341B8F">
              <w:rPr>
                <w:rFonts w:ascii="Arial Narrow" w:hAnsi="Arial Narrow"/>
                <w:b/>
                <w:sz w:val="20"/>
              </w:rPr>
              <w:t>Year 3</w:t>
            </w:r>
          </w:p>
        </w:tc>
        <w:tc>
          <w:tcPr>
            <w:tcW w:w="1276" w:type="dxa"/>
            <w:tcBorders>
              <w:bottom w:val="single" w:sz="4" w:space="0" w:color="auto"/>
            </w:tcBorders>
            <w:shd w:val="clear" w:color="auto" w:fill="FFFFFF" w:themeFill="background1"/>
          </w:tcPr>
          <w:p w:rsidR="0027192A" w:rsidRPr="00341B8F" w:rsidRDefault="0027192A" w:rsidP="002F289F">
            <w:pPr>
              <w:jc w:val="center"/>
              <w:rPr>
                <w:rFonts w:ascii="Arial Narrow" w:hAnsi="Arial Narrow"/>
                <w:b/>
                <w:sz w:val="20"/>
              </w:rPr>
            </w:pPr>
            <w:r w:rsidRPr="00341B8F">
              <w:rPr>
                <w:rFonts w:ascii="Arial Narrow" w:hAnsi="Arial Narrow"/>
                <w:b/>
                <w:sz w:val="20"/>
              </w:rPr>
              <w:t>Year 4</w:t>
            </w:r>
          </w:p>
        </w:tc>
        <w:tc>
          <w:tcPr>
            <w:tcW w:w="1276" w:type="dxa"/>
            <w:tcBorders>
              <w:bottom w:val="single" w:sz="4" w:space="0" w:color="auto"/>
            </w:tcBorders>
            <w:shd w:val="clear" w:color="auto" w:fill="FFFFFF" w:themeFill="background1"/>
          </w:tcPr>
          <w:p w:rsidR="0027192A" w:rsidRPr="00341B8F" w:rsidRDefault="0027192A" w:rsidP="002F289F">
            <w:pPr>
              <w:jc w:val="center"/>
              <w:rPr>
                <w:rFonts w:ascii="Arial Narrow" w:hAnsi="Arial Narrow"/>
                <w:b/>
                <w:sz w:val="20"/>
              </w:rPr>
            </w:pPr>
            <w:r w:rsidRPr="00341B8F">
              <w:rPr>
                <w:rFonts w:ascii="Arial Narrow" w:hAnsi="Arial Narrow"/>
                <w:b/>
                <w:sz w:val="20"/>
              </w:rPr>
              <w:t>Year 5</w:t>
            </w:r>
          </w:p>
        </w:tc>
      </w:tr>
      <w:tr w:rsidR="0027192A" w:rsidRPr="0027192A" w:rsidTr="003865F8">
        <w:tc>
          <w:tcPr>
            <w:tcW w:w="8348" w:type="dxa"/>
            <w:gridSpan w:val="6"/>
            <w:tcBorders>
              <w:bottom w:val="single" w:sz="4" w:space="0" w:color="auto"/>
            </w:tcBorders>
            <w:shd w:val="clear" w:color="auto" w:fill="FFFFFF" w:themeFill="background1"/>
          </w:tcPr>
          <w:p w:rsidR="0027192A" w:rsidRPr="0027192A" w:rsidRDefault="0027192A" w:rsidP="0027192A">
            <w:pPr>
              <w:rPr>
                <w:rFonts w:ascii="Arial Narrow" w:hAnsi="Arial Narrow"/>
                <w:b/>
                <w:sz w:val="20"/>
              </w:rPr>
            </w:pPr>
            <w:r w:rsidRPr="0027192A">
              <w:rPr>
                <w:rFonts w:ascii="Arial Narrow" w:hAnsi="Arial Narrow"/>
                <w:b/>
                <w:sz w:val="20"/>
              </w:rPr>
              <w:t>Estimated extent of use</w:t>
            </w:r>
          </w:p>
        </w:tc>
      </w:tr>
      <w:tr w:rsidR="0027192A" w:rsidRPr="007565E4" w:rsidTr="003865F8">
        <w:tc>
          <w:tcPr>
            <w:tcW w:w="1685" w:type="dxa"/>
            <w:tcBorders>
              <w:top w:val="single" w:sz="4" w:space="0" w:color="auto"/>
              <w:bottom w:val="nil"/>
            </w:tcBorders>
            <w:shd w:val="clear" w:color="auto" w:fill="FFFFFF" w:themeFill="background1"/>
          </w:tcPr>
          <w:p w:rsidR="0027192A" w:rsidRPr="007565E4" w:rsidRDefault="0027192A" w:rsidP="0027192A">
            <w:pPr>
              <w:jc w:val="left"/>
              <w:rPr>
                <w:rFonts w:ascii="Arial Narrow" w:hAnsi="Arial Narrow"/>
                <w:sz w:val="20"/>
              </w:rPr>
            </w:pPr>
            <w:r w:rsidRPr="007565E4">
              <w:rPr>
                <w:rFonts w:ascii="Arial Narrow" w:hAnsi="Arial Narrow"/>
                <w:sz w:val="20"/>
              </w:rPr>
              <w:t xml:space="preserve">Number </w:t>
            </w:r>
            <w:r>
              <w:rPr>
                <w:rFonts w:ascii="Arial Narrow" w:hAnsi="Arial Narrow"/>
                <w:sz w:val="20"/>
              </w:rPr>
              <w:t>treated</w:t>
            </w:r>
          </w:p>
        </w:tc>
        <w:tc>
          <w:tcPr>
            <w:tcW w:w="1276" w:type="dxa"/>
            <w:tcBorders>
              <w:top w:val="single" w:sz="4" w:space="0" w:color="auto"/>
              <w:bottom w:val="nil"/>
            </w:tcBorders>
            <w:shd w:val="clear" w:color="auto" w:fill="FFFFFF" w:themeFill="background1"/>
            <w:vAlign w:val="center"/>
          </w:tcPr>
          <w:p w:rsidR="0027192A" w:rsidRPr="00534A2B" w:rsidRDefault="00534A2B" w:rsidP="002F289F">
            <w:pPr>
              <w:jc w:val="center"/>
              <w:rPr>
                <w:rFonts w:ascii="Arial Narrow" w:hAnsi="Arial Narrow"/>
                <w:sz w:val="20"/>
                <w:highlight w:val="black"/>
              </w:rPr>
            </w:pPr>
            <w:r>
              <w:rPr>
                <w:rFonts w:ascii="Arial Narrow" w:hAnsi="Arial Narrow"/>
                <w:noProof/>
                <w:color w:val="000000"/>
                <w:sz w:val="20"/>
                <w:highlight w:val="black"/>
              </w:rPr>
              <w:t>'''''''''''''''</w:t>
            </w:r>
          </w:p>
        </w:tc>
        <w:tc>
          <w:tcPr>
            <w:tcW w:w="1417" w:type="dxa"/>
            <w:tcBorders>
              <w:top w:val="single" w:sz="4" w:space="0" w:color="auto"/>
              <w:bottom w:val="nil"/>
            </w:tcBorders>
            <w:shd w:val="clear" w:color="auto" w:fill="FFFFFF" w:themeFill="background1"/>
            <w:vAlign w:val="center"/>
          </w:tcPr>
          <w:p w:rsidR="0027192A" w:rsidRPr="00534A2B" w:rsidRDefault="00534A2B" w:rsidP="002F289F">
            <w:pPr>
              <w:jc w:val="center"/>
              <w:rPr>
                <w:rFonts w:ascii="Arial Narrow" w:hAnsi="Arial Narrow"/>
                <w:sz w:val="20"/>
                <w:highlight w:val="black"/>
              </w:rPr>
            </w:pPr>
            <w:r>
              <w:rPr>
                <w:rFonts w:ascii="Arial Narrow" w:hAnsi="Arial Narrow"/>
                <w:noProof/>
                <w:color w:val="000000"/>
                <w:sz w:val="20"/>
                <w:highlight w:val="black"/>
              </w:rPr>
              <w:t>''''''''''''''</w:t>
            </w:r>
          </w:p>
        </w:tc>
        <w:tc>
          <w:tcPr>
            <w:tcW w:w="1418" w:type="dxa"/>
            <w:tcBorders>
              <w:top w:val="single" w:sz="4" w:space="0" w:color="auto"/>
              <w:bottom w:val="nil"/>
            </w:tcBorders>
            <w:shd w:val="clear" w:color="auto" w:fill="FFFFFF" w:themeFill="background1"/>
            <w:vAlign w:val="center"/>
          </w:tcPr>
          <w:p w:rsidR="0027192A" w:rsidRPr="00534A2B" w:rsidRDefault="00534A2B" w:rsidP="002F289F">
            <w:pPr>
              <w:jc w:val="center"/>
              <w:rPr>
                <w:rFonts w:ascii="Arial Narrow" w:hAnsi="Arial Narrow"/>
                <w:sz w:val="20"/>
                <w:highlight w:val="black"/>
              </w:rPr>
            </w:pPr>
            <w:r>
              <w:rPr>
                <w:rFonts w:ascii="Arial Narrow" w:hAnsi="Arial Narrow"/>
                <w:noProof/>
                <w:color w:val="000000"/>
                <w:sz w:val="20"/>
                <w:highlight w:val="black"/>
              </w:rPr>
              <w:t>'''''''''''''</w:t>
            </w:r>
          </w:p>
        </w:tc>
        <w:tc>
          <w:tcPr>
            <w:tcW w:w="1276" w:type="dxa"/>
            <w:tcBorders>
              <w:top w:val="single" w:sz="4" w:space="0" w:color="auto"/>
              <w:bottom w:val="nil"/>
            </w:tcBorders>
            <w:shd w:val="clear" w:color="auto" w:fill="FFFFFF" w:themeFill="background1"/>
            <w:vAlign w:val="center"/>
          </w:tcPr>
          <w:p w:rsidR="0027192A" w:rsidRPr="00534A2B" w:rsidRDefault="00534A2B" w:rsidP="002F289F">
            <w:pPr>
              <w:jc w:val="center"/>
              <w:rPr>
                <w:rFonts w:ascii="Arial Narrow" w:hAnsi="Arial Narrow"/>
                <w:sz w:val="20"/>
                <w:highlight w:val="black"/>
              </w:rPr>
            </w:pPr>
            <w:r>
              <w:rPr>
                <w:rFonts w:ascii="Arial Narrow" w:hAnsi="Arial Narrow"/>
                <w:noProof/>
                <w:color w:val="000000"/>
                <w:sz w:val="20"/>
                <w:highlight w:val="black"/>
              </w:rPr>
              <w:t>'''''''''''''''</w:t>
            </w:r>
          </w:p>
        </w:tc>
        <w:tc>
          <w:tcPr>
            <w:tcW w:w="1276" w:type="dxa"/>
            <w:tcBorders>
              <w:top w:val="single" w:sz="4" w:space="0" w:color="auto"/>
              <w:bottom w:val="nil"/>
            </w:tcBorders>
            <w:shd w:val="clear" w:color="auto" w:fill="FFFFFF" w:themeFill="background1"/>
            <w:vAlign w:val="center"/>
          </w:tcPr>
          <w:p w:rsidR="0027192A" w:rsidRPr="00534A2B" w:rsidRDefault="00534A2B" w:rsidP="002F289F">
            <w:pPr>
              <w:jc w:val="center"/>
              <w:rPr>
                <w:rFonts w:ascii="Arial Narrow" w:hAnsi="Arial Narrow"/>
                <w:sz w:val="20"/>
                <w:highlight w:val="black"/>
              </w:rPr>
            </w:pPr>
            <w:r>
              <w:rPr>
                <w:rFonts w:ascii="Arial Narrow" w:hAnsi="Arial Narrow"/>
                <w:noProof/>
                <w:color w:val="000000"/>
                <w:sz w:val="20"/>
                <w:highlight w:val="black"/>
              </w:rPr>
              <w:t>'''''''''''''</w:t>
            </w:r>
          </w:p>
        </w:tc>
      </w:tr>
      <w:tr w:rsidR="0027192A" w:rsidRPr="007565E4" w:rsidTr="003865F8">
        <w:tc>
          <w:tcPr>
            <w:tcW w:w="1685" w:type="dxa"/>
            <w:tcBorders>
              <w:bottom w:val="nil"/>
            </w:tcBorders>
            <w:shd w:val="clear" w:color="auto" w:fill="FFFFFF" w:themeFill="background1"/>
          </w:tcPr>
          <w:p w:rsidR="0027192A" w:rsidRPr="007565E4" w:rsidRDefault="0027192A" w:rsidP="002F289F">
            <w:pPr>
              <w:jc w:val="left"/>
              <w:rPr>
                <w:rFonts w:ascii="Arial Narrow" w:hAnsi="Arial Narrow"/>
                <w:sz w:val="20"/>
              </w:rPr>
            </w:pPr>
            <w:proofErr w:type="spellStart"/>
            <w:r>
              <w:rPr>
                <w:rFonts w:ascii="Arial Narrow" w:hAnsi="Arial Narrow"/>
                <w:sz w:val="20"/>
              </w:rPr>
              <w:t>P</w:t>
            </w:r>
            <w:r w:rsidRPr="007565E4">
              <w:rPr>
                <w:rFonts w:ascii="Arial Narrow" w:hAnsi="Arial Narrow"/>
                <w:sz w:val="20"/>
              </w:rPr>
              <w:t>rescriptions</w:t>
            </w:r>
            <w:r w:rsidR="00FB486F">
              <w:rPr>
                <w:rFonts w:ascii="Arial Narrow" w:hAnsi="Arial Narrow"/>
                <w:sz w:val="20"/>
                <w:vertAlign w:val="superscript"/>
              </w:rPr>
              <w:t>a</w:t>
            </w:r>
            <w:proofErr w:type="spellEnd"/>
          </w:p>
        </w:tc>
        <w:tc>
          <w:tcPr>
            <w:tcW w:w="1276" w:type="dxa"/>
            <w:tcBorders>
              <w:bottom w:val="nil"/>
            </w:tcBorders>
            <w:shd w:val="clear" w:color="auto" w:fill="FFFFFF" w:themeFill="background1"/>
            <w:vAlign w:val="center"/>
          </w:tcPr>
          <w:p w:rsidR="0027192A" w:rsidRPr="00534A2B" w:rsidRDefault="00534A2B" w:rsidP="002F289F">
            <w:pPr>
              <w:jc w:val="center"/>
              <w:rPr>
                <w:rFonts w:ascii="Arial Narrow" w:hAnsi="Arial Narrow"/>
                <w:sz w:val="20"/>
                <w:highlight w:val="black"/>
              </w:rPr>
            </w:pPr>
            <w:r>
              <w:rPr>
                <w:rFonts w:ascii="Arial Narrow" w:hAnsi="Arial Narrow"/>
                <w:noProof/>
                <w:color w:val="000000"/>
                <w:sz w:val="20"/>
                <w:highlight w:val="black"/>
              </w:rPr>
              <w:t>''''''''''''''''</w:t>
            </w:r>
          </w:p>
        </w:tc>
        <w:tc>
          <w:tcPr>
            <w:tcW w:w="1417" w:type="dxa"/>
            <w:tcBorders>
              <w:bottom w:val="nil"/>
            </w:tcBorders>
            <w:shd w:val="clear" w:color="auto" w:fill="FFFFFF" w:themeFill="background1"/>
            <w:vAlign w:val="center"/>
          </w:tcPr>
          <w:p w:rsidR="0027192A" w:rsidRPr="00534A2B" w:rsidRDefault="00534A2B" w:rsidP="002F289F">
            <w:pPr>
              <w:jc w:val="center"/>
              <w:rPr>
                <w:rFonts w:ascii="Arial Narrow" w:hAnsi="Arial Narrow"/>
                <w:sz w:val="20"/>
                <w:highlight w:val="black"/>
              </w:rPr>
            </w:pPr>
            <w:r>
              <w:rPr>
                <w:rFonts w:ascii="Arial Narrow" w:hAnsi="Arial Narrow"/>
                <w:noProof/>
                <w:color w:val="000000"/>
                <w:sz w:val="20"/>
                <w:highlight w:val="black"/>
              </w:rPr>
              <w:t>'''''''''''''''</w:t>
            </w:r>
          </w:p>
        </w:tc>
        <w:tc>
          <w:tcPr>
            <w:tcW w:w="1418" w:type="dxa"/>
            <w:tcBorders>
              <w:bottom w:val="nil"/>
            </w:tcBorders>
            <w:shd w:val="clear" w:color="auto" w:fill="FFFFFF" w:themeFill="background1"/>
            <w:vAlign w:val="center"/>
          </w:tcPr>
          <w:p w:rsidR="0027192A" w:rsidRPr="00534A2B" w:rsidRDefault="00534A2B" w:rsidP="002F289F">
            <w:pPr>
              <w:jc w:val="center"/>
              <w:rPr>
                <w:rFonts w:ascii="Arial Narrow" w:hAnsi="Arial Narrow"/>
                <w:sz w:val="20"/>
                <w:highlight w:val="black"/>
              </w:rPr>
            </w:pPr>
            <w:r>
              <w:rPr>
                <w:rFonts w:ascii="Arial Narrow" w:hAnsi="Arial Narrow"/>
                <w:noProof/>
                <w:color w:val="000000"/>
                <w:sz w:val="20"/>
                <w:highlight w:val="black"/>
              </w:rPr>
              <w:t>'''''''''''''''</w:t>
            </w:r>
          </w:p>
        </w:tc>
        <w:tc>
          <w:tcPr>
            <w:tcW w:w="1276" w:type="dxa"/>
            <w:tcBorders>
              <w:bottom w:val="nil"/>
            </w:tcBorders>
            <w:shd w:val="clear" w:color="auto" w:fill="FFFFFF" w:themeFill="background1"/>
            <w:vAlign w:val="center"/>
          </w:tcPr>
          <w:p w:rsidR="0027192A" w:rsidRPr="00534A2B" w:rsidRDefault="00534A2B" w:rsidP="002F289F">
            <w:pPr>
              <w:jc w:val="center"/>
              <w:rPr>
                <w:rFonts w:ascii="Arial Narrow" w:hAnsi="Arial Narrow"/>
                <w:sz w:val="20"/>
                <w:highlight w:val="black"/>
              </w:rPr>
            </w:pPr>
            <w:r>
              <w:rPr>
                <w:rFonts w:ascii="Arial Narrow" w:hAnsi="Arial Narrow"/>
                <w:noProof/>
                <w:color w:val="000000"/>
                <w:sz w:val="20"/>
                <w:highlight w:val="black"/>
              </w:rPr>
              <w:t>'''''''''''''''</w:t>
            </w:r>
          </w:p>
        </w:tc>
        <w:tc>
          <w:tcPr>
            <w:tcW w:w="1276" w:type="dxa"/>
            <w:tcBorders>
              <w:bottom w:val="nil"/>
            </w:tcBorders>
            <w:shd w:val="clear" w:color="auto" w:fill="FFFFFF" w:themeFill="background1"/>
            <w:vAlign w:val="center"/>
          </w:tcPr>
          <w:p w:rsidR="0027192A" w:rsidRPr="00534A2B" w:rsidRDefault="00534A2B" w:rsidP="002F289F">
            <w:pPr>
              <w:jc w:val="center"/>
              <w:rPr>
                <w:rFonts w:ascii="Arial Narrow" w:hAnsi="Arial Narrow"/>
                <w:sz w:val="20"/>
                <w:highlight w:val="black"/>
              </w:rPr>
            </w:pPr>
            <w:r>
              <w:rPr>
                <w:rFonts w:ascii="Arial Narrow" w:hAnsi="Arial Narrow"/>
                <w:noProof/>
                <w:color w:val="000000"/>
                <w:sz w:val="20"/>
                <w:highlight w:val="black"/>
              </w:rPr>
              <w:t>'''''''''''''''</w:t>
            </w:r>
          </w:p>
        </w:tc>
      </w:tr>
      <w:tr w:rsidR="0027192A" w:rsidRPr="007565E4" w:rsidTr="003865F8">
        <w:tc>
          <w:tcPr>
            <w:tcW w:w="8348" w:type="dxa"/>
            <w:gridSpan w:val="6"/>
            <w:tcBorders>
              <w:bottom w:val="single" w:sz="4" w:space="0" w:color="auto"/>
              <w:right w:val="single" w:sz="4" w:space="0" w:color="auto"/>
            </w:tcBorders>
            <w:shd w:val="clear" w:color="auto" w:fill="FFFFFF" w:themeFill="background1"/>
          </w:tcPr>
          <w:p w:rsidR="0027192A" w:rsidRPr="007565E4" w:rsidRDefault="0027192A" w:rsidP="0027192A">
            <w:pPr>
              <w:ind w:right="57"/>
              <w:rPr>
                <w:rFonts w:ascii="Arial Narrow" w:hAnsi="Arial Narrow"/>
                <w:sz w:val="20"/>
              </w:rPr>
            </w:pPr>
            <w:r w:rsidRPr="004E2ADC">
              <w:rPr>
                <w:rFonts w:ascii="Arial Narrow" w:hAnsi="Arial Narrow"/>
                <w:b/>
                <w:bCs/>
                <w:color w:val="000000"/>
                <w:sz w:val="20"/>
              </w:rPr>
              <w:t>Estimated net cost to PBS/RPBS/MBS</w:t>
            </w:r>
          </w:p>
        </w:tc>
      </w:tr>
      <w:tr w:rsidR="0027192A" w:rsidRPr="007565E4" w:rsidTr="003865F8">
        <w:tc>
          <w:tcPr>
            <w:tcW w:w="1685" w:type="dxa"/>
            <w:tcBorders>
              <w:bottom w:val="nil"/>
            </w:tcBorders>
            <w:shd w:val="clear" w:color="auto" w:fill="FFFFFF" w:themeFill="background1"/>
          </w:tcPr>
          <w:p w:rsidR="0027192A" w:rsidRPr="007565E4" w:rsidRDefault="0027192A" w:rsidP="0027192A">
            <w:pPr>
              <w:jc w:val="left"/>
              <w:rPr>
                <w:rFonts w:ascii="Arial Narrow" w:hAnsi="Arial Narrow"/>
                <w:sz w:val="20"/>
              </w:rPr>
            </w:pPr>
            <w:r w:rsidRPr="004E2ADC">
              <w:rPr>
                <w:rFonts w:ascii="Arial Narrow" w:hAnsi="Arial Narrow"/>
                <w:sz w:val="19"/>
                <w:szCs w:val="19"/>
              </w:rPr>
              <w:t>Net cost to PBS</w:t>
            </w:r>
            <w:r>
              <w:rPr>
                <w:rFonts w:ascii="Arial Narrow" w:hAnsi="Arial Narrow"/>
                <w:sz w:val="19"/>
                <w:szCs w:val="19"/>
              </w:rPr>
              <w:t>/RPBS</w:t>
            </w:r>
          </w:p>
        </w:tc>
        <w:tc>
          <w:tcPr>
            <w:tcW w:w="1276" w:type="dxa"/>
            <w:tcBorders>
              <w:bottom w:val="nil"/>
            </w:tcBorders>
            <w:shd w:val="clear" w:color="auto" w:fill="FFFFFF" w:themeFill="background1"/>
          </w:tcPr>
          <w:p w:rsidR="0027192A" w:rsidRPr="007565E4" w:rsidRDefault="0027192A" w:rsidP="0027192A">
            <w:pPr>
              <w:ind w:right="57"/>
              <w:jc w:val="right"/>
              <w:rPr>
                <w:rFonts w:ascii="Arial Narrow" w:hAnsi="Arial Narrow"/>
                <w:sz w:val="20"/>
              </w:rPr>
            </w:pPr>
            <w:r w:rsidRPr="002079AD">
              <w:rPr>
                <w:rFonts w:ascii="Arial Narrow" w:hAnsi="Arial Narrow"/>
                <w:sz w:val="20"/>
              </w:rPr>
              <w:t>$</w:t>
            </w:r>
            <w:r w:rsidR="00534A2B">
              <w:rPr>
                <w:rFonts w:ascii="Arial Narrow" w:hAnsi="Arial Narrow"/>
                <w:noProof/>
                <w:color w:val="000000"/>
                <w:sz w:val="20"/>
                <w:highlight w:val="black"/>
              </w:rPr>
              <w:t>'''''''''''''''''''''''''</w:t>
            </w:r>
          </w:p>
        </w:tc>
        <w:tc>
          <w:tcPr>
            <w:tcW w:w="1417" w:type="dxa"/>
            <w:tcBorders>
              <w:bottom w:val="nil"/>
            </w:tcBorders>
            <w:shd w:val="clear" w:color="auto" w:fill="FFFFFF" w:themeFill="background1"/>
          </w:tcPr>
          <w:p w:rsidR="0027192A" w:rsidRPr="007565E4" w:rsidRDefault="0027192A" w:rsidP="0027192A">
            <w:pPr>
              <w:ind w:right="57"/>
              <w:jc w:val="right"/>
              <w:rPr>
                <w:rFonts w:ascii="Arial Narrow" w:hAnsi="Arial Narrow"/>
                <w:sz w:val="20"/>
              </w:rPr>
            </w:pPr>
            <w:r w:rsidRPr="002079AD">
              <w:rPr>
                <w:rFonts w:ascii="Arial Narrow" w:hAnsi="Arial Narrow"/>
                <w:sz w:val="20"/>
              </w:rPr>
              <w:t>$</w:t>
            </w:r>
            <w:r w:rsidR="00534A2B">
              <w:rPr>
                <w:rFonts w:ascii="Arial Narrow" w:hAnsi="Arial Narrow"/>
                <w:noProof/>
                <w:color w:val="000000"/>
                <w:sz w:val="20"/>
                <w:highlight w:val="black"/>
              </w:rPr>
              <w:t>'''''''''''''''''''''''''</w:t>
            </w:r>
          </w:p>
        </w:tc>
        <w:tc>
          <w:tcPr>
            <w:tcW w:w="1418" w:type="dxa"/>
            <w:tcBorders>
              <w:bottom w:val="nil"/>
            </w:tcBorders>
            <w:shd w:val="clear" w:color="auto" w:fill="FFFFFF" w:themeFill="background1"/>
          </w:tcPr>
          <w:p w:rsidR="0027192A" w:rsidRPr="007565E4" w:rsidRDefault="0027192A" w:rsidP="0027192A">
            <w:pPr>
              <w:ind w:right="57"/>
              <w:jc w:val="right"/>
              <w:rPr>
                <w:rFonts w:ascii="Arial Narrow" w:hAnsi="Arial Narrow"/>
                <w:sz w:val="20"/>
              </w:rPr>
            </w:pPr>
            <w:r w:rsidRPr="002079AD">
              <w:rPr>
                <w:rFonts w:ascii="Arial Narrow" w:hAnsi="Arial Narrow"/>
                <w:sz w:val="20"/>
              </w:rPr>
              <w:t>$</w:t>
            </w:r>
            <w:r w:rsidR="00534A2B">
              <w:rPr>
                <w:rFonts w:ascii="Arial Narrow" w:hAnsi="Arial Narrow"/>
                <w:noProof/>
                <w:color w:val="000000"/>
                <w:sz w:val="20"/>
                <w:highlight w:val="black"/>
              </w:rPr>
              <w:t>''''''''''''''''''''''</w:t>
            </w:r>
          </w:p>
        </w:tc>
        <w:tc>
          <w:tcPr>
            <w:tcW w:w="1276" w:type="dxa"/>
            <w:tcBorders>
              <w:bottom w:val="nil"/>
            </w:tcBorders>
            <w:shd w:val="clear" w:color="auto" w:fill="FFFFFF" w:themeFill="background1"/>
          </w:tcPr>
          <w:p w:rsidR="0027192A" w:rsidRPr="007565E4" w:rsidRDefault="0027192A" w:rsidP="0027192A">
            <w:pPr>
              <w:ind w:right="57"/>
              <w:jc w:val="right"/>
              <w:rPr>
                <w:rFonts w:ascii="Arial Narrow" w:hAnsi="Arial Narrow"/>
                <w:sz w:val="20"/>
              </w:rPr>
            </w:pPr>
            <w:r w:rsidRPr="002079AD">
              <w:rPr>
                <w:rFonts w:ascii="Arial Narrow" w:hAnsi="Arial Narrow"/>
                <w:sz w:val="20"/>
              </w:rPr>
              <w:t>$</w:t>
            </w:r>
            <w:r w:rsidR="00534A2B">
              <w:rPr>
                <w:rFonts w:ascii="Arial Narrow" w:hAnsi="Arial Narrow"/>
                <w:noProof/>
                <w:color w:val="000000"/>
                <w:sz w:val="20"/>
                <w:highlight w:val="black"/>
              </w:rPr>
              <w:t>'''''''''''''''''''''''</w:t>
            </w:r>
          </w:p>
        </w:tc>
        <w:tc>
          <w:tcPr>
            <w:tcW w:w="1276" w:type="dxa"/>
            <w:tcBorders>
              <w:bottom w:val="nil"/>
            </w:tcBorders>
            <w:shd w:val="clear" w:color="auto" w:fill="FFFFFF" w:themeFill="background1"/>
          </w:tcPr>
          <w:p w:rsidR="0027192A" w:rsidRPr="007565E4" w:rsidRDefault="0027192A" w:rsidP="0027192A">
            <w:pPr>
              <w:ind w:right="57"/>
              <w:jc w:val="right"/>
              <w:rPr>
                <w:rFonts w:ascii="Arial Narrow" w:hAnsi="Arial Narrow"/>
                <w:sz w:val="20"/>
              </w:rPr>
            </w:pPr>
            <w:r w:rsidRPr="002079AD">
              <w:rPr>
                <w:rFonts w:ascii="Arial Narrow" w:hAnsi="Arial Narrow"/>
                <w:sz w:val="20"/>
              </w:rPr>
              <w:t>$</w:t>
            </w:r>
            <w:r w:rsidR="00534A2B">
              <w:rPr>
                <w:rFonts w:ascii="Arial Narrow" w:hAnsi="Arial Narrow"/>
                <w:noProof/>
                <w:color w:val="000000"/>
                <w:sz w:val="20"/>
                <w:highlight w:val="black"/>
              </w:rPr>
              <w:t>''''''''''''''''''''''''''</w:t>
            </w:r>
          </w:p>
        </w:tc>
      </w:tr>
      <w:tr w:rsidR="0027192A" w:rsidRPr="007565E4" w:rsidTr="003865F8">
        <w:tc>
          <w:tcPr>
            <w:tcW w:w="1685" w:type="dxa"/>
            <w:tcBorders>
              <w:top w:val="single" w:sz="4" w:space="0" w:color="auto"/>
              <w:bottom w:val="nil"/>
            </w:tcBorders>
            <w:shd w:val="clear" w:color="auto" w:fill="FFFFFF" w:themeFill="background1"/>
          </w:tcPr>
          <w:p w:rsidR="0027192A" w:rsidRPr="007565E4" w:rsidRDefault="0027192A" w:rsidP="0027192A">
            <w:pPr>
              <w:jc w:val="left"/>
              <w:rPr>
                <w:rFonts w:ascii="Arial Narrow" w:hAnsi="Arial Narrow"/>
                <w:sz w:val="20"/>
              </w:rPr>
            </w:pPr>
            <w:r w:rsidRPr="004E2ADC">
              <w:rPr>
                <w:rFonts w:ascii="Arial Narrow" w:hAnsi="Arial Narrow"/>
                <w:sz w:val="19"/>
                <w:szCs w:val="19"/>
              </w:rPr>
              <w:t>Net cost to MBS</w:t>
            </w:r>
          </w:p>
        </w:tc>
        <w:tc>
          <w:tcPr>
            <w:tcW w:w="1276" w:type="dxa"/>
            <w:tcBorders>
              <w:top w:val="single" w:sz="4" w:space="0" w:color="auto"/>
              <w:bottom w:val="single" w:sz="4" w:space="0" w:color="auto"/>
            </w:tcBorders>
            <w:shd w:val="clear" w:color="auto" w:fill="FFFFFF" w:themeFill="background1"/>
          </w:tcPr>
          <w:p w:rsidR="0027192A" w:rsidRPr="007565E4" w:rsidRDefault="0027192A" w:rsidP="0027192A">
            <w:pPr>
              <w:ind w:right="57"/>
              <w:jc w:val="right"/>
              <w:rPr>
                <w:rFonts w:ascii="Arial Narrow" w:hAnsi="Arial Narrow"/>
                <w:sz w:val="20"/>
              </w:rPr>
            </w:pPr>
            <w:r>
              <w:rPr>
                <w:rFonts w:ascii="Arial Narrow" w:hAnsi="Arial Narrow"/>
                <w:sz w:val="20"/>
              </w:rPr>
              <w:t>-</w:t>
            </w:r>
            <w:r w:rsidRPr="002079AD">
              <w:rPr>
                <w:rFonts w:ascii="Arial Narrow" w:hAnsi="Arial Narrow"/>
                <w:sz w:val="20"/>
              </w:rPr>
              <w:t>$</w:t>
            </w:r>
            <w:r w:rsidR="00534A2B">
              <w:rPr>
                <w:rFonts w:ascii="Arial Narrow" w:hAnsi="Arial Narrow"/>
                <w:noProof/>
                <w:color w:val="000000"/>
                <w:sz w:val="20"/>
                <w:highlight w:val="black"/>
              </w:rPr>
              <w:t>'''''''''''''''''''</w:t>
            </w:r>
          </w:p>
        </w:tc>
        <w:tc>
          <w:tcPr>
            <w:tcW w:w="1417" w:type="dxa"/>
            <w:tcBorders>
              <w:top w:val="single" w:sz="4" w:space="0" w:color="auto"/>
              <w:bottom w:val="single" w:sz="4" w:space="0" w:color="auto"/>
            </w:tcBorders>
            <w:shd w:val="clear" w:color="auto" w:fill="FFFFFF" w:themeFill="background1"/>
          </w:tcPr>
          <w:p w:rsidR="0027192A" w:rsidRPr="007565E4" w:rsidRDefault="0027192A" w:rsidP="0027192A">
            <w:pPr>
              <w:ind w:right="57"/>
              <w:jc w:val="right"/>
              <w:rPr>
                <w:rFonts w:ascii="Arial Narrow" w:hAnsi="Arial Narrow"/>
                <w:sz w:val="20"/>
              </w:rPr>
            </w:pPr>
            <w:r>
              <w:rPr>
                <w:rFonts w:ascii="Arial Narrow" w:hAnsi="Arial Narrow"/>
                <w:sz w:val="20"/>
              </w:rPr>
              <w:t>-</w:t>
            </w:r>
            <w:r w:rsidRPr="002079AD">
              <w:rPr>
                <w:rFonts w:ascii="Arial Narrow" w:hAnsi="Arial Narrow"/>
                <w:sz w:val="20"/>
              </w:rPr>
              <w:t>$</w:t>
            </w:r>
            <w:r w:rsidR="00534A2B">
              <w:rPr>
                <w:rFonts w:ascii="Arial Narrow" w:hAnsi="Arial Narrow"/>
                <w:noProof/>
                <w:color w:val="000000"/>
                <w:sz w:val="20"/>
                <w:highlight w:val="black"/>
              </w:rPr>
              <w:t>'''''''''''''''''''''</w:t>
            </w:r>
          </w:p>
        </w:tc>
        <w:tc>
          <w:tcPr>
            <w:tcW w:w="1418" w:type="dxa"/>
            <w:tcBorders>
              <w:top w:val="single" w:sz="4" w:space="0" w:color="auto"/>
              <w:bottom w:val="single" w:sz="4" w:space="0" w:color="auto"/>
            </w:tcBorders>
            <w:shd w:val="clear" w:color="auto" w:fill="FFFFFF" w:themeFill="background1"/>
          </w:tcPr>
          <w:p w:rsidR="0027192A" w:rsidRPr="007565E4" w:rsidRDefault="0027192A" w:rsidP="0027192A">
            <w:pPr>
              <w:ind w:right="57"/>
              <w:jc w:val="right"/>
              <w:rPr>
                <w:rFonts w:ascii="Arial Narrow" w:hAnsi="Arial Narrow"/>
                <w:sz w:val="20"/>
              </w:rPr>
            </w:pPr>
            <w:r>
              <w:rPr>
                <w:rFonts w:ascii="Arial Narrow" w:hAnsi="Arial Narrow"/>
                <w:sz w:val="20"/>
              </w:rPr>
              <w:t>-</w:t>
            </w:r>
            <w:r w:rsidRPr="002079AD">
              <w:rPr>
                <w:rFonts w:ascii="Arial Narrow" w:hAnsi="Arial Narrow"/>
                <w:sz w:val="20"/>
              </w:rPr>
              <w:t>$</w:t>
            </w:r>
            <w:r w:rsidR="00534A2B">
              <w:rPr>
                <w:rFonts w:ascii="Arial Narrow" w:hAnsi="Arial Narrow"/>
                <w:noProof/>
                <w:color w:val="000000"/>
                <w:sz w:val="20"/>
                <w:highlight w:val="black"/>
              </w:rPr>
              <w:t>'''''''''''''''''''''</w:t>
            </w:r>
          </w:p>
        </w:tc>
        <w:tc>
          <w:tcPr>
            <w:tcW w:w="1276" w:type="dxa"/>
            <w:tcBorders>
              <w:top w:val="single" w:sz="4" w:space="0" w:color="auto"/>
              <w:bottom w:val="single" w:sz="4" w:space="0" w:color="auto"/>
            </w:tcBorders>
            <w:shd w:val="clear" w:color="auto" w:fill="FFFFFF" w:themeFill="background1"/>
          </w:tcPr>
          <w:p w:rsidR="0027192A" w:rsidRPr="007565E4" w:rsidRDefault="0027192A" w:rsidP="0027192A">
            <w:pPr>
              <w:ind w:right="57"/>
              <w:jc w:val="right"/>
              <w:rPr>
                <w:rFonts w:ascii="Arial Narrow" w:hAnsi="Arial Narrow"/>
                <w:sz w:val="20"/>
              </w:rPr>
            </w:pPr>
            <w:r>
              <w:rPr>
                <w:rFonts w:ascii="Arial Narrow" w:hAnsi="Arial Narrow"/>
                <w:sz w:val="20"/>
              </w:rPr>
              <w:t>-</w:t>
            </w:r>
            <w:r w:rsidRPr="002079AD">
              <w:rPr>
                <w:rFonts w:ascii="Arial Narrow" w:hAnsi="Arial Narrow"/>
                <w:sz w:val="20"/>
              </w:rPr>
              <w:t>$</w:t>
            </w:r>
            <w:r w:rsidR="00534A2B">
              <w:rPr>
                <w:rFonts w:ascii="Arial Narrow" w:hAnsi="Arial Narrow"/>
                <w:noProof/>
                <w:color w:val="000000"/>
                <w:sz w:val="20"/>
                <w:highlight w:val="black"/>
              </w:rPr>
              <w:t>''''''''''''''''''''</w:t>
            </w:r>
          </w:p>
        </w:tc>
        <w:tc>
          <w:tcPr>
            <w:tcW w:w="1276" w:type="dxa"/>
            <w:tcBorders>
              <w:top w:val="single" w:sz="4" w:space="0" w:color="auto"/>
              <w:bottom w:val="single" w:sz="4" w:space="0" w:color="auto"/>
            </w:tcBorders>
            <w:shd w:val="clear" w:color="auto" w:fill="FFFFFF" w:themeFill="background1"/>
          </w:tcPr>
          <w:p w:rsidR="0027192A" w:rsidRPr="007565E4" w:rsidRDefault="0027192A" w:rsidP="0027192A">
            <w:pPr>
              <w:ind w:right="57"/>
              <w:jc w:val="right"/>
              <w:rPr>
                <w:rFonts w:ascii="Arial Narrow" w:hAnsi="Arial Narrow"/>
                <w:sz w:val="20"/>
              </w:rPr>
            </w:pPr>
            <w:r>
              <w:rPr>
                <w:rFonts w:ascii="Arial Narrow" w:hAnsi="Arial Narrow"/>
                <w:sz w:val="20"/>
              </w:rPr>
              <w:t>-</w:t>
            </w:r>
            <w:r w:rsidRPr="002079AD">
              <w:rPr>
                <w:rFonts w:ascii="Arial Narrow" w:hAnsi="Arial Narrow"/>
                <w:sz w:val="20"/>
              </w:rPr>
              <w:t>$</w:t>
            </w:r>
            <w:r w:rsidR="00534A2B">
              <w:rPr>
                <w:rFonts w:ascii="Arial Narrow" w:hAnsi="Arial Narrow"/>
                <w:noProof/>
                <w:color w:val="000000"/>
                <w:sz w:val="20"/>
                <w:highlight w:val="black"/>
              </w:rPr>
              <w:t>''''''''''''''''''''''</w:t>
            </w:r>
          </w:p>
        </w:tc>
      </w:tr>
      <w:tr w:rsidR="004F6781" w:rsidRPr="007565E4" w:rsidTr="00FB486F">
        <w:tc>
          <w:tcPr>
            <w:tcW w:w="8348" w:type="dxa"/>
            <w:gridSpan w:val="6"/>
            <w:tcBorders>
              <w:bottom w:val="single" w:sz="4" w:space="0" w:color="auto"/>
            </w:tcBorders>
            <w:shd w:val="clear" w:color="auto" w:fill="FFFFFF" w:themeFill="background1"/>
          </w:tcPr>
          <w:p w:rsidR="004F6781" w:rsidRPr="004B3A7B" w:rsidRDefault="004F6781" w:rsidP="004F6781">
            <w:pPr>
              <w:ind w:right="57"/>
              <w:rPr>
                <w:rFonts w:ascii="Arial Narrow" w:hAnsi="Arial Narrow"/>
                <w:b/>
                <w:sz w:val="20"/>
              </w:rPr>
            </w:pPr>
            <w:r w:rsidRPr="0027192A">
              <w:rPr>
                <w:rFonts w:ascii="Arial Narrow" w:hAnsi="Arial Narrow"/>
                <w:b/>
                <w:bCs/>
                <w:color w:val="000000"/>
                <w:sz w:val="20"/>
              </w:rPr>
              <w:t>Estimated total net cost</w:t>
            </w:r>
          </w:p>
        </w:tc>
      </w:tr>
      <w:tr w:rsidR="0027192A" w:rsidRPr="007565E4" w:rsidTr="00FB486F">
        <w:tc>
          <w:tcPr>
            <w:tcW w:w="1685" w:type="dxa"/>
            <w:tcBorders>
              <w:bottom w:val="single" w:sz="4" w:space="0" w:color="auto"/>
            </w:tcBorders>
            <w:shd w:val="clear" w:color="auto" w:fill="FFFFFF" w:themeFill="background1"/>
          </w:tcPr>
          <w:p w:rsidR="0027192A" w:rsidRPr="007565E4" w:rsidRDefault="0027192A" w:rsidP="0027192A">
            <w:pPr>
              <w:jc w:val="left"/>
              <w:rPr>
                <w:rFonts w:ascii="Arial Narrow" w:hAnsi="Arial Narrow"/>
                <w:sz w:val="20"/>
              </w:rPr>
            </w:pPr>
            <w:r w:rsidRPr="00145540">
              <w:rPr>
                <w:rFonts w:ascii="Arial Narrow" w:hAnsi="Arial Narrow"/>
                <w:b/>
                <w:bCs/>
                <w:color w:val="000000"/>
                <w:sz w:val="20"/>
              </w:rPr>
              <w:t xml:space="preserve">Net cost </w:t>
            </w:r>
            <w:r>
              <w:rPr>
                <w:rFonts w:ascii="Arial Narrow" w:hAnsi="Arial Narrow"/>
                <w:b/>
                <w:bCs/>
                <w:color w:val="000000"/>
                <w:sz w:val="20"/>
              </w:rPr>
              <w:t xml:space="preserve">to </w:t>
            </w:r>
            <w:r w:rsidRPr="00145540">
              <w:rPr>
                <w:rFonts w:ascii="Arial Narrow" w:hAnsi="Arial Narrow"/>
                <w:b/>
                <w:bCs/>
                <w:color w:val="000000"/>
                <w:sz w:val="20"/>
              </w:rPr>
              <w:t>PBS/RPBS/MBS</w:t>
            </w:r>
            <w:r w:rsidRPr="004E2ADC">
              <w:rPr>
                <w:rFonts w:ascii="Arial Narrow" w:hAnsi="Arial Narrow"/>
                <w:b/>
                <w:color w:val="000000"/>
                <w:sz w:val="20"/>
              </w:rPr>
              <w:t xml:space="preserve"> </w:t>
            </w:r>
          </w:p>
        </w:tc>
        <w:tc>
          <w:tcPr>
            <w:tcW w:w="1276" w:type="dxa"/>
            <w:tcBorders>
              <w:bottom w:val="single" w:sz="4" w:space="0" w:color="auto"/>
            </w:tcBorders>
            <w:shd w:val="clear" w:color="auto" w:fill="FFFFFF" w:themeFill="background1"/>
            <w:vAlign w:val="center"/>
          </w:tcPr>
          <w:p w:rsidR="0027192A" w:rsidRPr="007565E4" w:rsidRDefault="0027192A" w:rsidP="00FB486F">
            <w:pPr>
              <w:ind w:right="57"/>
              <w:jc w:val="right"/>
              <w:rPr>
                <w:rFonts w:ascii="Arial Narrow" w:hAnsi="Arial Narrow"/>
                <w:sz w:val="20"/>
              </w:rPr>
            </w:pPr>
            <w:r w:rsidRPr="004B3A7B">
              <w:rPr>
                <w:rFonts w:ascii="Arial Narrow" w:hAnsi="Arial Narrow"/>
                <w:b/>
                <w:sz w:val="20"/>
              </w:rPr>
              <w:t>$</w:t>
            </w:r>
            <w:r w:rsidR="00534A2B">
              <w:rPr>
                <w:rFonts w:ascii="Arial Narrow" w:hAnsi="Arial Narrow"/>
                <w:b/>
                <w:noProof/>
                <w:color w:val="000000"/>
                <w:sz w:val="20"/>
                <w:highlight w:val="black"/>
              </w:rPr>
              <w:t>'''''''''''''''''''</w:t>
            </w:r>
          </w:p>
        </w:tc>
        <w:tc>
          <w:tcPr>
            <w:tcW w:w="1417" w:type="dxa"/>
            <w:tcBorders>
              <w:bottom w:val="single" w:sz="4" w:space="0" w:color="auto"/>
            </w:tcBorders>
            <w:shd w:val="clear" w:color="auto" w:fill="FFFFFF" w:themeFill="background1"/>
            <w:vAlign w:val="center"/>
          </w:tcPr>
          <w:p w:rsidR="0027192A" w:rsidRPr="007565E4" w:rsidRDefault="0027192A" w:rsidP="00FB486F">
            <w:pPr>
              <w:ind w:right="57"/>
              <w:jc w:val="right"/>
              <w:rPr>
                <w:rFonts w:ascii="Arial Narrow" w:hAnsi="Arial Narrow"/>
                <w:sz w:val="20"/>
              </w:rPr>
            </w:pPr>
            <w:r w:rsidRPr="004B3A7B">
              <w:rPr>
                <w:rFonts w:ascii="Arial Narrow" w:hAnsi="Arial Narrow"/>
                <w:b/>
                <w:sz w:val="20"/>
              </w:rPr>
              <w:t>$</w:t>
            </w:r>
            <w:r w:rsidR="00534A2B">
              <w:rPr>
                <w:rFonts w:ascii="Arial Narrow" w:hAnsi="Arial Narrow"/>
                <w:b/>
                <w:noProof/>
                <w:color w:val="000000"/>
                <w:sz w:val="20"/>
                <w:highlight w:val="black"/>
              </w:rPr>
              <w:t>''''''''''''''''''</w:t>
            </w:r>
          </w:p>
        </w:tc>
        <w:tc>
          <w:tcPr>
            <w:tcW w:w="1418" w:type="dxa"/>
            <w:tcBorders>
              <w:bottom w:val="single" w:sz="4" w:space="0" w:color="auto"/>
            </w:tcBorders>
            <w:shd w:val="clear" w:color="auto" w:fill="FFFFFF" w:themeFill="background1"/>
            <w:vAlign w:val="center"/>
          </w:tcPr>
          <w:p w:rsidR="0027192A" w:rsidRPr="007565E4" w:rsidRDefault="0027192A" w:rsidP="00FB486F">
            <w:pPr>
              <w:ind w:right="57"/>
              <w:jc w:val="right"/>
              <w:rPr>
                <w:rFonts w:ascii="Arial Narrow" w:hAnsi="Arial Narrow"/>
                <w:sz w:val="20"/>
              </w:rPr>
            </w:pPr>
            <w:r w:rsidRPr="004B3A7B">
              <w:rPr>
                <w:rFonts w:ascii="Arial Narrow" w:hAnsi="Arial Narrow"/>
                <w:b/>
                <w:sz w:val="20"/>
              </w:rPr>
              <w:t>$</w:t>
            </w:r>
            <w:r w:rsidR="00534A2B">
              <w:rPr>
                <w:rFonts w:ascii="Arial Narrow" w:hAnsi="Arial Narrow"/>
                <w:b/>
                <w:noProof/>
                <w:color w:val="000000"/>
                <w:sz w:val="20"/>
                <w:highlight w:val="black"/>
              </w:rPr>
              <w:t>'''''''''''''''''''</w:t>
            </w:r>
          </w:p>
        </w:tc>
        <w:tc>
          <w:tcPr>
            <w:tcW w:w="1276" w:type="dxa"/>
            <w:tcBorders>
              <w:bottom w:val="single" w:sz="4" w:space="0" w:color="auto"/>
            </w:tcBorders>
            <w:shd w:val="clear" w:color="auto" w:fill="FFFFFF" w:themeFill="background1"/>
            <w:vAlign w:val="center"/>
          </w:tcPr>
          <w:p w:rsidR="0027192A" w:rsidRPr="007565E4" w:rsidRDefault="0027192A" w:rsidP="00FB486F">
            <w:pPr>
              <w:ind w:right="57"/>
              <w:jc w:val="right"/>
              <w:rPr>
                <w:rFonts w:ascii="Arial Narrow" w:hAnsi="Arial Narrow"/>
                <w:sz w:val="20"/>
              </w:rPr>
            </w:pPr>
            <w:r w:rsidRPr="004B3A7B">
              <w:rPr>
                <w:rFonts w:ascii="Arial Narrow" w:hAnsi="Arial Narrow"/>
                <w:b/>
                <w:sz w:val="20"/>
              </w:rPr>
              <w:t>$</w:t>
            </w:r>
            <w:r w:rsidR="00534A2B">
              <w:rPr>
                <w:rFonts w:ascii="Arial Narrow" w:hAnsi="Arial Narrow"/>
                <w:b/>
                <w:noProof/>
                <w:color w:val="000000"/>
                <w:sz w:val="20"/>
                <w:highlight w:val="black"/>
              </w:rPr>
              <w:t>''''''''''''''''''</w:t>
            </w:r>
          </w:p>
        </w:tc>
        <w:tc>
          <w:tcPr>
            <w:tcW w:w="1276" w:type="dxa"/>
            <w:tcBorders>
              <w:bottom w:val="single" w:sz="4" w:space="0" w:color="auto"/>
            </w:tcBorders>
            <w:shd w:val="clear" w:color="auto" w:fill="FFFFFF" w:themeFill="background1"/>
            <w:vAlign w:val="center"/>
          </w:tcPr>
          <w:p w:rsidR="0027192A" w:rsidRPr="007565E4" w:rsidRDefault="0027192A" w:rsidP="00FB486F">
            <w:pPr>
              <w:ind w:right="57"/>
              <w:jc w:val="right"/>
              <w:rPr>
                <w:rFonts w:ascii="Arial Narrow" w:hAnsi="Arial Narrow"/>
                <w:sz w:val="20"/>
              </w:rPr>
            </w:pPr>
            <w:r w:rsidRPr="004B3A7B">
              <w:rPr>
                <w:rFonts w:ascii="Arial Narrow" w:hAnsi="Arial Narrow"/>
                <w:b/>
                <w:sz w:val="20"/>
              </w:rPr>
              <w:t>$</w:t>
            </w:r>
            <w:r w:rsidR="00534A2B">
              <w:rPr>
                <w:rFonts w:ascii="Arial Narrow" w:hAnsi="Arial Narrow"/>
                <w:b/>
                <w:noProof/>
                <w:color w:val="000000"/>
                <w:sz w:val="20"/>
                <w:highlight w:val="black"/>
              </w:rPr>
              <w:t>'''''''''''''''''''''</w:t>
            </w:r>
          </w:p>
        </w:tc>
      </w:tr>
    </w:tbl>
    <w:p w:rsidR="0027192A" w:rsidRDefault="00FB486F" w:rsidP="004146C2">
      <w:pPr>
        <w:pStyle w:val="TableFooter"/>
        <w:ind w:left="737"/>
      </w:pPr>
      <w:proofErr w:type="gramStart"/>
      <w:r>
        <w:rPr>
          <w:vertAlign w:val="superscript"/>
        </w:rPr>
        <w:t>a</w:t>
      </w:r>
      <w:proofErr w:type="gramEnd"/>
      <w:r w:rsidR="0027192A">
        <w:t xml:space="preserve"> Number of prescriptions = number of patients x (365 ÷ 28) x </w:t>
      </w:r>
      <w:r w:rsidR="0027192A" w:rsidRPr="0035726D">
        <w:t>93.25</w:t>
      </w:r>
      <w:r w:rsidR="0027192A">
        <w:t xml:space="preserve">%, where 28 is the number of days of treatment supplied per prescription and </w:t>
      </w:r>
      <w:r w:rsidR="0027192A" w:rsidRPr="0035726D">
        <w:t>93.25</w:t>
      </w:r>
      <w:r w:rsidR="0027192A">
        <w:t xml:space="preserve">% is the adherence rate. </w:t>
      </w:r>
    </w:p>
    <w:p w:rsidR="0027192A" w:rsidRDefault="0027192A" w:rsidP="004146C2">
      <w:pPr>
        <w:pStyle w:val="TableFooter"/>
        <w:ind w:left="737"/>
      </w:pPr>
      <w:r>
        <w:t xml:space="preserve">Source: E-18, </w:t>
      </w:r>
      <w:r w:rsidR="004146C2">
        <w:t xml:space="preserve">p194 and Table E-28, </w:t>
      </w:r>
      <w:r>
        <w:t>p</w:t>
      </w:r>
      <w:r w:rsidR="004146C2">
        <w:t xml:space="preserve">200 </w:t>
      </w:r>
      <w:r>
        <w:t>of the submission</w:t>
      </w:r>
    </w:p>
    <w:p w:rsidR="00C25D9C" w:rsidRDefault="00C25D9C" w:rsidP="00C25D9C">
      <w:pPr>
        <w:widowControl/>
        <w:rPr>
          <w:szCs w:val="22"/>
        </w:rPr>
      </w:pPr>
    </w:p>
    <w:p w:rsidR="0045679F" w:rsidRDefault="0045679F" w:rsidP="0045679F">
      <w:pPr>
        <w:widowControl/>
        <w:ind w:left="720"/>
        <w:rPr>
          <w:szCs w:val="22"/>
        </w:rPr>
      </w:pPr>
      <w:r>
        <w:rPr>
          <w:szCs w:val="22"/>
        </w:rPr>
        <w:t>The redacted table shows that at year 5, the estimated number of patients was less than 10,000 per year and the net cost to the PBS would be less than $10 million per year.</w:t>
      </w:r>
    </w:p>
    <w:p w:rsidR="0045679F" w:rsidRPr="00AC026A" w:rsidRDefault="0045679F" w:rsidP="00C25D9C">
      <w:pPr>
        <w:widowControl/>
        <w:rPr>
          <w:szCs w:val="22"/>
        </w:rPr>
      </w:pPr>
    </w:p>
    <w:p w:rsidR="00C44D2E" w:rsidRPr="00E2098F" w:rsidRDefault="00C44D2E" w:rsidP="005E4448">
      <w:pPr>
        <w:pStyle w:val="ListParagraph"/>
        <w:widowControl/>
        <w:numPr>
          <w:ilvl w:val="1"/>
          <w:numId w:val="2"/>
        </w:numPr>
        <w:rPr>
          <w:szCs w:val="22"/>
        </w:rPr>
      </w:pPr>
      <w:r w:rsidRPr="00E2098F">
        <w:t>The financial implications to the Go</w:t>
      </w:r>
      <w:r w:rsidR="0010147A">
        <w:t>vernment health budget c</w:t>
      </w:r>
      <w:r w:rsidRPr="00E2098F">
        <w:t xml:space="preserve">ould vary greatly, if </w:t>
      </w:r>
      <w:r w:rsidR="0010147A">
        <w:t xml:space="preserve">the submission’s </w:t>
      </w:r>
      <w:r w:rsidRPr="00E2098F">
        <w:t xml:space="preserve">assumptions are not as predicted. The main areas of uncertainty </w:t>
      </w:r>
      <w:r w:rsidR="009F0F03" w:rsidRPr="00E2098F">
        <w:t>include:</w:t>
      </w:r>
    </w:p>
    <w:p w:rsidR="00C44D2E" w:rsidRPr="00E2098F" w:rsidRDefault="009F0F03" w:rsidP="005E4448">
      <w:pPr>
        <w:pStyle w:val="ListParagraph"/>
        <w:widowControl/>
        <w:numPr>
          <w:ilvl w:val="0"/>
          <w:numId w:val="7"/>
        </w:numPr>
        <w:rPr>
          <w:szCs w:val="22"/>
        </w:rPr>
      </w:pPr>
      <w:r w:rsidRPr="00E2098F">
        <w:rPr>
          <w:szCs w:val="22"/>
        </w:rPr>
        <w:t>The respon</w:t>
      </w:r>
      <w:r w:rsidR="00270EB4" w:rsidRPr="00E2098F">
        <w:rPr>
          <w:szCs w:val="22"/>
        </w:rPr>
        <w:t>se</w:t>
      </w:r>
      <w:r w:rsidRPr="00E2098F">
        <w:rPr>
          <w:szCs w:val="22"/>
        </w:rPr>
        <w:t xml:space="preserve"> rate following previous AED</w:t>
      </w:r>
      <w:r w:rsidR="00270EB4" w:rsidRPr="00E2098F">
        <w:rPr>
          <w:szCs w:val="22"/>
        </w:rPr>
        <w:t xml:space="preserve"> treatment</w:t>
      </w:r>
      <w:r w:rsidRPr="00E2098F">
        <w:rPr>
          <w:szCs w:val="22"/>
        </w:rPr>
        <w:t>s</w:t>
      </w:r>
      <w:r w:rsidR="00FC2310" w:rsidRPr="00E2098F">
        <w:rPr>
          <w:szCs w:val="22"/>
        </w:rPr>
        <w:t xml:space="preserve"> - t</w:t>
      </w:r>
      <w:r w:rsidR="000F4C57" w:rsidRPr="00E2098F">
        <w:rPr>
          <w:szCs w:val="22"/>
        </w:rPr>
        <w:t xml:space="preserve">he </w:t>
      </w:r>
      <w:r w:rsidR="00E33BA6" w:rsidRPr="00E2098F">
        <w:rPr>
          <w:szCs w:val="22"/>
        </w:rPr>
        <w:t xml:space="preserve">number of </w:t>
      </w:r>
      <w:r w:rsidR="0010147A">
        <w:rPr>
          <w:szCs w:val="22"/>
        </w:rPr>
        <w:t>monotherapy AEDs</w:t>
      </w:r>
      <w:r w:rsidR="00E33BA6" w:rsidRPr="00E2098F">
        <w:rPr>
          <w:szCs w:val="22"/>
        </w:rPr>
        <w:t xml:space="preserve"> </w:t>
      </w:r>
      <w:r w:rsidR="0010147A" w:rsidRPr="00E2098F">
        <w:rPr>
          <w:szCs w:val="22"/>
        </w:rPr>
        <w:t xml:space="preserve">trialled </w:t>
      </w:r>
      <w:r w:rsidR="00E33BA6" w:rsidRPr="00E2098F">
        <w:rPr>
          <w:szCs w:val="22"/>
        </w:rPr>
        <w:t xml:space="preserve">as first-line treatment is </w:t>
      </w:r>
      <w:r w:rsidR="0010147A">
        <w:rPr>
          <w:szCs w:val="22"/>
        </w:rPr>
        <w:t>at</w:t>
      </w:r>
      <w:r w:rsidR="00E33BA6" w:rsidRPr="00E2098F">
        <w:rPr>
          <w:szCs w:val="22"/>
        </w:rPr>
        <w:t xml:space="preserve"> the clinician's discretion</w:t>
      </w:r>
      <w:r w:rsidR="00270EB4" w:rsidRPr="00E2098F">
        <w:rPr>
          <w:szCs w:val="22"/>
        </w:rPr>
        <w:t>; t</w:t>
      </w:r>
      <w:r w:rsidR="00E33BA6" w:rsidRPr="00E2098F">
        <w:rPr>
          <w:szCs w:val="22"/>
        </w:rPr>
        <w:t>hus</w:t>
      </w:r>
      <w:r w:rsidR="00270EB4" w:rsidRPr="00E2098F">
        <w:rPr>
          <w:szCs w:val="22"/>
        </w:rPr>
        <w:t>,</w:t>
      </w:r>
      <w:r w:rsidR="00E33BA6" w:rsidRPr="00E2098F">
        <w:rPr>
          <w:szCs w:val="22"/>
        </w:rPr>
        <w:t xml:space="preserve"> the </w:t>
      </w:r>
      <w:r w:rsidR="000F4C57" w:rsidRPr="00E2098F">
        <w:rPr>
          <w:szCs w:val="22"/>
        </w:rPr>
        <w:t xml:space="preserve">proportion of patients </w:t>
      </w:r>
      <w:r w:rsidR="00A21145" w:rsidRPr="00E2098F">
        <w:rPr>
          <w:szCs w:val="22"/>
        </w:rPr>
        <w:t>with POS not satisfactori</w:t>
      </w:r>
      <w:r w:rsidR="0010147A">
        <w:rPr>
          <w:szCs w:val="22"/>
        </w:rPr>
        <w:t>ly controlled with monotherapy AEDs</w:t>
      </w:r>
      <w:r w:rsidR="00A21145" w:rsidRPr="00E2098F">
        <w:rPr>
          <w:szCs w:val="22"/>
        </w:rPr>
        <w:t xml:space="preserve"> and eligible for second-line adjunctive AEDs </w:t>
      </w:r>
      <w:r w:rsidR="003A498F" w:rsidRPr="00E2098F">
        <w:rPr>
          <w:szCs w:val="22"/>
        </w:rPr>
        <w:t xml:space="preserve">could </w:t>
      </w:r>
      <w:r w:rsidR="00E33BA6" w:rsidRPr="00E2098F">
        <w:rPr>
          <w:szCs w:val="22"/>
        </w:rPr>
        <w:t xml:space="preserve">vary from </w:t>
      </w:r>
      <w:r w:rsidR="003A498F" w:rsidRPr="00E2098F">
        <w:rPr>
          <w:szCs w:val="22"/>
        </w:rPr>
        <w:t xml:space="preserve">study to study. </w:t>
      </w:r>
      <w:r w:rsidRPr="00E2098F">
        <w:rPr>
          <w:szCs w:val="22"/>
        </w:rPr>
        <w:t>The submission</w:t>
      </w:r>
      <w:r w:rsidR="00F933DC" w:rsidRPr="00E2098F">
        <w:rPr>
          <w:szCs w:val="22"/>
        </w:rPr>
        <w:t>’s</w:t>
      </w:r>
      <w:r w:rsidRPr="00E2098F">
        <w:rPr>
          <w:szCs w:val="22"/>
        </w:rPr>
        <w:t xml:space="preserve"> estimate </w:t>
      </w:r>
      <w:r w:rsidR="00F933DC" w:rsidRPr="00E2098F">
        <w:rPr>
          <w:szCs w:val="22"/>
        </w:rPr>
        <w:t xml:space="preserve">of </w:t>
      </w:r>
      <w:r w:rsidR="003A498F" w:rsidRPr="00E2098F">
        <w:rPr>
          <w:szCs w:val="22"/>
        </w:rPr>
        <w:t>the respon</w:t>
      </w:r>
      <w:r w:rsidR="00270EB4" w:rsidRPr="00E2098F">
        <w:rPr>
          <w:szCs w:val="22"/>
        </w:rPr>
        <w:t>se</w:t>
      </w:r>
      <w:r w:rsidR="003A498F" w:rsidRPr="00E2098F">
        <w:rPr>
          <w:szCs w:val="22"/>
        </w:rPr>
        <w:t xml:space="preserve"> rate </w:t>
      </w:r>
      <w:r w:rsidR="00270EB4" w:rsidRPr="00E2098F">
        <w:rPr>
          <w:szCs w:val="22"/>
        </w:rPr>
        <w:t>(</w:t>
      </w:r>
      <w:r w:rsidR="003A498F" w:rsidRPr="00E2098F">
        <w:rPr>
          <w:szCs w:val="22"/>
        </w:rPr>
        <w:t xml:space="preserve">after </w:t>
      </w:r>
      <w:r w:rsidR="00F933DC" w:rsidRPr="00E2098F">
        <w:rPr>
          <w:szCs w:val="22"/>
        </w:rPr>
        <w:t>one second-line AED</w:t>
      </w:r>
      <w:r w:rsidR="00270EB4" w:rsidRPr="00E2098F">
        <w:rPr>
          <w:szCs w:val="22"/>
        </w:rPr>
        <w:t>)</w:t>
      </w:r>
      <w:r w:rsidR="00F933DC" w:rsidRPr="00E2098F">
        <w:rPr>
          <w:szCs w:val="22"/>
        </w:rPr>
        <w:t xml:space="preserve"> </w:t>
      </w:r>
      <w:r w:rsidRPr="00E2098F">
        <w:rPr>
          <w:szCs w:val="22"/>
        </w:rPr>
        <w:t>w</w:t>
      </w:r>
      <w:r w:rsidR="00F933DC" w:rsidRPr="00E2098F">
        <w:rPr>
          <w:szCs w:val="22"/>
        </w:rPr>
        <w:t>as</w:t>
      </w:r>
      <w:r w:rsidRPr="00E2098F">
        <w:rPr>
          <w:szCs w:val="22"/>
        </w:rPr>
        <w:t xml:space="preserve"> sourced from </w:t>
      </w:r>
      <w:r w:rsidR="00F933DC" w:rsidRPr="00E2098F">
        <w:rPr>
          <w:szCs w:val="22"/>
        </w:rPr>
        <w:t>a</w:t>
      </w:r>
      <w:r w:rsidR="00270EB4" w:rsidRPr="00E2098F">
        <w:rPr>
          <w:szCs w:val="22"/>
        </w:rPr>
        <w:t xml:space="preserve"> </w:t>
      </w:r>
      <w:r w:rsidR="00F933DC" w:rsidRPr="00E2098F">
        <w:rPr>
          <w:szCs w:val="22"/>
        </w:rPr>
        <w:t>study conducted</w:t>
      </w:r>
      <w:r w:rsidR="00270EB4" w:rsidRPr="00E2098F">
        <w:rPr>
          <w:szCs w:val="22"/>
        </w:rPr>
        <w:t xml:space="preserve"> in Israel</w:t>
      </w:r>
      <w:r w:rsidR="00F933DC" w:rsidRPr="00E2098F">
        <w:rPr>
          <w:szCs w:val="22"/>
        </w:rPr>
        <w:t xml:space="preserve"> more than 10 years ago. The applicability of the </w:t>
      </w:r>
      <w:r w:rsidR="00270EB4" w:rsidRPr="00E2098F">
        <w:rPr>
          <w:szCs w:val="22"/>
        </w:rPr>
        <w:t>findings</w:t>
      </w:r>
      <w:r w:rsidR="00F933DC" w:rsidRPr="00E2098F">
        <w:rPr>
          <w:szCs w:val="22"/>
        </w:rPr>
        <w:t xml:space="preserve"> to the PBS</w:t>
      </w:r>
      <w:r w:rsidR="0010147A">
        <w:rPr>
          <w:szCs w:val="22"/>
        </w:rPr>
        <w:t xml:space="preserve"> target population is unclear</w:t>
      </w:r>
      <w:r w:rsidR="00F933DC" w:rsidRPr="00E2098F">
        <w:rPr>
          <w:szCs w:val="22"/>
        </w:rPr>
        <w:t xml:space="preserve"> as the </w:t>
      </w:r>
      <w:r w:rsidR="00930ED3" w:rsidRPr="00E2098F">
        <w:rPr>
          <w:szCs w:val="22"/>
        </w:rPr>
        <w:t xml:space="preserve">epilepsy </w:t>
      </w:r>
      <w:r w:rsidR="00F933DC" w:rsidRPr="00E2098F">
        <w:rPr>
          <w:szCs w:val="22"/>
        </w:rPr>
        <w:t>treatment algorithm and available second-li</w:t>
      </w:r>
      <w:r w:rsidR="0010147A">
        <w:rPr>
          <w:szCs w:val="22"/>
        </w:rPr>
        <w:t>ne AEDs have changed since the study was conducted</w:t>
      </w:r>
      <w:r w:rsidR="00F933DC" w:rsidRPr="00E2098F">
        <w:rPr>
          <w:szCs w:val="22"/>
        </w:rPr>
        <w:t xml:space="preserve">; </w:t>
      </w:r>
    </w:p>
    <w:p w:rsidR="00B1387C" w:rsidRPr="00E2098F" w:rsidRDefault="00B1387C" w:rsidP="005E4448">
      <w:pPr>
        <w:pStyle w:val="ListParagraph"/>
        <w:widowControl/>
        <w:numPr>
          <w:ilvl w:val="0"/>
          <w:numId w:val="7"/>
        </w:numPr>
        <w:rPr>
          <w:szCs w:val="22"/>
        </w:rPr>
      </w:pPr>
      <w:proofErr w:type="spellStart"/>
      <w:r w:rsidRPr="00E2098F">
        <w:rPr>
          <w:szCs w:val="22"/>
        </w:rPr>
        <w:t>Brivaracetam</w:t>
      </w:r>
      <w:proofErr w:type="spellEnd"/>
      <w:r w:rsidRPr="00E2098F">
        <w:rPr>
          <w:szCs w:val="22"/>
        </w:rPr>
        <w:t xml:space="preserve"> uptake</w:t>
      </w:r>
      <w:r w:rsidR="00270EB4" w:rsidRPr="00E2098F">
        <w:rPr>
          <w:szCs w:val="22"/>
        </w:rPr>
        <w:t xml:space="preserve"> - t</w:t>
      </w:r>
      <w:r w:rsidRPr="00E2098F">
        <w:rPr>
          <w:szCs w:val="22"/>
        </w:rPr>
        <w:t>he uptake rates were arbitrar</w:t>
      </w:r>
      <w:r w:rsidR="0010147A">
        <w:rPr>
          <w:szCs w:val="22"/>
        </w:rPr>
        <w:t>y</w:t>
      </w:r>
      <w:r w:rsidRPr="00E2098F">
        <w:rPr>
          <w:szCs w:val="22"/>
        </w:rPr>
        <w:t xml:space="preserve">; </w:t>
      </w:r>
    </w:p>
    <w:p w:rsidR="00A53062" w:rsidRPr="00E2098F" w:rsidRDefault="00FB6A5A" w:rsidP="005E4448">
      <w:pPr>
        <w:pStyle w:val="ListParagraph"/>
        <w:widowControl/>
        <w:numPr>
          <w:ilvl w:val="0"/>
          <w:numId w:val="7"/>
        </w:numPr>
        <w:rPr>
          <w:szCs w:val="22"/>
        </w:rPr>
      </w:pPr>
      <w:r w:rsidRPr="00E2098F">
        <w:rPr>
          <w:szCs w:val="22"/>
        </w:rPr>
        <w:t xml:space="preserve">The representativeness of </w:t>
      </w:r>
      <w:proofErr w:type="spellStart"/>
      <w:r w:rsidRPr="00E2098F">
        <w:rPr>
          <w:szCs w:val="22"/>
        </w:rPr>
        <w:t>levetiracetam</w:t>
      </w:r>
      <w:proofErr w:type="spellEnd"/>
      <w:r w:rsidR="00270EB4" w:rsidRPr="00E2098F">
        <w:rPr>
          <w:szCs w:val="22"/>
        </w:rPr>
        <w:t xml:space="preserve"> </w:t>
      </w:r>
      <w:r w:rsidR="0010147A">
        <w:rPr>
          <w:szCs w:val="22"/>
        </w:rPr>
        <w:t>for</w:t>
      </w:r>
      <w:r w:rsidR="004D1545" w:rsidRPr="00E2098F">
        <w:rPr>
          <w:szCs w:val="22"/>
        </w:rPr>
        <w:t xml:space="preserve"> all second-line AEDs </w:t>
      </w:r>
      <w:r w:rsidR="00270EB4" w:rsidRPr="00E2098F">
        <w:rPr>
          <w:szCs w:val="22"/>
        </w:rPr>
        <w:t>- t</w:t>
      </w:r>
      <w:r w:rsidRPr="00E2098F">
        <w:rPr>
          <w:szCs w:val="22"/>
        </w:rPr>
        <w:t xml:space="preserve">here are a number of AEDs listed on the PBS as second-line adjunctive </w:t>
      </w:r>
      <w:r w:rsidR="00A53062" w:rsidRPr="00E2098F">
        <w:rPr>
          <w:szCs w:val="22"/>
        </w:rPr>
        <w:t>therapie</w:t>
      </w:r>
      <w:r w:rsidRPr="00E2098F">
        <w:rPr>
          <w:szCs w:val="22"/>
        </w:rPr>
        <w:t xml:space="preserve">s which </w:t>
      </w:r>
      <w:r w:rsidR="00A53062" w:rsidRPr="00E2098F">
        <w:rPr>
          <w:szCs w:val="22"/>
        </w:rPr>
        <w:t xml:space="preserve">are likely to be replaced by </w:t>
      </w:r>
      <w:proofErr w:type="spellStart"/>
      <w:r w:rsidR="00A53062" w:rsidRPr="00E2098F">
        <w:rPr>
          <w:szCs w:val="22"/>
        </w:rPr>
        <w:t>brivaracetam</w:t>
      </w:r>
      <w:proofErr w:type="spellEnd"/>
      <w:r w:rsidRPr="00E2098F">
        <w:rPr>
          <w:szCs w:val="22"/>
        </w:rPr>
        <w:t xml:space="preserve">. The use of </w:t>
      </w:r>
      <w:proofErr w:type="spellStart"/>
      <w:r w:rsidRPr="00E2098F">
        <w:rPr>
          <w:szCs w:val="22"/>
        </w:rPr>
        <w:t>levetiracetam</w:t>
      </w:r>
      <w:proofErr w:type="spellEnd"/>
      <w:r w:rsidRPr="00E2098F">
        <w:rPr>
          <w:szCs w:val="22"/>
        </w:rPr>
        <w:t xml:space="preserve"> </w:t>
      </w:r>
      <w:r w:rsidR="00A53062" w:rsidRPr="00E2098F">
        <w:rPr>
          <w:szCs w:val="22"/>
        </w:rPr>
        <w:t xml:space="preserve">as </w:t>
      </w:r>
      <w:r w:rsidR="00C810CC" w:rsidRPr="00E2098F">
        <w:rPr>
          <w:szCs w:val="22"/>
        </w:rPr>
        <w:t xml:space="preserve">a </w:t>
      </w:r>
      <w:r w:rsidR="00A53062" w:rsidRPr="00E2098F">
        <w:rPr>
          <w:szCs w:val="22"/>
        </w:rPr>
        <w:t xml:space="preserve">proxy for all second-line adjunctive AEDs overestimated the </w:t>
      </w:r>
      <w:r w:rsidRPr="00E2098F">
        <w:rPr>
          <w:szCs w:val="22"/>
        </w:rPr>
        <w:t xml:space="preserve">cost offsets </w:t>
      </w:r>
      <w:r w:rsidR="00C810CC" w:rsidRPr="00E2098F">
        <w:rPr>
          <w:szCs w:val="22"/>
        </w:rPr>
        <w:t>because it</w:t>
      </w:r>
      <w:r w:rsidR="00A53062" w:rsidRPr="00E2098F">
        <w:rPr>
          <w:szCs w:val="22"/>
        </w:rPr>
        <w:t xml:space="preserve"> is more expensive than other AEDs commonly used in clinical practice, </w:t>
      </w:r>
      <w:proofErr w:type="spellStart"/>
      <w:r w:rsidR="00A53062" w:rsidRPr="00E2098F">
        <w:rPr>
          <w:szCs w:val="22"/>
        </w:rPr>
        <w:t>eg</w:t>
      </w:r>
      <w:proofErr w:type="spellEnd"/>
      <w:r w:rsidR="00A53062" w:rsidRPr="00E2098F">
        <w:rPr>
          <w:szCs w:val="22"/>
        </w:rPr>
        <w:t xml:space="preserve"> lamotrigine;</w:t>
      </w:r>
    </w:p>
    <w:p w:rsidR="00F933DC" w:rsidRPr="00E2098F" w:rsidRDefault="00A53062" w:rsidP="005E4448">
      <w:pPr>
        <w:pStyle w:val="ListParagraph"/>
        <w:numPr>
          <w:ilvl w:val="0"/>
          <w:numId w:val="7"/>
        </w:numPr>
        <w:rPr>
          <w:szCs w:val="22"/>
        </w:rPr>
      </w:pPr>
      <w:r w:rsidRPr="00E2098F">
        <w:rPr>
          <w:szCs w:val="22"/>
        </w:rPr>
        <w:t>The cost</w:t>
      </w:r>
      <w:r w:rsidR="00B50C6B" w:rsidRPr="00E2098F">
        <w:rPr>
          <w:szCs w:val="22"/>
        </w:rPr>
        <w:t>s</w:t>
      </w:r>
      <w:r w:rsidRPr="00E2098F">
        <w:rPr>
          <w:szCs w:val="22"/>
        </w:rPr>
        <w:t xml:space="preserve"> </w:t>
      </w:r>
      <w:r w:rsidR="00B50C6B" w:rsidRPr="00E2098F">
        <w:rPr>
          <w:szCs w:val="22"/>
        </w:rPr>
        <w:t>associated with specialist visits for AED dose titration</w:t>
      </w:r>
      <w:r w:rsidR="00C810CC" w:rsidRPr="00E2098F">
        <w:rPr>
          <w:szCs w:val="22"/>
        </w:rPr>
        <w:t xml:space="preserve"> -</w:t>
      </w:r>
      <w:r w:rsidR="00B50C6B" w:rsidRPr="00E2098F">
        <w:rPr>
          <w:szCs w:val="22"/>
        </w:rPr>
        <w:t xml:space="preserve"> </w:t>
      </w:r>
      <w:r w:rsidR="00C810CC" w:rsidRPr="00E2098F">
        <w:rPr>
          <w:szCs w:val="22"/>
        </w:rPr>
        <w:t>t</w:t>
      </w:r>
      <w:r w:rsidRPr="00E2098F">
        <w:rPr>
          <w:szCs w:val="22"/>
        </w:rPr>
        <w:t xml:space="preserve">he </w:t>
      </w:r>
      <w:r w:rsidR="00B87148" w:rsidRPr="00E2098F">
        <w:rPr>
          <w:szCs w:val="22"/>
        </w:rPr>
        <w:t xml:space="preserve">MBS cost offsets </w:t>
      </w:r>
      <w:r w:rsidR="00C810CC" w:rsidRPr="00E2098F">
        <w:rPr>
          <w:szCs w:val="22"/>
        </w:rPr>
        <w:t>are likely to</w:t>
      </w:r>
      <w:r w:rsidR="00B87148" w:rsidRPr="00E2098F">
        <w:rPr>
          <w:szCs w:val="22"/>
        </w:rPr>
        <w:t xml:space="preserve"> be lower than the submission’s estimates</w:t>
      </w:r>
      <w:r w:rsidR="00EC3385" w:rsidRPr="00E2098F">
        <w:rPr>
          <w:szCs w:val="22"/>
        </w:rPr>
        <w:t>,</w:t>
      </w:r>
      <w:r w:rsidR="00B87148" w:rsidRPr="00E2098F">
        <w:rPr>
          <w:szCs w:val="22"/>
        </w:rPr>
        <w:t xml:space="preserve"> as </w:t>
      </w:r>
      <w:proofErr w:type="spellStart"/>
      <w:r w:rsidR="00894BC0">
        <w:rPr>
          <w:szCs w:val="22"/>
        </w:rPr>
        <w:t>lacosamide</w:t>
      </w:r>
      <w:proofErr w:type="spellEnd"/>
      <w:r w:rsidR="00894BC0">
        <w:rPr>
          <w:szCs w:val="22"/>
        </w:rPr>
        <w:t xml:space="preserve"> and</w:t>
      </w:r>
      <w:r w:rsidR="00EC3385" w:rsidRPr="00E2098F">
        <w:rPr>
          <w:szCs w:val="22"/>
        </w:rPr>
        <w:t xml:space="preserve"> </w:t>
      </w:r>
      <w:proofErr w:type="spellStart"/>
      <w:r w:rsidR="00EC3385" w:rsidRPr="00E2098F">
        <w:rPr>
          <w:szCs w:val="22"/>
        </w:rPr>
        <w:t>levetiracetam</w:t>
      </w:r>
      <w:proofErr w:type="spellEnd"/>
      <w:r w:rsidR="00EC3385" w:rsidRPr="00E2098F">
        <w:rPr>
          <w:szCs w:val="22"/>
        </w:rPr>
        <w:t xml:space="preserve"> dose titration only occur</w:t>
      </w:r>
      <w:r w:rsidR="00221AAD" w:rsidRPr="00E2098F">
        <w:rPr>
          <w:szCs w:val="22"/>
        </w:rPr>
        <w:t>s</w:t>
      </w:r>
      <w:r w:rsidR="00EC3385" w:rsidRPr="00E2098F">
        <w:rPr>
          <w:szCs w:val="22"/>
        </w:rPr>
        <w:t xml:space="preserve"> d</w:t>
      </w:r>
      <w:r w:rsidR="00B87148" w:rsidRPr="00E2098F">
        <w:rPr>
          <w:szCs w:val="22"/>
        </w:rPr>
        <w:t xml:space="preserve">uring the initial treatment period, not, as assumed in the submission, once </w:t>
      </w:r>
      <w:r w:rsidR="00FB03E1" w:rsidRPr="00E2098F">
        <w:rPr>
          <w:szCs w:val="22"/>
        </w:rPr>
        <w:t>every</w:t>
      </w:r>
      <w:r w:rsidR="00B87148" w:rsidRPr="00E2098F">
        <w:rPr>
          <w:szCs w:val="22"/>
        </w:rPr>
        <w:t xml:space="preserve"> year. </w:t>
      </w:r>
    </w:p>
    <w:p w:rsidR="00A53062" w:rsidRDefault="00A53062" w:rsidP="00576972">
      <w:pPr>
        <w:widowControl/>
        <w:rPr>
          <w:szCs w:val="22"/>
        </w:rPr>
      </w:pPr>
    </w:p>
    <w:p w:rsidR="00576972" w:rsidRPr="00894BC0" w:rsidRDefault="00576972" w:rsidP="00944D88">
      <w:pPr>
        <w:pStyle w:val="Heading3"/>
      </w:pPr>
      <w:bookmarkStart w:id="27" w:name="_Toc450135183"/>
      <w:r w:rsidRPr="00894BC0">
        <w:t>Quality Use of Medicines</w:t>
      </w:r>
      <w:bookmarkEnd w:id="27"/>
    </w:p>
    <w:p w:rsidR="00576972" w:rsidRPr="00576972" w:rsidRDefault="00576972" w:rsidP="00576972">
      <w:pPr>
        <w:widowControl/>
        <w:rPr>
          <w:szCs w:val="22"/>
        </w:rPr>
      </w:pPr>
    </w:p>
    <w:p w:rsidR="005460BF" w:rsidRPr="00E2098F" w:rsidRDefault="005460BF" w:rsidP="005E4448">
      <w:pPr>
        <w:pStyle w:val="ListParagraph"/>
        <w:widowControl/>
        <w:numPr>
          <w:ilvl w:val="1"/>
          <w:numId w:val="2"/>
        </w:numPr>
      </w:pPr>
      <w:r w:rsidRPr="00E2098F">
        <w:t xml:space="preserve">The submission stated that there </w:t>
      </w:r>
      <w:proofErr w:type="gramStart"/>
      <w:r w:rsidRPr="00E2098F">
        <w:t>are quality use</w:t>
      </w:r>
      <w:proofErr w:type="gramEnd"/>
      <w:r w:rsidRPr="00E2098F">
        <w:t xml:space="preserve"> of medicines (QUM) issues associated with </w:t>
      </w:r>
      <w:r w:rsidR="00894BC0">
        <w:t>treating patients with POS. It wa</w:t>
      </w:r>
      <w:r w:rsidRPr="00E2098F">
        <w:t xml:space="preserve">s proposed that </w:t>
      </w:r>
      <w:proofErr w:type="spellStart"/>
      <w:r w:rsidRPr="00E2098F">
        <w:t>brivaracetam</w:t>
      </w:r>
      <w:proofErr w:type="spellEnd"/>
      <w:r w:rsidRPr="00E2098F">
        <w:t xml:space="preserve"> addresses the following QUM issues:</w:t>
      </w:r>
    </w:p>
    <w:p w:rsidR="005460BF" w:rsidRPr="00E2098F" w:rsidRDefault="005460BF" w:rsidP="005460BF"/>
    <w:p w:rsidR="002F2847" w:rsidRPr="00E2098F" w:rsidRDefault="002F2847" w:rsidP="005E4448">
      <w:pPr>
        <w:pStyle w:val="ListParagraph"/>
        <w:numPr>
          <w:ilvl w:val="0"/>
          <w:numId w:val="8"/>
        </w:numPr>
        <w:ind w:left="1276"/>
      </w:pPr>
      <w:proofErr w:type="spellStart"/>
      <w:r w:rsidRPr="00E2098F">
        <w:t>Brivaracetam</w:t>
      </w:r>
      <w:proofErr w:type="spellEnd"/>
      <w:r w:rsidRPr="00E2098F">
        <w:t xml:space="preserve"> provides a treatment option for patients with partial epilepsy that is not satisfactorily controlled and who are not yet candidates for </w:t>
      </w:r>
      <w:proofErr w:type="spellStart"/>
      <w:r w:rsidRPr="00E2098F">
        <w:t>lacosamide</w:t>
      </w:r>
      <w:proofErr w:type="spellEnd"/>
      <w:r w:rsidRPr="00E2098F">
        <w:t xml:space="preserve">. </w:t>
      </w:r>
      <w:r w:rsidR="004D1545" w:rsidRPr="00E2098F">
        <w:t xml:space="preserve">In this scenario, the appropriate </w:t>
      </w:r>
      <w:r w:rsidR="003F217E" w:rsidRPr="00E2098F">
        <w:t xml:space="preserve">comparator </w:t>
      </w:r>
      <w:r w:rsidR="004D1545" w:rsidRPr="00E2098F">
        <w:t xml:space="preserve">would likely be earlier-line AEDs rather than </w:t>
      </w:r>
      <w:proofErr w:type="spellStart"/>
      <w:r w:rsidR="004D1545" w:rsidRPr="00E2098F">
        <w:t>lacosamide</w:t>
      </w:r>
      <w:proofErr w:type="spellEnd"/>
      <w:r w:rsidR="004D1545" w:rsidRPr="00E2098F">
        <w:t xml:space="preserve">. </w:t>
      </w:r>
      <w:r w:rsidRPr="00E2098F">
        <w:t xml:space="preserve">However, the submission did not provide any comparative evidence </w:t>
      </w:r>
      <w:r w:rsidR="00894BC0">
        <w:t>comparing</w:t>
      </w:r>
      <w:r w:rsidRPr="00E2098F">
        <w:t xml:space="preserve"> the efficacy and safety of </w:t>
      </w:r>
      <w:proofErr w:type="spellStart"/>
      <w:r w:rsidRPr="00E2098F">
        <w:t>brivaracetam</w:t>
      </w:r>
      <w:proofErr w:type="spellEnd"/>
      <w:r w:rsidRPr="00E2098F">
        <w:t xml:space="preserve"> </w:t>
      </w:r>
      <w:r w:rsidR="00894BC0">
        <w:t>with</w:t>
      </w:r>
      <w:r w:rsidRPr="00E2098F">
        <w:t xml:space="preserve"> second-line adjunctive AEDs;</w:t>
      </w:r>
    </w:p>
    <w:p w:rsidR="002F2847" w:rsidRPr="00E2098F" w:rsidRDefault="002F2847" w:rsidP="005E4448">
      <w:pPr>
        <w:pStyle w:val="ListParagraph"/>
        <w:numPr>
          <w:ilvl w:val="0"/>
          <w:numId w:val="8"/>
        </w:numPr>
        <w:ind w:left="1276"/>
      </w:pPr>
      <w:r w:rsidRPr="00E2098F" w:rsidDel="00251070">
        <w:t xml:space="preserve">Most AEDs require </w:t>
      </w:r>
      <w:r w:rsidR="00894BC0">
        <w:t xml:space="preserve">titration </w:t>
      </w:r>
      <w:r w:rsidRPr="00E2098F" w:rsidDel="00251070">
        <w:t>to reach optimal therapeutic levels.</w:t>
      </w:r>
      <w:r w:rsidRPr="00E2098F">
        <w:t xml:space="preserve"> The submission argued that, as </w:t>
      </w:r>
      <w:proofErr w:type="spellStart"/>
      <w:r w:rsidRPr="00E2098F">
        <w:t>brivaracetam</w:t>
      </w:r>
      <w:proofErr w:type="spellEnd"/>
      <w:r w:rsidRPr="00E2098F">
        <w:t xml:space="preserve"> does not need initial dose titration, it is possible that patients receiving </w:t>
      </w:r>
      <w:proofErr w:type="spellStart"/>
      <w:r w:rsidRPr="00E2098F">
        <w:t>brivaracetam</w:t>
      </w:r>
      <w:proofErr w:type="spellEnd"/>
      <w:r w:rsidRPr="00E2098F">
        <w:t xml:space="preserve"> could avoid breakthrough seizures which might occur during the dose titration period for other AEDs. This, although plausible, has not been well supported by the clinical evidence presented in the submission;</w:t>
      </w:r>
    </w:p>
    <w:p w:rsidR="002F2847" w:rsidRPr="00E2098F" w:rsidRDefault="002F2847" w:rsidP="005E4448">
      <w:pPr>
        <w:pStyle w:val="ListParagraph"/>
        <w:numPr>
          <w:ilvl w:val="0"/>
          <w:numId w:val="8"/>
        </w:numPr>
        <w:ind w:left="1276" w:hanging="425"/>
      </w:pPr>
      <w:r w:rsidRPr="00E2098F">
        <w:t xml:space="preserve">There is a clinical need for treatment of patients having POS controlled by </w:t>
      </w:r>
      <w:proofErr w:type="spellStart"/>
      <w:r w:rsidRPr="00E2098F">
        <w:t>levetiracetam</w:t>
      </w:r>
      <w:proofErr w:type="spellEnd"/>
      <w:r w:rsidRPr="00E2098F">
        <w:t xml:space="preserve">, but unable to tolerate continued use due to AEs. Results from </w:t>
      </w:r>
      <w:r w:rsidR="00E65698">
        <w:t xml:space="preserve">the </w:t>
      </w:r>
      <w:r w:rsidRPr="00E2098F">
        <w:t>Yates 2015</w:t>
      </w:r>
      <w:r w:rsidRPr="00E2098F">
        <w:rPr>
          <w:rStyle w:val="FootnoteReference"/>
        </w:rPr>
        <w:footnoteReference w:id="1"/>
      </w:r>
      <w:r w:rsidRPr="00E2098F">
        <w:t xml:space="preserve"> study indicated that patients who had predominantly behavioural AEs associated with </w:t>
      </w:r>
      <w:proofErr w:type="spellStart"/>
      <w:r w:rsidRPr="00E2098F">
        <w:t>levetiracetam</w:t>
      </w:r>
      <w:proofErr w:type="spellEnd"/>
      <w:r w:rsidRPr="00E2098F">
        <w:t xml:space="preserve"> use benefited from switching to </w:t>
      </w:r>
      <w:proofErr w:type="spellStart"/>
      <w:r w:rsidRPr="00E2098F">
        <w:t>brivaracetam</w:t>
      </w:r>
      <w:proofErr w:type="spellEnd"/>
      <w:r w:rsidRPr="00E2098F">
        <w:t>.</w:t>
      </w:r>
      <w:r w:rsidR="009827D6">
        <w:t xml:space="preserve"> </w:t>
      </w:r>
      <w:r w:rsidR="009827D6" w:rsidRPr="00006C26">
        <w:t>The ESC noted that this was a single-arm open label study with a subject</w:t>
      </w:r>
      <w:r w:rsidR="00894BC0">
        <w:t>ive outcome measure and included</w:t>
      </w:r>
      <w:r w:rsidR="009827D6" w:rsidRPr="00006C26">
        <w:t xml:space="preserve"> 22 patients.</w:t>
      </w:r>
      <w:r w:rsidRPr="00E2098F">
        <w:t xml:space="preserve"> No clinical evidence has been presented in the submission </w:t>
      </w:r>
      <w:r w:rsidR="00894BC0">
        <w:t>comparing</w:t>
      </w:r>
      <w:r w:rsidRPr="00E2098F">
        <w:t xml:space="preserve"> the comparative effectiveness and safety of </w:t>
      </w:r>
      <w:proofErr w:type="spellStart"/>
      <w:r w:rsidRPr="00E2098F">
        <w:t>brivaracetam</w:t>
      </w:r>
      <w:proofErr w:type="spellEnd"/>
      <w:r w:rsidRPr="00E2098F">
        <w:t xml:space="preserve"> with second-line adjunctive AEDs in </w:t>
      </w:r>
      <w:proofErr w:type="spellStart"/>
      <w:r w:rsidRPr="00E2098F">
        <w:t>levetiracetam</w:t>
      </w:r>
      <w:proofErr w:type="spellEnd"/>
      <w:r w:rsidRPr="00E2098F">
        <w:t xml:space="preserve">-intolerant patients.   </w:t>
      </w:r>
    </w:p>
    <w:p w:rsidR="00576972" w:rsidRDefault="00576972" w:rsidP="00576972">
      <w:pPr>
        <w:widowControl/>
        <w:rPr>
          <w:szCs w:val="22"/>
        </w:rPr>
      </w:pPr>
    </w:p>
    <w:p w:rsidR="005460BF" w:rsidRPr="00894BC0" w:rsidRDefault="005460BF" w:rsidP="00944D88">
      <w:pPr>
        <w:pStyle w:val="Heading3"/>
      </w:pPr>
      <w:bookmarkStart w:id="28" w:name="_Toc450135184"/>
      <w:r w:rsidRPr="00894BC0">
        <w:t>Financial Management – Risk Sharing Arrangements</w:t>
      </w:r>
      <w:bookmarkEnd w:id="28"/>
    </w:p>
    <w:p w:rsidR="005460BF" w:rsidRPr="00576972" w:rsidRDefault="005460BF" w:rsidP="005460BF">
      <w:pPr>
        <w:widowControl/>
        <w:tabs>
          <w:tab w:val="left" w:pos="1590"/>
        </w:tabs>
        <w:rPr>
          <w:szCs w:val="22"/>
        </w:rPr>
      </w:pPr>
      <w:r>
        <w:rPr>
          <w:szCs w:val="22"/>
        </w:rPr>
        <w:tab/>
      </w:r>
    </w:p>
    <w:p w:rsidR="005460BF" w:rsidRPr="00E2098F" w:rsidRDefault="005460BF" w:rsidP="005E4448">
      <w:pPr>
        <w:pStyle w:val="ListParagraph"/>
        <w:widowControl/>
        <w:numPr>
          <w:ilvl w:val="1"/>
          <w:numId w:val="2"/>
        </w:numPr>
        <w:rPr>
          <w:szCs w:val="22"/>
        </w:rPr>
      </w:pPr>
      <w:r w:rsidRPr="00865533">
        <w:t xml:space="preserve">In the submission, the sponsor has proposed a Special Pricing Arrangement (SPA) for </w:t>
      </w:r>
      <w:proofErr w:type="spellStart"/>
      <w:r w:rsidRPr="00865533">
        <w:t>brivar</w:t>
      </w:r>
      <w:r w:rsidR="00F57F57">
        <w:t>acetam</w:t>
      </w:r>
      <w:proofErr w:type="spellEnd"/>
      <w:r w:rsidR="00F57F57">
        <w:t xml:space="preserve">. The SPA proposed is </w:t>
      </w:r>
      <w:r w:rsidRPr="00865533">
        <w:t xml:space="preserve">a </w:t>
      </w:r>
      <w:r w:rsidR="00534A2B">
        <w:rPr>
          <w:noProof/>
          <w:color w:val="000000"/>
          <w:highlight w:val="black"/>
        </w:rPr>
        <w:t>''''''</w:t>
      </w:r>
      <w:r w:rsidRPr="00865533">
        <w:t>% disco</w:t>
      </w:r>
      <w:r>
        <w:t xml:space="preserve">unt, applied at the AEMP level. </w:t>
      </w:r>
      <w:r w:rsidRPr="00865533">
        <w:t xml:space="preserve">The proposed effective price for </w:t>
      </w:r>
      <w:proofErr w:type="spellStart"/>
      <w:r w:rsidRPr="00865533">
        <w:t>brivaracetam</w:t>
      </w:r>
      <w:proofErr w:type="spellEnd"/>
      <w:r w:rsidRPr="00865533">
        <w:t xml:space="preserve"> </w:t>
      </w:r>
      <w:r w:rsidR="00F57F57">
        <w:t xml:space="preserve">is consistent with </w:t>
      </w:r>
      <w:r w:rsidRPr="00865533">
        <w:t xml:space="preserve">a weighted </w:t>
      </w:r>
      <w:r w:rsidR="00F57F57">
        <w:t>cost-minimised price</w:t>
      </w:r>
      <w:r w:rsidRPr="00E2098F">
        <w:t xml:space="preserve"> assuming </w:t>
      </w:r>
      <w:r w:rsidR="00534A2B">
        <w:rPr>
          <w:noProof/>
          <w:color w:val="000000"/>
          <w:highlight w:val="black"/>
        </w:rPr>
        <w:t>'''''''</w:t>
      </w:r>
      <w:r w:rsidRPr="00E2098F">
        <w:t xml:space="preserve">% refractory patients would otherwise receive </w:t>
      </w:r>
      <w:proofErr w:type="spellStart"/>
      <w:r w:rsidRPr="00E2098F">
        <w:t>lacosamide</w:t>
      </w:r>
      <w:proofErr w:type="spellEnd"/>
      <w:r w:rsidRPr="00E2098F">
        <w:t xml:space="preserve"> and </w:t>
      </w:r>
      <w:r w:rsidR="00534A2B">
        <w:rPr>
          <w:noProof/>
          <w:color w:val="000000"/>
          <w:highlight w:val="black"/>
        </w:rPr>
        <w:t>''''''</w:t>
      </w:r>
      <w:r w:rsidRPr="00E2098F">
        <w:t xml:space="preserve">% non-refractory, </w:t>
      </w:r>
      <w:proofErr w:type="spellStart"/>
      <w:r w:rsidRPr="00E2098F">
        <w:t>levetiracetam</w:t>
      </w:r>
      <w:proofErr w:type="spellEnd"/>
      <w:r w:rsidRPr="00E2098F">
        <w:t xml:space="preserve">-intolerant patients would otherwise receive </w:t>
      </w:r>
      <w:proofErr w:type="spellStart"/>
      <w:r w:rsidRPr="00E2098F">
        <w:t>levetiracetam</w:t>
      </w:r>
      <w:proofErr w:type="spellEnd"/>
      <w:r w:rsidRPr="00E2098F">
        <w:t xml:space="preserve">. </w:t>
      </w:r>
    </w:p>
    <w:p w:rsidR="005460BF" w:rsidRPr="00E2098F" w:rsidRDefault="005460BF" w:rsidP="005460BF">
      <w:pPr>
        <w:pStyle w:val="ListParagraph"/>
        <w:widowControl/>
        <w:rPr>
          <w:szCs w:val="22"/>
        </w:rPr>
      </w:pPr>
    </w:p>
    <w:p w:rsidR="005460BF" w:rsidRDefault="005460BF" w:rsidP="005E4448">
      <w:pPr>
        <w:pStyle w:val="ListParagraph"/>
        <w:widowControl/>
        <w:numPr>
          <w:ilvl w:val="1"/>
          <w:numId w:val="2"/>
        </w:numPr>
        <w:rPr>
          <w:szCs w:val="22"/>
        </w:rPr>
      </w:pPr>
      <w:r w:rsidRPr="00E2098F">
        <w:rPr>
          <w:szCs w:val="22"/>
        </w:rPr>
        <w:t xml:space="preserve">It is noted that a Risk Share Agreement (RSA) currently applies to </w:t>
      </w:r>
      <w:proofErr w:type="spellStart"/>
      <w:r w:rsidRPr="00E2098F">
        <w:rPr>
          <w:szCs w:val="22"/>
        </w:rPr>
        <w:t>lacosamide</w:t>
      </w:r>
      <w:proofErr w:type="spellEnd"/>
      <w:r w:rsidRPr="00E2098F">
        <w:rPr>
          <w:szCs w:val="22"/>
        </w:rPr>
        <w:t xml:space="preserve">. The RSA, which contains a rebate for </w:t>
      </w:r>
      <w:proofErr w:type="spellStart"/>
      <w:r w:rsidRPr="00E2098F">
        <w:rPr>
          <w:szCs w:val="22"/>
        </w:rPr>
        <w:t>lacosamide</w:t>
      </w:r>
      <w:proofErr w:type="spellEnd"/>
      <w:r w:rsidRPr="00E2098F">
        <w:rPr>
          <w:szCs w:val="22"/>
        </w:rPr>
        <w:t xml:space="preserve"> expenditure beyond the cap, is to ensure use of </w:t>
      </w:r>
      <w:proofErr w:type="spellStart"/>
      <w:r w:rsidRPr="00E2098F">
        <w:rPr>
          <w:szCs w:val="22"/>
        </w:rPr>
        <w:t>lacosamide</w:t>
      </w:r>
      <w:proofErr w:type="spellEnd"/>
      <w:r w:rsidRPr="00E2098F">
        <w:rPr>
          <w:szCs w:val="22"/>
        </w:rPr>
        <w:t xml:space="preserve"> remained within the cost-effective population. </w:t>
      </w:r>
    </w:p>
    <w:p w:rsidR="00EA3977" w:rsidRDefault="00EA3977" w:rsidP="00534A2B">
      <w:pPr>
        <w:pStyle w:val="PBACHeading1"/>
        <w:numPr>
          <w:ilvl w:val="0"/>
          <w:numId w:val="0"/>
        </w:numPr>
      </w:pPr>
    </w:p>
    <w:p w:rsidR="00EA3977" w:rsidRDefault="00EA3977" w:rsidP="00534A2B">
      <w:pPr>
        <w:pStyle w:val="PBACHeading1"/>
        <w:numPr>
          <w:ilvl w:val="0"/>
          <w:numId w:val="0"/>
        </w:numPr>
        <w:ind w:left="720"/>
      </w:pPr>
    </w:p>
    <w:p w:rsidR="0031770A" w:rsidRPr="00B413C0" w:rsidRDefault="0031770A" w:rsidP="00534A2B">
      <w:pPr>
        <w:pStyle w:val="Heading2"/>
      </w:pPr>
      <w:r w:rsidRPr="00B413C0">
        <w:t>PBAC Outcome</w:t>
      </w:r>
    </w:p>
    <w:p w:rsidR="0031770A" w:rsidRPr="00B413C0" w:rsidRDefault="0031770A" w:rsidP="0031770A">
      <w:pPr>
        <w:rPr>
          <w:b/>
          <w:bCs/>
          <w:lang w:val="en-GB"/>
        </w:rPr>
      </w:pPr>
    </w:p>
    <w:p w:rsidR="009948B7" w:rsidRPr="00C765CB" w:rsidRDefault="00C66F0D" w:rsidP="009948B7">
      <w:pPr>
        <w:numPr>
          <w:ilvl w:val="1"/>
          <w:numId w:val="2"/>
        </w:numPr>
        <w:rPr>
          <w:bCs/>
          <w:lang w:val="en-GB"/>
        </w:rPr>
      </w:pPr>
      <w:r w:rsidRPr="00B413C0">
        <w:rPr>
          <w:bCs/>
          <w:lang w:val="en-GB"/>
        </w:rPr>
        <w:t xml:space="preserve">The PBAC </w:t>
      </w:r>
      <w:r w:rsidR="009948B7">
        <w:rPr>
          <w:bCs/>
          <w:lang w:val="en-GB"/>
        </w:rPr>
        <w:t>did not recommend the</w:t>
      </w:r>
      <w:r w:rsidRPr="00B413C0">
        <w:rPr>
          <w:bCs/>
          <w:lang w:val="en-GB"/>
        </w:rPr>
        <w:t xml:space="preserve"> listing </w:t>
      </w:r>
      <w:proofErr w:type="spellStart"/>
      <w:r w:rsidRPr="00B413C0">
        <w:rPr>
          <w:bCs/>
          <w:lang w:val="en-GB"/>
        </w:rPr>
        <w:t>brivaracetam</w:t>
      </w:r>
      <w:proofErr w:type="spellEnd"/>
      <w:r w:rsidRPr="00B413C0">
        <w:rPr>
          <w:bCs/>
          <w:lang w:val="en-GB"/>
        </w:rPr>
        <w:t xml:space="preserve"> for </w:t>
      </w:r>
      <w:r w:rsidR="001A55F1">
        <w:rPr>
          <w:bCs/>
          <w:lang w:val="en-GB"/>
        </w:rPr>
        <w:t xml:space="preserve">intractable </w:t>
      </w:r>
      <w:r w:rsidRPr="00B413C0">
        <w:rPr>
          <w:bCs/>
          <w:lang w:val="en-GB"/>
        </w:rPr>
        <w:t>partial epileptic seizures</w:t>
      </w:r>
      <w:r w:rsidR="009948B7">
        <w:rPr>
          <w:bCs/>
          <w:lang w:val="en-GB"/>
        </w:rPr>
        <w:t xml:space="preserve"> </w:t>
      </w:r>
      <w:r w:rsidR="009948B7" w:rsidRPr="00455A61">
        <w:t>on the basis of a lack of clinical data in the requested PBS population</w:t>
      </w:r>
      <w:r w:rsidR="001A55F1">
        <w:rPr>
          <w:bCs/>
          <w:lang w:val="en-GB"/>
        </w:rPr>
        <w:t xml:space="preserve">, and lack of </w:t>
      </w:r>
      <w:r w:rsidR="009948B7">
        <w:rPr>
          <w:bCs/>
          <w:lang w:val="en-GB"/>
        </w:rPr>
        <w:t xml:space="preserve">a comparison </w:t>
      </w:r>
      <w:r w:rsidR="001A55F1">
        <w:rPr>
          <w:bCs/>
          <w:lang w:val="en-GB"/>
        </w:rPr>
        <w:t xml:space="preserve">with </w:t>
      </w:r>
      <w:proofErr w:type="spellStart"/>
      <w:r w:rsidR="001A55F1" w:rsidRPr="00B413C0">
        <w:rPr>
          <w:bCs/>
          <w:lang w:val="en-GB"/>
        </w:rPr>
        <w:t>levetiracetam</w:t>
      </w:r>
      <w:proofErr w:type="spellEnd"/>
      <w:r w:rsidR="00C765CB">
        <w:rPr>
          <w:bCs/>
          <w:lang w:val="en-GB"/>
        </w:rPr>
        <w:t>,</w:t>
      </w:r>
      <w:r w:rsidR="001A55F1">
        <w:rPr>
          <w:bCs/>
          <w:lang w:val="en-GB"/>
        </w:rPr>
        <w:t xml:space="preserve"> or other</w:t>
      </w:r>
      <w:r w:rsidR="00C765CB">
        <w:rPr>
          <w:bCs/>
          <w:lang w:val="en-GB"/>
        </w:rPr>
        <w:t xml:space="preserve"> similarly listed</w:t>
      </w:r>
      <w:r w:rsidR="001A55F1">
        <w:rPr>
          <w:bCs/>
          <w:lang w:val="en-GB"/>
        </w:rPr>
        <w:t xml:space="preserve"> AEDs</w:t>
      </w:r>
      <w:r w:rsidR="00C765CB">
        <w:rPr>
          <w:bCs/>
          <w:lang w:val="en-GB"/>
        </w:rPr>
        <w:t>,</w:t>
      </w:r>
      <w:r w:rsidR="001A55F1">
        <w:rPr>
          <w:bCs/>
          <w:lang w:val="en-GB"/>
        </w:rPr>
        <w:t xml:space="preserve"> </w:t>
      </w:r>
      <w:r w:rsidR="00C765CB">
        <w:rPr>
          <w:bCs/>
          <w:lang w:val="en-GB"/>
        </w:rPr>
        <w:t xml:space="preserve">which the PBAC considered would be </w:t>
      </w:r>
      <w:r w:rsidR="009948B7">
        <w:rPr>
          <w:bCs/>
          <w:lang w:val="en-GB"/>
        </w:rPr>
        <w:t xml:space="preserve">replaced by </w:t>
      </w:r>
      <w:proofErr w:type="spellStart"/>
      <w:r w:rsidR="009948B7">
        <w:rPr>
          <w:bCs/>
          <w:lang w:val="en-GB"/>
        </w:rPr>
        <w:t>brivaracetam</w:t>
      </w:r>
      <w:proofErr w:type="spellEnd"/>
      <w:r w:rsidR="009948B7">
        <w:rPr>
          <w:bCs/>
          <w:lang w:val="en-GB"/>
        </w:rPr>
        <w:t xml:space="preserve">. </w:t>
      </w:r>
      <w:r w:rsidR="00C765CB" w:rsidRPr="00C765CB">
        <w:rPr>
          <w:bCs/>
          <w:lang w:val="en-GB"/>
        </w:rPr>
        <w:t>T</w:t>
      </w:r>
      <w:r w:rsidR="009948B7" w:rsidRPr="00C765CB">
        <w:t xml:space="preserve">he PBAC </w:t>
      </w:r>
      <w:r w:rsidR="00C765CB" w:rsidRPr="00C765CB">
        <w:t xml:space="preserve">noted the submission considered that </w:t>
      </w:r>
      <w:proofErr w:type="spellStart"/>
      <w:r w:rsidR="00C765CB" w:rsidRPr="00C765CB">
        <w:rPr>
          <w:bCs/>
          <w:lang w:val="en-GB"/>
        </w:rPr>
        <w:t>brivaracetam</w:t>
      </w:r>
      <w:proofErr w:type="spellEnd"/>
      <w:r w:rsidR="00C765CB" w:rsidRPr="00C765CB">
        <w:rPr>
          <w:bCs/>
          <w:lang w:val="en-GB"/>
        </w:rPr>
        <w:t xml:space="preserve"> </w:t>
      </w:r>
      <w:r w:rsidR="003D3C01">
        <w:rPr>
          <w:bCs/>
          <w:lang w:val="en-GB"/>
        </w:rPr>
        <w:t>should</w:t>
      </w:r>
      <w:r w:rsidR="00C765CB" w:rsidRPr="00C765CB">
        <w:rPr>
          <w:bCs/>
          <w:lang w:val="en-GB"/>
        </w:rPr>
        <w:t xml:space="preserve"> be used before</w:t>
      </w:r>
      <w:r w:rsidR="009948B7" w:rsidRPr="00C765CB">
        <w:t xml:space="preserve"> </w:t>
      </w:r>
      <w:proofErr w:type="spellStart"/>
      <w:r w:rsidR="00C765CB" w:rsidRPr="00C765CB">
        <w:t>lacosamide</w:t>
      </w:r>
      <w:proofErr w:type="spellEnd"/>
      <w:r w:rsidR="00C765CB" w:rsidRPr="00C765CB">
        <w:t xml:space="preserve"> and </w:t>
      </w:r>
      <w:r w:rsidR="003D3C01">
        <w:t xml:space="preserve">considered </w:t>
      </w:r>
      <w:r w:rsidR="00C765CB" w:rsidRPr="00C765CB">
        <w:t xml:space="preserve">this was </w:t>
      </w:r>
      <w:r w:rsidR="003D3C01">
        <w:t>in</w:t>
      </w:r>
      <w:r w:rsidR="00C765CB" w:rsidRPr="00C765CB">
        <w:t>consistent with select</w:t>
      </w:r>
      <w:r w:rsidR="003D3C01">
        <w:t>ing</w:t>
      </w:r>
      <w:r w:rsidR="00C765CB" w:rsidRPr="00C765CB">
        <w:t xml:space="preserve"> </w:t>
      </w:r>
      <w:proofErr w:type="spellStart"/>
      <w:r w:rsidR="00C765CB" w:rsidRPr="00C765CB">
        <w:t>lacosamide</w:t>
      </w:r>
      <w:proofErr w:type="spellEnd"/>
      <w:r w:rsidR="00C765CB" w:rsidRPr="00C765CB">
        <w:t xml:space="preserve"> as the comparator.</w:t>
      </w:r>
    </w:p>
    <w:p w:rsidR="00AA18BE" w:rsidRDefault="00AA18BE" w:rsidP="00AA18BE">
      <w:pPr>
        <w:ind w:left="720"/>
        <w:rPr>
          <w:bCs/>
          <w:lang w:val="en-GB"/>
        </w:rPr>
      </w:pPr>
    </w:p>
    <w:p w:rsidR="00AA18BE" w:rsidRPr="00E4742F" w:rsidRDefault="00CF77C4" w:rsidP="00AA18BE">
      <w:pPr>
        <w:pStyle w:val="ListParagraph"/>
        <w:widowControl/>
        <w:numPr>
          <w:ilvl w:val="1"/>
          <w:numId w:val="2"/>
        </w:numPr>
        <w:rPr>
          <w:bCs/>
          <w:lang w:val="en-GB"/>
        </w:rPr>
      </w:pPr>
      <w:r>
        <w:t xml:space="preserve">The PBAC noted that there may be no benefit from </w:t>
      </w:r>
      <w:proofErr w:type="spellStart"/>
      <w:r w:rsidRPr="00E2098F">
        <w:t>brivaracetam</w:t>
      </w:r>
      <w:proofErr w:type="spellEnd"/>
      <w:r w:rsidRPr="00E2098F">
        <w:t xml:space="preserve"> </w:t>
      </w:r>
      <w:r>
        <w:t xml:space="preserve">when it is added to </w:t>
      </w:r>
      <w:proofErr w:type="spellStart"/>
      <w:r w:rsidRPr="00E2098F">
        <w:t>levetiracetam</w:t>
      </w:r>
      <w:proofErr w:type="spellEnd"/>
      <w:r w:rsidR="003D3C01">
        <w:t>,</w:t>
      </w:r>
      <w:r w:rsidRPr="00E2098F">
        <w:t xml:space="preserve"> </w:t>
      </w:r>
      <w:r>
        <w:t>and</w:t>
      </w:r>
      <w:r w:rsidRPr="00006C26">
        <w:t xml:space="preserve"> neuropsychiatric side-effects may also compound when </w:t>
      </w:r>
      <w:r w:rsidR="00E4742F">
        <w:t>these treatments</w:t>
      </w:r>
      <w:r w:rsidRPr="00006C26">
        <w:t xml:space="preserve"> are used concomitantl</w:t>
      </w:r>
      <w:r w:rsidR="00E4742F">
        <w:t>y.</w:t>
      </w:r>
      <w:r>
        <w:t xml:space="preserve"> </w:t>
      </w:r>
      <w:r w:rsidR="00AA18BE" w:rsidRPr="00E4742F">
        <w:rPr>
          <w:bCs/>
          <w:lang w:val="en-GB"/>
        </w:rPr>
        <w:t xml:space="preserve">The PBAC considered that the restriction for </w:t>
      </w:r>
      <w:proofErr w:type="spellStart"/>
      <w:r w:rsidR="00AA18BE" w:rsidRPr="00E4742F">
        <w:rPr>
          <w:bCs/>
          <w:lang w:val="en-GB"/>
        </w:rPr>
        <w:t>brivaracetam</w:t>
      </w:r>
      <w:proofErr w:type="spellEnd"/>
      <w:r w:rsidR="00AA18BE" w:rsidRPr="00E4742F">
        <w:rPr>
          <w:bCs/>
          <w:lang w:val="en-GB"/>
        </w:rPr>
        <w:t xml:space="preserve"> should preclude concomitant use of </w:t>
      </w:r>
      <w:proofErr w:type="spellStart"/>
      <w:r w:rsidR="00AA18BE" w:rsidRPr="00E4742F">
        <w:rPr>
          <w:bCs/>
          <w:lang w:val="en-GB"/>
        </w:rPr>
        <w:t>brivaracetam</w:t>
      </w:r>
      <w:proofErr w:type="spellEnd"/>
      <w:r w:rsidR="00AA18BE" w:rsidRPr="00E4742F">
        <w:rPr>
          <w:bCs/>
          <w:lang w:val="en-GB"/>
        </w:rPr>
        <w:t xml:space="preserve"> and </w:t>
      </w:r>
      <w:proofErr w:type="spellStart"/>
      <w:r w:rsidR="00AA18BE" w:rsidRPr="00E4742F">
        <w:rPr>
          <w:bCs/>
          <w:lang w:val="en-GB"/>
        </w:rPr>
        <w:t>levetiracetam</w:t>
      </w:r>
      <w:proofErr w:type="spellEnd"/>
      <w:r w:rsidR="00AA18BE" w:rsidRPr="00E4742F">
        <w:rPr>
          <w:bCs/>
          <w:lang w:val="en-GB"/>
        </w:rPr>
        <w:t>.</w:t>
      </w:r>
    </w:p>
    <w:p w:rsidR="00BF03B5" w:rsidRDefault="00BF03B5" w:rsidP="00BF03B5">
      <w:pPr>
        <w:ind w:left="720"/>
        <w:rPr>
          <w:bCs/>
          <w:lang w:val="en-GB"/>
        </w:rPr>
      </w:pPr>
    </w:p>
    <w:p w:rsidR="00BF03B5" w:rsidRPr="005456DE" w:rsidRDefault="00BF03B5" w:rsidP="00BF03B5">
      <w:pPr>
        <w:pStyle w:val="ListParagraph"/>
        <w:widowControl/>
        <w:numPr>
          <w:ilvl w:val="1"/>
          <w:numId w:val="2"/>
        </w:numPr>
        <w:rPr>
          <w:bCs/>
          <w:lang w:val="en-GB"/>
        </w:rPr>
      </w:pPr>
      <w:r w:rsidRPr="005456DE">
        <w:rPr>
          <w:bCs/>
          <w:lang w:val="en-GB"/>
        </w:rPr>
        <w:t xml:space="preserve">The PBAC considered that the submission’s proposal to restrict PBS subsidy of </w:t>
      </w:r>
      <w:proofErr w:type="spellStart"/>
      <w:r w:rsidRPr="005456DE">
        <w:rPr>
          <w:bCs/>
          <w:lang w:val="en-GB"/>
        </w:rPr>
        <w:t>brivaracetam</w:t>
      </w:r>
      <w:proofErr w:type="spellEnd"/>
      <w:r w:rsidRPr="005456DE">
        <w:rPr>
          <w:bCs/>
          <w:lang w:val="en-GB"/>
        </w:rPr>
        <w:t xml:space="preserve"> to </w:t>
      </w:r>
      <w:r w:rsidR="005456DE" w:rsidRPr="005456DE">
        <w:rPr>
          <w:szCs w:val="22"/>
        </w:rPr>
        <w:t>refractory</w:t>
      </w:r>
      <w:r w:rsidRPr="005456DE">
        <w:rPr>
          <w:szCs w:val="22"/>
        </w:rPr>
        <w:t xml:space="preserve"> patients who failed to be controlled by at least one first-line agent and at least two second-line agents</w:t>
      </w:r>
      <w:r w:rsidR="005456DE" w:rsidRPr="005456DE">
        <w:rPr>
          <w:szCs w:val="22"/>
        </w:rPr>
        <w:t>,</w:t>
      </w:r>
      <w:r w:rsidRPr="005456DE">
        <w:rPr>
          <w:szCs w:val="22"/>
        </w:rPr>
        <w:t xml:space="preserve"> and</w:t>
      </w:r>
      <w:r w:rsidR="005456DE" w:rsidRPr="005456DE">
        <w:rPr>
          <w:szCs w:val="22"/>
        </w:rPr>
        <w:t xml:space="preserve"> </w:t>
      </w:r>
      <w:r w:rsidR="003D3C01">
        <w:rPr>
          <w:szCs w:val="22"/>
        </w:rPr>
        <w:t xml:space="preserve">to </w:t>
      </w:r>
      <w:r w:rsidR="005456DE" w:rsidRPr="005456DE">
        <w:rPr>
          <w:szCs w:val="22"/>
        </w:rPr>
        <w:t>p</w:t>
      </w:r>
      <w:r w:rsidRPr="005456DE">
        <w:rPr>
          <w:szCs w:val="22"/>
        </w:rPr>
        <w:t xml:space="preserve">atients who are </w:t>
      </w:r>
      <w:r w:rsidR="005456DE" w:rsidRPr="005456DE">
        <w:rPr>
          <w:szCs w:val="22"/>
        </w:rPr>
        <w:t>unable to tolerate</w:t>
      </w:r>
      <w:r w:rsidRPr="005456DE">
        <w:rPr>
          <w:szCs w:val="22"/>
        </w:rPr>
        <w:t xml:space="preserve"> </w:t>
      </w:r>
      <w:proofErr w:type="spellStart"/>
      <w:r w:rsidRPr="005456DE">
        <w:rPr>
          <w:szCs w:val="22"/>
        </w:rPr>
        <w:t>levetiracetam</w:t>
      </w:r>
      <w:proofErr w:type="spellEnd"/>
      <w:r w:rsidRPr="005456DE">
        <w:rPr>
          <w:bCs/>
          <w:lang w:val="en-GB"/>
        </w:rPr>
        <w:t xml:space="preserve">, was not well justified. </w:t>
      </w:r>
      <w:r w:rsidR="00EC5880">
        <w:t xml:space="preserve">The submission considered that </w:t>
      </w:r>
      <w:proofErr w:type="spellStart"/>
      <w:r w:rsidR="00EC5880" w:rsidRPr="005456DE">
        <w:rPr>
          <w:bCs/>
          <w:lang w:val="en-GB"/>
        </w:rPr>
        <w:t>brivaracetam</w:t>
      </w:r>
      <w:proofErr w:type="spellEnd"/>
      <w:r w:rsidR="00EC5880">
        <w:rPr>
          <w:bCs/>
          <w:lang w:val="en-GB"/>
        </w:rPr>
        <w:t xml:space="preserve"> would be used</w:t>
      </w:r>
      <w:r w:rsidR="00B55BF6" w:rsidRPr="00E2098F">
        <w:t xml:space="preserve"> in refractory </w:t>
      </w:r>
      <w:r w:rsidR="00EC5880">
        <w:t>patients who do</w:t>
      </w:r>
      <w:r w:rsidR="00B55BF6" w:rsidRPr="00E2098F">
        <w:t xml:space="preserve"> not need to be treated with triple therapy</w:t>
      </w:r>
      <w:r w:rsidR="00EC5880">
        <w:t xml:space="preserve">, whereas </w:t>
      </w:r>
      <w:proofErr w:type="spellStart"/>
      <w:r w:rsidR="00EC5880">
        <w:t>lacosamide</w:t>
      </w:r>
      <w:proofErr w:type="spellEnd"/>
      <w:r w:rsidR="00EC5880">
        <w:t xml:space="preserve"> is PBS listed for patients requiring triple therapy</w:t>
      </w:r>
      <w:r w:rsidR="00B55BF6" w:rsidRPr="00E2098F">
        <w:t xml:space="preserve">. </w:t>
      </w:r>
      <w:r w:rsidR="00B55BF6">
        <w:t>The</w:t>
      </w:r>
      <w:r w:rsidRPr="005456DE">
        <w:rPr>
          <w:bCs/>
          <w:lang w:val="en-GB"/>
        </w:rPr>
        <w:t xml:space="preserve"> </w:t>
      </w:r>
      <w:r w:rsidR="00B55BF6">
        <w:rPr>
          <w:bCs/>
          <w:lang w:val="en-GB"/>
        </w:rPr>
        <w:t>PBAC</w:t>
      </w:r>
      <w:r w:rsidRPr="005456DE">
        <w:rPr>
          <w:bCs/>
          <w:lang w:val="en-GB"/>
        </w:rPr>
        <w:t xml:space="preserve"> considered that the appropriate place in therapy </w:t>
      </w:r>
      <w:r w:rsidR="00B55BF6">
        <w:rPr>
          <w:bCs/>
          <w:lang w:val="en-GB"/>
        </w:rPr>
        <w:t xml:space="preserve">for </w:t>
      </w:r>
      <w:proofErr w:type="spellStart"/>
      <w:r w:rsidR="00B55BF6" w:rsidRPr="005456DE">
        <w:rPr>
          <w:bCs/>
          <w:lang w:val="en-GB"/>
        </w:rPr>
        <w:t>brivaracetam</w:t>
      </w:r>
      <w:proofErr w:type="spellEnd"/>
      <w:r w:rsidR="00B55BF6" w:rsidRPr="005456DE">
        <w:rPr>
          <w:bCs/>
          <w:lang w:val="en-GB"/>
        </w:rPr>
        <w:t xml:space="preserve"> </w:t>
      </w:r>
      <w:r w:rsidRPr="005456DE">
        <w:rPr>
          <w:bCs/>
          <w:lang w:val="en-GB"/>
        </w:rPr>
        <w:t xml:space="preserve">was as an </w:t>
      </w:r>
      <w:r w:rsidR="005456DE">
        <w:rPr>
          <w:bCs/>
          <w:lang w:val="en-GB"/>
        </w:rPr>
        <w:t xml:space="preserve">alternative to </w:t>
      </w:r>
      <w:proofErr w:type="spellStart"/>
      <w:r w:rsidR="005456DE" w:rsidRPr="005456DE">
        <w:rPr>
          <w:szCs w:val="22"/>
        </w:rPr>
        <w:t>levetiracetam</w:t>
      </w:r>
      <w:proofErr w:type="spellEnd"/>
      <w:r w:rsidR="005456DE">
        <w:rPr>
          <w:szCs w:val="22"/>
        </w:rPr>
        <w:t xml:space="preserve"> and other similarly listed AEDs</w:t>
      </w:r>
      <w:r w:rsidRPr="005456DE">
        <w:rPr>
          <w:bCs/>
          <w:lang w:val="en-GB"/>
        </w:rPr>
        <w:t>.</w:t>
      </w:r>
    </w:p>
    <w:p w:rsidR="00B55BF6" w:rsidRDefault="00B55BF6" w:rsidP="00B55BF6">
      <w:pPr>
        <w:widowControl/>
      </w:pPr>
    </w:p>
    <w:p w:rsidR="00B55BF6" w:rsidRDefault="00B55BF6" w:rsidP="00B55BF6">
      <w:pPr>
        <w:pStyle w:val="ListParagraph"/>
        <w:widowControl/>
        <w:numPr>
          <w:ilvl w:val="1"/>
          <w:numId w:val="2"/>
        </w:numPr>
      </w:pPr>
      <w:r>
        <w:rPr>
          <w:bCs/>
          <w:lang w:val="en-GB"/>
        </w:rPr>
        <w:t xml:space="preserve">Given their view on the appropriate clinical place for </w:t>
      </w:r>
      <w:proofErr w:type="spellStart"/>
      <w:r w:rsidRPr="005456DE">
        <w:rPr>
          <w:bCs/>
          <w:lang w:val="en-GB"/>
        </w:rPr>
        <w:t>brivaracetam</w:t>
      </w:r>
      <w:proofErr w:type="spellEnd"/>
      <w:r>
        <w:rPr>
          <w:bCs/>
          <w:lang w:val="en-GB"/>
        </w:rPr>
        <w:t>, t</w:t>
      </w:r>
      <w:r w:rsidRPr="004E2BB9">
        <w:rPr>
          <w:bCs/>
          <w:lang w:val="en-GB"/>
        </w:rPr>
        <w:t>he PBAC considered that the su</w:t>
      </w:r>
      <w:r>
        <w:rPr>
          <w:bCs/>
          <w:lang w:val="en-GB"/>
        </w:rPr>
        <w:t xml:space="preserve">bmission’s nomination of </w:t>
      </w:r>
      <w:proofErr w:type="spellStart"/>
      <w:r>
        <w:rPr>
          <w:bCs/>
          <w:lang w:val="en-GB"/>
        </w:rPr>
        <w:t>lacosamide</w:t>
      </w:r>
      <w:proofErr w:type="spellEnd"/>
      <w:r w:rsidRPr="004E2BB9">
        <w:rPr>
          <w:bCs/>
          <w:lang w:val="en-GB"/>
        </w:rPr>
        <w:t xml:space="preserve"> as the comparator was not </w:t>
      </w:r>
      <w:r>
        <w:rPr>
          <w:bCs/>
          <w:lang w:val="en-GB"/>
        </w:rPr>
        <w:t>appropriate</w:t>
      </w:r>
      <w:r w:rsidR="00D87509">
        <w:rPr>
          <w:bCs/>
          <w:lang w:val="en-GB"/>
        </w:rPr>
        <w:t>,</w:t>
      </w:r>
      <w:r w:rsidR="00BC3BD8">
        <w:rPr>
          <w:bCs/>
          <w:lang w:val="en-GB"/>
        </w:rPr>
        <w:t xml:space="preserve"> and </w:t>
      </w:r>
      <w:r w:rsidR="00D87509">
        <w:rPr>
          <w:bCs/>
          <w:lang w:val="en-GB"/>
        </w:rPr>
        <w:t xml:space="preserve">was </w:t>
      </w:r>
      <w:r w:rsidR="00BC3BD8">
        <w:rPr>
          <w:bCs/>
          <w:lang w:val="en-GB"/>
        </w:rPr>
        <w:t>not consistent with the submission’s proposed earlier positioning in the treatment pathway</w:t>
      </w:r>
      <w:r w:rsidRPr="004E2BB9">
        <w:rPr>
          <w:bCs/>
          <w:lang w:val="en-GB"/>
        </w:rPr>
        <w:t xml:space="preserve">. The Committee considered that a comparison with </w:t>
      </w:r>
      <w:proofErr w:type="spellStart"/>
      <w:r w:rsidR="00BC3BD8">
        <w:t>levetiracetam</w:t>
      </w:r>
      <w:proofErr w:type="spellEnd"/>
      <w:r w:rsidR="00BC3BD8">
        <w:t xml:space="preserve"> and other similar listed AEDs (</w:t>
      </w:r>
      <w:proofErr w:type="spellStart"/>
      <w:r w:rsidR="00BC3BD8">
        <w:t>eg</w:t>
      </w:r>
      <w:proofErr w:type="spellEnd"/>
      <w:r w:rsidR="00BC3BD8">
        <w:t xml:space="preserve">. </w:t>
      </w:r>
      <w:r w:rsidRPr="004E2BB9">
        <w:rPr>
          <w:bCs/>
          <w:lang w:val="en-GB"/>
        </w:rPr>
        <w:t xml:space="preserve"> </w:t>
      </w:r>
      <w:proofErr w:type="gramStart"/>
      <w:r w:rsidR="007F61CF" w:rsidRPr="00006C26">
        <w:t>lamotrigine</w:t>
      </w:r>
      <w:proofErr w:type="gramEnd"/>
      <w:r w:rsidR="007F61CF" w:rsidRPr="00006C26">
        <w:t xml:space="preserve"> and </w:t>
      </w:r>
      <w:proofErr w:type="spellStart"/>
      <w:r w:rsidR="007F61CF" w:rsidRPr="00006C26">
        <w:t>topiramate</w:t>
      </w:r>
      <w:proofErr w:type="spellEnd"/>
      <w:r w:rsidR="007F61CF">
        <w:t>)</w:t>
      </w:r>
      <w:r w:rsidR="007F61CF" w:rsidRPr="004E2BB9">
        <w:rPr>
          <w:bCs/>
          <w:lang w:val="en-GB"/>
        </w:rPr>
        <w:t xml:space="preserve"> </w:t>
      </w:r>
      <w:r w:rsidRPr="004E2BB9">
        <w:rPr>
          <w:bCs/>
          <w:lang w:val="en-GB"/>
        </w:rPr>
        <w:t>would be more appropriate.</w:t>
      </w:r>
      <w:r w:rsidR="00363FDD">
        <w:rPr>
          <w:bCs/>
          <w:lang w:val="en-GB"/>
        </w:rPr>
        <w:t xml:space="preserve"> </w:t>
      </w:r>
    </w:p>
    <w:p w:rsidR="00B55BF6" w:rsidRDefault="00B55BF6" w:rsidP="00B55BF6">
      <w:pPr>
        <w:pStyle w:val="ListParagraph"/>
      </w:pPr>
    </w:p>
    <w:p w:rsidR="00A6234B" w:rsidRDefault="007F61CF" w:rsidP="00A6234B">
      <w:pPr>
        <w:numPr>
          <w:ilvl w:val="1"/>
          <w:numId w:val="2"/>
        </w:numPr>
        <w:rPr>
          <w:bCs/>
          <w:lang w:val="en-GB"/>
        </w:rPr>
      </w:pPr>
      <w:r w:rsidRPr="00455A61">
        <w:rPr>
          <w:bCs/>
          <w:lang w:val="en-GB"/>
        </w:rPr>
        <w:t xml:space="preserve">The PBAC noted that the </w:t>
      </w:r>
      <w:r>
        <w:rPr>
          <w:bCs/>
          <w:lang w:val="en-GB"/>
        </w:rPr>
        <w:t xml:space="preserve">patient populations in the </w:t>
      </w:r>
      <w:proofErr w:type="spellStart"/>
      <w:r w:rsidRPr="005456DE">
        <w:rPr>
          <w:bCs/>
          <w:lang w:val="en-GB"/>
        </w:rPr>
        <w:t>brivaracetam</w:t>
      </w:r>
      <w:proofErr w:type="spellEnd"/>
      <w:r w:rsidRPr="00455A61">
        <w:rPr>
          <w:bCs/>
          <w:lang w:val="en-GB"/>
        </w:rPr>
        <w:t xml:space="preserve"> clinical tr</w:t>
      </w:r>
      <w:r>
        <w:rPr>
          <w:bCs/>
          <w:lang w:val="en-GB"/>
        </w:rPr>
        <w:t xml:space="preserve">ials </w:t>
      </w:r>
      <w:r w:rsidRPr="00455A61">
        <w:rPr>
          <w:bCs/>
          <w:lang w:val="en-GB"/>
        </w:rPr>
        <w:t>did not match the requested PBS population</w:t>
      </w:r>
      <w:r>
        <w:rPr>
          <w:bCs/>
          <w:lang w:val="en-GB"/>
        </w:rPr>
        <w:t xml:space="preserve">, and that the patients in the </w:t>
      </w:r>
      <w:proofErr w:type="spellStart"/>
      <w:r w:rsidRPr="005456DE">
        <w:rPr>
          <w:bCs/>
          <w:lang w:val="en-GB"/>
        </w:rPr>
        <w:t>brivaracetam</w:t>
      </w:r>
      <w:proofErr w:type="spellEnd"/>
      <w:r>
        <w:rPr>
          <w:bCs/>
          <w:lang w:val="en-GB"/>
        </w:rPr>
        <w:t xml:space="preserve"> trials</w:t>
      </w:r>
      <w:r w:rsidR="00A6234B" w:rsidRPr="00A6234B">
        <w:rPr>
          <w:bCs/>
          <w:lang w:val="en-GB"/>
        </w:rPr>
        <w:t xml:space="preserve"> </w:t>
      </w:r>
      <w:r w:rsidR="00A6234B">
        <w:rPr>
          <w:bCs/>
          <w:lang w:val="en-GB"/>
        </w:rPr>
        <w:t xml:space="preserve">had received fewer prior AEDs compared with those in the </w:t>
      </w:r>
      <w:proofErr w:type="spellStart"/>
      <w:r w:rsidR="00A6234B">
        <w:rPr>
          <w:bCs/>
          <w:lang w:val="en-GB"/>
        </w:rPr>
        <w:t>lacosamide</w:t>
      </w:r>
      <w:proofErr w:type="spellEnd"/>
      <w:r w:rsidR="00A6234B">
        <w:rPr>
          <w:bCs/>
          <w:lang w:val="en-GB"/>
        </w:rPr>
        <w:t xml:space="preserve"> trials. Specifically, fewer patients in </w:t>
      </w:r>
      <w:proofErr w:type="spellStart"/>
      <w:r w:rsidR="00A6234B" w:rsidRPr="00B413C0">
        <w:rPr>
          <w:bCs/>
          <w:lang w:val="en-GB"/>
        </w:rPr>
        <w:t>brivaracetam</w:t>
      </w:r>
      <w:proofErr w:type="spellEnd"/>
      <w:r w:rsidR="00A6234B" w:rsidRPr="00B413C0">
        <w:rPr>
          <w:bCs/>
          <w:lang w:val="en-GB"/>
        </w:rPr>
        <w:t xml:space="preserve"> </w:t>
      </w:r>
      <w:r w:rsidR="00A6234B">
        <w:rPr>
          <w:bCs/>
          <w:lang w:val="en-GB"/>
        </w:rPr>
        <w:t xml:space="preserve">trials were treated with 3 or more concomitant AEDs (1-6% versus 31-35%) and patients had received fewer prior AEDs (in the </w:t>
      </w:r>
      <w:proofErr w:type="spellStart"/>
      <w:r w:rsidR="00A6234B" w:rsidRPr="00B413C0">
        <w:rPr>
          <w:bCs/>
          <w:lang w:val="en-GB"/>
        </w:rPr>
        <w:t>brivaracetam</w:t>
      </w:r>
      <w:proofErr w:type="spellEnd"/>
      <w:r w:rsidR="00A6234B">
        <w:rPr>
          <w:bCs/>
          <w:lang w:val="en-GB"/>
        </w:rPr>
        <w:t xml:space="preserve"> trials 13-46% of patients had received ≥5 AEDs whereas in the </w:t>
      </w:r>
      <w:proofErr w:type="spellStart"/>
      <w:r w:rsidR="00A6234B">
        <w:rPr>
          <w:bCs/>
          <w:lang w:val="en-GB"/>
        </w:rPr>
        <w:t>lacosamide</w:t>
      </w:r>
      <w:proofErr w:type="spellEnd"/>
      <w:r w:rsidR="00A6234B">
        <w:rPr>
          <w:bCs/>
          <w:lang w:val="en-GB"/>
        </w:rPr>
        <w:t xml:space="preserve"> trials 35-53% of patients had received ≥7 AEDs). </w:t>
      </w:r>
      <w:r w:rsidR="00A6234B">
        <w:rPr>
          <w:szCs w:val="22"/>
        </w:rPr>
        <w:t xml:space="preserve">The PBAC further noted that the </w:t>
      </w:r>
      <w:proofErr w:type="spellStart"/>
      <w:r w:rsidR="00A6234B">
        <w:rPr>
          <w:szCs w:val="22"/>
        </w:rPr>
        <w:t>lacosamide</w:t>
      </w:r>
      <w:proofErr w:type="spellEnd"/>
      <w:r w:rsidR="00A6234B">
        <w:rPr>
          <w:szCs w:val="22"/>
        </w:rPr>
        <w:t xml:space="preserve"> trials in the current submission were </w:t>
      </w:r>
      <w:r w:rsidR="00A6234B" w:rsidRPr="004235CC">
        <w:rPr>
          <w:szCs w:val="22"/>
        </w:rPr>
        <w:t xml:space="preserve">the same as included in the November 2009 </w:t>
      </w:r>
      <w:proofErr w:type="spellStart"/>
      <w:r w:rsidR="00A6234B" w:rsidRPr="004235CC">
        <w:rPr>
          <w:szCs w:val="22"/>
        </w:rPr>
        <w:t>lacosamide</w:t>
      </w:r>
      <w:proofErr w:type="spellEnd"/>
      <w:r w:rsidR="00A6234B" w:rsidRPr="004235CC">
        <w:rPr>
          <w:szCs w:val="22"/>
        </w:rPr>
        <w:t xml:space="preserve"> PBAC submission, and the PBS listing </w:t>
      </w:r>
      <w:r w:rsidR="00A6234B">
        <w:rPr>
          <w:szCs w:val="22"/>
        </w:rPr>
        <w:t xml:space="preserve">for </w:t>
      </w:r>
      <w:proofErr w:type="spellStart"/>
      <w:r w:rsidR="00A6234B">
        <w:rPr>
          <w:szCs w:val="22"/>
        </w:rPr>
        <w:t>lacosamide</w:t>
      </w:r>
      <w:proofErr w:type="spellEnd"/>
      <w:r w:rsidR="00A6234B">
        <w:rPr>
          <w:szCs w:val="22"/>
        </w:rPr>
        <w:t xml:space="preserve"> </w:t>
      </w:r>
      <w:r w:rsidR="00D87509">
        <w:rPr>
          <w:szCs w:val="22"/>
        </w:rPr>
        <w:t xml:space="preserve">in refractory patients </w:t>
      </w:r>
      <w:r w:rsidR="00A6234B" w:rsidRPr="004235CC">
        <w:rPr>
          <w:szCs w:val="22"/>
        </w:rPr>
        <w:t>reflects</w:t>
      </w:r>
      <w:r w:rsidR="00A6234B">
        <w:rPr>
          <w:szCs w:val="22"/>
        </w:rPr>
        <w:t>, at least in part,</w:t>
      </w:r>
      <w:r w:rsidR="00A6234B" w:rsidRPr="004235CC">
        <w:rPr>
          <w:szCs w:val="22"/>
        </w:rPr>
        <w:t xml:space="preserve"> that </w:t>
      </w:r>
      <w:proofErr w:type="spellStart"/>
      <w:r w:rsidR="00A6234B" w:rsidRPr="004235CC">
        <w:rPr>
          <w:szCs w:val="22"/>
        </w:rPr>
        <w:t>lacosamide</w:t>
      </w:r>
      <w:proofErr w:type="spellEnd"/>
      <w:r w:rsidR="00A6234B" w:rsidRPr="004235CC">
        <w:rPr>
          <w:szCs w:val="22"/>
        </w:rPr>
        <w:t xml:space="preserve"> appears to be effective in heavily </w:t>
      </w:r>
      <w:r w:rsidR="00A6234B">
        <w:rPr>
          <w:szCs w:val="22"/>
        </w:rPr>
        <w:t>pre-</w:t>
      </w:r>
      <w:r w:rsidR="00A6234B" w:rsidRPr="004235CC">
        <w:rPr>
          <w:szCs w:val="22"/>
        </w:rPr>
        <w:t xml:space="preserve">treated patients </w:t>
      </w:r>
      <w:r w:rsidR="00A6234B">
        <w:rPr>
          <w:szCs w:val="22"/>
        </w:rPr>
        <w:t>(</w:t>
      </w:r>
      <w:r w:rsidR="00A6234B" w:rsidRPr="00D41F8F">
        <w:rPr>
          <w:szCs w:val="22"/>
        </w:rPr>
        <w:t xml:space="preserve">Public Summary Document, </w:t>
      </w:r>
      <w:proofErr w:type="spellStart"/>
      <w:r w:rsidR="00A6234B" w:rsidRPr="00D41F8F">
        <w:rPr>
          <w:szCs w:val="22"/>
        </w:rPr>
        <w:t>lacosamide</w:t>
      </w:r>
      <w:proofErr w:type="spellEnd"/>
      <w:r w:rsidR="00A6234B" w:rsidRPr="00D41F8F">
        <w:rPr>
          <w:szCs w:val="22"/>
        </w:rPr>
        <w:t xml:space="preserve"> November 2009).</w:t>
      </w:r>
      <w:r w:rsidR="00A6234B" w:rsidRPr="004235CC">
        <w:rPr>
          <w:szCs w:val="22"/>
        </w:rPr>
        <w:t xml:space="preserve"> </w:t>
      </w:r>
      <w:r w:rsidR="00A6234B">
        <w:rPr>
          <w:szCs w:val="22"/>
        </w:rPr>
        <w:t>Data for</w:t>
      </w:r>
      <w:r w:rsidR="00A6234B" w:rsidRPr="004235CC">
        <w:rPr>
          <w:szCs w:val="22"/>
        </w:rPr>
        <w:t xml:space="preserve"> </w:t>
      </w:r>
      <w:r w:rsidR="00A6234B">
        <w:rPr>
          <w:szCs w:val="22"/>
        </w:rPr>
        <w:t>equivalently pre-treated patients were not presented</w:t>
      </w:r>
      <w:r w:rsidR="00A6234B" w:rsidRPr="004235CC">
        <w:rPr>
          <w:szCs w:val="22"/>
        </w:rPr>
        <w:t xml:space="preserve"> for </w:t>
      </w:r>
      <w:proofErr w:type="spellStart"/>
      <w:r w:rsidR="00A6234B" w:rsidRPr="004235CC">
        <w:rPr>
          <w:szCs w:val="22"/>
        </w:rPr>
        <w:t>brivaracetam</w:t>
      </w:r>
      <w:proofErr w:type="spellEnd"/>
      <w:r w:rsidR="00A6234B" w:rsidRPr="004235CC">
        <w:rPr>
          <w:szCs w:val="22"/>
        </w:rPr>
        <w:t>.</w:t>
      </w:r>
    </w:p>
    <w:p w:rsidR="00A6234B" w:rsidRDefault="00A6234B" w:rsidP="00A6234B">
      <w:pPr>
        <w:pStyle w:val="ListParagraph"/>
        <w:rPr>
          <w:bCs/>
          <w:lang w:val="en-GB"/>
        </w:rPr>
      </w:pPr>
    </w:p>
    <w:p w:rsidR="00241C2D" w:rsidRPr="00AA18BE" w:rsidRDefault="003B31D0" w:rsidP="003B31D0">
      <w:pPr>
        <w:pStyle w:val="ListParagraph"/>
        <w:widowControl/>
        <w:numPr>
          <w:ilvl w:val="1"/>
          <w:numId w:val="2"/>
        </w:numPr>
      </w:pPr>
      <w:r w:rsidRPr="00040BB1">
        <w:rPr>
          <w:rStyle w:val="FontUnderlined"/>
          <w:rFonts w:ascii="Arial" w:hAnsi="Arial"/>
          <w:sz w:val="22"/>
          <w:u w:val="none"/>
        </w:rPr>
        <w:t>The PBAC considered the claim</w:t>
      </w:r>
      <w:r w:rsidR="00D87509">
        <w:rPr>
          <w:rStyle w:val="FontUnderlined"/>
          <w:rFonts w:ascii="Arial" w:hAnsi="Arial"/>
          <w:sz w:val="22"/>
          <w:u w:val="none"/>
        </w:rPr>
        <w:t xml:space="preserve"> of non-inferior efficacy</w:t>
      </w:r>
      <w:r w:rsidR="00241C2D">
        <w:rPr>
          <w:rStyle w:val="FontUnderlined"/>
          <w:rFonts w:ascii="Arial" w:hAnsi="Arial"/>
          <w:sz w:val="22"/>
          <w:u w:val="none"/>
        </w:rPr>
        <w:t xml:space="preserve"> versus </w:t>
      </w:r>
      <w:proofErr w:type="spellStart"/>
      <w:r w:rsidR="00241C2D">
        <w:rPr>
          <w:rStyle w:val="FontUnderlined"/>
          <w:rFonts w:ascii="Arial" w:hAnsi="Arial"/>
          <w:sz w:val="22"/>
          <w:u w:val="none"/>
        </w:rPr>
        <w:t>lacosamide</w:t>
      </w:r>
      <w:proofErr w:type="spellEnd"/>
      <w:r w:rsidRPr="00040BB1">
        <w:rPr>
          <w:rStyle w:val="FontUnderlined"/>
          <w:rFonts w:ascii="Arial" w:hAnsi="Arial"/>
          <w:sz w:val="22"/>
          <w:u w:val="none"/>
        </w:rPr>
        <w:t xml:space="preserve"> was not adequately supported </w:t>
      </w:r>
      <w:r w:rsidR="00241C2D">
        <w:rPr>
          <w:rStyle w:val="FontUnderlined"/>
          <w:rFonts w:ascii="Arial" w:hAnsi="Arial"/>
          <w:sz w:val="22"/>
          <w:u w:val="none"/>
        </w:rPr>
        <w:t>as</w:t>
      </w:r>
      <w:r w:rsidRPr="00040BB1">
        <w:rPr>
          <w:rStyle w:val="FontUnderlined"/>
          <w:rFonts w:ascii="Arial" w:hAnsi="Arial"/>
          <w:sz w:val="22"/>
          <w:u w:val="none"/>
        </w:rPr>
        <w:t xml:space="preserve"> the </w:t>
      </w:r>
      <w:proofErr w:type="spellStart"/>
      <w:r w:rsidRPr="00040BB1">
        <w:rPr>
          <w:szCs w:val="22"/>
        </w:rPr>
        <w:t>brivaracetam</w:t>
      </w:r>
      <w:proofErr w:type="spellEnd"/>
      <w:r w:rsidRPr="00040BB1">
        <w:rPr>
          <w:szCs w:val="22"/>
        </w:rPr>
        <w:t xml:space="preserve"> </w:t>
      </w:r>
      <w:r w:rsidRPr="00040BB1">
        <w:rPr>
          <w:rStyle w:val="FontUnderlined"/>
          <w:rFonts w:ascii="Arial" w:hAnsi="Arial"/>
          <w:sz w:val="22"/>
          <w:u w:val="none"/>
        </w:rPr>
        <w:t xml:space="preserve">trials included a less resistant patient population compared with the </w:t>
      </w:r>
      <w:proofErr w:type="spellStart"/>
      <w:r w:rsidRPr="00040BB1">
        <w:rPr>
          <w:rStyle w:val="FontUnderlined"/>
          <w:rFonts w:ascii="Arial" w:hAnsi="Arial"/>
          <w:sz w:val="22"/>
          <w:u w:val="none"/>
        </w:rPr>
        <w:t>lacosamide</w:t>
      </w:r>
      <w:proofErr w:type="spellEnd"/>
      <w:r w:rsidRPr="00040BB1">
        <w:rPr>
          <w:rStyle w:val="FontUnderlined"/>
          <w:rFonts w:ascii="Arial" w:hAnsi="Arial"/>
          <w:sz w:val="22"/>
          <w:u w:val="none"/>
        </w:rPr>
        <w:t xml:space="preserve"> trials. </w:t>
      </w:r>
      <w:r w:rsidR="00AA18BE">
        <w:rPr>
          <w:rStyle w:val="FontUnderlined"/>
          <w:rFonts w:ascii="Arial" w:hAnsi="Arial"/>
          <w:sz w:val="22"/>
          <w:u w:val="none"/>
        </w:rPr>
        <w:t xml:space="preserve">The PBAC further noted </w:t>
      </w:r>
      <w:r w:rsidR="00AA18BE">
        <w:rPr>
          <w:bCs/>
          <w:lang w:val="en-GB"/>
        </w:rPr>
        <w:t>that t</w:t>
      </w:r>
      <w:r w:rsidR="00AA18BE" w:rsidRPr="004A7D24">
        <w:rPr>
          <w:bCs/>
          <w:lang w:val="en-GB"/>
        </w:rPr>
        <w:t>he submission</w:t>
      </w:r>
      <w:r w:rsidR="00AA18BE" w:rsidRPr="00FB785A">
        <w:t xml:space="preserve"> </w:t>
      </w:r>
      <w:r w:rsidR="00AA18BE">
        <w:t xml:space="preserve">provided a non-inferiority margin for the comparison of </w:t>
      </w:r>
      <w:proofErr w:type="spellStart"/>
      <w:r w:rsidR="00AA18BE" w:rsidRPr="00B413C0">
        <w:rPr>
          <w:bCs/>
          <w:lang w:val="en-GB"/>
        </w:rPr>
        <w:t>brivaracetam</w:t>
      </w:r>
      <w:proofErr w:type="spellEnd"/>
      <w:r w:rsidR="00AA18BE" w:rsidRPr="00B413C0">
        <w:rPr>
          <w:bCs/>
          <w:lang w:val="en-GB"/>
        </w:rPr>
        <w:t xml:space="preserve"> </w:t>
      </w:r>
      <w:r w:rsidR="00AA18BE">
        <w:rPr>
          <w:bCs/>
          <w:lang w:val="en-GB"/>
        </w:rPr>
        <w:t>and placebo, but not</w:t>
      </w:r>
      <w:r w:rsidR="00AA18BE" w:rsidRPr="00FB785A">
        <w:rPr>
          <w:bCs/>
          <w:lang w:val="en-GB"/>
        </w:rPr>
        <w:t xml:space="preserve"> for </w:t>
      </w:r>
      <w:r w:rsidR="00AA18BE">
        <w:rPr>
          <w:bCs/>
          <w:lang w:val="en-GB"/>
        </w:rPr>
        <w:t xml:space="preserve">the </w:t>
      </w:r>
      <w:r w:rsidR="00AA18BE" w:rsidRPr="00FB785A">
        <w:rPr>
          <w:bCs/>
          <w:lang w:val="en-GB"/>
        </w:rPr>
        <w:t xml:space="preserve">comparison with </w:t>
      </w:r>
      <w:proofErr w:type="spellStart"/>
      <w:r w:rsidR="00AA18BE" w:rsidRPr="00FB785A">
        <w:rPr>
          <w:bCs/>
          <w:lang w:val="en-GB"/>
        </w:rPr>
        <w:t>lacosamide</w:t>
      </w:r>
      <w:proofErr w:type="spellEnd"/>
      <w:r w:rsidR="00AA18BE">
        <w:rPr>
          <w:bCs/>
          <w:lang w:val="en-GB"/>
        </w:rPr>
        <w:t>.</w:t>
      </w:r>
    </w:p>
    <w:p w:rsidR="00AA18BE" w:rsidRDefault="00AA18BE" w:rsidP="00AA18BE">
      <w:pPr>
        <w:pStyle w:val="ListParagraph"/>
        <w:widowControl/>
        <w:rPr>
          <w:rStyle w:val="FontUnderlined"/>
          <w:rFonts w:ascii="Arial" w:hAnsi="Arial"/>
          <w:sz w:val="22"/>
          <w:u w:val="none"/>
        </w:rPr>
      </w:pPr>
    </w:p>
    <w:p w:rsidR="003B31D0" w:rsidRPr="00040BB1" w:rsidRDefault="003B31D0" w:rsidP="003B31D0">
      <w:pPr>
        <w:pStyle w:val="ListParagraph"/>
        <w:widowControl/>
        <w:numPr>
          <w:ilvl w:val="1"/>
          <w:numId w:val="2"/>
        </w:numPr>
        <w:rPr>
          <w:rStyle w:val="FontUnderlined"/>
          <w:rFonts w:ascii="Arial" w:hAnsi="Arial"/>
          <w:sz w:val="22"/>
          <w:u w:val="none"/>
        </w:rPr>
      </w:pPr>
      <w:r w:rsidRPr="00040BB1">
        <w:rPr>
          <w:rStyle w:val="FontUnderlined"/>
          <w:rFonts w:ascii="Arial" w:hAnsi="Arial"/>
          <w:sz w:val="22"/>
          <w:u w:val="none"/>
        </w:rPr>
        <w:t>The PBAC considered the claim</w:t>
      </w:r>
      <w:r w:rsidR="00D87509">
        <w:rPr>
          <w:rStyle w:val="FontUnderlined"/>
          <w:rFonts w:ascii="Arial" w:hAnsi="Arial"/>
          <w:sz w:val="22"/>
          <w:u w:val="none"/>
        </w:rPr>
        <w:t xml:space="preserve"> o</w:t>
      </w:r>
      <w:r w:rsidR="003B37F8">
        <w:rPr>
          <w:rStyle w:val="FontUnderlined"/>
          <w:rFonts w:ascii="Arial" w:hAnsi="Arial"/>
          <w:sz w:val="22"/>
          <w:u w:val="none"/>
        </w:rPr>
        <w:t>f</w:t>
      </w:r>
      <w:r w:rsidR="00D87509">
        <w:rPr>
          <w:rStyle w:val="FontUnderlined"/>
          <w:rFonts w:ascii="Arial" w:hAnsi="Arial"/>
          <w:sz w:val="22"/>
          <w:u w:val="none"/>
        </w:rPr>
        <w:t xml:space="preserve"> non-inferior safety</w:t>
      </w:r>
      <w:r w:rsidRPr="00040BB1">
        <w:rPr>
          <w:rStyle w:val="FontUnderlined"/>
          <w:rFonts w:ascii="Arial" w:hAnsi="Arial"/>
          <w:sz w:val="22"/>
          <w:u w:val="none"/>
        </w:rPr>
        <w:t xml:space="preserve"> was not adequately supported given the short-term trials used as evidence and that </w:t>
      </w:r>
      <w:r>
        <w:rPr>
          <w:rStyle w:val="FontUnderlined"/>
          <w:rFonts w:ascii="Arial" w:hAnsi="Arial"/>
          <w:sz w:val="22"/>
          <w:u w:val="none"/>
        </w:rPr>
        <w:t>t</w:t>
      </w:r>
      <w:r w:rsidRPr="00040BB1">
        <w:rPr>
          <w:rStyle w:val="FontUnderlined"/>
          <w:rFonts w:ascii="Arial" w:hAnsi="Arial"/>
          <w:sz w:val="22"/>
          <w:u w:val="none"/>
        </w:rPr>
        <w:t xml:space="preserve">here is known psychological issues (suicidal thoughts) with </w:t>
      </w:r>
      <w:proofErr w:type="spellStart"/>
      <w:r w:rsidRPr="00040BB1">
        <w:rPr>
          <w:szCs w:val="22"/>
        </w:rPr>
        <w:t>brivaracetam</w:t>
      </w:r>
      <w:proofErr w:type="spellEnd"/>
      <w:r w:rsidRPr="00040BB1">
        <w:rPr>
          <w:szCs w:val="22"/>
        </w:rPr>
        <w:t xml:space="preserve"> </w:t>
      </w:r>
      <w:r w:rsidRPr="00040BB1">
        <w:rPr>
          <w:rStyle w:val="FontUnderlined"/>
          <w:rFonts w:ascii="Arial" w:hAnsi="Arial"/>
          <w:sz w:val="22"/>
          <w:u w:val="none"/>
        </w:rPr>
        <w:t>and other AEDs</w:t>
      </w:r>
      <w:r>
        <w:rPr>
          <w:rStyle w:val="FontUnderlined"/>
          <w:rFonts w:ascii="Arial" w:hAnsi="Arial"/>
          <w:sz w:val="22"/>
          <w:u w:val="none"/>
        </w:rPr>
        <w:t>.</w:t>
      </w:r>
    </w:p>
    <w:p w:rsidR="003B31D0" w:rsidRDefault="003B31D0" w:rsidP="003B31D0">
      <w:pPr>
        <w:widowControl/>
      </w:pPr>
    </w:p>
    <w:p w:rsidR="003B31D0" w:rsidRPr="00006C26" w:rsidRDefault="003B31D0" w:rsidP="003B31D0">
      <w:pPr>
        <w:pStyle w:val="ListParagraph"/>
        <w:widowControl/>
        <w:numPr>
          <w:ilvl w:val="1"/>
          <w:numId w:val="2"/>
        </w:numPr>
      </w:pPr>
      <w:r>
        <w:t>The PBAC noted that there was n</w:t>
      </w:r>
      <w:r w:rsidRPr="00040BB1">
        <w:t xml:space="preserve">o </w:t>
      </w:r>
      <w:r>
        <w:t>clinical claim</w:t>
      </w:r>
      <w:r w:rsidRPr="00040BB1">
        <w:t xml:space="preserve">, nor any data provided, for the </w:t>
      </w:r>
      <w:r w:rsidR="00AA18BE">
        <w:t>proposed</w:t>
      </w:r>
      <w:r w:rsidRPr="00040BB1">
        <w:t xml:space="preserve"> listing for patients </w:t>
      </w:r>
      <w:r w:rsidR="00AA18BE">
        <w:t xml:space="preserve">not tolerating </w:t>
      </w:r>
      <w:proofErr w:type="spellStart"/>
      <w:r w:rsidRPr="00040BB1">
        <w:t>levetiracetam</w:t>
      </w:r>
      <w:proofErr w:type="spellEnd"/>
      <w:r w:rsidRPr="00006C26">
        <w:t xml:space="preserve">. </w:t>
      </w:r>
    </w:p>
    <w:p w:rsidR="003B31D0" w:rsidRPr="00A86E8B" w:rsidRDefault="003B31D0" w:rsidP="003B31D0">
      <w:pPr>
        <w:widowControl/>
        <w:rPr>
          <w:szCs w:val="22"/>
        </w:rPr>
      </w:pPr>
    </w:p>
    <w:p w:rsidR="003B31D0" w:rsidRPr="00006C26" w:rsidRDefault="003B31D0" w:rsidP="003B31D0">
      <w:pPr>
        <w:pStyle w:val="ListParagraph"/>
        <w:widowControl/>
        <w:numPr>
          <w:ilvl w:val="1"/>
          <w:numId w:val="2"/>
        </w:numPr>
      </w:pPr>
      <w:r>
        <w:t xml:space="preserve">The PBAC considered the cost minimisation analysis versus </w:t>
      </w:r>
      <w:proofErr w:type="spellStart"/>
      <w:r>
        <w:t>lacosamide</w:t>
      </w:r>
      <w:proofErr w:type="spellEnd"/>
      <w:r>
        <w:t xml:space="preserve"> was not appropriate given the lack of evidence comparing the two treatments in patients of similar ‘resistant’ epilepsy.</w:t>
      </w:r>
      <w:r w:rsidRPr="00006C26">
        <w:t xml:space="preserve"> </w:t>
      </w:r>
    </w:p>
    <w:p w:rsidR="00C66F0D" w:rsidRPr="00B413C0" w:rsidRDefault="00C66F0D" w:rsidP="00C66F0D">
      <w:pPr>
        <w:rPr>
          <w:bCs/>
          <w:lang w:val="en-GB"/>
        </w:rPr>
      </w:pPr>
    </w:p>
    <w:p w:rsidR="00C66F0D" w:rsidRPr="00BC2ED5" w:rsidRDefault="00BC2ED5" w:rsidP="00BC2ED5">
      <w:pPr>
        <w:pStyle w:val="ListParagraph"/>
        <w:widowControl/>
        <w:numPr>
          <w:ilvl w:val="1"/>
          <w:numId w:val="2"/>
        </w:numPr>
        <w:rPr>
          <w:bCs/>
          <w:lang w:val="en-GB"/>
        </w:rPr>
      </w:pPr>
      <w:r w:rsidRPr="00E2098F">
        <w:t xml:space="preserve">The </w:t>
      </w:r>
      <w:proofErr w:type="spellStart"/>
      <w:r w:rsidRPr="00E2098F">
        <w:t>equi</w:t>
      </w:r>
      <w:proofErr w:type="spellEnd"/>
      <w:r w:rsidRPr="00E2098F">
        <w:t xml:space="preserve">-effective doses were estimated </w:t>
      </w:r>
      <w:r>
        <w:t xml:space="preserve">in the submission </w:t>
      </w:r>
      <w:r w:rsidRPr="00E2098F">
        <w:t xml:space="preserve">as </w:t>
      </w:r>
      <w:proofErr w:type="spellStart"/>
      <w:r w:rsidRPr="00E2098F">
        <w:t>brivaracetam</w:t>
      </w:r>
      <w:proofErr w:type="spellEnd"/>
      <w:r w:rsidRPr="00E2098F">
        <w:t xml:space="preserve"> 124.55 mg daily and </w:t>
      </w:r>
      <w:proofErr w:type="spellStart"/>
      <w:r w:rsidRPr="00E2098F">
        <w:t>lacosamide</w:t>
      </w:r>
      <w:proofErr w:type="spellEnd"/>
      <w:r w:rsidRPr="00E2098F">
        <w:t xml:space="preserve"> 291.35 mg daily. </w:t>
      </w:r>
      <w:r w:rsidR="00F76846">
        <w:t>The PBAC noted that t</w:t>
      </w:r>
      <w:r w:rsidRPr="00E2098F">
        <w:t xml:space="preserve">he </w:t>
      </w:r>
      <w:proofErr w:type="spellStart"/>
      <w:r w:rsidRPr="00E2098F">
        <w:t>brivaracetam</w:t>
      </w:r>
      <w:proofErr w:type="spellEnd"/>
      <w:r w:rsidR="00F76846">
        <w:t xml:space="preserve"> dose</w:t>
      </w:r>
      <w:r w:rsidRPr="00E2098F">
        <w:t xml:space="preserve"> was derived from </w:t>
      </w:r>
      <w:r w:rsidR="00F76846">
        <w:t>clinical trial data whereas the</w:t>
      </w:r>
      <w:r w:rsidRPr="00E2098F">
        <w:t xml:space="preserve"> </w:t>
      </w:r>
      <w:proofErr w:type="spellStart"/>
      <w:r w:rsidRPr="00E2098F">
        <w:t>lacosamide</w:t>
      </w:r>
      <w:proofErr w:type="spellEnd"/>
      <w:r w:rsidR="00F76846">
        <w:t xml:space="preserve"> dose was derived from</w:t>
      </w:r>
      <w:r w:rsidRPr="00E2098F">
        <w:t xml:space="preserve"> PBS </w:t>
      </w:r>
      <w:r w:rsidR="00F76846">
        <w:t xml:space="preserve">data, and hence considered the </w:t>
      </w:r>
      <w:proofErr w:type="spellStart"/>
      <w:r w:rsidR="00F76846">
        <w:t>equi</w:t>
      </w:r>
      <w:proofErr w:type="spellEnd"/>
      <w:r w:rsidR="00F76846">
        <w:t>-effective doses to not be reliable.</w:t>
      </w:r>
    </w:p>
    <w:p w:rsidR="00BC2ED5" w:rsidRPr="00BC2ED5" w:rsidRDefault="00BC2ED5" w:rsidP="00BC2ED5">
      <w:pPr>
        <w:pStyle w:val="ListParagraph"/>
        <w:rPr>
          <w:bCs/>
          <w:lang w:val="en-GB"/>
        </w:rPr>
      </w:pPr>
    </w:p>
    <w:p w:rsidR="00C66F0D" w:rsidRPr="00DC73C1" w:rsidRDefault="00F76846" w:rsidP="00C66F0D">
      <w:pPr>
        <w:numPr>
          <w:ilvl w:val="1"/>
          <w:numId w:val="2"/>
        </w:numPr>
        <w:rPr>
          <w:bCs/>
          <w:lang w:val="en-GB"/>
        </w:rPr>
      </w:pPr>
      <w:r w:rsidRPr="00E2098F">
        <w:t xml:space="preserve">The </w:t>
      </w:r>
      <w:r w:rsidR="00200828">
        <w:t xml:space="preserve">PBAC noted the proposed SPA with an effective price </w:t>
      </w:r>
      <w:r w:rsidR="00534A2B">
        <w:rPr>
          <w:noProof/>
          <w:color w:val="000000"/>
          <w:highlight w:val="black"/>
        </w:rPr>
        <w:t>'''''''</w:t>
      </w:r>
      <w:r w:rsidR="00200828">
        <w:t xml:space="preserve">% lower than the proposed published price </w:t>
      </w:r>
      <w:r w:rsidR="00DC73C1">
        <w:t>(</w:t>
      </w:r>
      <w:r w:rsidR="00200828">
        <w:t xml:space="preserve">which was based on the cost-minimisation analysis versus </w:t>
      </w:r>
      <w:proofErr w:type="spellStart"/>
      <w:r w:rsidR="00200828">
        <w:t>lacosamide</w:t>
      </w:r>
      <w:proofErr w:type="spellEnd"/>
      <w:r w:rsidR="00DC73C1">
        <w:t>)</w:t>
      </w:r>
      <w:r w:rsidR="00200828">
        <w:t>. The PBAC noted the effective price was</w:t>
      </w:r>
      <w:r w:rsidRPr="00E2098F">
        <w:t xml:space="preserve"> similar to </w:t>
      </w:r>
      <w:r>
        <w:t>a</w:t>
      </w:r>
      <w:r w:rsidRPr="00E2098F">
        <w:t xml:space="preserve"> cost-minimised price of </w:t>
      </w:r>
      <w:proofErr w:type="spellStart"/>
      <w:r w:rsidRPr="00E2098F">
        <w:t>brivaracetam</w:t>
      </w:r>
      <w:proofErr w:type="spellEnd"/>
      <w:r w:rsidRPr="00E2098F">
        <w:t xml:space="preserve"> versus a mixed comparator of </w:t>
      </w:r>
      <w:proofErr w:type="spellStart"/>
      <w:r w:rsidRPr="00E2098F">
        <w:t>lacosamide</w:t>
      </w:r>
      <w:proofErr w:type="spellEnd"/>
      <w:r w:rsidRPr="00E2098F">
        <w:t xml:space="preserve"> (</w:t>
      </w:r>
      <w:proofErr w:type="gramStart"/>
      <w:r w:rsidR="00534A2B">
        <w:rPr>
          <w:noProof/>
          <w:color w:val="000000"/>
          <w:highlight w:val="black"/>
        </w:rPr>
        <w:t>''''''</w:t>
      </w:r>
      <w:r w:rsidRPr="00E2098F">
        <w:t>%</w:t>
      </w:r>
      <w:proofErr w:type="gramEnd"/>
      <w:r w:rsidRPr="00E2098F">
        <w:t xml:space="preserve">) and </w:t>
      </w:r>
      <w:proofErr w:type="spellStart"/>
      <w:r w:rsidRPr="00DC73C1">
        <w:t>levetiracetam</w:t>
      </w:r>
      <w:proofErr w:type="spellEnd"/>
      <w:r w:rsidRPr="00DC73C1">
        <w:t xml:space="preserve"> (</w:t>
      </w:r>
      <w:r w:rsidR="00534A2B">
        <w:rPr>
          <w:noProof/>
          <w:color w:val="000000"/>
          <w:highlight w:val="black"/>
        </w:rPr>
        <w:t>''''''</w:t>
      </w:r>
      <w:r w:rsidRPr="00DC73C1">
        <w:t>%)</w:t>
      </w:r>
      <w:r w:rsidR="00C66F0D" w:rsidRPr="00DC73C1">
        <w:rPr>
          <w:bCs/>
          <w:lang w:val="en-GB"/>
        </w:rPr>
        <w:t>.</w:t>
      </w:r>
      <w:r w:rsidR="00200828" w:rsidRPr="00DC73C1">
        <w:rPr>
          <w:bCs/>
          <w:lang w:val="en-GB"/>
        </w:rPr>
        <w:t xml:space="preserve"> The PBAC did not consider this to be an appropriate comparison.</w:t>
      </w:r>
    </w:p>
    <w:p w:rsidR="00C66F0D" w:rsidRPr="00DC73C1" w:rsidRDefault="00C66F0D" w:rsidP="00C66F0D">
      <w:pPr>
        <w:pStyle w:val="ListParagraph"/>
        <w:rPr>
          <w:bCs/>
          <w:lang w:val="en-GB"/>
        </w:rPr>
      </w:pPr>
    </w:p>
    <w:p w:rsidR="00C66F0D" w:rsidRPr="00DC73C1" w:rsidRDefault="00C66F0D" w:rsidP="00C66F0D">
      <w:pPr>
        <w:numPr>
          <w:ilvl w:val="1"/>
          <w:numId w:val="2"/>
        </w:numPr>
        <w:rPr>
          <w:bCs/>
          <w:lang w:val="en-GB"/>
        </w:rPr>
      </w:pPr>
      <w:r w:rsidRPr="00DC73C1">
        <w:rPr>
          <w:bCs/>
          <w:lang w:val="en-GB"/>
        </w:rPr>
        <w:t xml:space="preserve">The PBAC </w:t>
      </w:r>
      <w:r w:rsidR="00007095" w:rsidRPr="00DC73C1">
        <w:rPr>
          <w:bCs/>
          <w:lang w:val="en-GB"/>
        </w:rPr>
        <w:t>considered that any resubmission would need to be a major submission</w:t>
      </w:r>
      <w:r w:rsidR="00DC73C1" w:rsidRPr="00DC73C1">
        <w:rPr>
          <w:bCs/>
          <w:lang w:val="en-GB"/>
        </w:rPr>
        <w:t>, and should compare</w:t>
      </w:r>
      <w:r w:rsidR="00007095" w:rsidRPr="00DC73C1">
        <w:rPr>
          <w:bCs/>
          <w:lang w:val="en-GB"/>
        </w:rPr>
        <w:t xml:space="preserve"> </w:t>
      </w:r>
      <w:proofErr w:type="spellStart"/>
      <w:r w:rsidR="00007095" w:rsidRPr="00DC73C1">
        <w:t>brivaracetam</w:t>
      </w:r>
      <w:proofErr w:type="spellEnd"/>
      <w:r w:rsidR="00007095" w:rsidRPr="00DC73C1">
        <w:t xml:space="preserve"> with second-line AEDs</w:t>
      </w:r>
      <w:r w:rsidR="00DC73C1" w:rsidRPr="00DC73C1">
        <w:t>.</w:t>
      </w:r>
    </w:p>
    <w:p w:rsidR="00C66F0D" w:rsidRPr="005E4448" w:rsidRDefault="00C66F0D" w:rsidP="00C66F0D">
      <w:pPr>
        <w:rPr>
          <w:bCs/>
          <w:lang w:val="en-GB"/>
        </w:rPr>
      </w:pPr>
    </w:p>
    <w:p w:rsidR="00C66F0D" w:rsidRPr="005E4448" w:rsidRDefault="00C66F0D" w:rsidP="00C66F0D">
      <w:pPr>
        <w:numPr>
          <w:ilvl w:val="1"/>
          <w:numId w:val="2"/>
        </w:numPr>
        <w:rPr>
          <w:b/>
          <w:lang w:val="en-GB"/>
        </w:rPr>
      </w:pPr>
      <w:r w:rsidRPr="005E4448">
        <w:rPr>
          <w:bCs/>
          <w:lang w:val="en-GB"/>
        </w:rPr>
        <w:t xml:space="preserve">The PBAC noted that this submission is eligible for an Independent Review. </w:t>
      </w:r>
    </w:p>
    <w:p w:rsidR="0031770A" w:rsidRDefault="0031770A" w:rsidP="0031770A">
      <w:pPr>
        <w:rPr>
          <w:b/>
          <w:bCs/>
          <w:lang w:val="en-GB"/>
        </w:rPr>
      </w:pPr>
    </w:p>
    <w:p w:rsidR="00F52EFE" w:rsidRDefault="00F52EFE" w:rsidP="0031770A">
      <w:pPr>
        <w:rPr>
          <w:b/>
          <w:bCs/>
          <w:lang w:val="en-GB"/>
        </w:rPr>
      </w:pPr>
    </w:p>
    <w:p w:rsidR="0031770A" w:rsidRPr="005E4448" w:rsidRDefault="0031770A" w:rsidP="0031770A">
      <w:pPr>
        <w:rPr>
          <w:b/>
          <w:bCs/>
          <w:lang w:val="en-GB"/>
        </w:rPr>
      </w:pPr>
      <w:r w:rsidRPr="005E4448">
        <w:rPr>
          <w:b/>
          <w:bCs/>
          <w:lang w:val="en-GB"/>
        </w:rPr>
        <w:t>Outcome:</w:t>
      </w:r>
    </w:p>
    <w:p w:rsidR="00C66F0D" w:rsidRPr="008E0F20" w:rsidRDefault="00C66F0D" w:rsidP="00C66F0D">
      <w:pPr>
        <w:rPr>
          <w:bCs/>
          <w:lang w:val="en-GB"/>
        </w:rPr>
      </w:pPr>
      <w:r w:rsidRPr="005E4448">
        <w:rPr>
          <w:bCs/>
          <w:lang w:val="en-GB"/>
        </w:rPr>
        <w:t>Rejected</w:t>
      </w:r>
    </w:p>
    <w:p w:rsidR="0031770A" w:rsidRDefault="0031770A" w:rsidP="00534A2B">
      <w:pPr>
        <w:pStyle w:val="PBACHeading1"/>
        <w:numPr>
          <w:ilvl w:val="0"/>
          <w:numId w:val="0"/>
        </w:numPr>
        <w:ind w:left="720"/>
      </w:pPr>
    </w:p>
    <w:p w:rsidR="00D77C1D" w:rsidRDefault="00D77C1D" w:rsidP="00534A2B">
      <w:pPr>
        <w:pStyle w:val="PBACHeading1"/>
        <w:numPr>
          <w:ilvl w:val="0"/>
          <w:numId w:val="0"/>
        </w:numPr>
        <w:ind w:left="720"/>
      </w:pPr>
    </w:p>
    <w:p w:rsidR="00EC4E1D" w:rsidRPr="00485DD3" w:rsidRDefault="00EC4E1D" w:rsidP="00534A2B">
      <w:pPr>
        <w:pStyle w:val="Heading2"/>
      </w:pPr>
      <w:r w:rsidRPr="00485DD3">
        <w:t>Context for Decision</w:t>
      </w:r>
    </w:p>
    <w:p w:rsidR="00EC4E1D" w:rsidRDefault="00EC4E1D" w:rsidP="00EC4E1D">
      <w:pPr>
        <w:ind w:left="426"/>
      </w:pPr>
    </w:p>
    <w:p w:rsidR="00EC4E1D" w:rsidRDefault="00EC4E1D" w:rsidP="00EC4E1D">
      <w:pPr>
        <w:ind w:left="709"/>
      </w:pPr>
      <w:r w:rsidRPr="004304F6">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EC4E1D" w:rsidRDefault="00EC4E1D" w:rsidP="00EC4E1D">
      <w:pPr>
        <w:ind w:left="426"/>
      </w:pPr>
    </w:p>
    <w:p w:rsidR="00D77C1D" w:rsidRDefault="00D77C1D" w:rsidP="00EC4E1D">
      <w:pPr>
        <w:ind w:left="426"/>
      </w:pPr>
    </w:p>
    <w:p w:rsidR="00EC4E1D" w:rsidRPr="00485DD3" w:rsidRDefault="00EC4E1D" w:rsidP="00534A2B">
      <w:pPr>
        <w:pStyle w:val="Heading2"/>
      </w:pPr>
      <w:r w:rsidRPr="00485DD3">
        <w:t>Sponsor’s Comment</w:t>
      </w:r>
    </w:p>
    <w:p w:rsidR="0088697B" w:rsidRDefault="0088697B" w:rsidP="00EC4E1D">
      <w:pPr>
        <w:spacing w:after="120"/>
        <w:ind w:left="709"/>
        <w:rPr>
          <w:bCs/>
          <w:szCs w:val="24"/>
        </w:rPr>
      </w:pPr>
    </w:p>
    <w:p w:rsidR="00EC4E1D" w:rsidRDefault="00EC4E1D" w:rsidP="00EC4E1D">
      <w:pPr>
        <w:spacing w:after="120"/>
        <w:ind w:left="709"/>
        <w:rPr>
          <w:bCs/>
        </w:rPr>
      </w:pPr>
      <w:r w:rsidRPr="003035CC">
        <w:rPr>
          <w:bCs/>
        </w:rPr>
        <w:t>The sponsor had no comment.</w:t>
      </w:r>
    </w:p>
    <w:p w:rsidR="00EC4E1D" w:rsidRPr="00E2098F" w:rsidRDefault="00EC4E1D" w:rsidP="00534A2B">
      <w:pPr>
        <w:pStyle w:val="PBACHeading1"/>
        <w:numPr>
          <w:ilvl w:val="0"/>
          <w:numId w:val="0"/>
        </w:numPr>
        <w:ind w:left="720"/>
      </w:pPr>
    </w:p>
    <w:sectPr w:rsidR="00EC4E1D" w:rsidRPr="00E2098F" w:rsidSect="00547AC7">
      <w:headerReference w:type="default" r:id="rId9"/>
      <w:footerReference w:type="default" r:id="rId10"/>
      <w:footnotePr>
        <w:numFmt w:val="lowerLetter"/>
      </w:footnotePr>
      <w:pgSz w:w="11906" w:h="16838"/>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4A2B" w:rsidRDefault="00534A2B" w:rsidP="00124A51">
      <w:r>
        <w:separator/>
      </w:r>
    </w:p>
  </w:endnote>
  <w:endnote w:type="continuationSeparator" w:id="0">
    <w:p w:rsidR="00534A2B" w:rsidRDefault="00534A2B"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ndara">
    <w:panose1 w:val="020E0502030303020204"/>
    <w:charset w:val="00"/>
    <w:family w:val="swiss"/>
    <w:pitch w:val="variable"/>
    <w:sig w:usb0="A00002EF" w:usb1="4000A44B"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A2B" w:rsidRDefault="00534A2B">
    <w:pPr>
      <w:pStyle w:val="Footer"/>
      <w:jc w:val="center"/>
    </w:pPr>
  </w:p>
  <w:p w:rsidR="00534A2B" w:rsidRDefault="00534A2B">
    <w:pPr>
      <w:pStyle w:val="Footer"/>
      <w:jc w:val="center"/>
    </w:pPr>
    <w:sdt>
      <w:sdtPr>
        <w:id w:val="-63725993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944D88">
          <w:rPr>
            <w:noProof/>
          </w:rPr>
          <w:t>1</w:t>
        </w:r>
        <w:r>
          <w:rPr>
            <w:noProof/>
          </w:rPr>
          <w:fldChar w:fldCharType="end"/>
        </w:r>
      </w:sdtContent>
    </w:sdt>
  </w:p>
  <w:p w:rsidR="00534A2B" w:rsidRPr="00B9494E" w:rsidRDefault="00534A2B" w:rsidP="00B9494E">
    <w:pPr>
      <w:ind w:left="709"/>
      <w:contextualSpacing/>
      <w:jc w:val="center"/>
      <w:rPr>
        <w:b/>
        <w:bCs/>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4A2B" w:rsidRDefault="00534A2B" w:rsidP="00124A51">
      <w:r>
        <w:separator/>
      </w:r>
    </w:p>
  </w:footnote>
  <w:footnote w:type="continuationSeparator" w:id="0">
    <w:p w:rsidR="00534A2B" w:rsidRDefault="00534A2B" w:rsidP="00124A51">
      <w:r>
        <w:continuationSeparator/>
      </w:r>
    </w:p>
  </w:footnote>
  <w:footnote w:id="1">
    <w:p w:rsidR="00534A2B" w:rsidRDefault="00534A2B" w:rsidP="002F2847">
      <w:pPr>
        <w:pStyle w:val="FootnoteText"/>
      </w:pPr>
      <w:r w:rsidRPr="00635A13">
        <w:rPr>
          <w:rStyle w:val="FootnoteReference"/>
          <w:sz w:val="18"/>
        </w:rPr>
        <w:footnoteRef/>
      </w:r>
      <w:r w:rsidRPr="00635A13">
        <w:rPr>
          <w:sz w:val="18"/>
        </w:rPr>
        <w:t xml:space="preserve"> Yates SL, </w:t>
      </w:r>
      <w:proofErr w:type="spellStart"/>
      <w:r w:rsidRPr="00635A13">
        <w:rPr>
          <w:sz w:val="18"/>
        </w:rPr>
        <w:t>Fakhoury</w:t>
      </w:r>
      <w:proofErr w:type="spellEnd"/>
      <w:r w:rsidRPr="00635A13">
        <w:rPr>
          <w:sz w:val="18"/>
        </w:rPr>
        <w:t xml:space="preserve"> T, </w:t>
      </w:r>
      <w:r w:rsidRPr="00635A13">
        <w:rPr>
          <w:i/>
          <w:sz w:val="18"/>
        </w:rPr>
        <w:t>et al</w:t>
      </w:r>
      <w:r w:rsidRPr="00635A13">
        <w:rPr>
          <w:sz w:val="18"/>
        </w:rPr>
        <w:t xml:space="preserve">. </w:t>
      </w:r>
      <w:proofErr w:type="gramStart"/>
      <w:r w:rsidRPr="00635A13">
        <w:rPr>
          <w:sz w:val="18"/>
        </w:rPr>
        <w:t xml:space="preserve">An open-label, prospective, exploratory study of patients with epilepsy switching from </w:t>
      </w:r>
      <w:proofErr w:type="spellStart"/>
      <w:r w:rsidRPr="00635A13">
        <w:rPr>
          <w:sz w:val="18"/>
        </w:rPr>
        <w:t>levetiracetam</w:t>
      </w:r>
      <w:proofErr w:type="spellEnd"/>
      <w:r w:rsidRPr="00635A13">
        <w:rPr>
          <w:sz w:val="18"/>
        </w:rPr>
        <w:t xml:space="preserve"> to </w:t>
      </w:r>
      <w:proofErr w:type="spellStart"/>
      <w:r w:rsidRPr="00635A13">
        <w:rPr>
          <w:sz w:val="18"/>
        </w:rPr>
        <w:t>brivaracetam</w:t>
      </w:r>
      <w:proofErr w:type="spellEnd"/>
      <w:r w:rsidRPr="00635A13">
        <w:rPr>
          <w:sz w:val="18"/>
        </w:rPr>
        <w:t>.</w:t>
      </w:r>
      <w:proofErr w:type="gramEnd"/>
      <w:r w:rsidRPr="00635A13">
        <w:rPr>
          <w:sz w:val="18"/>
        </w:rPr>
        <w:t xml:space="preserve"> </w:t>
      </w:r>
      <w:proofErr w:type="gramStart"/>
      <w:r w:rsidRPr="00635A13">
        <w:rPr>
          <w:sz w:val="18"/>
        </w:rPr>
        <w:t xml:space="preserve">Epilepsy </w:t>
      </w:r>
      <w:proofErr w:type="spellStart"/>
      <w:r w:rsidRPr="00635A13">
        <w:rPr>
          <w:sz w:val="18"/>
        </w:rPr>
        <w:t>Behav</w:t>
      </w:r>
      <w:proofErr w:type="spellEnd"/>
      <w:r w:rsidRPr="00635A13">
        <w:rPr>
          <w:sz w:val="18"/>
        </w:rPr>
        <w:t>.</w:t>
      </w:r>
      <w:proofErr w:type="gramEnd"/>
      <w:r w:rsidRPr="00635A13">
        <w:rPr>
          <w:sz w:val="18"/>
        </w:rPr>
        <w:t xml:space="preserve"> 2015</w:t>
      </w:r>
      <w:proofErr w:type="gramStart"/>
      <w:r w:rsidRPr="00635A13">
        <w:rPr>
          <w:sz w:val="18"/>
        </w:rPr>
        <w:t>;52</w:t>
      </w:r>
      <w:proofErr w:type="gramEnd"/>
      <w:r w:rsidRPr="00635A13">
        <w:rPr>
          <w:sz w:val="18"/>
        </w:rPr>
        <w:t>(Pt A):165-8.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A2B" w:rsidRPr="00DF217D" w:rsidRDefault="00534A2B" w:rsidP="0031770A">
    <w:pPr>
      <w:pStyle w:val="Header"/>
      <w:ind w:left="360"/>
      <w:jc w:val="center"/>
      <w:rPr>
        <w:i/>
        <w:color w:val="808080"/>
      </w:rPr>
    </w:pPr>
    <w:r>
      <w:rPr>
        <w:i/>
        <w:color w:val="808080"/>
      </w:rPr>
      <w:t xml:space="preserve">Public Summary Document </w:t>
    </w:r>
    <w:r w:rsidRPr="00DF217D">
      <w:rPr>
        <w:i/>
        <w:color w:val="808080"/>
      </w:rPr>
      <w:t xml:space="preserve">– </w:t>
    </w:r>
    <w:r>
      <w:rPr>
        <w:i/>
        <w:color w:val="808080"/>
      </w:rPr>
      <w:t xml:space="preserve">July 2016 </w:t>
    </w:r>
    <w:r w:rsidRPr="00DF217D">
      <w:rPr>
        <w:i/>
        <w:color w:val="808080"/>
      </w:rPr>
      <w:t>PBAC</w:t>
    </w:r>
    <w:r>
      <w:rPr>
        <w:i/>
        <w:color w:val="808080"/>
      </w:rPr>
      <w:t xml:space="preserve"> </w:t>
    </w:r>
    <w:r w:rsidRPr="00DF217D">
      <w:rPr>
        <w:i/>
        <w:color w:val="808080"/>
      </w:rPr>
      <w:t>Meeting</w:t>
    </w:r>
  </w:p>
  <w:p w:rsidR="00534A2B" w:rsidRDefault="00534A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CD4C18"/>
    <w:multiLevelType w:val="hybridMultilevel"/>
    <w:tmpl w:val="FAA4FA1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nsid w:val="0FB41097"/>
    <w:multiLevelType w:val="hybridMultilevel"/>
    <w:tmpl w:val="4C2A7F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4B3251A"/>
    <w:multiLevelType w:val="hybridMultilevel"/>
    <w:tmpl w:val="2BE2D5A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nsid w:val="2BD7141A"/>
    <w:multiLevelType w:val="hybridMultilevel"/>
    <w:tmpl w:val="A0B023C6"/>
    <w:lvl w:ilvl="0" w:tplc="0C090011">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60084FBF"/>
    <w:multiLevelType w:val="hybridMultilevel"/>
    <w:tmpl w:val="47C2347C"/>
    <w:lvl w:ilvl="0" w:tplc="65423536">
      <w:start w:val="1"/>
      <w:numFmt w:val="bullet"/>
      <w:pStyle w:val="TableBullets"/>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68F004AD"/>
    <w:multiLevelType w:val="hybridMultilevel"/>
    <w:tmpl w:val="15DAA6A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nsid w:val="71CA19EB"/>
    <w:multiLevelType w:val="hybridMultilevel"/>
    <w:tmpl w:val="0C36E132"/>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nsid w:val="784D033C"/>
    <w:multiLevelType w:val="multilevel"/>
    <w:tmpl w:val="E1809D4C"/>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9"/>
  </w:num>
  <w:num w:numId="3">
    <w:abstractNumId w:val="6"/>
  </w:num>
  <w:num w:numId="4">
    <w:abstractNumId w:val="4"/>
  </w:num>
  <w:num w:numId="5">
    <w:abstractNumId w:val="3"/>
  </w:num>
  <w:num w:numId="6">
    <w:abstractNumId w:val="8"/>
  </w:num>
  <w:num w:numId="7">
    <w:abstractNumId w:val="7"/>
  </w:num>
  <w:num w:numId="8">
    <w:abstractNumId w:val="2"/>
  </w:num>
  <w:num w:numId="9">
    <w:abstractNumId w:val="5"/>
  </w:num>
  <w:num w:numId="10">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NotTrackFormatting/>
  <w:defaultTabStop w:val="720"/>
  <w:characterSpacingControl w:val="doNotCompress"/>
  <w:hdrShapeDefaults>
    <o:shapedefaults v:ext="edit" spidmax="2049"/>
  </w:hdrShapeDefaults>
  <w:footnotePr>
    <w:numFmt w:val="lowerLette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 modified&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e2et9fa6pwevberpz95dpryv0wsavzaavwa&quot;&gt;Briva&lt;record-ids&gt;&lt;item&gt;1&lt;/item&gt;&lt;item&gt;2&lt;/item&gt;&lt;item&gt;3&lt;/item&gt;&lt;item&gt;4&lt;/item&gt;&lt;item&gt;5&lt;/item&gt;&lt;item&gt;6&lt;/item&gt;&lt;item&gt;7&lt;/item&gt;&lt;item&gt;8&lt;/item&gt;&lt;item&gt;9&lt;/item&gt;&lt;item&gt;10&lt;/item&gt;&lt;item&gt;11&lt;/item&gt;&lt;item&gt;12&lt;/item&gt;&lt;/record-ids&gt;&lt;/item&gt;&lt;/Libraries&gt;"/>
  </w:docVars>
  <w:rsids>
    <w:rsidRoot w:val="00E65E79"/>
    <w:rsid w:val="00000790"/>
    <w:rsid w:val="0000110B"/>
    <w:rsid w:val="00003499"/>
    <w:rsid w:val="00004ACB"/>
    <w:rsid w:val="00005846"/>
    <w:rsid w:val="00006C26"/>
    <w:rsid w:val="00007095"/>
    <w:rsid w:val="00013247"/>
    <w:rsid w:val="00013407"/>
    <w:rsid w:val="00014CC6"/>
    <w:rsid w:val="00015691"/>
    <w:rsid w:val="00015886"/>
    <w:rsid w:val="000162EF"/>
    <w:rsid w:val="0001723F"/>
    <w:rsid w:val="00017FD8"/>
    <w:rsid w:val="000200C4"/>
    <w:rsid w:val="000204E5"/>
    <w:rsid w:val="000205B4"/>
    <w:rsid w:val="0002225F"/>
    <w:rsid w:val="00023763"/>
    <w:rsid w:val="00031863"/>
    <w:rsid w:val="000321A8"/>
    <w:rsid w:val="000321D8"/>
    <w:rsid w:val="000340E3"/>
    <w:rsid w:val="00040895"/>
    <w:rsid w:val="00040BB1"/>
    <w:rsid w:val="00043C37"/>
    <w:rsid w:val="00046841"/>
    <w:rsid w:val="00050D47"/>
    <w:rsid w:val="00052DE3"/>
    <w:rsid w:val="000546D7"/>
    <w:rsid w:val="00057BD3"/>
    <w:rsid w:val="000623C6"/>
    <w:rsid w:val="00063536"/>
    <w:rsid w:val="0006687E"/>
    <w:rsid w:val="00067988"/>
    <w:rsid w:val="00071248"/>
    <w:rsid w:val="00071CCA"/>
    <w:rsid w:val="000720B9"/>
    <w:rsid w:val="00080F8A"/>
    <w:rsid w:val="000812CA"/>
    <w:rsid w:val="00082EBE"/>
    <w:rsid w:val="000846E3"/>
    <w:rsid w:val="0008602B"/>
    <w:rsid w:val="00090C7E"/>
    <w:rsid w:val="00091F7C"/>
    <w:rsid w:val="000A0536"/>
    <w:rsid w:val="000A1CEA"/>
    <w:rsid w:val="000A21DC"/>
    <w:rsid w:val="000A2DA8"/>
    <w:rsid w:val="000A6CA1"/>
    <w:rsid w:val="000A72A5"/>
    <w:rsid w:val="000B2D58"/>
    <w:rsid w:val="000B3B10"/>
    <w:rsid w:val="000C183B"/>
    <w:rsid w:val="000C426F"/>
    <w:rsid w:val="000C50CD"/>
    <w:rsid w:val="000C7322"/>
    <w:rsid w:val="000C7AC8"/>
    <w:rsid w:val="000D0514"/>
    <w:rsid w:val="000D1BFC"/>
    <w:rsid w:val="000D1E03"/>
    <w:rsid w:val="000D362B"/>
    <w:rsid w:val="000D3EEF"/>
    <w:rsid w:val="000D4CD4"/>
    <w:rsid w:val="000D69BD"/>
    <w:rsid w:val="000D77CA"/>
    <w:rsid w:val="000E1375"/>
    <w:rsid w:val="000E3CCB"/>
    <w:rsid w:val="000E41A3"/>
    <w:rsid w:val="000E51FC"/>
    <w:rsid w:val="000E5BE8"/>
    <w:rsid w:val="000E6A00"/>
    <w:rsid w:val="000E6F89"/>
    <w:rsid w:val="000E7E79"/>
    <w:rsid w:val="000F331F"/>
    <w:rsid w:val="000F3622"/>
    <w:rsid w:val="000F4BB8"/>
    <w:rsid w:val="000F4C57"/>
    <w:rsid w:val="000F4E6B"/>
    <w:rsid w:val="000F6569"/>
    <w:rsid w:val="000F6775"/>
    <w:rsid w:val="000F7127"/>
    <w:rsid w:val="00100F8A"/>
    <w:rsid w:val="0010114D"/>
    <w:rsid w:val="0010147A"/>
    <w:rsid w:val="00101816"/>
    <w:rsid w:val="00102B96"/>
    <w:rsid w:val="001042BA"/>
    <w:rsid w:val="00107473"/>
    <w:rsid w:val="0011032E"/>
    <w:rsid w:val="00112280"/>
    <w:rsid w:val="0011348B"/>
    <w:rsid w:val="001137C5"/>
    <w:rsid w:val="00114E3B"/>
    <w:rsid w:val="00115801"/>
    <w:rsid w:val="00121799"/>
    <w:rsid w:val="00122232"/>
    <w:rsid w:val="001222FC"/>
    <w:rsid w:val="00123583"/>
    <w:rsid w:val="00124A51"/>
    <w:rsid w:val="00126621"/>
    <w:rsid w:val="00127008"/>
    <w:rsid w:val="0012704D"/>
    <w:rsid w:val="001301E9"/>
    <w:rsid w:val="0013186C"/>
    <w:rsid w:val="0013197B"/>
    <w:rsid w:val="001330D1"/>
    <w:rsid w:val="0013373F"/>
    <w:rsid w:val="00137645"/>
    <w:rsid w:val="0014015A"/>
    <w:rsid w:val="00140E99"/>
    <w:rsid w:val="0014118E"/>
    <w:rsid w:val="00141A59"/>
    <w:rsid w:val="00142F80"/>
    <w:rsid w:val="0014425A"/>
    <w:rsid w:val="00144B60"/>
    <w:rsid w:val="00145540"/>
    <w:rsid w:val="001456B0"/>
    <w:rsid w:val="00145CC6"/>
    <w:rsid w:val="00150D64"/>
    <w:rsid w:val="0015391E"/>
    <w:rsid w:val="001539D2"/>
    <w:rsid w:val="001540CE"/>
    <w:rsid w:val="00157130"/>
    <w:rsid w:val="00157B5E"/>
    <w:rsid w:val="00161136"/>
    <w:rsid w:val="00162306"/>
    <w:rsid w:val="00162913"/>
    <w:rsid w:val="00162BAB"/>
    <w:rsid w:val="001630C1"/>
    <w:rsid w:val="00163EFF"/>
    <w:rsid w:val="00165DEC"/>
    <w:rsid w:val="001661FB"/>
    <w:rsid w:val="00170C1E"/>
    <w:rsid w:val="00173176"/>
    <w:rsid w:val="00173F7F"/>
    <w:rsid w:val="00174AB9"/>
    <w:rsid w:val="00176600"/>
    <w:rsid w:val="00182E92"/>
    <w:rsid w:val="001834A2"/>
    <w:rsid w:val="0018556B"/>
    <w:rsid w:val="0018752F"/>
    <w:rsid w:val="00190B2E"/>
    <w:rsid w:val="00191334"/>
    <w:rsid w:val="00191825"/>
    <w:rsid w:val="00192117"/>
    <w:rsid w:val="00193FB1"/>
    <w:rsid w:val="001945EA"/>
    <w:rsid w:val="00195222"/>
    <w:rsid w:val="001975D8"/>
    <w:rsid w:val="001A55F1"/>
    <w:rsid w:val="001B18F9"/>
    <w:rsid w:val="001B3443"/>
    <w:rsid w:val="001B4990"/>
    <w:rsid w:val="001B66DE"/>
    <w:rsid w:val="001B7752"/>
    <w:rsid w:val="001C37E7"/>
    <w:rsid w:val="001C6376"/>
    <w:rsid w:val="001C6405"/>
    <w:rsid w:val="001C6E66"/>
    <w:rsid w:val="001D248F"/>
    <w:rsid w:val="001D24C8"/>
    <w:rsid w:val="001D48DA"/>
    <w:rsid w:val="001D7979"/>
    <w:rsid w:val="001D7F7E"/>
    <w:rsid w:val="001E061E"/>
    <w:rsid w:val="001E238E"/>
    <w:rsid w:val="001E2B1E"/>
    <w:rsid w:val="001E3E82"/>
    <w:rsid w:val="001E4725"/>
    <w:rsid w:val="001E52EB"/>
    <w:rsid w:val="001E5326"/>
    <w:rsid w:val="001E740C"/>
    <w:rsid w:val="001F0AEA"/>
    <w:rsid w:val="001F10DF"/>
    <w:rsid w:val="001F1235"/>
    <w:rsid w:val="001F1CB3"/>
    <w:rsid w:val="001F37B3"/>
    <w:rsid w:val="001F42B0"/>
    <w:rsid w:val="001F4919"/>
    <w:rsid w:val="001F5A38"/>
    <w:rsid w:val="001F7361"/>
    <w:rsid w:val="00200828"/>
    <w:rsid w:val="00202E21"/>
    <w:rsid w:val="0020385F"/>
    <w:rsid w:val="00204CB2"/>
    <w:rsid w:val="00206566"/>
    <w:rsid w:val="00207021"/>
    <w:rsid w:val="002078E7"/>
    <w:rsid w:val="00207D00"/>
    <w:rsid w:val="002105C1"/>
    <w:rsid w:val="00210FA7"/>
    <w:rsid w:val="00213036"/>
    <w:rsid w:val="00215705"/>
    <w:rsid w:val="002158F6"/>
    <w:rsid w:val="002166FE"/>
    <w:rsid w:val="00217AA4"/>
    <w:rsid w:val="00221AAD"/>
    <w:rsid w:val="0022201B"/>
    <w:rsid w:val="002229B6"/>
    <w:rsid w:val="00223B49"/>
    <w:rsid w:val="00224DD4"/>
    <w:rsid w:val="00225D8F"/>
    <w:rsid w:val="00226A9D"/>
    <w:rsid w:val="00226B4E"/>
    <w:rsid w:val="002309CC"/>
    <w:rsid w:val="00230CA3"/>
    <w:rsid w:val="00231BF2"/>
    <w:rsid w:val="00232059"/>
    <w:rsid w:val="00234260"/>
    <w:rsid w:val="002352E2"/>
    <w:rsid w:val="0023724D"/>
    <w:rsid w:val="00237E45"/>
    <w:rsid w:val="0024078A"/>
    <w:rsid w:val="00241C2D"/>
    <w:rsid w:val="00245D89"/>
    <w:rsid w:val="00251070"/>
    <w:rsid w:val="002526AD"/>
    <w:rsid w:val="00254DCF"/>
    <w:rsid w:val="0025534B"/>
    <w:rsid w:val="00255BB7"/>
    <w:rsid w:val="00256237"/>
    <w:rsid w:val="0026053D"/>
    <w:rsid w:val="00262A87"/>
    <w:rsid w:val="0026444F"/>
    <w:rsid w:val="00270EB4"/>
    <w:rsid w:val="002716CE"/>
    <w:rsid w:val="0027192A"/>
    <w:rsid w:val="00271C58"/>
    <w:rsid w:val="00273E12"/>
    <w:rsid w:val="00274A49"/>
    <w:rsid w:val="00275C5A"/>
    <w:rsid w:val="00277203"/>
    <w:rsid w:val="00280FAD"/>
    <w:rsid w:val="00281014"/>
    <w:rsid w:val="00283279"/>
    <w:rsid w:val="002859E4"/>
    <w:rsid w:val="00290543"/>
    <w:rsid w:val="002936C7"/>
    <w:rsid w:val="00294130"/>
    <w:rsid w:val="002942AB"/>
    <w:rsid w:val="002A14AB"/>
    <w:rsid w:val="002A2503"/>
    <w:rsid w:val="002A6B53"/>
    <w:rsid w:val="002B1C1F"/>
    <w:rsid w:val="002B1CF9"/>
    <w:rsid w:val="002B432F"/>
    <w:rsid w:val="002B43A4"/>
    <w:rsid w:val="002B4B83"/>
    <w:rsid w:val="002B51B4"/>
    <w:rsid w:val="002B6CCE"/>
    <w:rsid w:val="002C0716"/>
    <w:rsid w:val="002C0C52"/>
    <w:rsid w:val="002C2775"/>
    <w:rsid w:val="002C27C1"/>
    <w:rsid w:val="002C30D4"/>
    <w:rsid w:val="002C47F4"/>
    <w:rsid w:val="002C7019"/>
    <w:rsid w:val="002D037E"/>
    <w:rsid w:val="002D1A9C"/>
    <w:rsid w:val="002D1F65"/>
    <w:rsid w:val="002D5679"/>
    <w:rsid w:val="002D67A9"/>
    <w:rsid w:val="002D71AB"/>
    <w:rsid w:val="002E3DAA"/>
    <w:rsid w:val="002E4B0F"/>
    <w:rsid w:val="002E6CA5"/>
    <w:rsid w:val="002E6DBA"/>
    <w:rsid w:val="002E7CF0"/>
    <w:rsid w:val="002F1B10"/>
    <w:rsid w:val="002F1EC0"/>
    <w:rsid w:val="002F2359"/>
    <w:rsid w:val="002F2847"/>
    <w:rsid w:val="002F289F"/>
    <w:rsid w:val="002F2FED"/>
    <w:rsid w:val="002F4F10"/>
    <w:rsid w:val="002F54C7"/>
    <w:rsid w:val="0030093C"/>
    <w:rsid w:val="00301017"/>
    <w:rsid w:val="00301CA6"/>
    <w:rsid w:val="00302389"/>
    <w:rsid w:val="003035BE"/>
    <w:rsid w:val="003062AE"/>
    <w:rsid w:val="0030786C"/>
    <w:rsid w:val="0031031A"/>
    <w:rsid w:val="00310981"/>
    <w:rsid w:val="0031103E"/>
    <w:rsid w:val="0031251D"/>
    <w:rsid w:val="00313DDB"/>
    <w:rsid w:val="00315498"/>
    <w:rsid w:val="0031770A"/>
    <w:rsid w:val="00317765"/>
    <w:rsid w:val="00317AE2"/>
    <w:rsid w:val="00323B83"/>
    <w:rsid w:val="00326053"/>
    <w:rsid w:val="003277FF"/>
    <w:rsid w:val="003354EE"/>
    <w:rsid w:val="00336558"/>
    <w:rsid w:val="003366C9"/>
    <w:rsid w:val="00336BA1"/>
    <w:rsid w:val="00336D7C"/>
    <w:rsid w:val="003371B0"/>
    <w:rsid w:val="00337302"/>
    <w:rsid w:val="003425C9"/>
    <w:rsid w:val="00350CFA"/>
    <w:rsid w:val="003519A8"/>
    <w:rsid w:val="00352D1C"/>
    <w:rsid w:val="00353737"/>
    <w:rsid w:val="0035620E"/>
    <w:rsid w:val="0035726D"/>
    <w:rsid w:val="00357D0F"/>
    <w:rsid w:val="00362A21"/>
    <w:rsid w:val="00363FDD"/>
    <w:rsid w:val="00366F5B"/>
    <w:rsid w:val="00370AC6"/>
    <w:rsid w:val="00375082"/>
    <w:rsid w:val="00375C03"/>
    <w:rsid w:val="003808E4"/>
    <w:rsid w:val="00382149"/>
    <w:rsid w:val="0038365C"/>
    <w:rsid w:val="00383C08"/>
    <w:rsid w:val="00384A9E"/>
    <w:rsid w:val="003865F8"/>
    <w:rsid w:val="00387FDD"/>
    <w:rsid w:val="003905C6"/>
    <w:rsid w:val="00391570"/>
    <w:rsid w:val="0039647C"/>
    <w:rsid w:val="00396FD0"/>
    <w:rsid w:val="00397A58"/>
    <w:rsid w:val="003A1A7A"/>
    <w:rsid w:val="003A1D54"/>
    <w:rsid w:val="003A27E2"/>
    <w:rsid w:val="003A498F"/>
    <w:rsid w:val="003A5038"/>
    <w:rsid w:val="003A5FD5"/>
    <w:rsid w:val="003B07FB"/>
    <w:rsid w:val="003B31D0"/>
    <w:rsid w:val="003B37F8"/>
    <w:rsid w:val="003C10F4"/>
    <w:rsid w:val="003C132F"/>
    <w:rsid w:val="003C26ED"/>
    <w:rsid w:val="003C724C"/>
    <w:rsid w:val="003D17BC"/>
    <w:rsid w:val="003D1828"/>
    <w:rsid w:val="003D2422"/>
    <w:rsid w:val="003D3C01"/>
    <w:rsid w:val="003D3E41"/>
    <w:rsid w:val="003D4092"/>
    <w:rsid w:val="003E2E0A"/>
    <w:rsid w:val="003E39FF"/>
    <w:rsid w:val="003E57AD"/>
    <w:rsid w:val="003F08AE"/>
    <w:rsid w:val="003F09D3"/>
    <w:rsid w:val="003F1CCF"/>
    <w:rsid w:val="003F1E70"/>
    <w:rsid w:val="003F217E"/>
    <w:rsid w:val="003F4156"/>
    <w:rsid w:val="003F4773"/>
    <w:rsid w:val="003F4DA8"/>
    <w:rsid w:val="003F5A87"/>
    <w:rsid w:val="003F6B79"/>
    <w:rsid w:val="0040345D"/>
    <w:rsid w:val="00410708"/>
    <w:rsid w:val="00410EC7"/>
    <w:rsid w:val="00411869"/>
    <w:rsid w:val="00411A01"/>
    <w:rsid w:val="004128A5"/>
    <w:rsid w:val="00413450"/>
    <w:rsid w:val="00413DA5"/>
    <w:rsid w:val="00414476"/>
    <w:rsid w:val="004146C2"/>
    <w:rsid w:val="00420B9F"/>
    <w:rsid w:val="004235CC"/>
    <w:rsid w:val="00424AC2"/>
    <w:rsid w:val="004255B1"/>
    <w:rsid w:val="004309BA"/>
    <w:rsid w:val="004319F8"/>
    <w:rsid w:val="00433044"/>
    <w:rsid w:val="004401F5"/>
    <w:rsid w:val="00440CD5"/>
    <w:rsid w:val="004443A7"/>
    <w:rsid w:val="004446D8"/>
    <w:rsid w:val="00444E16"/>
    <w:rsid w:val="00446293"/>
    <w:rsid w:val="004464EB"/>
    <w:rsid w:val="0044716B"/>
    <w:rsid w:val="004473C9"/>
    <w:rsid w:val="00455140"/>
    <w:rsid w:val="00455D45"/>
    <w:rsid w:val="0045679F"/>
    <w:rsid w:val="0045718B"/>
    <w:rsid w:val="00460562"/>
    <w:rsid w:val="00461D6E"/>
    <w:rsid w:val="00463922"/>
    <w:rsid w:val="00463D64"/>
    <w:rsid w:val="00464595"/>
    <w:rsid w:val="00466285"/>
    <w:rsid w:val="004712AA"/>
    <w:rsid w:val="00475769"/>
    <w:rsid w:val="00475892"/>
    <w:rsid w:val="0047594F"/>
    <w:rsid w:val="004759CF"/>
    <w:rsid w:val="00476780"/>
    <w:rsid w:val="00476D02"/>
    <w:rsid w:val="00481084"/>
    <w:rsid w:val="004816CE"/>
    <w:rsid w:val="00481AB0"/>
    <w:rsid w:val="004867E2"/>
    <w:rsid w:val="004875BB"/>
    <w:rsid w:val="00490019"/>
    <w:rsid w:val="00491B3A"/>
    <w:rsid w:val="00491C6D"/>
    <w:rsid w:val="00492CFD"/>
    <w:rsid w:val="0049486C"/>
    <w:rsid w:val="0049587E"/>
    <w:rsid w:val="0049626E"/>
    <w:rsid w:val="004962D2"/>
    <w:rsid w:val="004A0DA1"/>
    <w:rsid w:val="004A14E4"/>
    <w:rsid w:val="004A169F"/>
    <w:rsid w:val="004A18BB"/>
    <w:rsid w:val="004A2C79"/>
    <w:rsid w:val="004A3A2B"/>
    <w:rsid w:val="004A5F48"/>
    <w:rsid w:val="004A6597"/>
    <w:rsid w:val="004A67B3"/>
    <w:rsid w:val="004A7D24"/>
    <w:rsid w:val="004B0DF0"/>
    <w:rsid w:val="004B1CB4"/>
    <w:rsid w:val="004B2F18"/>
    <w:rsid w:val="004B3D46"/>
    <w:rsid w:val="004B3DDB"/>
    <w:rsid w:val="004B408A"/>
    <w:rsid w:val="004B44FD"/>
    <w:rsid w:val="004B5CFC"/>
    <w:rsid w:val="004B78DA"/>
    <w:rsid w:val="004C4464"/>
    <w:rsid w:val="004C4AED"/>
    <w:rsid w:val="004C5CBD"/>
    <w:rsid w:val="004C6A55"/>
    <w:rsid w:val="004D10EA"/>
    <w:rsid w:val="004D1545"/>
    <w:rsid w:val="004D1FAD"/>
    <w:rsid w:val="004D2337"/>
    <w:rsid w:val="004D3C9E"/>
    <w:rsid w:val="004D3ED5"/>
    <w:rsid w:val="004D5C56"/>
    <w:rsid w:val="004D7346"/>
    <w:rsid w:val="004E0DC2"/>
    <w:rsid w:val="004E0EB8"/>
    <w:rsid w:val="004E1BCB"/>
    <w:rsid w:val="004E2ADC"/>
    <w:rsid w:val="004E3EC1"/>
    <w:rsid w:val="004E43B2"/>
    <w:rsid w:val="004E47AF"/>
    <w:rsid w:val="004E6665"/>
    <w:rsid w:val="004F032C"/>
    <w:rsid w:val="004F0792"/>
    <w:rsid w:val="004F1D02"/>
    <w:rsid w:val="004F2679"/>
    <w:rsid w:val="004F29EC"/>
    <w:rsid w:val="004F498A"/>
    <w:rsid w:val="004F6781"/>
    <w:rsid w:val="004F6E35"/>
    <w:rsid w:val="004F7220"/>
    <w:rsid w:val="004F7865"/>
    <w:rsid w:val="00500F04"/>
    <w:rsid w:val="00501ED6"/>
    <w:rsid w:val="00504B1B"/>
    <w:rsid w:val="00506928"/>
    <w:rsid w:val="005069B3"/>
    <w:rsid w:val="00506C3A"/>
    <w:rsid w:val="005152B5"/>
    <w:rsid w:val="0051635A"/>
    <w:rsid w:val="00521319"/>
    <w:rsid w:val="00523C28"/>
    <w:rsid w:val="00532179"/>
    <w:rsid w:val="0053289E"/>
    <w:rsid w:val="00534A2B"/>
    <w:rsid w:val="00534F9C"/>
    <w:rsid w:val="0053502B"/>
    <w:rsid w:val="005366AC"/>
    <w:rsid w:val="00544A35"/>
    <w:rsid w:val="005456DE"/>
    <w:rsid w:val="005460BF"/>
    <w:rsid w:val="00546EF7"/>
    <w:rsid w:val="00547AC7"/>
    <w:rsid w:val="005512D4"/>
    <w:rsid w:val="00551CF7"/>
    <w:rsid w:val="00552BD3"/>
    <w:rsid w:val="00555109"/>
    <w:rsid w:val="00556BB0"/>
    <w:rsid w:val="0056196D"/>
    <w:rsid w:val="00561E71"/>
    <w:rsid w:val="0056206F"/>
    <w:rsid w:val="00563024"/>
    <w:rsid w:val="0056584E"/>
    <w:rsid w:val="0056696F"/>
    <w:rsid w:val="00567F0B"/>
    <w:rsid w:val="005702AF"/>
    <w:rsid w:val="005746C4"/>
    <w:rsid w:val="00575D8D"/>
    <w:rsid w:val="00576746"/>
    <w:rsid w:val="00576972"/>
    <w:rsid w:val="005801FB"/>
    <w:rsid w:val="00583699"/>
    <w:rsid w:val="00583AAC"/>
    <w:rsid w:val="00585125"/>
    <w:rsid w:val="005863BF"/>
    <w:rsid w:val="00587FC6"/>
    <w:rsid w:val="00593175"/>
    <w:rsid w:val="00594F3A"/>
    <w:rsid w:val="0059516B"/>
    <w:rsid w:val="00595DA4"/>
    <w:rsid w:val="00596757"/>
    <w:rsid w:val="00596937"/>
    <w:rsid w:val="00597354"/>
    <w:rsid w:val="005A0C24"/>
    <w:rsid w:val="005A0C3C"/>
    <w:rsid w:val="005A4193"/>
    <w:rsid w:val="005A4569"/>
    <w:rsid w:val="005A4F89"/>
    <w:rsid w:val="005A7121"/>
    <w:rsid w:val="005A7C4E"/>
    <w:rsid w:val="005B11E3"/>
    <w:rsid w:val="005B2B46"/>
    <w:rsid w:val="005B5857"/>
    <w:rsid w:val="005B7406"/>
    <w:rsid w:val="005B7965"/>
    <w:rsid w:val="005C0D33"/>
    <w:rsid w:val="005C1B83"/>
    <w:rsid w:val="005C340D"/>
    <w:rsid w:val="005C346B"/>
    <w:rsid w:val="005C68A7"/>
    <w:rsid w:val="005C7984"/>
    <w:rsid w:val="005C7F65"/>
    <w:rsid w:val="005D044D"/>
    <w:rsid w:val="005D18AD"/>
    <w:rsid w:val="005D4489"/>
    <w:rsid w:val="005D5F49"/>
    <w:rsid w:val="005E02C5"/>
    <w:rsid w:val="005E0F7B"/>
    <w:rsid w:val="005E0FD1"/>
    <w:rsid w:val="005E29E9"/>
    <w:rsid w:val="005E4448"/>
    <w:rsid w:val="005E4F0F"/>
    <w:rsid w:val="005E73C0"/>
    <w:rsid w:val="005F0ED5"/>
    <w:rsid w:val="005F2706"/>
    <w:rsid w:val="005F6A8F"/>
    <w:rsid w:val="00600766"/>
    <w:rsid w:val="00601CBA"/>
    <w:rsid w:val="00607669"/>
    <w:rsid w:val="0061066D"/>
    <w:rsid w:val="00612F97"/>
    <w:rsid w:val="00614828"/>
    <w:rsid w:val="00616802"/>
    <w:rsid w:val="00617E12"/>
    <w:rsid w:val="00621477"/>
    <w:rsid w:val="00622FD0"/>
    <w:rsid w:val="00623738"/>
    <w:rsid w:val="00623FA3"/>
    <w:rsid w:val="0062531E"/>
    <w:rsid w:val="006271FC"/>
    <w:rsid w:val="00631D6B"/>
    <w:rsid w:val="0063479F"/>
    <w:rsid w:val="00635A13"/>
    <w:rsid w:val="006364A1"/>
    <w:rsid w:val="0063779A"/>
    <w:rsid w:val="00637BFD"/>
    <w:rsid w:val="00640709"/>
    <w:rsid w:val="00641D6A"/>
    <w:rsid w:val="00645351"/>
    <w:rsid w:val="006470D6"/>
    <w:rsid w:val="006471CC"/>
    <w:rsid w:val="006479C7"/>
    <w:rsid w:val="0065079F"/>
    <w:rsid w:val="00651188"/>
    <w:rsid w:val="00652FAB"/>
    <w:rsid w:val="00653F60"/>
    <w:rsid w:val="00654854"/>
    <w:rsid w:val="0065534D"/>
    <w:rsid w:val="00660E81"/>
    <w:rsid w:val="00662B7E"/>
    <w:rsid w:val="00667BCC"/>
    <w:rsid w:val="0067025A"/>
    <w:rsid w:val="00670A92"/>
    <w:rsid w:val="00674E42"/>
    <w:rsid w:val="006750C6"/>
    <w:rsid w:val="00677D44"/>
    <w:rsid w:val="00680FB1"/>
    <w:rsid w:val="0068160C"/>
    <w:rsid w:val="00681785"/>
    <w:rsid w:val="00682112"/>
    <w:rsid w:val="006872BA"/>
    <w:rsid w:val="006917D7"/>
    <w:rsid w:val="00691FFB"/>
    <w:rsid w:val="006927A2"/>
    <w:rsid w:val="00693E52"/>
    <w:rsid w:val="00694F44"/>
    <w:rsid w:val="006954B5"/>
    <w:rsid w:val="00697333"/>
    <w:rsid w:val="006A449A"/>
    <w:rsid w:val="006A4C17"/>
    <w:rsid w:val="006B15AA"/>
    <w:rsid w:val="006C2A8E"/>
    <w:rsid w:val="006C2C79"/>
    <w:rsid w:val="006C5B15"/>
    <w:rsid w:val="006D3AAB"/>
    <w:rsid w:val="006D3C7D"/>
    <w:rsid w:val="006D420C"/>
    <w:rsid w:val="006D4A84"/>
    <w:rsid w:val="006D5150"/>
    <w:rsid w:val="006D5D5F"/>
    <w:rsid w:val="006E2C7C"/>
    <w:rsid w:val="006E63DC"/>
    <w:rsid w:val="006F1B4A"/>
    <w:rsid w:val="006F307F"/>
    <w:rsid w:val="006F48AD"/>
    <w:rsid w:val="006F63A5"/>
    <w:rsid w:val="006F78A6"/>
    <w:rsid w:val="006F7F69"/>
    <w:rsid w:val="0070276E"/>
    <w:rsid w:val="00702F8F"/>
    <w:rsid w:val="00704404"/>
    <w:rsid w:val="00706966"/>
    <w:rsid w:val="00706968"/>
    <w:rsid w:val="00707001"/>
    <w:rsid w:val="00711A36"/>
    <w:rsid w:val="0071295E"/>
    <w:rsid w:val="00716C0B"/>
    <w:rsid w:val="007172AD"/>
    <w:rsid w:val="00717A2C"/>
    <w:rsid w:val="0072416F"/>
    <w:rsid w:val="00724FEE"/>
    <w:rsid w:val="00731F90"/>
    <w:rsid w:val="007333FC"/>
    <w:rsid w:val="0073356A"/>
    <w:rsid w:val="00734A44"/>
    <w:rsid w:val="00735328"/>
    <w:rsid w:val="00735C0E"/>
    <w:rsid w:val="0073685B"/>
    <w:rsid w:val="007402E5"/>
    <w:rsid w:val="007414C9"/>
    <w:rsid w:val="00742C1D"/>
    <w:rsid w:val="007430E2"/>
    <w:rsid w:val="00752EE9"/>
    <w:rsid w:val="00760064"/>
    <w:rsid w:val="00764131"/>
    <w:rsid w:val="007724B2"/>
    <w:rsid w:val="00773125"/>
    <w:rsid w:val="00780519"/>
    <w:rsid w:val="00784F71"/>
    <w:rsid w:val="0078519F"/>
    <w:rsid w:val="00793653"/>
    <w:rsid w:val="00795B02"/>
    <w:rsid w:val="00796612"/>
    <w:rsid w:val="007A055C"/>
    <w:rsid w:val="007A0A12"/>
    <w:rsid w:val="007A19CB"/>
    <w:rsid w:val="007A2288"/>
    <w:rsid w:val="007A258D"/>
    <w:rsid w:val="007A476B"/>
    <w:rsid w:val="007A52D5"/>
    <w:rsid w:val="007A5497"/>
    <w:rsid w:val="007A7287"/>
    <w:rsid w:val="007B251D"/>
    <w:rsid w:val="007B2F41"/>
    <w:rsid w:val="007B5986"/>
    <w:rsid w:val="007B777A"/>
    <w:rsid w:val="007B77D1"/>
    <w:rsid w:val="007B794A"/>
    <w:rsid w:val="007C015B"/>
    <w:rsid w:val="007C2921"/>
    <w:rsid w:val="007C3163"/>
    <w:rsid w:val="007C355E"/>
    <w:rsid w:val="007C361D"/>
    <w:rsid w:val="007C37B1"/>
    <w:rsid w:val="007D0B38"/>
    <w:rsid w:val="007D2856"/>
    <w:rsid w:val="007D58F5"/>
    <w:rsid w:val="007E0B2E"/>
    <w:rsid w:val="007E1155"/>
    <w:rsid w:val="007E1C46"/>
    <w:rsid w:val="007E4D48"/>
    <w:rsid w:val="007E7E80"/>
    <w:rsid w:val="007F0522"/>
    <w:rsid w:val="007F1017"/>
    <w:rsid w:val="007F141F"/>
    <w:rsid w:val="007F41FB"/>
    <w:rsid w:val="007F4A3F"/>
    <w:rsid w:val="007F61CF"/>
    <w:rsid w:val="008004A3"/>
    <w:rsid w:val="00800BB1"/>
    <w:rsid w:val="00805142"/>
    <w:rsid w:val="00807A8B"/>
    <w:rsid w:val="00812149"/>
    <w:rsid w:val="008124D6"/>
    <w:rsid w:val="00812CCE"/>
    <w:rsid w:val="008135CD"/>
    <w:rsid w:val="008149FF"/>
    <w:rsid w:val="00815F17"/>
    <w:rsid w:val="008166EF"/>
    <w:rsid w:val="00820B9F"/>
    <w:rsid w:val="00822370"/>
    <w:rsid w:val="008229A4"/>
    <w:rsid w:val="00823211"/>
    <w:rsid w:val="00824AA7"/>
    <w:rsid w:val="008264EB"/>
    <w:rsid w:val="00833112"/>
    <w:rsid w:val="00833B05"/>
    <w:rsid w:val="00834191"/>
    <w:rsid w:val="00836F08"/>
    <w:rsid w:val="00837656"/>
    <w:rsid w:val="00840CA2"/>
    <w:rsid w:val="008410ED"/>
    <w:rsid w:val="00843608"/>
    <w:rsid w:val="0084665A"/>
    <w:rsid w:val="00846BF0"/>
    <w:rsid w:val="00852529"/>
    <w:rsid w:val="00853B03"/>
    <w:rsid w:val="008547BF"/>
    <w:rsid w:val="00856E9A"/>
    <w:rsid w:val="008573A3"/>
    <w:rsid w:val="00861C3F"/>
    <w:rsid w:val="00862502"/>
    <w:rsid w:val="00863489"/>
    <w:rsid w:val="00863EE1"/>
    <w:rsid w:val="00864C14"/>
    <w:rsid w:val="00865533"/>
    <w:rsid w:val="00870EFE"/>
    <w:rsid w:val="00871324"/>
    <w:rsid w:val="00876BC8"/>
    <w:rsid w:val="008806B4"/>
    <w:rsid w:val="00882874"/>
    <w:rsid w:val="00883787"/>
    <w:rsid w:val="00883C7E"/>
    <w:rsid w:val="008850B2"/>
    <w:rsid w:val="008868DE"/>
    <w:rsid w:val="0088697B"/>
    <w:rsid w:val="008873F6"/>
    <w:rsid w:val="00893F42"/>
    <w:rsid w:val="00894489"/>
    <w:rsid w:val="00894BC0"/>
    <w:rsid w:val="008963A5"/>
    <w:rsid w:val="00896CB3"/>
    <w:rsid w:val="008A23DE"/>
    <w:rsid w:val="008A3BB0"/>
    <w:rsid w:val="008A3C3E"/>
    <w:rsid w:val="008A79DE"/>
    <w:rsid w:val="008B352F"/>
    <w:rsid w:val="008B5136"/>
    <w:rsid w:val="008B53B2"/>
    <w:rsid w:val="008B5816"/>
    <w:rsid w:val="008B7D7E"/>
    <w:rsid w:val="008C70D5"/>
    <w:rsid w:val="008C7ECB"/>
    <w:rsid w:val="008D094F"/>
    <w:rsid w:val="008D1485"/>
    <w:rsid w:val="008D1D98"/>
    <w:rsid w:val="008D228C"/>
    <w:rsid w:val="008D46E8"/>
    <w:rsid w:val="008D4E5E"/>
    <w:rsid w:val="008D71DA"/>
    <w:rsid w:val="008E0F20"/>
    <w:rsid w:val="008E1B9E"/>
    <w:rsid w:val="008E27F5"/>
    <w:rsid w:val="008E39E5"/>
    <w:rsid w:val="008E5343"/>
    <w:rsid w:val="008F120A"/>
    <w:rsid w:val="008F2018"/>
    <w:rsid w:val="008F3851"/>
    <w:rsid w:val="008F48EB"/>
    <w:rsid w:val="008F4F0B"/>
    <w:rsid w:val="008F68B5"/>
    <w:rsid w:val="00900245"/>
    <w:rsid w:val="0090109C"/>
    <w:rsid w:val="00904301"/>
    <w:rsid w:val="009062A5"/>
    <w:rsid w:val="00911272"/>
    <w:rsid w:val="00913B5A"/>
    <w:rsid w:val="009164A0"/>
    <w:rsid w:val="00916D7B"/>
    <w:rsid w:val="00923D44"/>
    <w:rsid w:val="009242F5"/>
    <w:rsid w:val="00924C1B"/>
    <w:rsid w:val="00930629"/>
    <w:rsid w:val="00930ED3"/>
    <w:rsid w:val="00930F45"/>
    <w:rsid w:val="00931284"/>
    <w:rsid w:val="00935F90"/>
    <w:rsid w:val="0094032D"/>
    <w:rsid w:val="00942F18"/>
    <w:rsid w:val="009437B7"/>
    <w:rsid w:val="009443C4"/>
    <w:rsid w:val="00944D88"/>
    <w:rsid w:val="009508EC"/>
    <w:rsid w:val="009521BC"/>
    <w:rsid w:val="009616C1"/>
    <w:rsid w:val="00961DDF"/>
    <w:rsid w:val="00962CB9"/>
    <w:rsid w:val="00962D3B"/>
    <w:rsid w:val="00963B14"/>
    <w:rsid w:val="00964312"/>
    <w:rsid w:val="00964715"/>
    <w:rsid w:val="00967461"/>
    <w:rsid w:val="009706E9"/>
    <w:rsid w:val="009736E6"/>
    <w:rsid w:val="00981474"/>
    <w:rsid w:val="009827D6"/>
    <w:rsid w:val="00983E57"/>
    <w:rsid w:val="00984563"/>
    <w:rsid w:val="00984F76"/>
    <w:rsid w:val="009866C7"/>
    <w:rsid w:val="00991EE4"/>
    <w:rsid w:val="00994043"/>
    <w:rsid w:val="009948B7"/>
    <w:rsid w:val="009952D4"/>
    <w:rsid w:val="00995F7D"/>
    <w:rsid w:val="00996B1A"/>
    <w:rsid w:val="00996F8B"/>
    <w:rsid w:val="00997770"/>
    <w:rsid w:val="009979C1"/>
    <w:rsid w:val="009A007E"/>
    <w:rsid w:val="009A1DD8"/>
    <w:rsid w:val="009A4F10"/>
    <w:rsid w:val="009A5FBB"/>
    <w:rsid w:val="009B0369"/>
    <w:rsid w:val="009B0ED4"/>
    <w:rsid w:val="009B1905"/>
    <w:rsid w:val="009B1F78"/>
    <w:rsid w:val="009B3E26"/>
    <w:rsid w:val="009C1C6A"/>
    <w:rsid w:val="009C44D0"/>
    <w:rsid w:val="009C4A37"/>
    <w:rsid w:val="009D2C7B"/>
    <w:rsid w:val="009D34F3"/>
    <w:rsid w:val="009D3F68"/>
    <w:rsid w:val="009D5A30"/>
    <w:rsid w:val="009D5B91"/>
    <w:rsid w:val="009D660E"/>
    <w:rsid w:val="009E11A6"/>
    <w:rsid w:val="009E153B"/>
    <w:rsid w:val="009E3229"/>
    <w:rsid w:val="009E4443"/>
    <w:rsid w:val="009E48CF"/>
    <w:rsid w:val="009E4C07"/>
    <w:rsid w:val="009E6E9E"/>
    <w:rsid w:val="009F0B8E"/>
    <w:rsid w:val="009F0F03"/>
    <w:rsid w:val="009F1C18"/>
    <w:rsid w:val="009F2931"/>
    <w:rsid w:val="009F4ABB"/>
    <w:rsid w:val="009F4B40"/>
    <w:rsid w:val="009F6BC7"/>
    <w:rsid w:val="009F7833"/>
    <w:rsid w:val="00A0071A"/>
    <w:rsid w:val="00A01082"/>
    <w:rsid w:val="00A01448"/>
    <w:rsid w:val="00A020B4"/>
    <w:rsid w:val="00A02D66"/>
    <w:rsid w:val="00A03D43"/>
    <w:rsid w:val="00A04380"/>
    <w:rsid w:val="00A12644"/>
    <w:rsid w:val="00A12DC2"/>
    <w:rsid w:val="00A13948"/>
    <w:rsid w:val="00A15833"/>
    <w:rsid w:val="00A21145"/>
    <w:rsid w:val="00A23209"/>
    <w:rsid w:val="00A27AEC"/>
    <w:rsid w:val="00A31035"/>
    <w:rsid w:val="00A31B5C"/>
    <w:rsid w:val="00A344A1"/>
    <w:rsid w:val="00A35D16"/>
    <w:rsid w:val="00A43C59"/>
    <w:rsid w:val="00A4471B"/>
    <w:rsid w:val="00A504CB"/>
    <w:rsid w:val="00A50DEB"/>
    <w:rsid w:val="00A50ECD"/>
    <w:rsid w:val="00A52729"/>
    <w:rsid w:val="00A53062"/>
    <w:rsid w:val="00A53587"/>
    <w:rsid w:val="00A53675"/>
    <w:rsid w:val="00A548DE"/>
    <w:rsid w:val="00A54F00"/>
    <w:rsid w:val="00A54F1A"/>
    <w:rsid w:val="00A5501E"/>
    <w:rsid w:val="00A56B6A"/>
    <w:rsid w:val="00A578DC"/>
    <w:rsid w:val="00A6234B"/>
    <w:rsid w:val="00A6299B"/>
    <w:rsid w:val="00A62C70"/>
    <w:rsid w:val="00A62FFA"/>
    <w:rsid w:val="00A66490"/>
    <w:rsid w:val="00A6725B"/>
    <w:rsid w:val="00A74485"/>
    <w:rsid w:val="00A744EC"/>
    <w:rsid w:val="00A761FD"/>
    <w:rsid w:val="00A82943"/>
    <w:rsid w:val="00A86E8B"/>
    <w:rsid w:val="00A91E96"/>
    <w:rsid w:val="00A92DA8"/>
    <w:rsid w:val="00A93072"/>
    <w:rsid w:val="00A959D8"/>
    <w:rsid w:val="00A95D1F"/>
    <w:rsid w:val="00A978B2"/>
    <w:rsid w:val="00AA18BE"/>
    <w:rsid w:val="00AA30F6"/>
    <w:rsid w:val="00AA35F0"/>
    <w:rsid w:val="00AA459A"/>
    <w:rsid w:val="00AB042A"/>
    <w:rsid w:val="00AB1213"/>
    <w:rsid w:val="00AB2D34"/>
    <w:rsid w:val="00AB3430"/>
    <w:rsid w:val="00AB6BE0"/>
    <w:rsid w:val="00AB79F2"/>
    <w:rsid w:val="00AB7CFA"/>
    <w:rsid w:val="00AC026A"/>
    <w:rsid w:val="00AC0BAB"/>
    <w:rsid w:val="00AC23EE"/>
    <w:rsid w:val="00AC52DC"/>
    <w:rsid w:val="00AC5F81"/>
    <w:rsid w:val="00AC76A7"/>
    <w:rsid w:val="00AD290A"/>
    <w:rsid w:val="00AD3961"/>
    <w:rsid w:val="00AD434A"/>
    <w:rsid w:val="00AD5CBD"/>
    <w:rsid w:val="00AD6457"/>
    <w:rsid w:val="00AD6D00"/>
    <w:rsid w:val="00AD6FA7"/>
    <w:rsid w:val="00AE4882"/>
    <w:rsid w:val="00AE7D4E"/>
    <w:rsid w:val="00AF318D"/>
    <w:rsid w:val="00AF4159"/>
    <w:rsid w:val="00B01A9F"/>
    <w:rsid w:val="00B0370E"/>
    <w:rsid w:val="00B037C6"/>
    <w:rsid w:val="00B110A2"/>
    <w:rsid w:val="00B1328A"/>
    <w:rsid w:val="00B1387C"/>
    <w:rsid w:val="00B13E20"/>
    <w:rsid w:val="00B20B9E"/>
    <w:rsid w:val="00B25ED5"/>
    <w:rsid w:val="00B26DE0"/>
    <w:rsid w:val="00B2723C"/>
    <w:rsid w:val="00B37B69"/>
    <w:rsid w:val="00B413C0"/>
    <w:rsid w:val="00B4241E"/>
    <w:rsid w:val="00B42851"/>
    <w:rsid w:val="00B43C27"/>
    <w:rsid w:val="00B50C6B"/>
    <w:rsid w:val="00B50DB8"/>
    <w:rsid w:val="00B53281"/>
    <w:rsid w:val="00B53905"/>
    <w:rsid w:val="00B54B5B"/>
    <w:rsid w:val="00B5562E"/>
    <w:rsid w:val="00B5587D"/>
    <w:rsid w:val="00B55BF6"/>
    <w:rsid w:val="00B56384"/>
    <w:rsid w:val="00B57000"/>
    <w:rsid w:val="00B60939"/>
    <w:rsid w:val="00B60AFD"/>
    <w:rsid w:val="00B62715"/>
    <w:rsid w:val="00B6460A"/>
    <w:rsid w:val="00B648D9"/>
    <w:rsid w:val="00B67229"/>
    <w:rsid w:val="00B70D87"/>
    <w:rsid w:val="00B733A4"/>
    <w:rsid w:val="00B809D4"/>
    <w:rsid w:val="00B818A4"/>
    <w:rsid w:val="00B8649C"/>
    <w:rsid w:val="00B87148"/>
    <w:rsid w:val="00B910CA"/>
    <w:rsid w:val="00B92D0B"/>
    <w:rsid w:val="00B93BC7"/>
    <w:rsid w:val="00B947EB"/>
    <w:rsid w:val="00B94945"/>
    <w:rsid w:val="00B9494E"/>
    <w:rsid w:val="00B959F6"/>
    <w:rsid w:val="00B96F3E"/>
    <w:rsid w:val="00BA1981"/>
    <w:rsid w:val="00BA19EE"/>
    <w:rsid w:val="00BA1F46"/>
    <w:rsid w:val="00BA2556"/>
    <w:rsid w:val="00BB7405"/>
    <w:rsid w:val="00BB78E9"/>
    <w:rsid w:val="00BC0332"/>
    <w:rsid w:val="00BC2ED5"/>
    <w:rsid w:val="00BC3BD8"/>
    <w:rsid w:val="00BC41BB"/>
    <w:rsid w:val="00BC7036"/>
    <w:rsid w:val="00BD001A"/>
    <w:rsid w:val="00BD2182"/>
    <w:rsid w:val="00BD28C0"/>
    <w:rsid w:val="00BD2A92"/>
    <w:rsid w:val="00BD2B68"/>
    <w:rsid w:val="00BD6CF3"/>
    <w:rsid w:val="00BE04E4"/>
    <w:rsid w:val="00BE11E8"/>
    <w:rsid w:val="00BE2180"/>
    <w:rsid w:val="00BE3407"/>
    <w:rsid w:val="00BE4275"/>
    <w:rsid w:val="00BF02EA"/>
    <w:rsid w:val="00BF03B5"/>
    <w:rsid w:val="00BF2005"/>
    <w:rsid w:val="00BF2433"/>
    <w:rsid w:val="00BF5447"/>
    <w:rsid w:val="00BF61C9"/>
    <w:rsid w:val="00C1143F"/>
    <w:rsid w:val="00C11996"/>
    <w:rsid w:val="00C13489"/>
    <w:rsid w:val="00C15690"/>
    <w:rsid w:val="00C178E9"/>
    <w:rsid w:val="00C25418"/>
    <w:rsid w:val="00C254AF"/>
    <w:rsid w:val="00C25D9C"/>
    <w:rsid w:val="00C25E87"/>
    <w:rsid w:val="00C274DD"/>
    <w:rsid w:val="00C27A3B"/>
    <w:rsid w:val="00C31649"/>
    <w:rsid w:val="00C33120"/>
    <w:rsid w:val="00C354B2"/>
    <w:rsid w:val="00C40385"/>
    <w:rsid w:val="00C41D35"/>
    <w:rsid w:val="00C44D2E"/>
    <w:rsid w:val="00C4528A"/>
    <w:rsid w:val="00C50BEA"/>
    <w:rsid w:val="00C526F2"/>
    <w:rsid w:val="00C531A5"/>
    <w:rsid w:val="00C552EC"/>
    <w:rsid w:val="00C60204"/>
    <w:rsid w:val="00C629BA"/>
    <w:rsid w:val="00C6535E"/>
    <w:rsid w:val="00C6547F"/>
    <w:rsid w:val="00C65576"/>
    <w:rsid w:val="00C65910"/>
    <w:rsid w:val="00C66165"/>
    <w:rsid w:val="00C66F0D"/>
    <w:rsid w:val="00C71E68"/>
    <w:rsid w:val="00C74C32"/>
    <w:rsid w:val="00C74D89"/>
    <w:rsid w:val="00C750C8"/>
    <w:rsid w:val="00C765CB"/>
    <w:rsid w:val="00C803CD"/>
    <w:rsid w:val="00C810CC"/>
    <w:rsid w:val="00C8213F"/>
    <w:rsid w:val="00C82337"/>
    <w:rsid w:val="00C857BC"/>
    <w:rsid w:val="00C864B4"/>
    <w:rsid w:val="00C86ABB"/>
    <w:rsid w:val="00C8797A"/>
    <w:rsid w:val="00C9062C"/>
    <w:rsid w:val="00C926BB"/>
    <w:rsid w:val="00C9350E"/>
    <w:rsid w:val="00C9380F"/>
    <w:rsid w:val="00C938CF"/>
    <w:rsid w:val="00C95D2E"/>
    <w:rsid w:val="00C963CA"/>
    <w:rsid w:val="00CA1C90"/>
    <w:rsid w:val="00CA3142"/>
    <w:rsid w:val="00CA40B7"/>
    <w:rsid w:val="00CA5245"/>
    <w:rsid w:val="00CA558E"/>
    <w:rsid w:val="00CA5F4B"/>
    <w:rsid w:val="00CA7B09"/>
    <w:rsid w:val="00CB0C0E"/>
    <w:rsid w:val="00CB1737"/>
    <w:rsid w:val="00CB54FE"/>
    <w:rsid w:val="00CB5B1A"/>
    <w:rsid w:val="00CC0F4F"/>
    <w:rsid w:val="00CC14DF"/>
    <w:rsid w:val="00CC209C"/>
    <w:rsid w:val="00CC26C4"/>
    <w:rsid w:val="00CC5620"/>
    <w:rsid w:val="00CC5DB7"/>
    <w:rsid w:val="00CC5E87"/>
    <w:rsid w:val="00CC7D7F"/>
    <w:rsid w:val="00CD0BC9"/>
    <w:rsid w:val="00CD1F99"/>
    <w:rsid w:val="00CD3B52"/>
    <w:rsid w:val="00CD6ADC"/>
    <w:rsid w:val="00CE1E6A"/>
    <w:rsid w:val="00CE30DA"/>
    <w:rsid w:val="00CE6274"/>
    <w:rsid w:val="00CF1288"/>
    <w:rsid w:val="00CF456B"/>
    <w:rsid w:val="00CF4D7A"/>
    <w:rsid w:val="00CF5A22"/>
    <w:rsid w:val="00CF5DA1"/>
    <w:rsid w:val="00CF70CA"/>
    <w:rsid w:val="00CF77C4"/>
    <w:rsid w:val="00D0192C"/>
    <w:rsid w:val="00D0262E"/>
    <w:rsid w:val="00D07D59"/>
    <w:rsid w:val="00D1036C"/>
    <w:rsid w:val="00D110BD"/>
    <w:rsid w:val="00D12A4D"/>
    <w:rsid w:val="00D132E3"/>
    <w:rsid w:val="00D135AA"/>
    <w:rsid w:val="00D17D6C"/>
    <w:rsid w:val="00D2759A"/>
    <w:rsid w:val="00D277F1"/>
    <w:rsid w:val="00D277FE"/>
    <w:rsid w:val="00D309B0"/>
    <w:rsid w:val="00D34643"/>
    <w:rsid w:val="00D34999"/>
    <w:rsid w:val="00D357FF"/>
    <w:rsid w:val="00D40E1A"/>
    <w:rsid w:val="00D41F8F"/>
    <w:rsid w:val="00D4265D"/>
    <w:rsid w:val="00D44398"/>
    <w:rsid w:val="00D4489E"/>
    <w:rsid w:val="00D47A4B"/>
    <w:rsid w:val="00D51CE8"/>
    <w:rsid w:val="00D5278D"/>
    <w:rsid w:val="00D52F72"/>
    <w:rsid w:val="00D5413C"/>
    <w:rsid w:val="00D55092"/>
    <w:rsid w:val="00D5668A"/>
    <w:rsid w:val="00D56879"/>
    <w:rsid w:val="00D57D24"/>
    <w:rsid w:val="00D60C48"/>
    <w:rsid w:val="00D72EA5"/>
    <w:rsid w:val="00D74847"/>
    <w:rsid w:val="00D754F5"/>
    <w:rsid w:val="00D76A44"/>
    <w:rsid w:val="00D77C1D"/>
    <w:rsid w:val="00D83BBF"/>
    <w:rsid w:val="00D87509"/>
    <w:rsid w:val="00D87D87"/>
    <w:rsid w:val="00D908F0"/>
    <w:rsid w:val="00D90E1D"/>
    <w:rsid w:val="00D93095"/>
    <w:rsid w:val="00D93124"/>
    <w:rsid w:val="00D93753"/>
    <w:rsid w:val="00D9430F"/>
    <w:rsid w:val="00D94EE3"/>
    <w:rsid w:val="00D9586E"/>
    <w:rsid w:val="00D97E30"/>
    <w:rsid w:val="00DA2CAC"/>
    <w:rsid w:val="00DA644D"/>
    <w:rsid w:val="00DA77A5"/>
    <w:rsid w:val="00DB0F80"/>
    <w:rsid w:val="00DB12A3"/>
    <w:rsid w:val="00DB5AAF"/>
    <w:rsid w:val="00DB6EA4"/>
    <w:rsid w:val="00DB70C9"/>
    <w:rsid w:val="00DC0A9B"/>
    <w:rsid w:val="00DC10E6"/>
    <w:rsid w:val="00DC116D"/>
    <w:rsid w:val="00DC1760"/>
    <w:rsid w:val="00DC2172"/>
    <w:rsid w:val="00DC2D12"/>
    <w:rsid w:val="00DC2F19"/>
    <w:rsid w:val="00DC4149"/>
    <w:rsid w:val="00DC419D"/>
    <w:rsid w:val="00DC5159"/>
    <w:rsid w:val="00DC5501"/>
    <w:rsid w:val="00DC5B87"/>
    <w:rsid w:val="00DC6375"/>
    <w:rsid w:val="00DC6EAA"/>
    <w:rsid w:val="00DC73C1"/>
    <w:rsid w:val="00DD157C"/>
    <w:rsid w:val="00DD162D"/>
    <w:rsid w:val="00DD39DA"/>
    <w:rsid w:val="00DD3B9B"/>
    <w:rsid w:val="00DD3F28"/>
    <w:rsid w:val="00DD4092"/>
    <w:rsid w:val="00DD4537"/>
    <w:rsid w:val="00DD4E15"/>
    <w:rsid w:val="00DD526D"/>
    <w:rsid w:val="00DD5902"/>
    <w:rsid w:val="00DD73B8"/>
    <w:rsid w:val="00DE21F6"/>
    <w:rsid w:val="00DE335C"/>
    <w:rsid w:val="00DE4FCB"/>
    <w:rsid w:val="00DE61DD"/>
    <w:rsid w:val="00DF04EB"/>
    <w:rsid w:val="00DF183D"/>
    <w:rsid w:val="00DF1D61"/>
    <w:rsid w:val="00DF2F74"/>
    <w:rsid w:val="00DF5D2B"/>
    <w:rsid w:val="00DF5DEA"/>
    <w:rsid w:val="00DF6D18"/>
    <w:rsid w:val="00DF6D62"/>
    <w:rsid w:val="00E02A43"/>
    <w:rsid w:val="00E02EAE"/>
    <w:rsid w:val="00E03577"/>
    <w:rsid w:val="00E04F5A"/>
    <w:rsid w:val="00E056D7"/>
    <w:rsid w:val="00E07B4A"/>
    <w:rsid w:val="00E07F86"/>
    <w:rsid w:val="00E10149"/>
    <w:rsid w:val="00E101DC"/>
    <w:rsid w:val="00E10CEE"/>
    <w:rsid w:val="00E135BF"/>
    <w:rsid w:val="00E14FFA"/>
    <w:rsid w:val="00E15EA9"/>
    <w:rsid w:val="00E16372"/>
    <w:rsid w:val="00E2041D"/>
    <w:rsid w:val="00E2088F"/>
    <w:rsid w:val="00E2098F"/>
    <w:rsid w:val="00E20ED6"/>
    <w:rsid w:val="00E21358"/>
    <w:rsid w:val="00E2249B"/>
    <w:rsid w:val="00E22A0D"/>
    <w:rsid w:val="00E23149"/>
    <w:rsid w:val="00E2771E"/>
    <w:rsid w:val="00E30D05"/>
    <w:rsid w:val="00E32E30"/>
    <w:rsid w:val="00E33BA6"/>
    <w:rsid w:val="00E34328"/>
    <w:rsid w:val="00E3491F"/>
    <w:rsid w:val="00E3606D"/>
    <w:rsid w:val="00E37569"/>
    <w:rsid w:val="00E37750"/>
    <w:rsid w:val="00E40307"/>
    <w:rsid w:val="00E41E30"/>
    <w:rsid w:val="00E42B39"/>
    <w:rsid w:val="00E43D70"/>
    <w:rsid w:val="00E44D7D"/>
    <w:rsid w:val="00E4742F"/>
    <w:rsid w:val="00E47B2C"/>
    <w:rsid w:val="00E5078A"/>
    <w:rsid w:val="00E51560"/>
    <w:rsid w:val="00E531DE"/>
    <w:rsid w:val="00E532D2"/>
    <w:rsid w:val="00E54BE7"/>
    <w:rsid w:val="00E55424"/>
    <w:rsid w:val="00E558D1"/>
    <w:rsid w:val="00E55BB5"/>
    <w:rsid w:val="00E5745D"/>
    <w:rsid w:val="00E633CA"/>
    <w:rsid w:val="00E65698"/>
    <w:rsid w:val="00E65E79"/>
    <w:rsid w:val="00E67416"/>
    <w:rsid w:val="00E6758C"/>
    <w:rsid w:val="00E718B6"/>
    <w:rsid w:val="00E7275C"/>
    <w:rsid w:val="00E73581"/>
    <w:rsid w:val="00E83BDF"/>
    <w:rsid w:val="00E84D2A"/>
    <w:rsid w:val="00E901A6"/>
    <w:rsid w:val="00E90DE9"/>
    <w:rsid w:val="00E91F5A"/>
    <w:rsid w:val="00E92BBF"/>
    <w:rsid w:val="00E936E5"/>
    <w:rsid w:val="00E93D2D"/>
    <w:rsid w:val="00E95087"/>
    <w:rsid w:val="00E9515B"/>
    <w:rsid w:val="00E96285"/>
    <w:rsid w:val="00E9759F"/>
    <w:rsid w:val="00E97C8D"/>
    <w:rsid w:val="00EA1C8F"/>
    <w:rsid w:val="00EA21DC"/>
    <w:rsid w:val="00EA3864"/>
    <w:rsid w:val="00EA3977"/>
    <w:rsid w:val="00EA3DB2"/>
    <w:rsid w:val="00EA3F43"/>
    <w:rsid w:val="00EB15B6"/>
    <w:rsid w:val="00EB2C24"/>
    <w:rsid w:val="00EB3895"/>
    <w:rsid w:val="00EB3C0C"/>
    <w:rsid w:val="00EB45F8"/>
    <w:rsid w:val="00EB4916"/>
    <w:rsid w:val="00EC00C9"/>
    <w:rsid w:val="00EC0AFE"/>
    <w:rsid w:val="00EC2F9E"/>
    <w:rsid w:val="00EC3385"/>
    <w:rsid w:val="00EC4C8F"/>
    <w:rsid w:val="00EC4E1D"/>
    <w:rsid w:val="00EC5880"/>
    <w:rsid w:val="00EC5BF5"/>
    <w:rsid w:val="00EC6312"/>
    <w:rsid w:val="00ED0753"/>
    <w:rsid w:val="00ED0CE6"/>
    <w:rsid w:val="00ED1625"/>
    <w:rsid w:val="00ED3426"/>
    <w:rsid w:val="00ED4014"/>
    <w:rsid w:val="00ED409D"/>
    <w:rsid w:val="00ED5947"/>
    <w:rsid w:val="00ED6FE6"/>
    <w:rsid w:val="00ED7425"/>
    <w:rsid w:val="00EE0486"/>
    <w:rsid w:val="00EE07D3"/>
    <w:rsid w:val="00EE0829"/>
    <w:rsid w:val="00EE30C1"/>
    <w:rsid w:val="00EE4D6C"/>
    <w:rsid w:val="00EF1525"/>
    <w:rsid w:val="00EF2E4A"/>
    <w:rsid w:val="00EF3D0F"/>
    <w:rsid w:val="00EF5A0E"/>
    <w:rsid w:val="00F00000"/>
    <w:rsid w:val="00F00DC2"/>
    <w:rsid w:val="00F04387"/>
    <w:rsid w:val="00F067A2"/>
    <w:rsid w:val="00F10DFA"/>
    <w:rsid w:val="00F1140D"/>
    <w:rsid w:val="00F156F1"/>
    <w:rsid w:val="00F16420"/>
    <w:rsid w:val="00F165A7"/>
    <w:rsid w:val="00F170D9"/>
    <w:rsid w:val="00F229C9"/>
    <w:rsid w:val="00F24837"/>
    <w:rsid w:val="00F2575F"/>
    <w:rsid w:val="00F26715"/>
    <w:rsid w:val="00F33DE9"/>
    <w:rsid w:val="00F34EE0"/>
    <w:rsid w:val="00F355C3"/>
    <w:rsid w:val="00F3619A"/>
    <w:rsid w:val="00F3767F"/>
    <w:rsid w:val="00F41D79"/>
    <w:rsid w:val="00F46CB6"/>
    <w:rsid w:val="00F471CF"/>
    <w:rsid w:val="00F50AAE"/>
    <w:rsid w:val="00F52EFE"/>
    <w:rsid w:val="00F5323E"/>
    <w:rsid w:val="00F543F9"/>
    <w:rsid w:val="00F55BA0"/>
    <w:rsid w:val="00F55E73"/>
    <w:rsid w:val="00F56048"/>
    <w:rsid w:val="00F57F57"/>
    <w:rsid w:val="00F60092"/>
    <w:rsid w:val="00F6068C"/>
    <w:rsid w:val="00F60C7F"/>
    <w:rsid w:val="00F616BC"/>
    <w:rsid w:val="00F61A43"/>
    <w:rsid w:val="00F61FB3"/>
    <w:rsid w:val="00F650C8"/>
    <w:rsid w:val="00F70ADA"/>
    <w:rsid w:val="00F759D2"/>
    <w:rsid w:val="00F76846"/>
    <w:rsid w:val="00F8042B"/>
    <w:rsid w:val="00F80B0E"/>
    <w:rsid w:val="00F80E5D"/>
    <w:rsid w:val="00F82444"/>
    <w:rsid w:val="00F851CE"/>
    <w:rsid w:val="00F852A2"/>
    <w:rsid w:val="00F87376"/>
    <w:rsid w:val="00F9076A"/>
    <w:rsid w:val="00F91C14"/>
    <w:rsid w:val="00F933DC"/>
    <w:rsid w:val="00F93BF2"/>
    <w:rsid w:val="00F943A5"/>
    <w:rsid w:val="00F94B4D"/>
    <w:rsid w:val="00F97A78"/>
    <w:rsid w:val="00FA1EDF"/>
    <w:rsid w:val="00FA227E"/>
    <w:rsid w:val="00FA24E7"/>
    <w:rsid w:val="00FB03E1"/>
    <w:rsid w:val="00FB2B26"/>
    <w:rsid w:val="00FB2FCB"/>
    <w:rsid w:val="00FB3501"/>
    <w:rsid w:val="00FB486F"/>
    <w:rsid w:val="00FB6710"/>
    <w:rsid w:val="00FB6A5A"/>
    <w:rsid w:val="00FB73D9"/>
    <w:rsid w:val="00FB785A"/>
    <w:rsid w:val="00FC1074"/>
    <w:rsid w:val="00FC1884"/>
    <w:rsid w:val="00FC2310"/>
    <w:rsid w:val="00FC2CBD"/>
    <w:rsid w:val="00FC4027"/>
    <w:rsid w:val="00FC6FBA"/>
    <w:rsid w:val="00FD08DE"/>
    <w:rsid w:val="00FD2100"/>
    <w:rsid w:val="00FD446D"/>
    <w:rsid w:val="00FD6F8D"/>
    <w:rsid w:val="00FD7872"/>
    <w:rsid w:val="00FD7BCB"/>
    <w:rsid w:val="00FE1FDC"/>
    <w:rsid w:val="00FE2DC7"/>
    <w:rsid w:val="00FF048F"/>
    <w:rsid w:val="00FF1B36"/>
    <w:rsid w:val="00FF2429"/>
    <w:rsid w:val="00FF3DCF"/>
    <w:rsid w:val="00FF5AA3"/>
    <w:rsid w:val="00FF5C55"/>
    <w:rsid w:val="00FF789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5" w:unhideWhenUsed="0" w:qFormat="1"/>
    <w:lsdException w:name="heading 5" w:semiHidden="0" w:uiPriority="7" w:unhideWhenUsed="0" w:qFormat="1"/>
    <w:lsdException w:name="heading 6" w:semiHidden="0" w:uiPriority="7" w:unhideWhenUsed="0" w:qFormat="1"/>
    <w:lsdException w:name="heading 7" w:uiPriority="7" w:qFormat="1"/>
    <w:lsdException w:name="heading 8" w:uiPriority="7" w:qFormat="1"/>
    <w:lsdException w:name="heading 9" w:uiPriority="7" w:qFormat="1"/>
    <w:lsdException w:name="toc 1" w:uiPriority="39"/>
    <w:lsdException w:name="toc 2" w:uiPriority="39"/>
    <w:lsdException w:name="toc 3" w:uiPriority="39"/>
    <w:lsdException w:name="toc 4" w:uiPriority="9"/>
    <w:lsdException w:name="toc 5" w:uiPriority="9"/>
    <w:lsdException w:name="toc 6" w:uiPriority="9"/>
    <w:lsdException w:name="toc 7" w:uiPriority="9"/>
    <w:lsdException w:name="toc 8" w:uiPriority="9"/>
    <w:lsdException w:name="toc 9" w:uiPriority="9"/>
    <w:lsdException w:name="annotation text" w:uiPriority="99"/>
    <w:lsdException w:name="header" w:uiPriority="99"/>
    <w:lsdException w:name="footer" w:uiPriority="99"/>
    <w:lsdException w:name="caption" w:uiPriority="99" w:qFormat="1"/>
    <w:lsdException w:name="annotation reference" w:uiPriority="99" w:qFormat="1"/>
    <w:lsdException w:name="List Number" w:semiHidden="0" w:uiPriority="9" w:unhideWhenUsed="0"/>
    <w:lsdException w:name="List 4" w:semiHidden="0" w:uiPriority="9" w:unhideWhenUsed="0"/>
    <w:lsdException w:name="List 5" w:semiHidden="0" w:uiPriority="9" w:unhideWhenUsed="0"/>
    <w:lsdException w:name="Title" w:semiHidden="0" w:uiPriority="7" w:unhideWhenUsed="0"/>
    <w:lsdException w:name="Body Text" w:uiPriority="9"/>
    <w:lsdException w:name="Body Text Indent" w:uiPriority="9"/>
    <w:lsdException w:name="Subtitle" w:semiHidden="0" w:uiPriority="11" w:unhideWhenUsed="0" w:qFormat="1"/>
    <w:lsdException w:name="Salutation" w:semiHidden="0" w:uiPriority="9" w:unhideWhenUsed="0"/>
    <w:lsdException w:name="Date" w:semiHidden="0" w:uiPriority="9" w:unhideWhenUsed="0"/>
    <w:lsdException w:name="Body Text First Indent" w:semiHidden="0" w:uiPriority="9" w:unhideWhenUsed="0"/>
    <w:lsdException w:name="Body Text 2" w:uiPriority="9"/>
    <w:lsdException w:name="Body Text 3" w:uiPriority="9"/>
    <w:lsdException w:name="Hyperlink" w:uiPriority="99"/>
    <w:lsdException w:name="Strong" w:semiHidden="0" w:uiPriority="9" w:unhideWhenUsed="0"/>
    <w:lsdException w:name="Emphasis" w:semiHidden="0" w:uiPriority="9" w:unhideWhenUsed="0"/>
    <w:lsdException w:name="Normal (Web)" w:uiPriority="99"/>
    <w:lsdException w:name="annotation subject" w:uiPriority="9"/>
    <w:lsdException w:name="No List" w:uiPriority="99"/>
    <w:lsdException w:name="Balloon Text" w:uiPriority="9"/>
    <w:lsdException w:name="Table Grid" w:semiHidden="0" w:unhideWhenUsed="0"/>
    <w:lsdException w:name="Placeholder Text" w:uiPriority="99" w:unhideWhenUsed="0"/>
    <w:lsdException w:name="No Spacing" w:semiHidden="0" w:uiPriority="7"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latentStyles>
  <w:style w:type="paragraph" w:default="1" w:styleId="Normal">
    <w:name w:val="Normal"/>
    <w:qFormat/>
    <w:rsid w:val="00865533"/>
    <w:pPr>
      <w:widowControl w:val="0"/>
      <w:jc w:val="both"/>
    </w:pPr>
    <w:rPr>
      <w:rFonts w:ascii="Arial" w:hAnsi="Arial" w:cs="Arial"/>
      <w:snapToGrid w:val="0"/>
      <w:sz w:val="22"/>
      <w:lang w:eastAsia="en-US"/>
    </w:rPr>
  </w:style>
  <w:style w:type="paragraph" w:styleId="Heading1">
    <w:name w:val="heading 1"/>
    <w:aliases w:val="Outline1,p1,H1"/>
    <w:basedOn w:val="Normal"/>
    <w:next w:val="Normal"/>
    <w:uiPriority w:val="1"/>
    <w:qFormat/>
    <w:rsid w:val="00C6535E"/>
    <w:pPr>
      <w:ind w:left="720" w:hanging="720"/>
      <w:outlineLvl w:val="0"/>
    </w:pPr>
    <w:rPr>
      <w:rFonts w:ascii="Arial Bold" w:hAnsi="Arial Bold"/>
      <w:b/>
      <w:caps/>
    </w:rPr>
  </w:style>
  <w:style w:type="paragraph" w:styleId="Heading2">
    <w:name w:val="heading 2"/>
    <w:basedOn w:val="PBACHeading1"/>
    <w:next w:val="Normal"/>
    <w:link w:val="Heading2Char"/>
    <w:uiPriority w:val="1"/>
    <w:qFormat/>
    <w:rsid w:val="00534A2B"/>
    <w:pPr>
      <w:outlineLvl w:val="1"/>
    </w:pPr>
  </w:style>
  <w:style w:type="paragraph" w:styleId="Heading3">
    <w:name w:val="heading 3"/>
    <w:basedOn w:val="Normal"/>
    <w:next w:val="Normal"/>
    <w:uiPriority w:val="1"/>
    <w:qFormat/>
    <w:rsid w:val="00944D88"/>
    <w:pPr>
      <w:outlineLvl w:val="2"/>
    </w:pPr>
    <w:rPr>
      <w:b/>
      <w:bCs/>
      <w:i/>
      <w:szCs w:val="22"/>
    </w:rPr>
  </w:style>
  <w:style w:type="paragraph" w:styleId="Heading4">
    <w:name w:val="heading 4"/>
    <w:basedOn w:val="Normal"/>
    <w:next w:val="Normal"/>
    <w:uiPriority w:val="5"/>
    <w:qFormat/>
    <w:rsid w:val="00124A51"/>
    <w:pPr>
      <w:keepNext/>
      <w:spacing w:before="240" w:after="60"/>
      <w:outlineLvl w:val="3"/>
    </w:pPr>
    <w:rPr>
      <w:b/>
      <w:bCs/>
      <w:i/>
      <w:sz w:val="26"/>
      <w:szCs w:val="28"/>
    </w:rPr>
  </w:style>
  <w:style w:type="paragraph" w:styleId="Heading5">
    <w:name w:val="heading 5"/>
    <w:basedOn w:val="Normal"/>
    <w:next w:val="Normal"/>
    <w:uiPriority w:val="7"/>
    <w:qFormat/>
    <w:rsid w:val="00124A51"/>
    <w:pPr>
      <w:spacing w:before="240" w:after="60"/>
      <w:outlineLvl w:val="4"/>
    </w:pPr>
    <w:rPr>
      <w:b/>
      <w:bCs/>
      <w:iCs/>
      <w:sz w:val="26"/>
      <w:szCs w:val="26"/>
    </w:rPr>
  </w:style>
  <w:style w:type="paragraph" w:styleId="Heading6">
    <w:name w:val="heading 6"/>
    <w:basedOn w:val="Normal"/>
    <w:next w:val="Normal"/>
    <w:uiPriority w:val="7"/>
    <w:qFormat/>
    <w:rsid w:val="00124A51"/>
    <w:pPr>
      <w:spacing w:before="240" w:after="60"/>
      <w:outlineLvl w:val="5"/>
    </w:pPr>
    <w:rPr>
      <w:b/>
      <w:bCs/>
      <w:i/>
      <w:szCs w:val="22"/>
    </w:rPr>
  </w:style>
  <w:style w:type="paragraph" w:styleId="Heading7">
    <w:name w:val="heading 7"/>
    <w:basedOn w:val="Normal"/>
    <w:next w:val="Normal"/>
    <w:link w:val="Heading7Char"/>
    <w:uiPriority w:val="7"/>
    <w:qFormat/>
    <w:rsid w:val="00124A51"/>
    <w:pPr>
      <w:keepNext/>
      <w:jc w:val="center"/>
      <w:outlineLvl w:val="6"/>
    </w:pPr>
    <w:rPr>
      <w:b/>
      <w:sz w:val="20"/>
    </w:rPr>
  </w:style>
  <w:style w:type="paragraph" w:styleId="Heading8">
    <w:name w:val="heading 8"/>
    <w:basedOn w:val="Normal"/>
    <w:next w:val="Normal"/>
    <w:link w:val="Heading8Char"/>
    <w:uiPriority w:val="7"/>
    <w:qFormat/>
    <w:rsid w:val="00124A51"/>
    <w:pPr>
      <w:keepNext/>
      <w:jc w:val="right"/>
      <w:outlineLvl w:val="7"/>
    </w:pPr>
    <w:rPr>
      <w:b/>
    </w:rPr>
  </w:style>
  <w:style w:type="paragraph" w:styleId="Heading9">
    <w:name w:val="heading 9"/>
    <w:basedOn w:val="Normal"/>
    <w:next w:val="Normal"/>
    <w:link w:val="Heading9Char"/>
    <w:uiPriority w:val="7"/>
    <w:qFormat/>
    <w:rsid w:val="00124A51"/>
    <w:pPr>
      <w:keepNext/>
      <w:jc w:val="center"/>
      <w:outlineLvl w:val="8"/>
    </w:pPr>
    <w:rPr>
      <w:b/>
      <w:color w:val="00000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uiPriority w:val="4"/>
    <w:qFormat/>
    <w:rsid w:val="00C6535E"/>
    <w:rPr>
      <w:rFonts w:ascii="Arial Narrow" w:hAnsi="Arial Narrow"/>
      <w:sz w:val="18"/>
    </w:rPr>
  </w:style>
  <w:style w:type="paragraph" w:customStyle="1" w:styleId="TableHeader">
    <w:name w:val="Table Header"/>
    <w:basedOn w:val="Normal"/>
    <w:next w:val="Normal"/>
    <w:uiPriority w:val="3"/>
    <w:qFormat/>
    <w:rsid w:val="00C6535E"/>
    <w:rPr>
      <w:rFonts w:ascii="Arial Narrow" w:hAnsi="Arial Narrow"/>
      <w:b/>
      <w:sz w:val="20"/>
    </w:rPr>
  </w:style>
  <w:style w:type="character" w:customStyle="1" w:styleId="Heading2Char">
    <w:name w:val="Heading 2 Char"/>
    <w:link w:val="Heading2"/>
    <w:uiPriority w:val="1"/>
    <w:rsid w:val="00534A2B"/>
    <w:rPr>
      <w:rFonts w:ascii="Arial" w:hAnsi="Arial" w:cs="Arial"/>
      <w:b/>
      <w:snapToGrid w:val="0"/>
      <w:sz w:val="22"/>
      <w:szCs w:val="22"/>
      <w:lang w:eastAsia="en-US"/>
    </w:rPr>
  </w:style>
  <w:style w:type="character" w:customStyle="1" w:styleId="Heading7Char">
    <w:name w:val="Heading 7 Char"/>
    <w:basedOn w:val="DefaultParagraphFont"/>
    <w:link w:val="Heading7"/>
    <w:uiPriority w:val="7"/>
    <w:rsid w:val="00D97E30"/>
    <w:rPr>
      <w:rFonts w:ascii="Arial" w:hAnsi="Arial" w:cs="Arial"/>
      <w:b/>
      <w:snapToGrid w:val="0"/>
      <w:lang w:eastAsia="en-US"/>
    </w:rPr>
  </w:style>
  <w:style w:type="character" w:customStyle="1" w:styleId="Heading8Char">
    <w:name w:val="Heading 8 Char"/>
    <w:basedOn w:val="DefaultParagraphFont"/>
    <w:link w:val="Heading8"/>
    <w:uiPriority w:val="7"/>
    <w:rsid w:val="00D97E30"/>
    <w:rPr>
      <w:rFonts w:ascii="Arial" w:hAnsi="Arial" w:cs="Arial"/>
      <w:b/>
      <w:snapToGrid w:val="0"/>
      <w:sz w:val="22"/>
      <w:lang w:eastAsia="en-US"/>
    </w:rPr>
  </w:style>
  <w:style w:type="character" w:customStyle="1" w:styleId="Heading9Char">
    <w:name w:val="Heading 9 Char"/>
    <w:basedOn w:val="DefaultParagraphFont"/>
    <w:link w:val="Heading9"/>
    <w:uiPriority w:val="7"/>
    <w:rsid w:val="00D97E30"/>
    <w:rPr>
      <w:rFonts w:ascii="Arial" w:hAnsi="Arial" w:cs="Arial"/>
      <w:b/>
      <w:snapToGrid w:val="0"/>
      <w:color w:val="000000"/>
      <w:lang w:eastAsia="en-US"/>
    </w:rPr>
  </w:style>
  <w:style w:type="paragraph" w:styleId="Caption">
    <w:name w:val="caption"/>
    <w:basedOn w:val="Normal"/>
    <w:next w:val="TableHeader"/>
    <w:link w:val="CaptionChar"/>
    <w:uiPriority w:val="99"/>
    <w:unhideWhenUsed/>
    <w:qFormat/>
    <w:rsid w:val="005C7F65"/>
    <w:rPr>
      <w:rFonts w:ascii="Arial Narrow" w:hAnsi="Arial Narrow"/>
      <w:b/>
      <w:bCs/>
      <w:sz w:val="20"/>
      <w:szCs w:val="18"/>
    </w:rPr>
  </w:style>
  <w:style w:type="character" w:customStyle="1" w:styleId="CaptionChar">
    <w:name w:val="Caption Char"/>
    <w:link w:val="Caption"/>
    <w:uiPriority w:val="99"/>
    <w:rsid w:val="005C7F65"/>
    <w:rPr>
      <w:rFonts w:ascii="Arial Narrow" w:hAnsi="Arial Narrow" w:cs="Arial"/>
      <w:b/>
      <w:bCs/>
      <w:snapToGrid w:val="0"/>
      <w:szCs w:val="18"/>
      <w:lang w:eastAsia="en-US"/>
    </w:rPr>
  </w:style>
  <w:style w:type="paragraph" w:styleId="Title">
    <w:name w:val="Title"/>
    <w:basedOn w:val="Normal"/>
    <w:next w:val="Normal"/>
    <w:link w:val="TitleChar"/>
    <w:uiPriority w:val="7"/>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7"/>
    <w:rsid w:val="00D97E30"/>
    <w:rPr>
      <w:rFonts w:ascii="Cambria" w:hAnsi="Cambria" w:cs="Arial"/>
      <w:b/>
      <w:bCs/>
      <w:snapToGrid w:val="0"/>
      <w:kern w:val="28"/>
      <w:sz w:val="32"/>
      <w:szCs w:val="32"/>
      <w:lang w:eastAsia="en-US"/>
    </w:rPr>
  </w:style>
  <w:style w:type="paragraph" w:styleId="BodyText">
    <w:name w:val="Body Text"/>
    <w:basedOn w:val="Normal"/>
    <w:link w:val="BodyTextChar"/>
    <w:uiPriority w:val="9"/>
    <w:rsid w:val="004B3DDB"/>
    <w:pPr>
      <w:jc w:val="left"/>
    </w:pPr>
  </w:style>
  <w:style w:type="character" w:customStyle="1" w:styleId="BodyTextChar">
    <w:name w:val="Body Text Char"/>
    <w:basedOn w:val="DefaultParagraphFont"/>
    <w:link w:val="BodyText"/>
    <w:uiPriority w:val="9"/>
    <w:rsid w:val="00D97E30"/>
    <w:rPr>
      <w:rFonts w:ascii="Arial" w:hAnsi="Arial" w:cs="Arial"/>
      <w:snapToGrid w:val="0"/>
      <w:sz w:val="22"/>
      <w:lang w:eastAsia="en-US"/>
    </w:rPr>
  </w:style>
  <w:style w:type="paragraph" w:styleId="ListParagraph">
    <w:name w:val="List Paragraph"/>
    <w:aliases w:val="BulletPoints"/>
    <w:basedOn w:val="Normal"/>
    <w:link w:val="ListParagraphChar"/>
    <w:uiPriority w:val="34"/>
    <w:qFormat/>
    <w:rsid w:val="00124A51"/>
    <w:pPr>
      <w:ind w:left="720"/>
      <w:contextualSpacing/>
    </w:pPr>
  </w:style>
  <w:style w:type="paragraph" w:customStyle="1" w:styleId="RegularText">
    <w:name w:val="Regular Text"/>
    <w:basedOn w:val="BodyText"/>
    <w:link w:val="RegularTextChar"/>
    <w:uiPriority w:val="9"/>
    <w:rsid w:val="00124A51"/>
    <w:rPr>
      <w:b/>
    </w:rPr>
  </w:style>
  <w:style w:type="paragraph" w:styleId="NoSpacing">
    <w:name w:val="No Spacing"/>
    <w:uiPriority w:val="7"/>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uiPriority w:val="9"/>
    <w:rsid w:val="00D97E30"/>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5C7F65"/>
    <w:rPr>
      <w:rFonts w:ascii="Arial Narrow" w:hAnsi="Arial Narrow"/>
      <w:b/>
      <w:sz w:val="20"/>
      <w:szCs w:val="16"/>
    </w:rPr>
  </w:style>
  <w:style w:type="paragraph" w:customStyle="1" w:styleId="Tabletext">
    <w:name w:val="Table text"/>
    <w:basedOn w:val="Normal"/>
    <w:link w:val="TabletextChar"/>
    <w:uiPriority w:val="2"/>
    <w:qFormat/>
    <w:rsid w:val="00C6535E"/>
    <w:pPr>
      <w:widowControl/>
      <w:jc w:val="left"/>
    </w:pPr>
    <w:rPr>
      <w:rFonts w:ascii="Arial Narrow" w:hAnsi="Arial Narrow" w:cs="Times New Roman"/>
      <w:snapToGrid/>
      <w:sz w:val="20"/>
    </w:rPr>
  </w:style>
  <w:style w:type="paragraph" w:customStyle="1" w:styleId="TableHeading">
    <w:name w:val="TableHeading"/>
    <w:basedOn w:val="Normal"/>
    <w:uiPriority w:val="9"/>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uiPriority w:val="2"/>
    <w:rsid w:val="00C6535E"/>
    <w:rPr>
      <w:rFonts w:ascii="Arial Narrow" w:hAnsi="Arial Narrow"/>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EA3DB2"/>
    <w:pPr>
      <w:tabs>
        <w:tab w:val="left" w:pos="880"/>
        <w:tab w:val="right" w:leader="dot" w:pos="9016"/>
      </w:tabs>
      <w:spacing w:before="120"/>
      <w:ind w:left="220"/>
    </w:pPr>
    <w:rPr>
      <w:iCs/>
      <w:sz w:val="20"/>
    </w:rPr>
  </w:style>
  <w:style w:type="paragraph" w:styleId="TOC1">
    <w:name w:val="toc 1"/>
    <w:basedOn w:val="Normal"/>
    <w:next w:val="Normal"/>
    <w:autoRedefine/>
    <w:uiPriority w:val="39"/>
    <w:rsid w:val="00EA3DB2"/>
    <w:pPr>
      <w:tabs>
        <w:tab w:val="left" w:pos="660"/>
        <w:tab w:val="right" w:leader="dot" w:pos="9016"/>
      </w:tabs>
      <w:spacing w:before="240" w:after="120"/>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uiPriority w:val="9"/>
    <w:rsid w:val="00CE6274"/>
    <w:rPr>
      <w:rFonts w:ascii="Tahoma" w:hAnsi="Tahoma" w:cs="Tahoma"/>
      <w:sz w:val="16"/>
      <w:szCs w:val="16"/>
    </w:rPr>
  </w:style>
  <w:style w:type="character" w:customStyle="1" w:styleId="BalloonTextChar">
    <w:name w:val="Balloon Text Char"/>
    <w:basedOn w:val="DefaultParagraphFont"/>
    <w:link w:val="BalloonText"/>
    <w:uiPriority w:val="9"/>
    <w:rsid w:val="00D97E30"/>
    <w:rPr>
      <w:rFonts w:ascii="Tahoma" w:hAnsi="Tahoma" w:cs="Tahoma"/>
      <w:snapToGrid w:val="0"/>
      <w:sz w:val="16"/>
      <w:szCs w:val="16"/>
      <w:lang w:eastAsia="en-US"/>
    </w:rPr>
  </w:style>
  <w:style w:type="paragraph" w:styleId="BodyText3">
    <w:name w:val="Body Text 3"/>
    <w:basedOn w:val="Normal"/>
    <w:link w:val="BodyText3Char"/>
    <w:uiPriority w:val="9"/>
    <w:rsid w:val="00CE6274"/>
    <w:pPr>
      <w:spacing w:after="120"/>
    </w:pPr>
    <w:rPr>
      <w:sz w:val="16"/>
      <w:szCs w:val="16"/>
    </w:rPr>
  </w:style>
  <w:style w:type="character" w:customStyle="1" w:styleId="BodyText3Char">
    <w:name w:val="Body Text 3 Char"/>
    <w:basedOn w:val="DefaultParagraphFont"/>
    <w:link w:val="BodyText3"/>
    <w:uiPriority w:val="9"/>
    <w:rsid w:val="00D97E30"/>
    <w:rPr>
      <w:rFonts w:ascii="Arial" w:hAnsi="Arial" w:cs="Arial"/>
      <w:snapToGrid w:val="0"/>
      <w:sz w:val="16"/>
      <w:szCs w:val="16"/>
      <w:lang w:eastAsia="en-US"/>
    </w:rPr>
  </w:style>
  <w:style w:type="paragraph" w:styleId="TOC4">
    <w:name w:val="toc 4"/>
    <w:basedOn w:val="Normal"/>
    <w:next w:val="Normal"/>
    <w:autoRedefine/>
    <w:uiPriority w:val="9"/>
    <w:rsid w:val="00D0262E"/>
    <w:pPr>
      <w:ind w:left="660"/>
      <w:jc w:val="left"/>
    </w:pPr>
    <w:rPr>
      <w:rFonts w:asciiTheme="minorHAnsi" w:hAnsiTheme="minorHAnsi"/>
      <w:sz w:val="20"/>
    </w:rPr>
  </w:style>
  <w:style w:type="paragraph" w:styleId="TOC5">
    <w:name w:val="toc 5"/>
    <w:basedOn w:val="Normal"/>
    <w:next w:val="Normal"/>
    <w:autoRedefine/>
    <w:uiPriority w:val="9"/>
    <w:rsid w:val="00D0262E"/>
    <w:pPr>
      <w:ind w:left="880"/>
      <w:jc w:val="left"/>
    </w:pPr>
    <w:rPr>
      <w:rFonts w:asciiTheme="minorHAnsi" w:hAnsiTheme="minorHAnsi"/>
      <w:sz w:val="20"/>
    </w:rPr>
  </w:style>
  <w:style w:type="paragraph" w:styleId="TOC6">
    <w:name w:val="toc 6"/>
    <w:basedOn w:val="Normal"/>
    <w:next w:val="Normal"/>
    <w:autoRedefine/>
    <w:uiPriority w:val="9"/>
    <w:rsid w:val="00D0262E"/>
    <w:pPr>
      <w:ind w:left="1100"/>
      <w:jc w:val="left"/>
    </w:pPr>
    <w:rPr>
      <w:rFonts w:asciiTheme="minorHAnsi" w:hAnsiTheme="minorHAnsi"/>
      <w:sz w:val="20"/>
    </w:rPr>
  </w:style>
  <w:style w:type="paragraph" w:styleId="TOC7">
    <w:name w:val="toc 7"/>
    <w:basedOn w:val="Normal"/>
    <w:next w:val="Normal"/>
    <w:autoRedefine/>
    <w:uiPriority w:val="9"/>
    <w:rsid w:val="00D0262E"/>
    <w:pPr>
      <w:ind w:left="1320"/>
      <w:jc w:val="left"/>
    </w:pPr>
    <w:rPr>
      <w:rFonts w:asciiTheme="minorHAnsi" w:hAnsiTheme="minorHAnsi"/>
      <w:sz w:val="20"/>
    </w:rPr>
  </w:style>
  <w:style w:type="paragraph" w:styleId="TOC8">
    <w:name w:val="toc 8"/>
    <w:basedOn w:val="Normal"/>
    <w:next w:val="Normal"/>
    <w:autoRedefine/>
    <w:uiPriority w:val="9"/>
    <w:rsid w:val="00D0262E"/>
    <w:pPr>
      <w:ind w:left="1540"/>
      <w:jc w:val="left"/>
    </w:pPr>
    <w:rPr>
      <w:rFonts w:asciiTheme="minorHAnsi" w:hAnsiTheme="minorHAnsi"/>
      <w:sz w:val="20"/>
    </w:rPr>
  </w:style>
  <w:style w:type="paragraph" w:styleId="TOC9">
    <w:name w:val="toc 9"/>
    <w:basedOn w:val="Normal"/>
    <w:next w:val="Normal"/>
    <w:autoRedefine/>
    <w:uiPriority w:val="9"/>
    <w:rsid w:val="00D0262E"/>
    <w:pPr>
      <w:ind w:left="1760"/>
      <w:jc w:val="left"/>
    </w:pPr>
    <w:rPr>
      <w:rFonts w:asciiTheme="minorHAnsi" w:hAnsiTheme="minorHAnsi"/>
      <w:sz w:val="20"/>
    </w:rPr>
  </w:style>
  <w:style w:type="paragraph" w:styleId="BodyText2">
    <w:name w:val="Body Text 2"/>
    <w:basedOn w:val="Normal"/>
    <w:link w:val="BodyText2Char"/>
    <w:uiPriority w:val="9"/>
    <w:rsid w:val="00D17D6C"/>
    <w:pPr>
      <w:spacing w:after="120" w:line="480" w:lineRule="auto"/>
    </w:pPr>
  </w:style>
  <w:style w:type="character" w:customStyle="1" w:styleId="BodyText2Char">
    <w:name w:val="Body Text 2 Char"/>
    <w:basedOn w:val="DefaultParagraphFont"/>
    <w:link w:val="BodyText2"/>
    <w:uiPriority w:val="9"/>
    <w:rsid w:val="00D97E30"/>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uiPriority w:val="9"/>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uiPriority w:val="9"/>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uiPriority w:val="9"/>
    <w:rsid w:val="00CA7B09"/>
    <w:pPr>
      <w:keepNext w:val="0"/>
      <w:keepLines/>
      <w:spacing w:before="0" w:after="360"/>
      <w:ind w:left="720"/>
    </w:pPr>
    <w:rPr>
      <w:sz w:val="18"/>
      <w:szCs w:val="18"/>
    </w:rPr>
  </w:style>
  <w:style w:type="paragraph" w:customStyle="1" w:styleId="TableNotes0">
    <w:name w:val="TableNotes+0"/>
    <w:basedOn w:val="TableNotes18"/>
    <w:uiPriority w:val="9"/>
    <w:rsid w:val="00CA7B09"/>
    <w:pPr>
      <w:keepNext/>
      <w:spacing w:after="0"/>
    </w:pPr>
  </w:style>
  <w:style w:type="paragraph" w:styleId="CommentSubject">
    <w:name w:val="annotation subject"/>
    <w:basedOn w:val="CommentText"/>
    <w:next w:val="CommentText"/>
    <w:link w:val="CommentSubjectChar"/>
    <w:uiPriority w:val="9"/>
    <w:rsid w:val="004319F8"/>
    <w:rPr>
      <w:rFonts w:ascii="Arial" w:hAnsi="Arial" w:cs="Arial"/>
      <w:b/>
      <w:bCs/>
    </w:rPr>
  </w:style>
  <w:style w:type="character" w:customStyle="1" w:styleId="CommentSubjectChar">
    <w:name w:val="Comment Subject Char"/>
    <w:basedOn w:val="CommentTextChar"/>
    <w:link w:val="CommentSubject"/>
    <w:uiPriority w:val="9"/>
    <w:rsid w:val="00D97E30"/>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uiPriority w:val="9"/>
    <w:rsid w:val="00E41E30"/>
    <w:pPr>
      <w:spacing w:after="120"/>
      <w:ind w:left="283"/>
    </w:pPr>
  </w:style>
  <w:style w:type="character" w:customStyle="1" w:styleId="BodyTextIndentChar">
    <w:name w:val="Body Text Indent Char"/>
    <w:basedOn w:val="DefaultParagraphFont"/>
    <w:link w:val="BodyTextIndent"/>
    <w:uiPriority w:val="9"/>
    <w:rsid w:val="00D97E30"/>
    <w:rPr>
      <w:rFonts w:ascii="Arial" w:hAnsi="Arial" w:cs="Arial"/>
      <w:snapToGrid w:val="0"/>
      <w:sz w:val="22"/>
      <w:lang w:eastAsia="en-US"/>
    </w:rPr>
  </w:style>
  <w:style w:type="paragraph" w:customStyle="1" w:styleId="Char1CharCharChar">
    <w:name w:val="Char1 Char Char Char"/>
    <w:basedOn w:val="Normal"/>
    <w:uiPriority w:val="9"/>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aliases w:val="PBAC Paragraph Char"/>
    <w:link w:val="Subtitle"/>
    <w:uiPriority w:val="9"/>
    <w:rsid w:val="00D97E30"/>
    <w:rPr>
      <w:lang w:eastAsia="en-US"/>
    </w:rPr>
  </w:style>
  <w:style w:type="paragraph" w:styleId="Subtitle">
    <w:name w:val="Subtitle"/>
    <w:aliases w:val="PBAC Paragraph"/>
    <w:basedOn w:val="Normal"/>
    <w:link w:val="SubtitleChar"/>
    <w:uiPriority w:val="11"/>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uiPriority w:val="9"/>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uiPriority w:val="7"/>
    <w:qFormat/>
    <w:rsid w:val="00534A2B"/>
    <w:pPr>
      <w:numPr>
        <w:numId w:val="2"/>
      </w:numPr>
    </w:pPr>
    <w:rPr>
      <w:rFonts w:ascii="Arial" w:hAnsi="Arial" w:cs="Arial"/>
      <w:b/>
      <w:snapToGrid w:val="0"/>
      <w:sz w:val="22"/>
      <w:szCs w:val="22"/>
      <w:lang w:eastAsia="en-US"/>
    </w:rPr>
  </w:style>
  <w:style w:type="table" w:customStyle="1" w:styleId="TableGrid1">
    <w:name w:val="Table Grid1"/>
    <w:basedOn w:val="TableNormal"/>
    <w:next w:val="TableGrid"/>
    <w:uiPriority w:val="59"/>
    <w:rsid w:val="00C803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D97E30"/>
  </w:style>
  <w:style w:type="paragraph" w:customStyle="1" w:styleId="Table">
    <w:name w:val="Table"/>
    <w:basedOn w:val="Normal"/>
    <w:link w:val="TableChar"/>
    <w:qFormat/>
    <w:rsid w:val="00301CA6"/>
    <w:pPr>
      <w:widowControl/>
    </w:pPr>
    <w:rPr>
      <w:rFonts w:ascii="Candara" w:eastAsiaTheme="majorEastAsia" w:hAnsi="Candara" w:cstheme="majorBidi"/>
      <w:snapToGrid/>
      <w:sz w:val="20"/>
      <w:szCs w:val="22"/>
      <w:lang w:bidi="en-US"/>
    </w:rPr>
  </w:style>
  <w:style w:type="character" w:customStyle="1" w:styleId="TableChar">
    <w:name w:val="Table Char"/>
    <w:basedOn w:val="DefaultParagraphFont"/>
    <w:link w:val="Table"/>
    <w:locked/>
    <w:rsid w:val="00301CA6"/>
    <w:rPr>
      <w:rFonts w:ascii="Candara" w:eastAsiaTheme="majorEastAsia" w:hAnsi="Candara" w:cstheme="majorBidi"/>
      <w:szCs w:val="22"/>
      <w:lang w:eastAsia="en-US" w:bidi="en-US"/>
    </w:rPr>
  </w:style>
  <w:style w:type="character" w:customStyle="1" w:styleId="SmallBold">
    <w:name w:val="Small Bold"/>
    <w:basedOn w:val="DefaultParagraphFont"/>
    <w:uiPriority w:val="4"/>
    <w:qFormat/>
    <w:rsid w:val="00301CA6"/>
    <w:rPr>
      <w:rFonts w:ascii="Candara" w:hAnsi="Candara"/>
      <w:b/>
      <w:sz w:val="20"/>
      <w:lang w:val="en-AU"/>
    </w:rPr>
  </w:style>
  <w:style w:type="paragraph" w:customStyle="1" w:styleId="CaptionFootnote">
    <w:name w:val="Caption Footnote"/>
    <w:basedOn w:val="Caption"/>
    <w:qFormat/>
    <w:rsid w:val="00301CA6"/>
    <w:rPr>
      <w:rFonts w:ascii="Candara" w:eastAsiaTheme="majorEastAsia" w:hAnsi="Candara" w:cstheme="majorBidi"/>
      <w:b w:val="0"/>
      <w:snapToGrid/>
      <w:sz w:val="16"/>
      <w:lang w:bidi="en-US"/>
    </w:rPr>
  </w:style>
  <w:style w:type="paragraph" w:customStyle="1" w:styleId="xmsonormal">
    <w:name w:val="x_msonormal"/>
    <w:basedOn w:val="Normal"/>
    <w:rsid w:val="00301CA6"/>
    <w:pPr>
      <w:widowControl/>
      <w:spacing w:before="100" w:beforeAutospacing="1" w:after="100" w:afterAutospacing="1"/>
      <w:jc w:val="left"/>
    </w:pPr>
    <w:rPr>
      <w:rFonts w:ascii="Times New Roman" w:hAnsi="Times New Roman" w:cs="Times New Roman"/>
      <w:snapToGrid/>
      <w:sz w:val="24"/>
      <w:szCs w:val="24"/>
      <w:lang w:eastAsia="en-AU"/>
    </w:rPr>
  </w:style>
  <w:style w:type="paragraph" w:customStyle="1" w:styleId="TableCentre">
    <w:name w:val="Table Centre"/>
    <w:basedOn w:val="Table"/>
    <w:link w:val="TableCentreChar"/>
    <w:qFormat/>
    <w:rsid w:val="00E7275C"/>
    <w:pPr>
      <w:jc w:val="center"/>
    </w:pPr>
  </w:style>
  <w:style w:type="character" w:customStyle="1" w:styleId="TableCentreChar">
    <w:name w:val="Table Centre Char"/>
    <w:basedOn w:val="TableChar"/>
    <w:link w:val="TableCentre"/>
    <w:rsid w:val="00E7275C"/>
    <w:rPr>
      <w:rFonts w:ascii="Candara" w:eastAsiaTheme="majorEastAsia" w:hAnsi="Candara" w:cstheme="majorBidi"/>
      <w:szCs w:val="22"/>
      <w:lang w:eastAsia="en-US" w:bidi="en-US"/>
    </w:rPr>
  </w:style>
  <w:style w:type="paragraph" w:customStyle="1" w:styleId="TableBullets">
    <w:name w:val="Table Bullets"/>
    <w:basedOn w:val="Table"/>
    <w:uiPriority w:val="5"/>
    <w:qFormat/>
    <w:rsid w:val="00FC6FBA"/>
    <w:pPr>
      <w:numPr>
        <w:numId w:val="3"/>
      </w:numPr>
    </w:pPr>
  </w:style>
  <w:style w:type="character" w:customStyle="1" w:styleId="Small">
    <w:name w:val="Small"/>
    <w:basedOn w:val="DefaultParagraphFont"/>
    <w:uiPriority w:val="4"/>
    <w:qFormat/>
    <w:rsid w:val="00CF5DA1"/>
    <w:rPr>
      <w:rFonts w:ascii="Candara" w:hAnsi="Candara"/>
      <w:sz w:val="20"/>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CF5DA1"/>
    <w:pPr>
      <w:widowControl/>
      <w:spacing w:after="160" w:line="240" w:lineRule="exact"/>
      <w:jc w:val="left"/>
    </w:pPr>
    <w:rPr>
      <w:rFonts w:ascii="Verdana" w:eastAsia="MS Mincho" w:hAnsi="Verdana" w:cs="Verdana"/>
      <w:snapToGrid/>
      <w:sz w:val="20"/>
      <w:lang w:val="en-US"/>
    </w:rPr>
  </w:style>
  <w:style w:type="character" w:customStyle="1" w:styleId="SmallSubscript">
    <w:name w:val="Small Subscript"/>
    <w:basedOn w:val="Small"/>
    <w:uiPriority w:val="1"/>
    <w:qFormat/>
    <w:rsid w:val="005E29E9"/>
    <w:rPr>
      <w:rFonts w:ascii="Candara" w:hAnsi="Candara"/>
      <w:b w:val="0"/>
      <w:sz w:val="20"/>
      <w:vertAlign w:val="subscript"/>
    </w:rPr>
  </w:style>
  <w:style w:type="paragraph" w:styleId="FootnoteText">
    <w:name w:val="footnote text"/>
    <w:basedOn w:val="Normal"/>
    <w:link w:val="FootnoteTextChar"/>
    <w:semiHidden/>
    <w:unhideWhenUsed/>
    <w:rsid w:val="003808E4"/>
    <w:rPr>
      <w:sz w:val="20"/>
    </w:rPr>
  </w:style>
  <w:style w:type="character" w:customStyle="1" w:styleId="FootnoteTextChar">
    <w:name w:val="Footnote Text Char"/>
    <w:basedOn w:val="DefaultParagraphFont"/>
    <w:link w:val="FootnoteText"/>
    <w:semiHidden/>
    <w:rsid w:val="003808E4"/>
    <w:rPr>
      <w:rFonts w:ascii="Arial" w:hAnsi="Arial" w:cs="Arial"/>
      <w:snapToGrid w:val="0"/>
      <w:lang w:eastAsia="en-US"/>
    </w:rPr>
  </w:style>
  <w:style w:type="character" w:styleId="FootnoteReference">
    <w:name w:val="footnote reference"/>
    <w:basedOn w:val="DefaultParagraphFont"/>
    <w:semiHidden/>
    <w:unhideWhenUsed/>
    <w:rsid w:val="003808E4"/>
    <w:rPr>
      <w:vertAlign w:val="superscript"/>
    </w:rPr>
  </w:style>
  <w:style w:type="character" w:customStyle="1" w:styleId="TableHeadingChar">
    <w:name w:val="Table Heading Char"/>
    <w:basedOn w:val="DefaultParagraphFont"/>
    <w:rsid w:val="00583AAC"/>
    <w:rPr>
      <w:rFonts w:ascii="Arial" w:hAnsi="Arial"/>
      <w:b/>
      <w:noProof w:val="0"/>
      <w:sz w:val="20"/>
      <w:lang w:val="en-AU" w:eastAsia="en-AU" w:bidi="ar-SA"/>
    </w:rPr>
  </w:style>
  <w:style w:type="table" w:customStyle="1" w:styleId="TableGrid0">
    <w:name w:val="TableGrid"/>
    <w:rsid w:val="00E96285"/>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character" w:customStyle="1" w:styleId="Font">
    <w:name w:val="Font"/>
    <w:basedOn w:val="DefaultParagraphFont"/>
    <w:uiPriority w:val="1"/>
    <w:qFormat/>
    <w:rsid w:val="0053289E"/>
    <w:rPr>
      <w:rFonts w:ascii="Candara" w:hAnsi="Candara"/>
      <w:sz w:val="24"/>
    </w:rPr>
  </w:style>
  <w:style w:type="character" w:customStyle="1" w:styleId="TableText1">
    <w:name w:val="Table Text"/>
    <w:basedOn w:val="DefaultParagraphFont"/>
    <w:uiPriority w:val="4"/>
    <w:qFormat/>
    <w:rsid w:val="0053289E"/>
    <w:rPr>
      <w:rFonts w:ascii="Calibri" w:hAnsi="Calibri"/>
      <w:sz w:val="20"/>
    </w:rPr>
  </w:style>
  <w:style w:type="paragraph" w:customStyle="1" w:styleId="TableLeft">
    <w:name w:val="Table Left"/>
    <w:basedOn w:val="Normal"/>
    <w:link w:val="TableLeftChar"/>
    <w:uiPriority w:val="5"/>
    <w:qFormat/>
    <w:rsid w:val="0053289E"/>
    <w:pPr>
      <w:widowControl/>
      <w:jc w:val="left"/>
    </w:pPr>
    <w:rPr>
      <w:rFonts w:ascii="Calibri" w:eastAsiaTheme="majorEastAsia" w:hAnsi="Calibri" w:cstheme="majorBidi"/>
      <w:snapToGrid/>
      <w:sz w:val="20"/>
      <w:szCs w:val="22"/>
      <w:lang w:bidi="en-US"/>
    </w:rPr>
  </w:style>
  <w:style w:type="character" w:customStyle="1" w:styleId="TableLeftChar">
    <w:name w:val="Table Left Char"/>
    <w:basedOn w:val="DefaultParagraphFont"/>
    <w:link w:val="TableLeft"/>
    <w:uiPriority w:val="5"/>
    <w:rsid w:val="0053289E"/>
    <w:rPr>
      <w:rFonts w:ascii="Calibri" w:eastAsiaTheme="majorEastAsia" w:hAnsi="Calibri" w:cstheme="majorBidi"/>
      <w:szCs w:val="22"/>
      <w:lang w:eastAsia="en-US" w:bidi="en-US"/>
    </w:rPr>
  </w:style>
  <w:style w:type="character" w:customStyle="1" w:styleId="FontUnderlined">
    <w:name w:val="Font Underlined"/>
    <w:basedOn w:val="DefaultParagraphFont"/>
    <w:uiPriority w:val="1"/>
    <w:qFormat/>
    <w:rsid w:val="002F289F"/>
    <w:rPr>
      <w:rFonts w:ascii="Candara" w:hAnsi="Candara"/>
      <w:sz w:val="24"/>
      <w:u w:val="single"/>
    </w:rPr>
  </w:style>
  <w:style w:type="paragraph" w:customStyle="1" w:styleId="EndNoteBibliographyTitle">
    <w:name w:val="EndNote Bibliography Title"/>
    <w:basedOn w:val="Normal"/>
    <w:link w:val="EndNoteBibliographyTitleChar"/>
    <w:rsid w:val="00F61A43"/>
    <w:pPr>
      <w:jc w:val="center"/>
    </w:pPr>
    <w:rPr>
      <w:noProof/>
      <w:lang w:val="en-US"/>
    </w:rPr>
  </w:style>
  <w:style w:type="character" w:customStyle="1" w:styleId="EndNoteBibliographyTitleChar">
    <w:name w:val="EndNote Bibliography Title Char"/>
    <w:basedOn w:val="DefaultParagraphFont"/>
    <w:link w:val="EndNoteBibliographyTitle"/>
    <w:rsid w:val="00F61A43"/>
    <w:rPr>
      <w:rFonts w:ascii="Arial" w:hAnsi="Arial" w:cs="Arial"/>
      <w:noProof/>
      <w:snapToGrid w:val="0"/>
      <w:sz w:val="22"/>
      <w:lang w:val="en-US" w:eastAsia="en-US"/>
    </w:rPr>
  </w:style>
  <w:style w:type="paragraph" w:customStyle="1" w:styleId="EndNoteBibliography">
    <w:name w:val="EndNote Bibliography"/>
    <w:basedOn w:val="Normal"/>
    <w:link w:val="EndNoteBibliographyChar"/>
    <w:rsid w:val="00F61A43"/>
    <w:rPr>
      <w:noProof/>
      <w:lang w:val="en-US"/>
    </w:rPr>
  </w:style>
  <w:style w:type="character" w:customStyle="1" w:styleId="EndNoteBibliographyChar">
    <w:name w:val="EndNote Bibliography Char"/>
    <w:basedOn w:val="DefaultParagraphFont"/>
    <w:link w:val="EndNoteBibliography"/>
    <w:rsid w:val="00F61A43"/>
    <w:rPr>
      <w:rFonts w:ascii="Arial" w:hAnsi="Arial" w:cs="Arial"/>
      <w:noProof/>
      <w:snapToGrid w:val="0"/>
      <w:sz w:val="22"/>
      <w:lang w:val="en-US" w:eastAsia="en-US"/>
    </w:rPr>
  </w:style>
  <w:style w:type="character" w:styleId="IntenseReference">
    <w:name w:val="Intense Reference"/>
    <w:basedOn w:val="DefaultParagraphFont"/>
    <w:uiPriority w:val="32"/>
    <w:qFormat/>
    <w:rsid w:val="00D0192C"/>
    <w:rPr>
      <w:b/>
      <w:bCs/>
      <w:i/>
      <w:smallCaps/>
      <w:color w:val="C0504D" w:themeColor="accent2"/>
      <w:spacing w:val="5"/>
      <w:u w:val="none"/>
    </w:rPr>
  </w:style>
  <w:style w:type="character" w:customStyle="1" w:styleId="ListParagraphChar">
    <w:name w:val="List Paragraph Char"/>
    <w:aliases w:val="BulletPoints Char"/>
    <w:link w:val="ListParagraph"/>
    <w:uiPriority w:val="72"/>
    <w:rsid w:val="0031770A"/>
    <w:rPr>
      <w:rFonts w:ascii="Arial" w:hAnsi="Arial" w:cs="Arial"/>
      <w:snapToGrid w:val="0"/>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5" w:unhideWhenUsed="0" w:qFormat="1"/>
    <w:lsdException w:name="heading 5" w:semiHidden="0" w:uiPriority="7" w:unhideWhenUsed="0" w:qFormat="1"/>
    <w:lsdException w:name="heading 6" w:semiHidden="0" w:uiPriority="7" w:unhideWhenUsed="0" w:qFormat="1"/>
    <w:lsdException w:name="heading 7" w:uiPriority="7" w:qFormat="1"/>
    <w:lsdException w:name="heading 8" w:uiPriority="7" w:qFormat="1"/>
    <w:lsdException w:name="heading 9" w:uiPriority="7" w:qFormat="1"/>
    <w:lsdException w:name="toc 1" w:uiPriority="39"/>
    <w:lsdException w:name="toc 2" w:uiPriority="39"/>
    <w:lsdException w:name="toc 3" w:uiPriority="39"/>
    <w:lsdException w:name="toc 4" w:uiPriority="9"/>
    <w:lsdException w:name="toc 5" w:uiPriority="9"/>
    <w:lsdException w:name="toc 6" w:uiPriority="9"/>
    <w:lsdException w:name="toc 7" w:uiPriority="9"/>
    <w:lsdException w:name="toc 8" w:uiPriority="9"/>
    <w:lsdException w:name="toc 9" w:uiPriority="9"/>
    <w:lsdException w:name="annotation text" w:uiPriority="99"/>
    <w:lsdException w:name="header" w:uiPriority="99"/>
    <w:lsdException w:name="footer" w:uiPriority="99"/>
    <w:lsdException w:name="caption" w:uiPriority="99" w:qFormat="1"/>
    <w:lsdException w:name="annotation reference" w:uiPriority="99" w:qFormat="1"/>
    <w:lsdException w:name="List Number" w:semiHidden="0" w:uiPriority="9" w:unhideWhenUsed="0"/>
    <w:lsdException w:name="List 4" w:semiHidden="0" w:uiPriority="9" w:unhideWhenUsed="0"/>
    <w:lsdException w:name="List 5" w:semiHidden="0" w:uiPriority="9" w:unhideWhenUsed="0"/>
    <w:lsdException w:name="Title" w:semiHidden="0" w:uiPriority="7" w:unhideWhenUsed="0"/>
    <w:lsdException w:name="Body Text" w:uiPriority="9"/>
    <w:lsdException w:name="Body Text Indent" w:uiPriority="9"/>
    <w:lsdException w:name="Subtitle" w:semiHidden="0" w:uiPriority="11" w:unhideWhenUsed="0" w:qFormat="1"/>
    <w:lsdException w:name="Salutation" w:semiHidden="0" w:uiPriority="9" w:unhideWhenUsed="0"/>
    <w:lsdException w:name="Date" w:semiHidden="0" w:uiPriority="9" w:unhideWhenUsed="0"/>
    <w:lsdException w:name="Body Text First Indent" w:semiHidden="0" w:uiPriority="9" w:unhideWhenUsed="0"/>
    <w:lsdException w:name="Body Text 2" w:uiPriority="9"/>
    <w:lsdException w:name="Body Text 3" w:uiPriority="9"/>
    <w:lsdException w:name="Hyperlink" w:uiPriority="99"/>
    <w:lsdException w:name="Strong" w:semiHidden="0" w:uiPriority="9" w:unhideWhenUsed="0"/>
    <w:lsdException w:name="Emphasis" w:semiHidden="0" w:uiPriority="9" w:unhideWhenUsed="0"/>
    <w:lsdException w:name="Normal (Web)" w:uiPriority="99"/>
    <w:lsdException w:name="annotation subject" w:uiPriority="9"/>
    <w:lsdException w:name="No List" w:uiPriority="99"/>
    <w:lsdException w:name="Balloon Text" w:uiPriority="9"/>
    <w:lsdException w:name="Table Grid" w:semiHidden="0" w:unhideWhenUsed="0"/>
    <w:lsdException w:name="Placeholder Text" w:uiPriority="99" w:unhideWhenUsed="0"/>
    <w:lsdException w:name="No Spacing" w:semiHidden="0" w:uiPriority="7"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latentStyles>
  <w:style w:type="paragraph" w:default="1" w:styleId="Normal">
    <w:name w:val="Normal"/>
    <w:qFormat/>
    <w:rsid w:val="00865533"/>
    <w:pPr>
      <w:widowControl w:val="0"/>
      <w:jc w:val="both"/>
    </w:pPr>
    <w:rPr>
      <w:rFonts w:ascii="Arial" w:hAnsi="Arial" w:cs="Arial"/>
      <w:snapToGrid w:val="0"/>
      <w:sz w:val="22"/>
      <w:lang w:eastAsia="en-US"/>
    </w:rPr>
  </w:style>
  <w:style w:type="paragraph" w:styleId="Heading1">
    <w:name w:val="heading 1"/>
    <w:aliases w:val="Outline1,p1,H1"/>
    <w:basedOn w:val="Normal"/>
    <w:next w:val="Normal"/>
    <w:uiPriority w:val="1"/>
    <w:qFormat/>
    <w:rsid w:val="00C6535E"/>
    <w:pPr>
      <w:ind w:left="720" w:hanging="720"/>
      <w:outlineLvl w:val="0"/>
    </w:pPr>
    <w:rPr>
      <w:rFonts w:ascii="Arial Bold" w:hAnsi="Arial Bold"/>
      <w:b/>
      <w:caps/>
    </w:rPr>
  </w:style>
  <w:style w:type="paragraph" w:styleId="Heading2">
    <w:name w:val="heading 2"/>
    <w:basedOn w:val="PBACHeading1"/>
    <w:next w:val="Normal"/>
    <w:link w:val="Heading2Char"/>
    <w:uiPriority w:val="1"/>
    <w:qFormat/>
    <w:rsid w:val="00534A2B"/>
    <w:pPr>
      <w:outlineLvl w:val="1"/>
    </w:pPr>
  </w:style>
  <w:style w:type="paragraph" w:styleId="Heading3">
    <w:name w:val="heading 3"/>
    <w:basedOn w:val="Normal"/>
    <w:next w:val="Normal"/>
    <w:uiPriority w:val="1"/>
    <w:qFormat/>
    <w:rsid w:val="00944D88"/>
    <w:pPr>
      <w:outlineLvl w:val="2"/>
    </w:pPr>
    <w:rPr>
      <w:b/>
      <w:bCs/>
      <w:i/>
      <w:szCs w:val="22"/>
    </w:rPr>
  </w:style>
  <w:style w:type="paragraph" w:styleId="Heading4">
    <w:name w:val="heading 4"/>
    <w:basedOn w:val="Normal"/>
    <w:next w:val="Normal"/>
    <w:uiPriority w:val="5"/>
    <w:qFormat/>
    <w:rsid w:val="00124A51"/>
    <w:pPr>
      <w:keepNext/>
      <w:spacing w:before="240" w:after="60"/>
      <w:outlineLvl w:val="3"/>
    </w:pPr>
    <w:rPr>
      <w:b/>
      <w:bCs/>
      <w:i/>
      <w:sz w:val="26"/>
      <w:szCs w:val="28"/>
    </w:rPr>
  </w:style>
  <w:style w:type="paragraph" w:styleId="Heading5">
    <w:name w:val="heading 5"/>
    <w:basedOn w:val="Normal"/>
    <w:next w:val="Normal"/>
    <w:uiPriority w:val="7"/>
    <w:qFormat/>
    <w:rsid w:val="00124A51"/>
    <w:pPr>
      <w:spacing w:before="240" w:after="60"/>
      <w:outlineLvl w:val="4"/>
    </w:pPr>
    <w:rPr>
      <w:b/>
      <w:bCs/>
      <w:iCs/>
      <w:sz w:val="26"/>
      <w:szCs w:val="26"/>
    </w:rPr>
  </w:style>
  <w:style w:type="paragraph" w:styleId="Heading6">
    <w:name w:val="heading 6"/>
    <w:basedOn w:val="Normal"/>
    <w:next w:val="Normal"/>
    <w:uiPriority w:val="7"/>
    <w:qFormat/>
    <w:rsid w:val="00124A51"/>
    <w:pPr>
      <w:spacing w:before="240" w:after="60"/>
      <w:outlineLvl w:val="5"/>
    </w:pPr>
    <w:rPr>
      <w:b/>
      <w:bCs/>
      <w:i/>
      <w:szCs w:val="22"/>
    </w:rPr>
  </w:style>
  <w:style w:type="paragraph" w:styleId="Heading7">
    <w:name w:val="heading 7"/>
    <w:basedOn w:val="Normal"/>
    <w:next w:val="Normal"/>
    <w:link w:val="Heading7Char"/>
    <w:uiPriority w:val="7"/>
    <w:qFormat/>
    <w:rsid w:val="00124A51"/>
    <w:pPr>
      <w:keepNext/>
      <w:jc w:val="center"/>
      <w:outlineLvl w:val="6"/>
    </w:pPr>
    <w:rPr>
      <w:b/>
      <w:sz w:val="20"/>
    </w:rPr>
  </w:style>
  <w:style w:type="paragraph" w:styleId="Heading8">
    <w:name w:val="heading 8"/>
    <w:basedOn w:val="Normal"/>
    <w:next w:val="Normal"/>
    <w:link w:val="Heading8Char"/>
    <w:uiPriority w:val="7"/>
    <w:qFormat/>
    <w:rsid w:val="00124A51"/>
    <w:pPr>
      <w:keepNext/>
      <w:jc w:val="right"/>
      <w:outlineLvl w:val="7"/>
    </w:pPr>
    <w:rPr>
      <w:b/>
    </w:rPr>
  </w:style>
  <w:style w:type="paragraph" w:styleId="Heading9">
    <w:name w:val="heading 9"/>
    <w:basedOn w:val="Normal"/>
    <w:next w:val="Normal"/>
    <w:link w:val="Heading9Char"/>
    <w:uiPriority w:val="7"/>
    <w:qFormat/>
    <w:rsid w:val="00124A51"/>
    <w:pPr>
      <w:keepNext/>
      <w:jc w:val="center"/>
      <w:outlineLvl w:val="8"/>
    </w:pPr>
    <w:rPr>
      <w:b/>
      <w:color w:val="00000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uiPriority w:val="4"/>
    <w:qFormat/>
    <w:rsid w:val="00C6535E"/>
    <w:rPr>
      <w:rFonts w:ascii="Arial Narrow" w:hAnsi="Arial Narrow"/>
      <w:sz w:val="18"/>
    </w:rPr>
  </w:style>
  <w:style w:type="paragraph" w:customStyle="1" w:styleId="TableHeader">
    <w:name w:val="Table Header"/>
    <w:basedOn w:val="Normal"/>
    <w:next w:val="Normal"/>
    <w:uiPriority w:val="3"/>
    <w:qFormat/>
    <w:rsid w:val="00C6535E"/>
    <w:rPr>
      <w:rFonts w:ascii="Arial Narrow" w:hAnsi="Arial Narrow"/>
      <w:b/>
      <w:sz w:val="20"/>
    </w:rPr>
  </w:style>
  <w:style w:type="character" w:customStyle="1" w:styleId="Heading2Char">
    <w:name w:val="Heading 2 Char"/>
    <w:link w:val="Heading2"/>
    <w:uiPriority w:val="1"/>
    <w:rsid w:val="00534A2B"/>
    <w:rPr>
      <w:rFonts w:ascii="Arial" w:hAnsi="Arial" w:cs="Arial"/>
      <w:b/>
      <w:snapToGrid w:val="0"/>
      <w:sz w:val="22"/>
      <w:szCs w:val="22"/>
      <w:lang w:eastAsia="en-US"/>
    </w:rPr>
  </w:style>
  <w:style w:type="character" w:customStyle="1" w:styleId="Heading7Char">
    <w:name w:val="Heading 7 Char"/>
    <w:basedOn w:val="DefaultParagraphFont"/>
    <w:link w:val="Heading7"/>
    <w:uiPriority w:val="7"/>
    <w:rsid w:val="00D97E30"/>
    <w:rPr>
      <w:rFonts w:ascii="Arial" w:hAnsi="Arial" w:cs="Arial"/>
      <w:b/>
      <w:snapToGrid w:val="0"/>
      <w:lang w:eastAsia="en-US"/>
    </w:rPr>
  </w:style>
  <w:style w:type="character" w:customStyle="1" w:styleId="Heading8Char">
    <w:name w:val="Heading 8 Char"/>
    <w:basedOn w:val="DefaultParagraphFont"/>
    <w:link w:val="Heading8"/>
    <w:uiPriority w:val="7"/>
    <w:rsid w:val="00D97E30"/>
    <w:rPr>
      <w:rFonts w:ascii="Arial" w:hAnsi="Arial" w:cs="Arial"/>
      <w:b/>
      <w:snapToGrid w:val="0"/>
      <w:sz w:val="22"/>
      <w:lang w:eastAsia="en-US"/>
    </w:rPr>
  </w:style>
  <w:style w:type="character" w:customStyle="1" w:styleId="Heading9Char">
    <w:name w:val="Heading 9 Char"/>
    <w:basedOn w:val="DefaultParagraphFont"/>
    <w:link w:val="Heading9"/>
    <w:uiPriority w:val="7"/>
    <w:rsid w:val="00D97E30"/>
    <w:rPr>
      <w:rFonts w:ascii="Arial" w:hAnsi="Arial" w:cs="Arial"/>
      <w:b/>
      <w:snapToGrid w:val="0"/>
      <w:color w:val="000000"/>
      <w:lang w:eastAsia="en-US"/>
    </w:rPr>
  </w:style>
  <w:style w:type="paragraph" w:styleId="Caption">
    <w:name w:val="caption"/>
    <w:basedOn w:val="Normal"/>
    <w:next w:val="TableHeader"/>
    <w:link w:val="CaptionChar"/>
    <w:uiPriority w:val="99"/>
    <w:unhideWhenUsed/>
    <w:qFormat/>
    <w:rsid w:val="005C7F65"/>
    <w:rPr>
      <w:rFonts w:ascii="Arial Narrow" w:hAnsi="Arial Narrow"/>
      <w:b/>
      <w:bCs/>
      <w:sz w:val="20"/>
      <w:szCs w:val="18"/>
    </w:rPr>
  </w:style>
  <w:style w:type="character" w:customStyle="1" w:styleId="CaptionChar">
    <w:name w:val="Caption Char"/>
    <w:link w:val="Caption"/>
    <w:uiPriority w:val="99"/>
    <w:rsid w:val="005C7F65"/>
    <w:rPr>
      <w:rFonts w:ascii="Arial Narrow" w:hAnsi="Arial Narrow" w:cs="Arial"/>
      <w:b/>
      <w:bCs/>
      <w:snapToGrid w:val="0"/>
      <w:szCs w:val="18"/>
      <w:lang w:eastAsia="en-US"/>
    </w:rPr>
  </w:style>
  <w:style w:type="paragraph" w:styleId="Title">
    <w:name w:val="Title"/>
    <w:basedOn w:val="Normal"/>
    <w:next w:val="Normal"/>
    <w:link w:val="TitleChar"/>
    <w:uiPriority w:val="7"/>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7"/>
    <w:rsid w:val="00D97E30"/>
    <w:rPr>
      <w:rFonts w:ascii="Cambria" w:hAnsi="Cambria" w:cs="Arial"/>
      <w:b/>
      <w:bCs/>
      <w:snapToGrid w:val="0"/>
      <w:kern w:val="28"/>
      <w:sz w:val="32"/>
      <w:szCs w:val="32"/>
      <w:lang w:eastAsia="en-US"/>
    </w:rPr>
  </w:style>
  <w:style w:type="paragraph" w:styleId="BodyText">
    <w:name w:val="Body Text"/>
    <w:basedOn w:val="Normal"/>
    <w:link w:val="BodyTextChar"/>
    <w:uiPriority w:val="9"/>
    <w:rsid w:val="004B3DDB"/>
    <w:pPr>
      <w:jc w:val="left"/>
    </w:pPr>
  </w:style>
  <w:style w:type="character" w:customStyle="1" w:styleId="BodyTextChar">
    <w:name w:val="Body Text Char"/>
    <w:basedOn w:val="DefaultParagraphFont"/>
    <w:link w:val="BodyText"/>
    <w:uiPriority w:val="9"/>
    <w:rsid w:val="00D97E30"/>
    <w:rPr>
      <w:rFonts w:ascii="Arial" w:hAnsi="Arial" w:cs="Arial"/>
      <w:snapToGrid w:val="0"/>
      <w:sz w:val="22"/>
      <w:lang w:eastAsia="en-US"/>
    </w:rPr>
  </w:style>
  <w:style w:type="paragraph" w:styleId="ListParagraph">
    <w:name w:val="List Paragraph"/>
    <w:aliases w:val="BulletPoints"/>
    <w:basedOn w:val="Normal"/>
    <w:link w:val="ListParagraphChar"/>
    <w:uiPriority w:val="34"/>
    <w:qFormat/>
    <w:rsid w:val="00124A51"/>
    <w:pPr>
      <w:ind w:left="720"/>
      <w:contextualSpacing/>
    </w:pPr>
  </w:style>
  <w:style w:type="paragraph" w:customStyle="1" w:styleId="RegularText">
    <w:name w:val="Regular Text"/>
    <w:basedOn w:val="BodyText"/>
    <w:link w:val="RegularTextChar"/>
    <w:uiPriority w:val="9"/>
    <w:rsid w:val="00124A51"/>
    <w:rPr>
      <w:b/>
    </w:rPr>
  </w:style>
  <w:style w:type="paragraph" w:styleId="NoSpacing">
    <w:name w:val="No Spacing"/>
    <w:uiPriority w:val="7"/>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uiPriority w:val="9"/>
    <w:rsid w:val="00D97E30"/>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5C7F65"/>
    <w:rPr>
      <w:rFonts w:ascii="Arial Narrow" w:hAnsi="Arial Narrow"/>
      <w:b/>
      <w:sz w:val="20"/>
      <w:szCs w:val="16"/>
    </w:rPr>
  </w:style>
  <w:style w:type="paragraph" w:customStyle="1" w:styleId="Tabletext">
    <w:name w:val="Table text"/>
    <w:basedOn w:val="Normal"/>
    <w:link w:val="TabletextChar"/>
    <w:uiPriority w:val="2"/>
    <w:qFormat/>
    <w:rsid w:val="00C6535E"/>
    <w:pPr>
      <w:widowControl/>
      <w:jc w:val="left"/>
    </w:pPr>
    <w:rPr>
      <w:rFonts w:ascii="Arial Narrow" w:hAnsi="Arial Narrow" w:cs="Times New Roman"/>
      <w:snapToGrid/>
      <w:sz w:val="20"/>
    </w:rPr>
  </w:style>
  <w:style w:type="paragraph" w:customStyle="1" w:styleId="TableHeading">
    <w:name w:val="TableHeading"/>
    <w:basedOn w:val="Normal"/>
    <w:uiPriority w:val="9"/>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uiPriority w:val="2"/>
    <w:rsid w:val="00C6535E"/>
    <w:rPr>
      <w:rFonts w:ascii="Arial Narrow" w:hAnsi="Arial Narrow"/>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EA3DB2"/>
    <w:pPr>
      <w:tabs>
        <w:tab w:val="left" w:pos="880"/>
        <w:tab w:val="right" w:leader="dot" w:pos="9016"/>
      </w:tabs>
      <w:spacing w:before="120"/>
      <w:ind w:left="220"/>
    </w:pPr>
    <w:rPr>
      <w:iCs/>
      <w:sz w:val="20"/>
    </w:rPr>
  </w:style>
  <w:style w:type="paragraph" w:styleId="TOC1">
    <w:name w:val="toc 1"/>
    <w:basedOn w:val="Normal"/>
    <w:next w:val="Normal"/>
    <w:autoRedefine/>
    <w:uiPriority w:val="39"/>
    <w:rsid w:val="00EA3DB2"/>
    <w:pPr>
      <w:tabs>
        <w:tab w:val="left" w:pos="660"/>
        <w:tab w:val="right" w:leader="dot" w:pos="9016"/>
      </w:tabs>
      <w:spacing w:before="240" w:after="120"/>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uiPriority w:val="9"/>
    <w:rsid w:val="00CE6274"/>
    <w:rPr>
      <w:rFonts w:ascii="Tahoma" w:hAnsi="Tahoma" w:cs="Tahoma"/>
      <w:sz w:val="16"/>
      <w:szCs w:val="16"/>
    </w:rPr>
  </w:style>
  <w:style w:type="character" w:customStyle="1" w:styleId="BalloonTextChar">
    <w:name w:val="Balloon Text Char"/>
    <w:basedOn w:val="DefaultParagraphFont"/>
    <w:link w:val="BalloonText"/>
    <w:uiPriority w:val="9"/>
    <w:rsid w:val="00D97E30"/>
    <w:rPr>
      <w:rFonts w:ascii="Tahoma" w:hAnsi="Tahoma" w:cs="Tahoma"/>
      <w:snapToGrid w:val="0"/>
      <w:sz w:val="16"/>
      <w:szCs w:val="16"/>
      <w:lang w:eastAsia="en-US"/>
    </w:rPr>
  </w:style>
  <w:style w:type="paragraph" w:styleId="BodyText3">
    <w:name w:val="Body Text 3"/>
    <w:basedOn w:val="Normal"/>
    <w:link w:val="BodyText3Char"/>
    <w:uiPriority w:val="9"/>
    <w:rsid w:val="00CE6274"/>
    <w:pPr>
      <w:spacing w:after="120"/>
    </w:pPr>
    <w:rPr>
      <w:sz w:val="16"/>
      <w:szCs w:val="16"/>
    </w:rPr>
  </w:style>
  <w:style w:type="character" w:customStyle="1" w:styleId="BodyText3Char">
    <w:name w:val="Body Text 3 Char"/>
    <w:basedOn w:val="DefaultParagraphFont"/>
    <w:link w:val="BodyText3"/>
    <w:uiPriority w:val="9"/>
    <w:rsid w:val="00D97E30"/>
    <w:rPr>
      <w:rFonts w:ascii="Arial" w:hAnsi="Arial" w:cs="Arial"/>
      <w:snapToGrid w:val="0"/>
      <w:sz w:val="16"/>
      <w:szCs w:val="16"/>
      <w:lang w:eastAsia="en-US"/>
    </w:rPr>
  </w:style>
  <w:style w:type="paragraph" w:styleId="TOC4">
    <w:name w:val="toc 4"/>
    <w:basedOn w:val="Normal"/>
    <w:next w:val="Normal"/>
    <w:autoRedefine/>
    <w:uiPriority w:val="9"/>
    <w:rsid w:val="00D0262E"/>
    <w:pPr>
      <w:ind w:left="660"/>
      <w:jc w:val="left"/>
    </w:pPr>
    <w:rPr>
      <w:rFonts w:asciiTheme="minorHAnsi" w:hAnsiTheme="minorHAnsi"/>
      <w:sz w:val="20"/>
    </w:rPr>
  </w:style>
  <w:style w:type="paragraph" w:styleId="TOC5">
    <w:name w:val="toc 5"/>
    <w:basedOn w:val="Normal"/>
    <w:next w:val="Normal"/>
    <w:autoRedefine/>
    <w:uiPriority w:val="9"/>
    <w:rsid w:val="00D0262E"/>
    <w:pPr>
      <w:ind w:left="880"/>
      <w:jc w:val="left"/>
    </w:pPr>
    <w:rPr>
      <w:rFonts w:asciiTheme="minorHAnsi" w:hAnsiTheme="minorHAnsi"/>
      <w:sz w:val="20"/>
    </w:rPr>
  </w:style>
  <w:style w:type="paragraph" w:styleId="TOC6">
    <w:name w:val="toc 6"/>
    <w:basedOn w:val="Normal"/>
    <w:next w:val="Normal"/>
    <w:autoRedefine/>
    <w:uiPriority w:val="9"/>
    <w:rsid w:val="00D0262E"/>
    <w:pPr>
      <w:ind w:left="1100"/>
      <w:jc w:val="left"/>
    </w:pPr>
    <w:rPr>
      <w:rFonts w:asciiTheme="minorHAnsi" w:hAnsiTheme="minorHAnsi"/>
      <w:sz w:val="20"/>
    </w:rPr>
  </w:style>
  <w:style w:type="paragraph" w:styleId="TOC7">
    <w:name w:val="toc 7"/>
    <w:basedOn w:val="Normal"/>
    <w:next w:val="Normal"/>
    <w:autoRedefine/>
    <w:uiPriority w:val="9"/>
    <w:rsid w:val="00D0262E"/>
    <w:pPr>
      <w:ind w:left="1320"/>
      <w:jc w:val="left"/>
    </w:pPr>
    <w:rPr>
      <w:rFonts w:asciiTheme="minorHAnsi" w:hAnsiTheme="minorHAnsi"/>
      <w:sz w:val="20"/>
    </w:rPr>
  </w:style>
  <w:style w:type="paragraph" w:styleId="TOC8">
    <w:name w:val="toc 8"/>
    <w:basedOn w:val="Normal"/>
    <w:next w:val="Normal"/>
    <w:autoRedefine/>
    <w:uiPriority w:val="9"/>
    <w:rsid w:val="00D0262E"/>
    <w:pPr>
      <w:ind w:left="1540"/>
      <w:jc w:val="left"/>
    </w:pPr>
    <w:rPr>
      <w:rFonts w:asciiTheme="minorHAnsi" w:hAnsiTheme="minorHAnsi"/>
      <w:sz w:val="20"/>
    </w:rPr>
  </w:style>
  <w:style w:type="paragraph" w:styleId="TOC9">
    <w:name w:val="toc 9"/>
    <w:basedOn w:val="Normal"/>
    <w:next w:val="Normal"/>
    <w:autoRedefine/>
    <w:uiPriority w:val="9"/>
    <w:rsid w:val="00D0262E"/>
    <w:pPr>
      <w:ind w:left="1760"/>
      <w:jc w:val="left"/>
    </w:pPr>
    <w:rPr>
      <w:rFonts w:asciiTheme="minorHAnsi" w:hAnsiTheme="minorHAnsi"/>
      <w:sz w:val="20"/>
    </w:rPr>
  </w:style>
  <w:style w:type="paragraph" w:styleId="BodyText2">
    <w:name w:val="Body Text 2"/>
    <w:basedOn w:val="Normal"/>
    <w:link w:val="BodyText2Char"/>
    <w:uiPriority w:val="9"/>
    <w:rsid w:val="00D17D6C"/>
    <w:pPr>
      <w:spacing w:after="120" w:line="480" w:lineRule="auto"/>
    </w:pPr>
  </w:style>
  <w:style w:type="character" w:customStyle="1" w:styleId="BodyText2Char">
    <w:name w:val="Body Text 2 Char"/>
    <w:basedOn w:val="DefaultParagraphFont"/>
    <w:link w:val="BodyText2"/>
    <w:uiPriority w:val="9"/>
    <w:rsid w:val="00D97E30"/>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uiPriority w:val="9"/>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uiPriority w:val="9"/>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uiPriority w:val="9"/>
    <w:rsid w:val="00CA7B09"/>
    <w:pPr>
      <w:keepNext w:val="0"/>
      <w:keepLines/>
      <w:spacing w:before="0" w:after="360"/>
      <w:ind w:left="720"/>
    </w:pPr>
    <w:rPr>
      <w:sz w:val="18"/>
      <w:szCs w:val="18"/>
    </w:rPr>
  </w:style>
  <w:style w:type="paragraph" w:customStyle="1" w:styleId="TableNotes0">
    <w:name w:val="TableNotes+0"/>
    <w:basedOn w:val="TableNotes18"/>
    <w:uiPriority w:val="9"/>
    <w:rsid w:val="00CA7B09"/>
    <w:pPr>
      <w:keepNext/>
      <w:spacing w:after="0"/>
    </w:pPr>
  </w:style>
  <w:style w:type="paragraph" w:styleId="CommentSubject">
    <w:name w:val="annotation subject"/>
    <w:basedOn w:val="CommentText"/>
    <w:next w:val="CommentText"/>
    <w:link w:val="CommentSubjectChar"/>
    <w:uiPriority w:val="9"/>
    <w:rsid w:val="004319F8"/>
    <w:rPr>
      <w:rFonts w:ascii="Arial" w:hAnsi="Arial" w:cs="Arial"/>
      <w:b/>
      <w:bCs/>
    </w:rPr>
  </w:style>
  <w:style w:type="character" w:customStyle="1" w:styleId="CommentSubjectChar">
    <w:name w:val="Comment Subject Char"/>
    <w:basedOn w:val="CommentTextChar"/>
    <w:link w:val="CommentSubject"/>
    <w:uiPriority w:val="9"/>
    <w:rsid w:val="00D97E30"/>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uiPriority w:val="9"/>
    <w:rsid w:val="00E41E30"/>
    <w:pPr>
      <w:spacing w:after="120"/>
      <w:ind w:left="283"/>
    </w:pPr>
  </w:style>
  <w:style w:type="character" w:customStyle="1" w:styleId="BodyTextIndentChar">
    <w:name w:val="Body Text Indent Char"/>
    <w:basedOn w:val="DefaultParagraphFont"/>
    <w:link w:val="BodyTextIndent"/>
    <w:uiPriority w:val="9"/>
    <w:rsid w:val="00D97E30"/>
    <w:rPr>
      <w:rFonts w:ascii="Arial" w:hAnsi="Arial" w:cs="Arial"/>
      <w:snapToGrid w:val="0"/>
      <w:sz w:val="22"/>
      <w:lang w:eastAsia="en-US"/>
    </w:rPr>
  </w:style>
  <w:style w:type="paragraph" w:customStyle="1" w:styleId="Char1CharCharChar">
    <w:name w:val="Char1 Char Char Char"/>
    <w:basedOn w:val="Normal"/>
    <w:uiPriority w:val="9"/>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aliases w:val="PBAC Paragraph Char"/>
    <w:link w:val="Subtitle"/>
    <w:uiPriority w:val="9"/>
    <w:rsid w:val="00D97E30"/>
    <w:rPr>
      <w:lang w:eastAsia="en-US"/>
    </w:rPr>
  </w:style>
  <w:style w:type="paragraph" w:styleId="Subtitle">
    <w:name w:val="Subtitle"/>
    <w:aliases w:val="PBAC Paragraph"/>
    <w:basedOn w:val="Normal"/>
    <w:link w:val="SubtitleChar"/>
    <w:uiPriority w:val="11"/>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uiPriority w:val="9"/>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uiPriority w:val="7"/>
    <w:qFormat/>
    <w:rsid w:val="00534A2B"/>
    <w:pPr>
      <w:numPr>
        <w:numId w:val="2"/>
      </w:numPr>
    </w:pPr>
    <w:rPr>
      <w:rFonts w:ascii="Arial" w:hAnsi="Arial" w:cs="Arial"/>
      <w:b/>
      <w:snapToGrid w:val="0"/>
      <w:sz w:val="22"/>
      <w:szCs w:val="22"/>
      <w:lang w:eastAsia="en-US"/>
    </w:rPr>
  </w:style>
  <w:style w:type="table" w:customStyle="1" w:styleId="TableGrid1">
    <w:name w:val="Table Grid1"/>
    <w:basedOn w:val="TableNormal"/>
    <w:next w:val="TableGrid"/>
    <w:uiPriority w:val="59"/>
    <w:rsid w:val="00C803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D97E30"/>
  </w:style>
  <w:style w:type="paragraph" w:customStyle="1" w:styleId="Table">
    <w:name w:val="Table"/>
    <w:basedOn w:val="Normal"/>
    <w:link w:val="TableChar"/>
    <w:qFormat/>
    <w:rsid w:val="00301CA6"/>
    <w:pPr>
      <w:widowControl/>
    </w:pPr>
    <w:rPr>
      <w:rFonts w:ascii="Candara" w:eastAsiaTheme="majorEastAsia" w:hAnsi="Candara" w:cstheme="majorBidi"/>
      <w:snapToGrid/>
      <w:sz w:val="20"/>
      <w:szCs w:val="22"/>
      <w:lang w:bidi="en-US"/>
    </w:rPr>
  </w:style>
  <w:style w:type="character" w:customStyle="1" w:styleId="TableChar">
    <w:name w:val="Table Char"/>
    <w:basedOn w:val="DefaultParagraphFont"/>
    <w:link w:val="Table"/>
    <w:locked/>
    <w:rsid w:val="00301CA6"/>
    <w:rPr>
      <w:rFonts w:ascii="Candara" w:eastAsiaTheme="majorEastAsia" w:hAnsi="Candara" w:cstheme="majorBidi"/>
      <w:szCs w:val="22"/>
      <w:lang w:eastAsia="en-US" w:bidi="en-US"/>
    </w:rPr>
  </w:style>
  <w:style w:type="character" w:customStyle="1" w:styleId="SmallBold">
    <w:name w:val="Small Bold"/>
    <w:basedOn w:val="DefaultParagraphFont"/>
    <w:uiPriority w:val="4"/>
    <w:qFormat/>
    <w:rsid w:val="00301CA6"/>
    <w:rPr>
      <w:rFonts w:ascii="Candara" w:hAnsi="Candara"/>
      <w:b/>
      <w:sz w:val="20"/>
      <w:lang w:val="en-AU"/>
    </w:rPr>
  </w:style>
  <w:style w:type="paragraph" w:customStyle="1" w:styleId="CaptionFootnote">
    <w:name w:val="Caption Footnote"/>
    <w:basedOn w:val="Caption"/>
    <w:qFormat/>
    <w:rsid w:val="00301CA6"/>
    <w:rPr>
      <w:rFonts w:ascii="Candara" w:eastAsiaTheme="majorEastAsia" w:hAnsi="Candara" w:cstheme="majorBidi"/>
      <w:b w:val="0"/>
      <w:snapToGrid/>
      <w:sz w:val="16"/>
      <w:lang w:bidi="en-US"/>
    </w:rPr>
  </w:style>
  <w:style w:type="paragraph" w:customStyle="1" w:styleId="xmsonormal">
    <w:name w:val="x_msonormal"/>
    <w:basedOn w:val="Normal"/>
    <w:rsid w:val="00301CA6"/>
    <w:pPr>
      <w:widowControl/>
      <w:spacing w:before="100" w:beforeAutospacing="1" w:after="100" w:afterAutospacing="1"/>
      <w:jc w:val="left"/>
    </w:pPr>
    <w:rPr>
      <w:rFonts w:ascii="Times New Roman" w:hAnsi="Times New Roman" w:cs="Times New Roman"/>
      <w:snapToGrid/>
      <w:sz w:val="24"/>
      <w:szCs w:val="24"/>
      <w:lang w:eastAsia="en-AU"/>
    </w:rPr>
  </w:style>
  <w:style w:type="paragraph" w:customStyle="1" w:styleId="TableCentre">
    <w:name w:val="Table Centre"/>
    <w:basedOn w:val="Table"/>
    <w:link w:val="TableCentreChar"/>
    <w:qFormat/>
    <w:rsid w:val="00E7275C"/>
    <w:pPr>
      <w:jc w:val="center"/>
    </w:pPr>
  </w:style>
  <w:style w:type="character" w:customStyle="1" w:styleId="TableCentreChar">
    <w:name w:val="Table Centre Char"/>
    <w:basedOn w:val="TableChar"/>
    <w:link w:val="TableCentre"/>
    <w:rsid w:val="00E7275C"/>
    <w:rPr>
      <w:rFonts w:ascii="Candara" w:eastAsiaTheme="majorEastAsia" w:hAnsi="Candara" w:cstheme="majorBidi"/>
      <w:szCs w:val="22"/>
      <w:lang w:eastAsia="en-US" w:bidi="en-US"/>
    </w:rPr>
  </w:style>
  <w:style w:type="paragraph" w:customStyle="1" w:styleId="TableBullets">
    <w:name w:val="Table Bullets"/>
    <w:basedOn w:val="Table"/>
    <w:uiPriority w:val="5"/>
    <w:qFormat/>
    <w:rsid w:val="00FC6FBA"/>
    <w:pPr>
      <w:numPr>
        <w:numId w:val="3"/>
      </w:numPr>
    </w:pPr>
  </w:style>
  <w:style w:type="character" w:customStyle="1" w:styleId="Small">
    <w:name w:val="Small"/>
    <w:basedOn w:val="DefaultParagraphFont"/>
    <w:uiPriority w:val="4"/>
    <w:qFormat/>
    <w:rsid w:val="00CF5DA1"/>
    <w:rPr>
      <w:rFonts w:ascii="Candara" w:hAnsi="Candara"/>
      <w:sz w:val="20"/>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CF5DA1"/>
    <w:pPr>
      <w:widowControl/>
      <w:spacing w:after="160" w:line="240" w:lineRule="exact"/>
      <w:jc w:val="left"/>
    </w:pPr>
    <w:rPr>
      <w:rFonts w:ascii="Verdana" w:eastAsia="MS Mincho" w:hAnsi="Verdana" w:cs="Verdana"/>
      <w:snapToGrid/>
      <w:sz w:val="20"/>
      <w:lang w:val="en-US"/>
    </w:rPr>
  </w:style>
  <w:style w:type="character" w:customStyle="1" w:styleId="SmallSubscript">
    <w:name w:val="Small Subscript"/>
    <w:basedOn w:val="Small"/>
    <w:uiPriority w:val="1"/>
    <w:qFormat/>
    <w:rsid w:val="005E29E9"/>
    <w:rPr>
      <w:rFonts w:ascii="Candara" w:hAnsi="Candara"/>
      <w:b w:val="0"/>
      <w:sz w:val="20"/>
      <w:vertAlign w:val="subscript"/>
    </w:rPr>
  </w:style>
  <w:style w:type="paragraph" w:styleId="FootnoteText">
    <w:name w:val="footnote text"/>
    <w:basedOn w:val="Normal"/>
    <w:link w:val="FootnoteTextChar"/>
    <w:semiHidden/>
    <w:unhideWhenUsed/>
    <w:rsid w:val="003808E4"/>
    <w:rPr>
      <w:sz w:val="20"/>
    </w:rPr>
  </w:style>
  <w:style w:type="character" w:customStyle="1" w:styleId="FootnoteTextChar">
    <w:name w:val="Footnote Text Char"/>
    <w:basedOn w:val="DefaultParagraphFont"/>
    <w:link w:val="FootnoteText"/>
    <w:semiHidden/>
    <w:rsid w:val="003808E4"/>
    <w:rPr>
      <w:rFonts w:ascii="Arial" w:hAnsi="Arial" w:cs="Arial"/>
      <w:snapToGrid w:val="0"/>
      <w:lang w:eastAsia="en-US"/>
    </w:rPr>
  </w:style>
  <w:style w:type="character" w:styleId="FootnoteReference">
    <w:name w:val="footnote reference"/>
    <w:basedOn w:val="DefaultParagraphFont"/>
    <w:semiHidden/>
    <w:unhideWhenUsed/>
    <w:rsid w:val="003808E4"/>
    <w:rPr>
      <w:vertAlign w:val="superscript"/>
    </w:rPr>
  </w:style>
  <w:style w:type="character" w:customStyle="1" w:styleId="TableHeadingChar">
    <w:name w:val="Table Heading Char"/>
    <w:basedOn w:val="DefaultParagraphFont"/>
    <w:rsid w:val="00583AAC"/>
    <w:rPr>
      <w:rFonts w:ascii="Arial" w:hAnsi="Arial"/>
      <w:b/>
      <w:noProof w:val="0"/>
      <w:sz w:val="20"/>
      <w:lang w:val="en-AU" w:eastAsia="en-AU" w:bidi="ar-SA"/>
    </w:rPr>
  </w:style>
  <w:style w:type="table" w:customStyle="1" w:styleId="TableGrid0">
    <w:name w:val="TableGrid"/>
    <w:rsid w:val="00E96285"/>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character" w:customStyle="1" w:styleId="Font">
    <w:name w:val="Font"/>
    <w:basedOn w:val="DefaultParagraphFont"/>
    <w:uiPriority w:val="1"/>
    <w:qFormat/>
    <w:rsid w:val="0053289E"/>
    <w:rPr>
      <w:rFonts w:ascii="Candara" w:hAnsi="Candara"/>
      <w:sz w:val="24"/>
    </w:rPr>
  </w:style>
  <w:style w:type="character" w:customStyle="1" w:styleId="TableText1">
    <w:name w:val="Table Text"/>
    <w:basedOn w:val="DefaultParagraphFont"/>
    <w:uiPriority w:val="4"/>
    <w:qFormat/>
    <w:rsid w:val="0053289E"/>
    <w:rPr>
      <w:rFonts w:ascii="Calibri" w:hAnsi="Calibri"/>
      <w:sz w:val="20"/>
    </w:rPr>
  </w:style>
  <w:style w:type="paragraph" w:customStyle="1" w:styleId="TableLeft">
    <w:name w:val="Table Left"/>
    <w:basedOn w:val="Normal"/>
    <w:link w:val="TableLeftChar"/>
    <w:uiPriority w:val="5"/>
    <w:qFormat/>
    <w:rsid w:val="0053289E"/>
    <w:pPr>
      <w:widowControl/>
      <w:jc w:val="left"/>
    </w:pPr>
    <w:rPr>
      <w:rFonts w:ascii="Calibri" w:eastAsiaTheme="majorEastAsia" w:hAnsi="Calibri" w:cstheme="majorBidi"/>
      <w:snapToGrid/>
      <w:sz w:val="20"/>
      <w:szCs w:val="22"/>
      <w:lang w:bidi="en-US"/>
    </w:rPr>
  </w:style>
  <w:style w:type="character" w:customStyle="1" w:styleId="TableLeftChar">
    <w:name w:val="Table Left Char"/>
    <w:basedOn w:val="DefaultParagraphFont"/>
    <w:link w:val="TableLeft"/>
    <w:uiPriority w:val="5"/>
    <w:rsid w:val="0053289E"/>
    <w:rPr>
      <w:rFonts w:ascii="Calibri" w:eastAsiaTheme="majorEastAsia" w:hAnsi="Calibri" w:cstheme="majorBidi"/>
      <w:szCs w:val="22"/>
      <w:lang w:eastAsia="en-US" w:bidi="en-US"/>
    </w:rPr>
  </w:style>
  <w:style w:type="character" w:customStyle="1" w:styleId="FontUnderlined">
    <w:name w:val="Font Underlined"/>
    <w:basedOn w:val="DefaultParagraphFont"/>
    <w:uiPriority w:val="1"/>
    <w:qFormat/>
    <w:rsid w:val="002F289F"/>
    <w:rPr>
      <w:rFonts w:ascii="Candara" w:hAnsi="Candara"/>
      <w:sz w:val="24"/>
      <w:u w:val="single"/>
    </w:rPr>
  </w:style>
  <w:style w:type="paragraph" w:customStyle="1" w:styleId="EndNoteBibliographyTitle">
    <w:name w:val="EndNote Bibliography Title"/>
    <w:basedOn w:val="Normal"/>
    <w:link w:val="EndNoteBibliographyTitleChar"/>
    <w:rsid w:val="00F61A43"/>
    <w:pPr>
      <w:jc w:val="center"/>
    </w:pPr>
    <w:rPr>
      <w:noProof/>
      <w:lang w:val="en-US"/>
    </w:rPr>
  </w:style>
  <w:style w:type="character" w:customStyle="1" w:styleId="EndNoteBibliographyTitleChar">
    <w:name w:val="EndNote Bibliography Title Char"/>
    <w:basedOn w:val="DefaultParagraphFont"/>
    <w:link w:val="EndNoteBibliographyTitle"/>
    <w:rsid w:val="00F61A43"/>
    <w:rPr>
      <w:rFonts w:ascii="Arial" w:hAnsi="Arial" w:cs="Arial"/>
      <w:noProof/>
      <w:snapToGrid w:val="0"/>
      <w:sz w:val="22"/>
      <w:lang w:val="en-US" w:eastAsia="en-US"/>
    </w:rPr>
  </w:style>
  <w:style w:type="paragraph" w:customStyle="1" w:styleId="EndNoteBibliography">
    <w:name w:val="EndNote Bibliography"/>
    <w:basedOn w:val="Normal"/>
    <w:link w:val="EndNoteBibliographyChar"/>
    <w:rsid w:val="00F61A43"/>
    <w:rPr>
      <w:noProof/>
      <w:lang w:val="en-US"/>
    </w:rPr>
  </w:style>
  <w:style w:type="character" w:customStyle="1" w:styleId="EndNoteBibliographyChar">
    <w:name w:val="EndNote Bibliography Char"/>
    <w:basedOn w:val="DefaultParagraphFont"/>
    <w:link w:val="EndNoteBibliography"/>
    <w:rsid w:val="00F61A43"/>
    <w:rPr>
      <w:rFonts w:ascii="Arial" w:hAnsi="Arial" w:cs="Arial"/>
      <w:noProof/>
      <w:snapToGrid w:val="0"/>
      <w:sz w:val="22"/>
      <w:lang w:val="en-US" w:eastAsia="en-US"/>
    </w:rPr>
  </w:style>
  <w:style w:type="character" w:styleId="IntenseReference">
    <w:name w:val="Intense Reference"/>
    <w:basedOn w:val="DefaultParagraphFont"/>
    <w:uiPriority w:val="32"/>
    <w:qFormat/>
    <w:rsid w:val="00D0192C"/>
    <w:rPr>
      <w:b/>
      <w:bCs/>
      <w:i/>
      <w:smallCaps/>
      <w:color w:val="C0504D" w:themeColor="accent2"/>
      <w:spacing w:val="5"/>
      <w:u w:val="none"/>
    </w:rPr>
  </w:style>
  <w:style w:type="character" w:customStyle="1" w:styleId="ListParagraphChar">
    <w:name w:val="List Paragraph Char"/>
    <w:aliases w:val="BulletPoints Char"/>
    <w:link w:val="ListParagraph"/>
    <w:uiPriority w:val="72"/>
    <w:rsid w:val="0031770A"/>
    <w:rPr>
      <w:rFonts w:ascii="Arial" w:hAnsi="Arial" w:cs="Arial"/>
      <w:snapToGrid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715656">
      <w:bodyDiv w:val="1"/>
      <w:marLeft w:val="0"/>
      <w:marRight w:val="0"/>
      <w:marTop w:val="0"/>
      <w:marBottom w:val="0"/>
      <w:divBdr>
        <w:top w:val="none" w:sz="0" w:space="0" w:color="auto"/>
        <w:left w:val="none" w:sz="0" w:space="0" w:color="auto"/>
        <w:bottom w:val="none" w:sz="0" w:space="0" w:color="auto"/>
        <w:right w:val="none" w:sz="0" w:space="0" w:color="auto"/>
      </w:divBdr>
    </w:div>
    <w:div w:id="987443570">
      <w:bodyDiv w:val="1"/>
      <w:marLeft w:val="0"/>
      <w:marRight w:val="0"/>
      <w:marTop w:val="0"/>
      <w:marBottom w:val="0"/>
      <w:divBdr>
        <w:top w:val="none" w:sz="0" w:space="0" w:color="auto"/>
        <w:left w:val="none" w:sz="0" w:space="0" w:color="auto"/>
        <w:bottom w:val="none" w:sz="0" w:space="0" w:color="auto"/>
        <w:right w:val="none" w:sz="0" w:space="0" w:color="auto"/>
      </w:divBdr>
    </w:div>
    <w:div w:id="1017731649">
      <w:bodyDiv w:val="1"/>
      <w:marLeft w:val="0"/>
      <w:marRight w:val="0"/>
      <w:marTop w:val="0"/>
      <w:marBottom w:val="0"/>
      <w:divBdr>
        <w:top w:val="none" w:sz="0" w:space="0" w:color="auto"/>
        <w:left w:val="none" w:sz="0" w:space="0" w:color="auto"/>
        <w:bottom w:val="none" w:sz="0" w:space="0" w:color="auto"/>
        <w:right w:val="none" w:sz="0" w:space="0" w:color="auto"/>
      </w:divBdr>
    </w:div>
    <w:div w:id="1024134871">
      <w:bodyDiv w:val="1"/>
      <w:marLeft w:val="0"/>
      <w:marRight w:val="0"/>
      <w:marTop w:val="0"/>
      <w:marBottom w:val="0"/>
      <w:divBdr>
        <w:top w:val="none" w:sz="0" w:space="0" w:color="auto"/>
        <w:left w:val="none" w:sz="0" w:space="0" w:color="auto"/>
        <w:bottom w:val="none" w:sz="0" w:space="0" w:color="auto"/>
        <w:right w:val="none" w:sz="0" w:space="0" w:color="auto"/>
      </w:divBdr>
    </w:div>
    <w:div w:id="1168211487">
      <w:bodyDiv w:val="1"/>
      <w:marLeft w:val="0"/>
      <w:marRight w:val="0"/>
      <w:marTop w:val="0"/>
      <w:marBottom w:val="0"/>
      <w:divBdr>
        <w:top w:val="none" w:sz="0" w:space="0" w:color="auto"/>
        <w:left w:val="none" w:sz="0" w:space="0" w:color="auto"/>
        <w:bottom w:val="none" w:sz="0" w:space="0" w:color="auto"/>
        <w:right w:val="none" w:sz="0" w:space="0" w:color="auto"/>
      </w:divBdr>
    </w:div>
    <w:div w:id="1417046989">
      <w:bodyDiv w:val="1"/>
      <w:marLeft w:val="0"/>
      <w:marRight w:val="0"/>
      <w:marTop w:val="0"/>
      <w:marBottom w:val="0"/>
      <w:divBdr>
        <w:top w:val="none" w:sz="0" w:space="0" w:color="auto"/>
        <w:left w:val="none" w:sz="0" w:space="0" w:color="auto"/>
        <w:bottom w:val="none" w:sz="0" w:space="0" w:color="auto"/>
        <w:right w:val="none" w:sz="0" w:space="0" w:color="auto"/>
      </w:divBdr>
    </w:div>
    <w:div w:id="1625429782">
      <w:bodyDiv w:val="1"/>
      <w:marLeft w:val="0"/>
      <w:marRight w:val="0"/>
      <w:marTop w:val="0"/>
      <w:marBottom w:val="0"/>
      <w:divBdr>
        <w:top w:val="none" w:sz="0" w:space="0" w:color="auto"/>
        <w:left w:val="none" w:sz="0" w:space="0" w:color="auto"/>
        <w:bottom w:val="none" w:sz="0" w:space="0" w:color="auto"/>
        <w:right w:val="none" w:sz="0" w:space="0" w:color="auto"/>
      </w:divBdr>
    </w:div>
    <w:div w:id="1736853139">
      <w:bodyDiv w:val="1"/>
      <w:marLeft w:val="0"/>
      <w:marRight w:val="0"/>
      <w:marTop w:val="0"/>
      <w:marBottom w:val="0"/>
      <w:divBdr>
        <w:top w:val="none" w:sz="0" w:space="0" w:color="auto"/>
        <w:left w:val="none" w:sz="0" w:space="0" w:color="auto"/>
        <w:bottom w:val="none" w:sz="0" w:space="0" w:color="auto"/>
        <w:right w:val="none" w:sz="0" w:space="0" w:color="auto"/>
      </w:divBdr>
    </w:div>
    <w:div w:id="1806772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49ECA-4FBA-4416-9227-310EEEAE7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7845</Words>
  <Characters>44717</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52458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2016-10-05T05:10:00Z</dcterms:created>
  <dcterms:modified xsi:type="dcterms:W3CDTF">2016-10-05T05:27:00Z</dcterms:modified>
</cp:coreProperties>
</file>