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04" w:rsidRPr="007F1104" w:rsidRDefault="007F1104" w:rsidP="007F1104"/>
    <w:p w:rsidR="00C27B58" w:rsidRPr="00EE4962" w:rsidRDefault="00D40999" w:rsidP="0018643B">
      <w:pPr>
        <w:pStyle w:val="Title"/>
        <w:rPr>
          <w:szCs w:val="28"/>
        </w:rPr>
      </w:pPr>
      <w:r w:rsidRPr="00EE4962">
        <w:rPr>
          <w:szCs w:val="28"/>
        </w:rPr>
        <w:t>5.16</w:t>
      </w:r>
      <w:r w:rsidR="007C0F57" w:rsidRPr="00EE4962">
        <w:rPr>
          <w:szCs w:val="28"/>
        </w:rPr>
        <w:tab/>
      </w:r>
      <w:r w:rsidR="000F1804" w:rsidRPr="00EE4962">
        <w:rPr>
          <w:szCs w:val="28"/>
        </w:rPr>
        <w:t>A</w:t>
      </w:r>
      <w:r w:rsidR="0091506E">
        <w:rPr>
          <w:szCs w:val="28"/>
        </w:rPr>
        <w:t>LENDRON</w:t>
      </w:r>
      <w:r w:rsidR="009A7EE5">
        <w:rPr>
          <w:szCs w:val="28"/>
        </w:rPr>
        <w:t>IC ACID</w:t>
      </w:r>
      <w:r w:rsidR="001A7CC3" w:rsidRPr="00EE4962">
        <w:rPr>
          <w:szCs w:val="28"/>
        </w:rPr>
        <w:t xml:space="preserve"> </w:t>
      </w:r>
    </w:p>
    <w:p w:rsidR="00C27B58" w:rsidRPr="00EE4962" w:rsidRDefault="00426298" w:rsidP="0018643B">
      <w:pPr>
        <w:pStyle w:val="Title"/>
        <w:ind w:left="720"/>
        <w:rPr>
          <w:szCs w:val="28"/>
        </w:rPr>
      </w:pPr>
      <w:r w:rsidRPr="00EE4962">
        <w:rPr>
          <w:szCs w:val="28"/>
        </w:rPr>
        <w:t>Tablet, e</w:t>
      </w:r>
      <w:r w:rsidR="006E260A" w:rsidRPr="00EE4962">
        <w:rPr>
          <w:szCs w:val="28"/>
        </w:rPr>
        <w:t>ffervescent</w:t>
      </w:r>
      <w:r w:rsidRPr="00EE4962">
        <w:rPr>
          <w:szCs w:val="28"/>
        </w:rPr>
        <w:t xml:space="preserve">, </w:t>
      </w:r>
      <w:r w:rsidR="006E260A" w:rsidRPr="00EE4962">
        <w:rPr>
          <w:szCs w:val="28"/>
        </w:rPr>
        <w:t>70</w:t>
      </w:r>
      <w:r w:rsidRPr="00EE4962">
        <w:rPr>
          <w:szCs w:val="28"/>
        </w:rPr>
        <w:t xml:space="preserve"> </w:t>
      </w:r>
      <w:r w:rsidR="006E260A" w:rsidRPr="00EE4962">
        <w:rPr>
          <w:szCs w:val="28"/>
        </w:rPr>
        <w:t>mg</w:t>
      </w:r>
      <w:r w:rsidRPr="00EE4962">
        <w:rPr>
          <w:szCs w:val="28"/>
        </w:rPr>
        <w:t xml:space="preserve"> (as alendronate sodium)</w:t>
      </w:r>
    </w:p>
    <w:p w:rsidR="00C27B58" w:rsidRDefault="00D45BD6" w:rsidP="003202ED">
      <w:pPr>
        <w:pStyle w:val="Title"/>
        <w:ind w:left="720"/>
        <w:rPr>
          <w:szCs w:val="28"/>
        </w:rPr>
      </w:pPr>
      <w:proofErr w:type="spellStart"/>
      <w:r>
        <w:rPr>
          <w:szCs w:val="28"/>
        </w:rPr>
        <w:t>Binosto</w:t>
      </w:r>
      <w:proofErr w:type="spellEnd"/>
      <w:r w:rsidR="0004240E" w:rsidRPr="00EE4962">
        <w:rPr>
          <w:szCs w:val="28"/>
          <w:vertAlign w:val="superscript"/>
        </w:rPr>
        <w:t>®</w:t>
      </w:r>
      <w:r w:rsidR="00EF44A0" w:rsidRPr="00EE4962">
        <w:rPr>
          <w:szCs w:val="28"/>
        </w:rPr>
        <w:t xml:space="preserve">, </w:t>
      </w:r>
      <w:r w:rsidR="006E260A" w:rsidRPr="00EE4962">
        <w:rPr>
          <w:szCs w:val="28"/>
        </w:rPr>
        <w:t>My Health 365 Pty Ltd</w:t>
      </w:r>
    </w:p>
    <w:p w:rsidR="003202ED" w:rsidRPr="003202ED" w:rsidRDefault="003202ED" w:rsidP="003202ED"/>
    <w:p w:rsidR="00CE10C4" w:rsidRPr="00C603D4" w:rsidRDefault="00CE10C4" w:rsidP="007B641B">
      <w:pPr>
        <w:pStyle w:val="Heading1"/>
        <w:tabs>
          <w:tab w:val="clear" w:pos="643"/>
        </w:tabs>
        <w:ind w:left="709" w:hanging="709"/>
      </w:pPr>
      <w:r w:rsidRPr="00C603D4">
        <w:t xml:space="preserve">Purpose of </w:t>
      </w:r>
      <w:r w:rsidR="0004240E" w:rsidRPr="00C603D4">
        <w:t>Application</w:t>
      </w:r>
    </w:p>
    <w:p w:rsidR="006A12A5" w:rsidRPr="00882085" w:rsidRDefault="006A12A5" w:rsidP="00882085">
      <w:pPr>
        <w:jc w:val="both"/>
        <w:rPr>
          <w:rFonts w:ascii="Arial" w:hAnsi="Arial"/>
          <w:sz w:val="22"/>
          <w:szCs w:val="22"/>
        </w:rPr>
      </w:pPr>
    </w:p>
    <w:p w:rsidR="006A12A5" w:rsidRPr="00EF44A0" w:rsidRDefault="00EF44A0" w:rsidP="006F0AEC">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submission sought </w:t>
      </w:r>
      <w:r w:rsidR="00531F1C">
        <w:rPr>
          <w:rFonts w:ascii="Arial" w:hAnsi="Arial"/>
          <w:sz w:val="22"/>
          <w:szCs w:val="22"/>
        </w:rPr>
        <w:t xml:space="preserve">to list an effervescent </w:t>
      </w:r>
      <w:r w:rsidR="00E9653A">
        <w:rPr>
          <w:rFonts w:ascii="Arial" w:hAnsi="Arial"/>
          <w:sz w:val="22"/>
          <w:szCs w:val="22"/>
        </w:rPr>
        <w:t>formulation of alendronate on the PBS.</w:t>
      </w:r>
    </w:p>
    <w:p w:rsidR="00005655" w:rsidRPr="00F9629A" w:rsidRDefault="00005655" w:rsidP="00005655">
      <w:pPr>
        <w:pStyle w:val="NoSpacing"/>
      </w:pPr>
    </w:p>
    <w:p w:rsidR="00005655" w:rsidRPr="00077143" w:rsidRDefault="00005655" w:rsidP="006F0AEC">
      <w:pPr>
        <w:pStyle w:val="Heading1"/>
        <w:numPr>
          <w:ilvl w:val="0"/>
          <w:numId w:val="1"/>
        </w:numPr>
      </w:pPr>
      <w:r w:rsidRPr="004A2484">
        <w:t>Requested listing</w:t>
      </w:r>
      <w:r>
        <w:t xml:space="preserve"> </w:t>
      </w:r>
    </w:p>
    <w:p w:rsidR="00D1455A" w:rsidRPr="007B641B" w:rsidRDefault="00D1455A" w:rsidP="00D45BD6">
      <w:pPr>
        <w:jc w:val="both"/>
        <w:rPr>
          <w:rFonts w:ascii="Arial" w:hAnsi="Arial"/>
          <w:b/>
          <w:sz w:val="22"/>
          <w:szCs w:val="22"/>
        </w:rPr>
      </w:pPr>
    </w:p>
    <w:p w:rsidR="00CB3AC4" w:rsidRPr="003B356D" w:rsidRDefault="00BD0CF0" w:rsidP="00F5009D">
      <w:pPr>
        <w:pStyle w:val="ListParagraph"/>
        <w:numPr>
          <w:ilvl w:val="1"/>
          <w:numId w:val="1"/>
        </w:numPr>
        <w:jc w:val="both"/>
        <w:rPr>
          <w:rFonts w:ascii="Arial" w:hAnsi="Arial"/>
          <w:sz w:val="22"/>
          <w:szCs w:val="22"/>
        </w:rPr>
      </w:pPr>
      <w:r w:rsidRPr="003B356D">
        <w:rPr>
          <w:rFonts w:ascii="Arial" w:hAnsi="Arial"/>
          <w:sz w:val="22"/>
          <w:szCs w:val="22"/>
        </w:rPr>
        <w:t>The submission</w:t>
      </w:r>
      <w:r w:rsidR="009B4700" w:rsidRPr="003B356D">
        <w:rPr>
          <w:rFonts w:ascii="Arial" w:hAnsi="Arial"/>
          <w:sz w:val="22"/>
          <w:szCs w:val="22"/>
        </w:rPr>
        <w:t xml:space="preserve"> d</w:t>
      </w:r>
      <w:r w:rsidR="00081548" w:rsidRPr="003B356D">
        <w:rPr>
          <w:rFonts w:ascii="Arial" w:hAnsi="Arial"/>
          <w:sz w:val="22"/>
          <w:szCs w:val="22"/>
        </w:rPr>
        <w:t>id</w:t>
      </w:r>
      <w:r w:rsidR="009B4700" w:rsidRPr="003B356D">
        <w:rPr>
          <w:rFonts w:ascii="Arial" w:hAnsi="Arial"/>
          <w:sz w:val="22"/>
          <w:szCs w:val="22"/>
        </w:rPr>
        <w:t xml:space="preserve"> not </w:t>
      </w:r>
      <w:r w:rsidR="00D45BD6" w:rsidRPr="003B356D">
        <w:rPr>
          <w:rFonts w:ascii="Arial" w:hAnsi="Arial"/>
          <w:sz w:val="22"/>
          <w:szCs w:val="22"/>
        </w:rPr>
        <w:t xml:space="preserve">propose a restriction </w:t>
      </w:r>
      <w:r w:rsidR="009B4700" w:rsidRPr="003B356D">
        <w:rPr>
          <w:rFonts w:ascii="Arial" w:hAnsi="Arial"/>
          <w:sz w:val="22"/>
          <w:szCs w:val="22"/>
        </w:rPr>
        <w:t>for th</w:t>
      </w:r>
      <w:r w:rsidR="0062654B" w:rsidRPr="003B356D">
        <w:rPr>
          <w:rFonts w:ascii="Arial" w:hAnsi="Arial"/>
          <w:sz w:val="22"/>
          <w:szCs w:val="22"/>
        </w:rPr>
        <w:t>e new formulation of alendronate</w:t>
      </w:r>
      <w:r w:rsidR="00EB1181" w:rsidRPr="003B356D">
        <w:rPr>
          <w:rFonts w:ascii="Arial" w:hAnsi="Arial"/>
          <w:sz w:val="22"/>
          <w:szCs w:val="22"/>
        </w:rPr>
        <w:t>. However, the estimated financial impact was based on use by</w:t>
      </w:r>
      <w:r w:rsidR="008956F3" w:rsidRPr="003B356D">
        <w:rPr>
          <w:rFonts w:ascii="Arial" w:hAnsi="Arial"/>
          <w:sz w:val="22"/>
          <w:szCs w:val="22"/>
        </w:rPr>
        <w:t xml:space="preserve"> patients with dysphagia or other swallowing difficulties</w:t>
      </w:r>
      <w:r w:rsidR="009B4700" w:rsidRPr="003B356D">
        <w:rPr>
          <w:rFonts w:ascii="Arial" w:hAnsi="Arial"/>
          <w:sz w:val="22"/>
          <w:szCs w:val="22"/>
        </w:rPr>
        <w:t>.</w:t>
      </w:r>
      <w:r w:rsidR="00F5009D" w:rsidRPr="003B356D">
        <w:rPr>
          <w:rFonts w:ascii="Arial" w:hAnsi="Arial"/>
          <w:sz w:val="22"/>
          <w:szCs w:val="22"/>
        </w:rPr>
        <w:t xml:space="preserve"> </w:t>
      </w:r>
      <w:r w:rsidR="00CB3AC4" w:rsidRPr="003B356D">
        <w:rPr>
          <w:rFonts w:ascii="Arial" w:hAnsi="Arial"/>
          <w:sz w:val="22"/>
          <w:szCs w:val="22"/>
        </w:rPr>
        <w:t>The</w:t>
      </w:r>
      <w:r w:rsidR="001A4785" w:rsidRPr="003B356D">
        <w:rPr>
          <w:rFonts w:ascii="Arial" w:hAnsi="Arial"/>
          <w:sz w:val="22"/>
          <w:szCs w:val="22"/>
        </w:rPr>
        <w:t>re</w:t>
      </w:r>
      <w:r w:rsidR="00CB3AC4" w:rsidRPr="003B356D">
        <w:rPr>
          <w:rFonts w:ascii="Arial" w:hAnsi="Arial"/>
          <w:sz w:val="22"/>
          <w:szCs w:val="22"/>
        </w:rPr>
        <w:t xml:space="preserve"> is likely to be</w:t>
      </w:r>
      <w:r w:rsidR="001A4785" w:rsidRPr="003B356D">
        <w:rPr>
          <w:rFonts w:ascii="Arial" w:hAnsi="Arial"/>
          <w:sz w:val="22"/>
          <w:szCs w:val="22"/>
        </w:rPr>
        <w:t xml:space="preserve"> two potential populations that could be considered: </w:t>
      </w:r>
    </w:p>
    <w:p w:rsidR="00CB3AC4" w:rsidRPr="003B356D" w:rsidRDefault="001A4785" w:rsidP="00CB3AC4">
      <w:pPr>
        <w:pStyle w:val="ListParagraph"/>
        <w:jc w:val="both"/>
        <w:rPr>
          <w:rFonts w:ascii="Arial" w:hAnsi="Arial"/>
          <w:sz w:val="22"/>
          <w:szCs w:val="22"/>
        </w:rPr>
      </w:pPr>
      <w:r w:rsidRPr="003B356D">
        <w:rPr>
          <w:rFonts w:ascii="Arial" w:hAnsi="Arial"/>
          <w:sz w:val="22"/>
          <w:szCs w:val="22"/>
        </w:rPr>
        <w:t xml:space="preserve">a) </w:t>
      </w:r>
      <w:proofErr w:type="gramStart"/>
      <w:r w:rsidR="00CB3AC4" w:rsidRPr="003B356D">
        <w:rPr>
          <w:rFonts w:ascii="Arial" w:hAnsi="Arial"/>
          <w:sz w:val="22"/>
          <w:szCs w:val="22"/>
        </w:rPr>
        <w:t>any</w:t>
      </w:r>
      <w:proofErr w:type="gramEnd"/>
      <w:r w:rsidR="00CB3AC4" w:rsidRPr="003B356D">
        <w:rPr>
          <w:rFonts w:ascii="Arial" w:hAnsi="Arial"/>
          <w:sz w:val="22"/>
          <w:szCs w:val="22"/>
        </w:rPr>
        <w:t xml:space="preserve"> </w:t>
      </w:r>
      <w:r w:rsidRPr="003B356D">
        <w:rPr>
          <w:rFonts w:ascii="Arial" w:hAnsi="Arial"/>
          <w:sz w:val="22"/>
          <w:szCs w:val="22"/>
        </w:rPr>
        <w:t>patient</w:t>
      </w:r>
      <w:r w:rsidR="00531F1C" w:rsidRPr="003B356D">
        <w:rPr>
          <w:rFonts w:ascii="Arial" w:hAnsi="Arial"/>
          <w:sz w:val="22"/>
          <w:szCs w:val="22"/>
        </w:rPr>
        <w:t>s</w:t>
      </w:r>
      <w:r w:rsidRPr="003B356D">
        <w:rPr>
          <w:rFonts w:ascii="Arial" w:hAnsi="Arial"/>
          <w:sz w:val="22"/>
          <w:szCs w:val="22"/>
        </w:rPr>
        <w:t xml:space="preserve"> </w:t>
      </w:r>
      <w:r w:rsidR="00CB3AC4" w:rsidRPr="003B356D">
        <w:rPr>
          <w:rFonts w:ascii="Arial" w:hAnsi="Arial"/>
          <w:sz w:val="22"/>
          <w:szCs w:val="22"/>
        </w:rPr>
        <w:t>who meet the current bisphosphonate restriction;</w:t>
      </w:r>
      <w:r w:rsidRPr="003B356D">
        <w:rPr>
          <w:rFonts w:ascii="Arial" w:hAnsi="Arial"/>
          <w:sz w:val="22"/>
          <w:szCs w:val="22"/>
        </w:rPr>
        <w:t xml:space="preserve"> or </w:t>
      </w:r>
    </w:p>
    <w:p w:rsidR="00CB3AC4" w:rsidRPr="003B356D" w:rsidRDefault="00CB3AC4" w:rsidP="00CB3AC4">
      <w:pPr>
        <w:pStyle w:val="ListParagraph"/>
        <w:jc w:val="both"/>
        <w:rPr>
          <w:rFonts w:ascii="Arial" w:hAnsi="Arial"/>
          <w:sz w:val="22"/>
          <w:szCs w:val="22"/>
        </w:rPr>
      </w:pPr>
      <w:r w:rsidRPr="003B356D">
        <w:rPr>
          <w:rFonts w:ascii="Arial" w:hAnsi="Arial"/>
          <w:sz w:val="22"/>
          <w:szCs w:val="22"/>
        </w:rPr>
        <w:t>b)</w:t>
      </w:r>
      <w:r w:rsidR="00531F1C" w:rsidRPr="003B356D">
        <w:rPr>
          <w:rFonts w:ascii="Arial" w:hAnsi="Arial"/>
          <w:sz w:val="22"/>
          <w:szCs w:val="22"/>
        </w:rPr>
        <w:t xml:space="preserve"> </w:t>
      </w:r>
      <w:proofErr w:type="gramStart"/>
      <w:r w:rsidR="00531F1C" w:rsidRPr="003B356D">
        <w:rPr>
          <w:rFonts w:ascii="Arial" w:hAnsi="Arial"/>
          <w:sz w:val="22"/>
          <w:szCs w:val="22"/>
        </w:rPr>
        <w:t>any</w:t>
      </w:r>
      <w:proofErr w:type="gramEnd"/>
      <w:r w:rsidR="00531F1C" w:rsidRPr="003B356D">
        <w:rPr>
          <w:rFonts w:ascii="Arial" w:hAnsi="Arial"/>
          <w:sz w:val="22"/>
          <w:szCs w:val="22"/>
        </w:rPr>
        <w:t xml:space="preserve"> </w:t>
      </w:r>
      <w:r w:rsidR="001A4785" w:rsidRPr="003B356D">
        <w:rPr>
          <w:rFonts w:ascii="Arial" w:hAnsi="Arial"/>
          <w:sz w:val="22"/>
          <w:szCs w:val="22"/>
        </w:rPr>
        <w:t xml:space="preserve">patients </w:t>
      </w:r>
      <w:r w:rsidRPr="003B356D">
        <w:rPr>
          <w:rFonts w:ascii="Arial" w:hAnsi="Arial"/>
          <w:sz w:val="22"/>
          <w:szCs w:val="22"/>
        </w:rPr>
        <w:t xml:space="preserve">who meet the current bisphosphonate restriction </w:t>
      </w:r>
      <w:r w:rsidR="001A4785" w:rsidRPr="003B356D">
        <w:rPr>
          <w:rFonts w:ascii="Arial" w:hAnsi="Arial"/>
          <w:sz w:val="22"/>
          <w:szCs w:val="22"/>
        </w:rPr>
        <w:t xml:space="preserve">AND suffer from dysphagia or other swallowing conditions. </w:t>
      </w:r>
    </w:p>
    <w:p w:rsidR="00BE41BE" w:rsidRDefault="00BE41BE" w:rsidP="00CB3AC4">
      <w:pPr>
        <w:pStyle w:val="ListParagraph"/>
        <w:jc w:val="both"/>
        <w:rPr>
          <w:rFonts w:ascii="Arial" w:hAnsi="Arial"/>
          <w:sz w:val="22"/>
          <w:szCs w:val="22"/>
        </w:rPr>
      </w:pPr>
    </w:p>
    <w:p w:rsidR="00BB7EC3" w:rsidRDefault="00B2233B" w:rsidP="00214D10">
      <w:pPr>
        <w:ind w:firstLine="720"/>
        <w:jc w:val="both"/>
        <w:rPr>
          <w:rFonts w:ascii="Arial" w:hAnsi="Arial"/>
          <w:b/>
          <w:sz w:val="22"/>
          <w:szCs w:val="22"/>
        </w:rPr>
      </w:pPr>
      <w:r w:rsidRPr="00E13640">
        <w:rPr>
          <w:rFonts w:ascii="Arial" w:hAnsi="Arial" w:cs="Arial"/>
          <w:bCs/>
          <w:i/>
          <w:snapToGrid w:val="0"/>
          <w:sz w:val="22"/>
          <w:szCs w:val="22"/>
        </w:rPr>
        <w:t xml:space="preserve">For more detail on PBAC’s view, see section </w:t>
      </w:r>
      <w:r w:rsidR="00790F56" w:rsidRPr="00E13640">
        <w:rPr>
          <w:rFonts w:ascii="Arial" w:hAnsi="Arial" w:cs="Arial"/>
          <w:bCs/>
          <w:i/>
          <w:snapToGrid w:val="0"/>
          <w:sz w:val="22"/>
          <w:szCs w:val="22"/>
        </w:rPr>
        <w:t>6</w:t>
      </w:r>
      <w:r w:rsidRPr="00E13640">
        <w:rPr>
          <w:rFonts w:ascii="Arial" w:hAnsi="Arial" w:cs="Arial"/>
          <w:bCs/>
          <w:i/>
          <w:snapToGrid w:val="0"/>
          <w:sz w:val="22"/>
          <w:szCs w:val="22"/>
        </w:rPr>
        <w:t xml:space="preserve"> “PBAC outcome”</w:t>
      </w:r>
    </w:p>
    <w:p w:rsidR="006673E1" w:rsidRPr="00882085" w:rsidRDefault="006673E1" w:rsidP="00882085">
      <w:pPr>
        <w:jc w:val="both"/>
        <w:rPr>
          <w:rFonts w:ascii="Arial" w:hAnsi="Arial"/>
          <w:b/>
          <w:sz w:val="22"/>
          <w:szCs w:val="22"/>
        </w:rPr>
      </w:pPr>
    </w:p>
    <w:p w:rsidR="00CE10C4" w:rsidRPr="00C603D4" w:rsidRDefault="00CE10C4" w:rsidP="006F0AEC">
      <w:pPr>
        <w:pStyle w:val="Heading1"/>
        <w:numPr>
          <w:ilvl w:val="0"/>
          <w:numId w:val="1"/>
        </w:numPr>
      </w:pPr>
      <w:r w:rsidRPr="00C603D4">
        <w:t>Background</w:t>
      </w:r>
    </w:p>
    <w:p w:rsidR="00C603D4" w:rsidRPr="00C603D4" w:rsidRDefault="00C603D4" w:rsidP="00C603D4">
      <w:pPr>
        <w:pStyle w:val="ListParagraph"/>
        <w:jc w:val="both"/>
        <w:rPr>
          <w:rFonts w:ascii="Arial" w:hAnsi="Arial"/>
          <w:i/>
          <w:sz w:val="22"/>
          <w:szCs w:val="22"/>
        </w:rPr>
      </w:pPr>
    </w:p>
    <w:p w:rsidR="006B0D94" w:rsidRDefault="00DB0AD8" w:rsidP="00882085">
      <w:pPr>
        <w:pStyle w:val="ListParagraph"/>
        <w:numPr>
          <w:ilvl w:val="1"/>
          <w:numId w:val="1"/>
        </w:numPr>
        <w:jc w:val="both"/>
        <w:rPr>
          <w:rFonts w:ascii="Arial" w:hAnsi="Arial"/>
          <w:sz w:val="22"/>
          <w:szCs w:val="22"/>
        </w:rPr>
      </w:pPr>
      <w:r w:rsidRPr="004141F0">
        <w:rPr>
          <w:rFonts w:ascii="Arial" w:hAnsi="Arial"/>
          <w:sz w:val="22"/>
          <w:szCs w:val="22"/>
        </w:rPr>
        <w:t xml:space="preserve">Alendronate </w:t>
      </w:r>
      <w:r w:rsidR="00476245" w:rsidRPr="004141F0">
        <w:rPr>
          <w:rFonts w:ascii="Arial" w:hAnsi="Arial"/>
          <w:sz w:val="22"/>
          <w:szCs w:val="22"/>
        </w:rPr>
        <w:t>is TGA registered for</w:t>
      </w:r>
      <w:r w:rsidRPr="004141F0">
        <w:rPr>
          <w:rFonts w:ascii="Arial" w:hAnsi="Arial"/>
          <w:sz w:val="22"/>
          <w:szCs w:val="22"/>
        </w:rPr>
        <w:t xml:space="preserve"> the treatment of osteoporosis. Prior to treatment, osteoporosis must be confirmed by the finding of low bone mass of</w:t>
      </w:r>
      <w:r w:rsidRPr="009A7EE5">
        <w:rPr>
          <w:rFonts w:ascii="Arial" w:hAnsi="Arial"/>
          <w:sz w:val="22"/>
          <w:szCs w:val="22"/>
        </w:rPr>
        <w:t xml:space="preserve"> at least </w:t>
      </w:r>
      <w:r w:rsidR="009E5DC9">
        <w:rPr>
          <w:rFonts w:ascii="Arial" w:hAnsi="Arial"/>
          <w:sz w:val="22"/>
          <w:szCs w:val="22"/>
        </w:rPr>
        <w:t>two</w:t>
      </w:r>
      <w:r w:rsidRPr="009A7EE5">
        <w:rPr>
          <w:rFonts w:ascii="Arial" w:hAnsi="Arial"/>
          <w:sz w:val="22"/>
          <w:szCs w:val="22"/>
        </w:rPr>
        <w:t xml:space="preserve"> standard deviations below the gender specific mean for young adults or by the presence of osteoporotic fracture</w:t>
      </w:r>
      <w:r w:rsidR="00B55B7B">
        <w:rPr>
          <w:rFonts w:ascii="Arial" w:hAnsi="Arial"/>
          <w:sz w:val="22"/>
          <w:szCs w:val="22"/>
        </w:rPr>
        <w:t>.</w:t>
      </w:r>
    </w:p>
    <w:p w:rsidR="00027496" w:rsidRPr="00B55B7B" w:rsidRDefault="00027496" w:rsidP="00B55B7B">
      <w:pPr>
        <w:rPr>
          <w:rFonts w:ascii="Arial" w:hAnsi="Arial"/>
          <w:sz w:val="22"/>
          <w:szCs w:val="22"/>
        </w:rPr>
      </w:pPr>
    </w:p>
    <w:p w:rsidR="00326E79" w:rsidRDefault="009A7EE5" w:rsidP="00980227">
      <w:pPr>
        <w:pStyle w:val="ListParagraph"/>
        <w:numPr>
          <w:ilvl w:val="1"/>
          <w:numId w:val="1"/>
        </w:numPr>
        <w:jc w:val="both"/>
        <w:rPr>
          <w:rFonts w:ascii="Arial" w:hAnsi="Arial"/>
          <w:sz w:val="22"/>
          <w:szCs w:val="22"/>
        </w:rPr>
      </w:pPr>
      <w:r>
        <w:rPr>
          <w:rFonts w:ascii="Arial" w:hAnsi="Arial"/>
          <w:sz w:val="22"/>
          <w:szCs w:val="22"/>
        </w:rPr>
        <w:t>A</w:t>
      </w:r>
      <w:r w:rsidR="00DF39A9">
        <w:rPr>
          <w:rFonts w:ascii="Arial" w:hAnsi="Arial"/>
          <w:sz w:val="22"/>
          <w:szCs w:val="22"/>
        </w:rPr>
        <w:t xml:space="preserve">lendronate </w:t>
      </w:r>
      <w:r>
        <w:rPr>
          <w:rFonts w:ascii="Arial" w:hAnsi="Arial"/>
          <w:sz w:val="22"/>
          <w:szCs w:val="22"/>
        </w:rPr>
        <w:t>is currently PBS listed as the sole anti-</w:t>
      </w:r>
      <w:proofErr w:type="spellStart"/>
      <w:r>
        <w:rPr>
          <w:rFonts w:ascii="Arial" w:hAnsi="Arial"/>
          <w:sz w:val="22"/>
          <w:szCs w:val="22"/>
        </w:rPr>
        <w:t>resorptive</w:t>
      </w:r>
      <w:proofErr w:type="spellEnd"/>
      <w:r>
        <w:rPr>
          <w:rFonts w:ascii="Arial" w:hAnsi="Arial"/>
          <w:sz w:val="22"/>
          <w:szCs w:val="22"/>
        </w:rPr>
        <w:t xml:space="preserve"> agent </w:t>
      </w:r>
      <w:r w:rsidR="00980227" w:rsidRPr="00980227">
        <w:rPr>
          <w:rFonts w:ascii="Arial" w:hAnsi="Arial"/>
          <w:sz w:val="22"/>
          <w:szCs w:val="22"/>
        </w:rPr>
        <w:t>for</w:t>
      </w:r>
      <w:r>
        <w:rPr>
          <w:rFonts w:ascii="Arial" w:hAnsi="Arial"/>
          <w:sz w:val="22"/>
          <w:szCs w:val="22"/>
        </w:rPr>
        <w:t xml:space="preserve"> osteoporosis in</w:t>
      </w:r>
      <w:r w:rsidR="00980227" w:rsidRPr="00980227">
        <w:rPr>
          <w:rFonts w:ascii="Arial" w:hAnsi="Arial"/>
          <w:sz w:val="22"/>
          <w:szCs w:val="22"/>
        </w:rPr>
        <w:t xml:space="preserve"> patients aged 70 years and above with a BMD </w:t>
      </w:r>
      <w:r w:rsidR="00B55B7B">
        <w:rPr>
          <w:rFonts w:ascii="Arial" w:hAnsi="Arial"/>
          <w:sz w:val="22"/>
          <w:szCs w:val="22"/>
        </w:rPr>
        <w:t xml:space="preserve">T-score </w:t>
      </w:r>
      <w:r w:rsidR="00980227" w:rsidRPr="00980227">
        <w:rPr>
          <w:rFonts w:ascii="Arial" w:hAnsi="Arial"/>
          <w:sz w:val="22"/>
          <w:szCs w:val="22"/>
        </w:rPr>
        <w:t>of -2.5 or less</w:t>
      </w:r>
      <w:r>
        <w:rPr>
          <w:rFonts w:ascii="Arial" w:hAnsi="Arial"/>
          <w:sz w:val="22"/>
          <w:szCs w:val="22"/>
        </w:rPr>
        <w:t xml:space="preserve">; corticosteroid-induced osteoporosis </w:t>
      </w:r>
      <w:r w:rsidR="00B55B7B">
        <w:rPr>
          <w:rFonts w:ascii="Arial" w:hAnsi="Arial"/>
          <w:sz w:val="22"/>
          <w:szCs w:val="22"/>
        </w:rPr>
        <w:t xml:space="preserve">in patients with a BMD T-score of -1.5 or less; and established osteoporosis in patients who have had a fracture due to minimal trauma. </w:t>
      </w:r>
    </w:p>
    <w:p w:rsidR="00027496" w:rsidRPr="00027496" w:rsidRDefault="00027496" w:rsidP="00027496">
      <w:pPr>
        <w:pStyle w:val="ListParagraph"/>
        <w:rPr>
          <w:rFonts w:ascii="Arial" w:hAnsi="Arial"/>
          <w:sz w:val="22"/>
          <w:szCs w:val="22"/>
        </w:rPr>
      </w:pPr>
    </w:p>
    <w:p w:rsidR="00B55B7B" w:rsidRDefault="00B55B7B" w:rsidP="00B55B7B">
      <w:pPr>
        <w:pStyle w:val="ListParagraph"/>
        <w:numPr>
          <w:ilvl w:val="1"/>
          <w:numId w:val="1"/>
        </w:numPr>
        <w:jc w:val="both"/>
        <w:rPr>
          <w:rFonts w:ascii="Arial" w:hAnsi="Arial"/>
          <w:sz w:val="22"/>
          <w:szCs w:val="22"/>
        </w:rPr>
      </w:pPr>
      <w:r>
        <w:rPr>
          <w:rFonts w:ascii="Arial" w:hAnsi="Arial"/>
          <w:sz w:val="22"/>
          <w:szCs w:val="22"/>
        </w:rPr>
        <w:t>Alendron</w:t>
      </w:r>
      <w:r w:rsidR="00531F1C">
        <w:rPr>
          <w:rFonts w:ascii="Arial" w:hAnsi="Arial"/>
          <w:sz w:val="22"/>
          <w:szCs w:val="22"/>
        </w:rPr>
        <w:t xml:space="preserve">ate </w:t>
      </w:r>
      <w:r>
        <w:rPr>
          <w:rFonts w:ascii="Arial" w:hAnsi="Arial"/>
          <w:sz w:val="22"/>
          <w:szCs w:val="22"/>
        </w:rPr>
        <w:t xml:space="preserve">effervescent tablets have not been </w:t>
      </w:r>
      <w:r w:rsidRPr="00882085">
        <w:rPr>
          <w:rFonts w:ascii="Arial" w:hAnsi="Arial"/>
          <w:sz w:val="22"/>
          <w:szCs w:val="22"/>
        </w:rPr>
        <w:t xml:space="preserve">considered by </w:t>
      </w:r>
      <w:r>
        <w:rPr>
          <w:rFonts w:ascii="Arial" w:hAnsi="Arial"/>
          <w:sz w:val="22"/>
          <w:szCs w:val="22"/>
        </w:rPr>
        <w:t xml:space="preserve">the </w:t>
      </w:r>
      <w:r w:rsidRPr="00882085">
        <w:rPr>
          <w:rFonts w:ascii="Arial" w:hAnsi="Arial"/>
          <w:sz w:val="22"/>
          <w:szCs w:val="22"/>
        </w:rPr>
        <w:t>PBAC previously</w:t>
      </w:r>
      <w:r>
        <w:rPr>
          <w:rFonts w:ascii="Arial" w:hAnsi="Arial"/>
          <w:sz w:val="22"/>
          <w:szCs w:val="22"/>
        </w:rPr>
        <w:t>.</w:t>
      </w:r>
    </w:p>
    <w:p w:rsidR="00201081" w:rsidRPr="00201081" w:rsidRDefault="00201081" w:rsidP="00201081">
      <w:pPr>
        <w:pStyle w:val="ListParagraph"/>
        <w:rPr>
          <w:rFonts w:ascii="Arial" w:hAnsi="Arial"/>
          <w:sz w:val="22"/>
          <w:szCs w:val="22"/>
        </w:rPr>
      </w:pPr>
    </w:p>
    <w:p w:rsidR="006673E1" w:rsidRPr="00702F4A" w:rsidRDefault="006673E1" w:rsidP="00882085">
      <w:pPr>
        <w:jc w:val="both"/>
        <w:rPr>
          <w:rFonts w:ascii="Arial" w:hAnsi="Arial"/>
          <w:b/>
          <w:sz w:val="22"/>
          <w:szCs w:val="22"/>
        </w:rPr>
      </w:pPr>
    </w:p>
    <w:p w:rsidR="00CE10C4" w:rsidRPr="00702F4A" w:rsidRDefault="00CE10C4" w:rsidP="006F0AEC">
      <w:pPr>
        <w:pStyle w:val="Heading1"/>
        <w:numPr>
          <w:ilvl w:val="0"/>
          <w:numId w:val="1"/>
        </w:numPr>
      </w:pPr>
      <w:r w:rsidRPr="00702F4A">
        <w:t>Clinical place for the proposed ther</w:t>
      </w:r>
      <w:r w:rsidR="006A12A5" w:rsidRPr="00702F4A">
        <w:t>apy</w:t>
      </w:r>
    </w:p>
    <w:p w:rsidR="00CE10C4" w:rsidRPr="00702F4A" w:rsidRDefault="00CE10C4" w:rsidP="00882085">
      <w:pPr>
        <w:jc w:val="both"/>
        <w:rPr>
          <w:rFonts w:ascii="Arial" w:hAnsi="Arial"/>
          <w:sz w:val="22"/>
          <w:szCs w:val="22"/>
        </w:rPr>
      </w:pPr>
    </w:p>
    <w:p w:rsidR="008E5931" w:rsidRPr="00702F4A" w:rsidRDefault="008E5931" w:rsidP="006F0AEC">
      <w:pPr>
        <w:pStyle w:val="ListParagraph"/>
        <w:numPr>
          <w:ilvl w:val="1"/>
          <w:numId w:val="1"/>
        </w:numPr>
        <w:jc w:val="both"/>
        <w:rPr>
          <w:rFonts w:ascii="Arial" w:hAnsi="Arial"/>
          <w:sz w:val="22"/>
          <w:szCs w:val="22"/>
        </w:rPr>
      </w:pPr>
      <w:r w:rsidRPr="00702F4A">
        <w:rPr>
          <w:rFonts w:ascii="Arial" w:hAnsi="Arial"/>
          <w:sz w:val="22"/>
          <w:szCs w:val="22"/>
        </w:rPr>
        <w:t>The submission propose</w:t>
      </w:r>
      <w:r w:rsidR="007A7677">
        <w:rPr>
          <w:rFonts w:ascii="Arial" w:hAnsi="Arial"/>
          <w:sz w:val="22"/>
          <w:szCs w:val="22"/>
        </w:rPr>
        <w:t>d</w:t>
      </w:r>
      <w:r w:rsidRPr="00702F4A">
        <w:rPr>
          <w:rFonts w:ascii="Arial" w:hAnsi="Arial"/>
          <w:sz w:val="22"/>
          <w:szCs w:val="22"/>
        </w:rPr>
        <w:t xml:space="preserve"> alendronate effervescent tablets as an alternative to alendronate tablets </w:t>
      </w:r>
      <w:r w:rsidR="00BD3B83" w:rsidRPr="00702F4A">
        <w:rPr>
          <w:rFonts w:ascii="Arial" w:hAnsi="Arial"/>
          <w:sz w:val="22"/>
          <w:szCs w:val="22"/>
        </w:rPr>
        <w:t>to improve compliance in</w:t>
      </w:r>
      <w:r w:rsidRPr="00702F4A">
        <w:rPr>
          <w:rFonts w:ascii="Arial" w:hAnsi="Arial"/>
          <w:sz w:val="22"/>
          <w:szCs w:val="22"/>
        </w:rPr>
        <w:t xml:space="preserve"> patients </w:t>
      </w:r>
      <w:r w:rsidR="00075C2D" w:rsidRPr="00702F4A">
        <w:rPr>
          <w:rFonts w:ascii="Arial" w:hAnsi="Arial"/>
          <w:sz w:val="22"/>
          <w:szCs w:val="22"/>
        </w:rPr>
        <w:t>with dysphagia</w:t>
      </w:r>
      <w:r w:rsidR="00BD3B83" w:rsidRPr="00702F4A">
        <w:rPr>
          <w:rFonts w:ascii="Arial" w:hAnsi="Arial"/>
          <w:sz w:val="22"/>
          <w:szCs w:val="22"/>
        </w:rPr>
        <w:t xml:space="preserve"> or other swallowing conditions, claiming that the effervescent form has fewer oesophageal adverse effects. </w:t>
      </w:r>
    </w:p>
    <w:p w:rsidR="006C4A94" w:rsidRPr="00702F4A" w:rsidRDefault="006C4A94" w:rsidP="00BD3B83">
      <w:pPr>
        <w:jc w:val="both"/>
        <w:rPr>
          <w:rFonts w:ascii="Arial" w:hAnsi="Arial"/>
          <w:sz w:val="22"/>
          <w:szCs w:val="22"/>
        </w:rPr>
      </w:pPr>
    </w:p>
    <w:p w:rsidR="00CD40C8" w:rsidRDefault="00531F1C" w:rsidP="00BD3B83">
      <w:pPr>
        <w:pStyle w:val="ListParagraph"/>
        <w:numPr>
          <w:ilvl w:val="1"/>
          <w:numId w:val="1"/>
        </w:numPr>
        <w:jc w:val="both"/>
        <w:rPr>
          <w:rFonts w:ascii="Arial" w:hAnsi="Arial"/>
          <w:sz w:val="22"/>
          <w:szCs w:val="22"/>
        </w:rPr>
      </w:pPr>
      <w:r w:rsidRPr="00702F4A">
        <w:rPr>
          <w:rFonts w:ascii="Arial" w:hAnsi="Arial"/>
          <w:sz w:val="22"/>
          <w:szCs w:val="22"/>
        </w:rPr>
        <w:t>The product information for b</w:t>
      </w:r>
      <w:r w:rsidR="00BD3B83" w:rsidRPr="00702F4A">
        <w:rPr>
          <w:rFonts w:ascii="Arial" w:hAnsi="Arial"/>
          <w:sz w:val="22"/>
          <w:szCs w:val="22"/>
        </w:rPr>
        <w:t>oth the tablet and effervescent</w:t>
      </w:r>
      <w:r w:rsidR="00F333DF" w:rsidRPr="00702F4A">
        <w:rPr>
          <w:rFonts w:ascii="Arial" w:hAnsi="Arial"/>
          <w:sz w:val="22"/>
          <w:szCs w:val="22"/>
        </w:rPr>
        <w:t xml:space="preserve"> </w:t>
      </w:r>
      <w:r w:rsidR="00D76925" w:rsidRPr="00702F4A">
        <w:rPr>
          <w:rFonts w:ascii="Arial" w:hAnsi="Arial"/>
          <w:sz w:val="22"/>
          <w:szCs w:val="22"/>
        </w:rPr>
        <w:t>form</w:t>
      </w:r>
      <w:r w:rsidR="00BD3B83" w:rsidRPr="00702F4A">
        <w:rPr>
          <w:rFonts w:ascii="Arial" w:hAnsi="Arial"/>
          <w:sz w:val="22"/>
          <w:szCs w:val="22"/>
        </w:rPr>
        <w:t>s</w:t>
      </w:r>
      <w:r w:rsidR="00D76925" w:rsidRPr="00702F4A">
        <w:rPr>
          <w:rFonts w:ascii="Arial" w:hAnsi="Arial"/>
          <w:sz w:val="22"/>
          <w:szCs w:val="22"/>
        </w:rPr>
        <w:t xml:space="preserve"> of alendronate </w:t>
      </w:r>
      <w:r w:rsidR="00BD3B83" w:rsidRPr="00702F4A">
        <w:rPr>
          <w:rFonts w:ascii="Arial" w:hAnsi="Arial"/>
          <w:sz w:val="22"/>
          <w:szCs w:val="22"/>
        </w:rPr>
        <w:t>contain</w:t>
      </w:r>
      <w:r w:rsidR="006B4078">
        <w:rPr>
          <w:rFonts w:ascii="Arial" w:hAnsi="Arial"/>
          <w:sz w:val="22"/>
          <w:szCs w:val="22"/>
        </w:rPr>
        <w:t>s</w:t>
      </w:r>
      <w:r w:rsidR="00BD3B83" w:rsidRPr="00702F4A">
        <w:rPr>
          <w:rFonts w:ascii="Arial" w:hAnsi="Arial"/>
          <w:sz w:val="22"/>
          <w:szCs w:val="22"/>
        </w:rPr>
        <w:t xml:space="preserve"> warnings about </w:t>
      </w:r>
      <w:r w:rsidR="00F333DF" w:rsidRPr="00702F4A">
        <w:rPr>
          <w:rFonts w:ascii="Arial" w:hAnsi="Arial"/>
          <w:sz w:val="22"/>
          <w:szCs w:val="22"/>
        </w:rPr>
        <w:t xml:space="preserve">oesophageal and gastric </w:t>
      </w:r>
      <w:r w:rsidRPr="00702F4A">
        <w:rPr>
          <w:rFonts w:ascii="Arial" w:hAnsi="Arial"/>
          <w:sz w:val="22"/>
          <w:szCs w:val="22"/>
        </w:rPr>
        <w:t>adverse</w:t>
      </w:r>
      <w:r w:rsidR="00F333DF" w:rsidRPr="00702F4A">
        <w:rPr>
          <w:rFonts w:ascii="Arial" w:hAnsi="Arial"/>
          <w:sz w:val="22"/>
          <w:szCs w:val="22"/>
        </w:rPr>
        <w:t xml:space="preserve"> effects.</w:t>
      </w:r>
      <w:r w:rsidR="00B24F14" w:rsidRPr="00702F4A">
        <w:rPr>
          <w:rFonts w:ascii="Arial" w:hAnsi="Arial"/>
          <w:sz w:val="22"/>
          <w:szCs w:val="22"/>
        </w:rPr>
        <w:t xml:space="preserve"> </w:t>
      </w:r>
      <w:r w:rsidR="00CD40C8" w:rsidRPr="00702F4A">
        <w:rPr>
          <w:rFonts w:ascii="Arial" w:hAnsi="Arial"/>
          <w:sz w:val="22"/>
          <w:szCs w:val="22"/>
        </w:rPr>
        <w:t xml:space="preserve">The same </w:t>
      </w:r>
      <w:r w:rsidR="00EF66E7" w:rsidRPr="00702F4A">
        <w:rPr>
          <w:rFonts w:ascii="Arial" w:hAnsi="Arial"/>
          <w:sz w:val="22"/>
          <w:szCs w:val="22"/>
        </w:rPr>
        <w:t>dosage and administration applies for both forms of alendronate</w:t>
      </w:r>
      <w:r w:rsidR="00B55B7B" w:rsidRPr="00702F4A">
        <w:rPr>
          <w:rFonts w:ascii="Arial" w:hAnsi="Arial"/>
          <w:sz w:val="22"/>
          <w:szCs w:val="22"/>
        </w:rPr>
        <w:t>,</w:t>
      </w:r>
      <w:r w:rsidR="00EF66E7" w:rsidRPr="00702F4A">
        <w:rPr>
          <w:rFonts w:ascii="Arial" w:hAnsi="Arial"/>
          <w:sz w:val="22"/>
          <w:szCs w:val="22"/>
        </w:rPr>
        <w:t xml:space="preserve"> </w:t>
      </w:r>
      <w:r w:rsidR="00B55B7B" w:rsidRPr="00702F4A">
        <w:rPr>
          <w:rFonts w:ascii="Arial" w:hAnsi="Arial"/>
          <w:sz w:val="22"/>
          <w:szCs w:val="22"/>
        </w:rPr>
        <w:t>where tablets</w:t>
      </w:r>
      <w:r w:rsidR="00EF66E7" w:rsidRPr="00702F4A">
        <w:rPr>
          <w:rFonts w:ascii="Arial" w:hAnsi="Arial"/>
          <w:sz w:val="22"/>
          <w:szCs w:val="22"/>
        </w:rPr>
        <w:t xml:space="preserve"> should only </w:t>
      </w:r>
      <w:r w:rsidR="00EF66E7" w:rsidRPr="00702F4A">
        <w:rPr>
          <w:rFonts w:ascii="Arial" w:hAnsi="Arial"/>
          <w:sz w:val="22"/>
          <w:szCs w:val="22"/>
        </w:rPr>
        <w:lastRenderedPageBreak/>
        <w:t xml:space="preserve">be taken </w:t>
      </w:r>
      <w:r w:rsidR="00BD3B83" w:rsidRPr="00702F4A">
        <w:rPr>
          <w:rFonts w:ascii="Arial" w:hAnsi="Arial"/>
          <w:sz w:val="22"/>
          <w:szCs w:val="22"/>
        </w:rPr>
        <w:t>in the morning</w:t>
      </w:r>
      <w:r w:rsidR="00EF66E7" w:rsidRPr="00702F4A">
        <w:rPr>
          <w:rFonts w:ascii="Arial" w:hAnsi="Arial"/>
          <w:sz w:val="22"/>
          <w:szCs w:val="22"/>
        </w:rPr>
        <w:t xml:space="preserve"> </w:t>
      </w:r>
      <w:r w:rsidR="00BD3B83" w:rsidRPr="00702F4A">
        <w:rPr>
          <w:rFonts w:ascii="Arial" w:hAnsi="Arial"/>
          <w:sz w:val="22"/>
          <w:szCs w:val="22"/>
        </w:rPr>
        <w:t xml:space="preserve">30 minutes before food and other medications, </w:t>
      </w:r>
      <w:r w:rsidR="00EF66E7" w:rsidRPr="00702F4A">
        <w:rPr>
          <w:rFonts w:ascii="Arial" w:hAnsi="Arial"/>
          <w:sz w:val="22"/>
          <w:szCs w:val="22"/>
        </w:rPr>
        <w:t xml:space="preserve">and patients </w:t>
      </w:r>
      <w:r w:rsidR="00BD3B83" w:rsidRPr="00702F4A">
        <w:rPr>
          <w:rFonts w:ascii="Arial" w:hAnsi="Arial"/>
          <w:sz w:val="22"/>
          <w:szCs w:val="22"/>
        </w:rPr>
        <w:t>are advised to</w:t>
      </w:r>
      <w:r w:rsidR="00EF66E7" w:rsidRPr="00702F4A">
        <w:rPr>
          <w:rFonts w:ascii="Arial" w:hAnsi="Arial"/>
          <w:sz w:val="22"/>
          <w:szCs w:val="22"/>
        </w:rPr>
        <w:t xml:space="preserve"> not lie down for at least 30 minutes </w:t>
      </w:r>
      <w:r w:rsidR="00075C2D" w:rsidRPr="00702F4A">
        <w:rPr>
          <w:rFonts w:ascii="Arial" w:hAnsi="Arial"/>
          <w:sz w:val="22"/>
          <w:szCs w:val="22"/>
        </w:rPr>
        <w:t xml:space="preserve">after administration </w:t>
      </w:r>
      <w:r w:rsidR="00EF66E7" w:rsidRPr="00702F4A">
        <w:rPr>
          <w:rFonts w:ascii="Arial" w:hAnsi="Arial"/>
          <w:sz w:val="22"/>
          <w:szCs w:val="22"/>
        </w:rPr>
        <w:t>and until after their first food of the day</w:t>
      </w:r>
      <w:r w:rsidR="00BD3B83" w:rsidRPr="00702F4A">
        <w:rPr>
          <w:rFonts w:ascii="Arial" w:hAnsi="Arial"/>
          <w:sz w:val="22"/>
          <w:szCs w:val="22"/>
        </w:rPr>
        <w:t xml:space="preserve"> due to the risk of oesophageal </w:t>
      </w:r>
      <w:r w:rsidRPr="00702F4A">
        <w:rPr>
          <w:rFonts w:ascii="Arial" w:hAnsi="Arial"/>
          <w:sz w:val="22"/>
          <w:szCs w:val="22"/>
        </w:rPr>
        <w:t>adverse effects</w:t>
      </w:r>
      <w:r w:rsidR="00EF66E7" w:rsidRPr="00702F4A">
        <w:rPr>
          <w:rFonts w:ascii="Arial" w:hAnsi="Arial"/>
          <w:sz w:val="22"/>
          <w:szCs w:val="22"/>
        </w:rPr>
        <w:t xml:space="preserve">. </w:t>
      </w:r>
    </w:p>
    <w:p w:rsidR="00FC5B0C" w:rsidRPr="00702F4A" w:rsidRDefault="00FC5B0C" w:rsidP="00A64564">
      <w:pPr>
        <w:jc w:val="both"/>
        <w:rPr>
          <w:rFonts w:ascii="Arial" w:hAnsi="Arial"/>
          <w:sz w:val="22"/>
          <w:szCs w:val="22"/>
        </w:rPr>
      </w:pPr>
    </w:p>
    <w:p w:rsidR="00B2233B" w:rsidRPr="00A64564" w:rsidRDefault="00B2233B" w:rsidP="00214D10">
      <w:pPr>
        <w:ind w:firstLine="720"/>
        <w:jc w:val="both"/>
        <w:rPr>
          <w:rFonts w:ascii="Arial" w:hAnsi="Arial"/>
          <w:sz w:val="22"/>
          <w:szCs w:val="22"/>
        </w:rPr>
      </w:pPr>
      <w:r w:rsidRPr="00E13640">
        <w:rPr>
          <w:rFonts w:ascii="Arial" w:hAnsi="Arial" w:cs="Arial"/>
          <w:bCs/>
          <w:i/>
          <w:snapToGrid w:val="0"/>
          <w:sz w:val="22"/>
          <w:szCs w:val="22"/>
        </w:rPr>
        <w:t xml:space="preserve">For more detail on PBAC’s view, see section </w:t>
      </w:r>
      <w:r w:rsidR="00790F56" w:rsidRPr="00E13640">
        <w:rPr>
          <w:rFonts w:ascii="Arial" w:hAnsi="Arial" w:cs="Arial"/>
          <w:bCs/>
          <w:i/>
          <w:snapToGrid w:val="0"/>
          <w:sz w:val="22"/>
          <w:szCs w:val="22"/>
        </w:rPr>
        <w:t>6</w:t>
      </w:r>
      <w:r w:rsidRPr="00E13640">
        <w:rPr>
          <w:rFonts w:ascii="Arial" w:hAnsi="Arial" w:cs="Arial"/>
          <w:bCs/>
          <w:i/>
          <w:snapToGrid w:val="0"/>
          <w:sz w:val="22"/>
          <w:szCs w:val="22"/>
        </w:rPr>
        <w:t xml:space="preserve"> “PBAC outcome”</w:t>
      </w:r>
    </w:p>
    <w:p w:rsidR="00A73375" w:rsidRDefault="00A73375" w:rsidP="00476245">
      <w:pPr>
        <w:jc w:val="both"/>
        <w:rPr>
          <w:rFonts w:ascii="Arial" w:hAnsi="Arial"/>
          <w:sz w:val="22"/>
          <w:szCs w:val="22"/>
        </w:rPr>
      </w:pPr>
    </w:p>
    <w:p w:rsidR="001E243B" w:rsidRPr="00476245" w:rsidRDefault="001E243B" w:rsidP="00476245">
      <w:pPr>
        <w:jc w:val="both"/>
        <w:rPr>
          <w:rFonts w:ascii="Arial" w:hAnsi="Arial"/>
          <w:sz w:val="22"/>
          <w:szCs w:val="22"/>
        </w:rPr>
      </w:pPr>
    </w:p>
    <w:p w:rsidR="000B558D" w:rsidRPr="00882085" w:rsidRDefault="008D7A41" w:rsidP="006F0AEC">
      <w:pPr>
        <w:pStyle w:val="Heading1"/>
        <w:numPr>
          <w:ilvl w:val="0"/>
          <w:numId w:val="1"/>
        </w:numPr>
      </w:pPr>
      <w:r>
        <w:t>C</w:t>
      </w:r>
      <w:r w:rsidR="00D84934">
        <w:t>onsideration of the evidence</w:t>
      </w:r>
    </w:p>
    <w:p w:rsidR="00BB7EC3" w:rsidRDefault="00BB7EC3" w:rsidP="00F9629A">
      <w:pPr>
        <w:jc w:val="both"/>
        <w:rPr>
          <w:rFonts w:ascii="Arial" w:hAnsi="Arial"/>
          <w:sz w:val="22"/>
          <w:szCs w:val="22"/>
        </w:rPr>
      </w:pPr>
    </w:p>
    <w:p w:rsidR="001545BF" w:rsidRPr="00BB7386" w:rsidRDefault="001545BF" w:rsidP="00BB7386">
      <w:pPr>
        <w:pStyle w:val="Heading2"/>
      </w:pPr>
      <w:r w:rsidRPr="00BB7386">
        <w:t>Sponsor hearing</w:t>
      </w:r>
    </w:p>
    <w:p w:rsidR="00E26E06" w:rsidRPr="00E13640" w:rsidRDefault="00E26E06" w:rsidP="001545BF">
      <w:pPr>
        <w:rPr>
          <w:rFonts w:ascii="Arial" w:hAnsi="Arial" w:cs="Arial"/>
          <w:b/>
          <w:bCs/>
          <w:snapToGrid w:val="0"/>
          <w:sz w:val="22"/>
          <w:szCs w:val="22"/>
        </w:rPr>
      </w:pPr>
    </w:p>
    <w:p w:rsidR="001545BF" w:rsidRPr="00E13640" w:rsidRDefault="001545BF" w:rsidP="001545BF">
      <w:pPr>
        <w:numPr>
          <w:ilvl w:val="1"/>
          <w:numId w:val="1"/>
        </w:numPr>
        <w:spacing w:after="120"/>
        <w:rPr>
          <w:rFonts w:ascii="Arial" w:hAnsi="Arial" w:cs="Arial"/>
          <w:bCs/>
          <w:snapToGrid w:val="0"/>
          <w:sz w:val="22"/>
          <w:szCs w:val="22"/>
        </w:rPr>
      </w:pPr>
      <w:r w:rsidRPr="00E13640">
        <w:rPr>
          <w:rFonts w:ascii="Arial" w:hAnsi="Arial" w:cs="Arial"/>
          <w:bCs/>
          <w:snapToGrid w:val="0"/>
          <w:sz w:val="22"/>
          <w:szCs w:val="22"/>
        </w:rPr>
        <w:t>There was no hearing for this item as it was a minor submission.</w:t>
      </w:r>
    </w:p>
    <w:p w:rsidR="001545BF" w:rsidRPr="00817EFB" w:rsidRDefault="001545BF" w:rsidP="001545BF">
      <w:pPr>
        <w:rPr>
          <w:rFonts w:ascii="Arial" w:hAnsi="Arial" w:cs="Arial"/>
          <w:bCs/>
          <w:snapToGrid w:val="0"/>
          <w:sz w:val="22"/>
          <w:szCs w:val="22"/>
          <w:highlight w:val="yellow"/>
        </w:rPr>
      </w:pPr>
    </w:p>
    <w:p w:rsidR="001545BF" w:rsidRPr="003F252E" w:rsidRDefault="001545BF" w:rsidP="00BB7386">
      <w:pPr>
        <w:pStyle w:val="Heading2"/>
      </w:pPr>
      <w:r w:rsidRPr="003F252E">
        <w:t>Consumer comments</w:t>
      </w:r>
    </w:p>
    <w:p w:rsidR="00E26E06" w:rsidRPr="00E13640" w:rsidRDefault="00E26E06" w:rsidP="001545BF">
      <w:pPr>
        <w:rPr>
          <w:rFonts w:ascii="Arial" w:hAnsi="Arial" w:cs="Arial"/>
          <w:b/>
          <w:bCs/>
          <w:snapToGrid w:val="0"/>
          <w:sz w:val="22"/>
          <w:szCs w:val="22"/>
        </w:rPr>
      </w:pPr>
    </w:p>
    <w:p w:rsidR="001545BF" w:rsidRPr="00FE5617" w:rsidRDefault="001545BF" w:rsidP="00E13640">
      <w:pPr>
        <w:numPr>
          <w:ilvl w:val="1"/>
          <w:numId w:val="1"/>
        </w:numPr>
        <w:spacing w:after="120"/>
        <w:rPr>
          <w:rFonts w:ascii="Arial" w:hAnsi="Arial" w:cs="Arial"/>
          <w:bCs/>
          <w:snapToGrid w:val="0"/>
          <w:sz w:val="22"/>
          <w:szCs w:val="22"/>
        </w:rPr>
      </w:pPr>
      <w:r w:rsidRPr="00E13640">
        <w:rPr>
          <w:rFonts w:ascii="Arial" w:hAnsi="Arial" w:cs="Arial"/>
          <w:bCs/>
          <w:snapToGrid w:val="0"/>
          <w:sz w:val="22"/>
          <w:szCs w:val="22"/>
        </w:rPr>
        <w:t>The PBAC noted that no consumer comments were received for this item.</w:t>
      </w:r>
    </w:p>
    <w:p w:rsidR="001545BF" w:rsidRDefault="001545BF" w:rsidP="001545BF">
      <w:pPr>
        <w:jc w:val="both"/>
        <w:rPr>
          <w:rFonts w:ascii="Arial" w:hAnsi="Arial"/>
          <w:sz w:val="22"/>
          <w:szCs w:val="22"/>
        </w:rPr>
      </w:pPr>
    </w:p>
    <w:p w:rsidR="00D84934" w:rsidRPr="00882085" w:rsidRDefault="00D84934" w:rsidP="00BB7386">
      <w:pPr>
        <w:pStyle w:val="Heading2"/>
      </w:pPr>
      <w:r>
        <w:t>Clinical trials</w:t>
      </w:r>
    </w:p>
    <w:p w:rsidR="00D84934" w:rsidRPr="00F9629A" w:rsidRDefault="00D84934" w:rsidP="00F9629A">
      <w:pPr>
        <w:jc w:val="both"/>
        <w:rPr>
          <w:rFonts w:ascii="Arial" w:hAnsi="Arial"/>
          <w:sz w:val="22"/>
          <w:szCs w:val="22"/>
        </w:rPr>
      </w:pPr>
    </w:p>
    <w:p w:rsidR="0076420C" w:rsidRDefault="009D614F" w:rsidP="006F0AEC">
      <w:pPr>
        <w:pStyle w:val="ListParagraph"/>
        <w:numPr>
          <w:ilvl w:val="1"/>
          <w:numId w:val="1"/>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sidR="0076420C">
        <w:rPr>
          <w:rFonts w:ascii="Arial" w:hAnsi="Arial"/>
          <w:sz w:val="22"/>
          <w:szCs w:val="22"/>
        </w:rPr>
        <w:t xml:space="preserve"> presented.</w:t>
      </w:r>
    </w:p>
    <w:p w:rsidR="00FA6055" w:rsidRDefault="00FA6055" w:rsidP="00B6773F">
      <w:pPr>
        <w:jc w:val="both"/>
        <w:rPr>
          <w:rFonts w:ascii="Arial" w:hAnsi="Arial"/>
          <w:sz w:val="22"/>
          <w:szCs w:val="22"/>
        </w:rPr>
      </w:pPr>
    </w:p>
    <w:p w:rsidR="005A3173" w:rsidRPr="00882085" w:rsidRDefault="005A3173" w:rsidP="00BB7386">
      <w:pPr>
        <w:pStyle w:val="Heading2"/>
      </w:pPr>
      <w:r w:rsidRPr="00882085">
        <w:t>Clinical claim</w:t>
      </w:r>
    </w:p>
    <w:p w:rsidR="005A3173" w:rsidRPr="00882085" w:rsidRDefault="005A3173" w:rsidP="00882085">
      <w:pPr>
        <w:ind w:left="720" w:hanging="720"/>
        <w:jc w:val="both"/>
        <w:rPr>
          <w:rFonts w:ascii="Arial" w:hAnsi="Arial"/>
          <w:sz w:val="22"/>
          <w:szCs w:val="22"/>
        </w:rPr>
      </w:pPr>
    </w:p>
    <w:p w:rsidR="00BB7EC3" w:rsidRPr="003B356D" w:rsidRDefault="00FF2801" w:rsidP="009B0F67">
      <w:pPr>
        <w:pStyle w:val="ListParagraph"/>
        <w:numPr>
          <w:ilvl w:val="1"/>
          <w:numId w:val="1"/>
        </w:numPr>
        <w:ind w:left="709"/>
        <w:jc w:val="both"/>
        <w:rPr>
          <w:rFonts w:ascii="Arial" w:hAnsi="Arial"/>
          <w:sz w:val="22"/>
          <w:szCs w:val="22"/>
        </w:rPr>
      </w:pPr>
      <w:r w:rsidRPr="003B356D">
        <w:rPr>
          <w:rFonts w:ascii="Arial" w:hAnsi="Arial"/>
          <w:sz w:val="22"/>
          <w:szCs w:val="22"/>
        </w:rPr>
        <w:t>The submission claimed</w:t>
      </w:r>
      <w:r w:rsidR="00BB7EC3" w:rsidRPr="003B356D">
        <w:rPr>
          <w:rFonts w:ascii="Arial" w:hAnsi="Arial"/>
          <w:sz w:val="22"/>
          <w:szCs w:val="22"/>
        </w:rPr>
        <w:t xml:space="preserve"> </w:t>
      </w:r>
      <w:r w:rsidR="009173D0" w:rsidRPr="003B356D">
        <w:rPr>
          <w:rFonts w:ascii="Arial" w:hAnsi="Arial"/>
          <w:sz w:val="22"/>
          <w:szCs w:val="22"/>
        </w:rPr>
        <w:t>that alendronate effervescent tablets are superior to alendronate tablets. N</w:t>
      </w:r>
      <w:r w:rsidR="00B2406F" w:rsidRPr="003B356D">
        <w:rPr>
          <w:rFonts w:ascii="Arial" w:hAnsi="Arial"/>
          <w:sz w:val="22"/>
          <w:szCs w:val="22"/>
        </w:rPr>
        <w:t>o clinical evidence was provided to support this claim.</w:t>
      </w:r>
      <w:r w:rsidR="003828CE">
        <w:rPr>
          <w:rFonts w:ascii="Arial" w:hAnsi="Arial"/>
          <w:sz w:val="22"/>
          <w:szCs w:val="22"/>
        </w:rPr>
        <w:t xml:space="preserve"> </w:t>
      </w:r>
    </w:p>
    <w:p w:rsidR="00F57A6D" w:rsidRDefault="00F57A6D" w:rsidP="00882085">
      <w:pPr>
        <w:ind w:left="720" w:hanging="720"/>
        <w:jc w:val="both"/>
        <w:rPr>
          <w:rFonts w:ascii="Arial" w:hAnsi="Arial"/>
          <w:sz w:val="22"/>
          <w:szCs w:val="22"/>
        </w:rPr>
      </w:pPr>
    </w:p>
    <w:p w:rsidR="007B641B" w:rsidRPr="00FE19BF" w:rsidRDefault="00326E24" w:rsidP="00C231EA">
      <w:pPr>
        <w:pStyle w:val="ListParagraph"/>
        <w:numPr>
          <w:ilvl w:val="1"/>
          <w:numId w:val="1"/>
        </w:numPr>
        <w:ind w:left="709"/>
        <w:jc w:val="both"/>
        <w:rPr>
          <w:i/>
        </w:rPr>
      </w:pPr>
      <w:r w:rsidRPr="00E13640">
        <w:rPr>
          <w:rFonts w:ascii="Arial" w:hAnsi="Arial"/>
          <w:sz w:val="22"/>
          <w:szCs w:val="22"/>
        </w:rPr>
        <w:t xml:space="preserve">The PBAC considered that the claim of superior comparative effectiveness </w:t>
      </w:r>
      <w:r w:rsidR="00214D10">
        <w:rPr>
          <w:rFonts w:ascii="Arial" w:hAnsi="Arial"/>
          <w:sz w:val="22"/>
          <w:szCs w:val="22"/>
        </w:rPr>
        <w:t xml:space="preserve">and superior comparative safety </w:t>
      </w:r>
      <w:r w:rsidRPr="00E13640">
        <w:rPr>
          <w:rFonts w:ascii="Arial" w:hAnsi="Arial"/>
          <w:sz w:val="22"/>
          <w:szCs w:val="22"/>
        </w:rPr>
        <w:t xml:space="preserve">was not adequately supported </w:t>
      </w:r>
      <w:r w:rsidR="00214D10">
        <w:rPr>
          <w:rFonts w:ascii="Arial" w:hAnsi="Arial"/>
          <w:sz w:val="22"/>
          <w:szCs w:val="22"/>
        </w:rPr>
        <w:t>in the absence of</w:t>
      </w:r>
      <w:r w:rsidR="00A126BB" w:rsidRPr="00E13640">
        <w:rPr>
          <w:rFonts w:ascii="Arial" w:hAnsi="Arial"/>
          <w:sz w:val="22"/>
          <w:szCs w:val="22"/>
        </w:rPr>
        <w:t xml:space="preserve"> </w:t>
      </w:r>
      <w:r w:rsidR="00C231EA">
        <w:rPr>
          <w:rFonts w:ascii="Arial" w:hAnsi="Arial"/>
          <w:sz w:val="22"/>
          <w:szCs w:val="22"/>
        </w:rPr>
        <w:t xml:space="preserve">any </w:t>
      </w:r>
      <w:r w:rsidR="00F85225" w:rsidRPr="00E13640">
        <w:rPr>
          <w:rFonts w:ascii="Arial" w:hAnsi="Arial"/>
          <w:sz w:val="22"/>
          <w:szCs w:val="22"/>
        </w:rPr>
        <w:t xml:space="preserve">clinical </w:t>
      </w:r>
      <w:r w:rsidR="00A126BB" w:rsidRPr="00E13640">
        <w:rPr>
          <w:rFonts w:ascii="Arial" w:hAnsi="Arial"/>
          <w:sz w:val="22"/>
          <w:szCs w:val="22"/>
        </w:rPr>
        <w:t>data</w:t>
      </w:r>
      <w:r w:rsidR="00214D10">
        <w:rPr>
          <w:rFonts w:ascii="Arial" w:hAnsi="Arial"/>
          <w:sz w:val="22"/>
          <w:szCs w:val="22"/>
        </w:rPr>
        <w:t>.</w:t>
      </w:r>
    </w:p>
    <w:p w:rsidR="001E243B" w:rsidRDefault="001E243B" w:rsidP="00BB7386"/>
    <w:p w:rsidR="005A3173" w:rsidRPr="00882085" w:rsidRDefault="005A3173" w:rsidP="00BB7386">
      <w:pPr>
        <w:pStyle w:val="Heading2"/>
      </w:pPr>
      <w:r w:rsidRPr="00882085">
        <w:t>Economic analysis</w:t>
      </w:r>
    </w:p>
    <w:p w:rsidR="005A3173" w:rsidRPr="00882085" w:rsidRDefault="005A3173" w:rsidP="00D84934">
      <w:pPr>
        <w:pStyle w:val="NoSpacing"/>
      </w:pPr>
    </w:p>
    <w:p w:rsidR="009173D0" w:rsidRDefault="009173D0" w:rsidP="00326E24">
      <w:pPr>
        <w:pStyle w:val="ListParagraph"/>
        <w:numPr>
          <w:ilvl w:val="1"/>
          <w:numId w:val="1"/>
        </w:numPr>
        <w:ind w:left="709"/>
        <w:jc w:val="both"/>
        <w:rPr>
          <w:rFonts w:ascii="Arial" w:hAnsi="Arial"/>
          <w:sz w:val="22"/>
          <w:szCs w:val="22"/>
        </w:rPr>
      </w:pPr>
      <w:r w:rsidRPr="003B356D">
        <w:rPr>
          <w:rFonts w:ascii="Arial" w:hAnsi="Arial"/>
          <w:sz w:val="22"/>
          <w:szCs w:val="22"/>
        </w:rPr>
        <w:t xml:space="preserve">The submission requested an </w:t>
      </w:r>
      <w:r w:rsidR="009E5DC9">
        <w:rPr>
          <w:rFonts w:ascii="Arial" w:hAnsi="Arial"/>
          <w:sz w:val="22"/>
          <w:szCs w:val="22"/>
        </w:rPr>
        <w:t xml:space="preserve">approved </w:t>
      </w:r>
      <w:r w:rsidRPr="003B356D">
        <w:rPr>
          <w:rFonts w:ascii="Arial" w:hAnsi="Arial"/>
          <w:sz w:val="22"/>
          <w:szCs w:val="22"/>
        </w:rPr>
        <w:t xml:space="preserve">ex-manufacturer price </w:t>
      </w:r>
      <w:r w:rsidR="009E5DC9">
        <w:rPr>
          <w:rFonts w:ascii="Arial" w:hAnsi="Arial"/>
          <w:sz w:val="22"/>
          <w:szCs w:val="22"/>
        </w:rPr>
        <w:t xml:space="preserve">(AEMP) </w:t>
      </w:r>
      <w:r w:rsidRPr="003B356D">
        <w:rPr>
          <w:rFonts w:ascii="Arial" w:hAnsi="Arial"/>
          <w:sz w:val="22"/>
          <w:szCs w:val="22"/>
        </w:rPr>
        <w:t>for alendronate effervescent tablets of $</w:t>
      </w:r>
      <w:r w:rsidR="00BB7386">
        <w:rPr>
          <w:rFonts w:ascii="Arial" w:hAnsi="Arial"/>
          <w:noProof/>
          <w:color w:val="000000"/>
          <w:sz w:val="22"/>
          <w:szCs w:val="22"/>
          <w:highlight w:val="black"/>
        </w:rPr>
        <w:t>''''''''''''''</w:t>
      </w:r>
      <w:r w:rsidRPr="003B356D">
        <w:rPr>
          <w:rFonts w:ascii="Arial" w:hAnsi="Arial"/>
          <w:sz w:val="22"/>
          <w:szCs w:val="22"/>
        </w:rPr>
        <w:t xml:space="preserve">. The current </w:t>
      </w:r>
      <w:r w:rsidR="009E5DC9">
        <w:rPr>
          <w:rFonts w:ascii="Arial" w:hAnsi="Arial"/>
          <w:sz w:val="22"/>
          <w:szCs w:val="22"/>
        </w:rPr>
        <w:t xml:space="preserve">AEMP </w:t>
      </w:r>
      <w:r w:rsidRPr="003B356D">
        <w:rPr>
          <w:rFonts w:ascii="Arial" w:hAnsi="Arial"/>
          <w:sz w:val="22"/>
          <w:szCs w:val="22"/>
        </w:rPr>
        <w:t xml:space="preserve">for alendronate tablets is </w:t>
      </w:r>
      <w:r w:rsidR="00E4159E" w:rsidRPr="003B356D">
        <w:rPr>
          <w:rFonts w:ascii="Arial" w:hAnsi="Arial"/>
          <w:sz w:val="22"/>
          <w:szCs w:val="22"/>
        </w:rPr>
        <w:t>$</w:t>
      </w:r>
      <w:r w:rsidR="00E4159E" w:rsidRPr="0057478A">
        <w:rPr>
          <w:rFonts w:ascii="Arial" w:hAnsi="Arial"/>
          <w:sz w:val="22"/>
          <w:szCs w:val="22"/>
        </w:rPr>
        <w:t>4.56</w:t>
      </w:r>
      <w:r w:rsidR="00E4159E" w:rsidRPr="00544CA4">
        <w:rPr>
          <w:rFonts w:ascii="Arial" w:hAnsi="Arial"/>
          <w:sz w:val="22"/>
          <w:szCs w:val="22"/>
        </w:rPr>
        <w:t>.</w:t>
      </w:r>
    </w:p>
    <w:p w:rsidR="00544CA4" w:rsidRPr="00544CA4" w:rsidRDefault="00544CA4" w:rsidP="00544CA4">
      <w:pPr>
        <w:ind w:left="-11"/>
        <w:jc w:val="both"/>
        <w:rPr>
          <w:rFonts w:ascii="Arial" w:hAnsi="Arial"/>
          <w:sz w:val="22"/>
          <w:szCs w:val="22"/>
        </w:rPr>
      </w:pPr>
    </w:p>
    <w:p w:rsidR="00FC5B0C" w:rsidRDefault="00FC5B0C" w:rsidP="00326E24">
      <w:pPr>
        <w:pStyle w:val="ListParagraph"/>
        <w:numPr>
          <w:ilvl w:val="1"/>
          <w:numId w:val="1"/>
        </w:numPr>
        <w:ind w:left="709"/>
        <w:jc w:val="both"/>
        <w:rPr>
          <w:rFonts w:ascii="Arial" w:hAnsi="Arial"/>
          <w:sz w:val="22"/>
          <w:szCs w:val="22"/>
        </w:rPr>
      </w:pPr>
      <w:r w:rsidRPr="003B356D">
        <w:rPr>
          <w:rFonts w:ascii="Arial" w:hAnsi="Arial"/>
          <w:sz w:val="22"/>
          <w:szCs w:val="22"/>
        </w:rPr>
        <w:t xml:space="preserve">The submission stated that the increased price of </w:t>
      </w:r>
      <w:r w:rsidR="009173D0" w:rsidRPr="003B356D">
        <w:rPr>
          <w:rFonts w:ascii="Arial" w:hAnsi="Arial"/>
          <w:sz w:val="22"/>
          <w:szCs w:val="22"/>
        </w:rPr>
        <w:t>alendronate effervescent tablets</w:t>
      </w:r>
      <w:r w:rsidRPr="003B356D">
        <w:rPr>
          <w:rFonts w:ascii="Arial" w:hAnsi="Arial"/>
          <w:sz w:val="22"/>
          <w:szCs w:val="22"/>
        </w:rPr>
        <w:t xml:space="preserve"> compared with</w:t>
      </w:r>
      <w:r w:rsidR="00531F1C" w:rsidRPr="003B356D">
        <w:rPr>
          <w:rFonts w:ascii="Arial" w:hAnsi="Arial"/>
          <w:sz w:val="22"/>
          <w:szCs w:val="22"/>
        </w:rPr>
        <w:t xml:space="preserve"> conventional</w:t>
      </w:r>
      <w:r w:rsidRPr="003B356D">
        <w:rPr>
          <w:rFonts w:ascii="Arial" w:hAnsi="Arial"/>
          <w:sz w:val="22"/>
          <w:szCs w:val="22"/>
        </w:rPr>
        <w:t xml:space="preserve"> </w:t>
      </w:r>
      <w:r w:rsidR="00531F1C" w:rsidRPr="003B356D">
        <w:rPr>
          <w:rFonts w:ascii="Arial" w:hAnsi="Arial"/>
          <w:sz w:val="22"/>
          <w:szCs w:val="22"/>
        </w:rPr>
        <w:t>tablets</w:t>
      </w:r>
      <w:r w:rsidRPr="003B356D">
        <w:rPr>
          <w:rFonts w:ascii="Arial" w:hAnsi="Arial"/>
          <w:sz w:val="22"/>
          <w:szCs w:val="22"/>
        </w:rPr>
        <w:t xml:space="preserve"> is justifiable as it is a superior product and will be used in a smaller subset of people</w:t>
      </w:r>
      <w:r w:rsidR="00455DCE" w:rsidRPr="003B356D">
        <w:rPr>
          <w:rFonts w:ascii="Arial" w:hAnsi="Arial"/>
          <w:sz w:val="22"/>
          <w:szCs w:val="22"/>
        </w:rPr>
        <w:t>.</w:t>
      </w:r>
      <w:r w:rsidRPr="003B356D">
        <w:rPr>
          <w:rFonts w:ascii="Arial" w:hAnsi="Arial"/>
          <w:sz w:val="22"/>
          <w:szCs w:val="22"/>
        </w:rPr>
        <w:t xml:space="preserve"> </w:t>
      </w:r>
      <w:r w:rsidR="009173D0" w:rsidRPr="003B356D">
        <w:rPr>
          <w:rFonts w:ascii="Arial" w:hAnsi="Arial"/>
          <w:sz w:val="22"/>
          <w:szCs w:val="22"/>
        </w:rPr>
        <w:t>N</w:t>
      </w:r>
      <w:r w:rsidRPr="003B356D">
        <w:rPr>
          <w:rFonts w:ascii="Arial" w:hAnsi="Arial"/>
          <w:sz w:val="22"/>
          <w:szCs w:val="22"/>
        </w:rPr>
        <w:t>o evidence was provided to support this claim.</w:t>
      </w:r>
    </w:p>
    <w:p w:rsidR="001046C0" w:rsidRDefault="001046C0" w:rsidP="00BB7386"/>
    <w:p w:rsidR="005A3173" w:rsidRPr="00882085" w:rsidRDefault="005A3173" w:rsidP="00BB7386">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D75D98" w:rsidRPr="003B356D" w:rsidRDefault="00B168FA" w:rsidP="00326E24">
      <w:pPr>
        <w:pStyle w:val="ListParagraph"/>
        <w:numPr>
          <w:ilvl w:val="1"/>
          <w:numId w:val="1"/>
        </w:numPr>
        <w:jc w:val="both"/>
        <w:rPr>
          <w:rFonts w:ascii="Arial" w:hAnsi="Arial"/>
          <w:sz w:val="22"/>
          <w:szCs w:val="22"/>
        </w:rPr>
      </w:pPr>
      <w:r w:rsidRPr="003B356D">
        <w:rPr>
          <w:rFonts w:ascii="Arial" w:hAnsi="Arial"/>
          <w:sz w:val="22"/>
          <w:szCs w:val="22"/>
        </w:rPr>
        <w:t xml:space="preserve">The minor submission estimated that </w:t>
      </w:r>
      <w:r w:rsidR="00BB7386">
        <w:rPr>
          <w:rFonts w:ascii="Arial" w:hAnsi="Arial"/>
          <w:noProof/>
          <w:color w:val="000000"/>
          <w:sz w:val="22"/>
          <w:szCs w:val="22"/>
          <w:highlight w:val="black"/>
        </w:rPr>
        <w:t>'''</w:t>
      </w:r>
      <w:r w:rsidRPr="003B356D">
        <w:rPr>
          <w:rFonts w:ascii="Arial" w:hAnsi="Arial"/>
          <w:sz w:val="22"/>
          <w:szCs w:val="22"/>
        </w:rPr>
        <w:t>% (</w:t>
      </w:r>
      <w:r w:rsidR="00BB7386">
        <w:rPr>
          <w:rFonts w:ascii="Arial" w:hAnsi="Arial"/>
          <w:noProof/>
          <w:color w:val="000000"/>
          <w:sz w:val="22"/>
          <w:szCs w:val="22"/>
          <w:highlight w:val="black"/>
        </w:rPr>
        <w:t>''''''''''''''''''</w:t>
      </w:r>
      <w:r w:rsidRPr="003B356D">
        <w:rPr>
          <w:rFonts w:ascii="Arial" w:hAnsi="Arial"/>
          <w:sz w:val="22"/>
          <w:szCs w:val="22"/>
        </w:rPr>
        <w:t xml:space="preserve"> items) of the current </w:t>
      </w:r>
      <w:r w:rsidR="00362270" w:rsidRPr="003B356D">
        <w:rPr>
          <w:rFonts w:ascii="Arial" w:hAnsi="Arial"/>
          <w:sz w:val="22"/>
          <w:szCs w:val="22"/>
        </w:rPr>
        <w:t xml:space="preserve">alendronate tablets </w:t>
      </w:r>
      <w:r w:rsidRPr="003B356D">
        <w:rPr>
          <w:rFonts w:ascii="Arial" w:hAnsi="Arial"/>
          <w:sz w:val="22"/>
          <w:szCs w:val="22"/>
        </w:rPr>
        <w:t xml:space="preserve">processed on the PBS may be replaced by </w:t>
      </w:r>
      <w:r w:rsidR="00D45BD6" w:rsidRPr="003B356D">
        <w:rPr>
          <w:rFonts w:ascii="Arial" w:hAnsi="Arial"/>
          <w:sz w:val="22"/>
          <w:szCs w:val="22"/>
        </w:rPr>
        <w:t xml:space="preserve">alendronate effervescent tablets </w:t>
      </w:r>
      <w:r w:rsidRPr="003B356D">
        <w:rPr>
          <w:rFonts w:ascii="Arial" w:hAnsi="Arial"/>
          <w:sz w:val="22"/>
          <w:szCs w:val="22"/>
        </w:rPr>
        <w:t>per annum</w:t>
      </w:r>
      <w:r w:rsidR="00D45BD6" w:rsidRPr="003B356D">
        <w:rPr>
          <w:rFonts w:ascii="Arial" w:hAnsi="Arial"/>
          <w:sz w:val="22"/>
          <w:szCs w:val="22"/>
        </w:rPr>
        <w:t xml:space="preserve">. </w:t>
      </w:r>
      <w:r w:rsidRPr="003B356D">
        <w:rPr>
          <w:rFonts w:ascii="Arial" w:hAnsi="Arial"/>
          <w:sz w:val="22"/>
          <w:szCs w:val="22"/>
        </w:rPr>
        <w:t xml:space="preserve">This was based on the prevalence of dysphagia as reported </w:t>
      </w:r>
      <w:r w:rsidR="001046C0" w:rsidRPr="003B356D">
        <w:rPr>
          <w:rFonts w:ascii="Arial" w:hAnsi="Arial"/>
          <w:sz w:val="22"/>
          <w:szCs w:val="22"/>
        </w:rPr>
        <w:t>by the Australian and New Zealand Society for Geriatric Medicine</w:t>
      </w:r>
      <w:r w:rsidR="00BC6097" w:rsidRPr="003B356D">
        <w:rPr>
          <w:rFonts w:ascii="Arial" w:hAnsi="Arial"/>
          <w:sz w:val="22"/>
          <w:szCs w:val="22"/>
        </w:rPr>
        <w:t xml:space="preserve"> (ANZSGM)</w:t>
      </w:r>
      <w:r w:rsidRPr="003B356D">
        <w:rPr>
          <w:rFonts w:ascii="Arial" w:hAnsi="Arial"/>
          <w:sz w:val="22"/>
          <w:szCs w:val="22"/>
        </w:rPr>
        <w:t>.</w:t>
      </w:r>
      <w:r w:rsidR="00362270" w:rsidRPr="003B356D">
        <w:rPr>
          <w:rFonts w:ascii="Arial" w:hAnsi="Arial"/>
          <w:sz w:val="22"/>
          <w:szCs w:val="22"/>
        </w:rPr>
        <w:t xml:space="preserve"> </w:t>
      </w:r>
    </w:p>
    <w:p w:rsidR="00E2247E" w:rsidRPr="003B356D" w:rsidRDefault="00E2247E" w:rsidP="00E2247E">
      <w:pPr>
        <w:pStyle w:val="ListParagraph"/>
        <w:jc w:val="both"/>
        <w:rPr>
          <w:rFonts w:ascii="Arial" w:hAnsi="Arial"/>
          <w:sz w:val="22"/>
          <w:szCs w:val="22"/>
        </w:rPr>
      </w:pPr>
    </w:p>
    <w:p w:rsidR="009B0CFE" w:rsidRDefault="00FF2801" w:rsidP="005A7956">
      <w:pPr>
        <w:pStyle w:val="ListParagraph"/>
        <w:numPr>
          <w:ilvl w:val="1"/>
          <w:numId w:val="1"/>
        </w:numPr>
        <w:jc w:val="both"/>
        <w:rPr>
          <w:rFonts w:ascii="Arial" w:hAnsi="Arial"/>
          <w:sz w:val="22"/>
          <w:szCs w:val="22"/>
        </w:rPr>
      </w:pPr>
      <w:r w:rsidRPr="003B356D">
        <w:rPr>
          <w:rFonts w:ascii="Arial" w:hAnsi="Arial"/>
          <w:sz w:val="22"/>
          <w:szCs w:val="22"/>
        </w:rPr>
        <w:t>The minor submission estimated</w:t>
      </w:r>
      <w:r w:rsidR="00C00DA7" w:rsidRPr="003B356D">
        <w:rPr>
          <w:rFonts w:ascii="Arial" w:hAnsi="Arial"/>
          <w:sz w:val="22"/>
          <w:szCs w:val="22"/>
        </w:rPr>
        <w:t xml:space="preserve"> a net cost to the PBS </w:t>
      </w:r>
      <w:proofErr w:type="gramStart"/>
      <w:r w:rsidR="00C00DA7" w:rsidRPr="003B356D">
        <w:rPr>
          <w:rFonts w:ascii="Arial" w:hAnsi="Arial"/>
          <w:sz w:val="22"/>
          <w:szCs w:val="22"/>
        </w:rPr>
        <w:t xml:space="preserve">of </w:t>
      </w:r>
      <w:r w:rsidR="00544CA4">
        <w:rPr>
          <w:rFonts w:ascii="Arial" w:hAnsi="Arial"/>
          <w:sz w:val="22"/>
          <w:szCs w:val="22"/>
        </w:rPr>
        <w:t xml:space="preserve"> less</w:t>
      </w:r>
      <w:proofErr w:type="gramEnd"/>
      <w:r w:rsidR="00544CA4">
        <w:rPr>
          <w:rFonts w:ascii="Arial" w:hAnsi="Arial"/>
          <w:sz w:val="22"/>
          <w:szCs w:val="22"/>
        </w:rPr>
        <w:t xml:space="preserve"> than $10 million per year</w:t>
      </w:r>
      <w:r w:rsidR="00B168FA" w:rsidRPr="003B356D">
        <w:rPr>
          <w:rFonts w:ascii="Arial" w:hAnsi="Arial"/>
          <w:sz w:val="22"/>
          <w:szCs w:val="22"/>
        </w:rPr>
        <w:t xml:space="preserve"> </w:t>
      </w:r>
      <w:r w:rsidR="002A2CA1" w:rsidRPr="003B356D">
        <w:rPr>
          <w:rFonts w:ascii="Arial" w:hAnsi="Arial"/>
          <w:sz w:val="22"/>
          <w:szCs w:val="22"/>
        </w:rPr>
        <w:t xml:space="preserve"> which would result in a total cost to the PBS of  </w:t>
      </w:r>
      <w:r w:rsidR="00544CA4">
        <w:rPr>
          <w:rFonts w:ascii="Arial" w:hAnsi="Arial"/>
          <w:sz w:val="22"/>
          <w:szCs w:val="22"/>
        </w:rPr>
        <w:t xml:space="preserve">less than $10 million </w:t>
      </w:r>
      <w:r w:rsidR="002A2CA1" w:rsidRPr="003B356D">
        <w:rPr>
          <w:rFonts w:ascii="Arial" w:hAnsi="Arial"/>
          <w:sz w:val="22"/>
          <w:szCs w:val="22"/>
        </w:rPr>
        <w:t>over the first five years of listing</w:t>
      </w:r>
      <w:r w:rsidR="00B168FA" w:rsidRPr="003B356D">
        <w:rPr>
          <w:rFonts w:ascii="Arial" w:hAnsi="Arial"/>
          <w:sz w:val="22"/>
          <w:szCs w:val="22"/>
        </w:rPr>
        <w:t>.</w:t>
      </w:r>
      <w:r w:rsidR="002A2CA1" w:rsidRPr="003B356D">
        <w:rPr>
          <w:rFonts w:ascii="Arial" w:hAnsi="Arial"/>
          <w:sz w:val="22"/>
          <w:szCs w:val="22"/>
        </w:rPr>
        <w:t xml:space="preserve"> </w:t>
      </w:r>
    </w:p>
    <w:p w:rsidR="005C3663" w:rsidRPr="005C3663" w:rsidRDefault="005C3663" w:rsidP="005C3663">
      <w:pPr>
        <w:pStyle w:val="ListParagraph"/>
        <w:rPr>
          <w:rFonts w:ascii="Arial" w:hAnsi="Arial"/>
          <w:sz w:val="22"/>
          <w:szCs w:val="22"/>
        </w:rPr>
      </w:pPr>
    </w:p>
    <w:p w:rsidR="005C3663" w:rsidRPr="005A7956" w:rsidRDefault="005C3663" w:rsidP="005C3663">
      <w:pPr>
        <w:widowControl w:val="0"/>
        <w:numPr>
          <w:ilvl w:val="1"/>
          <w:numId w:val="1"/>
        </w:numPr>
        <w:jc w:val="both"/>
        <w:rPr>
          <w:rFonts w:ascii="Arial" w:hAnsi="Arial" w:cs="Arial"/>
          <w:bCs/>
          <w:snapToGrid w:val="0"/>
          <w:sz w:val="22"/>
          <w:szCs w:val="20"/>
          <w:lang w:val="en-GB"/>
        </w:rPr>
      </w:pPr>
      <w:r w:rsidRPr="005A7956">
        <w:rPr>
          <w:rFonts w:ascii="Arial" w:hAnsi="Arial" w:cs="Arial"/>
          <w:bCs/>
          <w:snapToGrid w:val="0"/>
          <w:sz w:val="22"/>
          <w:szCs w:val="20"/>
          <w:lang w:val="en-GB"/>
        </w:rPr>
        <w:t xml:space="preserve">The estimated financial impact is considered to be an underestimate because: </w:t>
      </w:r>
    </w:p>
    <w:p w:rsidR="005C3663" w:rsidRPr="005A7956" w:rsidRDefault="005C3663" w:rsidP="00346F40">
      <w:pPr>
        <w:pStyle w:val="ListParagraph"/>
        <w:widowControl w:val="0"/>
        <w:numPr>
          <w:ilvl w:val="0"/>
          <w:numId w:val="11"/>
        </w:numPr>
        <w:ind w:left="1077" w:hanging="357"/>
        <w:jc w:val="both"/>
        <w:rPr>
          <w:rFonts w:ascii="Arial" w:hAnsi="Arial" w:cs="Arial"/>
          <w:bCs/>
          <w:snapToGrid w:val="0"/>
          <w:sz w:val="22"/>
          <w:szCs w:val="20"/>
          <w:lang w:val="en-GB"/>
        </w:rPr>
      </w:pPr>
      <w:r w:rsidRPr="005A7956">
        <w:rPr>
          <w:rFonts w:ascii="Arial" w:hAnsi="Arial" w:cs="Arial"/>
          <w:bCs/>
          <w:snapToGrid w:val="0"/>
          <w:sz w:val="22"/>
          <w:szCs w:val="20"/>
          <w:lang w:val="en-GB"/>
        </w:rPr>
        <w:t xml:space="preserve">the submission had not accounted for patients currently receiving alternative bisphosphonates, such as </w:t>
      </w:r>
      <w:proofErr w:type="spellStart"/>
      <w:r w:rsidRPr="005A7956">
        <w:rPr>
          <w:rFonts w:ascii="Arial" w:hAnsi="Arial" w:cs="Arial"/>
          <w:bCs/>
          <w:snapToGrid w:val="0"/>
          <w:sz w:val="22"/>
          <w:szCs w:val="20"/>
          <w:lang w:val="en-GB"/>
        </w:rPr>
        <w:t>risedronate</w:t>
      </w:r>
      <w:proofErr w:type="spellEnd"/>
      <w:r w:rsidRPr="005A7956">
        <w:rPr>
          <w:rFonts w:ascii="Arial" w:hAnsi="Arial" w:cs="Arial"/>
          <w:bCs/>
          <w:snapToGrid w:val="0"/>
          <w:sz w:val="22"/>
          <w:szCs w:val="20"/>
          <w:lang w:val="en-GB"/>
        </w:rPr>
        <w:t>, who may switch to alendronate effervescent tablets if they became available;</w:t>
      </w:r>
    </w:p>
    <w:p w:rsidR="005C3663" w:rsidRPr="005A7956" w:rsidRDefault="005C3663" w:rsidP="009E5DC9">
      <w:pPr>
        <w:pStyle w:val="ListParagraph"/>
        <w:widowControl w:val="0"/>
        <w:numPr>
          <w:ilvl w:val="0"/>
          <w:numId w:val="11"/>
        </w:numPr>
        <w:ind w:left="1077" w:hanging="357"/>
        <w:jc w:val="both"/>
        <w:rPr>
          <w:rFonts w:ascii="Arial" w:hAnsi="Arial" w:cs="Arial"/>
          <w:bCs/>
          <w:snapToGrid w:val="0"/>
          <w:sz w:val="22"/>
          <w:szCs w:val="20"/>
          <w:lang w:val="en-GB"/>
        </w:rPr>
      </w:pPr>
      <w:r w:rsidRPr="005A7956">
        <w:rPr>
          <w:rFonts w:ascii="Arial" w:hAnsi="Arial" w:cs="Arial"/>
          <w:bCs/>
          <w:snapToGrid w:val="0"/>
          <w:sz w:val="22"/>
          <w:szCs w:val="20"/>
          <w:lang w:val="en-GB"/>
        </w:rPr>
        <w:t xml:space="preserve">the estimate of </w:t>
      </w:r>
      <w:r w:rsidR="00BB7386">
        <w:rPr>
          <w:rFonts w:ascii="Arial" w:hAnsi="Arial" w:cs="Arial"/>
          <w:bCs/>
          <w:noProof/>
          <w:snapToGrid w:val="0"/>
          <w:color w:val="000000"/>
          <w:sz w:val="22"/>
          <w:szCs w:val="20"/>
          <w:highlight w:val="black"/>
          <w:lang w:val="en-GB"/>
        </w:rPr>
        <w:t>''''</w:t>
      </w:r>
      <w:r w:rsidRPr="005A7956">
        <w:rPr>
          <w:rFonts w:ascii="Arial" w:hAnsi="Arial" w:cs="Arial"/>
          <w:bCs/>
          <w:snapToGrid w:val="0"/>
          <w:sz w:val="22"/>
          <w:szCs w:val="20"/>
          <w:lang w:val="en-GB"/>
        </w:rPr>
        <w:t xml:space="preserve">% of the population experiencing dysphagia is at the lower limit reported by ANZSGM, with an upper estimate of </w:t>
      </w:r>
      <w:r w:rsidR="00BB7386">
        <w:rPr>
          <w:rFonts w:ascii="Arial" w:hAnsi="Arial" w:cs="Arial"/>
          <w:bCs/>
          <w:noProof/>
          <w:snapToGrid w:val="0"/>
          <w:color w:val="000000"/>
          <w:sz w:val="22"/>
          <w:szCs w:val="20"/>
          <w:highlight w:val="black"/>
          <w:lang w:val="en-GB"/>
        </w:rPr>
        <w:t>''''''</w:t>
      </w:r>
      <w:r w:rsidRPr="005A7956">
        <w:rPr>
          <w:rFonts w:ascii="Arial" w:hAnsi="Arial" w:cs="Arial"/>
          <w:bCs/>
          <w:snapToGrid w:val="0"/>
          <w:sz w:val="22"/>
          <w:szCs w:val="20"/>
          <w:lang w:val="en-GB"/>
        </w:rPr>
        <w:t xml:space="preserve">%; </w:t>
      </w:r>
    </w:p>
    <w:p w:rsidR="005C3663" w:rsidRPr="005A7956" w:rsidRDefault="005C3663" w:rsidP="009E5DC9">
      <w:pPr>
        <w:pStyle w:val="ListParagraph"/>
        <w:widowControl w:val="0"/>
        <w:numPr>
          <w:ilvl w:val="0"/>
          <w:numId w:val="11"/>
        </w:numPr>
        <w:ind w:left="1077" w:hanging="357"/>
        <w:jc w:val="both"/>
        <w:rPr>
          <w:rFonts w:ascii="Arial" w:hAnsi="Arial" w:cs="Arial"/>
          <w:bCs/>
          <w:snapToGrid w:val="0"/>
          <w:sz w:val="22"/>
          <w:szCs w:val="20"/>
          <w:lang w:val="en-GB"/>
        </w:rPr>
      </w:pPr>
      <w:r w:rsidRPr="005A7956">
        <w:rPr>
          <w:rFonts w:ascii="Arial" w:hAnsi="Arial" w:cs="Arial"/>
          <w:bCs/>
          <w:snapToGrid w:val="0"/>
          <w:sz w:val="22"/>
          <w:szCs w:val="20"/>
          <w:lang w:val="en-GB"/>
        </w:rPr>
        <w:t>there is potential for leakage into other patient groups, such as those who experience gastrointestinal adverse effects with conventional bisphosphonate tablets; and</w:t>
      </w:r>
    </w:p>
    <w:p w:rsidR="005C3663" w:rsidRPr="005A7956" w:rsidRDefault="005C3663" w:rsidP="009E5DC9">
      <w:pPr>
        <w:pStyle w:val="ListParagraph"/>
        <w:widowControl w:val="0"/>
        <w:numPr>
          <w:ilvl w:val="0"/>
          <w:numId w:val="11"/>
        </w:numPr>
        <w:ind w:left="1077" w:hanging="357"/>
        <w:jc w:val="both"/>
        <w:rPr>
          <w:rFonts w:ascii="Arial" w:hAnsi="Arial" w:cs="Arial"/>
          <w:bCs/>
          <w:snapToGrid w:val="0"/>
          <w:sz w:val="22"/>
          <w:szCs w:val="20"/>
          <w:lang w:val="en-GB"/>
        </w:rPr>
      </w:pPr>
      <w:proofErr w:type="gramStart"/>
      <w:r w:rsidRPr="005A7956">
        <w:rPr>
          <w:rFonts w:ascii="Arial" w:hAnsi="Arial" w:cs="Arial"/>
          <w:bCs/>
          <w:snapToGrid w:val="0"/>
          <w:sz w:val="22"/>
          <w:szCs w:val="20"/>
          <w:lang w:val="en-GB"/>
        </w:rPr>
        <w:t>it</w:t>
      </w:r>
      <w:proofErr w:type="gramEnd"/>
      <w:r w:rsidRPr="005A7956">
        <w:rPr>
          <w:rFonts w:ascii="Arial" w:hAnsi="Arial" w:cs="Arial"/>
          <w:bCs/>
          <w:snapToGrid w:val="0"/>
          <w:sz w:val="22"/>
          <w:szCs w:val="20"/>
          <w:lang w:val="en-GB"/>
        </w:rPr>
        <w:t xml:space="preserve"> is unclear how the rate of uptake of the alendronate effervescent tablets is affected by the usage of </w:t>
      </w:r>
      <w:proofErr w:type="spellStart"/>
      <w:r w:rsidRPr="005A7956">
        <w:rPr>
          <w:rFonts w:ascii="Arial" w:hAnsi="Arial" w:cs="Arial"/>
          <w:bCs/>
          <w:snapToGrid w:val="0"/>
          <w:sz w:val="22"/>
          <w:szCs w:val="20"/>
          <w:lang w:val="en-GB"/>
        </w:rPr>
        <w:t>denosumab</w:t>
      </w:r>
      <w:proofErr w:type="spellEnd"/>
      <w:r w:rsidRPr="005A7956">
        <w:rPr>
          <w:rFonts w:ascii="Arial" w:hAnsi="Arial" w:cs="Arial"/>
          <w:bCs/>
          <w:snapToGrid w:val="0"/>
          <w:sz w:val="22"/>
          <w:szCs w:val="20"/>
          <w:lang w:val="en-GB"/>
        </w:rPr>
        <w:t xml:space="preserve">. </w:t>
      </w:r>
    </w:p>
    <w:p w:rsidR="00897C9D" w:rsidRDefault="00897C9D" w:rsidP="00F64CC1">
      <w:pPr>
        <w:jc w:val="both"/>
        <w:rPr>
          <w:rFonts w:ascii="Arial" w:hAnsi="Arial" w:cs="Arial"/>
          <w:bCs/>
          <w:i/>
          <w:snapToGrid w:val="0"/>
          <w:sz w:val="22"/>
          <w:szCs w:val="22"/>
          <w:highlight w:val="yellow"/>
        </w:rPr>
      </w:pPr>
    </w:p>
    <w:p w:rsidR="00845AFD" w:rsidRPr="005B5641" w:rsidRDefault="00B2233B" w:rsidP="00214D10">
      <w:pPr>
        <w:ind w:firstLine="720"/>
        <w:jc w:val="both"/>
        <w:rPr>
          <w:rFonts w:ascii="Arial" w:hAnsi="Arial" w:cs="Arial"/>
          <w:bCs/>
          <w:i/>
          <w:snapToGrid w:val="0"/>
          <w:sz w:val="22"/>
          <w:szCs w:val="22"/>
        </w:rPr>
      </w:pPr>
      <w:r w:rsidRPr="00E13640">
        <w:rPr>
          <w:rFonts w:ascii="Arial" w:hAnsi="Arial" w:cs="Arial"/>
          <w:bCs/>
          <w:i/>
          <w:snapToGrid w:val="0"/>
          <w:sz w:val="22"/>
          <w:szCs w:val="22"/>
        </w:rPr>
        <w:t xml:space="preserve">For more detail on PBAC’s view, see section </w:t>
      </w:r>
      <w:r w:rsidR="00790F56" w:rsidRPr="00E13640">
        <w:rPr>
          <w:rFonts w:ascii="Arial" w:hAnsi="Arial" w:cs="Arial"/>
          <w:bCs/>
          <w:i/>
          <w:snapToGrid w:val="0"/>
          <w:sz w:val="22"/>
          <w:szCs w:val="22"/>
        </w:rPr>
        <w:t>6</w:t>
      </w:r>
      <w:r w:rsidRPr="00E13640">
        <w:rPr>
          <w:rFonts w:ascii="Arial" w:hAnsi="Arial" w:cs="Arial"/>
          <w:bCs/>
          <w:i/>
          <w:snapToGrid w:val="0"/>
          <w:sz w:val="22"/>
          <w:szCs w:val="22"/>
        </w:rPr>
        <w:t xml:space="preserve"> “PBAC outcome”</w:t>
      </w:r>
    </w:p>
    <w:p w:rsidR="003317CA" w:rsidRPr="005B5641" w:rsidRDefault="003317CA" w:rsidP="00F64CC1">
      <w:pPr>
        <w:jc w:val="both"/>
        <w:rPr>
          <w:rFonts w:ascii="Arial" w:hAnsi="Arial" w:cs="Arial"/>
          <w:bCs/>
          <w:snapToGrid w:val="0"/>
          <w:sz w:val="22"/>
          <w:szCs w:val="22"/>
        </w:rPr>
      </w:pPr>
    </w:p>
    <w:p w:rsidR="00326E24" w:rsidRPr="005B5641" w:rsidRDefault="00326E24" w:rsidP="003317CA">
      <w:pPr>
        <w:rPr>
          <w:rFonts w:ascii="Arial" w:hAnsi="Arial" w:cs="Arial"/>
          <w:bCs/>
          <w:snapToGrid w:val="0"/>
          <w:sz w:val="22"/>
          <w:szCs w:val="22"/>
        </w:rPr>
      </w:pPr>
    </w:p>
    <w:p w:rsidR="00326E24" w:rsidRPr="00BB7386" w:rsidRDefault="00326E24" w:rsidP="00BB7386">
      <w:pPr>
        <w:pStyle w:val="Heading1"/>
        <w:numPr>
          <w:ilvl w:val="0"/>
          <w:numId w:val="1"/>
        </w:numPr>
      </w:pPr>
      <w:r w:rsidRPr="00BB7386">
        <w:t>PBAC Outcome</w:t>
      </w:r>
    </w:p>
    <w:p w:rsidR="00326E24" w:rsidRPr="00E13640" w:rsidRDefault="00326E24" w:rsidP="00326E24">
      <w:pPr>
        <w:widowControl w:val="0"/>
        <w:jc w:val="both"/>
        <w:rPr>
          <w:rFonts w:ascii="Arial" w:hAnsi="Arial" w:cs="Arial"/>
          <w:b/>
          <w:bCs/>
          <w:snapToGrid w:val="0"/>
          <w:sz w:val="22"/>
          <w:szCs w:val="20"/>
          <w:lang w:val="en-GB"/>
        </w:rPr>
      </w:pPr>
    </w:p>
    <w:p w:rsidR="005A7956" w:rsidRDefault="00326E24" w:rsidP="005A7956">
      <w:pPr>
        <w:widowControl w:val="0"/>
        <w:numPr>
          <w:ilvl w:val="1"/>
          <w:numId w:val="1"/>
        </w:numPr>
        <w:jc w:val="both"/>
        <w:rPr>
          <w:rFonts w:ascii="Arial" w:hAnsi="Arial" w:cs="Arial"/>
          <w:bCs/>
          <w:snapToGrid w:val="0"/>
          <w:sz w:val="22"/>
          <w:szCs w:val="20"/>
          <w:lang w:val="en-GB"/>
        </w:rPr>
      </w:pPr>
      <w:r w:rsidRPr="00E13640">
        <w:rPr>
          <w:rFonts w:ascii="Arial" w:hAnsi="Arial" w:cs="Arial"/>
          <w:bCs/>
          <w:snapToGrid w:val="0"/>
          <w:sz w:val="22"/>
          <w:szCs w:val="20"/>
          <w:lang w:val="en-GB"/>
        </w:rPr>
        <w:t xml:space="preserve">The PBAC recommended the </w:t>
      </w:r>
      <w:r w:rsidR="00A62763" w:rsidRPr="00E13640">
        <w:rPr>
          <w:rFonts w:ascii="Arial" w:hAnsi="Arial" w:cs="Arial"/>
          <w:bCs/>
          <w:snapToGrid w:val="0"/>
          <w:sz w:val="22"/>
          <w:szCs w:val="20"/>
          <w:lang w:val="en-GB"/>
        </w:rPr>
        <w:t xml:space="preserve">Restricted Benefit </w:t>
      </w:r>
      <w:r w:rsidRPr="00E13640">
        <w:rPr>
          <w:rFonts w:ascii="Arial" w:hAnsi="Arial" w:cs="Arial"/>
          <w:bCs/>
          <w:snapToGrid w:val="0"/>
          <w:sz w:val="22"/>
          <w:szCs w:val="20"/>
          <w:lang w:val="en-GB"/>
        </w:rPr>
        <w:t xml:space="preserve">listing of </w:t>
      </w:r>
      <w:proofErr w:type="spellStart"/>
      <w:r w:rsidR="00D13F9F" w:rsidRPr="00E13640">
        <w:rPr>
          <w:rFonts w:ascii="Arial" w:hAnsi="Arial" w:cs="Arial"/>
          <w:bCs/>
          <w:snapToGrid w:val="0"/>
          <w:sz w:val="22"/>
          <w:szCs w:val="20"/>
          <w:lang w:val="en-GB"/>
        </w:rPr>
        <w:t>alendronic</w:t>
      </w:r>
      <w:proofErr w:type="spellEnd"/>
      <w:r w:rsidR="00D13F9F" w:rsidRPr="00E13640">
        <w:rPr>
          <w:rFonts w:ascii="Arial" w:hAnsi="Arial" w:cs="Arial"/>
          <w:bCs/>
          <w:snapToGrid w:val="0"/>
          <w:sz w:val="22"/>
          <w:szCs w:val="20"/>
          <w:lang w:val="en-GB"/>
        </w:rPr>
        <w:t xml:space="preserve"> acid in the form of </w:t>
      </w:r>
      <w:r w:rsidR="00B55E07">
        <w:rPr>
          <w:rFonts w:ascii="Arial" w:hAnsi="Arial" w:cs="Arial"/>
          <w:bCs/>
          <w:snapToGrid w:val="0"/>
          <w:sz w:val="22"/>
          <w:szCs w:val="20"/>
          <w:lang w:val="en-GB"/>
        </w:rPr>
        <w:t xml:space="preserve">70 mg </w:t>
      </w:r>
      <w:r w:rsidR="002D411B" w:rsidRPr="00E13640">
        <w:rPr>
          <w:rFonts w:ascii="Arial" w:hAnsi="Arial" w:cs="Arial"/>
          <w:bCs/>
          <w:snapToGrid w:val="0"/>
          <w:sz w:val="22"/>
          <w:szCs w:val="20"/>
          <w:lang w:val="en-GB"/>
        </w:rPr>
        <w:t>effervescent tablets</w:t>
      </w:r>
      <w:r w:rsidRPr="00E13640">
        <w:rPr>
          <w:rFonts w:ascii="Arial" w:hAnsi="Arial" w:cs="Arial"/>
          <w:bCs/>
          <w:snapToGrid w:val="0"/>
          <w:sz w:val="22"/>
          <w:szCs w:val="20"/>
          <w:lang w:val="en-GB"/>
        </w:rPr>
        <w:t xml:space="preserve"> </w:t>
      </w:r>
      <w:r w:rsidR="002D411B" w:rsidRPr="005B5641">
        <w:rPr>
          <w:rFonts w:ascii="Arial" w:hAnsi="Arial" w:cs="Arial"/>
          <w:bCs/>
          <w:snapToGrid w:val="0"/>
          <w:sz w:val="22"/>
          <w:szCs w:val="20"/>
          <w:lang w:val="en-GB"/>
        </w:rPr>
        <w:t>(as alendronate sodium)</w:t>
      </w:r>
      <w:r w:rsidR="00D13F9F" w:rsidRPr="005B5641">
        <w:rPr>
          <w:rFonts w:ascii="Arial" w:hAnsi="Arial" w:cs="Arial"/>
          <w:bCs/>
          <w:snapToGrid w:val="0"/>
          <w:sz w:val="22"/>
          <w:szCs w:val="20"/>
          <w:lang w:val="en-GB"/>
        </w:rPr>
        <w:t xml:space="preserve"> for the treatment of osteoporosis</w:t>
      </w:r>
      <w:r w:rsidR="006645F3" w:rsidRPr="005B5641">
        <w:rPr>
          <w:rFonts w:ascii="Arial" w:hAnsi="Arial" w:cs="Arial"/>
          <w:bCs/>
          <w:snapToGrid w:val="0"/>
          <w:sz w:val="22"/>
          <w:szCs w:val="20"/>
          <w:lang w:val="en-GB"/>
        </w:rPr>
        <w:t>,</w:t>
      </w:r>
      <w:r w:rsidR="002D411B" w:rsidRPr="005B5641">
        <w:rPr>
          <w:rFonts w:ascii="Arial" w:hAnsi="Arial" w:cs="Arial"/>
          <w:bCs/>
          <w:snapToGrid w:val="0"/>
          <w:sz w:val="22"/>
          <w:szCs w:val="20"/>
          <w:lang w:val="en-GB"/>
        </w:rPr>
        <w:t xml:space="preserve"> </w:t>
      </w:r>
      <w:r w:rsidRPr="00E13640">
        <w:rPr>
          <w:rFonts w:ascii="Arial" w:hAnsi="Arial" w:cs="Arial"/>
          <w:bCs/>
          <w:snapToGrid w:val="0"/>
          <w:sz w:val="22"/>
          <w:szCs w:val="20"/>
          <w:lang w:val="en-GB"/>
        </w:rPr>
        <w:t xml:space="preserve">on the basis that it </w:t>
      </w:r>
      <w:r w:rsidR="002D411B" w:rsidRPr="00E13640">
        <w:rPr>
          <w:rFonts w:ascii="Arial" w:hAnsi="Arial" w:cs="Arial"/>
          <w:bCs/>
          <w:snapToGrid w:val="0"/>
          <w:sz w:val="22"/>
          <w:szCs w:val="20"/>
          <w:lang w:val="en-GB"/>
        </w:rPr>
        <w:t xml:space="preserve">is bioequivalent to alendronate tablets. </w:t>
      </w:r>
    </w:p>
    <w:p w:rsidR="005A7956" w:rsidRDefault="005A7956" w:rsidP="005A7956">
      <w:pPr>
        <w:widowControl w:val="0"/>
        <w:ind w:left="720"/>
        <w:jc w:val="both"/>
        <w:rPr>
          <w:rFonts w:ascii="Arial" w:hAnsi="Arial" w:cs="Arial"/>
          <w:bCs/>
          <w:snapToGrid w:val="0"/>
          <w:sz w:val="22"/>
          <w:szCs w:val="20"/>
          <w:lang w:val="en-GB"/>
        </w:rPr>
      </w:pPr>
    </w:p>
    <w:p w:rsidR="00F06B67" w:rsidRPr="005A7956" w:rsidRDefault="006E0937" w:rsidP="005A7956">
      <w:pPr>
        <w:widowControl w:val="0"/>
        <w:numPr>
          <w:ilvl w:val="1"/>
          <w:numId w:val="1"/>
        </w:numPr>
        <w:jc w:val="both"/>
        <w:rPr>
          <w:rFonts w:ascii="Arial" w:hAnsi="Arial" w:cs="Arial"/>
          <w:bCs/>
          <w:snapToGrid w:val="0"/>
          <w:sz w:val="22"/>
          <w:szCs w:val="20"/>
          <w:lang w:val="en-GB"/>
        </w:rPr>
      </w:pPr>
      <w:r w:rsidRPr="005A7956">
        <w:rPr>
          <w:rFonts w:ascii="Arial" w:hAnsi="Arial" w:cs="Arial"/>
          <w:bCs/>
          <w:snapToGrid w:val="0"/>
          <w:sz w:val="22"/>
          <w:szCs w:val="20"/>
          <w:lang w:val="en-GB"/>
        </w:rPr>
        <w:t>The PBAC recommended</w:t>
      </w:r>
      <w:r w:rsidR="00F3547B" w:rsidRPr="005A7956">
        <w:rPr>
          <w:rFonts w:ascii="Arial" w:hAnsi="Arial" w:cs="Arial"/>
          <w:bCs/>
          <w:snapToGrid w:val="0"/>
          <w:sz w:val="22"/>
          <w:szCs w:val="20"/>
          <w:lang w:val="en-GB"/>
        </w:rPr>
        <w:t xml:space="preserve"> </w:t>
      </w:r>
      <w:r w:rsidR="007A7677">
        <w:rPr>
          <w:rFonts w:ascii="Arial" w:hAnsi="Arial" w:cs="Arial"/>
          <w:bCs/>
          <w:snapToGrid w:val="0"/>
          <w:sz w:val="22"/>
          <w:szCs w:val="20"/>
          <w:lang w:val="en-GB"/>
        </w:rPr>
        <w:t xml:space="preserve">that </w:t>
      </w:r>
      <w:r w:rsidR="00F3547B" w:rsidRPr="005A7956">
        <w:rPr>
          <w:rFonts w:ascii="Arial" w:hAnsi="Arial" w:cs="Arial"/>
          <w:bCs/>
          <w:snapToGrid w:val="0"/>
          <w:sz w:val="22"/>
          <w:szCs w:val="20"/>
          <w:lang w:val="en-GB"/>
        </w:rPr>
        <w:t xml:space="preserve">alendronate effervescent tablets have the same restriction as alendronate tablets on the basis </w:t>
      </w:r>
      <w:r w:rsidR="00E7032E" w:rsidRPr="005A7956">
        <w:rPr>
          <w:rFonts w:ascii="Arial" w:hAnsi="Arial" w:cs="Arial"/>
          <w:bCs/>
          <w:snapToGrid w:val="0"/>
          <w:sz w:val="22"/>
          <w:szCs w:val="20"/>
          <w:lang w:val="en-GB"/>
        </w:rPr>
        <w:t>th</w:t>
      </w:r>
      <w:r w:rsidR="005A7956">
        <w:rPr>
          <w:rFonts w:ascii="Arial" w:hAnsi="Arial" w:cs="Arial"/>
          <w:bCs/>
          <w:snapToGrid w:val="0"/>
          <w:sz w:val="22"/>
          <w:szCs w:val="20"/>
          <w:lang w:val="en-GB"/>
        </w:rPr>
        <w:t>e two forms</w:t>
      </w:r>
      <w:r w:rsidR="00E7032E" w:rsidRPr="005A7956">
        <w:rPr>
          <w:rFonts w:ascii="Arial" w:hAnsi="Arial" w:cs="Arial"/>
          <w:bCs/>
          <w:snapToGrid w:val="0"/>
          <w:sz w:val="22"/>
          <w:szCs w:val="20"/>
          <w:lang w:val="en-GB"/>
        </w:rPr>
        <w:t xml:space="preserve"> are bioequivalent.</w:t>
      </w:r>
      <w:r w:rsidR="00F06B67" w:rsidRPr="005A7956">
        <w:rPr>
          <w:rFonts w:ascii="Arial" w:hAnsi="Arial" w:cs="Arial"/>
          <w:bCs/>
          <w:snapToGrid w:val="0"/>
          <w:sz w:val="22"/>
          <w:szCs w:val="20"/>
          <w:lang w:val="en-GB"/>
        </w:rPr>
        <w:t xml:space="preserve"> </w:t>
      </w:r>
      <w:r w:rsidR="00F06B67" w:rsidRPr="005A7956">
        <w:rPr>
          <w:rFonts w:ascii="Arial" w:hAnsi="Arial"/>
          <w:sz w:val="22"/>
          <w:szCs w:val="22"/>
        </w:rPr>
        <w:t xml:space="preserve">The PBAC noted that there </w:t>
      </w:r>
      <w:r w:rsidR="00C231EA">
        <w:rPr>
          <w:rFonts w:ascii="Arial" w:hAnsi="Arial"/>
          <w:sz w:val="22"/>
          <w:szCs w:val="22"/>
        </w:rPr>
        <w:t>would be</w:t>
      </w:r>
      <w:r w:rsidR="00F06B67" w:rsidRPr="005A7956">
        <w:rPr>
          <w:rFonts w:ascii="Arial" w:hAnsi="Arial"/>
          <w:sz w:val="22"/>
          <w:szCs w:val="22"/>
        </w:rPr>
        <w:t xml:space="preserve"> potential for leakage into the general osteoporosis patient population if alendronate effervescent tablets </w:t>
      </w:r>
      <w:r w:rsidR="00C231EA">
        <w:rPr>
          <w:rFonts w:ascii="Arial" w:hAnsi="Arial"/>
          <w:sz w:val="22"/>
          <w:szCs w:val="22"/>
        </w:rPr>
        <w:t>were</w:t>
      </w:r>
      <w:r w:rsidR="00F06B67" w:rsidRPr="005A7956">
        <w:rPr>
          <w:rFonts w:ascii="Arial" w:hAnsi="Arial"/>
          <w:sz w:val="22"/>
          <w:szCs w:val="22"/>
        </w:rPr>
        <w:t xml:space="preserve"> restricted to patients with dysphagia or other swallowing difficulties.</w:t>
      </w:r>
    </w:p>
    <w:p w:rsidR="00326E24" w:rsidRPr="00E13640" w:rsidRDefault="00326E24" w:rsidP="00326E24">
      <w:pPr>
        <w:widowControl w:val="0"/>
        <w:jc w:val="both"/>
        <w:rPr>
          <w:rFonts w:ascii="Arial" w:hAnsi="Arial" w:cs="Arial"/>
          <w:bCs/>
          <w:snapToGrid w:val="0"/>
          <w:sz w:val="22"/>
          <w:szCs w:val="20"/>
          <w:lang w:val="en-GB"/>
        </w:rPr>
      </w:pPr>
    </w:p>
    <w:p w:rsidR="00611315" w:rsidRDefault="00611315" w:rsidP="00611315">
      <w:pPr>
        <w:pStyle w:val="ListParagraph"/>
        <w:numPr>
          <w:ilvl w:val="1"/>
          <w:numId w:val="1"/>
        </w:numPr>
        <w:rPr>
          <w:rFonts w:ascii="Arial" w:hAnsi="Arial"/>
          <w:sz w:val="22"/>
          <w:szCs w:val="22"/>
        </w:rPr>
      </w:pPr>
      <w:r w:rsidRPr="002F7DA8">
        <w:rPr>
          <w:rFonts w:ascii="Arial" w:hAnsi="Arial" w:cs="Arial"/>
          <w:bCs/>
          <w:snapToGrid w:val="0"/>
          <w:sz w:val="22"/>
          <w:szCs w:val="20"/>
          <w:lang w:val="en-GB"/>
        </w:rPr>
        <w:t>The PBAC recommended that</w:t>
      </w:r>
      <w:r w:rsidRPr="002F7DA8">
        <w:rPr>
          <w:rFonts w:ascii="Arial" w:hAnsi="Arial"/>
          <w:sz w:val="22"/>
          <w:szCs w:val="22"/>
        </w:rPr>
        <w:t xml:space="preserve"> alendronate effervescent tablets should be priced equivalent to alendronate tablets in the absence of data to support superiority or improved compliance. </w:t>
      </w:r>
    </w:p>
    <w:p w:rsidR="00611315" w:rsidRPr="00611315" w:rsidRDefault="00611315" w:rsidP="00611315">
      <w:pPr>
        <w:rPr>
          <w:rFonts w:ascii="Arial" w:hAnsi="Arial"/>
          <w:sz w:val="22"/>
          <w:szCs w:val="22"/>
        </w:rPr>
      </w:pPr>
    </w:p>
    <w:p w:rsidR="00326E24" w:rsidRPr="00E13640" w:rsidRDefault="006E0937" w:rsidP="00326E24">
      <w:pPr>
        <w:widowControl w:val="0"/>
        <w:numPr>
          <w:ilvl w:val="1"/>
          <w:numId w:val="1"/>
        </w:numPr>
        <w:jc w:val="both"/>
        <w:rPr>
          <w:rFonts w:ascii="Arial" w:hAnsi="Arial" w:cs="Arial"/>
          <w:bCs/>
          <w:snapToGrid w:val="0"/>
          <w:sz w:val="22"/>
          <w:szCs w:val="20"/>
          <w:lang w:val="en-GB"/>
        </w:rPr>
      </w:pPr>
      <w:r w:rsidRPr="00E13640">
        <w:rPr>
          <w:rFonts w:ascii="Arial" w:hAnsi="Arial" w:cs="Arial"/>
          <w:bCs/>
          <w:snapToGrid w:val="0"/>
          <w:sz w:val="22"/>
          <w:szCs w:val="20"/>
          <w:lang w:val="en-GB"/>
        </w:rPr>
        <w:t xml:space="preserve">The PBAC considered that there was </w:t>
      </w:r>
      <w:r w:rsidRPr="005B5641">
        <w:rPr>
          <w:rFonts w:ascii="Arial" w:hAnsi="Arial"/>
          <w:sz w:val="22"/>
          <w:szCs w:val="22"/>
        </w:rPr>
        <w:t>not a large clinical need for an effervescent form of alendronate</w:t>
      </w:r>
      <w:r w:rsidR="007A7677">
        <w:rPr>
          <w:rFonts w:ascii="Arial" w:hAnsi="Arial"/>
          <w:sz w:val="22"/>
          <w:szCs w:val="22"/>
        </w:rPr>
        <w:t xml:space="preserve">, but agreed that some patients may prefer an effervescent formulation. </w:t>
      </w:r>
      <w:r w:rsidR="00611315" w:rsidRPr="002F7DA8">
        <w:rPr>
          <w:rFonts w:ascii="Arial" w:hAnsi="Arial"/>
          <w:sz w:val="22"/>
          <w:szCs w:val="22"/>
        </w:rPr>
        <w:t xml:space="preserve">The PBAC </w:t>
      </w:r>
      <w:r w:rsidR="00611315">
        <w:rPr>
          <w:rFonts w:ascii="Arial" w:hAnsi="Arial"/>
          <w:sz w:val="22"/>
          <w:szCs w:val="22"/>
        </w:rPr>
        <w:t xml:space="preserve">noted the listing would </w:t>
      </w:r>
      <w:r w:rsidR="0029267B">
        <w:rPr>
          <w:rFonts w:ascii="Arial" w:hAnsi="Arial"/>
          <w:sz w:val="22"/>
          <w:szCs w:val="22"/>
        </w:rPr>
        <w:t xml:space="preserve">therefore </w:t>
      </w:r>
      <w:r w:rsidR="00611315">
        <w:rPr>
          <w:rFonts w:ascii="Arial" w:hAnsi="Arial"/>
          <w:sz w:val="22"/>
          <w:szCs w:val="22"/>
        </w:rPr>
        <w:t>likely be cost neutral.</w:t>
      </w:r>
    </w:p>
    <w:p w:rsidR="00326E24" w:rsidRPr="00E13640" w:rsidRDefault="00326E24" w:rsidP="00326E24">
      <w:pPr>
        <w:widowControl w:val="0"/>
        <w:jc w:val="both"/>
        <w:rPr>
          <w:rFonts w:ascii="Arial" w:hAnsi="Arial" w:cs="Arial"/>
          <w:bCs/>
          <w:snapToGrid w:val="0"/>
          <w:sz w:val="22"/>
          <w:szCs w:val="20"/>
          <w:lang w:val="en-GB"/>
        </w:rPr>
      </w:pPr>
    </w:p>
    <w:p w:rsidR="00297367" w:rsidRPr="00461DCA" w:rsidRDefault="007673BC" w:rsidP="00297367">
      <w:pPr>
        <w:numPr>
          <w:ilvl w:val="1"/>
          <w:numId w:val="1"/>
        </w:numPr>
        <w:jc w:val="both"/>
        <w:rPr>
          <w:rFonts w:ascii="Arial" w:hAnsi="Arial" w:cs="Arial"/>
          <w:b/>
          <w:sz w:val="22"/>
          <w:szCs w:val="22"/>
        </w:rPr>
      </w:pPr>
      <w:r w:rsidRPr="00461DCA">
        <w:rPr>
          <w:rFonts w:ascii="Arial" w:hAnsi="Arial" w:cs="Arial"/>
          <w:sz w:val="22"/>
          <w:szCs w:val="22"/>
        </w:rPr>
        <w:t xml:space="preserve">The PBAC recommended under Section 101(3BA) of the </w:t>
      </w:r>
      <w:r w:rsidRPr="00461DCA">
        <w:rPr>
          <w:rFonts w:ascii="Arial" w:hAnsi="Arial" w:cs="Arial"/>
          <w:i/>
          <w:sz w:val="22"/>
          <w:szCs w:val="22"/>
        </w:rPr>
        <w:t>National Health Act</w:t>
      </w:r>
      <w:r w:rsidRPr="00461DCA">
        <w:rPr>
          <w:rFonts w:ascii="Arial" w:hAnsi="Arial" w:cs="Arial"/>
          <w:sz w:val="22"/>
          <w:szCs w:val="22"/>
        </w:rPr>
        <w:t xml:space="preserve">, </w:t>
      </w:r>
      <w:r w:rsidRPr="00461DCA">
        <w:rPr>
          <w:rFonts w:ascii="Arial" w:hAnsi="Arial" w:cs="Arial"/>
          <w:i/>
          <w:sz w:val="22"/>
          <w:szCs w:val="22"/>
        </w:rPr>
        <w:t xml:space="preserve">1953 </w:t>
      </w:r>
      <w:r w:rsidR="00461DCA">
        <w:rPr>
          <w:rFonts w:ascii="Arial" w:hAnsi="Arial" w:cs="Arial"/>
          <w:sz w:val="22"/>
          <w:szCs w:val="22"/>
        </w:rPr>
        <w:t xml:space="preserve">that </w:t>
      </w:r>
      <w:r w:rsidRPr="00461DCA">
        <w:rPr>
          <w:rFonts w:ascii="Arial" w:hAnsi="Arial" w:cs="Arial"/>
          <w:sz w:val="22"/>
          <w:szCs w:val="22"/>
        </w:rPr>
        <w:t xml:space="preserve">alendronate </w:t>
      </w:r>
      <w:r w:rsidR="00461DCA" w:rsidRPr="00461DCA">
        <w:rPr>
          <w:rFonts w:ascii="Arial" w:hAnsi="Arial" w:cs="Arial"/>
          <w:sz w:val="22"/>
          <w:szCs w:val="22"/>
        </w:rPr>
        <w:t xml:space="preserve">and </w:t>
      </w:r>
      <w:proofErr w:type="spellStart"/>
      <w:r w:rsidR="00461DCA" w:rsidRPr="00461DCA">
        <w:rPr>
          <w:rFonts w:ascii="Arial" w:hAnsi="Arial" w:cs="Arial"/>
          <w:sz w:val="22"/>
          <w:szCs w:val="22"/>
        </w:rPr>
        <w:t>risedronate</w:t>
      </w:r>
      <w:proofErr w:type="spellEnd"/>
      <w:r w:rsidRPr="00461DCA">
        <w:rPr>
          <w:rFonts w:ascii="Arial" w:hAnsi="Arial" w:cs="Arial"/>
          <w:sz w:val="22"/>
          <w:szCs w:val="22"/>
        </w:rPr>
        <w:t xml:space="preserve"> should be treated as interchangeable on an individual patient basis</w:t>
      </w:r>
      <w:r w:rsidR="00461DCA">
        <w:rPr>
          <w:rFonts w:ascii="Arial" w:hAnsi="Arial" w:cs="Arial"/>
          <w:sz w:val="22"/>
          <w:szCs w:val="22"/>
        </w:rPr>
        <w:t xml:space="preserve">. </w:t>
      </w:r>
    </w:p>
    <w:p w:rsidR="00461DCA" w:rsidRPr="00461DCA" w:rsidRDefault="00461DCA" w:rsidP="00461DCA">
      <w:pPr>
        <w:jc w:val="both"/>
        <w:rPr>
          <w:rFonts w:ascii="Arial" w:hAnsi="Arial" w:cs="Arial"/>
          <w:b/>
          <w:sz w:val="22"/>
          <w:szCs w:val="22"/>
        </w:rPr>
      </w:pPr>
    </w:p>
    <w:p w:rsidR="00297367" w:rsidRPr="003B356D" w:rsidRDefault="00297367" w:rsidP="00297367">
      <w:pPr>
        <w:numPr>
          <w:ilvl w:val="1"/>
          <w:numId w:val="1"/>
        </w:numPr>
        <w:jc w:val="both"/>
        <w:rPr>
          <w:rFonts w:ascii="Arial" w:hAnsi="Arial" w:cs="Arial"/>
          <w:b/>
          <w:sz w:val="22"/>
          <w:szCs w:val="22"/>
        </w:rPr>
      </w:pPr>
      <w:r w:rsidRPr="003B356D">
        <w:rPr>
          <w:rFonts w:ascii="Arial" w:hAnsi="Arial" w:cs="Arial"/>
          <w:sz w:val="22"/>
          <w:szCs w:val="22"/>
        </w:rPr>
        <w:t xml:space="preserve">The PBAC </w:t>
      </w:r>
      <w:r>
        <w:rPr>
          <w:rFonts w:ascii="Arial" w:hAnsi="Arial" w:cs="Arial"/>
          <w:sz w:val="22"/>
          <w:szCs w:val="22"/>
        </w:rPr>
        <w:t xml:space="preserve">recommended </w:t>
      </w:r>
      <w:r w:rsidRPr="003B356D">
        <w:rPr>
          <w:rFonts w:ascii="Arial" w:hAnsi="Arial" w:cs="Arial"/>
          <w:sz w:val="22"/>
          <w:szCs w:val="22"/>
        </w:rPr>
        <w:t xml:space="preserve">alendronate effervescent tablets and alendronate tablets should be considered equivalent for the purposes of substitution (i.e., ‘a’ flagged in the Schedule with a NOTE in the schedule stating that the forms are equivalent for the purposes of substitution). </w:t>
      </w:r>
      <w:r w:rsidRPr="003B356D">
        <w:rPr>
          <w:rFonts w:ascii="Arial" w:hAnsi="Arial"/>
          <w:sz w:val="22"/>
          <w:szCs w:val="22"/>
        </w:rPr>
        <w:t>The product information noted that alendronate effervescent tablets were found to be bioequivalent to alendronate tablets.</w:t>
      </w:r>
    </w:p>
    <w:p w:rsidR="00326E24" w:rsidRPr="0069654D" w:rsidRDefault="00326E24" w:rsidP="00326E24">
      <w:pPr>
        <w:widowControl w:val="0"/>
        <w:jc w:val="both"/>
        <w:rPr>
          <w:rFonts w:ascii="Arial" w:hAnsi="Arial" w:cs="Arial"/>
          <w:bCs/>
          <w:snapToGrid w:val="0"/>
          <w:sz w:val="22"/>
          <w:szCs w:val="20"/>
          <w:highlight w:val="yellow"/>
          <w:lang w:val="en-GB"/>
        </w:rPr>
      </w:pPr>
    </w:p>
    <w:p w:rsidR="007673BC" w:rsidRPr="00E13640" w:rsidRDefault="007673BC" w:rsidP="007673BC">
      <w:pPr>
        <w:numPr>
          <w:ilvl w:val="1"/>
          <w:numId w:val="1"/>
        </w:numPr>
        <w:jc w:val="both"/>
        <w:rPr>
          <w:rFonts w:ascii="Arial" w:hAnsi="Arial" w:cs="Arial"/>
          <w:b/>
          <w:sz w:val="22"/>
          <w:szCs w:val="22"/>
        </w:rPr>
      </w:pPr>
      <w:r>
        <w:rPr>
          <w:rFonts w:ascii="Arial" w:hAnsi="Arial" w:cs="Arial"/>
          <w:sz w:val="22"/>
          <w:szCs w:val="22"/>
        </w:rPr>
        <w:t xml:space="preserve">The </w:t>
      </w:r>
      <w:r w:rsidRPr="003B356D">
        <w:rPr>
          <w:rFonts w:ascii="Arial" w:hAnsi="Arial" w:cs="Arial"/>
          <w:sz w:val="22"/>
          <w:szCs w:val="22"/>
        </w:rPr>
        <w:t xml:space="preserve">PBAC </w:t>
      </w:r>
      <w:r>
        <w:rPr>
          <w:rFonts w:ascii="Arial" w:hAnsi="Arial" w:cs="Arial"/>
          <w:sz w:val="22"/>
          <w:szCs w:val="22"/>
        </w:rPr>
        <w:t>advised that</w:t>
      </w:r>
      <w:r w:rsidRPr="003B356D">
        <w:rPr>
          <w:rFonts w:ascii="Arial" w:hAnsi="Arial" w:cs="Arial"/>
          <w:sz w:val="22"/>
          <w:szCs w:val="22"/>
        </w:rPr>
        <w:t xml:space="preserve"> alendronate effervescent tablets are suitable for prescribing by nurse practitioners. </w:t>
      </w:r>
    </w:p>
    <w:p w:rsidR="0086592B" w:rsidRPr="005C3663" w:rsidRDefault="0086592B" w:rsidP="00326E24">
      <w:pPr>
        <w:widowControl w:val="0"/>
        <w:jc w:val="both"/>
        <w:rPr>
          <w:rFonts w:ascii="Arial" w:hAnsi="Arial" w:cs="Arial"/>
          <w:bCs/>
          <w:snapToGrid w:val="0"/>
          <w:sz w:val="22"/>
          <w:szCs w:val="20"/>
          <w:lang w:val="en-GB"/>
        </w:rPr>
      </w:pPr>
    </w:p>
    <w:p w:rsidR="00326E24" w:rsidRPr="005C3663" w:rsidRDefault="00326E24" w:rsidP="00326E24">
      <w:pPr>
        <w:widowControl w:val="0"/>
        <w:numPr>
          <w:ilvl w:val="1"/>
          <w:numId w:val="1"/>
        </w:numPr>
        <w:jc w:val="both"/>
        <w:rPr>
          <w:rFonts w:ascii="Arial" w:hAnsi="Arial" w:cs="Arial"/>
          <w:bCs/>
          <w:snapToGrid w:val="0"/>
          <w:sz w:val="22"/>
          <w:szCs w:val="20"/>
          <w:lang w:val="en-GB"/>
        </w:rPr>
      </w:pPr>
      <w:r w:rsidRPr="005C3663">
        <w:rPr>
          <w:rFonts w:ascii="Arial" w:hAnsi="Arial" w:cs="Arial"/>
          <w:bCs/>
          <w:snapToGrid w:val="0"/>
          <w:sz w:val="22"/>
          <w:szCs w:val="20"/>
          <w:lang w:val="en-GB"/>
        </w:rPr>
        <w:t>The PBAC recommended that the Early Supply Rule should apply</w:t>
      </w:r>
      <w:r w:rsidR="00A018EC" w:rsidRPr="005C3663">
        <w:rPr>
          <w:rFonts w:ascii="Arial" w:hAnsi="Arial" w:cs="Arial"/>
          <w:bCs/>
          <w:snapToGrid w:val="0"/>
          <w:sz w:val="22"/>
          <w:szCs w:val="20"/>
          <w:lang w:val="en-GB"/>
        </w:rPr>
        <w:t xml:space="preserve"> to align with the </w:t>
      </w:r>
      <w:r w:rsidR="00A018EC" w:rsidRPr="005C3663">
        <w:rPr>
          <w:rFonts w:ascii="Arial" w:hAnsi="Arial" w:cs="Arial"/>
          <w:bCs/>
          <w:snapToGrid w:val="0"/>
          <w:sz w:val="22"/>
          <w:szCs w:val="20"/>
          <w:lang w:val="en-GB"/>
        </w:rPr>
        <w:lastRenderedPageBreak/>
        <w:t>restriction for alendronate tablets</w:t>
      </w:r>
      <w:r w:rsidRPr="005C3663">
        <w:rPr>
          <w:rFonts w:ascii="Arial" w:hAnsi="Arial" w:cs="Arial"/>
          <w:bCs/>
          <w:snapToGrid w:val="0"/>
          <w:sz w:val="22"/>
          <w:szCs w:val="20"/>
          <w:lang w:val="en-GB"/>
        </w:rPr>
        <w:t xml:space="preserve">. </w:t>
      </w:r>
    </w:p>
    <w:p w:rsidR="000F6356" w:rsidRPr="005C3663" w:rsidRDefault="000F6356" w:rsidP="00E77F79">
      <w:pPr>
        <w:rPr>
          <w:snapToGrid w:val="0"/>
          <w:lang w:val="en-GB"/>
        </w:rPr>
      </w:pPr>
    </w:p>
    <w:p w:rsidR="00326E24" w:rsidRPr="00874A5C" w:rsidRDefault="000F6356" w:rsidP="00874A5C">
      <w:pPr>
        <w:widowControl w:val="0"/>
        <w:numPr>
          <w:ilvl w:val="1"/>
          <w:numId w:val="1"/>
        </w:numPr>
        <w:jc w:val="both"/>
        <w:rPr>
          <w:rFonts w:ascii="Arial" w:hAnsi="Arial" w:cs="Arial"/>
          <w:bCs/>
          <w:snapToGrid w:val="0"/>
          <w:sz w:val="22"/>
          <w:szCs w:val="20"/>
          <w:lang w:val="en-GB"/>
        </w:rPr>
      </w:pPr>
      <w:r w:rsidRPr="00874A5C">
        <w:rPr>
          <w:rFonts w:ascii="Arial" w:hAnsi="Arial" w:cs="Arial"/>
          <w:bCs/>
          <w:snapToGrid w:val="0"/>
          <w:sz w:val="22"/>
          <w:szCs w:val="20"/>
          <w:lang w:val="en-GB"/>
        </w:rPr>
        <w:t>The PBAC noted that this submission is not eligible for an Independent Review because the PBAC has made a positive recommendation.</w:t>
      </w:r>
      <w:bookmarkStart w:id="0" w:name="_GoBack"/>
      <w:bookmarkEnd w:id="0"/>
      <w:r w:rsidRPr="00874A5C">
        <w:rPr>
          <w:rFonts w:ascii="Arial" w:hAnsi="Arial" w:cs="Arial"/>
          <w:bCs/>
          <w:snapToGrid w:val="0"/>
          <w:sz w:val="22"/>
          <w:szCs w:val="20"/>
          <w:lang w:val="en-GB"/>
        </w:rPr>
        <w:t xml:space="preserve"> </w:t>
      </w:r>
    </w:p>
    <w:p w:rsidR="00326E24" w:rsidRPr="0069654D" w:rsidRDefault="00326E24" w:rsidP="00326E24">
      <w:pPr>
        <w:widowControl w:val="0"/>
        <w:jc w:val="both"/>
        <w:rPr>
          <w:rFonts w:ascii="Arial" w:hAnsi="Arial" w:cs="Arial"/>
          <w:b/>
          <w:bCs/>
          <w:snapToGrid w:val="0"/>
          <w:sz w:val="22"/>
          <w:szCs w:val="20"/>
          <w:highlight w:val="yellow"/>
          <w:lang w:val="en-GB"/>
        </w:rPr>
      </w:pPr>
    </w:p>
    <w:p w:rsidR="00326E24" w:rsidRPr="00E13640" w:rsidRDefault="00326E24" w:rsidP="00326E24">
      <w:pPr>
        <w:widowControl w:val="0"/>
        <w:jc w:val="both"/>
        <w:rPr>
          <w:rFonts w:ascii="Arial" w:hAnsi="Arial" w:cs="Arial"/>
          <w:b/>
          <w:bCs/>
          <w:snapToGrid w:val="0"/>
          <w:sz w:val="22"/>
          <w:szCs w:val="20"/>
          <w:lang w:val="en-GB"/>
        </w:rPr>
      </w:pPr>
      <w:r w:rsidRPr="00E13640">
        <w:rPr>
          <w:rFonts w:ascii="Arial" w:hAnsi="Arial" w:cs="Arial"/>
          <w:b/>
          <w:bCs/>
          <w:snapToGrid w:val="0"/>
          <w:sz w:val="22"/>
          <w:szCs w:val="20"/>
          <w:lang w:val="en-GB"/>
        </w:rPr>
        <w:t>Outcome:</w:t>
      </w:r>
    </w:p>
    <w:p w:rsidR="00326E24" w:rsidRDefault="00326E24" w:rsidP="00326E24">
      <w:pPr>
        <w:widowControl w:val="0"/>
        <w:jc w:val="both"/>
        <w:rPr>
          <w:rFonts w:ascii="Arial" w:hAnsi="Arial" w:cs="Arial"/>
          <w:bCs/>
          <w:snapToGrid w:val="0"/>
          <w:sz w:val="22"/>
          <w:szCs w:val="20"/>
          <w:lang w:val="en-GB"/>
        </w:rPr>
      </w:pPr>
      <w:r w:rsidRPr="00E13640">
        <w:rPr>
          <w:rFonts w:ascii="Arial" w:hAnsi="Arial" w:cs="Arial"/>
          <w:bCs/>
          <w:snapToGrid w:val="0"/>
          <w:sz w:val="22"/>
          <w:szCs w:val="20"/>
          <w:lang w:val="en-GB"/>
        </w:rPr>
        <w:t>Recommended</w:t>
      </w:r>
    </w:p>
    <w:p w:rsidR="00E4637C" w:rsidRPr="00E4637C" w:rsidRDefault="00E4637C" w:rsidP="00326E24">
      <w:pPr>
        <w:widowControl w:val="0"/>
        <w:jc w:val="both"/>
        <w:rPr>
          <w:rFonts w:ascii="Arial" w:hAnsi="Arial" w:cs="Arial"/>
          <w:bCs/>
          <w:snapToGrid w:val="0"/>
          <w:sz w:val="22"/>
          <w:szCs w:val="20"/>
          <w:lang w:val="en-GB"/>
        </w:rPr>
      </w:pPr>
    </w:p>
    <w:p w:rsidR="00326E24" w:rsidRPr="00BB7386" w:rsidRDefault="00326E24" w:rsidP="00BB7386">
      <w:pPr>
        <w:pStyle w:val="Heading1"/>
        <w:numPr>
          <w:ilvl w:val="0"/>
          <w:numId w:val="1"/>
        </w:numPr>
      </w:pPr>
      <w:r w:rsidRPr="00BB7386">
        <w:t>Recommended listing</w:t>
      </w:r>
    </w:p>
    <w:p w:rsidR="00326E24" w:rsidRPr="0086592B" w:rsidRDefault="00326E24" w:rsidP="00326E24">
      <w:pPr>
        <w:widowControl w:val="0"/>
        <w:jc w:val="both"/>
        <w:rPr>
          <w:rFonts w:ascii="Arial" w:hAnsi="Arial" w:cs="Arial"/>
          <w:b/>
          <w:bCs/>
          <w:i/>
          <w:snapToGrid w:val="0"/>
          <w:sz w:val="22"/>
          <w:szCs w:val="20"/>
          <w:lang w:val="en-GB"/>
        </w:rPr>
      </w:pPr>
    </w:p>
    <w:p w:rsidR="00C231EA" w:rsidRPr="00C231EA" w:rsidRDefault="00C231EA" w:rsidP="00C231EA">
      <w:pPr>
        <w:pStyle w:val="ListParagraph"/>
        <w:widowControl w:val="0"/>
        <w:numPr>
          <w:ilvl w:val="1"/>
          <w:numId w:val="1"/>
        </w:numPr>
        <w:jc w:val="both"/>
        <w:rPr>
          <w:rFonts w:ascii="Arial" w:hAnsi="Arial" w:cs="Arial"/>
          <w:bCs/>
          <w:snapToGrid w:val="0"/>
          <w:sz w:val="22"/>
          <w:szCs w:val="22"/>
        </w:rPr>
      </w:pPr>
      <w:r w:rsidRPr="00C231EA">
        <w:rPr>
          <w:rFonts w:ascii="Arial" w:hAnsi="Arial" w:cs="Arial"/>
          <w:bCs/>
          <w:snapToGrid w:val="0"/>
          <w:sz w:val="22"/>
          <w:szCs w:val="22"/>
        </w:rPr>
        <w:t>Amend existing listing as follows:</w:t>
      </w:r>
    </w:p>
    <w:p w:rsidR="00C231EA" w:rsidRPr="00C231EA" w:rsidRDefault="00C231EA" w:rsidP="00C231EA">
      <w:pPr>
        <w:widowControl w:val="0"/>
        <w:ind w:firstLine="720"/>
        <w:jc w:val="both"/>
        <w:rPr>
          <w:rFonts w:ascii="Arial" w:hAnsi="Arial" w:cs="Arial"/>
          <w:bCs/>
          <w:snapToGrid w:val="0"/>
          <w:sz w:val="22"/>
          <w:szCs w:val="22"/>
        </w:rPr>
      </w:pPr>
    </w:p>
    <w:p w:rsidR="00C231EA" w:rsidRPr="00C231EA" w:rsidRDefault="00C231EA" w:rsidP="00C231EA">
      <w:pPr>
        <w:widowControl w:val="0"/>
        <w:ind w:firstLine="720"/>
        <w:jc w:val="both"/>
        <w:rPr>
          <w:rFonts w:ascii="Arial" w:hAnsi="Arial" w:cs="Arial"/>
          <w:bCs/>
          <w:snapToGrid w:val="0"/>
          <w:sz w:val="22"/>
          <w:szCs w:val="22"/>
        </w:rPr>
      </w:pPr>
      <w:r w:rsidRPr="00C231EA">
        <w:rPr>
          <w:rFonts w:ascii="Arial" w:hAnsi="Arial" w:cs="Arial"/>
          <w:bCs/>
          <w:snapToGrid w:val="0"/>
          <w:sz w:val="22"/>
          <w:szCs w:val="22"/>
        </w:rPr>
        <w:t xml:space="preserve">Add </w:t>
      </w:r>
      <w:proofErr w:type="spellStart"/>
      <w:r w:rsidRPr="00C231EA">
        <w:rPr>
          <w:rFonts w:ascii="Arial" w:hAnsi="Arial" w:cs="Arial"/>
          <w:bCs/>
          <w:snapToGrid w:val="0"/>
          <w:sz w:val="22"/>
          <w:szCs w:val="22"/>
        </w:rPr>
        <w:t>Binosto</w:t>
      </w:r>
      <w:proofErr w:type="spellEnd"/>
      <w:r>
        <w:rPr>
          <w:rFonts w:ascii="Arial" w:hAnsi="Arial" w:cs="Arial"/>
          <w:bCs/>
          <w:snapToGrid w:val="0"/>
          <w:sz w:val="22"/>
          <w:szCs w:val="22"/>
        </w:rPr>
        <w:t>®</w:t>
      </w:r>
      <w:r w:rsidRPr="00C231EA">
        <w:rPr>
          <w:rFonts w:ascii="Arial" w:hAnsi="Arial" w:cs="Arial"/>
          <w:bCs/>
          <w:snapToGrid w:val="0"/>
          <w:sz w:val="22"/>
          <w:szCs w:val="22"/>
        </w:rPr>
        <w:t xml:space="preserve"> brand to item code </w:t>
      </w:r>
      <w:r w:rsidRPr="00E77F79">
        <w:rPr>
          <w:rFonts w:ascii="Arial" w:hAnsi="Arial" w:cs="Arial"/>
          <w:bCs/>
          <w:snapToGrid w:val="0"/>
          <w:sz w:val="22"/>
          <w:szCs w:val="22"/>
        </w:rPr>
        <w:t>8511Y</w:t>
      </w:r>
      <w:r w:rsidR="00E77F79">
        <w:rPr>
          <w:rFonts w:ascii="Arial" w:hAnsi="Arial" w:cs="Arial"/>
          <w:bCs/>
          <w:snapToGrid w:val="0"/>
          <w:sz w:val="22"/>
          <w:szCs w:val="22"/>
        </w:rPr>
        <w:t>.</w:t>
      </w:r>
    </w:p>
    <w:p w:rsidR="00326E24" w:rsidRPr="0069654D" w:rsidRDefault="00326E24" w:rsidP="00326E24">
      <w:pPr>
        <w:widowControl w:val="0"/>
        <w:jc w:val="both"/>
        <w:rPr>
          <w:rFonts w:ascii="Arial" w:hAnsi="Arial" w:cs="Arial"/>
          <w:snapToGrid w:val="0"/>
          <w:sz w:val="22"/>
          <w:szCs w:val="20"/>
        </w:rPr>
      </w:pPr>
    </w:p>
    <w:p w:rsidR="00544CA4" w:rsidRPr="00BB7386" w:rsidRDefault="00544CA4" w:rsidP="00BB7386">
      <w:pPr>
        <w:pStyle w:val="Heading1"/>
        <w:numPr>
          <w:ilvl w:val="0"/>
          <w:numId w:val="1"/>
        </w:numPr>
      </w:pPr>
      <w:r w:rsidRPr="00BB7386">
        <w:t>Context for Decision</w:t>
      </w:r>
    </w:p>
    <w:p w:rsidR="00544CA4" w:rsidRPr="00544CA4" w:rsidRDefault="00544CA4" w:rsidP="00544CA4">
      <w:pPr>
        <w:widowControl w:val="0"/>
        <w:ind w:firstLine="720"/>
        <w:jc w:val="both"/>
        <w:rPr>
          <w:rFonts w:ascii="Arial" w:hAnsi="Arial" w:cs="Arial"/>
          <w:bCs/>
          <w:snapToGrid w:val="0"/>
          <w:sz w:val="22"/>
          <w:szCs w:val="22"/>
        </w:rPr>
      </w:pPr>
    </w:p>
    <w:p w:rsidR="00544CA4" w:rsidRPr="00544CA4" w:rsidRDefault="00544CA4" w:rsidP="00544CA4">
      <w:pPr>
        <w:widowControl w:val="0"/>
        <w:ind w:left="720"/>
        <w:jc w:val="both"/>
        <w:rPr>
          <w:rFonts w:ascii="Arial" w:hAnsi="Arial" w:cs="Arial"/>
          <w:bCs/>
          <w:snapToGrid w:val="0"/>
          <w:sz w:val="22"/>
          <w:szCs w:val="22"/>
        </w:rPr>
      </w:pPr>
      <w:r w:rsidRPr="00544CA4">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44CA4" w:rsidRDefault="00544CA4" w:rsidP="00544CA4">
      <w:pPr>
        <w:ind w:left="426"/>
        <w:jc w:val="both"/>
        <w:rPr>
          <w:rFonts w:ascii="Arial" w:hAnsi="Arial" w:cs="Arial"/>
          <w:sz w:val="22"/>
        </w:rPr>
      </w:pPr>
    </w:p>
    <w:p w:rsidR="00544CA4" w:rsidRPr="00BB7386" w:rsidRDefault="00544CA4" w:rsidP="00BB7386">
      <w:pPr>
        <w:pStyle w:val="Heading1"/>
        <w:numPr>
          <w:ilvl w:val="0"/>
          <w:numId w:val="1"/>
        </w:numPr>
      </w:pPr>
      <w:r w:rsidRPr="00BB7386">
        <w:t>Sponsor’s Comment</w:t>
      </w:r>
    </w:p>
    <w:p w:rsidR="00544CA4" w:rsidRDefault="00544CA4" w:rsidP="00544CA4">
      <w:pPr>
        <w:ind w:left="426"/>
        <w:jc w:val="both"/>
        <w:rPr>
          <w:rFonts w:ascii="Arial" w:hAnsi="Arial" w:cs="Arial"/>
          <w:bCs/>
          <w:sz w:val="22"/>
          <w:highlight w:val="yellow"/>
          <w:lang w:val="en-GB"/>
        </w:rPr>
      </w:pPr>
    </w:p>
    <w:p w:rsidR="00326E24" w:rsidRPr="003317CA" w:rsidRDefault="00544CA4" w:rsidP="006504C7">
      <w:pPr>
        <w:widowControl w:val="0"/>
        <w:ind w:left="720"/>
        <w:jc w:val="both"/>
      </w:pPr>
      <w:r w:rsidRPr="00544CA4">
        <w:rPr>
          <w:rFonts w:ascii="Arial" w:hAnsi="Arial" w:cs="Arial"/>
          <w:bCs/>
          <w:snapToGrid w:val="0"/>
          <w:sz w:val="22"/>
          <w:szCs w:val="22"/>
        </w:rPr>
        <w:t xml:space="preserve">The sponsor </w:t>
      </w:r>
      <w:r w:rsidR="006504C7">
        <w:rPr>
          <w:rFonts w:ascii="Arial" w:hAnsi="Arial" w:cs="Arial"/>
          <w:bCs/>
          <w:snapToGrid w:val="0"/>
          <w:sz w:val="22"/>
          <w:szCs w:val="22"/>
        </w:rPr>
        <w:t>did not agree with all the comments made by the PBAC and is considering the recommendation</w:t>
      </w:r>
      <w:r w:rsidR="006504C7" w:rsidRPr="00544CA4">
        <w:rPr>
          <w:rFonts w:ascii="Arial" w:hAnsi="Arial" w:cs="Arial"/>
          <w:bCs/>
          <w:snapToGrid w:val="0"/>
          <w:sz w:val="22"/>
          <w:szCs w:val="22"/>
        </w:rPr>
        <w:t>.</w:t>
      </w:r>
    </w:p>
    <w:sectPr w:rsidR="00326E24" w:rsidRPr="003317C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86" w:rsidRDefault="00BB7386">
      <w:r>
        <w:separator/>
      </w:r>
    </w:p>
    <w:p w:rsidR="00BB7386" w:rsidRDefault="00BB7386"/>
  </w:endnote>
  <w:endnote w:type="continuationSeparator" w:id="0">
    <w:p w:rsidR="00BB7386" w:rsidRDefault="00BB7386">
      <w:r>
        <w:continuationSeparator/>
      </w:r>
    </w:p>
    <w:p w:rsidR="00BB7386" w:rsidRDefault="00BB7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504C7" w:rsidTr="005A3173">
      <w:trPr>
        <w:trHeight w:val="151"/>
      </w:trPr>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504C7" w:rsidRPr="005A3173" w:rsidRDefault="00650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r>
    <w:tr w:rsidR="006504C7" w:rsidTr="005A3173">
      <w:trPr>
        <w:trHeight w:val="150"/>
      </w:trPr>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0" w:type="auto"/>
          <w:vMerge/>
          <w:vAlign w:val="center"/>
          <w:hideMark/>
        </w:tcPr>
        <w:p w:rsidR="006504C7" w:rsidRPr="005A3173" w:rsidRDefault="006504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r>
  </w:tbl>
  <w:p w:rsidR="006504C7" w:rsidRDefault="006504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04C7" w:rsidRDefault="006504C7">
    <w:pPr>
      <w:pStyle w:val="Footer"/>
    </w:pPr>
  </w:p>
  <w:p w:rsidR="006504C7" w:rsidRDefault="006504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C7" w:rsidRDefault="006504C7">
    <w:pPr>
      <w:pStyle w:val="Footer"/>
      <w:jc w:val="center"/>
    </w:pPr>
  </w:p>
  <w:p w:rsidR="006504C7" w:rsidRPr="00DC564B" w:rsidRDefault="00874A5C">
    <w:pPr>
      <w:pStyle w:val="Footer"/>
      <w:jc w:val="center"/>
      <w:rPr>
        <w:rFonts w:ascii="Arial" w:hAnsi="Arial" w:cs="Arial"/>
      </w:rPr>
    </w:pPr>
    <w:sdt>
      <w:sdtPr>
        <w:id w:val="1214160140"/>
        <w:docPartObj>
          <w:docPartGallery w:val="Page Numbers (Bottom of Page)"/>
          <w:docPartUnique/>
        </w:docPartObj>
      </w:sdtPr>
      <w:sdtEndPr>
        <w:rPr>
          <w:rFonts w:ascii="Arial" w:hAnsi="Arial" w:cs="Arial"/>
          <w:noProof/>
        </w:rPr>
      </w:sdtEndPr>
      <w:sdtContent>
        <w:r w:rsidR="006504C7" w:rsidRPr="00DC564B">
          <w:rPr>
            <w:rFonts w:ascii="Arial" w:hAnsi="Arial" w:cs="Arial"/>
          </w:rPr>
          <w:fldChar w:fldCharType="begin"/>
        </w:r>
        <w:r w:rsidR="006504C7" w:rsidRPr="00DC564B">
          <w:rPr>
            <w:rFonts w:ascii="Arial" w:hAnsi="Arial" w:cs="Arial"/>
          </w:rPr>
          <w:instrText xml:space="preserve"> PAGE   \* MERGEFORMAT </w:instrText>
        </w:r>
        <w:r w:rsidR="006504C7" w:rsidRPr="00DC564B">
          <w:rPr>
            <w:rFonts w:ascii="Arial" w:hAnsi="Arial" w:cs="Arial"/>
          </w:rPr>
          <w:fldChar w:fldCharType="separate"/>
        </w:r>
        <w:r>
          <w:rPr>
            <w:rFonts w:ascii="Arial" w:hAnsi="Arial" w:cs="Arial"/>
            <w:noProof/>
          </w:rPr>
          <w:t>4</w:t>
        </w:r>
        <w:r w:rsidR="006504C7" w:rsidRPr="00DC564B">
          <w:rPr>
            <w:rFonts w:ascii="Arial" w:hAnsi="Arial" w:cs="Arial"/>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504C7" w:rsidTr="005A3173">
      <w:trPr>
        <w:trHeight w:val="151"/>
      </w:trPr>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504C7" w:rsidRPr="005A3173" w:rsidRDefault="00650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r>
    <w:tr w:rsidR="006504C7" w:rsidTr="005A3173">
      <w:trPr>
        <w:trHeight w:val="150"/>
      </w:trPr>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0" w:type="auto"/>
          <w:vMerge/>
          <w:vAlign w:val="center"/>
          <w:hideMark/>
        </w:tcPr>
        <w:p w:rsidR="006504C7" w:rsidRPr="005A3173" w:rsidRDefault="006504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504C7" w:rsidTr="005A3173">
      <w:trPr>
        <w:trHeight w:val="151"/>
      </w:trPr>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504C7" w:rsidRPr="005A3173" w:rsidRDefault="00650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504C7" w:rsidRPr="005A3173" w:rsidRDefault="006504C7" w:rsidP="005A3173">
          <w:pPr>
            <w:pStyle w:val="Header"/>
            <w:spacing w:line="276" w:lineRule="auto"/>
            <w:rPr>
              <w:rFonts w:ascii="Calibri" w:eastAsia="MS Gothic" w:hAnsi="Calibri"/>
              <w:b/>
              <w:bCs/>
              <w:color w:val="4F81BD"/>
            </w:rPr>
          </w:pPr>
        </w:p>
      </w:tc>
    </w:tr>
    <w:tr w:rsidR="006504C7" w:rsidTr="005A3173">
      <w:trPr>
        <w:trHeight w:val="150"/>
      </w:trPr>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c>
        <w:tcPr>
          <w:tcW w:w="0" w:type="auto"/>
          <w:vMerge/>
          <w:vAlign w:val="center"/>
          <w:hideMark/>
        </w:tcPr>
        <w:p w:rsidR="006504C7" w:rsidRPr="005A3173" w:rsidRDefault="006504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504C7" w:rsidRPr="005A3173" w:rsidRDefault="006504C7" w:rsidP="005A3173">
          <w:pPr>
            <w:pStyle w:val="Header"/>
            <w:spacing w:line="276" w:lineRule="auto"/>
            <w:rPr>
              <w:rFonts w:ascii="Calibri" w:eastAsia="MS Gothic" w:hAnsi="Calibri"/>
              <w:b/>
              <w:bCs/>
              <w:color w:val="4F81BD"/>
            </w:rPr>
          </w:pPr>
        </w:p>
      </w:tc>
    </w:tr>
  </w:tbl>
  <w:p w:rsidR="006504C7" w:rsidRPr="007C0F57" w:rsidRDefault="006504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504C7" w:rsidRPr="007C0F57" w:rsidRDefault="006504C7" w:rsidP="007C0F57">
    <w:pPr>
      <w:pStyle w:val="Footer"/>
      <w:jc w:val="center"/>
      <w:rPr>
        <w:b/>
        <w:i/>
        <w:sz w:val="20"/>
        <w:szCs w:val="20"/>
      </w:rPr>
    </w:pPr>
    <w:r w:rsidRPr="007C0F57">
      <w:rPr>
        <w:b/>
        <w:i/>
        <w:sz w:val="20"/>
        <w:szCs w:val="20"/>
      </w:rPr>
      <w:t>Commercial-in-Confidence</w:t>
    </w:r>
  </w:p>
  <w:p w:rsidR="006504C7" w:rsidRDefault="006504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86" w:rsidRDefault="00BB7386">
      <w:r>
        <w:separator/>
      </w:r>
    </w:p>
    <w:p w:rsidR="00BB7386" w:rsidRDefault="00BB7386"/>
  </w:footnote>
  <w:footnote w:type="continuationSeparator" w:id="0">
    <w:p w:rsidR="00BB7386" w:rsidRDefault="00BB7386">
      <w:r>
        <w:continuationSeparator/>
      </w:r>
    </w:p>
    <w:p w:rsidR="00BB7386" w:rsidRDefault="00BB73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504C7" w:rsidRPr="008E0D90" w:rsidTr="00A06225">
      <w:trPr>
        <w:trHeight w:val="151"/>
      </w:trPr>
      <w:tc>
        <w:tcPr>
          <w:tcW w:w="2389" w:type="pct"/>
          <w:tcBorders>
            <w:top w:val="nil"/>
            <w:left w:val="nil"/>
            <w:bottom w:val="single" w:sz="4" w:space="0" w:color="4F81BD"/>
            <w:right w:val="nil"/>
          </w:tcBorders>
        </w:tcPr>
        <w:p w:rsidR="006504C7" w:rsidRPr="00A06225" w:rsidRDefault="006504C7">
          <w:pPr>
            <w:pStyle w:val="Header"/>
            <w:spacing w:line="276" w:lineRule="auto"/>
            <w:rPr>
              <w:rFonts w:ascii="Cambria" w:eastAsia="MS Gothic" w:hAnsi="Cambria"/>
              <w:b/>
              <w:bCs/>
              <w:color w:val="4F81BD"/>
            </w:rPr>
          </w:pPr>
        </w:p>
      </w:tc>
      <w:tc>
        <w:tcPr>
          <w:tcW w:w="333" w:type="pct"/>
          <w:vMerge w:val="restart"/>
          <w:noWrap/>
          <w:vAlign w:val="center"/>
          <w:hideMark/>
        </w:tcPr>
        <w:p w:rsidR="006504C7" w:rsidRPr="00A06225" w:rsidRDefault="006504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504C7" w:rsidRPr="00A06225" w:rsidRDefault="006504C7">
          <w:pPr>
            <w:pStyle w:val="Header"/>
            <w:spacing w:line="276" w:lineRule="auto"/>
            <w:rPr>
              <w:rFonts w:ascii="Cambria" w:eastAsia="MS Gothic" w:hAnsi="Cambria"/>
              <w:b/>
              <w:bCs/>
              <w:color w:val="4F81BD"/>
            </w:rPr>
          </w:pPr>
        </w:p>
      </w:tc>
    </w:tr>
    <w:tr w:rsidR="006504C7" w:rsidRPr="008E0D90" w:rsidTr="00A06225">
      <w:trPr>
        <w:trHeight w:val="150"/>
      </w:trPr>
      <w:tc>
        <w:tcPr>
          <w:tcW w:w="2389" w:type="pct"/>
          <w:tcBorders>
            <w:top w:val="single" w:sz="4" w:space="0" w:color="4F81BD"/>
            <w:left w:val="nil"/>
            <w:bottom w:val="nil"/>
            <w:right w:val="nil"/>
          </w:tcBorders>
        </w:tcPr>
        <w:p w:rsidR="006504C7" w:rsidRPr="00A06225" w:rsidRDefault="006504C7">
          <w:pPr>
            <w:pStyle w:val="Header"/>
            <w:spacing w:line="276" w:lineRule="auto"/>
            <w:rPr>
              <w:rFonts w:ascii="Cambria" w:eastAsia="MS Gothic" w:hAnsi="Cambria"/>
              <w:b/>
              <w:bCs/>
              <w:color w:val="4F81BD"/>
            </w:rPr>
          </w:pPr>
        </w:p>
      </w:tc>
      <w:tc>
        <w:tcPr>
          <w:tcW w:w="0" w:type="auto"/>
          <w:vMerge/>
          <w:vAlign w:val="center"/>
          <w:hideMark/>
        </w:tcPr>
        <w:p w:rsidR="006504C7" w:rsidRPr="00A06225" w:rsidRDefault="006504C7">
          <w:pPr>
            <w:rPr>
              <w:rFonts w:ascii="Cambria" w:hAnsi="Cambria"/>
              <w:color w:val="4F81BD"/>
              <w:sz w:val="22"/>
              <w:szCs w:val="22"/>
            </w:rPr>
          </w:pPr>
        </w:p>
      </w:tc>
      <w:tc>
        <w:tcPr>
          <w:tcW w:w="2278" w:type="pct"/>
          <w:tcBorders>
            <w:top w:val="single" w:sz="4" w:space="0" w:color="4F81BD"/>
            <w:left w:val="nil"/>
            <w:bottom w:val="nil"/>
            <w:right w:val="nil"/>
          </w:tcBorders>
        </w:tcPr>
        <w:p w:rsidR="006504C7" w:rsidRPr="00A06225" w:rsidRDefault="006504C7">
          <w:pPr>
            <w:pStyle w:val="Header"/>
            <w:spacing w:line="276" w:lineRule="auto"/>
            <w:rPr>
              <w:rFonts w:ascii="Cambria" w:eastAsia="MS Gothic" w:hAnsi="Cambria"/>
              <w:b/>
              <w:bCs/>
              <w:color w:val="4F81BD"/>
            </w:rPr>
          </w:pPr>
        </w:p>
      </w:tc>
    </w:tr>
  </w:tbl>
  <w:p w:rsidR="006504C7" w:rsidRDefault="006504C7">
    <w:pPr>
      <w:pStyle w:val="Header"/>
    </w:pPr>
  </w:p>
  <w:p w:rsidR="006504C7" w:rsidRDefault="006504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C7" w:rsidRPr="00DF217D" w:rsidRDefault="006504C7" w:rsidP="006C419D">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504C7" w:rsidRDefault="006504C7" w:rsidP="006C419D">
    <w:pPr>
      <w:pStyle w:val="NoSpacing"/>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386" w:rsidRDefault="00BB7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BE023D"/>
    <w:multiLevelType w:val="hybridMultilevel"/>
    <w:tmpl w:val="1AD010C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9435C6"/>
    <w:multiLevelType w:val="hybridMultilevel"/>
    <w:tmpl w:val="5ED23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F6324EC"/>
    <w:multiLevelType w:val="hybridMultilevel"/>
    <w:tmpl w:val="4D38F6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1C2B86"/>
    <w:multiLevelType w:val="multilevel"/>
    <w:tmpl w:val="5C7EEBF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4D033C"/>
    <w:multiLevelType w:val="multilevel"/>
    <w:tmpl w:val="249CC64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0"/>
  </w:num>
  <w:num w:numId="4">
    <w:abstractNumId w:val="7"/>
  </w:num>
  <w:num w:numId="5">
    <w:abstractNumId w:val="0"/>
  </w:num>
  <w:num w:numId="6">
    <w:abstractNumId w:val="9"/>
  </w:num>
  <w:num w:numId="7">
    <w:abstractNumId w:val="4"/>
  </w:num>
  <w:num w:numId="8">
    <w:abstractNumId w:val="2"/>
  </w:num>
  <w:num w:numId="9">
    <w:abstractNumId w:val="6"/>
  </w:num>
  <w:num w:numId="10">
    <w:abstractNumId w:val="8"/>
  </w:num>
  <w:num w:numId="11">
    <w:abstractNumId w:val="5"/>
  </w:num>
  <w:num w:numId="12">
    <w:abstractNumId w:val="3"/>
  </w:num>
  <w:num w:numId="13">
    <w:abstractNumId w:val="0"/>
  </w:num>
  <w:num w:numId="14">
    <w:abstractNumId w:val="0"/>
  </w:num>
  <w:num w:numId="15">
    <w:abstractNumId w:val="0"/>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655"/>
    <w:rsid w:val="0002464A"/>
    <w:rsid w:val="00027496"/>
    <w:rsid w:val="00030425"/>
    <w:rsid w:val="0003106B"/>
    <w:rsid w:val="000421A1"/>
    <w:rsid w:val="0004240E"/>
    <w:rsid w:val="00045E26"/>
    <w:rsid w:val="000514B5"/>
    <w:rsid w:val="00060E64"/>
    <w:rsid w:val="00066755"/>
    <w:rsid w:val="00075C2D"/>
    <w:rsid w:val="00077143"/>
    <w:rsid w:val="00081548"/>
    <w:rsid w:val="000969AD"/>
    <w:rsid w:val="000974AC"/>
    <w:rsid w:val="000A256E"/>
    <w:rsid w:val="000B558D"/>
    <w:rsid w:val="000B5E38"/>
    <w:rsid w:val="000C426E"/>
    <w:rsid w:val="000C4F66"/>
    <w:rsid w:val="000C6996"/>
    <w:rsid w:val="000D11C5"/>
    <w:rsid w:val="000D23BA"/>
    <w:rsid w:val="000E681E"/>
    <w:rsid w:val="000E6C58"/>
    <w:rsid w:val="000F1804"/>
    <w:rsid w:val="000F41B5"/>
    <w:rsid w:val="000F4E6A"/>
    <w:rsid w:val="000F6356"/>
    <w:rsid w:val="001046C0"/>
    <w:rsid w:val="00106FA9"/>
    <w:rsid w:val="001107BF"/>
    <w:rsid w:val="0012417C"/>
    <w:rsid w:val="00135BF7"/>
    <w:rsid w:val="00142395"/>
    <w:rsid w:val="00142714"/>
    <w:rsid w:val="001452ED"/>
    <w:rsid w:val="00153946"/>
    <w:rsid w:val="001545BF"/>
    <w:rsid w:val="00163F89"/>
    <w:rsid w:val="00164842"/>
    <w:rsid w:val="00170D79"/>
    <w:rsid w:val="001830CE"/>
    <w:rsid w:val="0018643B"/>
    <w:rsid w:val="00196307"/>
    <w:rsid w:val="001A4785"/>
    <w:rsid w:val="001A7CC3"/>
    <w:rsid w:val="001B017F"/>
    <w:rsid w:val="001B1804"/>
    <w:rsid w:val="001B5129"/>
    <w:rsid w:val="001B71AE"/>
    <w:rsid w:val="001C1195"/>
    <w:rsid w:val="001D6DBB"/>
    <w:rsid w:val="001E243B"/>
    <w:rsid w:val="001E35FF"/>
    <w:rsid w:val="00201081"/>
    <w:rsid w:val="0021130C"/>
    <w:rsid w:val="002125F9"/>
    <w:rsid w:val="00213CFB"/>
    <w:rsid w:val="00214D10"/>
    <w:rsid w:val="00217A41"/>
    <w:rsid w:val="0023759F"/>
    <w:rsid w:val="00254D77"/>
    <w:rsid w:val="002628AF"/>
    <w:rsid w:val="00267246"/>
    <w:rsid w:val="00271BA1"/>
    <w:rsid w:val="00273A0A"/>
    <w:rsid w:val="00275A93"/>
    <w:rsid w:val="00277505"/>
    <w:rsid w:val="00281178"/>
    <w:rsid w:val="0029267B"/>
    <w:rsid w:val="0029418B"/>
    <w:rsid w:val="0029458F"/>
    <w:rsid w:val="00297367"/>
    <w:rsid w:val="002A104C"/>
    <w:rsid w:val="002A2CA1"/>
    <w:rsid w:val="002A4960"/>
    <w:rsid w:val="002A5E63"/>
    <w:rsid w:val="002A7F89"/>
    <w:rsid w:val="002B18EA"/>
    <w:rsid w:val="002B1AE6"/>
    <w:rsid w:val="002B1F6C"/>
    <w:rsid w:val="002B30F8"/>
    <w:rsid w:val="002B4971"/>
    <w:rsid w:val="002C212F"/>
    <w:rsid w:val="002D411B"/>
    <w:rsid w:val="002E3153"/>
    <w:rsid w:val="002E4124"/>
    <w:rsid w:val="002E72CA"/>
    <w:rsid w:val="002F1AF9"/>
    <w:rsid w:val="002F7DA8"/>
    <w:rsid w:val="003202ED"/>
    <w:rsid w:val="00326E24"/>
    <w:rsid w:val="00326E79"/>
    <w:rsid w:val="003317CA"/>
    <w:rsid w:val="003367EF"/>
    <w:rsid w:val="00341AE4"/>
    <w:rsid w:val="00346F40"/>
    <w:rsid w:val="00362270"/>
    <w:rsid w:val="003661CC"/>
    <w:rsid w:val="0038052B"/>
    <w:rsid w:val="003828CE"/>
    <w:rsid w:val="003872CF"/>
    <w:rsid w:val="0039782C"/>
    <w:rsid w:val="003A5B4A"/>
    <w:rsid w:val="003B23C5"/>
    <w:rsid w:val="003B2A75"/>
    <w:rsid w:val="003B356D"/>
    <w:rsid w:val="003D4AC4"/>
    <w:rsid w:val="003D63B7"/>
    <w:rsid w:val="003E468B"/>
    <w:rsid w:val="003F1DFC"/>
    <w:rsid w:val="003F252E"/>
    <w:rsid w:val="003F5C8C"/>
    <w:rsid w:val="003F63C3"/>
    <w:rsid w:val="003F7472"/>
    <w:rsid w:val="004141F0"/>
    <w:rsid w:val="00414A46"/>
    <w:rsid w:val="00426298"/>
    <w:rsid w:val="00441928"/>
    <w:rsid w:val="00441F6B"/>
    <w:rsid w:val="004427D3"/>
    <w:rsid w:val="004465BD"/>
    <w:rsid w:val="00455DCE"/>
    <w:rsid w:val="00455F4E"/>
    <w:rsid w:val="00461DCA"/>
    <w:rsid w:val="00462B3A"/>
    <w:rsid w:val="00466ADA"/>
    <w:rsid w:val="00476245"/>
    <w:rsid w:val="00485940"/>
    <w:rsid w:val="004A2484"/>
    <w:rsid w:val="004A5A85"/>
    <w:rsid w:val="004A647E"/>
    <w:rsid w:val="004B5640"/>
    <w:rsid w:val="004B77DA"/>
    <w:rsid w:val="004C1BD7"/>
    <w:rsid w:val="004C40B9"/>
    <w:rsid w:val="004C691D"/>
    <w:rsid w:val="004E692D"/>
    <w:rsid w:val="004F2E82"/>
    <w:rsid w:val="00501554"/>
    <w:rsid w:val="00514CD7"/>
    <w:rsid w:val="005319B2"/>
    <w:rsid w:val="00531F1C"/>
    <w:rsid w:val="00532C74"/>
    <w:rsid w:val="0053490F"/>
    <w:rsid w:val="00534E2E"/>
    <w:rsid w:val="00537D6C"/>
    <w:rsid w:val="00544552"/>
    <w:rsid w:val="00544CA4"/>
    <w:rsid w:val="0054725A"/>
    <w:rsid w:val="00557875"/>
    <w:rsid w:val="005647B0"/>
    <w:rsid w:val="00565416"/>
    <w:rsid w:val="00573D0D"/>
    <w:rsid w:val="0057478A"/>
    <w:rsid w:val="00581932"/>
    <w:rsid w:val="00582CA4"/>
    <w:rsid w:val="00593B68"/>
    <w:rsid w:val="005963BB"/>
    <w:rsid w:val="005A2FBA"/>
    <w:rsid w:val="005A3173"/>
    <w:rsid w:val="005A321A"/>
    <w:rsid w:val="005A3223"/>
    <w:rsid w:val="005A3DA3"/>
    <w:rsid w:val="005A52C4"/>
    <w:rsid w:val="005A716C"/>
    <w:rsid w:val="005A7956"/>
    <w:rsid w:val="005B5641"/>
    <w:rsid w:val="005C3663"/>
    <w:rsid w:val="005D03AB"/>
    <w:rsid w:val="005D28CA"/>
    <w:rsid w:val="005D5017"/>
    <w:rsid w:val="005E1CDC"/>
    <w:rsid w:val="005F7981"/>
    <w:rsid w:val="00601A91"/>
    <w:rsid w:val="00602BA3"/>
    <w:rsid w:val="00606AC5"/>
    <w:rsid w:val="00611315"/>
    <w:rsid w:val="00614159"/>
    <w:rsid w:val="00617C00"/>
    <w:rsid w:val="006263BF"/>
    <w:rsid w:val="0062654B"/>
    <w:rsid w:val="0062748A"/>
    <w:rsid w:val="006309E1"/>
    <w:rsid w:val="00630A2C"/>
    <w:rsid w:val="006504C7"/>
    <w:rsid w:val="00651169"/>
    <w:rsid w:val="00653D69"/>
    <w:rsid w:val="00654CF2"/>
    <w:rsid w:val="00656D0A"/>
    <w:rsid w:val="006645F3"/>
    <w:rsid w:val="006673E1"/>
    <w:rsid w:val="00670A76"/>
    <w:rsid w:val="006711AA"/>
    <w:rsid w:val="006725E5"/>
    <w:rsid w:val="00672B57"/>
    <w:rsid w:val="00675622"/>
    <w:rsid w:val="006906DB"/>
    <w:rsid w:val="00692782"/>
    <w:rsid w:val="006A12A5"/>
    <w:rsid w:val="006A1B87"/>
    <w:rsid w:val="006A3AEE"/>
    <w:rsid w:val="006B0D94"/>
    <w:rsid w:val="006B4078"/>
    <w:rsid w:val="006B485D"/>
    <w:rsid w:val="006C419D"/>
    <w:rsid w:val="006C4A94"/>
    <w:rsid w:val="006C708E"/>
    <w:rsid w:val="006D6EC7"/>
    <w:rsid w:val="006E0937"/>
    <w:rsid w:val="006E260A"/>
    <w:rsid w:val="006F0AEC"/>
    <w:rsid w:val="006F0C96"/>
    <w:rsid w:val="006F5125"/>
    <w:rsid w:val="006F5E01"/>
    <w:rsid w:val="00702F4A"/>
    <w:rsid w:val="00714431"/>
    <w:rsid w:val="00714EA8"/>
    <w:rsid w:val="007174BB"/>
    <w:rsid w:val="007204C0"/>
    <w:rsid w:val="00724EE4"/>
    <w:rsid w:val="00732F6C"/>
    <w:rsid w:val="0074278B"/>
    <w:rsid w:val="007573AF"/>
    <w:rsid w:val="0076420C"/>
    <w:rsid w:val="007673BC"/>
    <w:rsid w:val="007753C2"/>
    <w:rsid w:val="00777D07"/>
    <w:rsid w:val="007838B8"/>
    <w:rsid w:val="00790F56"/>
    <w:rsid w:val="007A14AD"/>
    <w:rsid w:val="007A7677"/>
    <w:rsid w:val="007B641B"/>
    <w:rsid w:val="007B793D"/>
    <w:rsid w:val="007C0F57"/>
    <w:rsid w:val="007C40B6"/>
    <w:rsid w:val="007C729F"/>
    <w:rsid w:val="007D3D6B"/>
    <w:rsid w:val="007E1D28"/>
    <w:rsid w:val="007F1104"/>
    <w:rsid w:val="007F2641"/>
    <w:rsid w:val="007F34CC"/>
    <w:rsid w:val="007F3B6A"/>
    <w:rsid w:val="007F4130"/>
    <w:rsid w:val="007F7C36"/>
    <w:rsid w:val="00801CC2"/>
    <w:rsid w:val="00806796"/>
    <w:rsid w:val="00810664"/>
    <w:rsid w:val="00814DD8"/>
    <w:rsid w:val="008151D6"/>
    <w:rsid w:val="00816281"/>
    <w:rsid w:val="0082425D"/>
    <w:rsid w:val="00825B88"/>
    <w:rsid w:val="00826F6D"/>
    <w:rsid w:val="00845AFD"/>
    <w:rsid w:val="0085538C"/>
    <w:rsid w:val="00856DDD"/>
    <w:rsid w:val="00863E68"/>
    <w:rsid w:val="0086592B"/>
    <w:rsid w:val="00874A5C"/>
    <w:rsid w:val="00882085"/>
    <w:rsid w:val="00883188"/>
    <w:rsid w:val="008956F3"/>
    <w:rsid w:val="00897C9D"/>
    <w:rsid w:val="00897D58"/>
    <w:rsid w:val="008A1956"/>
    <w:rsid w:val="008A4937"/>
    <w:rsid w:val="008D0AFD"/>
    <w:rsid w:val="008D1B5C"/>
    <w:rsid w:val="008D3C82"/>
    <w:rsid w:val="008D447E"/>
    <w:rsid w:val="008D538B"/>
    <w:rsid w:val="008D544E"/>
    <w:rsid w:val="008D7A41"/>
    <w:rsid w:val="008E3680"/>
    <w:rsid w:val="008E5870"/>
    <w:rsid w:val="008E5931"/>
    <w:rsid w:val="008F1434"/>
    <w:rsid w:val="008F184D"/>
    <w:rsid w:val="008F7355"/>
    <w:rsid w:val="009067B7"/>
    <w:rsid w:val="0091506E"/>
    <w:rsid w:val="009173D0"/>
    <w:rsid w:val="00930937"/>
    <w:rsid w:val="00933E6C"/>
    <w:rsid w:val="00942160"/>
    <w:rsid w:val="009524DA"/>
    <w:rsid w:val="009602C5"/>
    <w:rsid w:val="00974C21"/>
    <w:rsid w:val="00980227"/>
    <w:rsid w:val="009944A7"/>
    <w:rsid w:val="009A5671"/>
    <w:rsid w:val="009A6625"/>
    <w:rsid w:val="009A7EE5"/>
    <w:rsid w:val="009B0CFE"/>
    <w:rsid w:val="009B0F67"/>
    <w:rsid w:val="009B4700"/>
    <w:rsid w:val="009C703C"/>
    <w:rsid w:val="009D3CAA"/>
    <w:rsid w:val="009D614F"/>
    <w:rsid w:val="009D7E52"/>
    <w:rsid w:val="009E04BE"/>
    <w:rsid w:val="009E0582"/>
    <w:rsid w:val="009E5DC9"/>
    <w:rsid w:val="009F4E46"/>
    <w:rsid w:val="009F5821"/>
    <w:rsid w:val="009F5B65"/>
    <w:rsid w:val="009F5F2E"/>
    <w:rsid w:val="00A018EC"/>
    <w:rsid w:val="00A06225"/>
    <w:rsid w:val="00A126BB"/>
    <w:rsid w:val="00A128E6"/>
    <w:rsid w:val="00A17D66"/>
    <w:rsid w:val="00A27106"/>
    <w:rsid w:val="00A37C8D"/>
    <w:rsid w:val="00A51A54"/>
    <w:rsid w:val="00A5273B"/>
    <w:rsid w:val="00A53A9D"/>
    <w:rsid w:val="00A55FEE"/>
    <w:rsid w:val="00A62763"/>
    <w:rsid w:val="00A62C1A"/>
    <w:rsid w:val="00A6426D"/>
    <w:rsid w:val="00A64564"/>
    <w:rsid w:val="00A70622"/>
    <w:rsid w:val="00A70977"/>
    <w:rsid w:val="00A73375"/>
    <w:rsid w:val="00A7501F"/>
    <w:rsid w:val="00A8390C"/>
    <w:rsid w:val="00A928BD"/>
    <w:rsid w:val="00A928E1"/>
    <w:rsid w:val="00AA4D1C"/>
    <w:rsid w:val="00AC193C"/>
    <w:rsid w:val="00AC5206"/>
    <w:rsid w:val="00AD3243"/>
    <w:rsid w:val="00AD6F97"/>
    <w:rsid w:val="00AE0CCD"/>
    <w:rsid w:val="00AE11A5"/>
    <w:rsid w:val="00AE13E2"/>
    <w:rsid w:val="00AF5243"/>
    <w:rsid w:val="00AF68CC"/>
    <w:rsid w:val="00B0148B"/>
    <w:rsid w:val="00B1059E"/>
    <w:rsid w:val="00B168FA"/>
    <w:rsid w:val="00B205AA"/>
    <w:rsid w:val="00B2233B"/>
    <w:rsid w:val="00B22E84"/>
    <w:rsid w:val="00B23051"/>
    <w:rsid w:val="00B2406F"/>
    <w:rsid w:val="00B24F14"/>
    <w:rsid w:val="00B25F75"/>
    <w:rsid w:val="00B31DE8"/>
    <w:rsid w:val="00B42C42"/>
    <w:rsid w:val="00B43E90"/>
    <w:rsid w:val="00B467DC"/>
    <w:rsid w:val="00B55B7B"/>
    <w:rsid w:val="00B55E07"/>
    <w:rsid w:val="00B56118"/>
    <w:rsid w:val="00B6773F"/>
    <w:rsid w:val="00B67CCE"/>
    <w:rsid w:val="00B801BA"/>
    <w:rsid w:val="00B9457F"/>
    <w:rsid w:val="00B950CE"/>
    <w:rsid w:val="00BB28E7"/>
    <w:rsid w:val="00BB69F5"/>
    <w:rsid w:val="00BB7386"/>
    <w:rsid w:val="00BB7EC3"/>
    <w:rsid w:val="00BC4B9A"/>
    <w:rsid w:val="00BC6097"/>
    <w:rsid w:val="00BD04B1"/>
    <w:rsid w:val="00BD0CF0"/>
    <w:rsid w:val="00BD0ECA"/>
    <w:rsid w:val="00BD3B83"/>
    <w:rsid w:val="00BD784C"/>
    <w:rsid w:val="00BE41BE"/>
    <w:rsid w:val="00BE609B"/>
    <w:rsid w:val="00BE7622"/>
    <w:rsid w:val="00BF4CB6"/>
    <w:rsid w:val="00C00DA7"/>
    <w:rsid w:val="00C12768"/>
    <w:rsid w:val="00C21942"/>
    <w:rsid w:val="00C231EA"/>
    <w:rsid w:val="00C242FE"/>
    <w:rsid w:val="00C27B58"/>
    <w:rsid w:val="00C3259B"/>
    <w:rsid w:val="00C35996"/>
    <w:rsid w:val="00C5342C"/>
    <w:rsid w:val="00C603D4"/>
    <w:rsid w:val="00C6256A"/>
    <w:rsid w:val="00C707CA"/>
    <w:rsid w:val="00C76BAC"/>
    <w:rsid w:val="00C76E0E"/>
    <w:rsid w:val="00C86F84"/>
    <w:rsid w:val="00C91449"/>
    <w:rsid w:val="00C9273A"/>
    <w:rsid w:val="00C92D10"/>
    <w:rsid w:val="00CA14C4"/>
    <w:rsid w:val="00CA2E82"/>
    <w:rsid w:val="00CB3AC4"/>
    <w:rsid w:val="00CD25D8"/>
    <w:rsid w:val="00CD40C8"/>
    <w:rsid w:val="00CE10C4"/>
    <w:rsid w:val="00CE27B5"/>
    <w:rsid w:val="00D0321E"/>
    <w:rsid w:val="00D07483"/>
    <w:rsid w:val="00D13F9F"/>
    <w:rsid w:val="00D1455A"/>
    <w:rsid w:val="00D20B6E"/>
    <w:rsid w:val="00D3138B"/>
    <w:rsid w:val="00D3280C"/>
    <w:rsid w:val="00D3406A"/>
    <w:rsid w:val="00D40999"/>
    <w:rsid w:val="00D45BD6"/>
    <w:rsid w:val="00D469B2"/>
    <w:rsid w:val="00D551A3"/>
    <w:rsid w:val="00D7281F"/>
    <w:rsid w:val="00D741EB"/>
    <w:rsid w:val="00D74D5A"/>
    <w:rsid w:val="00D75D98"/>
    <w:rsid w:val="00D76925"/>
    <w:rsid w:val="00D84934"/>
    <w:rsid w:val="00D911B2"/>
    <w:rsid w:val="00D91271"/>
    <w:rsid w:val="00D9537B"/>
    <w:rsid w:val="00DA2CB5"/>
    <w:rsid w:val="00DA4BAC"/>
    <w:rsid w:val="00DA6EC6"/>
    <w:rsid w:val="00DB0AD8"/>
    <w:rsid w:val="00DB1EF2"/>
    <w:rsid w:val="00DB254B"/>
    <w:rsid w:val="00DB6809"/>
    <w:rsid w:val="00DC564B"/>
    <w:rsid w:val="00DC6C59"/>
    <w:rsid w:val="00DE6D27"/>
    <w:rsid w:val="00DF0913"/>
    <w:rsid w:val="00DF217D"/>
    <w:rsid w:val="00DF26A7"/>
    <w:rsid w:val="00DF39A9"/>
    <w:rsid w:val="00E056E2"/>
    <w:rsid w:val="00E13640"/>
    <w:rsid w:val="00E149FE"/>
    <w:rsid w:val="00E164B3"/>
    <w:rsid w:val="00E16910"/>
    <w:rsid w:val="00E2247E"/>
    <w:rsid w:val="00E26E06"/>
    <w:rsid w:val="00E363F3"/>
    <w:rsid w:val="00E4159E"/>
    <w:rsid w:val="00E4637C"/>
    <w:rsid w:val="00E65E54"/>
    <w:rsid w:val="00E7032E"/>
    <w:rsid w:val="00E76BD2"/>
    <w:rsid w:val="00E77F79"/>
    <w:rsid w:val="00E80155"/>
    <w:rsid w:val="00E848C0"/>
    <w:rsid w:val="00E91B96"/>
    <w:rsid w:val="00E941A1"/>
    <w:rsid w:val="00E95CE3"/>
    <w:rsid w:val="00E9653A"/>
    <w:rsid w:val="00E97E5A"/>
    <w:rsid w:val="00EA2825"/>
    <w:rsid w:val="00EA7A82"/>
    <w:rsid w:val="00EB1181"/>
    <w:rsid w:val="00EB2217"/>
    <w:rsid w:val="00EB5088"/>
    <w:rsid w:val="00ED1644"/>
    <w:rsid w:val="00ED2593"/>
    <w:rsid w:val="00ED794F"/>
    <w:rsid w:val="00EE4962"/>
    <w:rsid w:val="00EF44A0"/>
    <w:rsid w:val="00EF4FED"/>
    <w:rsid w:val="00EF66E7"/>
    <w:rsid w:val="00F03AFC"/>
    <w:rsid w:val="00F050BD"/>
    <w:rsid w:val="00F05657"/>
    <w:rsid w:val="00F06B67"/>
    <w:rsid w:val="00F15A32"/>
    <w:rsid w:val="00F16A15"/>
    <w:rsid w:val="00F25578"/>
    <w:rsid w:val="00F258E5"/>
    <w:rsid w:val="00F300BC"/>
    <w:rsid w:val="00F31594"/>
    <w:rsid w:val="00F3334E"/>
    <w:rsid w:val="00F333DF"/>
    <w:rsid w:val="00F3547B"/>
    <w:rsid w:val="00F35E41"/>
    <w:rsid w:val="00F42600"/>
    <w:rsid w:val="00F441D8"/>
    <w:rsid w:val="00F464FC"/>
    <w:rsid w:val="00F5009D"/>
    <w:rsid w:val="00F50EC4"/>
    <w:rsid w:val="00F57A6D"/>
    <w:rsid w:val="00F638CC"/>
    <w:rsid w:val="00F64CC1"/>
    <w:rsid w:val="00F6573B"/>
    <w:rsid w:val="00F66938"/>
    <w:rsid w:val="00F8247A"/>
    <w:rsid w:val="00F83874"/>
    <w:rsid w:val="00F85225"/>
    <w:rsid w:val="00F94F89"/>
    <w:rsid w:val="00F9629A"/>
    <w:rsid w:val="00FA5883"/>
    <w:rsid w:val="00FA5CB6"/>
    <w:rsid w:val="00FA6055"/>
    <w:rsid w:val="00FB322F"/>
    <w:rsid w:val="00FB442F"/>
    <w:rsid w:val="00FB707F"/>
    <w:rsid w:val="00FC1929"/>
    <w:rsid w:val="00FC5B0C"/>
    <w:rsid w:val="00FC5B46"/>
    <w:rsid w:val="00FD380C"/>
    <w:rsid w:val="00FE0E94"/>
    <w:rsid w:val="00FE19BF"/>
    <w:rsid w:val="00FE5617"/>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B7386"/>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styleId="NormalWeb">
    <w:name w:val="Normal (Web)"/>
    <w:basedOn w:val="Normal"/>
    <w:uiPriority w:val="99"/>
    <w:unhideWhenUsed/>
    <w:rsid w:val="006F0AEC"/>
    <w:pPr>
      <w:spacing w:before="100" w:beforeAutospacing="1" w:after="100" w:afterAutospacing="1"/>
    </w:pPr>
  </w:style>
  <w:style w:type="paragraph" w:styleId="Revision">
    <w:name w:val="Revision"/>
    <w:hidden/>
    <w:uiPriority w:val="71"/>
    <w:rsid w:val="00EB1181"/>
    <w:rPr>
      <w:sz w:val="24"/>
      <w:szCs w:val="24"/>
    </w:rPr>
  </w:style>
  <w:style w:type="paragraph" w:customStyle="1" w:styleId="PBACHeading1">
    <w:name w:val="PBAC Heading 1"/>
    <w:qFormat/>
    <w:rsid w:val="00153946"/>
    <w:pPr>
      <w:ind w:left="720" w:hanging="720"/>
    </w:pPr>
    <w:rPr>
      <w:rFonts w:ascii="Arial" w:hAnsi="Arial" w:cs="Arial"/>
      <w:b/>
      <w:snapToGrid w:val="0"/>
      <w:sz w:val="22"/>
      <w:szCs w:val="22"/>
      <w:lang w:eastAsia="en-US"/>
    </w:rPr>
  </w:style>
  <w:style w:type="character" w:styleId="FollowedHyperlink">
    <w:name w:val="FollowedHyperlink"/>
    <w:basedOn w:val="DefaultParagraphFont"/>
    <w:rsid w:val="001E24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B7386"/>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styleId="NormalWeb">
    <w:name w:val="Normal (Web)"/>
    <w:basedOn w:val="Normal"/>
    <w:uiPriority w:val="99"/>
    <w:unhideWhenUsed/>
    <w:rsid w:val="006F0AEC"/>
    <w:pPr>
      <w:spacing w:before="100" w:beforeAutospacing="1" w:after="100" w:afterAutospacing="1"/>
    </w:pPr>
  </w:style>
  <w:style w:type="paragraph" w:styleId="Revision">
    <w:name w:val="Revision"/>
    <w:hidden/>
    <w:uiPriority w:val="71"/>
    <w:rsid w:val="00EB1181"/>
    <w:rPr>
      <w:sz w:val="24"/>
      <w:szCs w:val="24"/>
    </w:rPr>
  </w:style>
  <w:style w:type="paragraph" w:customStyle="1" w:styleId="PBACHeading1">
    <w:name w:val="PBAC Heading 1"/>
    <w:qFormat/>
    <w:rsid w:val="00153946"/>
    <w:pPr>
      <w:ind w:left="720" w:hanging="720"/>
    </w:pPr>
    <w:rPr>
      <w:rFonts w:ascii="Arial" w:hAnsi="Arial" w:cs="Arial"/>
      <w:b/>
      <w:snapToGrid w:val="0"/>
      <w:sz w:val="22"/>
      <w:szCs w:val="22"/>
      <w:lang w:eastAsia="en-US"/>
    </w:rPr>
  </w:style>
  <w:style w:type="character" w:styleId="FollowedHyperlink">
    <w:name w:val="FollowedHyperlink"/>
    <w:basedOn w:val="DefaultParagraphFont"/>
    <w:rsid w:val="001E2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5022317">
      <w:bodyDiv w:val="1"/>
      <w:marLeft w:val="0"/>
      <w:marRight w:val="0"/>
      <w:marTop w:val="0"/>
      <w:marBottom w:val="0"/>
      <w:divBdr>
        <w:top w:val="none" w:sz="0" w:space="0" w:color="auto"/>
        <w:left w:val="none" w:sz="0" w:space="0" w:color="auto"/>
        <w:bottom w:val="none" w:sz="0" w:space="0" w:color="auto"/>
        <w:right w:val="none" w:sz="0" w:space="0" w:color="auto"/>
      </w:divBdr>
      <w:divsChild>
        <w:div w:id="7680774">
          <w:marLeft w:val="0"/>
          <w:marRight w:val="0"/>
          <w:marTop w:val="0"/>
          <w:marBottom w:val="0"/>
          <w:divBdr>
            <w:top w:val="none" w:sz="0" w:space="0" w:color="auto"/>
            <w:left w:val="none" w:sz="0" w:space="0" w:color="auto"/>
            <w:bottom w:val="none" w:sz="0" w:space="0" w:color="auto"/>
            <w:right w:val="none" w:sz="0" w:space="0" w:color="auto"/>
          </w:divBdr>
          <w:divsChild>
            <w:div w:id="2069838121">
              <w:marLeft w:val="0"/>
              <w:marRight w:val="0"/>
              <w:marTop w:val="0"/>
              <w:marBottom w:val="0"/>
              <w:divBdr>
                <w:top w:val="none" w:sz="0" w:space="0" w:color="auto"/>
                <w:left w:val="none" w:sz="0" w:space="0" w:color="auto"/>
                <w:bottom w:val="none" w:sz="0" w:space="0" w:color="auto"/>
                <w:right w:val="none" w:sz="0" w:space="0" w:color="auto"/>
              </w:divBdr>
              <w:divsChild>
                <w:div w:id="779303042">
                  <w:marLeft w:val="0"/>
                  <w:marRight w:val="0"/>
                  <w:marTop w:val="0"/>
                  <w:marBottom w:val="0"/>
                  <w:divBdr>
                    <w:top w:val="none" w:sz="0" w:space="0" w:color="auto"/>
                    <w:left w:val="none" w:sz="0" w:space="0" w:color="auto"/>
                    <w:bottom w:val="none" w:sz="0" w:space="0" w:color="auto"/>
                    <w:right w:val="none" w:sz="0" w:space="0" w:color="auto"/>
                  </w:divBdr>
                  <w:divsChild>
                    <w:div w:id="1332754841">
                      <w:marLeft w:val="0"/>
                      <w:marRight w:val="0"/>
                      <w:marTop w:val="0"/>
                      <w:marBottom w:val="240"/>
                      <w:divBdr>
                        <w:top w:val="single" w:sz="6" w:space="0" w:color="DDDDDD"/>
                        <w:left w:val="none" w:sz="0" w:space="0" w:color="auto"/>
                        <w:bottom w:val="none" w:sz="0" w:space="0" w:color="auto"/>
                        <w:right w:val="none" w:sz="0" w:space="0" w:color="auto"/>
                      </w:divBdr>
                      <w:divsChild>
                        <w:div w:id="2068264302">
                          <w:marLeft w:val="0"/>
                          <w:marRight w:val="0"/>
                          <w:marTop w:val="0"/>
                          <w:marBottom w:val="0"/>
                          <w:divBdr>
                            <w:top w:val="none" w:sz="0" w:space="0" w:color="auto"/>
                            <w:left w:val="none" w:sz="0" w:space="0" w:color="auto"/>
                            <w:bottom w:val="none" w:sz="0" w:space="0" w:color="auto"/>
                            <w:right w:val="none" w:sz="0" w:space="0" w:color="auto"/>
                          </w:divBdr>
                          <w:divsChild>
                            <w:div w:id="41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950D1-FFA6-435A-B914-5880947C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2016-10-09T23:38:00Z</dcterms:created>
  <dcterms:modified xsi:type="dcterms:W3CDTF">2016-10-09T23:50:00Z</dcterms:modified>
</cp:coreProperties>
</file>