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F39B8" w:rsidRDefault="003C2DCB" w:rsidP="002F39B8">
      <w:pPr>
        <w:pStyle w:val="Title"/>
        <w:ind w:left="720" w:hanging="720"/>
        <w:rPr>
          <w:rFonts w:ascii="Arial" w:hAnsi="Arial" w:cs="Times New Roman"/>
          <w:caps w:val="0"/>
          <w:snapToGrid/>
          <w:szCs w:val="28"/>
          <w:lang w:eastAsia="en-AU"/>
        </w:rPr>
      </w:pPr>
      <w:bookmarkStart w:id="0" w:name="_Toc440983171"/>
      <w:r w:rsidRPr="002F39B8">
        <w:rPr>
          <w:rFonts w:ascii="Arial" w:hAnsi="Arial" w:cs="Times New Roman"/>
          <w:caps w:val="0"/>
          <w:snapToGrid/>
          <w:szCs w:val="28"/>
          <w:lang w:eastAsia="en-AU"/>
        </w:rPr>
        <w:t>7.10</w:t>
      </w:r>
      <w:r w:rsidR="00B60939" w:rsidRPr="002F39B8">
        <w:rPr>
          <w:rFonts w:ascii="Arial" w:hAnsi="Arial" w:cs="Times New Roman"/>
          <w:caps w:val="0"/>
          <w:snapToGrid/>
          <w:szCs w:val="28"/>
          <w:lang w:eastAsia="en-AU"/>
        </w:rPr>
        <w:tab/>
      </w:r>
      <w:r w:rsidR="00AD2AF7" w:rsidRPr="002F39B8">
        <w:rPr>
          <w:rFonts w:ascii="Arial" w:hAnsi="Arial" w:cs="Times New Roman"/>
          <w:caps w:val="0"/>
          <w:snapToGrid/>
          <w:szCs w:val="28"/>
          <w:lang w:eastAsia="en-AU"/>
        </w:rPr>
        <w:t>VILDAGLIPTIN</w:t>
      </w:r>
      <w:r w:rsidR="00B60939" w:rsidRPr="002F39B8">
        <w:rPr>
          <w:rFonts w:ascii="Arial" w:hAnsi="Arial" w:cs="Times New Roman"/>
          <w:caps w:val="0"/>
          <w:snapToGrid/>
          <w:szCs w:val="28"/>
          <w:lang w:eastAsia="en-AU"/>
        </w:rPr>
        <w:t xml:space="preserve">, </w:t>
      </w:r>
      <w:r w:rsidR="00AD2AF7" w:rsidRPr="002F39B8">
        <w:rPr>
          <w:rFonts w:ascii="Arial" w:hAnsi="Arial" w:cs="Times New Roman"/>
          <w:caps w:val="0"/>
          <w:snapToGrid/>
          <w:szCs w:val="28"/>
          <w:lang w:eastAsia="en-AU"/>
        </w:rPr>
        <w:t>50mg tablet, VILDAGLIPTIN AND METFORMIN, 50mg/500mg, 50mg/850mg, 50mg/1000mg tablet</w:t>
      </w:r>
      <w:r w:rsidR="00B60939" w:rsidRPr="002F39B8">
        <w:rPr>
          <w:rFonts w:ascii="Arial" w:hAnsi="Arial" w:cs="Times New Roman"/>
          <w:caps w:val="0"/>
          <w:snapToGrid/>
          <w:szCs w:val="28"/>
          <w:lang w:eastAsia="en-AU"/>
        </w:rPr>
        <w:t xml:space="preserve">, </w:t>
      </w:r>
      <w:r w:rsidR="00AD2AF7" w:rsidRPr="002F39B8">
        <w:rPr>
          <w:rFonts w:ascii="Arial" w:hAnsi="Arial" w:cs="Times New Roman"/>
          <w:caps w:val="0"/>
          <w:snapToGrid/>
          <w:szCs w:val="28"/>
          <w:lang w:eastAsia="en-AU"/>
        </w:rPr>
        <w:t>Galvus</w:t>
      </w:r>
      <w:r w:rsidR="00B60939" w:rsidRPr="002F39B8">
        <w:rPr>
          <w:rFonts w:ascii="Arial" w:hAnsi="Arial" w:cs="Times New Roman"/>
          <w:caps w:val="0"/>
          <w:snapToGrid/>
          <w:szCs w:val="28"/>
          <w:lang w:eastAsia="en-AU"/>
        </w:rPr>
        <w:t>®,</w:t>
      </w:r>
      <w:r w:rsidR="00AD2AF7" w:rsidRPr="002F39B8">
        <w:rPr>
          <w:rFonts w:ascii="Arial" w:hAnsi="Arial" w:cs="Times New Roman"/>
          <w:caps w:val="0"/>
          <w:snapToGrid/>
          <w:szCs w:val="28"/>
          <w:lang w:eastAsia="en-AU"/>
        </w:rPr>
        <w:t xml:space="preserve"> Galvumet®</w:t>
      </w:r>
      <w:r w:rsidR="00B60939" w:rsidRPr="002F39B8">
        <w:rPr>
          <w:rFonts w:ascii="Arial" w:hAnsi="Arial" w:cs="Times New Roman"/>
          <w:caps w:val="0"/>
          <w:snapToGrid/>
          <w:szCs w:val="28"/>
          <w:lang w:eastAsia="en-AU"/>
        </w:rPr>
        <w:t xml:space="preserve"> </w:t>
      </w:r>
      <w:r w:rsidR="00AD2AF7" w:rsidRPr="002F39B8">
        <w:rPr>
          <w:rFonts w:ascii="Arial" w:hAnsi="Arial" w:cs="Times New Roman"/>
          <w:caps w:val="0"/>
          <w:snapToGrid/>
          <w:szCs w:val="28"/>
          <w:lang w:eastAsia="en-AU"/>
        </w:rPr>
        <w:t>Novartis Pharmaceuticals Australia Pty Ltd</w:t>
      </w:r>
      <w:r w:rsidR="00B60939" w:rsidRPr="002F39B8">
        <w:rPr>
          <w:rFonts w:ascii="Arial" w:hAnsi="Arial" w:cs="Times New Roman"/>
          <w:caps w:val="0"/>
          <w:snapToGrid/>
          <w:szCs w:val="28"/>
          <w:lang w:eastAsia="en-AU"/>
        </w:rPr>
        <w:t>.</w:t>
      </w:r>
      <w:bookmarkEnd w:id="0"/>
    </w:p>
    <w:p w:rsidR="00CE5736" w:rsidRDefault="00CE5736" w:rsidP="000C3538">
      <w:pPr>
        <w:rPr>
          <w:b/>
          <w:sz w:val="24"/>
          <w:szCs w:val="22"/>
        </w:rPr>
      </w:pPr>
    </w:p>
    <w:p w:rsidR="00433044" w:rsidRDefault="00433044" w:rsidP="00281014">
      <w:pPr>
        <w:pStyle w:val="BodyText"/>
      </w:pPr>
    </w:p>
    <w:p w:rsidR="00B50DB8" w:rsidRPr="00FF792C" w:rsidRDefault="00B50DB8" w:rsidP="00FF792C">
      <w:pPr>
        <w:pStyle w:val="Heading1"/>
      </w:pPr>
      <w:bookmarkStart w:id="1" w:name="_Toc440983173"/>
      <w:r w:rsidRPr="00FF792C">
        <w:t>Purpose of Application</w:t>
      </w:r>
      <w:bookmarkEnd w:id="1"/>
    </w:p>
    <w:p w:rsidR="00B60939" w:rsidRPr="00882085" w:rsidRDefault="00B60939" w:rsidP="00B60939">
      <w:pPr>
        <w:rPr>
          <w:szCs w:val="22"/>
        </w:rPr>
      </w:pPr>
    </w:p>
    <w:p w:rsidR="002C2775" w:rsidRPr="00B50DB8" w:rsidRDefault="00043E83" w:rsidP="008A55D3">
      <w:pPr>
        <w:pStyle w:val="ListParagraph"/>
        <w:widowControl/>
        <w:numPr>
          <w:ilvl w:val="1"/>
          <w:numId w:val="4"/>
        </w:numPr>
        <w:rPr>
          <w:szCs w:val="22"/>
        </w:rPr>
      </w:pPr>
      <w:r>
        <w:t>To request Authority Required (Streamlined)</w:t>
      </w:r>
      <w:r w:rsidR="001E238E" w:rsidRPr="004B3DDB">
        <w:t xml:space="preserve"> listing for </w:t>
      </w:r>
      <w:r>
        <w:t>vildagliptin for treatment of type 2 diabetes as part of triple combination therapy with metformin and a sulfonylurea when combination therapy with both agents does not provide adequate glycaemic control.</w:t>
      </w:r>
    </w:p>
    <w:p w:rsidR="000963A5" w:rsidRDefault="000963A5" w:rsidP="004B1CB4"/>
    <w:p w:rsidR="00FF792C" w:rsidRPr="00882085" w:rsidRDefault="00FF792C" w:rsidP="004B1CB4"/>
    <w:p w:rsidR="00B50DB8" w:rsidRPr="00407F2D" w:rsidRDefault="00B50DB8" w:rsidP="00FF792C">
      <w:pPr>
        <w:pStyle w:val="Heading1"/>
      </w:pPr>
      <w:bookmarkStart w:id="2" w:name="_Toc440983174"/>
      <w:r w:rsidRPr="00407F2D">
        <w:t>Requested listing</w:t>
      </w:r>
      <w:bookmarkEnd w:id="2"/>
    </w:p>
    <w:p w:rsidR="00EC265C" w:rsidRDefault="00EC265C" w:rsidP="00EC265C">
      <w:pPr>
        <w:ind w:left="720"/>
      </w:pPr>
    </w:p>
    <w:p w:rsidR="008F242A" w:rsidRPr="00F22788" w:rsidRDefault="00EC265C" w:rsidP="00EC265C">
      <w:pPr>
        <w:pStyle w:val="ListParagraph"/>
        <w:widowControl/>
        <w:numPr>
          <w:ilvl w:val="1"/>
          <w:numId w:val="4"/>
        </w:numPr>
        <w:rPr>
          <w:color w:val="000000" w:themeColor="text1"/>
          <w:szCs w:val="22"/>
        </w:rPr>
      </w:pPr>
      <w:r w:rsidRPr="00F22788">
        <w:rPr>
          <w:color w:val="000000" w:themeColor="text1"/>
          <w:szCs w:val="22"/>
        </w:rPr>
        <w:t xml:space="preserve">Suggestions and additions proposed by the Secretariat to the requested listing are added in italics and suggested deletions are </w:t>
      </w:r>
      <w:r w:rsidR="00852155">
        <w:rPr>
          <w:color w:val="000000" w:themeColor="text1"/>
          <w:szCs w:val="22"/>
        </w:rPr>
        <w:t>crossed out with strikethrough.</w:t>
      </w:r>
    </w:p>
    <w:p w:rsidR="008F242A" w:rsidRPr="008F242A" w:rsidRDefault="008F242A" w:rsidP="008F242A">
      <w:pPr>
        <w:pStyle w:val="ListParagraph"/>
        <w:rPr>
          <w:color w:val="000000" w:themeColor="text1"/>
          <w:szCs w:val="22"/>
        </w:rPr>
      </w:pPr>
    </w:p>
    <w:p w:rsidR="008B65E1" w:rsidRPr="008F242A" w:rsidRDefault="008B65E1" w:rsidP="00EC265C">
      <w:pPr>
        <w:pStyle w:val="ListParagraph"/>
        <w:widowControl/>
        <w:numPr>
          <w:ilvl w:val="1"/>
          <w:numId w:val="4"/>
        </w:numPr>
        <w:rPr>
          <w:color w:val="000000" w:themeColor="text1"/>
          <w:szCs w:val="22"/>
        </w:rPr>
      </w:pPr>
      <w:r w:rsidRPr="008F242A">
        <w:rPr>
          <w:color w:val="000000" w:themeColor="text1"/>
          <w:szCs w:val="22"/>
        </w:rPr>
        <w:t>Prices for the requested listing have been adjusted to incorporate the 5% statutory price reduction for vildagliptin to be implemented in April 2016.</w:t>
      </w:r>
    </w:p>
    <w:p w:rsidR="008B65E1" w:rsidRPr="008F242A" w:rsidRDefault="008B65E1" w:rsidP="004B1CB4"/>
    <w:p w:rsidR="00190166" w:rsidRPr="008F242A" w:rsidRDefault="00190166" w:rsidP="00190166">
      <w:pPr>
        <w:rPr>
          <w:b/>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190166" w:rsidRPr="00260CE3" w:rsidTr="006D699D">
        <w:trPr>
          <w:cantSplit/>
          <w:trHeight w:val="471"/>
        </w:trPr>
        <w:tc>
          <w:tcPr>
            <w:tcW w:w="3261" w:type="dxa"/>
            <w:gridSpan w:val="2"/>
            <w:tcBorders>
              <w:bottom w:val="single" w:sz="4" w:space="0" w:color="auto"/>
            </w:tcBorders>
          </w:tcPr>
          <w:p w:rsidR="00190166" w:rsidRPr="008F242A" w:rsidRDefault="00190166" w:rsidP="006D699D">
            <w:pPr>
              <w:keepNext/>
              <w:ind w:left="-108"/>
              <w:rPr>
                <w:rFonts w:ascii="Arial Narrow" w:hAnsi="Arial Narrow"/>
                <w:sz w:val="20"/>
              </w:rPr>
            </w:pPr>
            <w:r w:rsidRPr="008F242A">
              <w:rPr>
                <w:rFonts w:ascii="Arial Narrow" w:hAnsi="Arial Narrow"/>
                <w:sz w:val="20"/>
              </w:rPr>
              <w:t>Name, Restriction,</w:t>
            </w:r>
          </w:p>
          <w:p w:rsidR="00190166" w:rsidRPr="008F242A" w:rsidRDefault="00190166" w:rsidP="006D699D">
            <w:pPr>
              <w:keepNext/>
              <w:ind w:left="-108"/>
              <w:rPr>
                <w:rFonts w:ascii="Arial Narrow" w:hAnsi="Arial Narrow"/>
                <w:sz w:val="20"/>
              </w:rPr>
            </w:pPr>
            <w:r w:rsidRPr="008F242A">
              <w:rPr>
                <w:rFonts w:ascii="Arial Narrow" w:hAnsi="Arial Narrow"/>
                <w:sz w:val="20"/>
              </w:rPr>
              <w:t>Manner of administration and form</w:t>
            </w:r>
          </w:p>
        </w:tc>
        <w:tc>
          <w:tcPr>
            <w:tcW w:w="567" w:type="dxa"/>
            <w:tcBorders>
              <w:bottom w:val="single" w:sz="4" w:space="0" w:color="auto"/>
            </w:tcBorders>
          </w:tcPr>
          <w:p w:rsidR="00190166" w:rsidRPr="008F242A" w:rsidRDefault="00190166" w:rsidP="006D699D">
            <w:pPr>
              <w:keepNext/>
              <w:ind w:left="-108"/>
              <w:rPr>
                <w:rFonts w:ascii="Arial Narrow" w:hAnsi="Arial Narrow"/>
                <w:sz w:val="20"/>
              </w:rPr>
            </w:pPr>
            <w:r w:rsidRPr="008F242A">
              <w:rPr>
                <w:rFonts w:ascii="Arial Narrow" w:hAnsi="Arial Narrow"/>
                <w:sz w:val="20"/>
              </w:rPr>
              <w:t>Max.</w:t>
            </w:r>
          </w:p>
          <w:p w:rsidR="00190166" w:rsidRPr="008F242A" w:rsidRDefault="00190166" w:rsidP="006D699D">
            <w:pPr>
              <w:keepNext/>
              <w:ind w:left="-108"/>
              <w:rPr>
                <w:rFonts w:ascii="Arial Narrow" w:hAnsi="Arial Narrow"/>
                <w:sz w:val="20"/>
              </w:rPr>
            </w:pPr>
            <w:r w:rsidRPr="008F242A">
              <w:rPr>
                <w:rFonts w:ascii="Arial Narrow" w:hAnsi="Arial Narrow"/>
                <w:sz w:val="20"/>
              </w:rPr>
              <w:t>Qty</w:t>
            </w:r>
          </w:p>
        </w:tc>
        <w:tc>
          <w:tcPr>
            <w:tcW w:w="850" w:type="dxa"/>
            <w:tcBorders>
              <w:bottom w:val="single" w:sz="4" w:space="0" w:color="auto"/>
            </w:tcBorders>
          </w:tcPr>
          <w:p w:rsidR="00190166" w:rsidRPr="008F242A" w:rsidRDefault="00190166" w:rsidP="006D699D">
            <w:pPr>
              <w:keepNext/>
              <w:ind w:left="-108"/>
              <w:rPr>
                <w:rFonts w:ascii="Arial Narrow" w:hAnsi="Arial Narrow"/>
                <w:sz w:val="20"/>
              </w:rPr>
            </w:pPr>
            <w:r w:rsidRPr="008F242A">
              <w:rPr>
                <w:rFonts w:ascii="Arial Narrow" w:hAnsi="Arial Narrow"/>
                <w:sz w:val="20"/>
              </w:rPr>
              <w:t>№.of</w:t>
            </w:r>
          </w:p>
          <w:p w:rsidR="00190166" w:rsidRPr="008F242A" w:rsidRDefault="00190166" w:rsidP="006D699D">
            <w:pPr>
              <w:keepNext/>
              <w:ind w:left="-108"/>
              <w:rPr>
                <w:rFonts w:ascii="Arial Narrow" w:hAnsi="Arial Narrow"/>
                <w:sz w:val="20"/>
              </w:rPr>
            </w:pPr>
            <w:r w:rsidRPr="008F242A">
              <w:rPr>
                <w:rFonts w:ascii="Arial Narrow" w:hAnsi="Arial Narrow"/>
                <w:sz w:val="20"/>
              </w:rPr>
              <w:t>Rpts</w:t>
            </w:r>
          </w:p>
        </w:tc>
        <w:tc>
          <w:tcPr>
            <w:tcW w:w="1701" w:type="dxa"/>
            <w:tcBorders>
              <w:bottom w:val="single" w:sz="4" w:space="0" w:color="auto"/>
            </w:tcBorders>
          </w:tcPr>
          <w:p w:rsidR="00190166" w:rsidRPr="008F242A" w:rsidRDefault="00190166" w:rsidP="006D699D">
            <w:pPr>
              <w:keepNext/>
              <w:ind w:left="-108"/>
              <w:rPr>
                <w:rFonts w:ascii="Arial Narrow" w:hAnsi="Arial Narrow"/>
                <w:sz w:val="20"/>
              </w:rPr>
            </w:pPr>
            <w:r w:rsidRPr="008F242A">
              <w:rPr>
                <w:rFonts w:ascii="Arial Narrow" w:hAnsi="Arial Narrow"/>
                <w:sz w:val="20"/>
              </w:rPr>
              <w:t>Dispensed Price for Max. Qty</w:t>
            </w:r>
          </w:p>
        </w:tc>
        <w:tc>
          <w:tcPr>
            <w:tcW w:w="2835" w:type="dxa"/>
            <w:gridSpan w:val="2"/>
            <w:tcBorders>
              <w:bottom w:val="single" w:sz="4" w:space="0" w:color="auto"/>
            </w:tcBorders>
          </w:tcPr>
          <w:p w:rsidR="00190166" w:rsidRPr="00260CE3" w:rsidRDefault="00190166" w:rsidP="006D699D">
            <w:pPr>
              <w:keepNext/>
              <w:rPr>
                <w:rFonts w:ascii="Arial Narrow" w:hAnsi="Arial Narrow"/>
                <w:sz w:val="20"/>
                <w:lang w:val="fr-FR"/>
              </w:rPr>
            </w:pPr>
            <w:r w:rsidRPr="008F242A">
              <w:rPr>
                <w:rFonts w:ascii="Arial Narrow" w:hAnsi="Arial Narrow"/>
                <w:sz w:val="20"/>
              </w:rPr>
              <w:t>Proprietary Name and Manufacturer</w:t>
            </w:r>
          </w:p>
        </w:tc>
      </w:tr>
      <w:tr w:rsidR="00190166" w:rsidRPr="00260CE3" w:rsidTr="0030502E">
        <w:trPr>
          <w:cantSplit/>
          <w:trHeight w:val="714"/>
        </w:trPr>
        <w:tc>
          <w:tcPr>
            <w:tcW w:w="3261" w:type="dxa"/>
            <w:gridSpan w:val="2"/>
            <w:vAlign w:val="center"/>
          </w:tcPr>
          <w:p w:rsidR="00190166" w:rsidRPr="002765AE" w:rsidRDefault="00190166" w:rsidP="0030502E">
            <w:pPr>
              <w:keepNext/>
              <w:jc w:val="left"/>
              <w:rPr>
                <w:rFonts w:ascii="Arial Narrow" w:hAnsi="Arial Narrow"/>
                <w:sz w:val="20"/>
              </w:rPr>
            </w:pPr>
            <w:r w:rsidRPr="002765AE">
              <w:rPr>
                <w:rFonts w:ascii="Arial Narrow" w:hAnsi="Arial Narrow"/>
                <w:smallCaps/>
                <w:sz w:val="20"/>
              </w:rPr>
              <w:t>Vildagliptin</w:t>
            </w:r>
          </w:p>
          <w:p w:rsidR="00190166" w:rsidRPr="002765AE" w:rsidRDefault="00190166" w:rsidP="0030502E">
            <w:pPr>
              <w:keepNext/>
              <w:jc w:val="left"/>
              <w:rPr>
                <w:rFonts w:ascii="Arial Narrow" w:hAnsi="Arial Narrow"/>
                <w:sz w:val="20"/>
              </w:rPr>
            </w:pPr>
            <w:r w:rsidRPr="002765AE">
              <w:rPr>
                <w:rFonts w:ascii="Arial Narrow" w:hAnsi="Arial Narrow"/>
                <w:sz w:val="20"/>
              </w:rPr>
              <w:t>Tablet 50mg</w:t>
            </w:r>
          </w:p>
        </w:tc>
        <w:tc>
          <w:tcPr>
            <w:tcW w:w="567" w:type="dxa"/>
            <w:vAlign w:val="center"/>
          </w:tcPr>
          <w:p w:rsidR="00190166" w:rsidRPr="002765AE" w:rsidRDefault="00190166" w:rsidP="0030502E">
            <w:pPr>
              <w:keepNext/>
              <w:jc w:val="left"/>
              <w:rPr>
                <w:rFonts w:ascii="Arial Narrow" w:hAnsi="Arial Narrow"/>
                <w:sz w:val="20"/>
              </w:rPr>
            </w:pPr>
            <w:r w:rsidRPr="002765AE">
              <w:rPr>
                <w:rFonts w:ascii="Arial Narrow" w:hAnsi="Arial Narrow"/>
                <w:sz w:val="20"/>
              </w:rPr>
              <w:t>60</w:t>
            </w:r>
          </w:p>
        </w:tc>
        <w:tc>
          <w:tcPr>
            <w:tcW w:w="850" w:type="dxa"/>
            <w:vAlign w:val="center"/>
          </w:tcPr>
          <w:p w:rsidR="00190166" w:rsidRPr="002765AE" w:rsidRDefault="00190166" w:rsidP="0030502E">
            <w:pPr>
              <w:keepNext/>
              <w:jc w:val="left"/>
              <w:rPr>
                <w:rFonts w:ascii="Arial Narrow" w:hAnsi="Arial Narrow"/>
                <w:sz w:val="20"/>
              </w:rPr>
            </w:pPr>
            <w:r w:rsidRPr="002765AE">
              <w:rPr>
                <w:rFonts w:ascii="Arial Narrow" w:hAnsi="Arial Narrow"/>
                <w:sz w:val="20"/>
              </w:rPr>
              <w:t>5</w:t>
            </w:r>
          </w:p>
        </w:tc>
        <w:tc>
          <w:tcPr>
            <w:tcW w:w="1701" w:type="dxa"/>
            <w:vAlign w:val="center"/>
          </w:tcPr>
          <w:p w:rsidR="00190166" w:rsidRPr="002F7E56" w:rsidRDefault="002F7E56" w:rsidP="0030502E">
            <w:pPr>
              <w:keepNext/>
              <w:jc w:val="left"/>
              <w:rPr>
                <w:rFonts w:ascii="Arial Narrow" w:hAnsi="Arial Narrow"/>
                <w:i/>
                <w:sz w:val="20"/>
              </w:rPr>
            </w:pPr>
            <w:r>
              <w:rPr>
                <w:rFonts w:ascii="Arial Narrow" w:hAnsi="Arial Narrow"/>
                <w:strike/>
                <w:noProof/>
                <w:color w:val="000000"/>
                <w:sz w:val="20"/>
                <w:highlight w:val="black"/>
              </w:rPr>
              <w:t xml:space="preserve">''''''''''''''' </w:t>
            </w:r>
            <w:r>
              <w:rPr>
                <w:rFonts w:ascii="Arial Narrow" w:hAnsi="Arial Narrow"/>
                <w:i/>
                <w:noProof/>
                <w:color w:val="000000"/>
                <w:sz w:val="20"/>
                <w:highlight w:val="black"/>
              </w:rPr>
              <w:t xml:space="preserve"> ''''''''''''''''</w:t>
            </w:r>
          </w:p>
          <w:p w:rsidR="007202B2" w:rsidRPr="002F7E56" w:rsidRDefault="002F7E56" w:rsidP="0030502E">
            <w:pPr>
              <w:keepNext/>
              <w:jc w:val="left"/>
              <w:rPr>
                <w:rFonts w:ascii="Arial Narrow" w:hAnsi="Arial Narrow"/>
                <w:sz w:val="20"/>
                <w:highlight w:val="black"/>
              </w:rPr>
            </w:pPr>
            <w:r>
              <w:rPr>
                <w:rFonts w:ascii="Arial Narrow" w:hAnsi="Arial Narrow"/>
                <w:i/>
                <w:noProof/>
                <w:color w:val="000000"/>
                <w:sz w:val="20"/>
                <w:highlight w:val="black"/>
              </w:rPr>
              <w:t>''''''''''''''''</w:t>
            </w:r>
          </w:p>
        </w:tc>
        <w:tc>
          <w:tcPr>
            <w:tcW w:w="1559" w:type="dxa"/>
            <w:vAlign w:val="center"/>
          </w:tcPr>
          <w:p w:rsidR="00190166" w:rsidRPr="002765AE" w:rsidRDefault="00190166" w:rsidP="0030502E">
            <w:pPr>
              <w:keepNext/>
              <w:jc w:val="left"/>
              <w:rPr>
                <w:rFonts w:ascii="Arial Narrow" w:hAnsi="Arial Narrow"/>
                <w:sz w:val="20"/>
                <w:vertAlign w:val="superscript"/>
              </w:rPr>
            </w:pPr>
            <w:r w:rsidRPr="002765AE">
              <w:rPr>
                <w:rFonts w:ascii="Arial Narrow" w:hAnsi="Arial Narrow"/>
                <w:sz w:val="20"/>
              </w:rPr>
              <w:t>Galvus</w:t>
            </w:r>
            <w:r w:rsidRPr="002765AE">
              <w:rPr>
                <w:rFonts w:ascii="Arial Narrow" w:hAnsi="Arial Narrow"/>
                <w:sz w:val="20"/>
                <w:vertAlign w:val="superscript"/>
              </w:rPr>
              <w:t>®</w:t>
            </w:r>
          </w:p>
        </w:tc>
        <w:tc>
          <w:tcPr>
            <w:tcW w:w="1276" w:type="dxa"/>
            <w:vAlign w:val="center"/>
          </w:tcPr>
          <w:p w:rsidR="00190166" w:rsidRPr="002765AE" w:rsidRDefault="00190166" w:rsidP="0030502E">
            <w:pPr>
              <w:keepNext/>
              <w:jc w:val="left"/>
              <w:rPr>
                <w:rFonts w:ascii="Arial Narrow" w:hAnsi="Arial Narrow"/>
                <w:sz w:val="20"/>
              </w:rPr>
            </w:pPr>
            <w:r w:rsidRPr="002765AE">
              <w:rPr>
                <w:rFonts w:ascii="Arial Narrow" w:hAnsi="Arial Narrow"/>
                <w:sz w:val="20"/>
              </w:rPr>
              <w:t>Novartis</w:t>
            </w:r>
          </w:p>
        </w:tc>
      </w:tr>
      <w:tr w:rsidR="00190166" w:rsidRPr="00260CE3" w:rsidTr="0030502E">
        <w:trPr>
          <w:cantSplit/>
          <w:trHeight w:val="397"/>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30502E">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190166" w:rsidRPr="00260CE3" w:rsidRDefault="00190166" w:rsidP="0030502E">
            <w:pPr>
              <w:rPr>
                <w:rFonts w:ascii="Arial Narrow" w:hAnsi="Arial Narrow"/>
                <w:sz w:val="20"/>
              </w:rPr>
            </w:pPr>
            <w:r w:rsidRPr="00260CE3">
              <w:rPr>
                <w:rFonts w:ascii="Arial Narrow" w:hAnsi="Arial Narrow"/>
                <w:sz w:val="20"/>
              </w:rPr>
              <w:t>GENERAL – General Schedule (Code GE)</w:t>
            </w:r>
            <w:bookmarkStart w:id="3" w:name="_GoBack"/>
            <w:bookmarkEnd w:id="3"/>
          </w:p>
        </w:tc>
      </w:tr>
      <w:tr w:rsidR="00190166" w:rsidRPr="00260CE3" w:rsidTr="0030502E">
        <w:trPr>
          <w:cantSplit/>
          <w:trHeight w:val="397"/>
        </w:trPr>
        <w:tc>
          <w:tcPr>
            <w:tcW w:w="2835" w:type="dxa"/>
            <w:tcBorders>
              <w:top w:val="single" w:sz="4" w:space="0" w:color="auto"/>
              <w:left w:val="single" w:sz="4" w:space="0" w:color="auto"/>
              <w:bottom w:val="single" w:sz="4" w:space="0" w:color="auto"/>
              <w:right w:val="single" w:sz="4" w:space="0" w:color="auto"/>
            </w:tcBorders>
          </w:tcPr>
          <w:p w:rsidR="00190166" w:rsidRPr="0030502E" w:rsidRDefault="00190166" w:rsidP="0030502E">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90166" w:rsidRPr="00260CE3" w:rsidRDefault="00F12313" w:rsidP="0030502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sidR="00190166">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190166" w:rsidRPr="00260CE3">
              <w:rPr>
                <w:rFonts w:ascii="Arial Narrow" w:hAnsi="Arial Narrow"/>
                <w:sz w:val="20"/>
              </w:rPr>
              <w:t xml:space="preserve">Medical Practitioners  </w:t>
            </w:r>
            <w:r>
              <w:rPr>
                <w:rFonts w:ascii="Arial Narrow" w:hAnsi="Arial Narrow"/>
                <w:sz w:val="20"/>
              </w:rPr>
              <w:fldChar w:fldCharType="begin">
                <w:ffData>
                  <w:name w:val=""/>
                  <w:enabled/>
                  <w:calcOnExit w:val="0"/>
                  <w:checkBox>
                    <w:sizeAuto/>
                    <w:default w:val="1"/>
                  </w:checkBox>
                </w:ffData>
              </w:fldChar>
            </w:r>
            <w:r w:rsidR="00190166">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190166" w:rsidRPr="00260CE3">
              <w:rPr>
                <w:rFonts w:ascii="Arial Narrow" w:hAnsi="Arial Narrow"/>
                <w:sz w:val="20"/>
              </w:rPr>
              <w:t xml:space="preserve">Nurse practitioners  </w:t>
            </w:r>
          </w:p>
        </w:tc>
      </w:tr>
      <w:tr w:rsidR="00190166" w:rsidRPr="00260CE3" w:rsidTr="0030502E">
        <w:trPr>
          <w:cantSplit/>
          <w:trHeight w:val="397"/>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30502E">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90166" w:rsidRPr="00260CE3" w:rsidRDefault="00190166" w:rsidP="0030502E">
            <w:pPr>
              <w:rPr>
                <w:rFonts w:ascii="Arial Narrow" w:hAnsi="Arial Narrow"/>
                <w:sz w:val="20"/>
              </w:rPr>
            </w:pPr>
            <w:r>
              <w:rPr>
                <w:rFonts w:ascii="Arial Narrow" w:hAnsi="Arial Narrow"/>
                <w:sz w:val="20"/>
              </w:rPr>
              <w:t>Diabetes mellitus type 2</w:t>
            </w:r>
          </w:p>
        </w:tc>
      </w:tr>
      <w:tr w:rsidR="00190166" w:rsidRPr="00260CE3" w:rsidTr="0030502E">
        <w:trPr>
          <w:cantSplit/>
          <w:trHeight w:val="397"/>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30502E">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90166" w:rsidRPr="0030502E" w:rsidRDefault="00190166" w:rsidP="0030502E">
            <w:pPr>
              <w:shd w:val="clear" w:color="auto" w:fill="FFFFFF"/>
              <w:rPr>
                <w:rFonts w:ascii="Arial Narrow" w:hAnsi="Arial Narrow"/>
                <w:sz w:val="20"/>
                <w:lang w:val="en-US" w:eastAsia="zh-CN"/>
              </w:rPr>
            </w:pPr>
            <w:r w:rsidRPr="000C7378">
              <w:rPr>
                <w:rFonts w:ascii="Arial Narrow" w:hAnsi="Arial Narrow"/>
                <w:sz w:val="20"/>
                <w:lang w:val="en-US" w:eastAsia="zh-CN"/>
              </w:rPr>
              <w:t>Diabetes mellitus type 2</w:t>
            </w:r>
          </w:p>
        </w:tc>
      </w:tr>
      <w:tr w:rsidR="00190166" w:rsidRPr="00260CE3" w:rsidTr="0030502E">
        <w:trPr>
          <w:cantSplit/>
          <w:trHeight w:val="397"/>
        </w:trPr>
        <w:tc>
          <w:tcPr>
            <w:tcW w:w="2835" w:type="dxa"/>
            <w:tcBorders>
              <w:top w:val="single" w:sz="4" w:space="0" w:color="auto"/>
              <w:left w:val="single" w:sz="4" w:space="0" w:color="auto"/>
              <w:bottom w:val="single" w:sz="4" w:space="0" w:color="auto"/>
              <w:right w:val="single" w:sz="4" w:space="0" w:color="auto"/>
            </w:tcBorders>
          </w:tcPr>
          <w:p w:rsidR="00190166" w:rsidRPr="0030502E" w:rsidRDefault="00190166" w:rsidP="0030502E">
            <w:pPr>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90166" w:rsidRPr="00260CE3" w:rsidRDefault="008F242A" w:rsidP="0030502E">
            <w:pPr>
              <w:rPr>
                <w:rFonts w:ascii="Arial Narrow" w:hAnsi="Arial Narrow"/>
                <w:sz w:val="20"/>
              </w:rPr>
            </w:pPr>
            <w:r>
              <w:rPr>
                <w:rFonts w:ascii="Arial Narrow" w:hAnsi="Arial Narrow"/>
                <w:sz w:val="20"/>
              </w:rPr>
              <w:t>N/A</w:t>
            </w:r>
          </w:p>
        </w:tc>
      </w:tr>
      <w:tr w:rsidR="00190166" w:rsidRPr="00260CE3"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90166" w:rsidRPr="00CD28F3" w:rsidRDefault="00190166" w:rsidP="006D699D">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90166" w:rsidRPr="00106BCF" w:rsidRDefault="00F12313" w:rsidP="006D699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190166"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190166" w:rsidRPr="00106BCF">
              <w:rPr>
                <w:rFonts w:ascii="Arial Narrow" w:hAnsi="Arial Narrow"/>
                <w:sz w:val="20"/>
              </w:rPr>
              <w:t>Restricted benefit</w:t>
            </w:r>
          </w:p>
          <w:p w:rsidR="00190166" w:rsidRPr="00106BCF" w:rsidRDefault="00F12313" w:rsidP="006D699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190166"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190166" w:rsidRPr="00106BCF">
              <w:rPr>
                <w:rFonts w:ascii="Arial Narrow" w:hAnsi="Arial Narrow"/>
                <w:sz w:val="20"/>
              </w:rPr>
              <w:t>Authority Required - In Writing</w:t>
            </w:r>
          </w:p>
          <w:p w:rsidR="00190166" w:rsidRPr="00106BCF" w:rsidRDefault="00F12313" w:rsidP="006D699D">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190166"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190166" w:rsidRPr="00106BCF">
              <w:rPr>
                <w:rFonts w:ascii="Arial Narrow" w:hAnsi="Arial Narrow"/>
                <w:sz w:val="20"/>
              </w:rPr>
              <w:t>Authority Required - Telephone</w:t>
            </w:r>
          </w:p>
          <w:p w:rsidR="00190166" w:rsidRPr="00106BCF" w:rsidRDefault="00F12313" w:rsidP="006D699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190166"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190166" w:rsidRPr="00106BCF">
              <w:rPr>
                <w:rFonts w:ascii="Arial Narrow" w:hAnsi="Arial Narrow"/>
                <w:sz w:val="20"/>
              </w:rPr>
              <w:t>Authority Required – Emergency</w:t>
            </w:r>
          </w:p>
          <w:p w:rsidR="00190166" w:rsidRPr="00106BCF" w:rsidRDefault="00F12313" w:rsidP="006D699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190166"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190166" w:rsidRPr="00106BCF">
              <w:rPr>
                <w:rFonts w:ascii="Arial Narrow" w:hAnsi="Arial Narrow"/>
                <w:sz w:val="20"/>
              </w:rPr>
              <w:t>Authority Required - Electronic</w:t>
            </w:r>
          </w:p>
          <w:p w:rsidR="00190166" w:rsidRPr="00260CE3" w:rsidRDefault="00F12313" w:rsidP="006D699D">
            <w:pPr>
              <w:rPr>
                <w:rFonts w:ascii="Arial Narrow" w:hAnsi="Arial Narrow"/>
                <w:sz w:val="20"/>
              </w:rPr>
            </w:pPr>
            <w:r>
              <w:rPr>
                <w:rFonts w:ascii="Arial Narrow" w:hAnsi="Arial Narrow"/>
                <w:sz w:val="20"/>
              </w:rPr>
              <w:fldChar w:fldCharType="begin">
                <w:ffData>
                  <w:name w:val="Check5"/>
                  <w:enabled w:val="0"/>
                  <w:calcOnExit w:val="0"/>
                  <w:checkBox>
                    <w:sizeAuto/>
                    <w:default w:val="1"/>
                  </w:checkBox>
                </w:ffData>
              </w:fldChar>
            </w:r>
            <w:r w:rsidR="00190166">
              <w:rPr>
                <w:rFonts w:ascii="Arial Narrow" w:hAnsi="Arial Narrow"/>
                <w:sz w:val="20"/>
              </w:rPr>
              <w:instrText xml:space="preserve"> </w:instrText>
            </w:r>
            <w:bookmarkStart w:id="4" w:name="Check5"/>
            <w:r w:rsidR="00190166">
              <w:rPr>
                <w:rFonts w:ascii="Arial Narrow" w:hAnsi="Arial Narrow"/>
                <w:sz w:val="20"/>
              </w:rPr>
              <w:instrText xml:space="preserve">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bookmarkEnd w:id="4"/>
            <w:r w:rsidR="00190166" w:rsidRPr="00106BCF">
              <w:rPr>
                <w:rFonts w:ascii="Arial Narrow" w:hAnsi="Arial Narrow"/>
                <w:sz w:val="20"/>
              </w:rPr>
              <w:t>Streamlined</w:t>
            </w:r>
          </w:p>
        </w:tc>
      </w:tr>
      <w:tr w:rsidR="00190166" w:rsidRPr="00260CE3"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lastRenderedPageBreak/>
              <w:t>Clinical criteria:</w:t>
            </w:r>
          </w:p>
          <w:p w:rsidR="00190166" w:rsidRPr="00260CE3" w:rsidRDefault="00190166" w:rsidP="006D699D">
            <w:pPr>
              <w:rPr>
                <w:rFonts w:ascii="Arial Narrow" w:hAnsi="Arial Narrow"/>
                <w:i/>
                <w:sz w:val="20"/>
              </w:rPr>
            </w:pPr>
          </w:p>
          <w:p w:rsidR="00190166" w:rsidRPr="00260CE3" w:rsidRDefault="00190166" w:rsidP="006D699D">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90166" w:rsidRDefault="00190166" w:rsidP="006D699D">
            <w:pPr>
              <w:spacing w:after="240" w:line="300" w:lineRule="atLeast"/>
              <w:rPr>
                <w:rFonts w:ascii="Arial Narrow" w:hAnsi="Arial Narrow"/>
                <w:color w:val="222222"/>
                <w:sz w:val="20"/>
                <w:lang w:val="en-US"/>
              </w:rPr>
            </w:pPr>
            <w:r w:rsidRPr="000C7378">
              <w:rPr>
                <w:rFonts w:ascii="Arial Narrow" w:hAnsi="Arial Narrow"/>
                <w:color w:val="222222"/>
                <w:sz w:val="20"/>
                <w:lang w:val="en-US"/>
              </w:rPr>
              <w:t>The treatment must be in combination with metformin,</w:t>
            </w:r>
          </w:p>
          <w:p w:rsidR="00190166" w:rsidRPr="00990932" w:rsidRDefault="00190166" w:rsidP="006D699D">
            <w:pPr>
              <w:spacing w:after="240" w:line="300" w:lineRule="atLeast"/>
              <w:rPr>
                <w:rFonts w:ascii="Arial Narrow" w:hAnsi="Arial Narrow"/>
                <w:color w:val="222222"/>
                <w:sz w:val="20"/>
                <w:lang w:val="en-US"/>
              </w:rPr>
            </w:pPr>
            <w:r w:rsidRPr="000C7378">
              <w:rPr>
                <w:rFonts w:ascii="Arial Narrow" w:hAnsi="Arial Narrow"/>
                <w:b/>
                <w:bCs/>
                <w:color w:val="222222"/>
                <w:sz w:val="20"/>
                <w:lang w:val="en-US"/>
              </w:rPr>
              <w:t>AND</w:t>
            </w:r>
          </w:p>
          <w:p w:rsidR="00190166" w:rsidRPr="000C7378" w:rsidRDefault="00190166" w:rsidP="006D699D">
            <w:pPr>
              <w:spacing w:after="240" w:line="300" w:lineRule="atLeast"/>
              <w:rPr>
                <w:color w:val="222222"/>
                <w:sz w:val="20"/>
                <w:lang w:val="en-US"/>
              </w:rPr>
            </w:pPr>
            <w:r w:rsidRPr="000C7378">
              <w:rPr>
                <w:rFonts w:ascii="Arial Narrow" w:hAnsi="Arial Narrow"/>
                <w:color w:val="222222"/>
                <w:sz w:val="20"/>
                <w:lang w:val="en-US"/>
              </w:rPr>
              <w:t>The treatment must be in combination with a sulfonylurea</w:t>
            </w:r>
            <w:r w:rsidRPr="000C7378">
              <w:rPr>
                <w:color w:val="222222"/>
                <w:sz w:val="20"/>
                <w:lang w:val="en-US"/>
              </w:rPr>
              <w:t>,</w:t>
            </w:r>
          </w:p>
          <w:p w:rsidR="00190166" w:rsidRPr="000C7378" w:rsidRDefault="00190166" w:rsidP="006D699D">
            <w:pPr>
              <w:shd w:val="clear" w:color="auto" w:fill="FFFFFF"/>
              <w:spacing w:after="120"/>
              <w:rPr>
                <w:rFonts w:ascii="Arial Narrow" w:hAnsi="Arial Narrow"/>
                <w:b/>
                <w:sz w:val="20"/>
                <w:lang w:val="en-US" w:eastAsia="zh-CN"/>
              </w:rPr>
            </w:pPr>
            <w:r w:rsidRPr="000C7378">
              <w:rPr>
                <w:rFonts w:ascii="Arial Narrow" w:hAnsi="Arial Narrow"/>
                <w:b/>
                <w:sz w:val="20"/>
                <w:lang w:val="en-US" w:eastAsia="zh-CN"/>
              </w:rPr>
              <w:t>AND</w:t>
            </w:r>
          </w:p>
          <w:p w:rsidR="00190166" w:rsidRPr="00555D83" w:rsidRDefault="00190166" w:rsidP="006D699D">
            <w:pPr>
              <w:rPr>
                <w:szCs w:val="22"/>
              </w:rPr>
            </w:pPr>
            <w:r w:rsidRPr="000C7378">
              <w:rPr>
                <w:rFonts w:ascii="Arial Narrow" w:hAnsi="Arial Narrow"/>
                <w:sz w:val="20"/>
                <w:lang w:val="en-US" w:eastAsia="zh-CN"/>
              </w:rPr>
              <w:t>Patients must have, or have had, a HbA1c measurement greater than 7% prior to the initiation</w:t>
            </w:r>
            <w:r>
              <w:rPr>
                <w:rFonts w:ascii="Arial Narrow" w:hAnsi="Arial Narrow"/>
                <w:sz w:val="20"/>
                <w:lang w:val="en-US" w:eastAsia="zh-CN"/>
              </w:rPr>
              <w:t xml:space="preserve"> of a </w:t>
            </w:r>
            <w:r w:rsidRPr="000C7378">
              <w:rPr>
                <w:rFonts w:ascii="Arial Narrow" w:hAnsi="Arial Narrow"/>
                <w:sz w:val="20"/>
                <w:lang w:val="en-US" w:eastAsia="zh-CN"/>
              </w:rPr>
              <w:t xml:space="preserve">dipeptidyl peptidase 4 inhibitor (gliptin), a thiazolidinedione (glitazone), a glucagon-like peptide-1 or a sodium-glucose co-transporter 2 (SGLT2) </w:t>
            </w:r>
            <w:r w:rsidRPr="000C7378">
              <w:rPr>
                <w:rFonts w:ascii="Arial Narrow" w:hAnsi="Arial Narrow"/>
                <w:color w:val="222222"/>
                <w:sz w:val="20"/>
              </w:rPr>
              <w:t xml:space="preserve">despite treatment with </w:t>
            </w:r>
            <w:r w:rsidRPr="00E00D7B">
              <w:rPr>
                <w:rFonts w:ascii="Arial Narrow" w:hAnsi="Arial Narrow"/>
                <w:strike/>
                <w:color w:val="222222"/>
                <w:sz w:val="20"/>
              </w:rPr>
              <w:t>maximally tolerated doses of metformin and a sulfonylurea</w:t>
            </w:r>
            <w:r>
              <w:rPr>
                <w:rFonts w:ascii="Arial Narrow" w:hAnsi="Arial Narrow"/>
                <w:strike/>
                <w:color w:val="222222"/>
                <w:sz w:val="20"/>
              </w:rPr>
              <w:t xml:space="preserve"> </w:t>
            </w:r>
            <w:r w:rsidRPr="000B2FEB">
              <w:rPr>
                <w:rFonts w:ascii="Arial Narrow" w:hAnsi="Arial Narrow"/>
                <w:i/>
                <w:sz w:val="20"/>
                <w:lang w:val="en-US" w:eastAsia="zh-CN"/>
              </w:rPr>
              <w:t>optimal doses of dual oral therapy</w:t>
            </w:r>
            <w:r w:rsidRPr="000C7378">
              <w:rPr>
                <w:rFonts w:ascii="Arial Narrow" w:hAnsi="Arial Narrow"/>
                <w:sz w:val="20"/>
                <w:lang w:val="en-US" w:eastAsia="zh-CN"/>
              </w:rPr>
              <w:t>; OR</w:t>
            </w:r>
            <w:r w:rsidRPr="00552722">
              <w:rPr>
                <w:szCs w:val="22"/>
              </w:rPr>
              <w:t xml:space="preserve"> </w:t>
            </w:r>
          </w:p>
          <w:p w:rsidR="00190166" w:rsidRPr="000C7378" w:rsidRDefault="00190166" w:rsidP="006D699D">
            <w:pPr>
              <w:shd w:val="clear" w:color="auto" w:fill="FFFFFF"/>
              <w:spacing w:after="120"/>
              <w:rPr>
                <w:rFonts w:ascii="Arial Narrow" w:hAnsi="Arial Narrow"/>
                <w:sz w:val="20"/>
                <w:lang w:val="en-US" w:eastAsia="zh-CN"/>
              </w:rPr>
            </w:pPr>
          </w:p>
          <w:p w:rsidR="00190166" w:rsidRPr="006947EC" w:rsidRDefault="00190166" w:rsidP="006D699D">
            <w:pPr>
              <w:shd w:val="clear" w:color="auto" w:fill="FFFFFF"/>
              <w:spacing w:before="100" w:beforeAutospacing="1" w:after="100" w:afterAutospacing="1"/>
              <w:rPr>
                <w:rFonts w:ascii="Arial Narrow" w:hAnsi="Arial Narrow"/>
                <w:sz w:val="20"/>
                <w:lang w:val="en-US" w:eastAsia="zh-CN"/>
              </w:rPr>
            </w:pPr>
            <w:r>
              <w:rPr>
                <w:rFonts w:ascii="Arial Narrow" w:hAnsi="Arial Narrow"/>
                <w:sz w:val="20"/>
                <w:lang w:val="en-US" w:eastAsia="zh-CN"/>
              </w:rPr>
              <w:t>Patients must have,</w:t>
            </w:r>
            <w:r w:rsidRPr="000C7378">
              <w:rPr>
                <w:rFonts w:ascii="Arial Narrow" w:hAnsi="Arial Narrow"/>
                <w:sz w:val="20"/>
                <w:lang w:val="en-US" w:eastAsia="zh-CN"/>
              </w:rPr>
              <w:t xml:space="preserve"> </w:t>
            </w:r>
            <w:r>
              <w:rPr>
                <w:rFonts w:ascii="Arial Narrow" w:hAnsi="Arial Narrow"/>
                <w:sz w:val="20"/>
                <w:lang w:val="en-US" w:eastAsia="zh-CN"/>
              </w:rPr>
              <w:t>o</w:t>
            </w:r>
            <w:r w:rsidRPr="000C7378">
              <w:rPr>
                <w:rFonts w:ascii="Arial Narrow" w:hAnsi="Arial Narrow"/>
                <w:sz w:val="20"/>
                <w:lang w:val="en-US" w:eastAsia="zh-CN"/>
              </w:rPr>
              <w:t xml:space="preserve">r have had, where HbA1c measurement is clinically appropriate, blood glucose levels greater than 10 mmol per L in more than 20% of tests over a 2 weeks period prior to initiation with a gliptin, a glitazone, a glucagon-like peptide-1 or an SGLT2 inhibitor despite treatment with </w:t>
            </w:r>
            <w:r w:rsidRPr="005B4E34">
              <w:rPr>
                <w:rFonts w:ascii="Arial Narrow" w:hAnsi="Arial Narrow"/>
                <w:strike/>
                <w:sz w:val="20"/>
                <w:lang w:val="en-US" w:eastAsia="zh-CN"/>
              </w:rPr>
              <w:t>maximally tolerated doses of metformin and a sulfonylurea</w:t>
            </w:r>
            <w:r w:rsidRPr="00E00D7B">
              <w:rPr>
                <w:sz w:val="20"/>
                <w:lang w:val="en-US" w:eastAsia="zh-CN"/>
              </w:rPr>
              <w:t xml:space="preserve"> </w:t>
            </w:r>
            <w:r w:rsidRPr="000B2FEB">
              <w:rPr>
                <w:rFonts w:ascii="Arial Narrow" w:hAnsi="Arial Narrow"/>
                <w:i/>
                <w:sz w:val="20"/>
                <w:lang w:val="en-US" w:eastAsia="zh-CN"/>
              </w:rPr>
              <w:t>optimal doses of dual oral therapy.</w:t>
            </w:r>
          </w:p>
        </w:tc>
      </w:tr>
      <w:tr w:rsidR="00190166" w:rsidRPr="00260CE3"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t>Prescriber Instructions</w:t>
            </w:r>
          </w:p>
          <w:p w:rsidR="00190166" w:rsidRPr="00260CE3" w:rsidRDefault="00190166" w:rsidP="006D699D">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90166" w:rsidRDefault="00190166" w:rsidP="006D699D">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 xml:space="preserve">The date and level of the qualifying HbA1c must be, or must have been, documented in the patient's medical records at the time treatment with a dipeptidyl peptidase 4 inhibitor (gliptin), a thiazolidinedione (glitazone), a glucagon-like peptide-1 or a sodium-glucose co-transporter 2 (SGLT2) is initiated. </w:t>
            </w:r>
          </w:p>
          <w:p w:rsidR="00190166" w:rsidRPr="000C7378" w:rsidRDefault="00190166" w:rsidP="006D699D">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The HbA1c must be no more than 4 months old at the time treatment with a gliptin, a glitazone, a glucagon-like peptide-1 or n SGLT2 inhibitor was initiated.</w:t>
            </w:r>
          </w:p>
          <w:p w:rsidR="00190166" w:rsidRPr="000C7378" w:rsidRDefault="00190166" w:rsidP="006D699D">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 xml:space="preserve">Blood glucose monitoring may be used as an alternative assessment to HbA1c levels in the following circumstances: </w:t>
            </w:r>
          </w:p>
          <w:p w:rsidR="00190166" w:rsidRPr="000C7378" w:rsidRDefault="00190166" w:rsidP="006D699D">
            <w:pPr>
              <w:shd w:val="clear" w:color="auto" w:fill="FFFFFF"/>
              <w:spacing w:before="100" w:beforeAutospacing="1" w:after="100" w:afterAutospacing="1"/>
              <w:ind w:left="720"/>
              <w:rPr>
                <w:rFonts w:ascii="Arial Narrow" w:hAnsi="Arial Narrow"/>
                <w:sz w:val="20"/>
                <w:lang w:val="en-US" w:eastAsia="zh-CN"/>
              </w:rPr>
            </w:pPr>
            <w:r w:rsidRPr="000C7378">
              <w:rPr>
                <w:rFonts w:ascii="Arial Narrow" w:hAnsi="Arial Narrow"/>
                <w:sz w:val="20"/>
                <w:lang w:val="en-US" w:eastAsia="zh-CN"/>
              </w:rPr>
              <w:t xml:space="preserve">(a) clinical conditions with reduced red blood cell survival, including haemolytic anaemias and haemoglobinopathies; and/or </w:t>
            </w:r>
          </w:p>
          <w:p w:rsidR="00190166" w:rsidRPr="000C7378" w:rsidRDefault="00190166" w:rsidP="006D699D">
            <w:pPr>
              <w:shd w:val="clear" w:color="auto" w:fill="FFFFFF"/>
              <w:spacing w:before="100" w:beforeAutospacing="1" w:after="100" w:afterAutospacing="1"/>
              <w:ind w:left="720"/>
              <w:rPr>
                <w:rFonts w:ascii="Arial Narrow" w:hAnsi="Arial Narrow"/>
                <w:sz w:val="20"/>
                <w:lang w:val="en-US" w:eastAsia="zh-CN"/>
              </w:rPr>
            </w:pPr>
            <w:r w:rsidRPr="000C7378">
              <w:rPr>
                <w:rFonts w:ascii="Arial Narrow" w:hAnsi="Arial Narrow"/>
                <w:sz w:val="20"/>
                <w:lang w:val="en-US" w:eastAsia="zh-CN"/>
              </w:rPr>
              <w:t xml:space="preserve">(b) </w:t>
            </w:r>
            <w:proofErr w:type="gramStart"/>
            <w:r>
              <w:rPr>
                <w:rFonts w:ascii="Arial Narrow" w:hAnsi="Arial Narrow"/>
                <w:sz w:val="20"/>
                <w:lang w:val="en-US" w:eastAsia="zh-CN"/>
              </w:rPr>
              <w:t>had</w:t>
            </w:r>
            <w:proofErr w:type="gramEnd"/>
            <w:r>
              <w:rPr>
                <w:rFonts w:ascii="Arial Narrow" w:hAnsi="Arial Narrow"/>
                <w:sz w:val="20"/>
                <w:lang w:val="en-US" w:eastAsia="zh-CN"/>
              </w:rPr>
              <w:t xml:space="preserve"> </w:t>
            </w:r>
            <w:r w:rsidRPr="000C7378">
              <w:rPr>
                <w:rFonts w:ascii="Arial Narrow" w:hAnsi="Arial Narrow"/>
                <w:sz w:val="20"/>
                <w:lang w:val="en-US" w:eastAsia="zh-CN"/>
              </w:rPr>
              <w:t xml:space="preserve">red cell transfusion within the previous 3 months. </w:t>
            </w:r>
          </w:p>
          <w:p w:rsidR="00190166" w:rsidRPr="000C7378" w:rsidRDefault="00190166" w:rsidP="006D699D">
            <w:pPr>
              <w:shd w:val="clear" w:color="auto" w:fill="FFFFFF"/>
              <w:spacing w:after="120"/>
              <w:rPr>
                <w:rFonts w:ascii="Arial Narrow" w:hAnsi="Arial Narrow"/>
                <w:sz w:val="20"/>
                <w:lang w:val="en-US" w:eastAsia="zh-CN"/>
              </w:rPr>
            </w:pPr>
            <w:r w:rsidRPr="000C7378">
              <w:rPr>
                <w:rFonts w:ascii="Arial Narrow" w:hAnsi="Arial Narrow"/>
                <w:sz w:val="20"/>
                <w:lang w:val="en-US" w:eastAsia="zh-CN"/>
              </w:rPr>
              <w:t xml:space="preserve">The results of the blood glucose monitoring, which must be no more than 4 months old at the time of initiation of treatment with a gliptin, a glitazone, a glucagon-like peptide-1 or an SGLT2 inhibitor, must be document in the patient’s medical records. </w:t>
            </w:r>
          </w:p>
          <w:p w:rsidR="00190166" w:rsidRPr="000C7378" w:rsidRDefault="00190166" w:rsidP="006D699D">
            <w:pPr>
              <w:shd w:val="clear" w:color="auto" w:fill="FFFFFF"/>
              <w:spacing w:after="120"/>
              <w:rPr>
                <w:rFonts w:ascii="Arial Narrow" w:hAnsi="Arial Narrow"/>
                <w:sz w:val="20"/>
                <w:lang w:val="en-US" w:eastAsia="zh-CN"/>
              </w:rPr>
            </w:pPr>
            <w:r w:rsidRPr="000C7378">
              <w:rPr>
                <w:rFonts w:ascii="Arial Narrow" w:hAnsi="Arial Narrow"/>
                <w:sz w:val="20"/>
                <w:lang w:val="en-US" w:eastAsia="zh-CN"/>
              </w:rPr>
              <w:t>A patient whose diabetes was previously demonstrated unable to be controlled with metformin or a sul</w:t>
            </w:r>
            <w:r>
              <w:rPr>
                <w:rFonts w:ascii="Arial Narrow" w:hAnsi="Arial Narrow"/>
                <w:sz w:val="20"/>
                <w:lang w:val="en-US" w:eastAsia="zh-CN"/>
              </w:rPr>
              <w:t>f</w:t>
            </w:r>
            <w:r w:rsidRPr="000C7378">
              <w:rPr>
                <w:rFonts w:ascii="Arial Narrow" w:hAnsi="Arial Narrow"/>
                <w:sz w:val="20"/>
                <w:lang w:val="en-US" w:eastAsia="zh-CN"/>
              </w:rPr>
              <w:t>onylurea does not need to requalify on this criterion before being eligible for PBS-subsidised treatment with</w:t>
            </w:r>
            <w:r>
              <w:rPr>
                <w:rFonts w:ascii="Arial Narrow" w:hAnsi="Arial Narrow"/>
                <w:sz w:val="20"/>
                <w:lang w:val="en-US" w:eastAsia="zh-CN"/>
              </w:rPr>
              <w:t xml:space="preserve"> this drug</w:t>
            </w:r>
            <w:r w:rsidRPr="000C7378">
              <w:rPr>
                <w:rFonts w:ascii="Arial Narrow" w:hAnsi="Arial Narrow"/>
                <w:sz w:val="20"/>
                <w:lang w:val="en-US" w:eastAsia="zh-CN"/>
              </w:rPr>
              <w:t>.</w:t>
            </w:r>
          </w:p>
          <w:p w:rsidR="00190166" w:rsidRPr="00260CE3" w:rsidRDefault="00190166" w:rsidP="006D699D">
            <w:pPr>
              <w:rPr>
                <w:rFonts w:ascii="Arial Narrow" w:hAnsi="Arial Narrow"/>
                <w:sz w:val="20"/>
              </w:rPr>
            </w:pPr>
          </w:p>
        </w:tc>
      </w:tr>
      <w:tr w:rsidR="00190166" w:rsidRPr="00260CE3" w:rsidTr="00BC5505">
        <w:trPr>
          <w:cantSplit/>
          <w:trHeight w:val="1213"/>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lastRenderedPageBreak/>
              <w:t>Administrative Advice</w:t>
            </w:r>
          </w:p>
          <w:p w:rsidR="00190166" w:rsidRPr="00260CE3" w:rsidRDefault="00190166" w:rsidP="006D699D">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C5505" w:rsidRPr="00F22788" w:rsidRDefault="00BC5505" w:rsidP="00BC5505">
            <w:pPr>
              <w:rPr>
                <w:rFonts w:ascii="Arial Narrow" w:hAnsi="Arial Narrow"/>
                <w:i/>
                <w:sz w:val="20"/>
                <w:u w:val="single"/>
                <w:lang w:val="en-US" w:eastAsia="zh-CN"/>
              </w:rPr>
            </w:pPr>
            <w:r w:rsidRPr="00F22788">
              <w:rPr>
                <w:rFonts w:ascii="Arial Narrow" w:hAnsi="Arial Narrow"/>
                <w:i/>
                <w:sz w:val="20"/>
                <w:u w:val="single"/>
                <w:lang w:val="en-US" w:eastAsia="zh-CN"/>
              </w:rPr>
              <w:t>Continuing Therapy Only:</w:t>
            </w:r>
          </w:p>
          <w:p w:rsidR="00BC5505" w:rsidRPr="00BC5505" w:rsidRDefault="00BC5505" w:rsidP="00BC5505">
            <w:pPr>
              <w:rPr>
                <w:rFonts w:ascii="Arial Narrow" w:hAnsi="Arial Narrow"/>
                <w:i/>
                <w:sz w:val="20"/>
                <w:lang w:val="en-US" w:eastAsia="zh-CN"/>
              </w:rPr>
            </w:pPr>
            <w:r w:rsidRPr="00BC5505">
              <w:rPr>
                <w:rFonts w:ascii="Arial Narrow" w:hAnsi="Arial Narrow"/>
                <w:i/>
                <w:sz w:val="20"/>
                <w:lang w:val="en-US" w:eastAsia="zh-CN"/>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BC5505" w:rsidRDefault="00BC5505" w:rsidP="006D699D">
            <w:pPr>
              <w:rPr>
                <w:rFonts w:ascii="Arial Narrow" w:hAnsi="Arial Narrow"/>
                <w:sz w:val="20"/>
                <w:lang w:val="en-US" w:eastAsia="zh-CN"/>
              </w:rPr>
            </w:pPr>
          </w:p>
          <w:p w:rsidR="00190166" w:rsidRDefault="00190166" w:rsidP="006D699D">
            <w:pPr>
              <w:rPr>
                <w:rFonts w:ascii="Arial Narrow" w:hAnsi="Arial Narrow"/>
                <w:sz w:val="20"/>
                <w:lang w:val="en-US" w:eastAsia="zh-CN"/>
              </w:rPr>
            </w:pPr>
            <w:r w:rsidRPr="007C46F9">
              <w:rPr>
                <w:rFonts w:ascii="Arial Narrow" w:hAnsi="Arial Narrow"/>
                <w:sz w:val="20"/>
                <w:lang w:val="en-US" w:eastAsia="zh-CN"/>
              </w:rPr>
              <w:t>This drug is not PBS-subsidised for use as monotherapy or in combination with a thiazolidinedione (glitazone), a glucagon</w:t>
            </w:r>
            <w:r>
              <w:rPr>
                <w:rFonts w:ascii="Arial Narrow" w:hAnsi="Arial Narrow"/>
                <w:sz w:val="20"/>
                <w:lang w:val="en-US" w:eastAsia="zh-CN"/>
              </w:rPr>
              <w:t>-</w:t>
            </w:r>
            <w:r w:rsidRPr="007C46F9">
              <w:rPr>
                <w:rFonts w:ascii="Arial Narrow" w:hAnsi="Arial Narrow"/>
                <w:sz w:val="20"/>
                <w:lang w:val="en-US" w:eastAsia="zh-CN"/>
              </w:rPr>
              <w:t>like peptide-1 or an SGLT</w:t>
            </w:r>
            <w:r w:rsidR="008F242A">
              <w:rPr>
                <w:rFonts w:ascii="Arial Narrow" w:hAnsi="Arial Narrow"/>
                <w:sz w:val="20"/>
                <w:lang w:val="en-US" w:eastAsia="zh-CN"/>
              </w:rPr>
              <w:t>2</w:t>
            </w:r>
            <w:r w:rsidRPr="007C46F9">
              <w:rPr>
                <w:rFonts w:ascii="Arial Narrow" w:hAnsi="Arial Narrow"/>
                <w:sz w:val="20"/>
                <w:lang w:val="en-US" w:eastAsia="zh-CN"/>
              </w:rPr>
              <w:t>-inhibitor</w:t>
            </w:r>
          </w:p>
          <w:p w:rsidR="00190166" w:rsidRDefault="00190166" w:rsidP="006D699D">
            <w:pPr>
              <w:rPr>
                <w:rFonts w:ascii="Arial Narrow" w:hAnsi="Arial Narrow"/>
                <w:sz w:val="20"/>
                <w:lang w:val="en-US" w:eastAsia="zh-CN"/>
              </w:rPr>
            </w:pPr>
          </w:p>
          <w:p w:rsidR="00190166" w:rsidRPr="00CF374E" w:rsidRDefault="00190166" w:rsidP="006D699D">
            <w:pPr>
              <w:rPr>
                <w:rFonts w:ascii="Arial Narrow" w:hAnsi="Arial Narrow"/>
                <w:i/>
                <w:sz w:val="20"/>
              </w:rPr>
            </w:pPr>
            <w:r w:rsidRPr="00CF374E">
              <w:rPr>
                <w:rFonts w:ascii="Arial Narrow" w:hAnsi="Arial Narrow"/>
                <w:i/>
                <w:sz w:val="20"/>
              </w:rPr>
              <w:t>PBS subsidised dual oral therapy does not include concomitant use of two of either: a gliptin, a glitazone or an SGLT2 inhibitor.</w:t>
            </w:r>
          </w:p>
        </w:tc>
      </w:tr>
    </w:tbl>
    <w:p w:rsidR="00190166" w:rsidRDefault="00190166" w:rsidP="00190166">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190166" w:rsidRPr="00260CE3" w:rsidTr="006D699D">
        <w:trPr>
          <w:cantSplit/>
          <w:trHeight w:val="471"/>
        </w:trPr>
        <w:tc>
          <w:tcPr>
            <w:tcW w:w="3261" w:type="dxa"/>
            <w:gridSpan w:val="2"/>
            <w:tcBorders>
              <w:bottom w:val="single" w:sz="4" w:space="0" w:color="auto"/>
            </w:tcBorders>
          </w:tcPr>
          <w:p w:rsidR="00190166" w:rsidRPr="00260CE3" w:rsidRDefault="00190166" w:rsidP="006D699D">
            <w:pPr>
              <w:keepNext/>
              <w:ind w:left="-108"/>
              <w:rPr>
                <w:rFonts w:ascii="Arial Narrow" w:hAnsi="Arial Narrow"/>
                <w:sz w:val="20"/>
              </w:rPr>
            </w:pPr>
            <w:r w:rsidRPr="00260CE3">
              <w:rPr>
                <w:rFonts w:ascii="Arial Narrow" w:hAnsi="Arial Narrow"/>
                <w:sz w:val="20"/>
              </w:rPr>
              <w:t>Name, Restriction,</w:t>
            </w:r>
          </w:p>
          <w:p w:rsidR="00190166" w:rsidRPr="00260CE3" w:rsidRDefault="00190166" w:rsidP="006D699D">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190166" w:rsidRPr="00260CE3" w:rsidRDefault="00190166" w:rsidP="006D699D">
            <w:pPr>
              <w:keepNext/>
              <w:ind w:left="-108"/>
              <w:rPr>
                <w:rFonts w:ascii="Arial Narrow" w:hAnsi="Arial Narrow"/>
                <w:sz w:val="20"/>
              </w:rPr>
            </w:pPr>
            <w:r w:rsidRPr="00260CE3">
              <w:rPr>
                <w:rFonts w:ascii="Arial Narrow" w:hAnsi="Arial Narrow"/>
                <w:sz w:val="20"/>
              </w:rPr>
              <w:t>Max.</w:t>
            </w:r>
          </w:p>
          <w:p w:rsidR="00190166" w:rsidRPr="00260CE3" w:rsidRDefault="00190166" w:rsidP="006D699D">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190166" w:rsidRPr="00260CE3" w:rsidRDefault="00190166" w:rsidP="006D699D">
            <w:pPr>
              <w:keepNext/>
              <w:ind w:left="-108"/>
              <w:rPr>
                <w:rFonts w:ascii="Arial Narrow" w:hAnsi="Arial Narrow"/>
                <w:sz w:val="20"/>
              </w:rPr>
            </w:pPr>
            <w:r w:rsidRPr="00260CE3">
              <w:rPr>
                <w:rFonts w:ascii="Arial Narrow" w:hAnsi="Arial Narrow"/>
                <w:sz w:val="20"/>
              </w:rPr>
              <w:t>№.of</w:t>
            </w:r>
          </w:p>
          <w:p w:rsidR="00190166" w:rsidRPr="00260CE3" w:rsidRDefault="00190166" w:rsidP="006D699D">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190166" w:rsidRPr="00260CE3" w:rsidRDefault="00190166" w:rsidP="006D699D">
            <w:pPr>
              <w:keepNext/>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190166" w:rsidRPr="00260CE3" w:rsidRDefault="00190166" w:rsidP="006D699D">
            <w:pPr>
              <w:keepNext/>
              <w:rPr>
                <w:rFonts w:ascii="Arial Narrow" w:hAnsi="Arial Narrow"/>
                <w:sz w:val="20"/>
                <w:lang w:val="fr-FR"/>
              </w:rPr>
            </w:pPr>
            <w:r w:rsidRPr="00260CE3">
              <w:rPr>
                <w:rFonts w:ascii="Arial Narrow" w:hAnsi="Arial Narrow"/>
                <w:sz w:val="20"/>
              </w:rPr>
              <w:t>Proprietary Name and Manufacturer</w:t>
            </w:r>
          </w:p>
        </w:tc>
      </w:tr>
      <w:tr w:rsidR="00190166" w:rsidRPr="002765AE" w:rsidTr="001C7BDC">
        <w:trPr>
          <w:cantSplit/>
          <w:trHeight w:val="577"/>
        </w:trPr>
        <w:tc>
          <w:tcPr>
            <w:tcW w:w="3261" w:type="dxa"/>
            <w:gridSpan w:val="2"/>
          </w:tcPr>
          <w:p w:rsidR="00190166" w:rsidRPr="002765AE" w:rsidRDefault="00190166" w:rsidP="006D699D">
            <w:pPr>
              <w:keepNext/>
              <w:rPr>
                <w:rFonts w:ascii="Arial Narrow" w:hAnsi="Arial Narrow"/>
                <w:smallCaps/>
                <w:sz w:val="20"/>
              </w:rPr>
            </w:pPr>
            <w:r w:rsidRPr="002765AE">
              <w:rPr>
                <w:rFonts w:ascii="Arial Narrow" w:hAnsi="Arial Narrow"/>
                <w:smallCaps/>
                <w:sz w:val="20"/>
              </w:rPr>
              <w:t>Vildagliptin/Metformin</w:t>
            </w:r>
          </w:p>
          <w:p w:rsidR="00190166" w:rsidRPr="002765AE" w:rsidRDefault="00190166" w:rsidP="006D699D">
            <w:pPr>
              <w:keepNext/>
              <w:rPr>
                <w:rFonts w:ascii="Arial Narrow" w:hAnsi="Arial Narrow"/>
                <w:sz w:val="20"/>
              </w:rPr>
            </w:pPr>
            <w:r w:rsidRPr="002765AE">
              <w:rPr>
                <w:rFonts w:ascii="Arial Narrow" w:hAnsi="Arial Narrow"/>
                <w:sz w:val="20"/>
              </w:rPr>
              <w:t>Tablet 50mg/500mg</w:t>
            </w:r>
          </w:p>
          <w:p w:rsidR="00190166" w:rsidRPr="002765AE" w:rsidRDefault="00190166" w:rsidP="006D699D">
            <w:pPr>
              <w:keepNext/>
              <w:rPr>
                <w:rFonts w:ascii="Arial Narrow" w:hAnsi="Arial Narrow"/>
                <w:sz w:val="20"/>
              </w:rPr>
            </w:pPr>
            <w:r w:rsidRPr="002765AE">
              <w:rPr>
                <w:rFonts w:ascii="Arial Narrow" w:hAnsi="Arial Narrow"/>
                <w:sz w:val="20"/>
              </w:rPr>
              <w:t>Tablet 50mg/850mg</w:t>
            </w:r>
          </w:p>
          <w:p w:rsidR="00190166" w:rsidRPr="002765AE" w:rsidRDefault="00190166" w:rsidP="006D699D">
            <w:pPr>
              <w:keepNext/>
              <w:rPr>
                <w:rFonts w:ascii="Arial Narrow" w:hAnsi="Arial Narrow"/>
                <w:sz w:val="20"/>
              </w:rPr>
            </w:pPr>
            <w:r w:rsidRPr="002765AE">
              <w:rPr>
                <w:rFonts w:ascii="Arial Narrow" w:hAnsi="Arial Narrow"/>
                <w:sz w:val="20"/>
              </w:rPr>
              <w:t>Tablet 50mg/1000mg</w:t>
            </w:r>
          </w:p>
        </w:tc>
        <w:tc>
          <w:tcPr>
            <w:tcW w:w="567" w:type="dxa"/>
          </w:tcPr>
          <w:p w:rsidR="00190166" w:rsidRDefault="00190166" w:rsidP="006D699D">
            <w:pPr>
              <w:keepNext/>
              <w:rPr>
                <w:rFonts w:ascii="Arial Narrow" w:hAnsi="Arial Narrow"/>
                <w:sz w:val="20"/>
              </w:rPr>
            </w:pPr>
          </w:p>
          <w:p w:rsidR="00190166" w:rsidRPr="002765AE" w:rsidRDefault="00190166" w:rsidP="006D699D">
            <w:pPr>
              <w:keepNext/>
              <w:rPr>
                <w:rFonts w:ascii="Arial Narrow" w:hAnsi="Arial Narrow"/>
                <w:sz w:val="20"/>
              </w:rPr>
            </w:pPr>
            <w:r w:rsidRPr="002765AE">
              <w:rPr>
                <w:rFonts w:ascii="Arial Narrow" w:hAnsi="Arial Narrow"/>
                <w:sz w:val="20"/>
              </w:rPr>
              <w:t>60</w:t>
            </w:r>
          </w:p>
          <w:p w:rsidR="00190166" w:rsidRPr="002765AE" w:rsidRDefault="00190166" w:rsidP="006D699D">
            <w:pPr>
              <w:keepNext/>
              <w:rPr>
                <w:rFonts w:ascii="Arial Narrow" w:hAnsi="Arial Narrow"/>
                <w:sz w:val="20"/>
              </w:rPr>
            </w:pPr>
            <w:r w:rsidRPr="002765AE">
              <w:rPr>
                <w:rFonts w:ascii="Arial Narrow" w:hAnsi="Arial Narrow"/>
                <w:sz w:val="20"/>
              </w:rPr>
              <w:t>60</w:t>
            </w:r>
          </w:p>
          <w:p w:rsidR="00190166" w:rsidRPr="002765AE" w:rsidRDefault="00190166" w:rsidP="006D699D">
            <w:pPr>
              <w:keepNext/>
              <w:rPr>
                <w:rFonts w:ascii="Arial Narrow" w:hAnsi="Arial Narrow"/>
                <w:sz w:val="20"/>
              </w:rPr>
            </w:pPr>
            <w:r w:rsidRPr="002765AE">
              <w:rPr>
                <w:rFonts w:ascii="Arial Narrow" w:hAnsi="Arial Narrow"/>
                <w:sz w:val="20"/>
              </w:rPr>
              <w:t>60</w:t>
            </w:r>
          </w:p>
        </w:tc>
        <w:tc>
          <w:tcPr>
            <w:tcW w:w="850" w:type="dxa"/>
          </w:tcPr>
          <w:p w:rsidR="00190166" w:rsidRDefault="00190166" w:rsidP="006D699D">
            <w:pPr>
              <w:keepNext/>
              <w:rPr>
                <w:rFonts w:ascii="Arial Narrow" w:hAnsi="Arial Narrow"/>
                <w:sz w:val="20"/>
              </w:rPr>
            </w:pPr>
          </w:p>
          <w:p w:rsidR="00190166" w:rsidRPr="002765AE" w:rsidRDefault="00190166" w:rsidP="006D699D">
            <w:pPr>
              <w:keepNext/>
              <w:rPr>
                <w:rFonts w:ascii="Arial Narrow" w:hAnsi="Arial Narrow"/>
                <w:sz w:val="20"/>
              </w:rPr>
            </w:pPr>
            <w:r w:rsidRPr="002765AE">
              <w:rPr>
                <w:rFonts w:ascii="Arial Narrow" w:hAnsi="Arial Narrow"/>
                <w:sz w:val="20"/>
              </w:rPr>
              <w:t>5</w:t>
            </w:r>
          </w:p>
          <w:p w:rsidR="00190166" w:rsidRPr="002765AE" w:rsidRDefault="00190166" w:rsidP="006D699D">
            <w:pPr>
              <w:keepNext/>
              <w:rPr>
                <w:rFonts w:ascii="Arial Narrow" w:hAnsi="Arial Narrow"/>
                <w:sz w:val="20"/>
              </w:rPr>
            </w:pPr>
            <w:r w:rsidRPr="002765AE">
              <w:rPr>
                <w:rFonts w:ascii="Arial Narrow" w:hAnsi="Arial Narrow"/>
                <w:sz w:val="20"/>
              </w:rPr>
              <w:t>5</w:t>
            </w:r>
          </w:p>
          <w:p w:rsidR="00190166" w:rsidRPr="002765AE" w:rsidRDefault="00190166" w:rsidP="006D699D">
            <w:pPr>
              <w:keepNext/>
              <w:rPr>
                <w:rFonts w:ascii="Arial Narrow" w:hAnsi="Arial Narrow"/>
                <w:sz w:val="20"/>
              </w:rPr>
            </w:pPr>
            <w:r w:rsidRPr="002765AE">
              <w:rPr>
                <w:rFonts w:ascii="Arial Narrow" w:hAnsi="Arial Narrow"/>
                <w:sz w:val="20"/>
              </w:rPr>
              <w:t>5</w:t>
            </w:r>
          </w:p>
        </w:tc>
        <w:tc>
          <w:tcPr>
            <w:tcW w:w="1701" w:type="dxa"/>
          </w:tcPr>
          <w:p w:rsidR="00190166" w:rsidRDefault="00190166" w:rsidP="006D699D">
            <w:pPr>
              <w:keepNext/>
              <w:rPr>
                <w:rFonts w:ascii="Arial Narrow" w:hAnsi="Arial Narrow"/>
                <w:sz w:val="20"/>
              </w:rPr>
            </w:pPr>
          </w:p>
          <w:p w:rsidR="00190166" w:rsidRPr="002F7E56" w:rsidRDefault="002F7E56" w:rsidP="006D699D">
            <w:pPr>
              <w:keepNext/>
              <w:rPr>
                <w:rFonts w:ascii="Arial Narrow" w:hAnsi="Arial Narrow"/>
                <w:i/>
                <w:sz w:val="20"/>
              </w:rPr>
            </w:pPr>
            <w:r>
              <w:rPr>
                <w:rFonts w:ascii="Arial Narrow" w:hAnsi="Arial Narrow"/>
                <w:strike/>
                <w:noProof/>
                <w:color w:val="000000"/>
                <w:sz w:val="20"/>
                <w:highlight w:val="black"/>
              </w:rPr>
              <w:t xml:space="preserve">'''''''''''''''' </w:t>
            </w:r>
            <w:r>
              <w:rPr>
                <w:rFonts w:ascii="Arial Narrow" w:hAnsi="Arial Narrow"/>
                <w:i/>
                <w:noProof/>
                <w:color w:val="000000"/>
                <w:sz w:val="20"/>
                <w:highlight w:val="black"/>
              </w:rPr>
              <w:t>'''''''''''''''</w:t>
            </w:r>
          </w:p>
          <w:p w:rsidR="007202B2" w:rsidRPr="002F7E56" w:rsidRDefault="002F7E56" w:rsidP="006D699D">
            <w:pPr>
              <w:keepNext/>
              <w:rPr>
                <w:rFonts w:ascii="Arial Narrow" w:hAnsi="Arial Narrow"/>
                <w:i/>
                <w:sz w:val="20"/>
                <w:highlight w:val="black"/>
              </w:rPr>
            </w:pPr>
            <w:r>
              <w:rPr>
                <w:rFonts w:ascii="Arial Narrow" w:hAnsi="Arial Narrow"/>
                <w:i/>
                <w:noProof/>
                <w:color w:val="000000"/>
                <w:sz w:val="20"/>
                <w:highlight w:val="black"/>
              </w:rPr>
              <w:t>''''''''''''''''</w:t>
            </w:r>
          </w:p>
          <w:p w:rsidR="00190166" w:rsidRPr="002F7E56" w:rsidRDefault="002F7E56" w:rsidP="006D699D">
            <w:pPr>
              <w:keepNext/>
              <w:rPr>
                <w:rFonts w:ascii="Arial Narrow" w:hAnsi="Arial Narrow"/>
                <w:i/>
                <w:sz w:val="20"/>
              </w:rPr>
            </w:pPr>
            <w:r>
              <w:rPr>
                <w:rFonts w:ascii="Arial Narrow" w:hAnsi="Arial Narrow"/>
                <w:strike/>
                <w:noProof/>
                <w:color w:val="000000"/>
                <w:sz w:val="20"/>
                <w:highlight w:val="black"/>
              </w:rPr>
              <w:t xml:space="preserve">''''''''''''''''' </w:t>
            </w:r>
            <w:r>
              <w:rPr>
                <w:rFonts w:ascii="Arial Narrow" w:hAnsi="Arial Narrow"/>
                <w:i/>
                <w:noProof/>
                <w:color w:val="000000"/>
                <w:sz w:val="20"/>
                <w:highlight w:val="black"/>
              </w:rPr>
              <w:t>'''''''''''''''</w:t>
            </w:r>
          </w:p>
          <w:p w:rsidR="007202B2" w:rsidRPr="002F7E56" w:rsidRDefault="002F7E56" w:rsidP="006D699D">
            <w:pPr>
              <w:keepNext/>
              <w:rPr>
                <w:rFonts w:ascii="Arial Narrow" w:hAnsi="Arial Narrow"/>
                <w:strike/>
                <w:sz w:val="20"/>
                <w:highlight w:val="black"/>
              </w:rPr>
            </w:pPr>
            <w:r>
              <w:rPr>
                <w:rFonts w:ascii="Arial Narrow" w:hAnsi="Arial Narrow"/>
                <w:i/>
                <w:noProof/>
                <w:color w:val="000000"/>
                <w:sz w:val="20"/>
                <w:highlight w:val="black"/>
              </w:rPr>
              <w:t>'''''''''''''''</w:t>
            </w:r>
          </w:p>
          <w:p w:rsidR="008C1AC1" w:rsidRPr="002F7E56" w:rsidRDefault="002F7E56" w:rsidP="007202B2">
            <w:pPr>
              <w:keepNext/>
              <w:rPr>
                <w:rFonts w:ascii="Arial Narrow" w:hAnsi="Arial Narrow"/>
                <w:i/>
                <w:sz w:val="20"/>
              </w:rPr>
            </w:pPr>
            <w:r>
              <w:rPr>
                <w:rFonts w:ascii="Arial Narrow" w:hAnsi="Arial Narrow"/>
                <w:strike/>
                <w:noProof/>
                <w:color w:val="000000"/>
                <w:sz w:val="20"/>
                <w:highlight w:val="black"/>
              </w:rPr>
              <w:t xml:space="preserve">''''''''''''''''' </w:t>
            </w:r>
            <w:r>
              <w:rPr>
                <w:rFonts w:ascii="Arial Narrow" w:hAnsi="Arial Narrow"/>
                <w:i/>
                <w:noProof/>
                <w:color w:val="000000"/>
                <w:sz w:val="20"/>
                <w:highlight w:val="black"/>
              </w:rPr>
              <w:t>'''''''''''''''</w:t>
            </w:r>
          </w:p>
          <w:p w:rsidR="007202B2" w:rsidRPr="002F7E56" w:rsidRDefault="002F7E56" w:rsidP="007202B2">
            <w:pPr>
              <w:keepNext/>
              <w:rPr>
                <w:rFonts w:ascii="Arial Narrow" w:hAnsi="Arial Narrow"/>
                <w:sz w:val="20"/>
                <w:highlight w:val="black"/>
              </w:rPr>
            </w:pPr>
            <w:r>
              <w:rPr>
                <w:rFonts w:ascii="Arial Narrow" w:hAnsi="Arial Narrow"/>
                <w:i/>
                <w:noProof/>
                <w:color w:val="000000"/>
                <w:sz w:val="20"/>
                <w:highlight w:val="black"/>
              </w:rPr>
              <w:t>''''''''''''''''</w:t>
            </w:r>
          </w:p>
        </w:tc>
        <w:tc>
          <w:tcPr>
            <w:tcW w:w="1559" w:type="dxa"/>
            <w:vAlign w:val="center"/>
          </w:tcPr>
          <w:p w:rsidR="00190166" w:rsidRPr="002765AE" w:rsidRDefault="00190166" w:rsidP="001C7BDC">
            <w:pPr>
              <w:keepNext/>
              <w:jc w:val="left"/>
              <w:rPr>
                <w:rFonts w:ascii="Arial Narrow" w:hAnsi="Arial Narrow"/>
                <w:sz w:val="20"/>
                <w:vertAlign w:val="superscript"/>
              </w:rPr>
            </w:pPr>
            <w:r w:rsidRPr="002765AE">
              <w:rPr>
                <w:rFonts w:ascii="Arial Narrow" w:hAnsi="Arial Narrow"/>
                <w:sz w:val="20"/>
              </w:rPr>
              <w:t>Galvumet</w:t>
            </w:r>
            <w:r w:rsidRPr="002765AE">
              <w:rPr>
                <w:rFonts w:ascii="Arial Narrow" w:hAnsi="Arial Narrow"/>
                <w:sz w:val="20"/>
                <w:vertAlign w:val="superscript"/>
              </w:rPr>
              <w:t>®</w:t>
            </w:r>
          </w:p>
        </w:tc>
        <w:tc>
          <w:tcPr>
            <w:tcW w:w="1276" w:type="dxa"/>
            <w:vAlign w:val="center"/>
          </w:tcPr>
          <w:p w:rsidR="00190166" w:rsidRPr="002765AE" w:rsidRDefault="00190166" w:rsidP="006D699D">
            <w:pPr>
              <w:keepNext/>
              <w:rPr>
                <w:rFonts w:ascii="Arial Narrow" w:hAnsi="Arial Narrow"/>
                <w:sz w:val="20"/>
              </w:rPr>
            </w:pPr>
            <w:r w:rsidRPr="002765AE">
              <w:rPr>
                <w:rFonts w:ascii="Arial Narrow" w:hAnsi="Arial Narrow"/>
                <w:sz w:val="20"/>
              </w:rPr>
              <w:t>Novartis</w:t>
            </w:r>
          </w:p>
        </w:tc>
      </w:tr>
      <w:tr w:rsidR="00190166" w:rsidRPr="00260CE3"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190166" w:rsidRPr="00260CE3" w:rsidRDefault="00190166" w:rsidP="001C7BDC">
            <w:pPr>
              <w:rPr>
                <w:rFonts w:ascii="Arial Narrow" w:hAnsi="Arial Narrow"/>
                <w:sz w:val="20"/>
              </w:rPr>
            </w:pPr>
            <w:r w:rsidRPr="00260CE3">
              <w:rPr>
                <w:rFonts w:ascii="Arial Narrow" w:hAnsi="Arial Narrow"/>
                <w:sz w:val="20"/>
              </w:rPr>
              <w:t>GENERAL – General Schedule (Code GE)</w:t>
            </w:r>
          </w:p>
        </w:tc>
      </w:tr>
      <w:tr w:rsidR="00190166" w:rsidRPr="00260CE3"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Default="00190166" w:rsidP="006D699D">
            <w:pPr>
              <w:rPr>
                <w:rFonts w:ascii="Arial Narrow" w:hAnsi="Arial Narrow"/>
                <w:b/>
                <w:sz w:val="20"/>
              </w:rPr>
            </w:pPr>
            <w:r w:rsidRPr="00260CE3">
              <w:rPr>
                <w:rFonts w:ascii="Arial Narrow" w:hAnsi="Arial Narrow"/>
                <w:b/>
                <w:sz w:val="20"/>
              </w:rPr>
              <w:t>Prescriber type:</w:t>
            </w:r>
          </w:p>
          <w:p w:rsidR="00190166" w:rsidRPr="00340D66" w:rsidRDefault="00190166" w:rsidP="006D699D">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90166" w:rsidRPr="00260CE3" w:rsidRDefault="00F12313" w:rsidP="006D699D">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sidR="00190166">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190166" w:rsidRPr="00260CE3">
              <w:rPr>
                <w:rFonts w:ascii="Arial Narrow" w:hAnsi="Arial Narrow"/>
                <w:sz w:val="20"/>
              </w:rPr>
              <w:t xml:space="preserve">Medical Practitioners  </w:t>
            </w:r>
            <w:r>
              <w:rPr>
                <w:rFonts w:ascii="Arial Narrow" w:hAnsi="Arial Narrow"/>
                <w:sz w:val="20"/>
              </w:rPr>
              <w:fldChar w:fldCharType="begin">
                <w:ffData>
                  <w:name w:val=""/>
                  <w:enabled/>
                  <w:calcOnExit w:val="0"/>
                  <w:checkBox>
                    <w:sizeAuto/>
                    <w:default w:val="1"/>
                  </w:checkBox>
                </w:ffData>
              </w:fldChar>
            </w:r>
            <w:r w:rsidR="00190166">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190166" w:rsidRPr="00260CE3">
              <w:rPr>
                <w:rFonts w:ascii="Arial Narrow" w:hAnsi="Arial Narrow"/>
                <w:sz w:val="20"/>
              </w:rPr>
              <w:t xml:space="preserve">Nurse practitioners  </w:t>
            </w:r>
          </w:p>
          <w:p w:rsidR="00190166" w:rsidRPr="00260CE3" w:rsidRDefault="00190166" w:rsidP="006D699D">
            <w:pPr>
              <w:rPr>
                <w:rFonts w:ascii="Arial Narrow" w:hAnsi="Arial Narrow"/>
                <w:sz w:val="20"/>
              </w:rPr>
            </w:pPr>
          </w:p>
        </w:tc>
      </w:tr>
      <w:tr w:rsidR="00190166" w:rsidRPr="00260CE3"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sz w:val="20"/>
              </w:rPr>
            </w:pPr>
            <w:r>
              <w:rPr>
                <w:rFonts w:ascii="Arial Narrow" w:hAnsi="Arial Narrow"/>
                <w:sz w:val="20"/>
              </w:rPr>
              <w:t>Diabetes mellitus type 2</w:t>
            </w:r>
          </w:p>
        </w:tc>
      </w:tr>
      <w:tr w:rsidR="00190166" w:rsidRPr="00260CE3"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90166" w:rsidRPr="00260CE3" w:rsidRDefault="00190166" w:rsidP="00393462">
            <w:pPr>
              <w:shd w:val="clear" w:color="auto" w:fill="FFFFFF"/>
              <w:spacing w:after="120"/>
              <w:rPr>
                <w:rFonts w:ascii="Arial Narrow" w:hAnsi="Arial Narrow"/>
                <w:sz w:val="20"/>
              </w:rPr>
            </w:pPr>
            <w:r w:rsidRPr="000C7378">
              <w:rPr>
                <w:rFonts w:ascii="Arial Narrow" w:hAnsi="Arial Narrow"/>
                <w:sz w:val="20"/>
                <w:lang w:val="en-US" w:eastAsia="zh-CN"/>
              </w:rPr>
              <w:t>Diabetes mellitus type 2</w:t>
            </w:r>
          </w:p>
        </w:tc>
      </w:tr>
      <w:tr w:rsidR="00190166" w:rsidRPr="00260CE3"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1C7BDC" w:rsidRDefault="00190166" w:rsidP="006D699D">
            <w:pPr>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90166" w:rsidRPr="00260CE3" w:rsidRDefault="008F242A" w:rsidP="006D699D">
            <w:pPr>
              <w:rPr>
                <w:rFonts w:ascii="Arial Narrow" w:hAnsi="Arial Narrow"/>
                <w:sz w:val="20"/>
              </w:rPr>
            </w:pPr>
            <w:r>
              <w:rPr>
                <w:rFonts w:ascii="Arial Narrow" w:hAnsi="Arial Narrow"/>
                <w:sz w:val="20"/>
              </w:rPr>
              <w:t>N/A</w:t>
            </w:r>
          </w:p>
        </w:tc>
      </w:tr>
      <w:tr w:rsidR="00190166" w:rsidRPr="00260CE3"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90166" w:rsidRDefault="00190166" w:rsidP="006D699D">
            <w:pPr>
              <w:rPr>
                <w:rFonts w:ascii="Arial Narrow" w:hAnsi="Arial Narrow"/>
                <w:i/>
                <w:sz w:val="20"/>
                <w:highlight w:val="yellow"/>
              </w:rPr>
            </w:pPr>
          </w:p>
          <w:p w:rsidR="00190166" w:rsidRPr="00CD28F3" w:rsidRDefault="00190166" w:rsidP="006D699D">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90166" w:rsidRPr="00106BCF" w:rsidRDefault="00F12313" w:rsidP="006D699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190166"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190166" w:rsidRPr="00106BCF">
              <w:rPr>
                <w:rFonts w:ascii="Arial Narrow" w:hAnsi="Arial Narrow"/>
                <w:sz w:val="20"/>
              </w:rPr>
              <w:t>Restricted benefit</w:t>
            </w:r>
          </w:p>
          <w:p w:rsidR="00190166" w:rsidRPr="00106BCF" w:rsidRDefault="00F12313" w:rsidP="006D699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190166"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190166" w:rsidRPr="00106BCF">
              <w:rPr>
                <w:rFonts w:ascii="Arial Narrow" w:hAnsi="Arial Narrow"/>
                <w:sz w:val="20"/>
              </w:rPr>
              <w:t>Authority Required - In Writing</w:t>
            </w:r>
          </w:p>
          <w:p w:rsidR="00190166" w:rsidRPr="00106BCF" w:rsidRDefault="00F12313" w:rsidP="006D699D">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190166"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190166" w:rsidRPr="00106BCF">
              <w:rPr>
                <w:rFonts w:ascii="Arial Narrow" w:hAnsi="Arial Narrow"/>
                <w:sz w:val="20"/>
              </w:rPr>
              <w:t>Authority Required - Telephone</w:t>
            </w:r>
          </w:p>
          <w:p w:rsidR="00190166" w:rsidRPr="00106BCF" w:rsidRDefault="00F12313" w:rsidP="006D699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190166"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190166" w:rsidRPr="00106BCF">
              <w:rPr>
                <w:rFonts w:ascii="Arial Narrow" w:hAnsi="Arial Narrow"/>
                <w:sz w:val="20"/>
              </w:rPr>
              <w:t>Authority Required – Emergency</w:t>
            </w:r>
          </w:p>
          <w:p w:rsidR="00190166" w:rsidRPr="00106BCF" w:rsidRDefault="00F12313" w:rsidP="006D699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190166"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190166" w:rsidRPr="00106BCF">
              <w:rPr>
                <w:rFonts w:ascii="Arial Narrow" w:hAnsi="Arial Narrow"/>
                <w:sz w:val="20"/>
              </w:rPr>
              <w:t>Authority Required - Electronic</w:t>
            </w:r>
          </w:p>
          <w:p w:rsidR="00190166" w:rsidRPr="00260CE3" w:rsidRDefault="00F12313" w:rsidP="006D699D">
            <w:pPr>
              <w:rPr>
                <w:rFonts w:ascii="Arial Narrow" w:hAnsi="Arial Narrow"/>
                <w:sz w:val="20"/>
              </w:rPr>
            </w:pPr>
            <w:r>
              <w:rPr>
                <w:rFonts w:ascii="Arial Narrow" w:hAnsi="Arial Narrow"/>
                <w:sz w:val="20"/>
              </w:rPr>
              <w:fldChar w:fldCharType="begin">
                <w:ffData>
                  <w:name w:val="Check5"/>
                  <w:enabled w:val="0"/>
                  <w:calcOnExit w:val="0"/>
                  <w:checkBox>
                    <w:sizeAuto/>
                    <w:default w:val="1"/>
                  </w:checkBox>
                </w:ffData>
              </w:fldChar>
            </w:r>
            <w:r w:rsidR="00190166">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190166" w:rsidRPr="00106BCF">
              <w:rPr>
                <w:rFonts w:ascii="Arial Narrow" w:hAnsi="Arial Narrow"/>
                <w:sz w:val="20"/>
              </w:rPr>
              <w:t>Streamlined</w:t>
            </w:r>
          </w:p>
        </w:tc>
      </w:tr>
      <w:tr w:rsidR="00190166" w:rsidRPr="006947EC"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t>Clinical criteria:</w:t>
            </w:r>
          </w:p>
          <w:p w:rsidR="00190166" w:rsidRPr="00260CE3" w:rsidRDefault="00190166" w:rsidP="006D699D">
            <w:pPr>
              <w:rPr>
                <w:rFonts w:ascii="Arial Narrow" w:hAnsi="Arial Narrow"/>
                <w:i/>
                <w:sz w:val="20"/>
              </w:rPr>
            </w:pPr>
          </w:p>
          <w:p w:rsidR="00190166" w:rsidRPr="00260CE3" w:rsidRDefault="00190166" w:rsidP="006D699D">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90166" w:rsidRPr="000C7378" w:rsidRDefault="00190166" w:rsidP="00393462">
            <w:pPr>
              <w:spacing w:after="240" w:line="300" w:lineRule="atLeast"/>
              <w:rPr>
                <w:color w:val="222222"/>
                <w:sz w:val="20"/>
                <w:lang w:val="en-US"/>
              </w:rPr>
            </w:pPr>
            <w:r w:rsidRPr="000C7378">
              <w:rPr>
                <w:rFonts w:ascii="Arial Narrow" w:hAnsi="Arial Narrow"/>
                <w:color w:val="222222"/>
                <w:sz w:val="20"/>
                <w:lang w:val="en-US"/>
              </w:rPr>
              <w:t>The treatment must be in combination with a sulfonylurea</w:t>
            </w:r>
            <w:r w:rsidRPr="000C7378">
              <w:rPr>
                <w:color w:val="222222"/>
                <w:sz w:val="20"/>
                <w:lang w:val="en-US"/>
              </w:rPr>
              <w:t>,</w:t>
            </w:r>
          </w:p>
          <w:p w:rsidR="00190166" w:rsidRPr="000C7378" w:rsidRDefault="00190166" w:rsidP="006D699D">
            <w:pPr>
              <w:shd w:val="clear" w:color="auto" w:fill="FFFFFF"/>
              <w:spacing w:after="120"/>
              <w:rPr>
                <w:rFonts w:ascii="Arial Narrow" w:hAnsi="Arial Narrow"/>
                <w:b/>
                <w:sz w:val="20"/>
                <w:lang w:val="en-US" w:eastAsia="zh-CN"/>
              </w:rPr>
            </w:pPr>
            <w:r w:rsidRPr="000C7378">
              <w:rPr>
                <w:rFonts w:ascii="Arial Narrow" w:hAnsi="Arial Narrow"/>
                <w:b/>
                <w:sz w:val="20"/>
                <w:lang w:val="en-US" w:eastAsia="zh-CN"/>
              </w:rPr>
              <w:t>AND</w:t>
            </w:r>
          </w:p>
          <w:p w:rsidR="00190166" w:rsidRDefault="00190166" w:rsidP="006D699D">
            <w:pPr>
              <w:rPr>
                <w:rFonts w:ascii="Arial Narrow" w:hAnsi="Arial Narrow"/>
                <w:sz w:val="20"/>
                <w:lang w:val="en-US" w:eastAsia="zh-CN"/>
              </w:rPr>
            </w:pPr>
            <w:r w:rsidRPr="000C7378">
              <w:rPr>
                <w:rFonts w:ascii="Arial Narrow" w:hAnsi="Arial Narrow"/>
                <w:sz w:val="20"/>
                <w:lang w:val="en-US" w:eastAsia="zh-CN"/>
              </w:rPr>
              <w:t>Patients must have, or have had, a HbA1c measurement greater than 7% prior to the initiation</w:t>
            </w:r>
            <w:r>
              <w:rPr>
                <w:rFonts w:ascii="Arial Narrow" w:hAnsi="Arial Narrow"/>
                <w:sz w:val="20"/>
                <w:lang w:val="en-US" w:eastAsia="zh-CN"/>
              </w:rPr>
              <w:t xml:space="preserve"> of a </w:t>
            </w:r>
            <w:r w:rsidRPr="000C7378">
              <w:rPr>
                <w:rFonts w:ascii="Arial Narrow" w:hAnsi="Arial Narrow"/>
                <w:sz w:val="20"/>
                <w:lang w:val="en-US" w:eastAsia="zh-CN"/>
              </w:rPr>
              <w:t xml:space="preserve">dipeptidyl peptidase 4 inhibitor (gliptin), a thiazolidinedione (glitazone), a glucagon-like peptide-1 or a sodium-glucose co-transporter 2 (SGLT2) </w:t>
            </w:r>
            <w:r w:rsidRPr="000C7378">
              <w:rPr>
                <w:rFonts w:ascii="Arial Narrow" w:hAnsi="Arial Narrow"/>
                <w:color w:val="222222"/>
                <w:sz w:val="20"/>
              </w:rPr>
              <w:t xml:space="preserve">despite treatment with </w:t>
            </w:r>
            <w:r w:rsidRPr="00E00D7B">
              <w:rPr>
                <w:rFonts w:ascii="Arial Narrow" w:hAnsi="Arial Narrow"/>
                <w:strike/>
                <w:color w:val="222222"/>
                <w:sz w:val="20"/>
              </w:rPr>
              <w:t>maximally tolerated doses of metformin and a sulfonylurea</w:t>
            </w:r>
            <w:r>
              <w:rPr>
                <w:rFonts w:ascii="Arial Narrow" w:hAnsi="Arial Narrow"/>
                <w:strike/>
                <w:color w:val="222222"/>
                <w:sz w:val="20"/>
              </w:rPr>
              <w:t xml:space="preserve"> </w:t>
            </w:r>
            <w:r w:rsidRPr="00CF374E">
              <w:rPr>
                <w:rFonts w:ascii="Arial Narrow" w:hAnsi="Arial Narrow"/>
                <w:i/>
                <w:sz w:val="20"/>
                <w:lang w:val="en-US" w:eastAsia="zh-CN"/>
              </w:rPr>
              <w:t>optimal doses of dual oral therapy;</w:t>
            </w:r>
            <w:r w:rsidRPr="000C7378">
              <w:rPr>
                <w:rFonts w:ascii="Arial Narrow" w:hAnsi="Arial Narrow"/>
                <w:sz w:val="20"/>
                <w:lang w:val="en-US" w:eastAsia="zh-CN"/>
              </w:rPr>
              <w:t xml:space="preserve"> </w:t>
            </w:r>
          </w:p>
          <w:p w:rsidR="00190166" w:rsidRDefault="00190166" w:rsidP="006D699D">
            <w:pPr>
              <w:rPr>
                <w:rFonts w:ascii="Arial Narrow" w:hAnsi="Arial Narrow"/>
                <w:sz w:val="20"/>
                <w:lang w:val="en-US" w:eastAsia="zh-CN"/>
              </w:rPr>
            </w:pPr>
          </w:p>
          <w:p w:rsidR="00190166" w:rsidRPr="00555D83" w:rsidRDefault="00190166" w:rsidP="006D699D">
            <w:pPr>
              <w:rPr>
                <w:szCs w:val="22"/>
              </w:rPr>
            </w:pPr>
            <w:r>
              <w:rPr>
                <w:rFonts w:ascii="Arial Narrow" w:hAnsi="Arial Narrow"/>
                <w:sz w:val="20"/>
                <w:lang w:val="en-US" w:eastAsia="zh-CN"/>
              </w:rPr>
              <w:t>OR</w:t>
            </w:r>
          </w:p>
          <w:p w:rsidR="00190166" w:rsidRPr="006947EC" w:rsidRDefault="00190166" w:rsidP="006D699D">
            <w:pPr>
              <w:shd w:val="clear" w:color="auto" w:fill="FFFFFF"/>
              <w:spacing w:before="100" w:beforeAutospacing="1" w:after="100" w:afterAutospacing="1"/>
              <w:rPr>
                <w:rFonts w:ascii="Arial Narrow" w:hAnsi="Arial Narrow"/>
                <w:sz w:val="20"/>
                <w:lang w:val="en-US" w:eastAsia="zh-CN"/>
              </w:rPr>
            </w:pPr>
            <w:r>
              <w:rPr>
                <w:rFonts w:ascii="Arial Narrow" w:hAnsi="Arial Narrow"/>
                <w:sz w:val="20"/>
                <w:lang w:val="en-US" w:eastAsia="zh-CN"/>
              </w:rPr>
              <w:t>Patients must have,</w:t>
            </w:r>
            <w:r w:rsidRPr="000C7378">
              <w:rPr>
                <w:rFonts w:ascii="Arial Narrow" w:hAnsi="Arial Narrow"/>
                <w:sz w:val="20"/>
                <w:lang w:val="en-US" w:eastAsia="zh-CN"/>
              </w:rPr>
              <w:t xml:space="preserve"> </w:t>
            </w:r>
            <w:r>
              <w:rPr>
                <w:rFonts w:ascii="Arial Narrow" w:hAnsi="Arial Narrow"/>
                <w:sz w:val="20"/>
                <w:lang w:val="en-US" w:eastAsia="zh-CN"/>
              </w:rPr>
              <w:t>o</w:t>
            </w:r>
            <w:r w:rsidRPr="000C7378">
              <w:rPr>
                <w:rFonts w:ascii="Arial Narrow" w:hAnsi="Arial Narrow"/>
                <w:sz w:val="20"/>
                <w:lang w:val="en-US" w:eastAsia="zh-CN"/>
              </w:rPr>
              <w:t xml:space="preserve">r have had, where HbA1c measurement is clinically </w:t>
            </w:r>
            <w:r>
              <w:rPr>
                <w:rFonts w:ascii="Arial Narrow" w:hAnsi="Arial Narrow"/>
                <w:sz w:val="20"/>
                <w:lang w:val="en-US" w:eastAsia="zh-CN"/>
              </w:rPr>
              <w:t>in</w:t>
            </w:r>
            <w:r w:rsidRPr="000C7378">
              <w:rPr>
                <w:rFonts w:ascii="Arial Narrow" w:hAnsi="Arial Narrow"/>
                <w:sz w:val="20"/>
                <w:lang w:val="en-US" w:eastAsia="zh-CN"/>
              </w:rPr>
              <w:t xml:space="preserve">appropriate, blood glucose levels greater than 10 mmol per L in more than 20% of tests over a 2 weeks period prior to initiation with a gliptin, a glitazone, a glucagon-like peptide-1 or an SGLT2 inhibitor despite treatment with </w:t>
            </w:r>
            <w:r w:rsidRPr="006B0320">
              <w:rPr>
                <w:rFonts w:ascii="Arial Narrow" w:hAnsi="Arial Narrow"/>
                <w:strike/>
                <w:sz w:val="20"/>
                <w:lang w:val="en-US" w:eastAsia="zh-CN"/>
              </w:rPr>
              <w:t>maximally tolerated doses of metformin and a sulfonylurea</w:t>
            </w:r>
            <w:r w:rsidRPr="00E00D7B">
              <w:rPr>
                <w:sz w:val="20"/>
                <w:lang w:val="en-US" w:eastAsia="zh-CN"/>
              </w:rPr>
              <w:t xml:space="preserve"> </w:t>
            </w:r>
            <w:r w:rsidRPr="005E767F">
              <w:rPr>
                <w:rFonts w:ascii="Arial Narrow" w:hAnsi="Arial Narrow"/>
                <w:i/>
                <w:sz w:val="20"/>
                <w:lang w:val="en-US" w:eastAsia="zh-CN"/>
              </w:rPr>
              <w:t>optimal doses of dual oral therapy.</w:t>
            </w:r>
          </w:p>
        </w:tc>
      </w:tr>
      <w:tr w:rsidR="00190166" w:rsidRPr="00260CE3"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lastRenderedPageBreak/>
              <w:t>Prescriber Instructions</w:t>
            </w:r>
          </w:p>
          <w:p w:rsidR="00190166" w:rsidRPr="00260CE3" w:rsidRDefault="00190166" w:rsidP="006D699D">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90166" w:rsidRDefault="00190166" w:rsidP="006D699D">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 xml:space="preserve">The date and level of the qualifying HbA1c must be, or must have been, documented in the patient's medical records at the time treatment with a dipeptidyl peptidase 4 inhibitor (gliptin), a thiazolidinedione (glitazone), a glucagon-like peptide-1 or a sodium-glucose co-transporter 2 (SGLT2) is initiated. </w:t>
            </w:r>
          </w:p>
          <w:p w:rsidR="00190166" w:rsidRPr="000C7378" w:rsidRDefault="00190166" w:rsidP="006D699D">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The HbA1c must be no more than 4 months old at the time treatment with a gliptin, a glitazone, a glucagon-like peptide-1 or n SGLT2 inhibitor was initiated.</w:t>
            </w:r>
          </w:p>
          <w:p w:rsidR="00190166" w:rsidRPr="000C7378" w:rsidRDefault="00190166" w:rsidP="006D699D">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 xml:space="preserve">Blood glucose monitoring may be used as an alternative assessment to HbA1c levels in the following circumstances: </w:t>
            </w:r>
          </w:p>
          <w:p w:rsidR="00190166" w:rsidRPr="000C7378" w:rsidRDefault="00190166" w:rsidP="006D699D">
            <w:pPr>
              <w:shd w:val="clear" w:color="auto" w:fill="FFFFFF"/>
              <w:spacing w:before="100" w:beforeAutospacing="1" w:after="100" w:afterAutospacing="1"/>
              <w:ind w:left="720"/>
              <w:rPr>
                <w:rFonts w:ascii="Arial Narrow" w:hAnsi="Arial Narrow"/>
                <w:sz w:val="20"/>
                <w:lang w:val="en-US" w:eastAsia="zh-CN"/>
              </w:rPr>
            </w:pPr>
            <w:r w:rsidRPr="000C7378">
              <w:rPr>
                <w:rFonts w:ascii="Arial Narrow" w:hAnsi="Arial Narrow"/>
                <w:sz w:val="20"/>
                <w:lang w:val="en-US" w:eastAsia="zh-CN"/>
              </w:rPr>
              <w:t xml:space="preserve">(a) clinical conditions with reduced red blood cell survival, including haemolytic anaemias and haemoglobinopathies; and/or </w:t>
            </w:r>
          </w:p>
          <w:p w:rsidR="00190166" w:rsidRPr="000C7378" w:rsidRDefault="00190166" w:rsidP="006D699D">
            <w:pPr>
              <w:shd w:val="clear" w:color="auto" w:fill="FFFFFF"/>
              <w:spacing w:before="100" w:beforeAutospacing="1" w:after="100" w:afterAutospacing="1"/>
              <w:ind w:left="720"/>
              <w:rPr>
                <w:rFonts w:ascii="Arial Narrow" w:hAnsi="Arial Narrow"/>
                <w:sz w:val="20"/>
                <w:lang w:val="en-US" w:eastAsia="zh-CN"/>
              </w:rPr>
            </w:pPr>
            <w:r w:rsidRPr="000C7378">
              <w:rPr>
                <w:rFonts w:ascii="Arial Narrow" w:hAnsi="Arial Narrow"/>
                <w:sz w:val="20"/>
                <w:lang w:val="en-US" w:eastAsia="zh-CN"/>
              </w:rPr>
              <w:t xml:space="preserve">(b) </w:t>
            </w:r>
            <w:proofErr w:type="gramStart"/>
            <w:r>
              <w:rPr>
                <w:rFonts w:ascii="Arial Narrow" w:hAnsi="Arial Narrow"/>
                <w:sz w:val="20"/>
                <w:lang w:val="en-US" w:eastAsia="zh-CN"/>
              </w:rPr>
              <w:t>had</w:t>
            </w:r>
            <w:proofErr w:type="gramEnd"/>
            <w:r>
              <w:rPr>
                <w:rFonts w:ascii="Arial Narrow" w:hAnsi="Arial Narrow"/>
                <w:sz w:val="20"/>
                <w:lang w:val="en-US" w:eastAsia="zh-CN"/>
              </w:rPr>
              <w:t xml:space="preserve"> </w:t>
            </w:r>
            <w:r w:rsidRPr="000C7378">
              <w:rPr>
                <w:rFonts w:ascii="Arial Narrow" w:hAnsi="Arial Narrow"/>
                <w:sz w:val="20"/>
                <w:lang w:val="en-US" w:eastAsia="zh-CN"/>
              </w:rPr>
              <w:t xml:space="preserve">red cell transfusion within the previous 3 months. </w:t>
            </w:r>
          </w:p>
          <w:p w:rsidR="00190166" w:rsidRPr="000C7378" w:rsidRDefault="00190166" w:rsidP="006D699D">
            <w:pPr>
              <w:shd w:val="clear" w:color="auto" w:fill="FFFFFF"/>
              <w:spacing w:after="120"/>
              <w:rPr>
                <w:rFonts w:ascii="Arial Narrow" w:hAnsi="Arial Narrow"/>
                <w:sz w:val="20"/>
                <w:lang w:val="en-US" w:eastAsia="zh-CN"/>
              </w:rPr>
            </w:pPr>
            <w:r w:rsidRPr="000C7378">
              <w:rPr>
                <w:rFonts w:ascii="Arial Narrow" w:hAnsi="Arial Narrow"/>
                <w:sz w:val="20"/>
                <w:lang w:val="en-US" w:eastAsia="zh-CN"/>
              </w:rPr>
              <w:t xml:space="preserve">The results of the blood glucose monitoring, which must be no more than 4 months old at the time of initiation of treatment with a gliptin, a glitazone, a glucagon-like peptide-1 or an SGLT2 inhibitor, must be document in the patient’s medical records. </w:t>
            </w:r>
          </w:p>
          <w:p w:rsidR="00190166" w:rsidRPr="00393462" w:rsidRDefault="00190166" w:rsidP="00393462">
            <w:pPr>
              <w:shd w:val="clear" w:color="auto" w:fill="FFFFFF"/>
              <w:spacing w:after="120"/>
              <w:rPr>
                <w:rFonts w:ascii="Arial Narrow" w:hAnsi="Arial Narrow"/>
                <w:sz w:val="20"/>
                <w:lang w:val="en-US" w:eastAsia="zh-CN"/>
              </w:rPr>
            </w:pPr>
            <w:r w:rsidRPr="000C7378">
              <w:rPr>
                <w:rFonts w:ascii="Arial Narrow" w:hAnsi="Arial Narrow"/>
                <w:sz w:val="20"/>
                <w:lang w:val="en-US" w:eastAsia="zh-CN"/>
              </w:rPr>
              <w:t>A patient whose diabetes was previously demonstrated unable to be controlled with metformin or a sul</w:t>
            </w:r>
            <w:r>
              <w:rPr>
                <w:rFonts w:ascii="Arial Narrow" w:hAnsi="Arial Narrow"/>
                <w:sz w:val="20"/>
                <w:lang w:val="en-US" w:eastAsia="zh-CN"/>
              </w:rPr>
              <w:t>f</w:t>
            </w:r>
            <w:r w:rsidRPr="000C7378">
              <w:rPr>
                <w:rFonts w:ascii="Arial Narrow" w:hAnsi="Arial Narrow"/>
                <w:sz w:val="20"/>
                <w:lang w:val="en-US" w:eastAsia="zh-CN"/>
              </w:rPr>
              <w:t>onylurea does not need to requalify on this criterion before being eligible for PBS-subsidised treatment with</w:t>
            </w:r>
            <w:r>
              <w:rPr>
                <w:rFonts w:ascii="Arial Narrow" w:hAnsi="Arial Narrow"/>
                <w:sz w:val="20"/>
                <w:lang w:val="en-US" w:eastAsia="zh-CN"/>
              </w:rPr>
              <w:t xml:space="preserve"> this</w:t>
            </w:r>
            <w:r w:rsidR="008C1AC1">
              <w:rPr>
                <w:rFonts w:ascii="Arial Narrow" w:hAnsi="Arial Narrow"/>
                <w:sz w:val="20"/>
                <w:lang w:val="en-US" w:eastAsia="zh-CN"/>
              </w:rPr>
              <w:t xml:space="preserve"> </w:t>
            </w:r>
            <w:r w:rsidR="008C1AC1">
              <w:rPr>
                <w:rFonts w:ascii="Arial Narrow" w:hAnsi="Arial Narrow"/>
                <w:i/>
                <w:sz w:val="20"/>
                <w:lang w:val="en-US" w:eastAsia="zh-CN"/>
              </w:rPr>
              <w:t>fixed dose combination</w:t>
            </w:r>
            <w:r w:rsidRPr="000C7378">
              <w:rPr>
                <w:rFonts w:ascii="Arial Narrow" w:hAnsi="Arial Narrow"/>
                <w:sz w:val="20"/>
                <w:lang w:val="en-US" w:eastAsia="zh-CN"/>
              </w:rPr>
              <w:t>.</w:t>
            </w:r>
          </w:p>
        </w:tc>
      </w:tr>
      <w:tr w:rsidR="00190166" w:rsidRPr="009F742D" w:rsidTr="006D699D">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0166" w:rsidRPr="00260CE3" w:rsidRDefault="00190166" w:rsidP="006D699D">
            <w:pPr>
              <w:rPr>
                <w:rFonts w:ascii="Arial Narrow" w:hAnsi="Arial Narrow"/>
                <w:b/>
                <w:sz w:val="20"/>
              </w:rPr>
            </w:pPr>
            <w:r w:rsidRPr="00260CE3">
              <w:rPr>
                <w:rFonts w:ascii="Arial Narrow" w:hAnsi="Arial Narrow"/>
                <w:b/>
                <w:sz w:val="20"/>
              </w:rPr>
              <w:t>Administrative Advice</w:t>
            </w:r>
          </w:p>
          <w:p w:rsidR="00190166" w:rsidRPr="00260CE3" w:rsidRDefault="00190166" w:rsidP="006D699D">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C5505" w:rsidRPr="00F22788" w:rsidRDefault="00BC5505" w:rsidP="00BC5505">
            <w:pPr>
              <w:rPr>
                <w:rFonts w:ascii="Arial Narrow" w:hAnsi="Arial Narrow"/>
                <w:i/>
                <w:sz w:val="20"/>
                <w:u w:val="single"/>
                <w:lang w:val="en-US" w:eastAsia="zh-CN"/>
              </w:rPr>
            </w:pPr>
            <w:r w:rsidRPr="00F22788">
              <w:rPr>
                <w:rFonts w:ascii="Arial Narrow" w:hAnsi="Arial Narrow"/>
                <w:i/>
                <w:sz w:val="20"/>
                <w:u w:val="single"/>
                <w:lang w:val="en-US" w:eastAsia="zh-CN"/>
              </w:rPr>
              <w:t>Continuing Therapy Only:</w:t>
            </w:r>
          </w:p>
          <w:p w:rsidR="00BC5505" w:rsidRPr="00BC5505" w:rsidRDefault="00BC5505" w:rsidP="00BC5505">
            <w:pPr>
              <w:rPr>
                <w:rFonts w:ascii="Arial Narrow" w:hAnsi="Arial Narrow"/>
                <w:i/>
                <w:sz w:val="20"/>
                <w:lang w:val="en-US" w:eastAsia="zh-CN"/>
              </w:rPr>
            </w:pPr>
            <w:r w:rsidRPr="00BC5505">
              <w:rPr>
                <w:rFonts w:ascii="Arial Narrow" w:hAnsi="Arial Narrow"/>
                <w:i/>
                <w:sz w:val="20"/>
                <w:lang w:val="en-US" w:eastAsia="zh-CN"/>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BC5505" w:rsidRDefault="00BC5505" w:rsidP="006D699D">
            <w:pPr>
              <w:rPr>
                <w:rFonts w:ascii="Arial Narrow" w:hAnsi="Arial Narrow"/>
                <w:sz w:val="20"/>
                <w:lang w:val="en-US" w:eastAsia="zh-CN"/>
              </w:rPr>
            </w:pPr>
          </w:p>
          <w:p w:rsidR="00190166" w:rsidRDefault="00190166" w:rsidP="006D699D">
            <w:pPr>
              <w:rPr>
                <w:rFonts w:ascii="Arial Narrow" w:hAnsi="Arial Narrow"/>
                <w:sz w:val="20"/>
                <w:lang w:val="en-US" w:eastAsia="zh-CN"/>
              </w:rPr>
            </w:pPr>
            <w:r w:rsidRPr="007C46F9">
              <w:rPr>
                <w:rFonts w:ascii="Arial Narrow" w:hAnsi="Arial Narrow"/>
                <w:sz w:val="20"/>
                <w:lang w:val="en-US" w:eastAsia="zh-CN"/>
              </w:rPr>
              <w:t xml:space="preserve">This </w:t>
            </w:r>
            <w:r w:rsidR="008F242A" w:rsidRPr="008F242A">
              <w:rPr>
                <w:rFonts w:ascii="Arial Narrow" w:hAnsi="Arial Narrow"/>
                <w:strike/>
                <w:sz w:val="20"/>
                <w:lang w:val="en-US" w:eastAsia="zh-CN"/>
              </w:rPr>
              <w:t>drug</w:t>
            </w:r>
            <w:r w:rsidR="008F242A">
              <w:rPr>
                <w:rFonts w:ascii="Arial Narrow" w:hAnsi="Arial Narrow"/>
                <w:sz w:val="20"/>
                <w:lang w:val="en-US" w:eastAsia="zh-CN"/>
              </w:rPr>
              <w:t xml:space="preserve"> </w:t>
            </w:r>
            <w:r w:rsidR="004F3AE5">
              <w:rPr>
                <w:rFonts w:ascii="Arial Narrow" w:hAnsi="Arial Narrow"/>
                <w:i/>
                <w:sz w:val="20"/>
                <w:lang w:val="en-US" w:eastAsia="zh-CN"/>
              </w:rPr>
              <w:t>fixed dose combination</w:t>
            </w:r>
            <w:r w:rsidR="008C1AC1">
              <w:rPr>
                <w:rFonts w:ascii="Arial Narrow" w:hAnsi="Arial Narrow"/>
                <w:i/>
                <w:sz w:val="20"/>
                <w:lang w:val="en-US" w:eastAsia="zh-CN"/>
              </w:rPr>
              <w:t xml:space="preserve"> tablet</w:t>
            </w:r>
            <w:r w:rsidR="004F3AE5">
              <w:rPr>
                <w:rFonts w:ascii="Arial Narrow" w:hAnsi="Arial Narrow"/>
                <w:i/>
                <w:sz w:val="20"/>
                <w:lang w:val="en-US" w:eastAsia="zh-CN"/>
              </w:rPr>
              <w:t xml:space="preserve"> </w:t>
            </w:r>
            <w:r w:rsidRPr="007C46F9">
              <w:rPr>
                <w:rFonts w:ascii="Arial Narrow" w:hAnsi="Arial Narrow"/>
                <w:sz w:val="20"/>
                <w:lang w:val="en-US" w:eastAsia="zh-CN"/>
              </w:rPr>
              <w:t xml:space="preserve">is not PBS-subsidised for use as </w:t>
            </w:r>
            <w:r w:rsidR="004F3AE5">
              <w:rPr>
                <w:rFonts w:ascii="Arial Narrow" w:hAnsi="Arial Narrow"/>
                <w:sz w:val="20"/>
                <w:lang w:val="en-US" w:eastAsia="zh-CN"/>
              </w:rPr>
              <w:t xml:space="preserve"> </w:t>
            </w:r>
            <w:r w:rsidR="004F3AE5">
              <w:rPr>
                <w:rFonts w:ascii="Arial Narrow" w:hAnsi="Arial Narrow"/>
                <w:i/>
                <w:sz w:val="20"/>
                <w:lang w:val="en-US" w:eastAsia="zh-CN"/>
              </w:rPr>
              <w:t xml:space="preserve">initial therapy </w:t>
            </w:r>
            <w:r w:rsidRPr="007C46F9">
              <w:rPr>
                <w:rFonts w:ascii="Arial Narrow" w:hAnsi="Arial Narrow"/>
                <w:sz w:val="20"/>
                <w:lang w:val="en-US" w:eastAsia="zh-CN"/>
              </w:rPr>
              <w:t>or in combination with a thiazolidinedione (glitazone), a glucagon</w:t>
            </w:r>
            <w:r>
              <w:rPr>
                <w:rFonts w:ascii="Arial Narrow" w:hAnsi="Arial Narrow"/>
                <w:sz w:val="20"/>
                <w:lang w:val="en-US" w:eastAsia="zh-CN"/>
              </w:rPr>
              <w:t>-</w:t>
            </w:r>
            <w:r w:rsidRPr="007C46F9">
              <w:rPr>
                <w:rFonts w:ascii="Arial Narrow" w:hAnsi="Arial Narrow"/>
                <w:sz w:val="20"/>
                <w:lang w:val="en-US" w:eastAsia="zh-CN"/>
              </w:rPr>
              <w:t>like peptide-1 or an SGLT</w:t>
            </w:r>
            <w:r w:rsidR="008F242A">
              <w:rPr>
                <w:rFonts w:ascii="Arial Narrow" w:hAnsi="Arial Narrow"/>
                <w:sz w:val="20"/>
                <w:lang w:val="en-US" w:eastAsia="zh-CN"/>
              </w:rPr>
              <w:t>2</w:t>
            </w:r>
            <w:r w:rsidRPr="007C46F9">
              <w:rPr>
                <w:rFonts w:ascii="Arial Narrow" w:hAnsi="Arial Narrow"/>
                <w:sz w:val="20"/>
                <w:lang w:val="en-US" w:eastAsia="zh-CN"/>
              </w:rPr>
              <w:t>-inhibitor</w:t>
            </w:r>
          </w:p>
          <w:p w:rsidR="00190166" w:rsidRDefault="00190166" w:rsidP="006D699D">
            <w:pPr>
              <w:rPr>
                <w:rFonts w:ascii="Arial Narrow" w:hAnsi="Arial Narrow"/>
                <w:sz w:val="20"/>
                <w:lang w:val="en-US" w:eastAsia="zh-CN"/>
              </w:rPr>
            </w:pPr>
          </w:p>
          <w:p w:rsidR="00190166" w:rsidRPr="005E767F" w:rsidRDefault="00190166" w:rsidP="006D699D">
            <w:pPr>
              <w:rPr>
                <w:rFonts w:ascii="Arial Narrow" w:hAnsi="Arial Narrow"/>
                <w:i/>
                <w:sz w:val="20"/>
              </w:rPr>
            </w:pPr>
            <w:r w:rsidRPr="005E767F">
              <w:rPr>
                <w:rFonts w:ascii="Arial Narrow" w:hAnsi="Arial Narrow"/>
                <w:i/>
                <w:sz w:val="20"/>
              </w:rPr>
              <w:t>PBS subsidised dual oral therapy does not include concomitant use of two of either: a gliptin, a glitazone or an SGLT2 inhibitor.</w:t>
            </w:r>
          </w:p>
        </w:tc>
      </w:tr>
    </w:tbl>
    <w:p w:rsidR="00190166" w:rsidRPr="00552722" w:rsidRDefault="00190166" w:rsidP="00190166">
      <w:pPr>
        <w:rPr>
          <w:szCs w:val="22"/>
        </w:rPr>
      </w:pPr>
    </w:p>
    <w:p w:rsidR="002C2775" w:rsidRPr="000963A5" w:rsidRDefault="0060239C" w:rsidP="008A55D3">
      <w:pPr>
        <w:pStyle w:val="ListParagraph"/>
        <w:widowControl/>
        <w:numPr>
          <w:ilvl w:val="1"/>
          <w:numId w:val="4"/>
        </w:numPr>
        <w:rPr>
          <w:color w:val="000000" w:themeColor="text1"/>
          <w:szCs w:val="22"/>
        </w:rPr>
      </w:pPr>
      <w:r w:rsidRPr="008B65E1">
        <w:rPr>
          <w:color w:val="000000" w:themeColor="text1"/>
          <w:szCs w:val="22"/>
        </w:rPr>
        <w:t>The submission stated the listing was requested</w:t>
      </w:r>
      <w:r w:rsidR="00B2136F" w:rsidRPr="008B65E1">
        <w:rPr>
          <w:color w:val="000000" w:themeColor="text1"/>
          <w:szCs w:val="22"/>
        </w:rPr>
        <w:t xml:space="preserve"> on a cost minimisation-basis compared to dapagliflozin, but the submission requested the same price for vildagliptin and vildagliptin/metformin fixed dose combinations </w:t>
      </w:r>
      <w:r w:rsidR="003E1BD4" w:rsidRPr="008B65E1">
        <w:rPr>
          <w:color w:val="000000" w:themeColor="text1"/>
          <w:szCs w:val="22"/>
        </w:rPr>
        <w:t xml:space="preserve">(FDCs) </w:t>
      </w:r>
      <w:r w:rsidR="00B2136F" w:rsidRPr="008B65E1">
        <w:rPr>
          <w:color w:val="000000" w:themeColor="text1"/>
          <w:szCs w:val="22"/>
        </w:rPr>
        <w:t xml:space="preserve">as for their current dual oral therapy listings. The submission </w:t>
      </w:r>
      <w:r w:rsidR="000963A5" w:rsidRPr="008B65E1">
        <w:rPr>
          <w:color w:val="000000" w:themeColor="text1"/>
          <w:szCs w:val="22"/>
        </w:rPr>
        <w:t>assum</w:t>
      </w:r>
      <w:r w:rsidR="00B2136F" w:rsidRPr="008B65E1">
        <w:rPr>
          <w:color w:val="000000" w:themeColor="text1"/>
          <w:szCs w:val="22"/>
        </w:rPr>
        <w:t>ed</w:t>
      </w:r>
      <w:r w:rsidR="000963A5" w:rsidRPr="008B65E1">
        <w:rPr>
          <w:color w:val="000000" w:themeColor="text1"/>
          <w:szCs w:val="22"/>
        </w:rPr>
        <w:t xml:space="preserve"> that cost-offsets</w:t>
      </w:r>
      <w:r w:rsidR="00F2058C" w:rsidRPr="008B65E1">
        <w:rPr>
          <w:color w:val="000000" w:themeColor="text1"/>
          <w:szCs w:val="22"/>
        </w:rPr>
        <w:t xml:space="preserve"> already</w:t>
      </w:r>
      <w:r w:rsidR="000963A5" w:rsidRPr="008B65E1">
        <w:rPr>
          <w:color w:val="000000" w:themeColor="text1"/>
          <w:szCs w:val="22"/>
        </w:rPr>
        <w:t xml:space="preserve"> applied in the PBS dual therapy listing</w:t>
      </w:r>
      <w:r w:rsidR="000963A5">
        <w:rPr>
          <w:color w:val="000000" w:themeColor="text1"/>
          <w:szCs w:val="22"/>
        </w:rPr>
        <w:t xml:space="preserve"> w</w:t>
      </w:r>
      <w:r w:rsidR="00B2136F">
        <w:rPr>
          <w:color w:val="000000" w:themeColor="text1"/>
          <w:szCs w:val="22"/>
        </w:rPr>
        <w:t>ould</w:t>
      </w:r>
      <w:r w:rsidR="000963A5">
        <w:rPr>
          <w:color w:val="000000" w:themeColor="text1"/>
          <w:szCs w:val="22"/>
        </w:rPr>
        <w:t xml:space="preserve"> apply to the listing of vildagliptin and dapagliflozin when used in triple oral therapy.</w:t>
      </w:r>
    </w:p>
    <w:p w:rsidR="006D699D" w:rsidRDefault="006D699D" w:rsidP="006D699D">
      <w:pPr>
        <w:pStyle w:val="BodyText"/>
      </w:pPr>
    </w:p>
    <w:p w:rsidR="006D699D" w:rsidRDefault="006D699D" w:rsidP="006D699D">
      <w:pPr>
        <w:pStyle w:val="BodyText"/>
        <w:rPr>
          <w:szCs w:val="22"/>
        </w:rPr>
      </w:pPr>
      <w:r w:rsidRPr="00F22788">
        <w:rPr>
          <w:i/>
          <w:szCs w:val="22"/>
        </w:rPr>
        <w:t>For more detail on PBAC’s view, see section 7 “PBAC outcome”</w:t>
      </w:r>
    </w:p>
    <w:p w:rsidR="006D699D" w:rsidRDefault="006D699D" w:rsidP="006D699D">
      <w:pPr>
        <w:pStyle w:val="BodyText"/>
      </w:pPr>
    </w:p>
    <w:p w:rsidR="00190166" w:rsidRPr="00882085" w:rsidRDefault="00190166" w:rsidP="004B1CB4"/>
    <w:p w:rsidR="00B50DB8" w:rsidRPr="00407F2D" w:rsidRDefault="00B50DB8" w:rsidP="00FF792C">
      <w:pPr>
        <w:pStyle w:val="Heading1"/>
      </w:pPr>
      <w:bookmarkStart w:id="5" w:name="_Toc440983175"/>
      <w:r w:rsidRPr="00407F2D">
        <w:t>Background</w:t>
      </w:r>
      <w:bookmarkEnd w:id="5"/>
    </w:p>
    <w:p w:rsidR="00B60939" w:rsidRPr="00882085" w:rsidRDefault="00B60939" w:rsidP="00B60939">
      <w:pPr>
        <w:rPr>
          <w:szCs w:val="22"/>
        </w:rPr>
      </w:pPr>
    </w:p>
    <w:p w:rsidR="003E1BD4" w:rsidRPr="00595E1A" w:rsidRDefault="00682FC3" w:rsidP="008A55D3">
      <w:pPr>
        <w:pStyle w:val="ListParagraph"/>
        <w:widowControl/>
        <w:numPr>
          <w:ilvl w:val="1"/>
          <w:numId w:val="4"/>
        </w:numPr>
        <w:rPr>
          <w:color w:val="000000" w:themeColor="text1"/>
          <w:szCs w:val="22"/>
        </w:rPr>
      </w:pPr>
      <w:r w:rsidRPr="00595E1A">
        <w:rPr>
          <w:bCs/>
          <w:szCs w:val="22"/>
        </w:rPr>
        <w:t>TGA status at time of</w:t>
      </w:r>
      <w:r w:rsidR="00595E1A" w:rsidRPr="00595E1A">
        <w:rPr>
          <w:bCs/>
          <w:szCs w:val="22"/>
        </w:rPr>
        <w:t xml:space="preserve"> PBAC consideration</w:t>
      </w:r>
      <w:r w:rsidR="00B60939" w:rsidRPr="00595E1A">
        <w:rPr>
          <w:color w:val="000000" w:themeColor="text1"/>
          <w:szCs w:val="22"/>
        </w:rPr>
        <w:t xml:space="preserve">: </w:t>
      </w:r>
      <w:r w:rsidR="003E1BD4" w:rsidRPr="00595E1A">
        <w:rPr>
          <w:color w:val="000000" w:themeColor="text1"/>
          <w:szCs w:val="22"/>
        </w:rPr>
        <w:t>Vildagliptin was registered by the TGA on 27 August 2013 for treatment in triple combination with a sulfonylurea and metformin when diet and exercise plus dual therapy with these agents do not provide adequate glycaemic control. Vildagliptin/metformin FDC was registered by the TGA</w:t>
      </w:r>
      <w:r w:rsidR="0060239C" w:rsidRPr="00595E1A">
        <w:rPr>
          <w:color w:val="000000" w:themeColor="text1"/>
          <w:szCs w:val="22"/>
        </w:rPr>
        <w:t xml:space="preserve"> on 12 June 2013</w:t>
      </w:r>
      <w:r w:rsidR="003E1BD4" w:rsidRPr="00595E1A">
        <w:rPr>
          <w:color w:val="000000" w:themeColor="text1"/>
          <w:szCs w:val="22"/>
        </w:rPr>
        <w:t xml:space="preserve"> for use in combination with a sulfonylurea (i.e. triple combination therapy) as an </w:t>
      </w:r>
      <w:r w:rsidR="003E1BD4" w:rsidRPr="00595E1A">
        <w:rPr>
          <w:color w:val="000000" w:themeColor="text1"/>
          <w:szCs w:val="22"/>
        </w:rPr>
        <w:lastRenderedPageBreak/>
        <w:t>adjunct to diet and exercise in patients inadequately controlled with metformin and a sulfonylurea.</w:t>
      </w:r>
    </w:p>
    <w:p w:rsidR="003E1BD4" w:rsidRPr="003E1BD4" w:rsidRDefault="003E1BD4" w:rsidP="003E1BD4">
      <w:pPr>
        <w:widowControl/>
        <w:rPr>
          <w:color w:val="000000" w:themeColor="text1"/>
          <w:szCs w:val="22"/>
        </w:rPr>
      </w:pPr>
    </w:p>
    <w:p w:rsidR="00B60939" w:rsidRPr="00882085" w:rsidRDefault="003E1BD4" w:rsidP="008A55D3">
      <w:pPr>
        <w:pStyle w:val="ListParagraph"/>
        <w:widowControl/>
        <w:numPr>
          <w:ilvl w:val="1"/>
          <w:numId w:val="4"/>
        </w:numPr>
      </w:pPr>
      <w:r>
        <w:t>Vildagliptin (with metformin or a sulfonylurea) and vildagliptin/metformin FDC are currently PBS listed for dual oral combination therapy for type 2 diabetes.</w:t>
      </w:r>
    </w:p>
    <w:p w:rsidR="00B60939" w:rsidRPr="00882085" w:rsidRDefault="00B60939" w:rsidP="00B60939">
      <w:pPr>
        <w:pStyle w:val="ListParagraph"/>
        <w:rPr>
          <w:szCs w:val="22"/>
        </w:rPr>
      </w:pPr>
    </w:p>
    <w:p w:rsidR="003E1BD4" w:rsidRDefault="008B65E1" w:rsidP="008A55D3">
      <w:pPr>
        <w:pStyle w:val="ListParagraph"/>
        <w:widowControl/>
        <w:numPr>
          <w:ilvl w:val="1"/>
          <w:numId w:val="4"/>
        </w:numPr>
      </w:pPr>
      <w:r>
        <w:t>Vildagliptin and vildagliptin/metformin FDC were p</w:t>
      </w:r>
      <w:r w:rsidR="003E1BD4">
        <w:t xml:space="preserve">reviously considered by the PBAC in </w:t>
      </w:r>
      <w:r w:rsidR="003E1BD4" w:rsidRPr="004D2EF1">
        <w:t>July 2013</w:t>
      </w:r>
      <w:r>
        <w:t xml:space="preserve"> as concurrent submissions</w:t>
      </w:r>
      <w:r w:rsidR="003E1BD4" w:rsidRPr="004D2EF1">
        <w:t xml:space="preserve"> </w:t>
      </w:r>
      <w:r w:rsidR="003E1BD4">
        <w:t>for triple therapy in type 2</w:t>
      </w:r>
      <w:r>
        <w:t xml:space="preserve"> diabetes</w:t>
      </w:r>
      <w:r w:rsidR="003E1BD4">
        <w:t xml:space="preserve">. </w:t>
      </w:r>
      <w:r w:rsidR="003E1BD4" w:rsidRPr="004D2EF1">
        <w:t>The submissions were rejected, as the PBAC did not accept pioglitazone as the appropriate comparator, in view of concerns about adverse cardiovascular events and its diminishing use in the clinical treatment algorithm for type 2 diabetes. The secondary comparators exenatide and linagliptin were also not accepted as appropriate comparators.</w:t>
      </w:r>
    </w:p>
    <w:p w:rsidR="00551664" w:rsidRDefault="00551664" w:rsidP="00551664">
      <w:pPr>
        <w:pStyle w:val="ListParagraph"/>
      </w:pPr>
    </w:p>
    <w:p w:rsidR="00551664" w:rsidRDefault="00551664" w:rsidP="00551664">
      <w:pPr>
        <w:pStyle w:val="ListParagraph"/>
        <w:widowControl/>
        <w:numPr>
          <w:ilvl w:val="1"/>
          <w:numId w:val="4"/>
        </w:numPr>
      </w:pPr>
      <w:r w:rsidRPr="00551664">
        <w:t>The PBAC consider</w:t>
      </w:r>
      <w:r w:rsidR="00595E1A">
        <w:t>ed</w:t>
      </w:r>
      <w:r w:rsidRPr="00551664">
        <w:t xml:space="preserve"> a submission for triple oral therapy for linagliptin at the March 2016 PBAC meeting</w:t>
      </w:r>
      <w:r w:rsidR="0069145C">
        <w:t xml:space="preserve"> [refers item 7.05].</w:t>
      </w:r>
    </w:p>
    <w:p w:rsidR="006D699D" w:rsidRDefault="006D699D" w:rsidP="006D699D">
      <w:pPr>
        <w:pStyle w:val="BodyText"/>
      </w:pPr>
    </w:p>
    <w:p w:rsidR="003E1BD4" w:rsidRDefault="003E1BD4" w:rsidP="003E1BD4">
      <w:pPr>
        <w:pStyle w:val="ListParagraph"/>
      </w:pPr>
    </w:p>
    <w:p w:rsidR="00B50DB8" w:rsidRPr="00407F2D" w:rsidRDefault="00B50DB8" w:rsidP="00FF792C">
      <w:pPr>
        <w:pStyle w:val="Heading1"/>
      </w:pPr>
      <w:bookmarkStart w:id="6" w:name="_Toc440983176"/>
      <w:r w:rsidRPr="00407F2D">
        <w:t>Clinical place for the proposed therapy</w:t>
      </w:r>
      <w:bookmarkEnd w:id="6"/>
    </w:p>
    <w:p w:rsidR="00B60939" w:rsidRPr="00882085" w:rsidRDefault="00B60939" w:rsidP="00B60939">
      <w:pPr>
        <w:rPr>
          <w:szCs w:val="22"/>
        </w:rPr>
      </w:pPr>
    </w:p>
    <w:p w:rsidR="00B60939" w:rsidRPr="0060239C" w:rsidRDefault="0060239C" w:rsidP="008A55D3">
      <w:pPr>
        <w:pStyle w:val="ListParagraph"/>
        <w:widowControl/>
        <w:numPr>
          <w:ilvl w:val="1"/>
          <w:numId w:val="4"/>
        </w:numPr>
        <w:rPr>
          <w:color w:val="000000" w:themeColor="text1"/>
          <w:szCs w:val="22"/>
        </w:rPr>
      </w:pPr>
      <w:r w:rsidRPr="0060239C">
        <w:rPr>
          <w:color w:val="000000" w:themeColor="text1"/>
        </w:rPr>
        <w:t>Type 2 diabetes as triple oral therapy in combination with metformin and a sulfonylurea when therapy with both agents does not provide adequate glycaemic control. Alternative agents for triple therapy (with metformin and a sulfonylurea) include oral therapies pioglitazone, dapagliflozin and other DPP-4 inhibitors or injection therapies insulin and exenatide.</w:t>
      </w:r>
    </w:p>
    <w:p w:rsidR="00EC265C" w:rsidRDefault="00EC265C" w:rsidP="00894489">
      <w:pPr>
        <w:widowControl/>
        <w:rPr>
          <w:szCs w:val="22"/>
        </w:rPr>
      </w:pPr>
    </w:p>
    <w:p w:rsidR="00FA6D34" w:rsidRPr="002C2775" w:rsidRDefault="00FA6D34" w:rsidP="00894489">
      <w:pPr>
        <w:widowControl/>
        <w:rPr>
          <w:szCs w:val="22"/>
        </w:rPr>
      </w:pPr>
    </w:p>
    <w:p w:rsidR="00B50DB8" w:rsidRPr="00407F2D" w:rsidRDefault="00B50DB8" w:rsidP="00FF792C">
      <w:pPr>
        <w:pStyle w:val="Heading1"/>
        <w:rPr>
          <w:b w:val="0"/>
        </w:rPr>
      </w:pPr>
      <w:bookmarkStart w:id="7" w:name="_Toc440983177"/>
      <w:r w:rsidRPr="00407F2D">
        <w:t>Comparator</w:t>
      </w:r>
      <w:bookmarkEnd w:id="7"/>
    </w:p>
    <w:p w:rsidR="00B60939" w:rsidRPr="00882085" w:rsidRDefault="00B60939" w:rsidP="004B1CB4"/>
    <w:p w:rsidR="00B60939" w:rsidRPr="00F21B2E" w:rsidRDefault="0060239C" w:rsidP="008A55D3">
      <w:pPr>
        <w:pStyle w:val="ListParagraph"/>
        <w:widowControl/>
        <w:numPr>
          <w:ilvl w:val="1"/>
          <w:numId w:val="4"/>
        </w:numPr>
        <w:rPr>
          <w:szCs w:val="22"/>
        </w:rPr>
      </w:pPr>
      <w:r w:rsidRPr="00682FC3">
        <w:rPr>
          <w:color w:val="000000" w:themeColor="text1"/>
        </w:rPr>
        <w:t xml:space="preserve">Dapagliflozin, with sitagliptin and saxagliptin as supplementary comparators. </w:t>
      </w:r>
      <w:r w:rsidR="00F067A2" w:rsidRPr="00682FC3">
        <w:t>Th</w:t>
      </w:r>
      <w:r w:rsidRPr="00682FC3">
        <w:t xml:space="preserve">ese were appropriate comparators. Dapagliflozin was the nominated main comparator as it was the only appropriate comparator with a PBS-listing for triple oral therapy at the time of the submission. </w:t>
      </w:r>
      <w:r w:rsidR="008B65E1" w:rsidRPr="00682FC3">
        <w:t>D</w:t>
      </w:r>
      <w:r w:rsidRPr="00682FC3">
        <w:t xml:space="preserve">apagliflozin/metformin XR FDC, sitagliptin and saxagliptin and their associated </w:t>
      </w:r>
      <w:r w:rsidR="003E437E" w:rsidRPr="00682FC3">
        <w:t>FDCs</w:t>
      </w:r>
      <w:r w:rsidRPr="00682FC3">
        <w:t xml:space="preserve"> were </w:t>
      </w:r>
      <w:r w:rsidR="008B65E1" w:rsidRPr="00682FC3">
        <w:t>subsequently</w:t>
      </w:r>
      <w:r w:rsidRPr="00682FC3">
        <w:t xml:space="preserve"> PBS-listed for triple oral therapy</w:t>
      </w:r>
      <w:r w:rsidR="008B65E1" w:rsidRPr="00682FC3">
        <w:t xml:space="preserve"> (1 December 2015)</w:t>
      </w:r>
      <w:r w:rsidRPr="00682FC3">
        <w:t>.</w:t>
      </w:r>
    </w:p>
    <w:p w:rsidR="006D699D" w:rsidRDefault="006D699D" w:rsidP="006D699D">
      <w:pPr>
        <w:pStyle w:val="BodyText"/>
      </w:pPr>
    </w:p>
    <w:p w:rsidR="006D699D" w:rsidRDefault="006D699D" w:rsidP="006D699D">
      <w:pPr>
        <w:pStyle w:val="BodyText"/>
        <w:rPr>
          <w:szCs w:val="22"/>
        </w:rPr>
      </w:pPr>
      <w:r w:rsidRPr="00A41648">
        <w:rPr>
          <w:i/>
          <w:szCs w:val="22"/>
        </w:rPr>
        <w:t>For more detail on PBAC’s view, see section 7 “PBAC outcome”</w:t>
      </w:r>
    </w:p>
    <w:p w:rsidR="006D699D" w:rsidRDefault="006D699D" w:rsidP="006D699D">
      <w:pPr>
        <w:pStyle w:val="BodyText"/>
      </w:pPr>
    </w:p>
    <w:p w:rsidR="00F26CA6" w:rsidRPr="0060239C" w:rsidRDefault="00F26CA6" w:rsidP="0060239C">
      <w:pPr>
        <w:widowControl/>
        <w:rPr>
          <w:szCs w:val="22"/>
        </w:rPr>
      </w:pPr>
    </w:p>
    <w:p w:rsidR="00B50DB8" w:rsidRPr="00407F2D" w:rsidRDefault="00BD6CF3" w:rsidP="00FF792C">
      <w:pPr>
        <w:pStyle w:val="Heading1"/>
      </w:pPr>
      <w:bookmarkStart w:id="8" w:name="_Toc440983178"/>
      <w:r>
        <w:t>C</w:t>
      </w:r>
      <w:r w:rsidR="00B50DB8" w:rsidRPr="00407F2D">
        <w:t>onsideration of the evidence</w:t>
      </w:r>
      <w:bookmarkEnd w:id="8"/>
    </w:p>
    <w:p w:rsidR="006D699D" w:rsidRDefault="006D699D" w:rsidP="006D699D">
      <w:pPr>
        <w:pStyle w:val="PBACheading1"/>
        <w:numPr>
          <w:ilvl w:val="0"/>
          <w:numId w:val="0"/>
        </w:numPr>
        <w:rPr>
          <w:highlight w:val="yellow"/>
        </w:rPr>
      </w:pPr>
      <w:bookmarkStart w:id="9" w:name="_Toc440983179"/>
    </w:p>
    <w:p w:rsidR="006D699D" w:rsidRPr="002F39B8" w:rsidRDefault="006D699D" w:rsidP="002F39B8">
      <w:pPr>
        <w:pStyle w:val="Heading2"/>
      </w:pPr>
      <w:r w:rsidRPr="002F39B8">
        <w:t>Sponsor hearing</w:t>
      </w:r>
    </w:p>
    <w:p w:rsidR="006D699D" w:rsidRPr="00A463F1" w:rsidRDefault="006D699D" w:rsidP="006D699D">
      <w:pPr>
        <w:pStyle w:val="PBACheading1"/>
        <w:numPr>
          <w:ilvl w:val="0"/>
          <w:numId w:val="0"/>
        </w:numPr>
        <w:ind w:left="720" w:hanging="720"/>
        <w:rPr>
          <w:b/>
          <w:i/>
        </w:rPr>
      </w:pPr>
    </w:p>
    <w:p w:rsidR="006D699D" w:rsidRPr="00A463F1" w:rsidRDefault="006D699D" w:rsidP="006D699D">
      <w:pPr>
        <w:pStyle w:val="PBACheading1"/>
        <w:numPr>
          <w:ilvl w:val="1"/>
          <w:numId w:val="23"/>
        </w:numPr>
        <w:rPr>
          <w:bCs/>
        </w:rPr>
      </w:pPr>
      <w:r w:rsidRPr="00A463F1">
        <w:rPr>
          <w:bCs/>
        </w:rPr>
        <w:t>Ther</w:t>
      </w:r>
      <w:r w:rsidR="00A463F1" w:rsidRPr="00A463F1">
        <w:rPr>
          <w:bCs/>
        </w:rPr>
        <w:t>e was no hearing for this item.</w:t>
      </w:r>
    </w:p>
    <w:p w:rsidR="006D699D" w:rsidRPr="00A463F1" w:rsidRDefault="006D699D" w:rsidP="006D699D">
      <w:pPr>
        <w:pStyle w:val="ListParagraph"/>
        <w:rPr>
          <w:bCs/>
        </w:rPr>
      </w:pPr>
    </w:p>
    <w:p w:rsidR="006D699D" w:rsidRPr="00A463F1" w:rsidRDefault="006D699D" w:rsidP="002F39B8">
      <w:pPr>
        <w:pStyle w:val="Heading2"/>
      </w:pPr>
      <w:r w:rsidRPr="00A463F1">
        <w:t>Consumer comments</w:t>
      </w:r>
    </w:p>
    <w:p w:rsidR="006D699D" w:rsidRPr="00FA6D34" w:rsidRDefault="006D699D" w:rsidP="006D699D">
      <w:pPr>
        <w:widowControl/>
        <w:rPr>
          <w:bCs/>
          <w:szCs w:val="22"/>
        </w:rPr>
      </w:pPr>
    </w:p>
    <w:p w:rsidR="006D699D" w:rsidRPr="00FA6D34" w:rsidRDefault="006D699D" w:rsidP="006D699D">
      <w:pPr>
        <w:pStyle w:val="ListParagraph"/>
        <w:widowControl/>
        <w:numPr>
          <w:ilvl w:val="1"/>
          <w:numId w:val="22"/>
        </w:numPr>
        <w:rPr>
          <w:bCs/>
          <w:szCs w:val="22"/>
        </w:rPr>
      </w:pPr>
      <w:r w:rsidRPr="00FA6D34">
        <w:rPr>
          <w:bCs/>
          <w:szCs w:val="22"/>
        </w:rPr>
        <w:t>The PBAC noted that no consumer comme</w:t>
      </w:r>
      <w:r w:rsidR="00A463F1" w:rsidRPr="00FA6D34">
        <w:rPr>
          <w:bCs/>
          <w:szCs w:val="22"/>
        </w:rPr>
        <w:t>nts were received for this item</w:t>
      </w:r>
      <w:r w:rsidRPr="00FA6D34">
        <w:rPr>
          <w:bCs/>
          <w:szCs w:val="22"/>
        </w:rPr>
        <w:t>.</w:t>
      </w:r>
    </w:p>
    <w:p w:rsidR="006D699D" w:rsidRDefault="006D699D" w:rsidP="006D699D">
      <w:pPr>
        <w:rPr>
          <w:i/>
        </w:rPr>
      </w:pPr>
    </w:p>
    <w:p w:rsidR="006442E6" w:rsidRPr="006D699D" w:rsidRDefault="006442E6" w:rsidP="006D699D">
      <w:pPr>
        <w:rPr>
          <w:i/>
        </w:rPr>
      </w:pPr>
    </w:p>
    <w:p w:rsidR="00B60939" w:rsidRPr="002C2775" w:rsidRDefault="00B60939" w:rsidP="002F39B8">
      <w:pPr>
        <w:pStyle w:val="Heading2"/>
      </w:pPr>
      <w:r w:rsidRPr="002C2775">
        <w:t>Clinical trials</w:t>
      </w:r>
      <w:bookmarkEnd w:id="9"/>
    </w:p>
    <w:p w:rsidR="00B60939" w:rsidRPr="00882085" w:rsidRDefault="00B60939" w:rsidP="00B60939">
      <w:pPr>
        <w:rPr>
          <w:szCs w:val="22"/>
        </w:rPr>
      </w:pPr>
    </w:p>
    <w:p w:rsidR="0060239C" w:rsidRPr="00064581" w:rsidRDefault="0060239C" w:rsidP="006D699D">
      <w:pPr>
        <w:pStyle w:val="ListParagraph"/>
        <w:widowControl/>
        <w:numPr>
          <w:ilvl w:val="1"/>
          <w:numId w:val="24"/>
        </w:numPr>
        <w:rPr>
          <w:szCs w:val="22"/>
        </w:rPr>
      </w:pPr>
      <w:r w:rsidRPr="00064581">
        <w:t>T</w:t>
      </w:r>
      <w:r w:rsidR="00862502" w:rsidRPr="00064581">
        <w:t xml:space="preserve">he submission </w:t>
      </w:r>
      <w:r w:rsidRPr="00064581">
        <w:t>wa</w:t>
      </w:r>
      <w:r w:rsidR="00862502" w:rsidRPr="00064581">
        <w:t xml:space="preserve">s based on </w:t>
      </w:r>
      <w:r w:rsidRPr="00064581">
        <w:t>an indirect comparison of one vildagliptin trial (Trial 23152) with placebo + metformin + sulfonylurea as common comparator, with:</w:t>
      </w:r>
    </w:p>
    <w:p w:rsidR="007F1017" w:rsidRPr="00064581" w:rsidRDefault="0060239C" w:rsidP="008A55D3">
      <w:pPr>
        <w:pStyle w:val="ListParagraph"/>
        <w:widowControl/>
        <w:numPr>
          <w:ilvl w:val="0"/>
          <w:numId w:val="11"/>
        </w:numPr>
        <w:ind w:left="993" w:hanging="284"/>
        <w:rPr>
          <w:szCs w:val="22"/>
        </w:rPr>
      </w:pPr>
      <w:r w:rsidRPr="00064581">
        <w:t>One dapagliflozin trial (Matthaei 2015)</w:t>
      </w:r>
    </w:p>
    <w:p w:rsidR="00064581" w:rsidRPr="00064581" w:rsidRDefault="0060239C" w:rsidP="008A55D3">
      <w:pPr>
        <w:pStyle w:val="ListParagraph"/>
        <w:widowControl/>
        <w:numPr>
          <w:ilvl w:val="0"/>
          <w:numId w:val="11"/>
        </w:numPr>
        <w:ind w:left="993" w:hanging="284"/>
        <w:rPr>
          <w:szCs w:val="22"/>
        </w:rPr>
      </w:pPr>
      <w:r w:rsidRPr="00064581">
        <w:t>Three sitagliptin trials</w:t>
      </w:r>
      <w:r w:rsidR="00DD41AB" w:rsidRPr="00064581">
        <w:t xml:space="preserve"> (Hermansen 2007, </w:t>
      </w:r>
      <w:r w:rsidR="00064581" w:rsidRPr="00064581">
        <w:t>NCT01076075, NCT01590771)</w:t>
      </w:r>
    </w:p>
    <w:p w:rsidR="0060239C" w:rsidRPr="00064581" w:rsidRDefault="0060239C" w:rsidP="008A55D3">
      <w:pPr>
        <w:pStyle w:val="ListParagraph"/>
        <w:widowControl/>
        <w:numPr>
          <w:ilvl w:val="0"/>
          <w:numId w:val="11"/>
        </w:numPr>
        <w:ind w:left="993" w:hanging="284"/>
        <w:rPr>
          <w:szCs w:val="22"/>
        </w:rPr>
      </w:pPr>
      <w:r w:rsidRPr="00064581">
        <w:t>One saxagliptin trial (Moses 2014)</w:t>
      </w:r>
    </w:p>
    <w:p w:rsidR="008B65E1" w:rsidRDefault="008B65E1" w:rsidP="0060239C">
      <w:pPr>
        <w:widowControl/>
        <w:ind w:left="709"/>
        <w:rPr>
          <w:szCs w:val="22"/>
        </w:rPr>
      </w:pPr>
    </w:p>
    <w:p w:rsidR="0060239C" w:rsidRPr="0060239C" w:rsidRDefault="0060239C" w:rsidP="0060239C">
      <w:pPr>
        <w:widowControl/>
        <w:ind w:left="709"/>
        <w:rPr>
          <w:szCs w:val="22"/>
        </w:rPr>
      </w:pPr>
      <w:r w:rsidRPr="00064581">
        <w:rPr>
          <w:szCs w:val="22"/>
        </w:rPr>
        <w:t xml:space="preserve">The submission also presented the results of a head-to-head </w:t>
      </w:r>
      <w:r w:rsidR="008B65E1">
        <w:rPr>
          <w:szCs w:val="22"/>
        </w:rPr>
        <w:t xml:space="preserve">study </w:t>
      </w:r>
      <w:r w:rsidRPr="00064581">
        <w:rPr>
          <w:szCs w:val="22"/>
        </w:rPr>
        <w:t xml:space="preserve">of vildagliptin and saxagliptin (Chen </w:t>
      </w:r>
      <w:r w:rsidR="00064581" w:rsidRPr="00064581">
        <w:rPr>
          <w:szCs w:val="22"/>
        </w:rPr>
        <w:t>2015</w:t>
      </w:r>
      <w:r w:rsidR="00064581">
        <w:rPr>
          <w:szCs w:val="22"/>
        </w:rPr>
        <w:t>) as supplementary evidence</w:t>
      </w:r>
      <w:r w:rsidR="008B65E1">
        <w:rPr>
          <w:szCs w:val="22"/>
        </w:rPr>
        <w:t>, as the study was open label and limited information was available from the published abstract</w:t>
      </w:r>
      <w:r w:rsidR="00064581">
        <w:rPr>
          <w:szCs w:val="22"/>
        </w:rPr>
        <w:t>.</w:t>
      </w:r>
    </w:p>
    <w:p w:rsidR="00862502" w:rsidRPr="00862502" w:rsidRDefault="00862502" w:rsidP="00862502">
      <w:pPr>
        <w:widowControl/>
        <w:rPr>
          <w:szCs w:val="22"/>
        </w:rPr>
      </w:pPr>
    </w:p>
    <w:p w:rsidR="00862502" w:rsidRPr="00B50DB8" w:rsidRDefault="00862502" w:rsidP="008A55D3">
      <w:pPr>
        <w:pStyle w:val="ListParagraph"/>
        <w:widowControl/>
        <w:numPr>
          <w:ilvl w:val="1"/>
          <w:numId w:val="4"/>
        </w:numPr>
        <w:rPr>
          <w:szCs w:val="22"/>
        </w:rPr>
      </w:pPr>
      <w:r w:rsidRPr="00B50DB8">
        <w:rPr>
          <w:szCs w:val="22"/>
        </w:rPr>
        <w:t>Details of the trials presented in the submission are provided in the table below.</w:t>
      </w:r>
    </w:p>
    <w:p w:rsidR="00862502" w:rsidRPr="00862502" w:rsidRDefault="00862502" w:rsidP="00862502">
      <w:pPr>
        <w:widowControl/>
        <w:rPr>
          <w:szCs w:val="22"/>
        </w:rPr>
      </w:pPr>
    </w:p>
    <w:p w:rsidR="008F120A" w:rsidRDefault="008F120A" w:rsidP="00EF2129">
      <w:pPr>
        <w:ind w:firstLine="720"/>
        <w:rPr>
          <w:rStyle w:val="CommentReference"/>
        </w:rPr>
      </w:pPr>
      <w:r w:rsidRPr="000812CA">
        <w:rPr>
          <w:rStyle w:val="CommentReference"/>
        </w:rPr>
        <w:t xml:space="preserve">Table </w:t>
      </w:r>
      <w:r w:rsidR="00EC3D64">
        <w:rPr>
          <w:rStyle w:val="CommentReference"/>
        </w:rPr>
        <w:t>1</w:t>
      </w:r>
      <w:r w:rsidRPr="000812CA">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3"/>
        <w:gridCol w:w="5256"/>
        <w:gridCol w:w="1966"/>
      </w:tblGrid>
      <w:tr w:rsidR="00064581" w:rsidRPr="004E2ADC" w:rsidTr="00EF2129">
        <w:trPr>
          <w:cantSplit/>
          <w:tblHeader/>
        </w:trPr>
        <w:tc>
          <w:tcPr>
            <w:tcW w:w="673" w:type="pct"/>
            <w:tcBorders>
              <w:top w:val="single" w:sz="4" w:space="0" w:color="auto"/>
              <w:left w:val="single" w:sz="4" w:space="0" w:color="auto"/>
              <w:bottom w:val="single" w:sz="4" w:space="0" w:color="auto"/>
              <w:right w:val="single" w:sz="4" w:space="0" w:color="auto"/>
            </w:tcBorders>
            <w:vAlign w:val="center"/>
          </w:tcPr>
          <w:p w:rsidR="00064581" w:rsidRPr="004E2ADC" w:rsidRDefault="00064581" w:rsidP="00EF2129">
            <w:pPr>
              <w:pStyle w:val="TableHeading"/>
              <w:keepNext w:val="0"/>
              <w:spacing w:before="0" w:after="0"/>
              <w:rPr>
                <w:rFonts w:cs="Arial"/>
                <w:lang w:eastAsia="en-AU"/>
              </w:rPr>
            </w:pPr>
            <w:r w:rsidRPr="004E2ADC">
              <w:rPr>
                <w:rFonts w:cs="Arial"/>
                <w:lang w:eastAsia="en-AU"/>
              </w:rPr>
              <w:t>Trial</w:t>
            </w:r>
          </w:p>
        </w:tc>
        <w:tc>
          <w:tcPr>
            <w:tcW w:w="3149" w:type="pct"/>
            <w:tcBorders>
              <w:top w:val="single" w:sz="4" w:space="0" w:color="auto"/>
              <w:left w:val="single" w:sz="4" w:space="0" w:color="auto"/>
              <w:bottom w:val="single" w:sz="4" w:space="0" w:color="auto"/>
              <w:right w:val="single" w:sz="4" w:space="0" w:color="auto"/>
            </w:tcBorders>
            <w:vAlign w:val="center"/>
          </w:tcPr>
          <w:p w:rsidR="00064581" w:rsidRPr="004E2ADC" w:rsidRDefault="00064581" w:rsidP="00EF2129">
            <w:pPr>
              <w:pStyle w:val="TableHeading"/>
              <w:keepNext w:val="0"/>
              <w:spacing w:before="0" w:after="0"/>
              <w:jc w:val="center"/>
              <w:rPr>
                <w:rFonts w:cs="Arial"/>
                <w:lang w:eastAsia="en-AU"/>
              </w:rPr>
            </w:pPr>
            <w:r>
              <w:rPr>
                <w:rFonts w:cs="Arial"/>
                <w:lang w:eastAsia="en-AU"/>
              </w:rPr>
              <w:t>Protocol title/Publication title</w:t>
            </w:r>
          </w:p>
        </w:tc>
        <w:tc>
          <w:tcPr>
            <w:tcW w:w="1178" w:type="pct"/>
            <w:tcBorders>
              <w:top w:val="single" w:sz="4" w:space="0" w:color="auto"/>
              <w:left w:val="single" w:sz="4" w:space="0" w:color="auto"/>
              <w:bottom w:val="single" w:sz="4" w:space="0" w:color="auto"/>
              <w:right w:val="single" w:sz="4" w:space="0" w:color="auto"/>
            </w:tcBorders>
            <w:vAlign w:val="center"/>
          </w:tcPr>
          <w:p w:rsidR="00064581" w:rsidRPr="004E2ADC" w:rsidRDefault="00064581" w:rsidP="00EF2129">
            <w:pPr>
              <w:pStyle w:val="TableHeading"/>
              <w:keepNext w:val="0"/>
              <w:spacing w:before="0" w:after="0"/>
              <w:jc w:val="center"/>
              <w:rPr>
                <w:rFonts w:cs="Arial"/>
                <w:lang w:eastAsia="en-AU"/>
              </w:rPr>
            </w:pPr>
            <w:r>
              <w:rPr>
                <w:rFonts w:cs="Arial"/>
                <w:lang w:eastAsia="en-AU"/>
              </w:rPr>
              <w:t>Publication citation</w:t>
            </w:r>
          </w:p>
        </w:tc>
      </w:tr>
      <w:tr w:rsidR="00107311" w:rsidRPr="004E2ADC" w:rsidTr="00107311">
        <w:trPr>
          <w:cantSplit/>
        </w:trPr>
        <w:tc>
          <w:tcPr>
            <w:tcW w:w="5000" w:type="pct"/>
            <w:gridSpan w:val="3"/>
            <w:tcBorders>
              <w:top w:val="single" w:sz="4" w:space="0" w:color="auto"/>
              <w:left w:val="single" w:sz="4" w:space="0" w:color="auto"/>
              <w:bottom w:val="single" w:sz="4" w:space="0" w:color="auto"/>
              <w:right w:val="single" w:sz="4" w:space="0" w:color="auto"/>
            </w:tcBorders>
          </w:tcPr>
          <w:p w:rsidR="00107311" w:rsidRPr="004E2ADC" w:rsidRDefault="00107311" w:rsidP="00EF2129">
            <w:pPr>
              <w:pStyle w:val="TableHeading"/>
              <w:keepNext w:val="0"/>
              <w:spacing w:before="0" w:after="0"/>
              <w:rPr>
                <w:rFonts w:cs="Arial"/>
                <w:lang w:eastAsia="en-AU"/>
              </w:rPr>
            </w:pPr>
            <w:r>
              <w:rPr>
                <w:rFonts w:cs="Arial"/>
                <w:lang w:eastAsia="en-AU"/>
              </w:rPr>
              <w:t>Common reference placebo + metformin + sulfonylurea</w:t>
            </w:r>
          </w:p>
        </w:tc>
      </w:tr>
      <w:tr w:rsidR="00107311" w:rsidRPr="004E2ADC" w:rsidTr="00107311">
        <w:trPr>
          <w:cantSplit/>
        </w:trPr>
        <w:tc>
          <w:tcPr>
            <w:tcW w:w="5000" w:type="pct"/>
            <w:gridSpan w:val="3"/>
            <w:tcBorders>
              <w:top w:val="single" w:sz="4" w:space="0" w:color="auto"/>
              <w:left w:val="single" w:sz="4" w:space="0" w:color="auto"/>
              <w:bottom w:val="single" w:sz="4" w:space="0" w:color="auto"/>
              <w:right w:val="single" w:sz="4" w:space="0" w:color="auto"/>
            </w:tcBorders>
          </w:tcPr>
          <w:p w:rsidR="00107311" w:rsidRPr="004E2ADC" w:rsidRDefault="00107311" w:rsidP="00EF2129">
            <w:pPr>
              <w:pStyle w:val="TableText0"/>
              <w:keepNext w:val="0"/>
              <w:spacing w:before="0" w:after="0"/>
              <w:rPr>
                <w:rFonts w:cs="Arial"/>
                <w:i/>
                <w:iCs/>
                <w:lang w:eastAsia="en-AU"/>
              </w:rPr>
            </w:pPr>
            <w:r>
              <w:rPr>
                <w:rFonts w:cs="Arial"/>
                <w:i/>
                <w:iCs/>
                <w:lang w:eastAsia="en-AU"/>
              </w:rPr>
              <w:t>Vildagliptin</w:t>
            </w:r>
          </w:p>
        </w:tc>
      </w:tr>
      <w:tr w:rsidR="00107311" w:rsidRPr="004E2ADC" w:rsidTr="0044003D">
        <w:trPr>
          <w:cantSplit/>
        </w:trPr>
        <w:tc>
          <w:tcPr>
            <w:tcW w:w="673" w:type="pct"/>
            <w:tcBorders>
              <w:top w:val="single" w:sz="4" w:space="0" w:color="auto"/>
              <w:left w:val="single" w:sz="4" w:space="0" w:color="auto"/>
              <w:bottom w:val="single" w:sz="4" w:space="0" w:color="auto"/>
              <w:right w:val="single" w:sz="4" w:space="0" w:color="auto"/>
            </w:tcBorders>
          </w:tcPr>
          <w:p w:rsidR="00107311" w:rsidRPr="004E2ADC" w:rsidRDefault="000E7D64" w:rsidP="00EF2129">
            <w:pPr>
              <w:pStyle w:val="TableText0"/>
              <w:keepNext w:val="0"/>
              <w:spacing w:before="0" w:after="0"/>
              <w:rPr>
                <w:rFonts w:cs="Arial"/>
                <w:lang w:eastAsia="en-AU"/>
              </w:rPr>
            </w:pPr>
            <w:r>
              <w:rPr>
                <w:rFonts w:cs="Arial"/>
                <w:lang w:eastAsia="en-AU"/>
              </w:rPr>
              <w:t>Trial</w:t>
            </w:r>
            <w:r w:rsidR="00107311">
              <w:rPr>
                <w:rFonts w:cs="Arial"/>
                <w:lang w:eastAsia="en-AU"/>
              </w:rPr>
              <w:t xml:space="preserve"> 23152</w:t>
            </w:r>
          </w:p>
        </w:tc>
        <w:tc>
          <w:tcPr>
            <w:tcW w:w="3149" w:type="pct"/>
            <w:tcBorders>
              <w:top w:val="single" w:sz="4" w:space="0" w:color="auto"/>
              <w:left w:val="single" w:sz="4" w:space="0" w:color="auto"/>
              <w:bottom w:val="single" w:sz="4" w:space="0" w:color="auto"/>
              <w:right w:val="single" w:sz="4" w:space="0" w:color="auto"/>
            </w:tcBorders>
          </w:tcPr>
          <w:p w:rsidR="00107311" w:rsidRDefault="00107311" w:rsidP="00EF2129">
            <w:pPr>
              <w:pStyle w:val="TableText0"/>
              <w:keepNext w:val="0"/>
              <w:spacing w:before="0" w:after="0"/>
              <w:rPr>
                <w:rFonts w:cs="Arial"/>
                <w:lang w:eastAsia="en-AU"/>
              </w:rPr>
            </w:pPr>
            <w:r>
              <w:rPr>
                <w:rFonts w:cs="Arial"/>
                <w:lang w:eastAsia="en-AU"/>
              </w:rPr>
              <w:t xml:space="preserve">A multi-centre, randomised, double-blind, placebo controlled study to evaluate the efficacy and safety of 24 weeks treatment with vildagliptin 50mg bid as add-on therapy to metformin plus glimepiride in patients with type 2 diabetes. </w:t>
            </w:r>
          </w:p>
          <w:p w:rsidR="0044003D" w:rsidRPr="004E2ADC" w:rsidRDefault="0044003D"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r>
              <w:rPr>
                <w:rFonts w:cs="Arial"/>
                <w:lang w:eastAsia="en-AU"/>
              </w:rPr>
              <w:t xml:space="preserve">Lukashevich V, et al. Efficacy and safety of vildagliptin in patients with type 2 diabetes mellitus inadequately controlled with dual combination </w:t>
            </w:r>
            <w:r w:rsidR="0044003D">
              <w:rPr>
                <w:rFonts w:cs="Arial"/>
                <w:lang w:eastAsia="en-AU"/>
              </w:rPr>
              <w:t>of metformin and sulphonylurea.</w:t>
            </w:r>
          </w:p>
          <w:p w:rsidR="0044003D" w:rsidRDefault="0044003D" w:rsidP="00EF2129">
            <w:pPr>
              <w:pStyle w:val="TableText0"/>
              <w:keepNext w:val="0"/>
              <w:spacing w:before="0" w:after="0"/>
              <w:rPr>
                <w:rFonts w:cs="Arial"/>
                <w:lang w:eastAsia="en-AU"/>
              </w:rPr>
            </w:pPr>
          </w:p>
          <w:p w:rsidR="00107311" w:rsidRPr="004E2ADC" w:rsidRDefault="00107311" w:rsidP="00EF2129">
            <w:pPr>
              <w:pStyle w:val="TableText0"/>
              <w:keepNext w:val="0"/>
              <w:spacing w:before="0" w:after="0"/>
              <w:rPr>
                <w:rFonts w:cs="Arial"/>
                <w:lang w:eastAsia="en-AU"/>
              </w:rPr>
            </w:pPr>
            <w:r>
              <w:rPr>
                <w:rFonts w:cs="Arial"/>
                <w:lang w:eastAsia="en-AU"/>
              </w:rPr>
              <w:t xml:space="preserve">Lukashevich V, et al. Vildagliptin efficacy and safety in patients with type 2 diabetes inadequately controlled on dual metformin plus sulfonylurea therapy. </w:t>
            </w:r>
          </w:p>
        </w:tc>
        <w:tc>
          <w:tcPr>
            <w:tcW w:w="1178" w:type="pct"/>
            <w:tcBorders>
              <w:top w:val="single" w:sz="4" w:space="0" w:color="auto"/>
              <w:left w:val="single" w:sz="4" w:space="0" w:color="auto"/>
              <w:bottom w:val="single" w:sz="4" w:space="0" w:color="auto"/>
              <w:right w:val="single" w:sz="4" w:space="0" w:color="auto"/>
            </w:tcBorders>
          </w:tcPr>
          <w:p w:rsidR="0044003D" w:rsidRDefault="0044003D" w:rsidP="00EF2129">
            <w:pPr>
              <w:pStyle w:val="TableText0"/>
              <w:keepNext w:val="0"/>
              <w:spacing w:before="0" w:after="0"/>
              <w:rPr>
                <w:rFonts w:cs="Arial"/>
                <w:lang w:eastAsia="en-AU"/>
              </w:rPr>
            </w:pPr>
            <w:r>
              <w:rPr>
                <w:rFonts w:cs="Arial"/>
                <w:lang w:eastAsia="en-AU"/>
              </w:rPr>
              <w:t>Clinical Study Report, 2 Feb 2012</w:t>
            </w:r>
          </w:p>
          <w:p w:rsidR="0044003D" w:rsidRDefault="0044003D" w:rsidP="00EF2129">
            <w:pPr>
              <w:pStyle w:val="TableText0"/>
              <w:keepNext w:val="0"/>
              <w:spacing w:before="0" w:after="0"/>
              <w:rPr>
                <w:rFonts w:cs="Arial"/>
                <w:lang w:eastAsia="en-AU"/>
              </w:rPr>
            </w:pPr>
          </w:p>
          <w:p w:rsidR="0044003D" w:rsidRDefault="0044003D" w:rsidP="00EF2129">
            <w:pPr>
              <w:pStyle w:val="TableText0"/>
              <w:keepNext w:val="0"/>
              <w:spacing w:before="0" w:after="0"/>
              <w:rPr>
                <w:rFonts w:cs="Arial"/>
                <w:lang w:eastAsia="en-AU"/>
              </w:rPr>
            </w:pPr>
          </w:p>
          <w:p w:rsidR="0044003D" w:rsidRDefault="0044003D" w:rsidP="00EF2129">
            <w:pPr>
              <w:pStyle w:val="TableText0"/>
              <w:keepNext w:val="0"/>
              <w:spacing w:before="0" w:after="0"/>
              <w:rPr>
                <w:rFonts w:cs="Arial"/>
                <w:lang w:eastAsia="en-AU"/>
              </w:rPr>
            </w:pPr>
          </w:p>
          <w:p w:rsidR="0044003D" w:rsidRDefault="0044003D" w:rsidP="00EF2129">
            <w:pPr>
              <w:pStyle w:val="TableText0"/>
              <w:keepNext w:val="0"/>
              <w:spacing w:before="0" w:after="0"/>
              <w:rPr>
                <w:rFonts w:cs="Arial"/>
                <w:lang w:eastAsia="en-AU"/>
              </w:rPr>
            </w:pPr>
            <w:r>
              <w:rPr>
                <w:rFonts w:cs="Arial"/>
                <w:lang w:eastAsia="en-AU"/>
              </w:rPr>
              <w:t>Diabetes, Obesity and Metabolism 2014, 16:403-409.</w:t>
            </w:r>
          </w:p>
          <w:p w:rsidR="0044003D" w:rsidRDefault="0044003D" w:rsidP="00EF2129">
            <w:pPr>
              <w:pStyle w:val="TableText0"/>
              <w:keepNext w:val="0"/>
              <w:spacing w:before="0" w:after="0"/>
              <w:rPr>
                <w:rFonts w:cs="Arial"/>
                <w:lang w:eastAsia="en-AU"/>
              </w:rPr>
            </w:pPr>
          </w:p>
          <w:p w:rsidR="00107311" w:rsidRPr="004E2ADC" w:rsidRDefault="0044003D" w:rsidP="00EF2129">
            <w:pPr>
              <w:pStyle w:val="TableText0"/>
              <w:keepNext w:val="0"/>
              <w:spacing w:before="0" w:after="0"/>
              <w:rPr>
                <w:rFonts w:cs="Arial"/>
                <w:lang w:eastAsia="en-AU"/>
              </w:rPr>
            </w:pPr>
            <w:r>
              <w:rPr>
                <w:rFonts w:cs="Arial"/>
                <w:lang w:eastAsia="en-AU"/>
              </w:rPr>
              <w:t>Diabetologia 2012, 55(Suppl. 1):S353, abstract 856.</w:t>
            </w:r>
          </w:p>
        </w:tc>
      </w:tr>
      <w:tr w:rsidR="00064581" w:rsidRPr="004E2ADC" w:rsidTr="00107311">
        <w:trPr>
          <w:cantSplit/>
        </w:trPr>
        <w:tc>
          <w:tcPr>
            <w:tcW w:w="5000" w:type="pct"/>
            <w:gridSpan w:val="3"/>
            <w:tcBorders>
              <w:top w:val="single" w:sz="4" w:space="0" w:color="auto"/>
              <w:left w:val="single" w:sz="4" w:space="0" w:color="auto"/>
              <w:bottom w:val="single" w:sz="4" w:space="0" w:color="auto"/>
              <w:right w:val="single" w:sz="4" w:space="0" w:color="auto"/>
            </w:tcBorders>
          </w:tcPr>
          <w:p w:rsidR="00064581" w:rsidRPr="004E2ADC" w:rsidRDefault="00064581" w:rsidP="00EF2129">
            <w:pPr>
              <w:pStyle w:val="TableText0"/>
              <w:keepNext w:val="0"/>
              <w:spacing w:before="0" w:after="0"/>
              <w:rPr>
                <w:rFonts w:cs="Arial"/>
                <w:i/>
                <w:iCs/>
                <w:lang w:eastAsia="en-AU"/>
              </w:rPr>
            </w:pPr>
            <w:r>
              <w:rPr>
                <w:rFonts w:cs="Arial"/>
                <w:i/>
                <w:iCs/>
                <w:lang w:eastAsia="en-AU"/>
              </w:rPr>
              <w:t>Dapagliflozin</w:t>
            </w:r>
          </w:p>
        </w:tc>
      </w:tr>
      <w:tr w:rsidR="00107311" w:rsidRPr="004E2ADC" w:rsidTr="00107311">
        <w:trPr>
          <w:cantSplit/>
        </w:trPr>
        <w:tc>
          <w:tcPr>
            <w:tcW w:w="673" w:type="pct"/>
            <w:tcBorders>
              <w:top w:val="single" w:sz="4" w:space="0" w:color="auto"/>
              <w:left w:val="single" w:sz="4" w:space="0" w:color="auto"/>
              <w:bottom w:val="single" w:sz="4" w:space="0" w:color="auto"/>
              <w:right w:val="single" w:sz="4" w:space="0" w:color="auto"/>
            </w:tcBorders>
          </w:tcPr>
          <w:p w:rsidR="00107311" w:rsidRPr="004E2ADC" w:rsidRDefault="00107311" w:rsidP="00EF2129">
            <w:pPr>
              <w:pStyle w:val="TableText0"/>
              <w:keepNext w:val="0"/>
              <w:spacing w:before="0" w:after="0"/>
              <w:rPr>
                <w:rFonts w:cs="Arial"/>
                <w:lang w:eastAsia="en-AU"/>
              </w:rPr>
            </w:pPr>
            <w:r>
              <w:rPr>
                <w:rFonts w:cs="Arial"/>
                <w:lang w:eastAsia="en-AU"/>
              </w:rPr>
              <w:t>Matthaei 2015</w:t>
            </w:r>
          </w:p>
        </w:tc>
        <w:tc>
          <w:tcPr>
            <w:tcW w:w="3149" w:type="pct"/>
            <w:tcBorders>
              <w:top w:val="single" w:sz="4" w:space="0" w:color="auto"/>
              <w:left w:val="single" w:sz="4" w:space="0" w:color="auto"/>
              <w:bottom w:val="single" w:sz="4" w:space="0" w:color="auto"/>
              <w:right w:val="single" w:sz="4" w:space="0" w:color="auto"/>
            </w:tcBorders>
          </w:tcPr>
          <w:p w:rsidR="00107311" w:rsidRDefault="00107311" w:rsidP="00EF2129">
            <w:pPr>
              <w:pStyle w:val="TableText0"/>
              <w:keepNext w:val="0"/>
              <w:spacing w:before="0" w:after="0"/>
              <w:rPr>
                <w:rFonts w:cs="Arial"/>
                <w:lang w:eastAsia="en-AU"/>
              </w:rPr>
            </w:pPr>
            <w:r w:rsidRPr="000079CF">
              <w:rPr>
                <w:rFonts w:cs="Arial"/>
                <w:lang w:eastAsia="en-AU"/>
              </w:rPr>
              <w:t>Matthaei S</w:t>
            </w:r>
            <w:r w:rsidR="0044003D">
              <w:rPr>
                <w:rFonts w:cs="Arial"/>
                <w:lang w:eastAsia="en-AU"/>
              </w:rPr>
              <w:t xml:space="preserve">, Bowering K, </w:t>
            </w:r>
            <w:proofErr w:type="gramStart"/>
            <w:r w:rsidR="0044003D">
              <w:rPr>
                <w:rFonts w:cs="Arial"/>
                <w:lang w:eastAsia="en-AU"/>
              </w:rPr>
              <w:t>Rohwedder</w:t>
            </w:r>
            <w:proofErr w:type="gramEnd"/>
            <w:r w:rsidR="0044003D">
              <w:rPr>
                <w:rFonts w:cs="Arial"/>
                <w:lang w:eastAsia="en-AU"/>
              </w:rPr>
              <w:t xml:space="preserve"> K,</w:t>
            </w:r>
            <w:r>
              <w:rPr>
                <w:rFonts w:cs="Arial"/>
                <w:lang w:eastAsia="en-AU"/>
              </w:rPr>
              <w:t xml:space="preserve"> et al</w:t>
            </w:r>
            <w:r w:rsidRPr="000079CF">
              <w:rPr>
                <w:rFonts w:cs="Arial"/>
                <w:lang w:eastAsia="en-AU"/>
              </w:rPr>
              <w:t>. Dapagliflozin improves glycemic control and reduces body weight as add-on therapy to metformin plus sulfonylurea: a 24-week randomize</w:t>
            </w:r>
            <w:r>
              <w:rPr>
                <w:rFonts w:cs="Arial"/>
                <w:lang w:eastAsia="en-AU"/>
              </w:rPr>
              <w:t>d, double-blind clinical trial.</w:t>
            </w:r>
          </w:p>
          <w:p w:rsidR="00107311" w:rsidRPr="000079CF" w:rsidRDefault="00107311"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r>
              <w:rPr>
                <w:rFonts w:cs="Arial"/>
                <w:lang w:eastAsia="en-AU"/>
              </w:rPr>
              <w:t>Matthaei S</w:t>
            </w:r>
            <w:r w:rsidR="003117BD">
              <w:rPr>
                <w:rFonts w:cs="Arial"/>
                <w:lang w:eastAsia="en-AU"/>
              </w:rPr>
              <w:t>,</w:t>
            </w:r>
            <w:r>
              <w:rPr>
                <w:rFonts w:cs="Arial"/>
                <w:lang w:eastAsia="en-AU"/>
              </w:rPr>
              <w:t xml:space="preserve"> et al</w:t>
            </w:r>
            <w:r w:rsidRPr="000079CF">
              <w:rPr>
                <w:rFonts w:cs="Arial"/>
                <w:lang w:eastAsia="en-AU"/>
              </w:rPr>
              <w:t xml:space="preserve">. Improvement in glycaemic control and reduction in body weight over 52 weeks with dapagliflozin as add-on therapy to metformin plus sulphonylurea. </w:t>
            </w:r>
            <w:r>
              <w:rPr>
                <w:rFonts w:cs="Arial"/>
                <w:lang w:eastAsia="en-AU"/>
              </w:rPr>
              <w:t>(abstract only)</w:t>
            </w:r>
          </w:p>
          <w:p w:rsidR="00107311" w:rsidRPr="000079CF" w:rsidRDefault="00107311" w:rsidP="00EF2129">
            <w:pPr>
              <w:pStyle w:val="TableText0"/>
              <w:keepNext w:val="0"/>
              <w:spacing w:before="0" w:after="0"/>
              <w:rPr>
                <w:rFonts w:cs="Arial"/>
                <w:lang w:eastAsia="en-AU"/>
              </w:rPr>
            </w:pPr>
          </w:p>
          <w:p w:rsidR="00107311" w:rsidRPr="000079CF" w:rsidRDefault="00107311" w:rsidP="00EF2129">
            <w:pPr>
              <w:pStyle w:val="TableText0"/>
              <w:keepNext w:val="0"/>
              <w:spacing w:before="0" w:after="0"/>
              <w:rPr>
                <w:rFonts w:cs="Arial"/>
                <w:lang w:eastAsia="en-AU"/>
              </w:rPr>
            </w:pPr>
            <w:r w:rsidRPr="000079CF">
              <w:rPr>
                <w:rFonts w:cs="Arial"/>
                <w:lang w:eastAsia="en-AU"/>
              </w:rPr>
              <w:t>Sternhufvud C</w:t>
            </w:r>
            <w:r w:rsidR="003117BD">
              <w:rPr>
                <w:rFonts w:cs="Arial"/>
                <w:lang w:eastAsia="en-AU"/>
              </w:rPr>
              <w:t>,</w:t>
            </w:r>
            <w:r>
              <w:rPr>
                <w:rFonts w:cs="Arial"/>
                <w:lang w:eastAsia="en-AU"/>
              </w:rPr>
              <w:t xml:space="preserve"> et al.</w:t>
            </w:r>
            <w:r w:rsidRPr="000079CF">
              <w:rPr>
                <w:rFonts w:cs="Arial"/>
                <w:lang w:eastAsia="en-AU"/>
              </w:rPr>
              <w:t xml:space="preserve"> Change in quality of life (EQ-5D) among type 2 diabetes mellitus patients inadequately controlled with metformin plus sulfonylurea and treated with dapagliflozin as triple therapy regimen for 24 weeks.</w:t>
            </w:r>
            <w:r>
              <w:rPr>
                <w:rFonts w:cs="Arial"/>
                <w:lang w:eastAsia="en-AU"/>
              </w:rPr>
              <w:t xml:space="preserve"> (abstract only)</w:t>
            </w:r>
          </w:p>
          <w:p w:rsidR="00107311" w:rsidRDefault="00107311" w:rsidP="00EF2129">
            <w:pPr>
              <w:pStyle w:val="TableText0"/>
              <w:keepNext w:val="0"/>
              <w:spacing w:before="0" w:after="0"/>
              <w:rPr>
                <w:rFonts w:cs="Arial"/>
                <w:lang w:eastAsia="en-AU"/>
              </w:rPr>
            </w:pPr>
          </w:p>
          <w:p w:rsidR="00107311" w:rsidRPr="000079CF" w:rsidRDefault="00107311" w:rsidP="00EF2129">
            <w:pPr>
              <w:pStyle w:val="TableText0"/>
              <w:keepNext w:val="0"/>
              <w:spacing w:before="0" w:after="0"/>
              <w:rPr>
                <w:rFonts w:cs="Arial"/>
                <w:lang w:eastAsia="en-AU"/>
              </w:rPr>
            </w:pPr>
            <w:r>
              <w:rPr>
                <w:rFonts w:cs="Arial"/>
                <w:lang w:eastAsia="en-AU"/>
              </w:rPr>
              <w:t>Matthaei S</w:t>
            </w:r>
            <w:r w:rsidR="003117BD">
              <w:rPr>
                <w:rFonts w:cs="Arial"/>
                <w:lang w:eastAsia="en-AU"/>
              </w:rPr>
              <w:t>,</w:t>
            </w:r>
            <w:r>
              <w:rPr>
                <w:rFonts w:cs="Arial"/>
                <w:lang w:eastAsia="en-AU"/>
              </w:rPr>
              <w:t xml:space="preserve"> et al. </w:t>
            </w:r>
            <w:r w:rsidRPr="000079CF">
              <w:rPr>
                <w:rFonts w:cs="Arial"/>
                <w:lang w:eastAsia="en-AU"/>
              </w:rPr>
              <w:t>Efficacy and safety of dapagliflozin in patients with T2DM inadequately controlled on metformin plus sulfonylureas accor</w:t>
            </w:r>
            <w:r>
              <w:rPr>
                <w:rFonts w:cs="Arial"/>
                <w:lang w:eastAsia="en-AU"/>
              </w:rPr>
              <w:t>ding to background sulfonylurea</w:t>
            </w:r>
            <w:r w:rsidRPr="000079CF">
              <w:rPr>
                <w:rFonts w:cs="Arial"/>
                <w:lang w:eastAsia="en-AU"/>
              </w:rPr>
              <w:t xml:space="preserve">. </w:t>
            </w:r>
            <w:r>
              <w:rPr>
                <w:rFonts w:cs="Arial"/>
                <w:lang w:eastAsia="en-AU"/>
              </w:rPr>
              <w:t>(abstract only)</w:t>
            </w:r>
          </w:p>
          <w:p w:rsidR="00107311" w:rsidRDefault="00107311"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r w:rsidRPr="000079CF">
              <w:rPr>
                <w:rFonts w:cs="Arial"/>
                <w:lang w:eastAsia="en-AU"/>
              </w:rPr>
              <w:t>Matt</w:t>
            </w:r>
            <w:r>
              <w:rPr>
                <w:rFonts w:cs="Arial"/>
                <w:lang w:eastAsia="en-AU"/>
              </w:rPr>
              <w:t>haei S</w:t>
            </w:r>
            <w:r w:rsidR="003117BD">
              <w:rPr>
                <w:rFonts w:cs="Arial"/>
                <w:lang w:eastAsia="en-AU"/>
              </w:rPr>
              <w:t>,</w:t>
            </w:r>
            <w:r>
              <w:rPr>
                <w:rFonts w:cs="Arial"/>
                <w:lang w:eastAsia="en-AU"/>
              </w:rPr>
              <w:t xml:space="preserve"> et al</w:t>
            </w:r>
            <w:r w:rsidRPr="000079CF">
              <w:rPr>
                <w:rFonts w:cs="Arial"/>
                <w:lang w:eastAsia="en-AU"/>
              </w:rPr>
              <w:t>. Dapagliflozin improves glycaemic control and reduces body weight as add-on therapy to metformin plus sulphonylurea.</w:t>
            </w:r>
            <w:r>
              <w:rPr>
                <w:rFonts w:cs="Arial"/>
                <w:lang w:eastAsia="en-AU"/>
              </w:rPr>
              <w:t xml:space="preserve"> (abstract only)</w:t>
            </w:r>
          </w:p>
          <w:p w:rsidR="00F26CA6" w:rsidRDefault="00F26CA6" w:rsidP="00EF2129">
            <w:pPr>
              <w:pStyle w:val="TableText0"/>
              <w:keepNext w:val="0"/>
              <w:spacing w:before="0" w:after="0"/>
              <w:rPr>
                <w:rFonts w:cs="Arial"/>
                <w:lang w:eastAsia="en-AU"/>
              </w:rPr>
            </w:pPr>
          </w:p>
          <w:p w:rsidR="00F26CA6" w:rsidRPr="004E2ADC" w:rsidRDefault="00F26CA6" w:rsidP="00EF2129">
            <w:pPr>
              <w:pStyle w:val="TableText0"/>
              <w:keepNext w:val="0"/>
              <w:spacing w:before="0" w:after="0"/>
              <w:rPr>
                <w:rFonts w:cs="Arial"/>
                <w:lang w:eastAsia="en-AU"/>
              </w:rPr>
            </w:pPr>
          </w:p>
        </w:tc>
        <w:tc>
          <w:tcPr>
            <w:tcW w:w="1178" w:type="pct"/>
            <w:tcBorders>
              <w:top w:val="single" w:sz="4" w:space="0" w:color="auto"/>
              <w:left w:val="single" w:sz="4" w:space="0" w:color="auto"/>
              <w:bottom w:val="single" w:sz="4" w:space="0" w:color="auto"/>
              <w:right w:val="single" w:sz="4" w:space="0" w:color="auto"/>
            </w:tcBorders>
          </w:tcPr>
          <w:p w:rsidR="00107311" w:rsidRDefault="00107311" w:rsidP="00EF2129">
            <w:pPr>
              <w:pStyle w:val="TableText0"/>
              <w:keepNext w:val="0"/>
              <w:spacing w:before="0" w:after="0"/>
              <w:rPr>
                <w:rFonts w:cs="Arial"/>
                <w:lang w:eastAsia="en-AU"/>
              </w:rPr>
            </w:pPr>
            <w:r w:rsidRPr="000079CF">
              <w:rPr>
                <w:rFonts w:cs="Arial"/>
                <w:lang w:eastAsia="en-AU"/>
              </w:rPr>
              <w:t>Diabetes care</w:t>
            </w:r>
            <w:r>
              <w:rPr>
                <w:rFonts w:cs="Arial"/>
                <w:lang w:eastAsia="en-AU"/>
              </w:rPr>
              <w:t xml:space="preserve"> 2015</w:t>
            </w:r>
            <w:r w:rsidRPr="000079CF">
              <w:rPr>
                <w:rFonts w:cs="Arial"/>
                <w:lang w:eastAsia="en-AU"/>
              </w:rPr>
              <w:t>, 38(3)</w:t>
            </w:r>
            <w:r>
              <w:rPr>
                <w:rFonts w:cs="Arial"/>
                <w:lang w:eastAsia="en-AU"/>
              </w:rPr>
              <w:t>:</w:t>
            </w:r>
            <w:r w:rsidRPr="000079CF">
              <w:rPr>
                <w:rFonts w:cs="Arial"/>
                <w:lang w:eastAsia="en-AU"/>
              </w:rPr>
              <w:t xml:space="preserve">365-372. </w:t>
            </w:r>
          </w:p>
          <w:p w:rsidR="00107311" w:rsidRDefault="00107311"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p>
          <w:p w:rsidR="003117BD" w:rsidRDefault="003117BD"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r w:rsidRPr="000079CF">
              <w:rPr>
                <w:rFonts w:cs="Arial"/>
                <w:lang w:eastAsia="en-AU"/>
              </w:rPr>
              <w:t xml:space="preserve">Diabetologia, </w:t>
            </w:r>
            <w:r>
              <w:rPr>
                <w:rFonts w:cs="Arial"/>
                <w:lang w:eastAsia="en-AU"/>
              </w:rPr>
              <w:t xml:space="preserve">2014, </w:t>
            </w:r>
            <w:r w:rsidRPr="000079CF">
              <w:rPr>
                <w:rFonts w:cs="Arial"/>
                <w:lang w:eastAsia="en-AU"/>
              </w:rPr>
              <w:t>57(1)</w:t>
            </w:r>
            <w:r>
              <w:rPr>
                <w:rFonts w:cs="Arial"/>
                <w:lang w:eastAsia="en-AU"/>
              </w:rPr>
              <w:t>:</w:t>
            </w:r>
            <w:r w:rsidRPr="000079CF">
              <w:rPr>
                <w:rFonts w:cs="Arial"/>
                <w:lang w:eastAsia="en-AU"/>
              </w:rPr>
              <w:t xml:space="preserve"> S347. </w:t>
            </w:r>
          </w:p>
          <w:p w:rsidR="00107311" w:rsidRDefault="00107311"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r w:rsidRPr="000079CF">
              <w:rPr>
                <w:rFonts w:cs="Arial"/>
                <w:lang w:eastAsia="en-AU"/>
              </w:rPr>
              <w:t>Value in Health</w:t>
            </w:r>
            <w:r>
              <w:rPr>
                <w:rFonts w:cs="Arial"/>
                <w:lang w:eastAsia="en-AU"/>
              </w:rPr>
              <w:t xml:space="preserve"> 2014</w:t>
            </w:r>
            <w:r w:rsidRPr="000079CF">
              <w:rPr>
                <w:rFonts w:cs="Arial"/>
                <w:lang w:eastAsia="en-AU"/>
              </w:rPr>
              <w:t>, 17(3)</w:t>
            </w:r>
            <w:r>
              <w:rPr>
                <w:rFonts w:cs="Arial"/>
                <w:lang w:eastAsia="en-AU"/>
              </w:rPr>
              <w:t>:</w:t>
            </w:r>
            <w:r w:rsidRPr="000079CF">
              <w:rPr>
                <w:rFonts w:cs="Arial"/>
                <w:lang w:eastAsia="en-AU"/>
              </w:rPr>
              <w:t xml:space="preserve"> A257</w:t>
            </w:r>
          </w:p>
          <w:p w:rsidR="00107311" w:rsidRDefault="00107311"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r w:rsidRPr="000079CF">
              <w:rPr>
                <w:rFonts w:cs="Arial"/>
                <w:lang w:eastAsia="en-AU"/>
              </w:rPr>
              <w:t>Diabetes</w:t>
            </w:r>
            <w:r>
              <w:rPr>
                <w:rFonts w:cs="Arial"/>
                <w:lang w:eastAsia="en-AU"/>
              </w:rPr>
              <w:t xml:space="preserve"> 2015</w:t>
            </w:r>
            <w:r w:rsidRPr="000079CF">
              <w:rPr>
                <w:rFonts w:cs="Arial"/>
                <w:lang w:eastAsia="en-AU"/>
              </w:rPr>
              <w:t>, 64</w:t>
            </w:r>
            <w:r>
              <w:rPr>
                <w:rFonts w:cs="Arial"/>
                <w:lang w:eastAsia="en-AU"/>
              </w:rPr>
              <w:t>:</w:t>
            </w:r>
            <w:r w:rsidRPr="000079CF">
              <w:rPr>
                <w:rFonts w:cs="Arial"/>
                <w:lang w:eastAsia="en-AU"/>
              </w:rPr>
              <w:t xml:space="preserve"> A332 </w:t>
            </w:r>
          </w:p>
          <w:p w:rsidR="00107311" w:rsidRDefault="00107311"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p>
          <w:p w:rsidR="00107311" w:rsidRDefault="00107311" w:rsidP="00EF2129">
            <w:pPr>
              <w:pStyle w:val="TableText0"/>
              <w:keepNext w:val="0"/>
              <w:spacing w:before="0" w:after="0"/>
              <w:rPr>
                <w:rFonts w:cs="Arial"/>
                <w:lang w:eastAsia="en-AU"/>
              </w:rPr>
            </w:pPr>
          </w:p>
          <w:p w:rsidR="00107311" w:rsidRPr="004E2ADC" w:rsidRDefault="00107311" w:rsidP="00EF2129">
            <w:pPr>
              <w:pStyle w:val="TableText0"/>
              <w:keepNext w:val="0"/>
              <w:spacing w:before="0" w:after="0"/>
              <w:rPr>
                <w:rFonts w:cs="Arial"/>
                <w:lang w:eastAsia="en-AU"/>
              </w:rPr>
            </w:pPr>
            <w:r w:rsidRPr="000079CF">
              <w:rPr>
                <w:rFonts w:cs="Arial"/>
                <w:lang w:eastAsia="en-AU"/>
              </w:rPr>
              <w:t>Diabetologia</w:t>
            </w:r>
            <w:r>
              <w:rPr>
                <w:rFonts w:cs="Arial"/>
                <w:lang w:eastAsia="en-AU"/>
              </w:rPr>
              <w:t xml:space="preserve"> 2013</w:t>
            </w:r>
            <w:r w:rsidRPr="000079CF">
              <w:rPr>
                <w:rFonts w:cs="Arial"/>
                <w:lang w:eastAsia="en-AU"/>
              </w:rPr>
              <w:t>, 56</w:t>
            </w:r>
            <w:r>
              <w:rPr>
                <w:rFonts w:cs="Arial"/>
                <w:lang w:eastAsia="en-AU"/>
              </w:rPr>
              <w:t>:</w:t>
            </w:r>
            <w:r w:rsidRPr="000079CF">
              <w:rPr>
                <w:rFonts w:cs="Arial"/>
                <w:lang w:eastAsia="en-AU"/>
              </w:rPr>
              <w:t xml:space="preserve"> S374-S375</w:t>
            </w:r>
          </w:p>
        </w:tc>
      </w:tr>
      <w:tr w:rsidR="00064581" w:rsidRPr="004E2ADC" w:rsidTr="00107311">
        <w:trPr>
          <w:cantSplit/>
        </w:trPr>
        <w:tc>
          <w:tcPr>
            <w:tcW w:w="5000" w:type="pct"/>
            <w:gridSpan w:val="3"/>
            <w:tcBorders>
              <w:top w:val="single" w:sz="4" w:space="0" w:color="auto"/>
              <w:left w:val="single" w:sz="4" w:space="0" w:color="auto"/>
              <w:bottom w:val="single" w:sz="4" w:space="0" w:color="auto"/>
              <w:right w:val="single" w:sz="4" w:space="0" w:color="auto"/>
            </w:tcBorders>
          </w:tcPr>
          <w:p w:rsidR="00064581" w:rsidRPr="004E2ADC" w:rsidRDefault="00064581" w:rsidP="00EF2129">
            <w:pPr>
              <w:pStyle w:val="TableText0"/>
              <w:keepNext w:val="0"/>
              <w:spacing w:before="0" w:after="0"/>
              <w:rPr>
                <w:rFonts w:cs="Arial"/>
                <w:b/>
                <w:bCs/>
                <w:lang w:eastAsia="en-AU"/>
              </w:rPr>
            </w:pPr>
            <w:r>
              <w:rPr>
                <w:rFonts w:cs="Arial"/>
                <w:i/>
                <w:iCs/>
                <w:lang w:eastAsia="en-AU"/>
              </w:rPr>
              <w:t>Sitagliptin</w:t>
            </w:r>
          </w:p>
        </w:tc>
      </w:tr>
      <w:tr w:rsidR="00064581" w:rsidRPr="004E2ADC" w:rsidTr="00107311">
        <w:trPr>
          <w:cantSplit/>
        </w:trPr>
        <w:tc>
          <w:tcPr>
            <w:tcW w:w="673" w:type="pct"/>
            <w:tcBorders>
              <w:top w:val="single" w:sz="4" w:space="0" w:color="auto"/>
              <w:left w:val="single" w:sz="4" w:space="0" w:color="auto"/>
              <w:bottom w:val="single" w:sz="4" w:space="0" w:color="auto"/>
              <w:right w:val="single" w:sz="4" w:space="0" w:color="auto"/>
            </w:tcBorders>
          </w:tcPr>
          <w:p w:rsidR="00064581" w:rsidRPr="004E2ADC" w:rsidRDefault="00064581" w:rsidP="00EF2129">
            <w:pPr>
              <w:pStyle w:val="TableText0"/>
              <w:keepNext w:val="0"/>
              <w:spacing w:before="0" w:after="0"/>
              <w:rPr>
                <w:rFonts w:cs="Arial"/>
                <w:lang w:eastAsia="en-AU"/>
              </w:rPr>
            </w:pPr>
            <w:r>
              <w:rPr>
                <w:rFonts w:cs="Arial"/>
                <w:lang w:eastAsia="en-AU"/>
              </w:rPr>
              <w:lastRenderedPageBreak/>
              <w:t>NCT01076075</w:t>
            </w:r>
          </w:p>
        </w:tc>
        <w:tc>
          <w:tcPr>
            <w:tcW w:w="3149" w:type="pct"/>
            <w:tcBorders>
              <w:top w:val="single" w:sz="4" w:space="0" w:color="auto"/>
              <w:left w:val="single" w:sz="4" w:space="0" w:color="auto"/>
              <w:bottom w:val="single" w:sz="4" w:space="0" w:color="auto"/>
              <w:right w:val="single" w:sz="4" w:space="0" w:color="auto"/>
            </w:tcBorders>
          </w:tcPr>
          <w:p w:rsidR="00064581" w:rsidRPr="004E2ADC" w:rsidRDefault="00064581" w:rsidP="00EF2129">
            <w:pPr>
              <w:pStyle w:val="TableText0"/>
              <w:keepNext w:val="0"/>
              <w:spacing w:before="0" w:after="0"/>
              <w:rPr>
                <w:rFonts w:cs="Arial"/>
                <w:lang w:eastAsia="en-AU"/>
              </w:rPr>
            </w:pPr>
            <w:r w:rsidRPr="000079CF">
              <w:rPr>
                <w:rFonts w:cs="Arial"/>
                <w:lang w:eastAsia="en-AU"/>
              </w:rPr>
              <w:t>A study to evaluate the safety and efficacy of sitagliptin 100mg in participants with type 2 diabetes mellitus who have inadequate glycemic control (MK-0431-229)</w:t>
            </w:r>
          </w:p>
        </w:tc>
        <w:tc>
          <w:tcPr>
            <w:tcW w:w="1178" w:type="pct"/>
            <w:tcBorders>
              <w:top w:val="single" w:sz="4" w:space="0" w:color="auto"/>
              <w:left w:val="single" w:sz="4" w:space="0" w:color="auto"/>
              <w:bottom w:val="single" w:sz="4" w:space="0" w:color="auto"/>
              <w:right w:val="single" w:sz="4" w:space="0" w:color="auto"/>
            </w:tcBorders>
          </w:tcPr>
          <w:p w:rsidR="00064581" w:rsidRPr="004E2ADC" w:rsidRDefault="00064581" w:rsidP="00EF2129">
            <w:pPr>
              <w:pStyle w:val="TableText0"/>
              <w:keepNext w:val="0"/>
              <w:spacing w:before="0" w:after="0"/>
              <w:rPr>
                <w:rFonts w:cs="Arial"/>
                <w:lang w:eastAsia="en-AU"/>
              </w:rPr>
            </w:pPr>
            <w:r>
              <w:rPr>
                <w:rFonts w:cs="Arial"/>
                <w:lang w:eastAsia="en-AU"/>
              </w:rPr>
              <w:t>Clinicaltrials.gov reference NCT01076075</w:t>
            </w:r>
          </w:p>
        </w:tc>
      </w:tr>
      <w:tr w:rsidR="00064581" w:rsidRPr="004E2ADC" w:rsidTr="00107311">
        <w:trPr>
          <w:cantSplit/>
        </w:trPr>
        <w:tc>
          <w:tcPr>
            <w:tcW w:w="673" w:type="pct"/>
            <w:tcBorders>
              <w:top w:val="single" w:sz="4" w:space="0" w:color="auto"/>
              <w:left w:val="single" w:sz="4" w:space="0" w:color="auto"/>
              <w:bottom w:val="single" w:sz="4" w:space="0" w:color="auto"/>
              <w:right w:val="single" w:sz="4" w:space="0" w:color="auto"/>
            </w:tcBorders>
          </w:tcPr>
          <w:p w:rsidR="00064581" w:rsidRDefault="00064581" w:rsidP="00EF2129">
            <w:pPr>
              <w:pStyle w:val="TableText0"/>
              <w:keepNext w:val="0"/>
              <w:spacing w:before="0" w:after="0"/>
              <w:rPr>
                <w:rFonts w:cs="Arial"/>
                <w:lang w:eastAsia="en-AU"/>
              </w:rPr>
            </w:pPr>
            <w:r>
              <w:rPr>
                <w:rFonts w:cs="Arial"/>
                <w:lang w:eastAsia="en-AU"/>
              </w:rPr>
              <w:t>NCT01590771</w:t>
            </w:r>
          </w:p>
        </w:tc>
        <w:tc>
          <w:tcPr>
            <w:tcW w:w="3149" w:type="pct"/>
            <w:tcBorders>
              <w:top w:val="single" w:sz="4" w:space="0" w:color="auto"/>
              <w:left w:val="single" w:sz="4" w:space="0" w:color="auto"/>
              <w:bottom w:val="single" w:sz="4" w:space="0" w:color="auto"/>
              <w:right w:val="single" w:sz="4" w:space="0" w:color="auto"/>
            </w:tcBorders>
          </w:tcPr>
          <w:p w:rsidR="00064581" w:rsidRPr="000079CF" w:rsidRDefault="00064581" w:rsidP="00EF2129">
            <w:pPr>
              <w:pStyle w:val="TableText0"/>
              <w:keepNext w:val="0"/>
              <w:spacing w:before="0" w:after="0"/>
              <w:rPr>
                <w:rFonts w:cs="Arial"/>
                <w:lang w:eastAsia="en-AU"/>
              </w:rPr>
            </w:pPr>
            <w:r>
              <w:rPr>
                <w:rFonts w:cs="Arial"/>
                <w:lang w:eastAsia="en-AU"/>
              </w:rPr>
              <w:t>A study in China evaluating the safety and efficacy of adding sitagliptin to stable therapy with sulfonylurea with or without metformin in participants with Type 2 diabetes mellitus (MK-0431-253) (clinicaltrials.gov)</w:t>
            </w:r>
          </w:p>
        </w:tc>
        <w:tc>
          <w:tcPr>
            <w:tcW w:w="1178" w:type="pct"/>
            <w:tcBorders>
              <w:top w:val="single" w:sz="4" w:space="0" w:color="auto"/>
              <w:left w:val="single" w:sz="4" w:space="0" w:color="auto"/>
              <w:bottom w:val="single" w:sz="4" w:space="0" w:color="auto"/>
              <w:right w:val="single" w:sz="4" w:space="0" w:color="auto"/>
            </w:tcBorders>
          </w:tcPr>
          <w:p w:rsidR="00064581" w:rsidRDefault="00064581" w:rsidP="00EF2129">
            <w:pPr>
              <w:pStyle w:val="TableText0"/>
              <w:keepNext w:val="0"/>
              <w:spacing w:before="0" w:after="0"/>
              <w:rPr>
                <w:rFonts w:cs="Arial"/>
                <w:lang w:eastAsia="en-AU"/>
              </w:rPr>
            </w:pPr>
            <w:r>
              <w:rPr>
                <w:rFonts w:cs="Arial"/>
                <w:lang w:eastAsia="en-AU"/>
              </w:rPr>
              <w:t>Clinicaltrials.gov reference NCT01590771</w:t>
            </w:r>
          </w:p>
        </w:tc>
      </w:tr>
      <w:tr w:rsidR="00064581" w:rsidRPr="004E2ADC" w:rsidTr="00107311">
        <w:trPr>
          <w:cantSplit/>
        </w:trPr>
        <w:tc>
          <w:tcPr>
            <w:tcW w:w="673" w:type="pct"/>
            <w:tcBorders>
              <w:top w:val="single" w:sz="4" w:space="0" w:color="auto"/>
              <w:left w:val="single" w:sz="4" w:space="0" w:color="auto"/>
              <w:bottom w:val="single" w:sz="4" w:space="0" w:color="auto"/>
              <w:right w:val="single" w:sz="4" w:space="0" w:color="auto"/>
            </w:tcBorders>
          </w:tcPr>
          <w:p w:rsidR="00064581" w:rsidRDefault="00064581" w:rsidP="00EF2129">
            <w:pPr>
              <w:pStyle w:val="TableText0"/>
              <w:keepNext w:val="0"/>
              <w:spacing w:before="0" w:after="0"/>
              <w:rPr>
                <w:rFonts w:cs="Arial"/>
                <w:lang w:eastAsia="en-AU"/>
              </w:rPr>
            </w:pPr>
            <w:r>
              <w:rPr>
                <w:rFonts w:cs="Arial"/>
                <w:lang w:eastAsia="en-AU"/>
              </w:rPr>
              <w:t>Hermansen 2007</w:t>
            </w:r>
          </w:p>
        </w:tc>
        <w:tc>
          <w:tcPr>
            <w:tcW w:w="3149" w:type="pct"/>
            <w:tcBorders>
              <w:top w:val="single" w:sz="4" w:space="0" w:color="auto"/>
              <w:left w:val="single" w:sz="4" w:space="0" w:color="auto"/>
              <w:bottom w:val="single" w:sz="4" w:space="0" w:color="auto"/>
              <w:right w:val="single" w:sz="4" w:space="0" w:color="auto"/>
            </w:tcBorders>
          </w:tcPr>
          <w:p w:rsidR="00064581" w:rsidRPr="000079CF" w:rsidRDefault="0044003D" w:rsidP="00EF2129">
            <w:pPr>
              <w:pStyle w:val="TableText0"/>
              <w:keepNext w:val="0"/>
              <w:spacing w:before="0" w:after="0"/>
              <w:rPr>
                <w:rFonts w:cs="Arial"/>
                <w:lang w:eastAsia="en-AU"/>
              </w:rPr>
            </w:pPr>
            <w:r>
              <w:rPr>
                <w:rFonts w:cs="Arial"/>
                <w:lang w:eastAsia="en-AU"/>
              </w:rPr>
              <w:t xml:space="preserve">Hermansen K, Kipnes M, Luo E, et al. </w:t>
            </w:r>
            <w:r w:rsidR="00064581">
              <w:rPr>
                <w:rFonts w:cs="Arial"/>
                <w:lang w:eastAsia="en-AU"/>
              </w:rPr>
              <w:t xml:space="preserve">Efficacy and safety of the </w:t>
            </w:r>
            <w:r w:rsidR="00064581" w:rsidRPr="00806A8A">
              <w:rPr>
                <w:rFonts w:cs="Arial"/>
                <w:lang w:eastAsia="en-AU"/>
              </w:rPr>
              <w:t xml:space="preserve">dipeptidyl peptidase-4 inhibitor, sitagliptin, in patients with type 2 diabetes mellitus inadequately controlled on glimepiride alone or on glimepiride and metformin. </w:t>
            </w:r>
          </w:p>
        </w:tc>
        <w:tc>
          <w:tcPr>
            <w:tcW w:w="1178" w:type="pct"/>
            <w:tcBorders>
              <w:top w:val="single" w:sz="4" w:space="0" w:color="auto"/>
              <w:left w:val="single" w:sz="4" w:space="0" w:color="auto"/>
              <w:bottom w:val="single" w:sz="4" w:space="0" w:color="auto"/>
              <w:right w:val="single" w:sz="4" w:space="0" w:color="auto"/>
            </w:tcBorders>
          </w:tcPr>
          <w:p w:rsidR="00064581" w:rsidRDefault="00064581" w:rsidP="00EF2129">
            <w:pPr>
              <w:pStyle w:val="TableText0"/>
              <w:keepNext w:val="0"/>
              <w:spacing w:before="0" w:after="0"/>
              <w:rPr>
                <w:rFonts w:cs="Arial"/>
                <w:lang w:eastAsia="en-AU"/>
              </w:rPr>
            </w:pPr>
            <w:r w:rsidRPr="00806A8A">
              <w:rPr>
                <w:rFonts w:cs="Arial"/>
                <w:lang w:eastAsia="en-AU"/>
              </w:rPr>
              <w:t>Dia</w:t>
            </w:r>
            <w:r>
              <w:rPr>
                <w:rFonts w:cs="Arial"/>
                <w:lang w:eastAsia="en-AU"/>
              </w:rPr>
              <w:t>betes, Obesity and Metabolism 2007, 9</w:t>
            </w:r>
            <w:r w:rsidRPr="00806A8A">
              <w:rPr>
                <w:rFonts w:cs="Arial"/>
                <w:lang w:eastAsia="en-AU"/>
              </w:rPr>
              <w:t>: 733-745.</w:t>
            </w:r>
          </w:p>
        </w:tc>
      </w:tr>
      <w:tr w:rsidR="00064581" w:rsidRPr="004E2ADC" w:rsidTr="00107311">
        <w:trPr>
          <w:cantSplit/>
        </w:trPr>
        <w:tc>
          <w:tcPr>
            <w:tcW w:w="5000" w:type="pct"/>
            <w:gridSpan w:val="3"/>
            <w:tcBorders>
              <w:top w:val="single" w:sz="4" w:space="0" w:color="auto"/>
              <w:left w:val="single" w:sz="4" w:space="0" w:color="auto"/>
              <w:bottom w:val="single" w:sz="4" w:space="0" w:color="auto"/>
              <w:right w:val="single" w:sz="4" w:space="0" w:color="auto"/>
            </w:tcBorders>
          </w:tcPr>
          <w:p w:rsidR="00064581" w:rsidRPr="004E2ADC" w:rsidRDefault="00064581" w:rsidP="00EF2129">
            <w:pPr>
              <w:pStyle w:val="TableText0"/>
              <w:keepNext w:val="0"/>
              <w:spacing w:before="0" w:after="0"/>
              <w:rPr>
                <w:rFonts w:cs="Arial"/>
                <w:b/>
                <w:bCs/>
                <w:lang w:eastAsia="en-AU"/>
              </w:rPr>
            </w:pPr>
            <w:r>
              <w:rPr>
                <w:rFonts w:cs="Arial"/>
                <w:i/>
                <w:iCs/>
                <w:lang w:eastAsia="en-AU"/>
              </w:rPr>
              <w:t>Saxagliptin</w:t>
            </w:r>
          </w:p>
        </w:tc>
      </w:tr>
      <w:tr w:rsidR="00064581" w:rsidRPr="004E2ADC" w:rsidTr="00107311">
        <w:trPr>
          <w:cantSplit/>
        </w:trPr>
        <w:tc>
          <w:tcPr>
            <w:tcW w:w="673" w:type="pct"/>
            <w:tcBorders>
              <w:top w:val="single" w:sz="4" w:space="0" w:color="auto"/>
              <w:left w:val="single" w:sz="4" w:space="0" w:color="auto"/>
              <w:bottom w:val="single" w:sz="4" w:space="0" w:color="auto"/>
              <w:right w:val="single" w:sz="4" w:space="0" w:color="auto"/>
            </w:tcBorders>
          </w:tcPr>
          <w:p w:rsidR="00064581" w:rsidRDefault="00064581" w:rsidP="00EF2129">
            <w:pPr>
              <w:pStyle w:val="TableText0"/>
              <w:keepNext w:val="0"/>
              <w:spacing w:before="0" w:after="0"/>
              <w:rPr>
                <w:rFonts w:cs="Arial"/>
                <w:lang w:eastAsia="en-AU"/>
              </w:rPr>
            </w:pPr>
            <w:r>
              <w:rPr>
                <w:rFonts w:cs="Arial"/>
                <w:lang w:eastAsia="en-AU"/>
              </w:rPr>
              <w:t>Moses 2014</w:t>
            </w:r>
          </w:p>
        </w:tc>
        <w:tc>
          <w:tcPr>
            <w:tcW w:w="3149" w:type="pct"/>
            <w:tcBorders>
              <w:top w:val="single" w:sz="4" w:space="0" w:color="auto"/>
              <w:left w:val="single" w:sz="4" w:space="0" w:color="auto"/>
              <w:bottom w:val="single" w:sz="4" w:space="0" w:color="auto"/>
              <w:right w:val="single" w:sz="4" w:space="0" w:color="auto"/>
            </w:tcBorders>
          </w:tcPr>
          <w:p w:rsidR="00064581" w:rsidRPr="000079CF" w:rsidRDefault="003117BD" w:rsidP="00EF2129">
            <w:pPr>
              <w:pStyle w:val="TableText0"/>
              <w:keepNext w:val="0"/>
              <w:spacing w:before="0" w:after="0"/>
              <w:rPr>
                <w:rFonts w:cs="Arial"/>
                <w:lang w:eastAsia="en-AU"/>
              </w:rPr>
            </w:pPr>
            <w:r>
              <w:rPr>
                <w:rFonts w:cs="Arial"/>
                <w:lang w:eastAsia="en-AU"/>
              </w:rPr>
              <w:t xml:space="preserve">Moses RG, Kalra S, Brook D, et al. </w:t>
            </w:r>
            <w:r w:rsidR="00064581" w:rsidRPr="000079CF">
              <w:rPr>
                <w:rFonts w:cs="Arial"/>
                <w:lang w:eastAsia="en-AU"/>
              </w:rPr>
              <w:t xml:space="preserve">A randomized controlled trial of the efficacy and safety of saxagliptin as add-on therapy in patients with type 2 diabetes and inadequate glycaemic control on metformin plus a sulphonylurea. </w:t>
            </w:r>
          </w:p>
          <w:p w:rsidR="00064581" w:rsidRDefault="00064581" w:rsidP="00EF2129">
            <w:pPr>
              <w:pStyle w:val="TableText0"/>
              <w:keepNext w:val="0"/>
              <w:spacing w:before="0" w:after="0"/>
              <w:rPr>
                <w:rFonts w:cs="Arial"/>
                <w:lang w:eastAsia="en-AU"/>
              </w:rPr>
            </w:pPr>
          </w:p>
          <w:p w:rsidR="00064581" w:rsidRPr="000079CF" w:rsidRDefault="00064581" w:rsidP="00EF2129">
            <w:pPr>
              <w:pStyle w:val="TableText0"/>
              <w:keepNext w:val="0"/>
              <w:spacing w:before="0" w:after="0"/>
              <w:rPr>
                <w:rFonts w:cs="Arial"/>
                <w:lang w:eastAsia="en-AU"/>
              </w:rPr>
            </w:pPr>
            <w:r>
              <w:rPr>
                <w:rFonts w:cs="Arial"/>
                <w:lang w:eastAsia="en-AU"/>
              </w:rPr>
              <w:t>Moses et al</w:t>
            </w:r>
            <w:r w:rsidRPr="000079CF">
              <w:rPr>
                <w:rFonts w:cs="Arial"/>
                <w:lang w:eastAsia="en-AU"/>
              </w:rPr>
              <w:t xml:space="preserve">. Saxagliptin (SAXA) effectively reduces HbA1c and is well tolerated when added to a combination of metformin (MET) and sulfonylurea (SU). </w:t>
            </w:r>
            <w:r>
              <w:rPr>
                <w:rFonts w:cs="Arial"/>
                <w:lang w:eastAsia="en-AU"/>
              </w:rPr>
              <w:t>(abstract only)</w:t>
            </w:r>
          </w:p>
        </w:tc>
        <w:tc>
          <w:tcPr>
            <w:tcW w:w="1178" w:type="pct"/>
            <w:tcBorders>
              <w:top w:val="single" w:sz="4" w:space="0" w:color="auto"/>
              <w:left w:val="single" w:sz="4" w:space="0" w:color="auto"/>
              <w:bottom w:val="single" w:sz="4" w:space="0" w:color="auto"/>
              <w:right w:val="single" w:sz="4" w:space="0" w:color="auto"/>
            </w:tcBorders>
          </w:tcPr>
          <w:p w:rsidR="00064581" w:rsidRDefault="00064581" w:rsidP="00EF2129">
            <w:pPr>
              <w:pStyle w:val="TableText0"/>
              <w:keepNext w:val="0"/>
              <w:spacing w:before="0" w:after="0"/>
              <w:rPr>
                <w:rFonts w:cs="Arial"/>
                <w:lang w:eastAsia="en-AU"/>
              </w:rPr>
            </w:pPr>
            <w:r w:rsidRPr="000079CF">
              <w:rPr>
                <w:rFonts w:cs="Arial"/>
                <w:lang w:eastAsia="en-AU"/>
              </w:rPr>
              <w:t xml:space="preserve">Diabetes, Obesity and Metabolism </w:t>
            </w:r>
            <w:r>
              <w:rPr>
                <w:rFonts w:cs="Arial"/>
                <w:lang w:eastAsia="en-AU"/>
              </w:rPr>
              <w:t xml:space="preserve">2014, </w:t>
            </w:r>
            <w:r w:rsidRPr="000079CF">
              <w:rPr>
                <w:rFonts w:cs="Arial"/>
                <w:lang w:eastAsia="en-AU"/>
              </w:rPr>
              <w:t>16: 443-450.</w:t>
            </w:r>
          </w:p>
          <w:p w:rsidR="00064581" w:rsidRDefault="00064581" w:rsidP="00EF2129">
            <w:pPr>
              <w:pStyle w:val="TableText0"/>
              <w:keepNext w:val="0"/>
              <w:spacing w:before="0" w:after="0"/>
              <w:rPr>
                <w:rFonts w:cs="Arial"/>
                <w:lang w:eastAsia="en-AU"/>
              </w:rPr>
            </w:pPr>
          </w:p>
          <w:p w:rsidR="003117BD" w:rsidRDefault="003117BD" w:rsidP="00EF2129">
            <w:pPr>
              <w:pStyle w:val="TableText0"/>
              <w:keepNext w:val="0"/>
              <w:spacing w:before="0" w:after="0"/>
              <w:rPr>
                <w:rFonts w:cs="Arial"/>
                <w:lang w:eastAsia="en-AU"/>
              </w:rPr>
            </w:pPr>
          </w:p>
          <w:p w:rsidR="00064581" w:rsidRDefault="00064581" w:rsidP="00EF2129">
            <w:pPr>
              <w:pStyle w:val="TableText0"/>
              <w:keepNext w:val="0"/>
              <w:spacing w:before="0" w:after="0"/>
              <w:rPr>
                <w:rFonts w:cs="Arial"/>
                <w:lang w:eastAsia="en-AU"/>
              </w:rPr>
            </w:pPr>
            <w:r w:rsidRPr="000079CF">
              <w:rPr>
                <w:rFonts w:cs="Arial"/>
                <w:lang w:eastAsia="en-AU"/>
              </w:rPr>
              <w:t>Diabetes</w:t>
            </w:r>
            <w:r>
              <w:rPr>
                <w:rFonts w:cs="Arial"/>
                <w:lang w:eastAsia="en-AU"/>
              </w:rPr>
              <w:t xml:space="preserve"> 2012</w:t>
            </w:r>
            <w:r w:rsidRPr="000079CF">
              <w:rPr>
                <w:rFonts w:cs="Arial"/>
                <w:lang w:eastAsia="en-AU"/>
              </w:rPr>
              <w:t>, 61, A282.</w:t>
            </w:r>
          </w:p>
        </w:tc>
      </w:tr>
      <w:tr w:rsidR="003117BD" w:rsidRPr="004E2ADC" w:rsidTr="003117BD">
        <w:trPr>
          <w:cantSplit/>
        </w:trPr>
        <w:tc>
          <w:tcPr>
            <w:tcW w:w="5000" w:type="pct"/>
            <w:gridSpan w:val="3"/>
            <w:tcBorders>
              <w:top w:val="single" w:sz="4" w:space="0" w:color="auto"/>
              <w:left w:val="single" w:sz="4" w:space="0" w:color="auto"/>
              <w:bottom w:val="single" w:sz="4" w:space="0" w:color="auto"/>
              <w:right w:val="single" w:sz="4" w:space="0" w:color="auto"/>
            </w:tcBorders>
          </w:tcPr>
          <w:p w:rsidR="003117BD" w:rsidRPr="003117BD" w:rsidRDefault="003117BD" w:rsidP="00EF2129">
            <w:pPr>
              <w:pStyle w:val="TableText0"/>
              <w:keepNext w:val="0"/>
              <w:spacing w:before="0" w:after="0"/>
              <w:rPr>
                <w:rFonts w:cs="Arial"/>
                <w:b/>
                <w:lang w:eastAsia="en-AU"/>
              </w:rPr>
            </w:pPr>
            <w:r>
              <w:rPr>
                <w:rFonts w:cs="Arial"/>
                <w:b/>
                <w:lang w:eastAsia="en-AU"/>
              </w:rPr>
              <w:t>Vildagliptin vs saxagliptin</w:t>
            </w:r>
          </w:p>
        </w:tc>
      </w:tr>
      <w:tr w:rsidR="00064581" w:rsidRPr="004E2ADC" w:rsidTr="00107311">
        <w:trPr>
          <w:cantSplit/>
        </w:trPr>
        <w:tc>
          <w:tcPr>
            <w:tcW w:w="673" w:type="pct"/>
            <w:tcBorders>
              <w:top w:val="single" w:sz="4" w:space="0" w:color="auto"/>
              <w:left w:val="single" w:sz="4" w:space="0" w:color="auto"/>
              <w:bottom w:val="single" w:sz="4" w:space="0" w:color="auto"/>
              <w:right w:val="single" w:sz="4" w:space="0" w:color="auto"/>
            </w:tcBorders>
          </w:tcPr>
          <w:p w:rsidR="00064581" w:rsidRPr="00064581" w:rsidRDefault="00064581" w:rsidP="00EF2129">
            <w:pPr>
              <w:pStyle w:val="TableText0"/>
              <w:keepNext w:val="0"/>
              <w:spacing w:before="0" w:after="0"/>
              <w:rPr>
                <w:rFonts w:cs="Arial"/>
                <w:lang w:eastAsia="en-AU"/>
              </w:rPr>
            </w:pPr>
            <w:r w:rsidRPr="00064581">
              <w:rPr>
                <w:rFonts w:cs="Arial"/>
                <w:lang w:eastAsia="en-AU"/>
              </w:rPr>
              <w:t>Chen 2015</w:t>
            </w:r>
          </w:p>
        </w:tc>
        <w:tc>
          <w:tcPr>
            <w:tcW w:w="3149" w:type="pct"/>
            <w:tcBorders>
              <w:top w:val="single" w:sz="4" w:space="0" w:color="auto"/>
              <w:left w:val="single" w:sz="4" w:space="0" w:color="auto"/>
              <w:bottom w:val="single" w:sz="4" w:space="0" w:color="auto"/>
              <w:right w:val="single" w:sz="4" w:space="0" w:color="auto"/>
            </w:tcBorders>
          </w:tcPr>
          <w:p w:rsidR="00064581" w:rsidRPr="00064581" w:rsidRDefault="003117BD" w:rsidP="00EF2129">
            <w:pPr>
              <w:pStyle w:val="TableText0"/>
              <w:keepNext w:val="0"/>
              <w:spacing w:before="0" w:after="0"/>
              <w:rPr>
                <w:rFonts w:cs="Arial"/>
                <w:lang w:eastAsia="en-AU"/>
              </w:rPr>
            </w:pPr>
            <w:r>
              <w:rPr>
                <w:rFonts w:cs="Arial"/>
                <w:lang w:eastAsia="en-AU"/>
              </w:rPr>
              <w:t xml:space="preserve">Chen X, Wang J, Huang X, et al. </w:t>
            </w:r>
            <w:r w:rsidR="00064581" w:rsidRPr="00064581">
              <w:rPr>
                <w:rFonts w:cs="Arial"/>
                <w:lang w:eastAsia="en-AU"/>
              </w:rPr>
              <w:t>Effects of vildagliptin vs saxagliptin on daily acute glucose fluctuation in Chinese type 2 diabetics inadequately controlled with dual combination of metformin and sulphonylurea</w:t>
            </w:r>
            <w:r w:rsidR="00064581">
              <w:rPr>
                <w:rFonts w:cs="Arial"/>
                <w:lang w:eastAsia="en-AU"/>
              </w:rPr>
              <w:t xml:space="preserve"> (abstract only)</w:t>
            </w:r>
            <w:r w:rsidR="00064581" w:rsidRPr="00064581">
              <w:rPr>
                <w:rFonts w:cs="Arial"/>
                <w:lang w:eastAsia="en-AU"/>
              </w:rPr>
              <w:t>.</w:t>
            </w:r>
          </w:p>
        </w:tc>
        <w:tc>
          <w:tcPr>
            <w:tcW w:w="1178" w:type="pct"/>
            <w:tcBorders>
              <w:top w:val="single" w:sz="4" w:space="0" w:color="auto"/>
              <w:left w:val="single" w:sz="4" w:space="0" w:color="auto"/>
              <w:bottom w:val="single" w:sz="4" w:space="0" w:color="auto"/>
              <w:right w:val="single" w:sz="4" w:space="0" w:color="auto"/>
            </w:tcBorders>
          </w:tcPr>
          <w:p w:rsidR="00064581" w:rsidRPr="00064581" w:rsidRDefault="00064581" w:rsidP="00EF2129">
            <w:pPr>
              <w:pStyle w:val="TableText0"/>
              <w:keepNext w:val="0"/>
              <w:spacing w:before="0" w:after="0"/>
              <w:rPr>
                <w:rFonts w:cs="Arial"/>
                <w:lang w:eastAsia="en-AU"/>
              </w:rPr>
            </w:pPr>
            <w:r w:rsidRPr="00064581">
              <w:rPr>
                <w:rFonts w:cs="Arial"/>
                <w:lang w:eastAsia="en-AU"/>
              </w:rPr>
              <w:t>Diabetes, 64, A318</w:t>
            </w:r>
          </w:p>
        </w:tc>
      </w:tr>
    </w:tbl>
    <w:p w:rsidR="00064581" w:rsidRPr="00B100E7" w:rsidRDefault="00064581" w:rsidP="003117BD">
      <w:pPr>
        <w:ind w:left="709"/>
        <w:rPr>
          <w:rFonts w:ascii="Arial Narrow" w:hAnsi="Arial Narrow"/>
          <w:sz w:val="18"/>
          <w:szCs w:val="18"/>
        </w:rPr>
      </w:pPr>
      <w:r w:rsidRPr="00B100E7">
        <w:rPr>
          <w:rFonts w:ascii="Arial Narrow" w:hAnsi="Arial Narrow"/>
          <w:sz w:val="18"/>
          <w:szCs w:val="18"/>
        </w:rPr>
        <w:t>Abbreviations: RCT, randomised controlled trial</w:t>
      </w:r>
    </w:p>
    <w:p w:rsidR="00064581" w:rsidRPr="00B100E7" w:rsidRDefault="00064581" w:rsidP="003117BD">
      <w:pPr>
        <w:ind w:left="709"/>
        <w:rPr>
          <w:rFonts w:ascii="Arial Narrow" w:hAnsi="Arial Narrow"/>
          <w:sz w:val="18"/>
          <w:szCs w:val="18"/>
        </w:rPr>
      </w:pPr>
      <w:r w:rsidRPr="00B100E7">
        <w:rPr>
          <w:rFonts w:ascii="Arial Narrow" w:hAnsi="Arial Narrow"/>
          <w:sz w:val="18"/>
          <w:szCs w:val="18"/>
        </w:rPr>
        <w:t xml:space="preserve">Source: Table </w:t>
      </w:r>
      <w:r>
        <w:rPr>
          <w:rFonts w:ascii="Arial Narrow" w:hAnsi="Arial Narrow"/>
          <w:sz w:val="18"/>
          <w:szCs w:val="18"/>
        </w:rPr>
        <w:t>8</w:t>
      </w:r>
      <w:r w:rsidRPr="00B100E7">
        <w:rPr>
          <w:rFonts w:ascii="Arial Narrow" w:hAnsi="Arial Narrow"/>
          <w:sz w:val="18"/>
          <w:szCs w:val="18"/>
        </w:rPr>
        <w:t>, p</w:t>
      </w:r>
      <w:r>
        <w:rPr>
          <w:rFonts w:ascii="Arial Narrow" w:hAnsi="Arial Narrow"/>
          <w:sz w:val="18"/>
          <w:szCs w:val="18"/>
        </w:rPr>
        <w:t>p24-26</w:t>
      </w:r>
      <w:r w:rsidRPr="00B100E7">
        <w:rPr>
          <w:rFonts w:ascii="Arial Narrow" w:hAnsi="Arial Narrow"/>
          <w:sz w:val="18"/>
          <w:szCs w:val="18"/>
        </w:rPr>
        <w:t xml:space="preserve"> of the submission.</w:t>
      </w:r>
    </w:p>
    <w:p w:rsidR="00064581" w:rsidRDefault="00064581" w:rsidP="00E22A0D">
      <w:pPr>
        <w:pStyle w:val="TableFooter"/>
        <w:ind w:firstLine="720"/>
      </w:pPr>
    </w:p>
    <w:p w:rsidR="005A1EFD" w:rsidRPr="00682FC3" w:rsidRDefault="008F120A" w:rsidP="008A55D3">
      <w:pPr>
        <w:pStyle w:val="ListParagraph"/>
        <w:widowControl/>
        <w:numPr>
          <w:ilvl w:val="1"/>
          <w:numId w:val="4"/>
        </w:numPr>
        <w:rPr>
          <w:szCs w:val="22"/>
        </w:rPr>
      </w:pPr>
      <w:r w:rsidRPr="00B50DB8">
        <w:rPr>
          <w:szCs w:val="22"/>
        </w:rPr>
        <w:t>The key features of the randomised trials are summarised in the table below.</w:t>
      </w:r>
      <w:r w:rsidR="005A1EFD">
        <w:rPr>
          <w:szCs w:val="22"/>
        </w:rPr>
        <w:t xml:space="preserve"> </w:t>
      </w:r>
      <w:r w:rsidR="005A1EFD" w:rsidRPr="005A1EFD">
        <w:rPr>
          <w:szCs w:val="22"/>
        </w:rPr>
        <w:t xml:space="preserve">There were some differences in baseline characteristics within and between trials. There were more men in the placebo than </w:t>
      </w:r>
      <w:r w:rsidR="00B62F25">
        <w:rPr>
          <w:szCs w:val="22"/>
        </w:rPr>
        <w:t xml:space="preserve">the </w:t>
      </w:r>
      <w:r w:rsidR="005A1EFD" w:rsidRPr="005A1EFD">
        <w:rPr>
          <w:szCs w:val="22"/>
        </w:rPr>
        <w:t xml:space="preserve">dapagliflozin arm of Matthaei 2015, and the study population was predominantly Asian in the vildagliptin trial 23152, and saxagliptin trial Moses 2014. Both Chen 2015 and sitagliptin trial NCT01590771 </w:t>
      </w:r>
      <w:r w:rsidR="005A1EFD" w:rsidRPr="00682FC3">
        <w:rPr>
          <w:szCs w:val="22"/>
        </w:rPr>
        <w:t>included only Chinese patients. It was unclear whether the differences in the ethnicity of patients in the trial would affect the applicability of results to the requested PBS population.</w:t>
      </w:r>
    </w:p>
    <w:p w:rsidR="007F1017" w:rsidRPr="00682FC3" w:rsidRDefault="007F1017" w:rsidP="007F1017">
      <w:pPr>
        <w:widowControl/>
        <w:rPr>
          <w:szCs w:val="22"/>
        </w:rPr>
      </w:pPr>
    </w:p>
    <w:p w:rsidR="007F1017" w:rsidRPr="00E2771E" w:rsidRDefault="007F1017" w:rsidP="00E22A0D">
      <w:pPr>
        <w:ind w:firstLine="720"/>
        <w:rPr>
          <w:rStyle w:val="CommentReference"/>
        </w:rPr>
      </w:pPr>
      <w:r w:rsidRPr="00E2771E">
        <w:rPr>
          <w:rStyle w:val="CommentReference"/>
        </w:rPr>
        <w:t xml:space="preserve">Table </w:t>
      </w:r>
      <w:r w:rsidR="00EC3D64">
        <w:rPr>
          <w:rStyle w:val="CommentReference"/>
        </w:rPr>
        <w:t>2</w:t>
      </w:r>
      <w:r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21"/>
        <w:gridCol w:w="568"/>
        <w:gridCol w:w="1702"/>
        <w:gridCol w:w="991"/>
        <w:gridCol w:w="1839"/>
        <w:gridCol w:w="1824"/>
      </w:tblGrid>
      <w:tr w:rsidR="000E7D64" w:rsidRPr="00E2771E" w:rsidTr="00012F71">
        <w:tc>
          <w:tcPr>
            <w:tcW w:w="851" w:type="pct"/>
            <w:shd w:val="clear" w:color="auto" w:fill="auto"/>
            <w:vAlign w:val="center"/>
          </w:tcPr>
          <w:p w:rsidR="000E7D64" w:rsidRPr="00E2771E" w:rsidRDefault="000E7D64" w:rsidP="007F1017">
            <w:pPr>
              <w:jc w:val="left"/>
              <w:rPr>
                <w:rFonts w:ascii="Arial Narrow" w:hAnsi="Arial Narrow"/>
                <w:b/>
                <w:sz w:val="20"/>
                <w:lang w:val="en-US"/>
              </w:rPr>
            </w:pPr>
            <w:r w:rsidRPr="00E2771E">
              <w:rPr>
                <w:rFonts w:ascii="Arial Narrow" w:hAnsi="Arial Narrow"/>
                <w:b/>
                <w:sz w:val="20"/>
                <w:lang w:val="en-US"/>
              </w:rPr>
              <w:t>Trial</w:t>
            </w:r>
          </w:p>
        </w:tc>
        <w:tc>
          <w:tcPr>
            <w:tcW w:w="340" w:type="pct"/>
            <w:shd w:val="clear" w:color="auto" w:fill="auto"/>
            <w:vAlign w:val="center"/>
          </w:tcPr>
          <w:p w:rsidR="000E7D64" w:rsidRPr="00E2771E" w:rsidRDefault="000E7D64" w:rsidP="007F1017">
            <w:pPr>
              <w:jc w:val="center"/>
              <w:rPr>
                <w:rFonts w:ascii="Arial Narrow" w:hAnsi="Arial Narrow"/>
                <w:b/>
                <w:sz w:val="20"/>
                <w:lang w:val="en-US"/>
              </w:rPr>
            </w:pPr>
            <w:r w:rsidRPr="00E2771E">
              <w:rPr>
                <w:rFonts w:ascii="Arial Narrow" w:hAnsi="Arial Narrow"/>
                <w:b/>
                <w:sz w:val="20"/>
                <w:lang w:val="en-US"/>
              </w:rPr>
              <w:t>N</w:t>
            </w:r>
          </w:p>
        </w:tc>
        <w:tc>
          <w:tcPr>
            <w:tcW w:w="1020" w:type="pct"/>
            <w:shd w:val="clear" w:color="auto" w:fill="auto"/>
            <w:vAlign w:val="center"/>
          </w:tcPr>
          <w:p w:rsidR="000E7D64" w:rsidRPr="00E2771E" w:rsidRDefault="000E7D64" w:rsidP="007F1017">
            <w:pPr>
              <w:jc w:val="center"/>
              <w:rPr>
                <w:rFonts w:ascii="Arial Narrow" w:hAnsi="Arial Narrow"/>
                <w:b/>
                <w:sz w:val="20"/>
                <w:lang w:val="en-US"/>
              </w:rPr>
            </w:pPr>
            <w:r w:rsidRPr="00E2771E">
              <w:rPr>
                <w:rFonts w:ascii="Arial Narrow" w:hAnsi="Arial Narrow"/>
                <w:b/>
                <w:sz w:val="20"/>
                <w:lang w:val="en-US"/>
              </w:rPr>
              <w:t>Design/ duration</w:t>
            </w:r>
          </w:p>
        </w:tc>
        <w:tc>
          <w:tcPr>
            <w:tcW w:w="594" w:type="pct"/>
            <w:shd w:val="clear" w:color="auto" w:fill="auto"/>
            <w:vAlign w:val="center"/>
          </w:tcPr>
          <w:p w:rsidR="000E7D64" w:rsidRPr="00E2771E" w:rsidRDefault="000E7D64" w:rsidP="007F1017">
            <w:pPr>
              <w:jc w:val="center"/>
              <w:rPr>
                <w:rFonts w:ascii="Arial Narrow" w:hAnsi="Arial Narrow"/>
                <w:b/>
                <w:sz w:val="20"/>
                <w:lang w:val="en-US"/>
              </w:rPr>
            </w:pPr>
            <w:r w:rsidRPr="00E2771E">
              <w:rPr>
                <w:rFonts w:ascii="Arial Narrow" w:hAnsi="Arial Narrow"/>
                <w:b/>
                <w:sz w:val="20"/>
                <w:lang w:val="en-US"/>
              </w:rPr>
              <w:t>Risk of bias</w:t>
            </w:r>
          </w:p>
        </w:tc>
        <w:tc>
          <w:tcPr>
            <w:tcW w:w="1102" w:type="pct"/>
            <w:shd w:val="clear" w:color="auto" w:fill="auto"/>
            <w:vAlign w:val="center"/>
          </w:tcPr>
          <w:p w:rsidR="000E7D64" w:rsidRPr="00E2771E" w:rsidRDefault="000E7D64" w:rsidP="007F1017">
            <w:pPr>
              <w:jc w:val="center"/>
              <w:rPr>
                <w:rFonts w:ascii="Arial Narrow" w:hAnsi="Arial Narrow"/>
                <w:b/>
                <w:sz w:val="20"/>
                <w:lang w:val="en-US"/>
              </w:rPr>
            </w:pPr>
            <w:r w:rsidRPr="00E2771E">
              <w:rPr>
                <w:rFonts w:ascii="Arial Narrow" w:hAnsi="Arial Narrow"/>
                <w:b/>
                <w:sz w:val="20"/>
                <w:lang w:val="en-US"/>
              </w:rPr>
              <w:t>Patient population</w:t>
            </w:r>
          </w:p>
        </w:tc>
        <w:tc>
          <w:tcPr>
            <w:tcW w:w="1093" w:type="pct"/>
            <w:shd w:val="clear" w:color="auto" w:fill="auto"/>
            <w:vAlign w:val="center"/>
          </w:tcPr>
          <w:p w:rsidR="000E7D64" w:rsidRPr="00E2771E" w:rsidRDefault="000E7D64" w:rsidP="007F1017">
            <w:pPr>
              <w:jc w:val="center"/>
              <w:rPr>
                <w:rFonts w:ascii="Arial Narrow" w:hAnsi="Arial Narrow"/>
                <w:b/>
                <w:sz w:val="20"/>
                <w:lang w:val="en-US"/>
              </w:rPr>
            </w:pPr>
            <w:r w:rsidRPr="00E2771E">
              <w:rPr>
                <w:rFonts w:ascii="Arial Narrow" w:hAnsi="Arial Narrow"/>
                <w:b/>
                <w:sz w:val="20"/>
                <w:lang w:val="en-US"/>
              </w:rPr>
              <w:t>Outcome(s)</w:t>
            </w:r>
          </w:p>
        </w:tc>
      </w:tr>
      <w:tr w:rsidR="007F1017" w:rsidRPr="00E2771E" w:rsidTr="00E22A0D">
        <w:tc>
          <w:tcPr>
            <w:tcW w:w="5000" w:type="pct"/>
            <w:gridSpan w:val="6"/>
            <w:shd w:val="clear" w:color="auto" w:fill="auto"/>
            <w:vAlign w:val="center"/>
          </w:tcPr>
          <w:p w:rsidR="007F1017" w:rsidRPr="00E2771E" w:rsidRDefault="000E7D64" w:rsidP="000E7D64">
            <w:pPr>
              <w:jc w:val="left"/>
              <w:rPr>
                <w:rFonts w:ascii="Arial Narrow" w:hAnsi="Arial Narrow"/>
                <w:b/>
                <w:sz w:val="20"/>
                <w:lang w:val="en-US"/>
              </w:rPr>
            </w:pPr>
            <w:r>
              <w:rPr>
                <w:rFonts w:ascii="Arial Narrow" w:hAnsi="Arial Narrow"/>
                <w:b/>
                <w:sz w:val="20"/>
                <w:lang w:val="en-US"/>
              </w:rPr>
              <w:t>Vildagliptin 100mg vs placebo, in combination with metformin and a sulfonylurea</w:t>
            </w:r>
          </w:p>
        </w:tc>
      </w:tr>
      <w:tr w:rsidR="000E7D64" w:rsidRPr="00E2771E" w:rsidTr="00012F71">
        <w:tc>
          <w:tcPr>
            <w:tcW w:w="851" w:type="pct"/>
            <w:shd w:val="clear" w:color="auto" w:fill="auto"/>
            <w:vAlign w:val="center"/>
          </w:tcPr>
          <w:p w:rsidR="000E7D64" w:rsidRPr="00E2771E" w:rsidRDefault="000E7D64" w:rsidP="007F1017">
            <w:pPr>
              <w:jc w:val="left"/>
              <w:rPr>
                <w:rFonts w:ascii="Arial Narrow" w:hAnsi="Arial Narrow"/>
                <w:sz w:val="20"/>
                <w:lang w:val="en-US"/>
              </w:rPr>
            </w:pPr>
            <w:r>
              <w:rPr>
                <w:rFonts w:ascii="Arial Narrow" w:hAnsi="Arial Narrow"/>
                <w:sz w:val="20"/>
                <w:lang w:val="en-US"/>
              </w:rPr>
              <w:t>Trial 23152</w:t>
            </w:r>
          </w:p>
        </w:tc>
        <w:tc>
          <w:tcPr>
            <w:tcW w:w="340" w:type="pct"/>
            <w:shd w:val="clear" w:color="auto" w:fill="auto"/>
            <w:vAlign w:val="center"/>
          </w:tcPr>
          <w:p w:rsidR="000E7D64" w:rsidRPr="000E7D64" w:rsidRDefault="00012F71" w:rsidP="007F1017">
            <w:pPr>
              <w:jc w:val="center"/>
              <w:rPr>
                <w:rFonts w:ascii="Arial Narrow" w:hAnsi="Arial Narrow"/>
                <w:sz w:val="20"/>
                <w:highlight w:val="yellow"/>
                <w:lang w:val="en-US"/>
              </w:rPr>
            </w:pPr>
            <w:r w:rsidRPr="00012F71">
              <w:rPr>
                <w:rFonts w:ascii="Arial Narrow" w:hAnsi="Arial Narrow"/>
                <w:sz w:val="20"/>
                <w:lang w:val="en-US"/>
              </w:rPr>
              <w:t>318</w:t>
            </w:r>
          </w:p>
        </w:tc>
        <w:tc>
          <w:tcPr>
            <w:tcW w:w="1020" w:type="pct"/>
            <w:shd w:val="clear" w:color="auto" w:fill="auto"/>
            <w:vAlign w:val="center"/>
          </w:tcPr>
          <w:p w:rsidR="000E7D64" w:rsidRPr="000E7D64" w:rsidRDefault="00012F71" w:rsidP="007F1017">
            <w:pPr>
              <w:jc w:val="center"/>
              <w:rPr>
                <w:rFonts w:ascii="Arial Narrow" w:hAnsi="Arial Narrow"/>
                <w:sz w:val="20"/>
                <w:highlight w:val="yellow"/>
                <w:lang w:val="en-US"/>
              </w:rPr>
            </w:pPr>
            <w:r w:rsidRPr="00315B9D">
              <w:rPr>
                <w:rFonts w:ascii="Arial Narrow" w:hAnsi="Arial Narrow"/>
                <w:sz w:val="20"/>
              </w:rPr>
              <w:t xml:space="preserve">R, DB, MC, </w:t>
            </w:r>
            <w:r>
              <w:rPr>
                <w:rFonts w:ascii="Arial Narrow" w:hAnsi="Arial Narrow"/>
                <w:sz w:val="20"/>
              </w:rPr>
              <w:t xml:space="preserve">PG, </w:t>
            </w:r>
            <w:r w:rsidRPr="00315B9D">
              <w:rPr>
                <w:rFonts w:ascii="Arial Narrow" w:hAnsi="Arial Narrow"/>
                <w:sz w:val="20"/>
              </w:rPr>
              <w:t>PC, 24 weeks</w:t>
            </w:r>
          </w:p>
        </w:tc>
        <w:tc>
          <w:tcPr>
            <w:tcW w:w="594" w:type="pct"/>
            <w:shd w:val="clear" w:color="auto" w:fill="auto"/>
            <w:vAlign w:val="center"/>
          </w:tcPr>
          <w:p w:rsidR="000E7D64" w:rsidRPr="000E7D64" w:rsidRDefault="000E7D64" w:rsidP="007F1017">
            <w:pPr>
              <w:jc w:val="center"/>
              <w:rPr>
                <w:rFonts w:ascii="Arial Narrow" w:hAnsi="Arial Narrow"/>
                <w:sz w:val="20"/>
                <w:highlight w:val="yellow"/>
                <w:lang w:val="en-US"/>
              </w:rPr>
            </w:pPr>
            <w:r w:rsidRPr="00012F71">
              <w:rPr>
                <w:rFonts w:ascii="Arial Narrow" w:hAnsi="Arial Narrow"/>
                <w:sz w:val="20"/>
                <w:lang w:val="en-US"/>
              </w:rPr>
              <w:t>Low</w:t>
            </w:r>
          </w:p>
        </w:tc>
        <w:tc>
          <w:tcPr>
            <w:tcW w:w="1102" w:type="pct"/>
            <w:shd w:val="clear" w:color="auto" w:fill="auto"/>
            <w:vAlign w:val="center"/>
          </w:tcPr>
          <w:p w:rsidR="000E7D64" w:rsidRPr="000E7D64" w:rsidRDefault="00012F71" w:rsidP="007F1017">
            <w:pPr>
              <w:jc w:val="center"/>
              <w:rPr>
                <w:rFonts w:ascii="Arial Narrow" w:hAnsi="Arial Narrow"/>
                <w:sz w:val="20"/>
                <w:highlight w:val="yellow"/>
                <w:lang w:val="en-US"/>
              </w:rPr>
            </w:pPr>
            <w:r w:rsidRPr="002E03BF">
              <w:rPr>
                <w:rFonts w:ascii="Arial Narrow" w:hAnsi="Arial Narrow"/>
                <w:sz w:val="20"/>
              </w:rPr>
              <w:t xml:space="preserve">Aged ≥18 </w:t>
            </w:r>
            <w:r>
              <w:rPr>
                <w:rFonts w:ascii="Arial Narrow" w:hAnsi="Arial Narrow"/>
                <w:sz w:val="20"/>
              </w:rPr>
              <w:t>-</w:t>
            </w:r>
            <w:r w:rsidRPr="002E03BF">
              <w:rPr>
                <w:rFonts w:ascii="Arial Narrow" w:hAnsi="Arial Narrow"/>
                <w:sz w:val="20"/>
              </w:rPr>
              <w:t xml:space="preserve"> ≤80 years with T2DM</w:t>
            </w:r>
            <w:r>
              <w:rPr>
                <w:rFonts w:ascii="Arial Narrow" w:hAnsi="Arial Narrow"/>
                <w:sz w:val="20"/>
              </w:rPr>
              <w:t xml:space="preserve">; </w:t>
            </w:r>
            <w:r w:rsidRPr="002E03BF">
              <w:rPr>
                <w:rFonts w:ascii="Arial Narrow" w:hAnsi="Arial Narrow"/>
                <w:sz w:val="20"/>
                <w:lang w:val="en-US"/>
              </w:rPr>
              <w:t xml:space="preserve">HbA1c ≥7.5% </w:t>
            </w:r>
            <w:r>
              <w:rPr>
                <w:rFonts w:ascii="Arial Narrow" w:hAnsi="Arial Narrow"/>
                <w:sz w:val="20"/>
                <w:lang w:val="en-US"/>
              </w:rPr>
              <w:t>-</w:t>
            </w:r>
            <w:r w:rsidRPr="002E03BF">
              <w:rPr>
                <w:rFonts w:ascii="Arial Narrow" w:hAnsi="Arial Narrow"/>
                <w:sz w:val="20"/>
                <w:lang w:val="en-US"/>
              </w:rPr>
              <w:t xml:space="preserve"> ≤11%</w:t>
            </w:r>
          </w:p>
        </w:tc>
        <w:tc>
          <w:tcPr>
            <w:tcW w:w="1093" w:type="pct"/>
            <w:shd w:val="clear" w:color="auto" w:fill="auto"/>
            <w:vAlign w:val="center"/>
          </w:tcPr>
          <w:p w:rsidR="000E7D64" w:rsidRPr="00E2771E" w:rsidRDefault="000E7D64" w:rsidP="007F1017">
            <w:pPr>
              <w:jc w:val="center"/>
              <w:rPr>
                <w:rFonts w:ascii="Arial Narrow" w:hAnsi="Arial Narrow"/>
                <w:sz w:val="20"/>
                <w:lang w:val="en-US"/>
              </w:rPr>
            </w:pPr>
            <w:r>
              <w:rPr>
                <w:rFonts w:ascii="Arial Narrow" w:hAnsi="Arial Narrow"/>
                <w:sz w:val="20"/>
                <w:lang w:val="en-US"/>
              </w:rPr>
              <w:t>HbA1c</w:t>
            </w:r>
            <w:r w:rsidR="00012F71">
              <w:rPr>
                <w:rFonts w:ascii="Arial Narrow" w:hAnsi="Arial Narrow"/>
                <w:sz w:val="20"/>
                <w:lang w:val="en-US"/>
              </w:rPr>
              <w:t>, responders, FPG</w:t>
            </w:r>
          </w:p>
        </w:tc>
      </w:tr>
      <w:tr w:rsidR="000E7D64" w:rsidRPr="00E2771E" w:rsidTr="000E7D64">
        <w:tc>
          <w:tcPr>
            <w:tcW w:w="5000" w:type="pct"/>
            <w:gridSpan w:val="6"/>
            <w:shd w:val="clear" w:color="auto" w:fill="auto"/>
            <w:vAlign w:val="center"/>
          </w:tcPr>
          <w:p w:rsidR="000E7D64" w:rsidRPr="00E2771E" w:rsidRDefault="000E7D64" w:rsidP="000E7D64">
            <w:pPr>
              <w:jc w:val="left"/>
              <w:rPr>
                <w:rFonts w:ascii="Arial Narrow" w:hAnsi="Arial Narrow"/>
                <w:sz w:val="20"/>
                <w:lang w:val="en-US"/>
              </w:rPr>
            </w:pPr>
            <w:r w:rsidRPr="000E7D64">
              <w:rPr>
                <w:rFonts w:ascii="Arial Narrow" w:hAnsi="Arial Narrow"/>
                <w:b/>
                <w:sz w:val="20"/>
                <w:lang w:val="en-US"/>
              </w:rPr>
              <w:t>Dapagliflozin 10mg vs placebo, in</w:t>
            </w:r>
            <w:r>
              <w:rPr>
                <w:rFonts w:ascii="Arial Narrow" w:hAnsi="Arial Narrow"/>
                <w:b/>
                <w:sz w:val="20"/>
                <w:lang w:val="en-US"/>
              </w:rPr>
              <w:t xml:space="preserve"> combination with metformin and a sulfonylurea</w:t>
            </w:r>
          </w:p>
        </w:tc>
      </w:tr>
      <w:tr w:rsidR="000E7D64" w:rsidRPr="00E2771E" w:rsidTr="00012F71">
        <w:tc>
          <w:tcPr>
            <w:tcW w:w="851" w:type="pct"/>
            <w:shd w:val="clear" w:color="auto" w:fill="auto"/>
            <w:vAlign w:val="center"/>
          </w:tcPr>
          <w:p w:rsidR="000E7D64" w:rsidRPr="00E2771E" w:rsidRDefault="000E7D64" w:rsidP="007F1017">
            <w:pPr>
              <w:jc w:val="left"/>
              <w:rPr>
                <w:rFonts w:ascii="Arial Narrow" w:hAnsi="Arial Narrow"/>
                <w:sz w:val="20"/>
                <w:lang w:val="en-US"/>
              </w:rPr>
            </w:pPr>
            <w:r>
              <w:rPr>
                <w:rFonts w:ascii="Arial Narrow" w:hAnsi="Arial Narrow"/>
                <w:sz w:val="20"/>
                <w:lang w:val="en-US"/>
              </w:rPr>
              <w:t>Matthaei 2015</w:t>
            </w:r>
          </w:p>
        </w:tc>
        <w:tc>
          <w:tcPr>
            <w:tcW w:w="340" w:type="pct"/>
            <w:shd w:val="clear" w:color="auto" w:fill="auto"/>
            <w:vAlign w:val="center"/>
          </w:tcPr>
          <w:p w:rsidR="000E7D64" w:rsidRPr="00E2771E" w:rsidRDefault="000E7D64" w:rsidP="007F1017">
            <w:pPr>
              <w:jc w:val="center"/>
              <w:rPr>
                <w:rFonts w:ascii="Arial Narrow" w:hAnsi="Arial Narrow"/>
                <w:sz w:val="20"/>
                <w:lang w:val="en-US"/>
              </w:rPr>
            </w:pPr>
            <w:r>
              <w:rPr>
                <w:rFonts w:ascii="Arial Narrow" w:hAnsi="Arial Narrow"/>
                <w:sz w:val="20"/>
                <w:lang w:val="en-US"/>
              </w:rPr>
              <w:t>218</w:t>
            </w:r>
          </w:p>
        </w:tc>
        <w:tc>
          <w:tcPr>
            <w:tcW w:w="1020" w:type="pct"/>
            <w:shd w:val="clear" w:color="auto" w:fill="auto"/>
            <w:vAlign w:val="center"/>
          </w:tcPr>
          <w:p w:rsidR="000E7D64" w:rsidRPr="00E2771E" w:rsidRDefault="00012F71" w:rsidP="007F1017">
            <w:pPr>
              <w:jc w:val="center"/>
              <w:rPr>
                <w:rFonts w:ascii="Arial Narrow" w:hAnsi="Arial Narrow"/>
                <w:sz w:val="20"/>
                <w:lang w:val="en-US"/>
              </w:rPr>
            </w:pPr>
            <w:r>
              <w:rPr>
                <w:rFonts w:ascii="Arial Narrow" w:hAnsi="Arial Narrow"/>
                <w:sz w:val="20"/>
              </w:rPr>
              <w:t xml:space="preserve">R, DB, MC, PG, PC, 24 </w:t>
            </w:r>
            <w:r w:rsidRPr="00C318C2">
              <w:rPr>
                <w:rFonts w:ascii="Arial Narrow" w:hAnsi="Arial Narrow"/>
                <w:sz w:val="20"/>
                <w:lang w:val="en-US"/>
              </w:rPr>
              <w:t>weeks</w:t>
            </w:r>
          </w:p>
        </w:tc>
        <w:tc>
          <w:tcPr>
            <w:tcW w:w="594" w:type="pct"/>
            <w:shd w:val="clear" w:color="auto" w:fill="auto"/>
            <w:vAlign w:val="center"/>
          </w:tcPr>
          <w:p w:rsidR="000E7D64" w:rsidRPr="00E2771E" w:rsidRDefault="00012F71" w:rsidP="007F1017">
            <w:pPr>
              <w:jc w:val="center"/>
              <w:rPr>
                <w:rFonts w:ascii="Arial Narrow" w:hAnsi="Arial Narrow"/>
                <w:sz w:val="20"/>
                <w:lang w:val="en-US"/>
              </w:rPr>
            </w:pPr>
            <w:r w:rsidRPr="00012F71">
              <w:rPr>
                <w:rFonts w:ascii="Arial Narrow" w:hAnsi="Arial Narrow"/>
                <w:sz w:val="20"/>
                <w:lang w:val="en-US"/>
              </w:rPr>
              <w:t>Low</w:t>
            </w:r>
          </w:p>
        </w:tc>
        <w:tc>
          <w:tcPr>
            <w:tcW w:w="1102" w:type="pct"/>
            <w:shd w:val="clear" w:color="auto" w:fill="auto"/>
            <w:vAlign w:val="center"/>
          </w:tcPr>
          <w:p w:rsidR="000E7D64" w:rsidRPr="00E2771E" w:rsidRDefault="00012F71" w:rsidP="007F1017">
            <w:pPr>
              <w:jc w:val="center"/>
              <w:rPr>
                <w:rFonts w:ascii="Arial Narrow" w:hAnsi="Arial Narrow"/>
                <w:sz w:val="20"/>
                <w:lang w:val="en-US"/>
              </w:rPr>
            </w:pPr>
            <w:r w:rsidRPr="00C318C2">
              <w:rPr>
                <w:rFonts w:ascii="Arial Narrow" w:hAnsi="Arial Narrow"/>
                <w:sz w:val="20"/>
              </w:rPr>
              <w:t>Aged ≥18 with T2DM</w:t>
            </w:r>
            <w:r>
              <w:rPr>
                <w:rFonts w:ascii="Arial Narrow" w:hAnsi="Arial Narrow"/>
                <w:sz w:val="20"/>
              </w:rPr>
              <w:t xml:space="preserve">; </w:t>
            </w:r>
            <w:r w:rsidRPr="00C318C2">
              <w:rPr>
                <w:rFonts w:ascii="Arial Narrow" w:hAnsi="Arial Narrow"/>
                <w:sz w:val="20"/>
                <w:lang w:val="en-US"/>
              </w:rPr>
              <w:t xml:space="preserve">HbA1c ≥7.0% </w:t>
            </w:r>
            <w:r>
              <w:rPr>
                <w:rFonts w:ascii="Arial Narrow" w:hAnsi="Arial Narrow"/>
                <w:sz w:val="20"/>
                <w:lang w:val="en-US"/>
              </w:rPr>
              <w:t>-</w:t>
            </w:r>
            <w:r w:rsidRPr="00C318C2">
              <w:rPr>
                <w:rFonts w:ascii="Arial Narrow" w:hAnsi="Arial Narrow"/>
                <w:sz w:val="20"/>
                <w:lang w:val="en-US"/>
              </w:rPr>
              <w:t xml:space="preserve"> ≤10.5%</w:t>
            </w:r>
          </w:p>
        </w:tc>
        <w:tc>
          <w:tcPr>
            <w:tcW w:w="1093" w:type="pct"/>
            <w:shd w:val="clear" w:color="auto" w:fill="auto"/>
            <w:vAlign w:val="center"/>
          </w:tcPr>
          <w:p w:rsidR="000E7D64" w:rsidRPr="00E2771E" w:rsidRDefault="00012F71" w:rsidP="007F1017">
            <w:pPr>
              <w:jc w:val="center"/>
              <w:rPr>
                <w:rFonts w:ascii="Arial Narrow" w:hAnsi="Arial Narrow"/>
                <w:sz w:val="20"/>
                <w:lang w:val="en-US"/>
              </w:rPr>
            </w:pPr>
            <w:r>
              <w:rPr>
                <w:rFonts w:ascii="Arial Narrow" w:hAnsi="Arial Narrow"/>
                <w:sz w:val="20"/>
                <w:lang w:val="en-US"/>
              </w:rPr>
              <w:t>HbA1c, responders, FPG, SBP</w:t>
            </w:r>
          </w:p>
        </w:tc>
      </w:tr>
      <w:tr w:rsidR="000E7D64" w:rsidRPr="00E2771E" w:rsidTr="000E7D64">
        <w:tc>
          <w:tcPr>
            <w:tcW w:w="5000" w:type="pct"/>
            <w:gridSpan w:val="6"/>
            <w:shd w:val="clear" w:color="auto" w:fill="auto"/>
            <w:vAlign w:val="center"/>
          </w:tcPr>
          <w:p w:rsidR="000E7D64" w:rsidRPr="00E2771E" w:rsidRDefault="000E7D64" w:rsidP="000E7D64">
            <w:pPr>
              <w:jc w:val="left"/>
              <w:rPr>
                <w:rFonts w:ascii="Arial Narrow" w:hAnsi="Arial Narrow"/>
                <w:sz w:val="20"/>
                <w:lang w:val="en-US"/>
              </w:rPr>
            </w:pPr>
            <w:r>
              <w:rPr>
                <w:rFonts w:ascii="Arial Narrow" w:hAnsi="Arial Narrow"/>
                <w:b/>
                <w:sz w:val="20"/>
                <w:lang w:val="en-US"/>
              </w:rPr>
              <w:t>Sitagliptin 100mg</w:t>
            </w:r>
            <w:r w:rsidRPr="000E7D64">
              <w:rPr>
                <w:rFonts w:ascii="Arial Narrow" w:hAnsi="Arial Narrow"/>
                <w:b/>
                <w:sz w:val="20"/>
                <w:lang w:val="en-US"/>
              </w:rPr>
              <w:t xml:space="preserve"> vs placebo, in</w:t>
            </w:r>
            <w:r>
              <w:rPr>
                <w:rFonts w:ascii="Arial Narrow" w:hAnsi="Arial Narrow"/>
                <w:b/>
                <w:sz w:val="20"/>
                <w:lang w:val="en-US"/>
              </w:rPr>
              <w:t xml:space="preserve"> combination with metformin and a sulfonylurea</w:t>
            </w:r>
          </w:p>
        </w:tc>
      </w:tr>
      <w:tr w:rsidR="00012F71" w:rsidRPr="00E2771E" w:rsidTr="00012F71">
        <w:tc>
          <w:tcPr>
            <w:tcW w:w="851" w:type="pct"/>
            <w:shd w:val="clear" w:color="auto" w:fill="auto"/>
            <w:vAlign w:val="center"/>
          </w:tcPr>
          <w:p w:rsidR="00012F71" w:rsidRDefault="00012F71" w:rsidP="00012F71">
            <w:pPr>
              <w:jc w:val="left"/>
              <w:rPr>
                <w:rFonts w:ascii="Arial Narrow" w:hAnsi="Arial Narrow"/>
                <w:sz w:val="20"/>
                <w:lang w:val="en-US"/>
              </w:rPr>
            </w:pPr>
            <w:r>
              <w:rPr>
                <w:rFonts w:ascii="Arial Narrow" w:hAnsi="Arial Narrow"/>
                <w:sz w:val="20"/>
                <w:lang w:val="en-US"/>
              </w:rPr>
              <w:t>Hermansen 2007</w:t>
            </w:r>
          </w:p>
          <w:p w:rsidR="00012F71" w:rsidRPr="00F00863" w:rsidRDefault="00012F71" w:rsidP="00012F71">
            <w:pPr>
              <w:jc w:val="left"/>
              <w:rPr>
                <w:rFonts w:ascii="Arial Narrow" w:hAnsi="Arial Narrow"/>
                <w:sz w:val="20"/>
                <w:lang w:val="en-US"/>
              </w:rPr>
            </w:pPr>
            <w:r>
              <w:rPr>
                <w:rFonts w:ascii="Arial Narrow" w:hAnsi="Arial Narrow"/>
                <w:sz w:val="20"/>
                <w:lang w:val="en-US"/>
              </w:rPr>
              <w:t xml:space="preserve">(Stratum 2) </w:t>
            </w:r>
            <w:r>
              <w:rPr>
                <w:rFonts w:ascii="Arial Narrow" w:hAnsi="Arial Narrow"/>
                <w:sz w:val="20"/>
                <w:vertAlign w:val="superscript"/>
                <w:lang w:val="en-US"/>
              </w:rPr>
              <w:t>a</w:t>
            </w:r>
          </w:p>
        </w:tc>
        <w:tc>
          <w:tcPr>
            <w:tcW w:w="340" w:type="pct"/>
            <w:shd w:val="clear" w:color="auto" w:fill="auto"/>
            <w:vAlign w:val="center"/>
          </w:tcPr>
          <w:p w:rsidR="00012F71" w:rsidRDefault="00012F71" w:rsidP="00012F71">
            <w:pPr>
              <w:jc w:val="center"/>
              <w:rPr>
                <w:rFonts w:ascii="Arial Narrow" w:hAnsi="Arial Narrow"/>
                <w:sz w:val="20"/>
                <w:lang w:val="en-US"/>
              </w:rPr>
            </w:pPr>
            <w:r>
              <w:rPr>
                <w:rFonts w:ascii="Arial Narrow" w:hAnsi="Arial Narrow"/>
                <w:sz w:val="20"/>
                <w:lang w:val="en-US"/>
              </w:rPr>
              <w:t>229</w:t>
            </w:r>
          </w:p>
        </w:tc>
        <w:tc>
          <w:tcPr>
            <w:tcW w:w="1020" w:type="pct"/>
            <w:shd w:val="clear" w:color="auto" w:fill="auto"/>
            <w:vAlign w:val="center"/>
          </w:tcPr>
          <w:p w:rsidR="00012F71" w:rsidRDefault="00012F71" w:rsidP="007F1017">
            <w:pPr>
              <w:jc w:val="center"/>
              <w:rPr>
                <w:rFonts w:ascii="Arial Narrow" w:hAnsi="Arial Narrow"/>
                <w:sz w:val="20"/>
                <w:lang w:val="en-US"/>
              </w:rPr>
            </w:pPr>
            <w:r>
              <w:rPr>
                <w:rFonts w:ascii="Arial Narrow" w:hAnsi="Arial Narrow"/>
                <w:sz w:val="20"/>
              </w:rPr>
              <w:t>R, DB, MC, PG, PC</w:t>
            </w:r>
            <w:r>
              <w:rPr>
                <w:rFonts w:ascii="Arial Narrow" w:hAnsi="Arial Narrow"/>
                <w:sz w:val="20"/>
                <w:lang w:val="en-US"/>
              </w:rPr>
              <w:t xml:space="preserve">, </w:t>
            </w:r>
            <w:r w:rsidRPr="00C318C2">
              <w:rPr>
                <w:rFonts w:ascii="Arial Narrow" w:hAnsi="Arial Narrow"/>
                <w:sz w:val="20"/>
                <w:lang w:val="en-US"/>
              </w:rPr>
              <w:t>24 weeks</w:t>
            </w:r>
          </w:p>
        </w:tc>
        <w:tc>
          <w:tcPr>
            <w:tcW w:w="594" w:type="pct"/>
            <w:shd w:val="clear" w:color="auto" w:fill="auto"/>
            <w:vAlign w:val="center"/>
          </w:tcPr>
          <w:p w:rsidR="00012F71" w:rsidRPr="00E2771E" w:rsidRDefault="00012F71" w:rsidP="007F1017">
            <w:pPr>
              <w:jc w:val="center"/>
              <w:rPr>
                <w:rFonts w:ascii="Arial Narrow" w:hAnsi="Arial Narrow"/>
                <w:sz w:val="20"/>
                <w:lang w:val="en-US"/>
              </w:rPr>
            </w:pPr>
            <w:r w:rsidRPr="00012F71">
              <w:rPr>
                <w:rFonts w:ascii="Arial Narrow" w:hAnsi="Arial Narrow"/>
                <w:sz w:val="20"/>
                <w:lang w:val="en-US"/>
              </w:rPr>
              <w:t>Low</w:t>
            </w:r>
          </w:p>
        </w:tc>
        <w:tc>
          <w:tcPr>
            <w:tcW w:w="1102" w:type="pct"/>
            <w:shd w:val="clear" w:color="auto" w:fill="auto"/>
            <w:vAlign w:val="center"/>
          </w:tcPr>
          <w:p w:rsidR="00012F71" w:rsidRPr="00E2771E" w:rsidRDefault="00012F71" w:rsidP="007F1017">
            <w:pPr>
              <w:jc w:val="center"/>
              <w:rPr>
                <w:rFonts w:ascii="Arial Narrow" w:hAnsi="Arial Narrow"/>
                <w:sz w:val="20"/>
                <w:lang w:val="en-US"/>
              </w:rPr>
            </w:pPr>
            <w:r w:rsidRPr="00C318C2">
              <w:rPr>
                <w:rFonts w:ascii="Arial Narrow" w:hAnsi="Arial Narrow"/>
                <w:sz w:val="20"/>
              </w:rPr>
              <w:t xml:space="preserve">Aged ≥18 </w:t>
            </w:r>
            <w:r>
              <w:rPr>
                <w:rFonts w:ascii="Arial Narrow" w:hAnsi="Arial Narrow"/>
                <w:sz w:val="20"/>
              </w:rPr>
              <w:t>-</w:t>
            </w:r>
            <w:r w:rsidRPr="00C318C2">
              <w:rPr>
                <w:rFonts w:ascii="Arial Narrow" w:hAnsi="Arial Narrow"/>
                <w:sz w:val="20"/>
              </w:rPr>
              <w:t xml:space="preserve"> ≤75 years with T2DM</w:t>
            </w:r>
            <w:r>
              <w:rPr>
                <w:rFonts w:ascii="Arial Narrow" w:hAnsi="Arial Narrow"/>
                <w:sz w:val="20"/>
              </w:rPr>
              <w:t xml:space="preserve">; </w:t>
            </w:r>
            <w:r w:rsidRPr="00C318C2">
              <w:rPr>
                <w:rFonts w:ascii="Arial Narrow" w:hAnsi="Arial Narrow"/>
                <w:sz w:val="20"/>
                <w:lang w:val="en-US"/>
              </w:rPr>
              <w:t xml:space="preserve">HbA1c ≥7.5% </w:t>
            </w:r>
            <w:r>
              <w:rPr>
                <w:rFonts w:ascii="Arial Narrow" w:hAnsi="Arial Narrow"/>
                <w:sz w:val="20"/>
                <w:lang w:val="en-US"/>
              </w:rPr>
              <w:t>-</w:t>
            </w:r>
            <w:r w:rsidRPr="00C318C2">
              <w:rPr>
                <w:rFonts w:ascii="Arial Narrow" w:hAnsi="Arial Narrow"/>
                <w:sz w:val="20"/>
                <w:lang w:val="en-US"/>
              </w:rPr>
              <w:t xml:space="preserve"> ≤10.5%</w:t>
            </w:r>
          </w:p>
        </w:tc>
        <w:tc>
          <w:tcPr>
            <w:tcW w:w="1093" w:type="pct"/>
            <w:shd w:val="clear" w:color="auto" w:fill="auto"/>
            <w:vAlign w:val="center"/>
          </w:tcPr>
          <w:p w:rsidR="00012F71" w:rsidRPr="00E2771E" w:rsidRDefault="00012F71" w:rsidP="00012F71">
            <w:pPr>
              <w:jc w:val="center"/>
              <w:rPr>
                <w:rFonts w:ascii="Arial Narrow" w:hAnsi="Arial Narrow"/>
                <w:sz w:val="20"/>
                <w:lang w:val="en-US"/>
              </w:rPr>
            </w:pPr>
            <w:r>
              <w:rPr>
                <w:rFonts w:ascii="Arial Narrow" w:hAnsi="Arial Narrow"/>
                <w:sz w:val="20"/>
                <w:lang w:val="en-US"/>
              </w:rPr>
              <w:t>HbA1c, responders, plasma lipids</w:t>
            </w:r>
          </w:p>
        </w:tc>
      </w:tr>
      <w:tr w:rsidR="00012F71" w:rsidRPr="00E2771E" w:rsidTr="00012F71">
        <w:tc>
          <w:tcPr>
            <w:tcW w:w="851" w:type="pct"/>
            <w:shd w:val="clear" w:color="auto" w:fill="auto"/>
            <w:vAlign w:val="center"/>
          </w:tcPr>
          <w:p w:rsidR="00012F71" w:rsidRPr="000E7D64" w:rsidRDefault="00012F71" w:rsidP="00012F71">
            <w:pPr>
              <w:jc w:val="left"/>
              <w:rPr>
                <w:rFonts w:ascii="Arial Narrow" w:hAnsi="Arial Narrow"/>
                <w:sz w:val="20"/>
                <w:lang w:val="en-US"/>
              </w:rPr>
            </w:pPr>
            <w:r w:rsidRPr="000E7D64">
              <w:rPr>
                <w:rFonts w:ascii="Arial Narrow" w:hAnsi="Arial Narrow"/>
                <w:sz w:val="20"/>
                <w:lang w:eastAsia="en-AU"/>
              </w:rPr>
              <w:t>NCT01076075</w:t>
            </w:r>
          </w:p>
        </w:tc>
        <w:tc>
          <w:tcPr>
            <w:tcW w:w="340" w:type="pct"/>
            <w:shd w:val="clear" w:color="auto" w:fill="auto"/>
            <w:vAlign w:val="center"/>
          </w:tcPr>
          <w:p w:rsidR="00012F71" w:rsidRDefault="00012F71" w:rsidP="007F1017">
            <w:pPr>
              <w:jc w:val="center"/>
              <w:rPr>
                <w:rFonts w:ascii="Arial Narrow" w:hAnsi="Arial Narrow"/>
                <w:sz w:val="20"/>
                <w:lang w:val="en-US"/>
              </w:rPr>
            </w:pPr>
            <w:r>
              <w:rPr>
                <w:rFonts w:ascii="Arial Narrow" w:hAnsi="Arial Narrow"/>
                <w:sz w:val="20"/>
                <w:lang w:val="en-US"/>
              </w:rPr>
              <w:t>427</w:t>
            </w:r>
          </w:p>
        </w:tc>
        <w:tc>
          <w:tcPr>
            <w:tcW w:w="1020" w:type="pct"/>
            <w:shd w:val="clear" w:color="auto" w:fill="auto"/>
            <w:vAlign w:val="center"/>
          </w:tcPr>
          <w:p w:rsidR="00012F71" w:rsidRDefault="00012F71" w:rsidP="007F1017">
            <w:pPr>
              <w:jc w:val="center"/>
              <w:rPr>
                <w:rFonts w:ascii="Arial Narrow" w:hAnsi="Arial Narrow"/>
                <w:sz w:val="20"/>
                <w:lang w:val="en-US"/>
              </w:rPr>
            </w:pPr>
            <w:r>
              <w:rPr>
                <w:rFonts w:ascii="Arial Narrow" w:hAnsi="Arial Narrow"/>
                <w:sz w:val="20"/>
              </w:rPr>
              <w:t>R, DB, MC, PG, PC, 24 weeks</w:t>
            </w:r>
          </w:p>
        </w:tc>
        <w:tc>
          <w:tcPr>
            <w:tcW w:w="594" w:type="pct"/>
            <w:shd w:val="clear" w:color="auto" w:fill="auto"/>
            <w:vAlign w:val="center"/>
          </w:tcPr>
          <w:p w:rsidR="00012F71" w:rsidRPr="00E2771E" w:rsidRDefault="00012F71" w:rsidP="007F1017">
            <w:pPr>
              <w:jc w:val="center"/>
              <w:rPr>
                <w:rFonts w:ascii="Arial Narrow" w:hAnsi="Arial Narrow"/>
                <w:sz w:val="20"/>
                <w:lang w:val="en-US"/>
              </w:rPr>
            </w:pPr>
            <w:r w:rsidRPr="00012F71">
              <w:rPr>
                <w:rFonts w:ascii="Arial Narrow" w:hAnsi="Arial Narrow"/>
                <w:sz w:val="20"/>
                <w:lang w:val="en-US"/>
              </w:rPr>
              <w:t>Low</w:t>
            </w:r>
          </w:p>
        </w:tc>
        <w:tc>
          <w:tcPr>
            <w:tcW w:w="1102" w:type="pct"/>
            <w:shd w:val="clear" w:color="auto" w:fill="auto"/>
            <w:vAlign w:val="center"/>
          </w:tcPr>
          <w:p w:rsidR="00012F71" w:rsidRPr="00E2771E" w:rsidRDefault="00012F71" w:rsidP="007F1017">
            <w:pPr>
              <w:jc w:val="center"/>
              <w:rPr>
                <w:rFonts w:ascii="Arial Narrow" w:hAnsi="Arial Narrow"/>
                <w:sz w:val="20"/>
                <w:lang w:val="en-US"/>
              </w:rPr>
            </w:pPr>
            <w:r w:rsidRPr="009D7C5A">
              <w:rPr>
                <w:rFonts w:ascii="Arial Narrow" w:hAnsi="Arial Narrow"/>
                <w:sz w:val="20"/>
              </w:rPr>
              <w:t xml:space="preserve">Aged ≥18 </w:t>
            </w:r>
            <w:r>
              <w:rPr>
                <w:rFonts w:ascii="Arial Narrow" w:hAnsi="Arial Narrow"/>
                <w:sz w:val="20"/>
              </w:rPr>
              <w:t>-</w:t>
            </w:r>
            <w:r w:rsidRPr="009D7C5A">
              <w:rPr>
                <w:rFonts w:ascii="Arial Narrow" w:hAnsi="Arial Narrow"/>
                <w:sz w:val="20"/>
              </w:rPr>
              <w:t xml:space="preserve"> ≤78 years with T2DM</w:t>
            </w:r>
            <w:r>
              <w:rPr>
                <w:rFonts w:ascii="Arial Narrow" w:hAnsi="Arial Narrow"/>
                <w:sz w:val="20"/>
              </w:rPr>
              <w:t xml:space="preserve">; </w:t>
            </w:r>
            <w:r w:rsidRPr="009D7C5A">
              <w:rPr>
                <w:rFonts w:ascii="Arial Narrow" w:hAnsi="Arial Narrow"/>
                <w:sz w:val="20"/>
                <w:lang w:val="en-US"/>
              </w:rPr>
              <w:t xml:space="preserve">HbA1c ≥7.5% </w:t>
            </w:r>
            <w:r>
              <w:rPr>
                <w:rFonts w:ascii="Arial Narrow" w:hAnsi="Arial Narrow"/>
                <w:sz w:val="20"/>
                <w:lang w:val="en-US"/>
              </w:rPr>
              <w:t>-</w:t>
            </w:r>
            <w:r w:rsidRPr="009D7C5A">
              <w:rPr>
                <w:rFonts w:ascii="Arial Narrow" w:hAnsi="Arial Narrow"/>
                <w:sz w:val="20"/>
                <w:lang w:val="en-US"/>
              </w:rPr>
              <w:t xml:space="preserve"> ≤10.5%</w:t>
            </w:r>
          </w:p>
        </w:tc>
        <w:tc>
          <w:tcPr>
            <w:tcW w:w="1093" w:type="pct"/>
            <w:shd w:val="clear" w:color="auto" w:fill="auto"/>
            <w:vAlign w:val="center"/>
          </w:tcPr>
          <w:p w:rsidR="00012F71" w:rsidRPr="00E2771E" w:rsidRDefault="00EC3D64" w:rsidP="00EC3D64">
            <w:pPr>
              <w:jc w:val="center"/>
              <w:rPr>
                <w:rFonts w:ascii="Arial Narrow" w:hAnsi="Arial Narrow"/>
                <w:sz w:val="20"/>
                <w:lang w:val="en-US"/>
              </w:rPr>
            </w:pPr>
            <w:r>
              <w:rPr>
                <w:rFonts w:ascii="Arial Narrow" w:hAnsi="Arial Narrow"/>
                <w:sz w:val="20"/>
                <w:lang w:val="en-US"/>
              </w:rPr>
              <w:t>HbA1c, FPG, 2hr PMG</w:t>
            </w:r>
          </w:p>
        </w:tc>
      </w:tr>
      <w:tr w:rsidR="00012F71" w:rsidRPr="00E2771E" w:rsidTr="00012F71">
        <w:tc>
          <w:tcPr>
            <w:tcW w:w="851" w:type="pct"/>
            <w:shd w:val="clear" w:color="auto" w:fill="auto"/>
            <w:vAlign w:val="center"/>
          </w:tcPr>
          <w:p w:rsidR="00012F71" w:rsidRPr="00F00863" w:rsidRDefault="00012F71" w:rsidP="00012F71">
            <w:pPr>
              <w:jc w:val="left"/>
              <w:rPr>
                <w:rFonts w:ascii="Arial Narrow" w:hAnsi="Arial Narrow"/>
                <w:sz w:val="20"/>
                <w:lang w:val="en-US"/>
              </w:rPr>
            </w:pPr>
            <w:r w:rsidRPr="000E7D64">
              <w:rPr>
                <w:rFonts w:ascii="Arial Narrow" w:hAnsi="Arial Narrow"/>
                <w:sz w:val="20"/>
                <w:lang w:eastAsia="en-AU"/>
              </w:rPr>
              <w:t>NCT01590771</w:t>
            </w:r>
            <w:r>
              <w:rPr>
                <w:rFonts w:ascii="Arial Narrow" w:hAnsi="Arial Narrow"/>
                <w:sz w:val="20"/>
                <w:lang w:eastAsia="en-AU"/>
              </w:rPr>
              <w:t xml:space="preserve"> </w:t>
            </w:r>
            <w:r>
              <w:rPr>
                <w:rFonts w:ascii="Arial Narrow" w:hAnsi="Arial Narrow"/>
                <w:sz w:val="20"/>
                <w:vertAlign w:val="superscript"/>
                <w:lang w:eastAsia="en-AU"/>
              </w:rPr>
              <w:t>b</w:t>
            </w:r>
          </w:p>
        </w:tc>
        <w:tc>
          <w:tcPr>
            <w:tcW w:w="340" w:type="pct"/>
            <w:shd w:val="clear" w:color="auto" w:fill="auto"/>
            <w:vAlign w:val="center"/>
          </w:tcPr>
          <w:p w:rsidR="00012F71" w:rsidRDefault="00012F71" w:rsidP="007F1017">
            <w:pPr>
              <w:jc w:val="center"/>
              <w:rPr>
                <w:rFonts w:ascii="Arial Narrow" w:hAnsi="Arial Narrow"/>
                <w:sz w:val="20"/>
                <w:lang w:val="en-US"/>
              </w:rPr>
            </w:pPr>
            <w:r>
              <w:rPr>
                <w:rFonts w:ascii="Arial Narrow" w:hAnsi="Arial Narrow"/>
                <w:sz w:val="20"/>
                <w:lang w:val="en-US"/>
              </w:rPr>
              <w:t>498</w:t>
            </w:r>
          </w:p>
        </w:tc>
        <w:tc>
          <w:tcPr>
            <w:tcW w:w="1020" w:type="pct"/>
            <w:shd w:val="clear" w:color="auto" w:fill="auto"/>
            <w:vAlign w:val="center"/>
          </w:tcPr>
          <w:p w:rsidR="00012F71" w:rsidRDefault="00012F71" w:rsidP="007F1017">
            <w:pPr>
              <w:jc w:val="center"/>
              <w:rPr>
                <w:rFonts w:ascii="Arial Narrow" w:hAnsi="Arial Narrow"/>
                <w:sz w:val="20"/>
                <w:lang w:val="en-US"/>
              </w:rPr>
            </w:pPr>
            <w:r>
              <w:rPr>
                <w:rFonts w:ascii="Arial Narrow" w:hAnsi="Arial Narrow"/>
                <w:sz w:val="20"/>
              </w:rPr>
              <w:t xml:space="preserve">R, DB, MC, PG, PC, </w:t>
            </w:r>
            <w:r>
              <w:rPr>
                <w:rFonts w:ascii="Arial Narrow" w:hAnsi="Arial Narrow"/>
                <w:sz w:val="20"/>
              </w:rPr>
              <w:lastRenderedPageBreak/>
              <w:t>24 weeks</w:t>
            </w:r>
          </w:p>
        </w:tc>
        <w:tc>
          <w:tcPr>
            <w:tcW w:w="594" w:type="pct"/>
            <w:shd w:val="clear" w:color="auto" w:fill="auto"/>
            <w:vAlign w:val="center"/>
          </w:tcPr>
          <w:p w:rsidR="00012F71" w:rsidRPr="00E2771E" w:rsidRDefault="00012F71" w:rsidP="007F1017">
            <w:pPr>
              <w:jc w:val="center"/>
              <w:rPr>
                <w:rFonts w:ascii="Arial Narrow" w:hAnsi="Arial Narrow"/>
                <w:sz w:val="20"/>
                <w:lang w:val="en-US"/>
              </w:rPr>
            </w:pPr>
            <w:r w:rsidRPr="00012F71">
              <w:rPr>
                <w:rFonts w:ascii="Arial Narrow" w:hAnsi="Arial Narrow"/>
                <w:sz w:val="20"/>
                <w:lang w:val="en-US"/>
              </w:rPr>
              <w:lastRenderedPageBreak/>
              <w:t>Low</w:t>
            </w:r>
          </w:p>
        </w:tc>
        <w:tc>
          <w:tcPr>
            <w:tcW w:w="1102" w:type="pct"/>
            <w:shd w:val="clear" w:color="auto" w:fill="auto"/>
            <w:vAlign w:val="center"/>
          </w:tcPr>
          <w:p w:rsidR="00012F71" w:rsidRPr="00E2771E" w:rsidRDefault="00012F71" w:rsidP="007F1017">
            <w:pPr>
              <w:jc w:val="center"/>
              <w:rPr>
                <w:rFonts w:ascii="Arial Narrow" w:hAnsi="Arial Narrow"/>
                <w:sz w:val="20"/>
                <w:lang w:val="en-US"/>
              </w:rPr>
            </w:pPr>
            <w:r>
              <w:rPr>
                <w:rFonts w:ascii="Arial Narrow" w:hAnsi="Arial Narrow"/>
                <w:sz w:val="20"/>
              </w:rPr>
              <w:t>Chinese patients a</w:t>
            </w:r>
            <w:r w:rsidRPr="002E03BF">
              <w:rPr>
                <w:rFonts w:ascii="Arial Narrow" w:hAnsi="Arial Narrow"/>
                <w:sz w:val="20"/>
              </w:rPr>
              <w:t xml:space="preserve">ged </w:t>
            </w:r>
            <w:r w:rsidRPr="002E03BF">
              <w:rPr>
                <w:rFonts w:ascii="Arial Narrow" w:hAnsi="Arial Narrow"/>
                <w:sz w:val="20"/>
              </w:rPr>
              <w:lastRenderedPageBreak/>
              <w:t xml:space="preserve">≥18 </w:t>
            </w:r>
            <w:r>
              <w:rPr>
                <w:rFonts w:ascii="Arial Narrow" w:hAnsi="Arial Narrow"/>
                <w:sz w:val="20"/>
              </w:rPr>
              <w:t xml:space="preserve">- </w:t>
            </w:r>
            <w:r w:rsidRPr="002E03BF">
              <w:rPr>
                <w:rFonts w:ascii="Arial Narrow" w:hAnsi="Arial Narrow"/>
                <w:sz w:val="20"/>
              </w:rPr>
              <w:t xml:space="preserve"> ≤80 years with T2DM</w:t>
            </w:r>
            <w:r>
              <w:rPr>
                <w:rFonts w:ascii="Arial Narrow" w:hAnsi="Arial Narrow"/>
                <w:sz w:val="20"/>
              </w:rPr>
              <w:t xml:space="preserve">; </w:t>
            </w:r>
            <w:r w:rsidRPr="002E03BF">
              <w:rPr>
                <w:rFonts w:ascii="Arial Narrow" w:hAnsi="Arial Narrow"/>
                <w:sz w:val="20"/>
                <w:lang w:val="en-US"/>
              </w:rPr>
              <w:t xml:space="preserve">HbA1c ≥7.5% </w:t>
            </w:r>
            <w:r>
              <w:rPr>
                <w:rFonts w:ascii="Arial Narrow" w:hAnsi="Arial Narrow"/>
                <w:sz w:val="20"/>
                <w:lang w:val="en-US"/>
              </w:rPr>
              <w:t>-</w:t>
            </w:r>
            <w:r w:rsidRPr="002E03BF">
              <w:rPr>
                <w:rFonts w:ascii="Arial Narrow" w:hAnsi="Arial Narrow"/>
                <w:sz w:val="20"/>
                <w:lang w:val="en-US"/>
              </w:rPr>
              <w:t xml:space="preserve"> ≤11%</w:t>
            </w:r>
          </w:p>
        </w:tc>
        <w:tc>
          <w:tcPr>
            <w:tcW w:w="1093" w:type="pct"/>
            <w:shd w:val="clear" w:color="auto" w:fill="auto"/>
            <w:vAlign w:val="center"/>
          </w:tcPr>
          <w:p w:rsidR="00012F71" w:rsidRPr="00E2771E" w:rsidRDefault="00EC3D64" w:rsidP="007F1017">
            <w:pPr>
              <w:jc w:val="center"/>
              <w:rPr>
                <w:rFonts w:ascii="Arial Narrow" w:hAnsi="Arial Narrow"/>
                <w:sz w:val="20"/>
                <w:lang w:val="en-US"/>
              </w:rPr>
            </w:pPr>
            <w:r>
              <w:rPr>
                <w:rFonts w:ascii="Arial Narrow" w:hAnsi="Arial Narrow"/>
                <w:sz w:val="20"/>
                <w:lang w:val="en-US"/>
              </w:rPr>
              <w:lastRenderedPageBreak/>
              <w:t>HbA1c, FPG, 2hr PMG</w:t>
            </w:r>
          </w:p>
        </w:tc>
      </w:tr>
      <w:tr w:rsidR="000E7D64" w:rsidRPr="00E2771E" w:rsidTr="00F00863">
        <w:tc>
          <w:tcPr>
            <w:tcW w:w="851" w:type="pct"/>
            <w:shd w:val="clear" w:color="auto" w:fill="auto"/>
            <w:vAlign w:val="center"/>
          </w:tcPr>
          <w:p w:rsidR="000E7D64" w:rsidRPr="00E2771E" w:rsidRDefault="000E7D64" w:rsidP="007F1017">
            <w:pPr>
              <w:jc w:val="left"/>
              <w:rPr>
                <w:rFonts w:ascii="Arial Narrow" w:hAnsi="Arial Narrow"/>
                <w:sz w:val="20"/>
                <w:lang w:val="en-US"/>
              </w:rPr>
            </w:pPr>
            <w:r>
              <w:rPr>
                <w:rFonts w:ascii="Arial Narrow" w:hAnsi="Arial Narrow"/>
                <w:sz w:val="20"/>
                <w:lang w:val="en-US"/>
              </w:rPr>
              <w:lastRenderedPageBreak/>
              <w:t>Pooled trials</w:t>
            </w:r>
          </w:p>
        </w:tc>
        <w:tc>
          <w:tcPr>
            <w:tcW w:w="340" w:type="pct"/>
            <w:shd w:val="clear" w:color="auto" w:fill="auto"/>
            <w:vAlign w:val="center"/>
          </w:tcPr>
          <w:p w:rsidR="000E7D64" w:rsidRPr="00E2771E" w:rsidRDefault="00012F71" w:rsidP="007F1017">
            <w:pPr>
              <w:jc w:val="center"/>
              <w:rPr>
                <w:rFonts w:ascii="Arial Narrow" w:hAnsi="Arial Narrow"/>
                <w:sz w:val="20"/>
                <w:lang w:val="en-US"/>
              </w:rPr>
            </w:pPr>
            <w:r>
              <w:rPr>
                <w:rFonts w:ascii="Arial Narrow" w:hAnsi="Arial Narrow"/>
                <w:sz w:val="20"/>
                <w:lang w:val="en-US"/>
              </w:rPr>
              <w:t>419</w:t>
            </w:r>
          </w:p>
        </w:tc>
        <w:tc>
          <w:tcPr>
            <w:tcW w:w="3808" w:type="pct"/>
            <w:gridSpan w:val="4"/>
            <w:shd w:val="clear" w:color="auto" w:fill="auto"/>
            <w:vAlign w:val="center"/>
          </w:tcPr>
          <w:p w:rsidR="000E7D64" w:rsidRPr="00E2771E" w:rsidRDefault="00012F71" w:rsidP="00F00863">
            <w:pPr>
              <w:jc w:val="left"/>
              <w:rPr>
                <w:rFonts w:ascii="Arial Narrow" w:hAnsi="Arial Narrow"/>
                <w:sz w:val="20"/>
                <w:lang w:val="en-US"/>
              </w:rPr>
            </w:pPr>
            <w:r>
              <w:rPr>
                <w:rFonts w:ascii="Arial Narrow" w:hAnsi="Arial Narrow"/>
                <w:sz w:val="20"/>
                <w:lang w:val="en-US"/>
              </w:rPr>
              <w:t>A</w:t>
            </w:r>
            <w:r w:rsidR="000E7D64">
              <w:rPr>
                <w:rFonts w:ascii="Arial Narrow" w:hAnsi="Arial Narrow"/>
                <w:sz w:val="20"/>
                <w:lang w:val="en-US"/>
              </w:rPr>
              <w:t>ssessed change from baseline in HbA1c</w:t>
            </w:r>
            <w:r>
              <w:rPr>
                <w:rFonts w:ascii="Arial Narrow" w:hAnsi="Arial Narrow"/>
                <w:sz w:val="20"/>
                <w:lang w:val="en-US"/>
              </w:rPr>
              <w:t xml:space="preserve"> at 24 weeks</w:t>
            </w:r>
          </w:p>
        </w:tc>
      </w:tr>
      <w:tr w:rsidR="000E7D64" w:rsidRPr="00E2771E" w:rsidTr="000E7D64">
        <w:tc>
          <w:tcPr>
            <w:tcW w:w="5000" w:type="pct"/>
            <w:gridSpan w:val="6"/>
            <w:shd w:val="clear" w:color="auto" w:fill="auto"/>
            <w:vAlign w:val="center"/>
          </w:tcPr>
          <w:p w:rsidR="000E7D64" w:rsidRPr="00E2771E" w:rsidRDefault="000E7D64" w:rsidP="000E7D64">
            <w:pPr>
              <w:jc w:val="left"/>
              <w:rPr>
                <w:rFonts w:ascii="Arial Narrow" w:hAnsi="Arial Narrow"/>
                <w:sz w:val="20"/>
                <w:lang w:val="en-US"/>
              </w:rPr>
            </w:pPr>
            <w:r>
              <w:rPr>
                <w:rFonts w:ascii="Arial Narrow" w:hAnsi="Arial Narrow"/>
                <w:b/>
                <w:sz w:val="20"/>
                <w:lang w:val="en-US"/>
              </w:rPr>
              <w:t>Saxagliptin 5mg</w:t>
            </w:r>
            <w:r w:rsidRPr="000E7D64">
              <w:rPr>
                <w:rFonts w:ascii="Arial Narrow" w:hAnsi="Arial Narrow"/>
                <w:b/>
                <w:sz w:val="20"/>
                <w:lang w:val="en-US"/>
              </w:rPr>
              <w:t xml:space="preserve"> vs placebo, in</w:t>
            </w:r>
            <w:r>
              <w:rPr>
                <w:rFonts w:ascii="Arial Narrow" w:hAnsi="Arial Narrow"/>
                <w:b/>
                <w:sz w:val="20"/>
                <w:lang w:val="en-US"/>
              </w:rPr>
              <w:t xml:space="preserve"> combination with metformin and a sulfonylurea</w:t>
            </w:r>
          </w:p>
        </w:tc>
      </w:tr>
      <w:tr w:rsidR="00012F71" w:rsidRPr="00E2771E" w:rsidTr="00012F71">
        <w:tc>
          <w:tcPr>
            <w:tcW w:w="851" w:type="pct"/>
            <w:shd w:val="clear" w:color="auto" w:fill="auto"/>
            <w:vAlign w:val="center"/>
          </w:tcPr>
          <w:p w:rsidR="00012F71" w:rsidRPr="00E2771E" w:rsidRDefault="00012F71" w:rsidP="007F1017">
            <w:pPr>
              <w:jc w:val="left"/>
              <w:rPr>
                <w:rFonts w:ascii="Arial Narrow" w:hAnsi="Arial Narrow"/>
                <w:sz w:val="20"/>
                <w:lang w:val="en-US"/>
              </w:rPr>
            </w:pPr>
            <w:r>
              <w:rPr>
                <w:rFonts w:ascii="Arial Narrow" w:hAnsi="Arial Narrow"/>
                <w:sz w:val="20"/>
                <w:lang w:val="en-US"/>
              </w:rPr>
              <w:t>Moses 2014</w:t>
            </w:r>
          </w:p>
        </w:tc>
        <w:tc>
          <w:tcPr>
            <w:tcW w:w="340" w:type="pct"/>
            <w:shd w:val="clear" w:color="auto" w:fill="auto"/>
            <w:vAlign w:val="center"/>
          </w:tcPr>
          <w:p w:rsidR="00012F71" w:rsidRPr="00E2771E" w:rsidRDefault="00012F71" w:rsidP="007F1017">
            <w:pPr>
              <w:jc w:val="center"/>
              <w:rPr>
                <w:rFonts w:ascii="Arial Narrow" w:hAnsi="Arial Narrow"/>
                <w:sz w:val="20"/>
                <w:lang w:val="en-US"/>
              </w:rPr>
            </w:pPr>
            <w:r>
              <w:rPr>
                <w:rFonts w:ascii="Arial Narrow" w:hAnsi="Arial Narrow"/>
                <w:sz w:val="20"/>
                <w:lang w:val="en-US"/>
              </w:rPr>
              <w:t>257</w:t>
            </w:r>
          </w:p>
        </w:tc>
        <w:tc>
          <w:tcPr>
            <w:tcW w:w="1020" w:type="pct"/>
            <w:shd w:val="clear" w:color="auto" w:fill="auto"/>
            <w:vAlign w:val="center"/>
          </w:tcPr>
          <w:p w:rsidR="00012F71" w:rsidRPr="00E2771E" w:rsidRDefault="00012F71" w:rsidP="007F1017">
            <w:pPr>
              <w:jc w:val="center"/>
              <w:rPr>
                <w:rFonts w:ascii="Arial Narrow" w:hAnsi="Arial Narrow"/>
                <w:sz w:val="20"/>
                <w:lang w:val="en-US"/>
              </w:rPr>
            </w:pPr>
            <w:r>
              <w:rPr>
                <w:rFonts w:ascii="Arial Narrow" w:hAnsi="Arial Narrow"/>
                <w:sz w:val="20"/>
              </w:rPr>
              <w:t>R, DB, MC, PG, PC, 24 weeks</w:t>
            </w:r>
          </w:p>
        </w:tc>
        <w:tc>
          <w:tcPr>
            <w:tcW w:w="594" w:type="pct"/>
            <w:shd w:val="clear" w:color="auto" w:fill="auto"/>
            <w:vAlign w:val="center"/>
          </w:tcPr>
          <w:p w:rsidR="00012F71" w:rsidRPr="00E2771E" w:rsidRDefault="00012F71" w:rsidP="007F1017">
            <w:pPr>
              <w:jc w:val="center"/>
              <w:rPr>
                <w:rFonts w:ascii="Arial Narrow" w:hAnsi="Arial Narrow"/>
                <w:sz w:val="20"/>
                <w:lang w:val="en-US"/>
              </w:rPr>
            </w:pPr>
            <w:r w:rsidRPr="00012F71">
              <w:rPr>
                <w:rFonts w:ascii="Arial Narrow" w:hAnsi="Arial Narrow"/>
                <w:sz w:val="20"/>
                <w:lang w:val="en-US"/>
              </w:rPr>
              <w:t>Low</w:t>
            </w:r>
          </w:p>
        </w:tc>
        <w:tc>
          <w:tcPr>
            <w:tcW w:w="1102" w:type="pct"/>
            <w:shd w:val="clear" w:color="auto" w:fill="auto"/>
            <w:vAlign w:val="center"/>
          </w:tcPr>
          <w:p w:rsidR="00012F71" w:rsidRPr="00E2771E" w:rsidRDefault="00012F71" w:rsidP="007F1017">
            <w:pPr>
              <w:jc w:val="center"/>
              <w:rPr>
                <w:rFonts w:ascii="Arial Narrow" w:hAnsi="Arial Narrow"/>
                <w:sz w:val="20"/>
                <w:lang w:val="en-US"/>
              </w:rPr>
            </w:pPr>
            <w:r w:rsidRPr="00C318C2">
              <w:rPr>
                <w:rFonts w:ascii="Arial Narrow" w:hAnsi="Arial Narrow"/>
                <w:sz w:val="20"/>
              </w:rPr>
              <w:t>Aged ≥18 with T2DM</w:t>
            </w:r>
            <w:r>
              <w:rPr>
                <w:rFonts w:ascii="Arial Narrow" w:hAnsi="Arial Narrow"/>
                <w:sz w:val="20"/>
              </w:rPr>
              <w:t xml:space="preserve">; </w:t>
            </w:r>
            <w:r w:rsidRPr="00C318C2">
              <w:rPr>
                <w:rFonts w:ascii="Arial Narrow" w:hAnsi="Arial Narrow"/>
                <w:sz w:val="20"/>
                <w:lang w:val="en-US"/>
              </w:rPr>
              <w:t xml:space="preserve">HbA1c ≥7.0% </w:t>
            </w:r>
            <w:r>
              <w:rPr>
                <w:rFonts w:ascii="Arial Narrow" w:hAnsi="Arial Narrow"/>
                <w:sz w:val="20"/>
                <w:lang w:val="en-US"/>
              </w:rPr>
              <w:t>-</w:t>
            </w:r>
            <w:r w:rsidRPr="00C318C2">
              <w:rPr>
                <w:rFonts w:ascii="Arial Narrow" w:hAnsi="Arial Narrow"/>
                <w:sz w:val="20"/>
                <w:lang w:val="en-US"/>
              </w:rPr>
              <w:t xml:space="preserve"> ≤10.</w:t>
            </w:r>
            <w:r>
              <w:rPr>
                <w:rFonts w:ascii="Arial Narrow" w:hAnsi="Arial Narrow"/>
                <w:sz w:val="20"/>
                <w:lang w:val="en-US"/>
              </w:rPr>
              <w:t>0</w:t>
            </w:r>
            <w:r w:rsidRPr="00C318C2">
              <w:rPr>
                <w:rFonts w:ascii="Arial Narrow" w:hAnsi="Arial Narrow"/>
                <w:sz w:val="20"/>
                <w:lang w:val="en-US"/>
              </w:rPr>
              <w:t>%</w:t>
            </w:r>
          </w:p>
        </w:tc>
        <w:tc>
          <w:tcPr>
            <w:tcW w:w="1093" w:type="pct"/>
            <w:shd w:val="clear" w:color="auto" w:fill="auto"/>
            <w:vAlign w:val="center"/>
          </w:tcPr>
          <w:p w:rsidR="00012F71" w:rsidRPr="00E2771E" w:rsidRDefault="00EC3D64" w:rsidP="007F1017">
            <w:pPr>
              <w:jc w:val="center"/>
              <w:rPr>
                <w:rFonts w:ascii="Arial Narrow" w:hAnsi="Arial Narrow"/>
                <w:sz w:val="20"/>
                <w:lang w:val="en-US"/>
              </w:rPr>
            </w:pPr>
            <w:r>
              <w:rPr>
                <w:rFonts w:ascii="Arial Narrow" w:hAnsi="Arial Narrow"/>
                <w:sz w:val="20"/>
                <w:lang w:val="en-US"/>
              </w:rPr>
              <w:t>HbA1c, responders, FPG, 2hr PMG</w:t>
            </w:r>
          </w:p>
        </w:tc>
      </w:tr>
      <w:tr w:rsidR="000E7D64" w:rsidRPr="00E2771E" w:rsidTr="000E7D64">
        <w:tc>
          <w:tcPr>
            <w:tcW w:w="5000" w:type="pct"/>
            <w:gridSpan w:val="6"/>
            <w:shd w:val="clear" w:color="auto" w:fill="auto"/>
            <w:vAlign w:val="center"/>
          </w:tcPr>
          <w:p w:rsidR="000E7D64" w:rsidRPr="00E2771E" w:rsidRDefault="000E7D64" w:rsidP="000E7D64">
            <w:pPr>
              <w:jc w:val="left"/>
              <w:rPr>
                <w:rFonts w:ascii="Arial Narrow" w:hAnsi="Arial Narrow"/>
                <w:sz w:val="20"/>
                <w:lang w:val="en-US"/>
              </w:rPr>
            </w:pPr>
            <w:r>
              <w:rPr>
                <w:rFonts w:ascii="Arial Narrow" w:hAnsi="Arial Narrow"/>
                <w:b/>
                <w:sz w:val="20"/>
                <w:lang w:val="en-US"/>
              </w:rPr>
              <w:t>Vildagliptin 100mg vs saxagliptin 5mg</w:t>
            </w:r>
            <w:r w:rsidRPr="000E7D64">
              <w:rPr>
                <w:rFonts w:ascii="Arial Narrow" w:hAnsi="Arial Narrow"/>
                <w:b/>
                <w:sz w:val="20"/>
                <w:lang w:val="en-US"/>
              </w:rPr>
              <w:t>, in</w:t>
            </w:r>
            <w:r>
              <w:rPr>
                <w:rFonts w:ascii="Arial Narrow" w:hAnsi="Arial Narrow"/>
                <w:b/>
                <w:sz w:val="20"/>
                <w:lang w:val="en-US"/>
              </w:rPr>
              <w:t xml:space="preserve"> combination with metformin and a sulfonylurea</w:t>
            </w:r>
          </w:p>
        </w:tc>
      </w:tr>
      <w:tr w:rsidR="00012F71" w:rsidRPr="00E2771E" w:rsidTr="00012F71">
        <w:tc>
          <w:tcPr>
            <w:tcW w:w="851" w:type="pct"/>
            <w:shd w:val="clear" w:color="auto" w:fill="auto"/>
            <w:vAlign w:val="center"/>
          </w:tcPr>
          <w:p w:rsidR="00012F71" w:rsidRPr="00E2771E" w:rsidRDefault="00012F71" w:rsidP="007F1017">
            <w:pPr>
              <w:jc w:val="left"/>
              <w:rPr>
                <w:rFonts w:ascii="Arial Narrow" w:hAnsi="Arial Narrow"/>
                <w:sz w:val="20"/>
                <w:lang w:val="en-US"/>
              </w:rPr>
            </w:pPr>
            <w:r>
              <w:rPr>
                <w:rFonts w:ascii="Arial Narrow" w:hAnsi="Arial Narrow"/>
                <w:sz w:val="20"/>
                <w:lang w:val="en-US"/>
              </w:rPr>
              <w:t>Chen 2015</w:t>
            </w:r>
          </w:p>
        </w:tc>
        <w:tc>
          <w:tcPr>
            <w:tcW w:w="340" w:type="pct"/>
            <w:shd w:val="clear" w:color="auto" w:fill="auto"/>
            <w:vAlign w:val="center"/>
          </w:tcPr>
          <w:p w:rsidR="00012F71" w:rsidRPr="00E2771E" w:rsidRDefault="00012F71" w:rsidP="007F1017">
            <w:pPr>
              <w:jc w:val="center"/>
              <w:rPr>
                <w:rFonts w:ascii="Arial Narrow" w:hAnsi="Arial Narrow"/>
                <w:sz w:val="20"/>
                <w:lang w:val="en-US"/>
              </w:rPr>
            </w:pPr>
            <w:r>
              <w:rPr>
                <w:rFonts w:ascii="Arial Narrow" w:hAnsi="Arial Narrow"/>
                <w:sz w:val="20"/>
                <w:lang w:val="en-US"/>
              </w:rPr>
              <w:t>73</w:t>
            </w:r>
          </w:p>
        </w:tc>
        <w:tc>
          <w:tcPr>
            <w:tcW w:w="1020" w:type="pct"/>
            <w:shd w:val="clear" w:color="auto" w:fill="auto"/>
            <w:vAlign w:val="center"/>
          </w:tcPr>
          <w:p w:rsidR="00012F71" w:rsidRPr="00E2771E" w:rsidRDefault="00012F71" w:rsidP="007F1017">
            <w:pPr>
              <w:jc w:val="center"/>
              <w:rPr>
                <w:rFonts w:ascii="Arial Narrow" w:hAnsi="Arial Narrow"/>
                <w:sz w:val="20"/>
                <w:lang w:val="en-US"/>
              </w:rPr>
            </w:pPr>
            <w:r w:rsidRPr="00315B9D">
              <w:rPr>
                <w:rFonts w:ascii="Arial Narrow" w:hAnsi="Arial Narrow"/>
                <w:sz w:val="20"/>
              </w:rPr>
              <w:t>R, OL, 24 weeks</w:t>
            </w:r>
          </w:p>
        </w:tc>
        <w:tc>
          <w:tcPr>
            <w:tcW w:w="594" w:type="pct"/>
            <w:shd w:val="clear" w:color="auto" w:fill="auto"/>
            <w:vAlign w:val="center"/>
          </w:tcPr>
          <w:p w:rsidR="00012F71" w:rsidRPr="00E2771E" w:rsidRDefault="00012F71" w:rsidP="007F1017">
            <w:pPr>
              <w:jc w:val="center"/>
              <w:rPr>
                <w:rFonts w:ascii="Arial Narrow" w:hAnsi="Arial Narrow"/>
                <w:sz w:val="20"/>
                <w:lang w:val="en-US"/>
              </w:rPr>
            </w:pPr>
            <w:r>
              <w:rPr>
                <w:rFonts w:ascii="Arial Narrow" w:hAnsi="Arial Narrow"/>
                <w:sz w:val="20"/>
                <w:lang w:val="en-US"/>
              </w:rPr>
              <w:t>High</w:t>
            </w:r>
          </w:p>
        </w:tc>
        <w:tc>
          <w:tcPr>
            <w:tcW w:w="1102" w:type="pct"/>
            <w:shd w:val="clear" w:color="auto" w:fill="auto"/>
            <w:vAlign w:val="center"/>
          </w:tcPr>
          <w:p w:rsidR="00012F71" w:rsidRPr="00315B9D" w:rsidRDefault="00012F71" w:rsidP="00012F71">
            <w:pPr>
              <w:jc w:val="center"/>
              <w:rPr>
                <w:rFonts w:ascii="Arial Narrow" w:hAnsi="Arial Narrow"/>
                <w:sz w:val="20"/>
                <w:lang w:val="en-US"/>
              </w:rPr>
            </w:pPr>
            <w:r w:rsidRPr="00315B9D">
              <w:rPr>
                <w:rFonts w:ascii="Arial Narrow" w:hAnsi="Arial Narrow"/>
                <w:sz w:val="20"/>
              </w:rPr>
              <w:t>Chinese patients with T2DM</w:t>
            </w:r>
            <w:r>
              <w:rPr>
                <w:rFonts w:ascii="Arial Narrow" w:hAnsi="Arial Narrow"/>
                <w:sz w:val="20"/>
              </w:rPr>
              <w:t>;</w:t>
            </w:r>
            <w:r w:rsidRPr="00315B9D">
              <w:rPr>
                <w:rFonts w:ascii="Arial Narrow" w:hAnsi="Arial Narrow"/>
                <w:sz w:val="20"/>
                <w:lang w:val="en-US"/>
              </w:rPr>
              <w:t xml:space="preserve"> </w:t>
            </w:r>
            <w:r>
              <w:rPr>
                <w:rFonts w:ascii="Arial Narrow" w:hAnsi="Arial Narrow"/>
                <w:sz w:val="20"/>
                <w:lang w:val="en-US"/>
              </w:rPr>
              <w:t>mean</w:t>
            </w:r>
            <w:r w:rsidRPr="00315B9D">
              <w:rPr>
                <w:rFonts w:ascii="Arial Narrow" w:hAnsi="Arial Narrow"/>
                <w:sz w:val="20"/>
              </w:rPr>
              <w:t xml:space="preserve"> age 63±6.6yrs</w:t>
            </w:r>
            <w:r>
              <w:rPr>
                <w:rFonts w:ascii="Arial Narrow" w:hAnsi="Arial Narrow"/>
                <w:sz w:val="20"/>
              </w:rPr>
              <w:t>;</w:t>
            </w:r>
          </w:p>
          <w:p w:rsidR="00012F71" w:rsidRPr="00E2771E" w:rsidRDefault="00012F71" w:rsidP="00012F71">
            <w:pPr>
              <w:jc w:val="center"/>
              <w:rPr>
                <w:rFonts w:ascii="Arial Narrow" w:hAnsi="Arial Narrow"/>
                <w:sz w:val="20"/>
                <w:lang w:val="en-US"/>
              </w:rPr>
            </w:pPr>
            <w:r>
              <w:rPr>
                <w:rFonts w:ascii="Arial Narrow" w:hAnsi="Arial Narrow"/>
                <w:sz w:val="20"/>
                <w:lang w:val="en-US"/>
              </w:rPr>
              <w:t>m</w:t>
            </w:r>
            <w:r w:rsidRPr="00315B9D">
              <w:rPr>
                <w:rFonts w:ascii="Arial Narrow" w:hAnsi="Arial Narrow"/>
                <w:sz w:val="20"/>
                <w:lang w:val="en-US"/>
              </w:rPr>
              <w:t>ean HbA1c 8.35</w:t>
            </w:r>
            <w:r w:rsidRPr="00315B9D">
              <w:rPr>
                <w:rFonts w:ascii="Arial Narrow" w:hAnsi="Arial Narrow"/>
                <w:sz w:val="20"/>
              </w:rPr>
              <w:t>±0.7</w:t>
            </w:r>
            <w:r w:rsidRPr="00315B9D">
              <w:rPr>
                <w:rFonts w:ascii="Arial Narrow" w:hAnsi="Arial Narrow"/>
                <w:sz w:val="20"/>
                <w:lang w:val="en-US"/>
              </w:rPr>
              <w:t>%</w:t>
            </w:r>
          </w:p>
        </w:tc>
        <w:tc>
          <w:tcPr>
            <w:tcW w:w="1093" w:type="pct"/>
            <w:shd w:val="clear" w:color="auto" w:fill="auto"/>
            <w:vAlign w:val="center"/>
          </w:tcPr>
          <w:p w:rsidR="00012F71" w:rsidRPr="00E2771E" w:rsidRDefault="00EC3D64" w:rsidP="007F1017">
            <w:pPr>
              <w:jc w:val="center"/>
              <w:rPr>
                <w:rFonts w:ascii="Arial Narrow" w:hAnsi="Arial Narrow"/>
                <w:sz w:val="20"/>
                <w:lang w:val="en-US"/>
              </w:rPr>
            </w:pPr>
            <w:r>
              <w:rPr>
                <w:rFonts w:ascii="Arial Narrow" w:hAnsi="Arial Narrow"/>
                <w:sz w:val="20"/>
                <w:lang w:val="en-US"/>
              </w:rPr>
              <w:t>MAGE, HbA1c, FPG, 2hr PMG</w:t>
            </w:r>
          </w:p>
        </w:tc>
      </w:tr>
    </w:tbl>
    <w:p w:rsidR="00F00863" w:rsidRDefault="00F00863" w:rsidP="00F00863">
      <w:pPr>
        <w:widowControl/>
        <w:tabs>
          <w:tab w:val="left" w:pos="1134"/>
        </w:tabs>
        <w:ind w:left="709"/>
        <w:rPr>
          <w:rFonts w:ascii="Arial Narrow" w:hAnsi="Arial Narrow"/>
          <w:sz w:val="18"/>
          <w:szCs w:val="18"/>
        </w:rPr>
      </w:pPr>
      <w:proofErr w:type="gramStart"/>
      <w:r>
        <w:rPr>
          <w:rFonts w:ascii="Arial Narrow" w:hAnsi="Arial Narrow"/>
          <w:sz w:val="18"/>
          <w:szCs w:val="18"/>
          <w:vertAlign w:val="superscript"/>
        </w:rPr>
        <w:t>a</w:t>
      </w:r>
      <w:proofErr w:type="gramEnd"/>
      <w:r>
        <w:rPr>
          <w:rFonts w:ascii="Arial Narrow" w:hAnsi="Arial Narrow"/>
          <w:sz w:val="18"/>
          <w:szCs w:val="18"/>
          <w:vertAlign w:val="superscript"/>
        </w:rPr>
        <w:t xml:space="preserve"> </w:t>
      </w:r>
      <w:r>
        <w:rPr>
          <w:rFonts w:ascii="Arial Narrow" w:hAnsi="Arial Narrow"/>
          <w:sz w:val="18"/>
          <w:szCs w:val="18"/>
        </w:rPr>
        <w:t>Stratum 2 patients were taking a combination of metformin + sulfonylurea (Stratum 1 patients were taking metformin only)</w:t>
      </w:r>
    </w:p>
    <w:p w:rsidR="00F00863" w:rsidRPr="00DB0183" w:rsidRDefault="00F00863" w:rsidP="00F00863">
      <w:pPr>
        <w:widowControl/>
        <w:tabs>
          <w:tab w:val="left" w:pos="1134"/>
        </w:tabs>
        <w:ind w:left="709"/>
        <w:rPr>
          <w:rFonts w:ascii="Arial Narrow" w:hAnsi="Arial Narrow"/>
          <w:sz w:val="18"/>
          <w:szCs w:val="18"/>
        </w:rPr>
      </w:pPr>
      <w:proofErr w:type="gramStart"/>
      <w:r>
        <w:rPr>
          <w:rFonts w:ascii="Arial Narrow" w:hAnsi="Arial Narrow"/>
          <w:sz w:val="18"/>
          <w:szCs w:val="18"/>
          <w:vertAlign w:val="superscript"/>
        </w:rPr>
        <w:t>b</w:t>
      </w:r>
      <w:proofErr w:type="gramEnd"/>
      <w:r>
        <w:rPr>
          <w:rFonts w:ascii="Arial Narrow" w:hAnsi="Arial Narrow"/>
          <w:sz w:val="18"/>
          <w:szCs w:val="18"/>
        </w:rPr>
        <w:t> Trial included arms where patients could take a sulfonylurea with and without added metformin. The limited results available for this study show that the sitagliptin arm with MET+SU included between 109 and 113 patients, while the placebo arm with MET+SU included between 111 and 114 patients in the analysis of outcomes.</w:t>
      </w:r>
    </w:p>
    <w:p w:rsidR="007F1017" w:rsidRPr="0072416F" w:rsidRDefault="000E7D64" w:rsidP="00F00863">
      <w:pPr>
        <w:pStyle w:val="TableFooter"/>
        <w:ind w:left="709" w:firstLine="11"/>
      </w:pPr>
      <w:r>
        <w:t xml:space="preserve">Abbreviations: </w:t>
      </w:r>
      <w:r w:rsidR="007F1017" w:rsidRPr="0072416F">
        <w:t>DB</w:t>
      </w:r>
      <w:r>
        <w:t xml:space="preserve">, </w:t>
      </w:r>
      <w:r w:rsidR="007F1017" w:rsidRPr="0072416F">
        <w:t xml:space="preserve">double blind; </w:t>
      </w:r>
      <w:r w:rsidR="00012F71">
        <w:t xml:space="preserve">FPG, fasting plasma glucose; </w:t>
      </w:r>
      <w:r w:rsidR="00F00863">
        <w:t xml:space="preserve">HbA1c, glycosylated haemoglobin; </w:t>
      </w:r>
      <w:r w:rsidR="00EC3D64">
        <w:t xml:space="preserve">MAGE, mean amplitude of glycaemic excursions; </w:t>
      </w:r>
      <w:r w:rsidR="007F1017" w:rsidRPr="0072416F">
        <w:t>MC</w:t>
      </w:r>
      <w:r>
        <w:t xml:space="preserve">, </w:t>
      </w:r>
      <w:r w:rsidR="007F1017" w:rsidRPr="0072416F">
        <w:t>multi-centre; OL</w:t>
      </w:r>
      <w:r>
        <w:t xml:space="preserve">, </w:t>
      </w:r>
      <w:r w:rsidR="007F1017" w:rsidRPr="0072416F">
        <w:t>open label;</w:t>
      </w:r>
      <w:r w:rsidR="00012F71">
        <w:t xml:space="preserve"> PC, placebo controlled; PG, parallel group; </w:t>
      </w:r>
      <w:r w:rsidR="00EC3D64">
        <w:t xml:space="preserve">PMG, post meal glucose; </w:t>
      </w:r>
      <w:r w:rsidR="007F1017" w:rsidRPr="0072416F">
        <w:t>R</w:t>
      </w:r>
      <w:r>
        <w:t xml:space="preserve">, </w:t>
      </w:r>
      <w:r w:rsidR="007F1017" w:rsidRPr="0072416F">
        <w:t>randomised</w:t>
      </w:r>
      <w:r w:rsidR="00012F71">
        <w:t>; SBP, systolic blood pressure; T2DM, type 2 diabetes mellitus.</w:t>
      </w:r>
    </w:p>
    <w:p w:rsidR="007F1017" w:rsidRPr="0072416F" w:rsidRDefault="007F1017" w:rsidP="00E22A0D">
      <w:pPr>
        <w:pStyle w:val="TableFooter"/>
        <w:ind w:firstLine="720"/>
      </w:pPr>
      <w:r w:rsidRPr="0072416F">
        <w:t>Source: compiled during the evaluation</w:t>
      </w:r>
    </w:p>
    <w:p w:rsidR="007F1017" w:rsidRDefault="007F1017" w:rsidP="007F1017"/>
    <w:p w:rsidR="00B60939" w:rsidRPr="002C2775" w:rsidRDefault="00B60939" w:rsidP="002F39B8">
      <w:pPr>
        <w:pStyle w:val="Heading2"/>
      </w:pPr>
      <w:bookmarkStart w:id="10" w:name="_Toc440983180"/>
      <w:r w:rsidRPr="002C2775">
        <w:t>Comparative effectiveness</w:t>
      </w:r>
      <w:bookmarkEnd w:id="10"/>
    </w:p>
    <w:p w:rsidR="00B60939" w:rsidRPr="00882085" w:rsidRDefault="00B60939" w:rsidP="00B60939">
      <w:pPr>
        <w:rPr>
          <w:szCs w:val="22"/>
        </w:rPr>
      </w:pPr>
    </w:p>
    <w:p w:rsidR="002C2775" w:rsidRPr="00682FC3" w:rsidRDefault="00EC3D64" w:rsidP="008A55D3">
      <w:pPr>
        <w:pStyle w:val="ListParagraph"/>
        <w:widowControl/>
        <w:numPr>
          <w:ilvl w:val="1"/>
          <w:numId w:val="4"/>
        </w:numPr>
        <w:rPr>
          <w:szCs w:val="22"/>
        </w:rPr>
      </w:pPr>
      <w:r w:rsidRPr="00682FC3">
        <w:rPr>
          <w:szCs w:val="22"/>
        </w:rPr>
        <w:t xml:space="preserve">The results of the indirect comparison for </w:t>
      </w:r>
      <w:r w:rsidR="004F319E" w:rsidRPr="00682FC3">
        <w:rPr>
          <w:szCs w:val="22"/>
        </w:rPr>
        <w:t xml:space="preserve">the key outcome, </w:t>
      </w:r>
      <w:r w:rsidRPr="00682FC3">
        <w:rPr>
          <w:szCs w:val="22"/>
        </w:rPr>
        <w:t>mean change from baseline in HbA1c at</w:t>
      </w:r>
      <w:r w:rsidR="00522EC9" w:rsidRPr="00682FC3">
        <w:rPr>
          <w:szCs w:val="22"/>
        </w:rPr>
        <w:t xml:space="preserve"> 24 weeks are shown in Table </w:t>
      </w:r>
      <w:r w:rsidRPr="00682FC3">
        <w:rPr>
          <w:szCs w:val="22"/>
        </w:rPr>
        <w:t>3.</w:t>
      </w:r>
      <w:r w:rsidR="00C46135" w:rsidRPr="00682FC3">
        <w:rPr>
          <w:szCs w:val="22"/>
        </w:rPr>
        <w:t xml:space="preserve"> The heterogeneity of the pooled sitagliptin trial results means that the indirect comparison of these trials with vildagliptin should be interpreted with caution.</w:t>
      </w:r>
    </w:p>
    <w:p w:rsidR="007F1017" w:rsidRPr="00682FC3" w:rsidRDefault="007F1017" w:rsidP="007F1017">
      <w:pPr>
        <w:widowControl/>
        <w:rPr>
          <w:szCs w:val="22"/>
        </w:rPr>
      </w:pPr>
    </w:p>
    <w:p w:rsidR="007F1017" w:rsidRDefault="007F1017" w:rsidP="00EF2129">
      <w:pPr>
        <w:keepNext/>
        <w:ind w:firstLine="720"/>
        <w:rPr>
          <w:rStyle w:val="CommentReference"/>
        </w:rPr>
      </w:pPr>
      <w:r w:rsidRPr="001F7361">
        <w:rPr>
          <w:rStyle w:val="CommentReference"/>
        </w:rPr>
        <w:t xml:space="preserve">Table </w:t>
      </w:r>
      <w:r w:rsidR="00EC3D64">
        <w:rPr>
          <w:rStyle w:val="CommentReference"/>
        </w:rPr>
        <w:t>3</w:t>
      </w:r>
      <w:r>
        <w:rPr>
          <w:rStyle w:val="CommentReference"/>
        </w:rPr>
        <w:t xml:space="preserve">: </w:t>
      </w:r>
      <w:r w:rsidR="004F319E">
        <w:rPr>
          <w:rStyle w:val="CommentReference"/>
        </w:rPr>
        <w:t>Mean change in HbA1c from baseline to week 24</w:t>
      </w:r>
    </w:p>
    <w:tbl>
      <w:tblPr>
        <w:tblW w:w="4760" w:type="pct"/>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1"/>
        <w:gridCol w:w="1562"/>
        <w:gridCol w:w="1560"/>
        <w:gridCol w:w="1418"/>
        <w:gridCol w:w="144"/>
        <w:gridCol w:w="1556"/>
        <w:gridCol w:w="1276"/>
      </w:tblGrid>
      <w:tr w:rsidR="00CD0ED1" w:rsidRPr="004E2ADC" w:rsidTr="00C46135">
        <w:tc>
          <w:tcPr>
            <w:tcW w:w="654" w:type="pct"/>
            <w:vMerge w:val="restart"/>
            <w:tcBorders>
              <w:top w:val="single" w:sz="4" w:space="0" w:color="auto"/>
              <w:left w:val="single" w:sz="4" w:space="0" w:color="auto"/>
              <w:right w:val="single" w:sz="4" w:space="0" w:color="auto"/>
            </w:tcBorders>
            <w:tcMar>
              <w:right w:w="28" w:type="dxa"/>
            </w:tcMar>
            <w:vAlign w:val="center"/>
          </w:tcPr>
          <w:p w:rsidR="004F319E" w:rsidRPr="004E2ADC" w:rsidRDefault="004F319E" w:rsidP="00DF52AB">
            <w:pPr>
              <w:pStyle w:val="TableHeading"/>
              <w:spacing w:before="0" w:after="0"/>
              <w:rPr>
                <w:rFonts w:cs="Arial"/>
              </w:rPr>
            </w:pPr>
            <w:r w:rsidRPr="004E2ADC">
              <w:rPr>
                <w:rFonts w:cs="Arial"/>
              </w:rPr>
              <w:t>Trial ID</w:t>
            </w:r>
          </w:p>
        </w:tc>
        <w:tc>
          <w:tcPr>
            <w:tcW w:w="2625" w:type="pct"/>
            <w:gridSpan w:val="3"/>
            <w:tcBorders>
              <w:top w:val="single" w:sz="4" w:space="0" w:color="auto"/>
              <w:left w:val="nil"/>
              <w:bottom w:val="single" w:sz="4" w:space="0" w:color="auto"/>
              <w:right w:val="single" w:sz="4" w:space="0" w:color="auto"/>
            </w:tcBorders>
            <w:vAlign w:val="center"/>
          </w:tcPr>
          <w:p w:rsidR="004F319E" w:rsidRPr="004E2ADC" w:rsidRDefault="004F319E" w:rsidP="00DF52AB">
            <w:pPr>
              <w:pStyle w:val="TableHeading"/>
              <w:spacing w:before="0" w:after="0"/>
              <w:jc w:val="center"/>
              <w:rPr>
                <w:rFonts w:cs="Arial"/>
              </w:rPr>
            </w:pPr>
            <w:r>
              <w:rPr>
                <w:rFonts w:cs="Arial"/>
              </w:rPr>
              <w:t xml:space="preserve">Mean change HbA1c% baseline to week 24 </w:t>
            </w:r>
            <w:r w:rsidR="005A1EFD">
              <w:rPr>
                <w:rFonts w:cs="Arial"/>
              </w:rPr>
              <w:t>(</w:t>
            </w:r>
            <w:r>
              <w:rPr>
                <w:rFonts w:cs="Arial"/>
              </w:rPr>
              <w:t>95% CI</w:t>
            </w:r>
            <w:r w:rsidR="005A1EFD">
              <w:rPr>
                <w:rFonts w:cs="Arial"/>
              </w:rPr>
              <w:t>)</w:t>
            </w:r>
          </w:p>
        </w:tc>
        <w:tc>
          <w:tcPr>
            <w:tcW w:w="983" w:type="pct"/>
            <w:gridSpan w:val="2"/>
            <w:vMerge w:val="restart"/>
            <w:tcBorders>
              <w:top w:val="single" w:sz="4" w:space="0" w:color="auto"/>
              <w:left w:val="nil"/>
              <w:right w:val="single" w:sz="4" w:space="0" w:color="auto"/>
            </w:tcBorders>
            <w:vAlign w:val="center"/>
          </w:tcPr>
          <w:p w:rsidR="004F319E" w:rsidRPr="004E2ADC" w:rsidRDefault="004F319E" w:rsidP="00DF52AB">
            <w:pPr>
              <w:pStyle w:val="TableHeading"/>
              <w:spacing w:before="0" w:after="0"/>
              <w:jc w:val="center"/>
              <w:rPr>
                <w:rFonts w:cs="Arial"/>
              </w:rPr>
            </w:pPr>
            <w:r>
              <w:rPr>
                <w:rFonts w:cs="Arial"/>
              </w:rPr>
              <w:t>Mean difference</w:t>
            </w:r>
            <w:r>
              <w:rPr>
                <w:rFonts w:cs="Arial"/>
              </w:rPr>
              <w:br/>
            </w:r>
            <w:r w:rsidR="005A1EFD">
              <w:rPr>
                <w:rFonts w:cs="Arial"/>
              </w:rPr>
              <w:t>(</w:t>
            </w:r>
            <w:r>
              <w:rPr>
                <w:rFonts w:cs="Arial"/>
              </w:rPr>
              <w:t>95% CI</w:t>
            </w:r>
            <w:r w:rsidR="005A1EFD">
              <w:rPr>
                <w:rFonts w:cs="Arial"/>
              </w:rPr>
              <w:t>)</w:t>
            </w:r>
          </w:p>
        </w:tc>
        <w:tc>
          <w:tcPr>
            <w:tcW w:w="738" w:type="pct"/>
            <w:vMerge w:val="restart"/>
            <w:tcBorders>
              <w:top w:val="single" w:sz="4" w:space="0" w:color="auto"/>
              <w:left w:val="nil"/>
              <w:right w:val="single" w:sz="4" w:space="0" w:color="auto"/>
            </w:tcBorders>
            <w:vAlign w:val="center"/>
          </w:tcPr>
          <w:p w:rsidR="004F319E" w:rsidRPr="004E2ADC" w:rsidRDefault="004F319E" w:rsidP="00DF52AB">
            <w:pPr>
              <w:pStyle w:val="TableHeading"/>
              <w:spacing w:before="0" w:after="0"/>
              <w:jc w:val="center"/>
              <w:rPr>
                <w:rFonts w:cs="Arial"/>
              </w:rPr>
            </w:pPr>
            <w:r w:rsidRPr="004E2ADC">
              <w:rPr>
                <w:rFonts w:cs="Arial"/>
              </w:rPr>
              <w:t>Indirect R</w:t>
            </w:r>
            <w:r>
              <w:rPr>
                <w:rFonts w:cs="Arial"/>
              </w:rPr>
              <w:t>D</w:t>
            </w:r>
            <w:r>
              <w:rPr>
                <w:rFonts w:cs="Arial"/>
              </w:rPr>
              <w:br/>
            </w:r>
            <w:r w:rsidR="005A1EFD">
              <w:rPr>
                <w:rFonts w:cs="Arial"/>
              </w:rPr>
              <w:t>(</w:t>
            </w:r>
            <w:r w:rsidRPr="004E2ADC">
              <w:rPr>
                <w:rFonts w:cs="Arial"/>
              </w:rPr>
              <w:t>95% CI</w:t>
            </w:r>
            <w:r w:rsidR="005A1EFD">
              <w:rPr>
                <w:rFonts w:cs="Arial"/>
              </w:rPr>
              <w:t>)</w:t>
            </w:r>
          </w:p>
        </w:tc>
      </w:tr>
      <w:tr w:rsidR="00C46135" w:rsidRPr="004E2ADC" w:rsidTr="00C46135">
        <w:trPr>
          <w:trHeight w:val="58"/>
        </w:trPr>
        <w:tc>
          <w:tcPr>
            <w:tcW w:w="654" w:type="pct"/>
            <w:vMerge/>
            <w:tcBorders>
              <w:left w:val="single" w:sz="4" w:space="0" w:color="auto"/>
              <w:right w:val="single" w:sz="4" w:space="0" w:color="auto"/>
            </w:tcBorders>
            <w:tcMar>
              <w:right w:w="28" w:type="dxa"/>
            </w:tcMar>
            <w:vAlign w:val="center"/>
          </w:tcPr>
          <w:p w:rsidR="004F319E" w:rsidRPr="004E2ADC" w:rsidRDefault="004F319E" w:rsidP="00DF52AB">
            <w:pPr>
              <w:pStyle w:val="TableHeading"/>
              <w:spacing w:before="0" w:after="0"/>
              <w:rPr>
                <w:rFonts w:cs="Arial"/>
              </w:rPr>
            </w:pPr>
          </w:p>
        </w:tc>
        <w:tc>
          <w:tcPr>
            <w:tcW w:w="903" w:type="pct"/>
            <w:tcBorders>
              <w:top w:val="single" w:sz="4" w:space="0" w:color="auto"/>
              <w:left w:val="nil"/>
              <w:right w:val="single" w:sz="4" w:space="0" w:color="auto"/>
            </w:tcBorders>
            <w:vAlign w:val="center"/>
          </w:tcPr>
          <w:p w:rsidR="004F319E" w:rsidRPr="004E2ADC" w:rsidRDefault="004F319E" w:rsidP="00DF52AB">
            <w:pPr>
              <w:pStyle w:val="TableHeading"/>
              <w:spacing w:before="0" w:after="0"/>
              <w:jc w:val="center"/>
              <w:rPr>
                <w:rFonts w:cs="Arial"/>
              </w:rPr>
            </w:pPr>
            <w:r>
              <w:rPr>
                <w:rFonts w:cs="Arial"/>
              </w:rPr>
              <w:t>Vildagliptin</w:t>
            </w:r>
          </w:p>
        </w:tc>
        <w:tc>
          <w:tcPr>
            <w:tcW w:w="902" w:type="pct"/>
            <w:tcBorders>
              <w:top w:val="single" w:sz="4" w:space="0" w:color="auto"/>
              <w:left w:val="single" w:sz="4" w:space="0" w:color="auto"/>
              <w:right w:val="single" w:sz="4" w:space="0" w:color="auto"/>
            </w:tcBorders>
            <w:vAlign w:val="center"/>
          </w:tcPr>
          <w:p w:rsidR="004F319E" w:rsidRPr="004E2ADC" w:rsidRDefault="004F319E" w:rsidP="00DF52AB">
            <w:pPr>
              <w:pStyle w:val="TableHeading"/>
              <w:spacing w:before="0" w:after="0"/>
              <w:jc w:val="center"/>
              <w:rPr>
                <w:rFonts w:cs="Arial"/>
              </w:rPr>
            </w:pPr>
            <w:r>
              <w:rPr>
                <w:rFonts w:cs="Arial"/>
              </w:rPr>
              <w:t>Placebo</w:t>
            </w:r>
          </w:p>
        </w:tc>
        <w:tc>
          <w:tcPr>
            <w:tcW w:w="820" w:type="pct"/>
            <w:tcBorders>
              <w:top w:val="single" w:sz="4" w:space="0" w:color="auto"/>
              <w:left w:val="nil"/>
              <w:right w:val="single" w:sz="4" w:space="0" w:color="auto"/>
            </w:tcBorders>
            <w:vAlign w:val="center"/>
          </w:tcPr>
          <w:p w:rsidR="004F319E" w:rsidRPr="004E2ADC" w:rsidRDefault="004F319E" w:rsidP="00DF52AB">
            <w:pPr>
              <w:pStyle w:val="TableHeading"/>
              <w:spacing w:before="0" w:after="0"/>
              <w:jc w:val="center"/>
              <w:rPr>
                <w:rFonts w:cs="Arial"/>
              </w:rPr>
            </w:pPr>
            <w:r>
              <w:rPr>
                <w:rFonts w:cs="Arial"/>
              </w:rPr>
              <w:t>Comparator</w:t>
            </w:r>
          </w:p>
        </w:tc>
        <w:tc>
          <w:tcPr>
            <w:tcW w:w="983" w:type="pct"/>
            <w:gridSpan w:val="2"/>
            <w:vMerge/>
            <w:tcBorders>
              <w:left w:val="nil"/>
              <w:right w:val="single" w:sz="4" w:space="0" w:color="auto"/>
            </w:tcBorders>
            <w:vAlign w:val="center"/>
          </w:tcPr>
          <w:p w:rsidR="004F319E" w:rsidRPr="004E2ADC" w:rsidRDefault="004F319E" w:rsidP="00DF52AB">
            <w:pPr>
              <w:pStyle w:val="TableHeading"/>
              <w:spacing w:before="0" w:after="0"/>
              <w:jc w:val="center"/>
              <w:rPr>
                <w:rFonts w:cs="Arial"/>
              </w:rPr>
            </w:pPr>
          </w:p>
        </w:tc>
        <w:tc>
          <w:tcPr>
            <w:tcW w:w="738" w:type="pct"/>
            <w:vMerge/>
            <w:tcBorders>
              <w:left w:val="single" w:sz="4" w:space="0" w:color="auto"/>
              <w:bottom w:val="single" w:sz="4" w:space="0" w:color="auto"/>
              <w:right w:val="single" w:sz="4" w:space="0" w:color="auto"/>
            </w:tcBorders>
            <w:vAlign w:val="center"/>
          </w:tcPr>
          <w:p w:rsidR="004F319E" w:rsidRPr="004E2ADC" w:rsidRDefault="004F319E" w:rsidP="00DF52AB">
            <w:pPr>
              <w:pStyle w:val="TableHeading"/>
              <w:spacing w:before="0" w:after="0"/>
              <w:jc w:val="center"/>
              <w:rPr>
                <w:rFonts w:cs="Arial"/>
              </w:rPr>
            </w:pPr>
          </w:p>
        </w:tc>
      </w:tr>
      <w:tr w:rsidR="004F319E" w:rsidRPr="004E2ADC" w:rsidTr="00C46135">
        <w:tc>
          <w:tcPr>
            <w:tcW w:w="5000" w:type="pct"/>
            <w:gridSpan w:val="7"/>
            <w:tcBorders>
              <w:top w:val="single" w:sz="4" w:space="0" w:color="auto"/>
              <w:left w:val="single" w:sz="4" w:space="0" w:color="auto"/>
              <w:bottom w:val="single" w:sz="4" w:space="0" w:color="auto"/>
            </w:tcBorders>
            <w:tcMar>
              <w:right w:w="28" w:type="dxa"/>
            </w:tcMar>
            <w:vAlign w:val="center"/>
          </w:tcPr>
          <w:p w:rsidR="004F319E" w:rsidRPr="002758C7" w:rsidRDefault="004F319E" w:rsidP="00DF52AB">
            <w:pPr>
              <w:pStyle w:val="TableText0"/>
              <w:spacing w:before="0" w:after="0"/>
              <w:rPr>
                <w:rFonts w:cs="Arial"/>
                <w:b/>
              </w:rPr>
            </w:pPr>
            <w:r w:rsidRPr="002758C7">
              <w:rPr>
                <w:rFonts w:cs="Arial"/>
                <w:b/>
              </w:rPr>
              <w:t>Vildagliptin 100mg vs dapagliflozin 10mg</w:t>
            </w:r>
          </w:p>
        </w:tc>
      </w:tr>
      <w:tr w:rsidR="005A1EFD" w:rsidRPr="004E2ADC" w:rsidTr="006442E6">
        <w:trPr>
          <w:trHeight w:val="242"/>
        </w:trPr>
        <w:tc>
          <w:tcPr>
            <w:tcW w:w="654" w:type="pct"/>
            <w:tcBorders>
              <w:top w:val="single" w:sz="4" w:space="0" w:color="auto"/>
              <w:left w:val="single" w:sz="4" w:space="0" w:color="auto"/>
              <w:bottom w:val="single" w:sz="4" w:space="0" w:color="auto"/>
              <w:right w:val="single" w:sz="4" w:space="0" w:color="auto"/>
            </w:tcBorders>
            <w:tcMar>
              <w:right w:w="28" w:type="dxa"/>
            </w:tcMar>
            <w:vAlign w:val="center"/>
          </w:tcPr>
          <w:p w:rsidR="004F319E" w:rsidRDefault="004F319E" w:rsidP="00DF52AB">
            <w:pPr>
              <w:pStyle w:val="TableText0"/>
              <w:spacing w:before="0" w:after="0"/>
              <w:rPr>
                <w:rFonts w:cs="Arial"/>
              </w:rPr>
            </w:pPr>
            <w:r>
              <w:rPr>
                <w:rFonts w:cs="Arial"/>
              </w:rPr>
              <w:t>Trial 23152</w:t>
            </w:r>
          </w:p>
        </w:tc>
        <w:tc>
          <w:tcPr>
            <w:tcW w:w="903" w:type="pct"/>
            <w:tcBorders>
              <w:top w:val="single" w:sz="4" w:space="0" w:color="auto"/>
              <w:left w:val="single" w:sz="4" w:space="0" w:color="auto"/>
              <w:bottom w:val="single" w:sz="4" w:space="0" w:color="auto"/>
              <w:right w:val="single" w:sz="4" w:space="0" w:color="auto"/>
            </w:tcBorders>
            <w:vAlign w:val="center"/>
          </w:tcPr>
          <w:p w:rsidR="004F319E" w:rsidRDefault="004F319E" w:rsidP="00DF52AB">
            <w:pPr>
              <w:pStyle w:val="TableText0"/>
              <w:spacing w:before="0" w:after="0"/>
              <w:jc w:val="center"/>
            </w:pPr>
            <w:r>
              <w:t xml:space="preserve">-1.01 </w:t>
            </w:r>
            <w:r w:rsidR="005A1EFD">
              <w:t>(</w:t>
            </w:r>
            <w:r>
              <w:t>-1.19,</w:t>
            </w:r>
            <w:r w:rsidRPr="006C77B5">
              <w:t xml:space="preserve"> -0.83</w:t>
            </w:r>
            <w:r w:rsidR="005A1EFD">
              <w:t>)</w:t>
            </w:r>
          </w:p>
        </w:tc>
        <w:tc>
          <w:tcPr>
            <w:tcW w:w="902" w:type="pct"/>
            <w:tcBorders>
              <w:top w:val="single" w:sz="4" w:space="0" w:color="auto"/>
              <w:left w:val="single" w:sz="4" w:space="0" w:color="auto"/>
              <w:bottom w:val="single" w:sz="4" w:space="0" w:color="auto"/>
              <w:right w:val="single" w:sz="4" w:space="0" w:color="auto"/>
            </w:tcBorders>
            <w:vAlign w:val="center"/>
          </w:tcPr>
          <w:p w:rsidR="004F319E" w:rsidRPr="006C77B5" w:rsidRDefault="004F319E" w:rsidP="00DF52AB">
            <w:pPr>
              <w:pStyle w:val="TableText0"/>
              <w:spacing w:before="0" w:after="0"/>
              <w:jc w:val="center"/>
            </w:pPr>
            <w:r w:rsidRPr="006C77B5">
              <w:t xml:space="preserve">-0.25 </w:t>
            </w:r>
            <w:r w:rsidR="005A1EFD">
              <w:t>(</w:t>
            </w:r>
            <w:r w:rsidRPr="006C77B5">
              <w:t>-0.43</w:t>
            </w:r>
            <w:r>
              <w:t xml:space="preserve">, </w:t>
            </w:r>
            <w:r w:rsidRPr="006C77B5">
              <w:t>-0.07</w:t>
            </w:r>
            <w:r w:rsidR="005A1EFD">
              <w:t>)</w:t>
            </w:r>
          </w:p>
        </w:tc>
        <w:tc>
          <w:tcPr>
            <w:tcW w:w="903" w:type="pct"/>
            <w:gridSpan w:val="2"/>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Pr>
                <w:rFonts w:cs="Arial"/>
              </w:rPr>
              <w:t>-</w:t>
            </w:r>
          </w:p>
        </w:tc>
        <w:tc>
          <w:tcPr>
            <w:tcW w:w="900"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sidRPr="006C77B5">
              <w:t xml:space="preserve">-0.76 </w:t>
            </w:r>
            <w:r w:rsidR="005A1EFD">
              <w:t>(</w:t>
            </w:r>
            <w:r w:rsidRPr="006C77B5">
              <w:t>-0.98,-0.53</w:t>
            </w:r>
            <w:r w:rsidR="005A1EFD">
              <w:t>)</w:t>
            </w:r>
            <w:r>
              <w:rPr>
                <w:rFonts w:cs="Arial"/>
              </w:rPr>
              <w:t xml:space="preserve"> </w:t>
            </w:r>
          </w:p>
        </w:tc>
        <w:tc>
          <w:tcPr>
            <w:tcW w:w="738" w:type="pct"/>
            <w:vMerge w:val="restart"/>
            <w:tcBorders>
              <w:top w:val="single" w:sz="4" w:space="0" w:color="auto"/>
              <w:left w:val="single" w:sz="4" w:space="0" w:color="auto"/>
              <w:right w:val="single" w:sz="4" w:space="0" w:color="auto"/>
            </w:tcBorders>
            <w:vAlign w:val="center"/>
          </w:tcPr>
          <w:p w:rsidR="00C46135" w:rsidRDefault="00C46135" w:rsidP="005A1EFD">
            <w:pPr>
              <w:pStyle w:val="TableText0"/>
              <w:spacing w:before="0" w:after="0"/>
              <w:jc w:val="center"/>
              <w:rPr>
                <w:rFonts w:cs="Arial"/>
              </w:rPr>
            </w:pPr>
            <w:r>
              <w:rPr>
                <w:rFonts w:cs="Arial"/>
              </w:rPr>
              <w:t>-0.070</w:t>
            </w:r>
          </w:p>
          <w:p w:rsidR="004F319E" w:rsidRPr="004E2ADC" w:rsidRDefault="005A1EFD" w:rsidP="005A1EFD">
            <w:pPr>
              <w:pStyle w:val="TableText0"/>
              <w:spacing w:before="0" w:after="0"/>
              <w:jc w:val="center"/>
              <w:rPr>
                <w:rFonts w:cs="Arial"/>
              </w:rPr>
            </w:pPr>
            <w:r>
              <w:rPr>
                <w:rFonts w:cs="Arial"/>
              </w:rPr>
              <w:t>(</w:t>
            </w:r>
            <w:r w:rsidR="004F319E">
              <w:rPr>
                <w:rFonts w:cs="Arial"/>
              </w:rPr>
              <w:t>-0.39, 0.25</w:t>
            </w:r>
            <w:r>
              <w:rPr>
                <w:rFonts w:cs="Arial"/>
              </w:rPr>
              <w:t>)</w:t>
            </w:r>
          </w:p>
        </w:tc>
      </w:tr>
      <w:tr w:rsidR="005A1EFD" w:rsidRPr="004E2ADC" w:rsidTr="006442E6">
        <w:trPr>
          <w:trHeight w:val="242"/>
        </w:trPr>
        <w:tc>
          <w:tcPr>
            <w:tcW w:w="654" w:type="pct"/>
            <w:tcBorders>
              <w:top w:val="single" w:sz="4" w:space="0" w:color="auto"/>
              <w:left w:val="single" w:sz="4" w:space="0" w:color="auto"/>
              <w:bottom w:val="single" w:sz="4" w:space="0" w:color="auto"/>
              <w:right w:val="single" w:sz="4" w:space="0" w:color="auto"/>
            </w:tcBorders>
            <w:tcMar>
              <w:right w:w="28" w:type="dxa"/>
            </w:tcMar>
            <w:vAlign w:val="center"/>
          </w:tcPr>
          <w:p w:rsidR="004F319E" w:rsidRPr="004E2ADC" w:rsidRDefault="004F319E" w:rsidP="00CD0ED1">
            <w:pPr>
              <w:pStyle w:val="TableText0"/>
              <w:spacing w:before="0" w:after="0"/>
              <w:rPr>
                <w:rFonts w:cs="Arial"/>
              </w:rPr>
            </w:pPr>
            <w:r>
              <w:rPr>
                <w:rFonts w:cs="Arial"/>
              </w:rPr>
              <w:t>Matthaei</w:t>
            </w:r>
            <w:r w:rsidR="00CD0ED1">
              <w:rPr>
                <w:rFonts w:cs="Arial"/>
              </w:rPr>
              <w:t xml:space="preserve"> </w:t>
            </w:r>
            <w:r>
              <w:rPr>
                <w:rFonts w:cs="Arial"/>
              </w:rPr>
              <w:t>2015</w:t>
            </w:r>
          </w:p>
        </w:tc>
        <w:tc>
          <w:tcPr>
            <w:tcW w:w="903"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Pr>
                <w:rFonts w:cs="Arial"/>
              </w:rPr>
              <w:t>-</w:t>
            </w:r>
          </w:p>
        </w:tc>
        <w:tc>
          <w:tcPr>
            <w:tcW w:w="902"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sidRPr="006C77B5">
              <w:t xml:space="preserve">-0.17 </w:t>
            </w:r>
            <w:r w:rsidR="005A1EFD">
              <w:t>(</w:t>
            </w:r>
            <w:r w:rsidRPr="006C77B5">
              <w:t>-0.31</w:t>
            </w:r>
            <w:r>
              <w:t>,</w:t>
            </w:r>
            <w:r w:rsidRPr="006C77B5">
              <w:t xml:space="preserve"> -0.02</w:t>
            </w:r>
            <w:r w:rsidR="005A1EFD">
              <w:t>)</w:t>
            </w:r>
          </w:p>
        </w:tc>
        <w:tc>
          <w:tcPr>
            <w:tcW w:w="903" w:type="pct"/>
            <w:gridSpan w:val="2"/>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sidRPr="006C77B5">
              <w:t xml:space="preserve">-0.86 </w:t>
            </w:r>
            <w:r w:rsidR="005A1EFD">
              <w:t>(</w:t>
            </w:r>
            <w:r w:rsidRPr="006C77B5">
              <w:t>-1.00</w:t>
            </w:r>
            <w:r>
              <w:t>,</w:t>
            </w:r>
            <w:r w:rsidRPr="006C77B5">
              <w:t xml:space="preserve"> -0.72</w:t>
            </w:r>
            <w:r w:rsidR="005A1EFD">
              <w:t>)</w:t>
            </w:r>
          </w:p>
        </w:tc>
        <w:tc>
          <w:tcPr>
            <w:tcW w:w="900"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sidRPr="006C77B5">
              <w:t xml:space="preserve">-0.69 </w:t>
            </w:r>
            <w:r w:rsidR="005A1EFD">
              <w:t>(</w:t>
            </w:r>
            <w:r w:rsidRPr="006C77B5">
              <w:t>-0.89</w:t>
            </w:r>
            <w:r>
              <w:t>,</w:t>
            </w:r>
            <w:r w:rsidRPr="006C77B5">
              <w:t xml:space="preserve"> -0.49</w:t>
            </w:r>
            <w:r w:rsidR="005A1EFD">
              <w:t>)</w:t>
            </w:r>
          </w:p>
        </w:tc>
        <w:tc>
          <w:tcPr>
            <w:tcW w:w="738" w:type="pct"/>
            <w:vMerge/>
            <w:tcBorders>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p>
        </w:tc>
      </w:tr>
      <w:tr w:rsidR="004F319E" w:rsidRPr="004E2ADC" w:rsidTr="006442E6">
        <w:trPr>
          <w:trHeight w:val="242"/>
        </w:trPr>
        <w:tc>
          <w:tcPr>
            <w:tcW w:w="5000" w:type="pct"/>
            <w:gridSpan w:val="7"/>
            <w:tcBorders>
              <w:top w:val="single" w:sz="4" w:space="0" w:color="auto"/>
              <w:left w:val="single" w:sz="4" w:space="0" w:color="auto"/>
              <w:bottom w:val="single" w:sz="4" w:space="0" w:color="auto"/>
              <w:right w:val="single" w:sz="4" w:space="0" w:color="auto"/>
            </w:tcBorders>
            <w:tcMar>
              <w:right w:w="28" w:type="dxa"/>
            </w:tcMar>
            <w:vAlign w:val="center"/>
          </w:tcPr>
          <w:p w:rsidR="004F319E" w:rsidRPr="002758C7" w:rsidRDefault="004F319E" w:rsidP="00DF52AB">
            <w:pPr>
              <w:pStyle w:val="TableText0"/>
              <w:spacing w:before="0" w:after="0"/>
              <w:rPr>
                <w:rFonts w:cs="Arial"/>
                <w:b/>
              </w:rPr>
            </w:pPr>
            <w:r w:rsidRPr="002758C7">
              <w:rPr>
                <w:rFonts w:cs="Arial"/>
                <w:b/>
              </w:rPr>
              <w:t>Vildagliptin 100mg vs sitagliptin 100mg</w:t>
            </w:r>
          </w:p>
        </w:tc>
      </w:tr>
      <w:tr w:rsidR="00C46135" w:rsidRPr="004E2ADC" w:rsidTr="006442E6">
        <w:trPr>
          <w:trHeight w:val="242"/>
        </w:trPr>
        <w:tc>
          <w:tcPr>
            <w:tcW w:w="654" w:type="pct"/>
            <w:tcBorders>
              <w:top w:val="single" w:sz="4" w:space="0" w:color="auto"/>
              <w:left w:val="single" w:sz="4" w:space="0" w:color="auto"/>
              <w:bottom w:val="single" w:sz="4" w:space="0" w:color="auto"/>
              <w:right w:val="single" w:sz="4" w:space="0" w:color="auto"/>
            </w:tcBorders>
            <w:tcMar>
              <w:right w:w="28" w:type="dxa"/>
            </w:tcMar>
            <w:vAlign w:val="center"/>
          </w:tcPr>
          <w:p w:rsidR="004F319E" w:rsidRPr="004E2ADC" w:rsidRDefault="004F319E" w:rsidP="00DF52AB">
            <w:pPr>
              <w:pStyle w:val="TableText0"/>
              <w:spacing w:before="0" w:after="0"/>
              <w:rPr>
                <w:rFonts w:cs="Arial"/>
              </w:rPr>
            </w:pPr>
            <w:r>
              <w:rPr>
                <w:rFonts w:cs="Arial"/>
              </w:rPr>
              <w:t>Trial 23152</w:t>
            </w:r>
          </w:p>
        </w:tc>
        <w:tc>
          <w:tcPr>
            <w:tcW w:w="903"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t xml:space="preserve">-1.01 </w:t>
            </w:r>
            <w:r w:rsidR="005A1EFD">
              <w:t>(</w:t>
            </w:r>
            <w:r>
              <w:t>-1.19,</w:t>
            </w:r>
            <w:r w:rsidRPr="006C77B5">
              <w:t xml:space="preserve"> -0.83</w:t>
            </w:r>
            <w:r w:rsidR="005A1EFD">
              <w:t>)</w:t>
            </w:r>
          </w:p>
        </w:tc>
        <w:tc>
          <w:tcPr>
            <w:tcW w:w="902"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sidRPr="006C77B5">
              <w:t xml:space="preserve">-0.25 </w:t>
            </w:r>
            <w:r w:rsidR="005A1EFD">
              <w:t>(</w:t>
            </w:r>
            <w:r w:rsidRPr="006C77B5">
              <w:t>-0.43</w:t>
            </w:r>
            <w:r>
              <w:t xml:space="preserve">, </w:t>
            </w:r>
            <w:r w:rsidRPr="006C77B5">
              <w:t>-0.07</w:t>
            </w:r>
            <w:r w:rsidR="005A1EFD">
              <w:t>)</w:t>
            </w:r>
          </w:p>
        </w:tc>
        <w:tc>
          <w:tcPr>
            <w:tcW w:w="903" w:type="pct"/>
            <w:gridSpan w:val="2"/>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Pr>
                <w:rFonts w:cs="Arial"/>
              </w:rPr>
              <w:t>-</w:t>
            </w:r>
          </w:p>
        </w:tc>
        <w:tc>
          <w:tcPr>
            <w:tcW w:w="900"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sidRPr="006C77B5">
              <w:t xml:space="preserve">-0.76 </w:t>
            </w:r>
            <w:r w:rsidR="005A1EFD">
              <w:t>(</w:t>
            </w:r>
            <w:r w:rsidRPr="006C77B5">
              <w:t>-0.98,-0.53</w:t>
            </w:r>
            <w:r w:rsidR="005A1EFD">
              <w:t>)</w:t>
            </w:r>
          </w:p>
        </w:tc>
        <w:tc>
          <w:tcPr>
            <w:tcW w:w="738" w:type="pct"/>
            <w:vMerge w:val="restart"/>
            <w:tcBorders>
              <w:top w:val="single" w:sz="4" w:space="0" w:color="auto"/>
              <w:left w:val="single" w:sz="4" w:space="0" w:color="auto"/>
              <w:right w:val="single" w:sz="4" w:space="0" w:color="auto"/>
            </w:tcBorders>
            <w:vAlign w:val="center"/>
          </w:tcPr>
          <w:p w:rsidR="00C46135" w:rsidRDefault="004F319E" w:rsidP="00C46135">
            <w:pPr>
              <w:pStyle w:val="TableText0"/>
              <w:spacing w:before="0" w:after="0"/>
              <w:jc w:val="center"/>
              <w:rPr>
                <w:rFonts w:cs="Arial"/>
              </w:rPr>
            </w:pPr>
            <w:r>
              <w:rPr>
                <w:rFonts w:cs="Arial"/>
              </w:rPr>
              <w:t>-0.100</w:t>
            </w:r>
          </w:p>
          <w:p w:rsidR="004F319E" w:rsidRPr="004E2ADC" w:rsidRDefault="005A1EFD" w:rsidP="00C46135">
            <w:pPr>
              <w:pStyle w:val="TableText0"/>
              <w:spacing w:before="0" w:after="0"/>
              <w:jc w:val="center"/>
              <w:rPr>
                <w:rFonts w:cs="Arial"/>
              </w:rPr>
            </w:pPr>
            <w:r>
              <w:rPr>
                <w:rFonts w:cs="Arial"/>
              </w:rPr>
              <w:t>(</w:t>
            </w:r>
            <w:r w:rsidR="004F319E">
              <w:rPr>
                <w:rFonts w:cs="Arial"/>
              </w:rPr>
              <w:t>-0.46, 0.26</w:t>
            </w:r>
            <w:r>
              <w:rPr>
                <w:rFonts w:cs="Arial"/>
              </w:rPr>
              <w:t>)</w:t>
            </w:r>
          </w:p>
        </w:tc>
      </w:tr>
      <w:tr w:rsidR="00C46135" w:rsidRPr="004E2ADC" w:rsidTr="006442E6">
        <w:trPr>
          <w:trHeight w:val="242"/>
        </w:trPr>
        <w:tc>
          <w:tcPr>
            <w:tcW w:w="654" w:type="pct"/>
            <w:tcBorders>
              <w:top w:val="single" w:sz="4" w:space="0" w:color="auto"/>
              <w:left w:val="single" w:sz="4" w:space="0" w:color="auto"/>
              <w:bottom w:val="single" w:sz="4" w:space="0" w:color="auto"/>
              <w:right w:val="single" w:sz="4" w:space="0" w:color="auto"/>
            </w:tcBorders>
            <w:tcMar>
              <w:right w:w="28" w:type="dxa"/>
            </w:tcMar>
            <w:vAlign w:val="center"/>
          </w:tcPr>
          <w:p w:rsidR="004F319E" w:rsidRPr="00BB23EF" w:rsidRDefault="00CD0ED1" w:rsidP="00DF52AB">
            <w:pPr>
              <w:pStyle w:val="TableText0"/>
              <w:spacing w:before="0" w:after="0"/>
              <w:rPr>
                <w:rFonts w:cs="Arial"/>
              </w:rPr>
            </w:pPr>
            <w:r>
              <w:rPr>
                <w:rFonts w:cs="Arial"/>
              </w:rPr>
              <w:t>Sitagliptin</w:t>
            </w:r>
            <w:r w:rsidR="004F319E">
              <w:rPr>
                <w:rFonts w:cs="Arial"/>
              </w:rPr>
              <w:t xml:space="preserve"> </w:t>
            </w:r>
            <w:r w:rsidR="004F319E">
              <w:rPr>
                <w:rFonts w:cs="Arial"/>
                <w:vertAlign w:val="superscript"/>
              </w:rPr>
              <w:t>a</w:t>
            </w:r>
          </w:p>
        </w:tc>
        <w:tc>
          <w:tcPr>
            <w:tcW w:w="903"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Pr>
                <w:rFonts w:cs="Arial"/>
              </w:rPr>
              <w:t>-</w:t>
            </w:r>
          </w:p>
        </w:tc>
        <w:tc>
          <w:tcPr>
            <w:tcW w:w="902"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Pr>
                <w:rFonts w:cs="Arial"/>
              </w:rPr>
              <w:t>-</w:t>
            </w:r>
          </w:p>
        </w:tc>
        <w:tc>
          <w:tcPr>
            <w:tcW w:w="903" w:type="pct"/>
            <w:gridSpan w:val="2"/>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Pr>
                <w:rFonts w:cs="Arial"/>
              </w:rPr>
              <w:t>-</w:t>
            </w:r>
          </w:p>
        </w:tc>
        <w:tc>
          <w:tcPr>
            <w:tcW w:w="900" w:type="pct"/>
            <w:tcBorders>
              <w:top w:val="single" w:sz="4" w:space="0" w:color="auto"/>
              <w:left w:val="single" w:sz="4" w:space="0" w:color="auto"/>
              <w:bottom w:val="single" w:sz="4" w:space="0" w:color="auto"/>
              <w:right w:val="single" w:sz="4" w:space="0" w:color="auto"/>
            </w:tcBorders>
            <w:vAlign w:val="center"/>
          </w:tcPr>
          <w:p w:rsidR="004F319E" w:rsidRPr="00251C2B" w:rsidRDefault="004F319E" w:rsidP="00DF52AB">
            <w:pPr>
              <w:pStyle w:val="TableText0"/>
              <w:spacing w:before="0" w:after="0"/>
              <w:jc w:val="center"/>
              <w:rPr>
                <w:rFonts w:cs="Arial"/>
              </w:rPr>
            </w:pPr>
            <w:r>
              <w:rPr>
                <w:rFonts w:cs="Arial"/>
              </w:rPr>
              <w:t xml:space="preserve">-0.66 </w:t>
            </w:r>
            <w:r w:rsidR="005A1EFD">
              <w:rPr>
                <w:rFonts w:cs="Arial"/>
              </w:rPr>
              <w:t>(</w:t>
            </w:r>
            <w:r>
              <w:rPr>
                <w:rFonts w:cs="Arial"/>
              </w:rPr>
              <w:t>-0.92, -0.40</w:t>
            </w:r>
            <w:r w:rsidR="005A1EFD">
              <w:rPr>
                <w:rFonts w:cs="Arial"/>
              </w:rPr>
              <w:t>)</w:t>
            </w:r>
          </w:p>
        </w:tc>
        <w:tc>
          <w:tcPr>
            <w:tcW w:w="738" w:type="pct"/>
            <w:vMerge/>
            <w:tcBorders>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p>
        </w:tc>
      </w:tr>
      <w:tr w:rsidR="004F319E" w:rsidRPr="004E2ADC" w:rsidTr="006442E6">
        <w:trPr>
          <w:trHeight w:val="242"/>
        </w:trPr>
        <w:tc>
          <w:tcPr>
            <w:tcW w:w="5000" w:type="pct"/>
            <w:gridSpan w:val="7"/>
            <w:tcBorders>
              <w:top w:val="single" w:sz="4" w:space="0" w:color="auto"/>
              <w:left w:val="single" w:sz="4" w:space="0" w:color="auto"/>
              <w:bottom w:val="single" w:sz="4" w:space="0" w:color="auto"/>
            </w:tcBorders>
            <w:tcMar>
              <w:right w:w="28" w:type="dxa"/>
            </w:tcMar>
            <w:vAlign w:val="center"/>
          </w:tcPr>
          <w:p w:rsidR="004F319E" w:rsidRPr="00251C2B" w:rsidRDefault="004F319E" w:rsidP="00DF52AB">
            <w:pPr>
              <w:pStyle w:val="TableText0"/>
              <w:spacing w:before="0" w:after="0"/>
              <w:rPr>
                <w:rFonts w:cs="Arial"/>
                <w:b/>
              </w:rPr>
            </w:pPr>
            <w:r w:rsidRPr="00251C2B">
              <w:rPr>
                <w:rFonts w:cs="Arial"/>
                <w:b/>
              </w:rPr>
              <w:t>Vildagliptin 100mg vs saxagliptin 5mg</w:t>
            </w:r>
          </w:p>
        </w:tc>
      </w:tr>
      <w:tr w:rsidR="00C46135" w:rsidRPr="004E2ADC" w:rsidTr="006442E6">
        <w:trPr>
          <w:trHeight w:val="242"/>
        </w:trPr>
        <w:tc>
          <w:tcPr>
            <w:tcW w:w="654" w:type="pct"/>
            <w:tcBorders>
              <w:top w:val="single" w:sz="4" w:space="0" w:color="auto"/>
              <w:left w:val="single" w:sz="4" w:space="0" w:color="auto"/>
              <w:bottom w:val="single" w:sz="4" w:space="0" w:color="auto"/>
              <w:right w:val="single" w:sz="4" w:space="0" w:color="auto"/>
            </w:tcBorders>
            <w:tcMar>
              <w:right w:w="28" w:type="dxa"/>
            </w:tcMar>
            <w:vAlign w:val="center"/>
          </w:tcPr>
          <w:p w:rsidR="004F319E" w:rsidRDefault="004F319E" w:rsidP="00DF52AB">
            <w:pPr>
              <w:pStyle w:val="TableText0"/>
              <w:spacing w:before="0" w:after="0"/>
              <w:rPr>
                <w:rFonts w:cs="Arial"/>
              </w:rPr>
            </w:pPr>
            <w:r>
              <w:rPr>
                <w:rFonts w:cs="Arial"/>
              </w:rPr>
              <w:t>Trial 23152</w:t>
            </w:r>
          </w:p>
        </w:tc>
        <w:tc>
          <w:tcPr>
            <w:tcW w:w="903" w:type="pct"/>
            <w:tcBorders>
              <w:top w:val="single" w:sz="4" w:space="0" w:color="auto"/>
              <w:left w:val="single" w:sz="4" w:space="0" w:color="auto"/>
              <w:bottom w:val="single" w:sz="4" w:space="0" w:color="auto"/>
              <w:right w:val="single" w:sz="4" w:space="0" w:color="auto"/>
            </w:tcBorders>
            <w:vAlign w:val="center"/>
          </w:tcPr>
          <w:p w:rsidR="004F319E" w:rsidRDefault="004F319E" w:rsidP="00DF52AB">
            <w:pPr>
              <w:pStyle w:val="TableText0"/>
              <w:spacing w:before="0" w:after="0"/>
              <w:jc w:val="center"/>
              <w:rPr>
                <w:rFonts w:cs="Arial"/>
              </w:rPr>
            </w:pPr>
            <w:r>
              <w:t xml:space="preserve">-1.01 </w:t>
            </w:r>
            <w:r w:rsidR="005A1EFD">
              <w:t>(</w:t>
            </w:r>
            <w:r>
              <w:t>-1.19,</w:t>
            </w:r>
            <w:r w:rsidRPr="006C77B5">
              <w:t xml:space="preserve"> -0.83</w:t>
            </w:r>
            <w:r w:rsidR="005A1EFD">
              <w:t>)</w:t>
            </w:r>
          </w:p>
        </w:tc>
        <w:tc>
          <w:tcPr>
            <w:tcW w:w="902" w:type="pct"/>
            <w:tcBorders>
              <w:top w:val="single" w:sz="4" w:space="0" w:color="auto"/>
              <w:left w:val="single" w:sz="4" w:space="0" w:color="auto"/>
              <w:bottom w:val="single" w:sz="4" w:space="0" w:color="auto"/>
              <w:right w:val="single" w:sz="4" w:space="0" w:color="auto"/>
            </w:tcBorders>
            <w:vAlign w:val="center"/>
          </w:tcPr>
          <w:p w:rsidR="004F319E" w:rsidRPr="006C77B5" w:rsidRDefault="004F319E" w:rsidP="00DF52AB">
            <w:pPr>
              <w:pStyle w:val="TableText0"/>
              <w:spacing w:before="0" w:after="0"/>
              <w:jc w:val="center"/>
            </w:pPr>
            <w:r w:rsidRPr="006C77B5">
              <w:t xml:space="preserve">-0.25 </w:t>
            </w:r>
            <w:r w:rsidR="005A1EFD">
              <w:t>(</w:t>
            </w:r>
            <w:r w:rsidRPr="006C77B5">
              <w:t>-0.43</w:t>
            </w:r>
            <w:r>
              <w:t xml:space="preserve">, </w:t>
            </w:r>
            <w:r w:rsidRPr="006C77B5">
              <w:t>-0.07</w:t>
            </w:r>
            <w:r w:rsidR="005A1EFD">
              <w:t>)</w:t>
            </w:r>
          </w:p>
        </w:tc>
        <w:tc>
          <w:tcPr>
            <w:tcW w:w="903" w:type="pct"/>
            <w:gridSpan w:val="2"/>
            <w:tcBorders>
              <w:top w:val="single" w:sz="4" w:space="0" w:color="auto"/>
              <w:left w:val="single" w:sz="4" w:space="0" w:color="auto"/>
              <w:bottom w:val="single" w:sz="4" w:space="0" w:color="auto"/>
              <w:right w:val="single" w:sz="4" w:space="0" w:color="auto"/>
            </w:tcBorders>
            <w:vAlign w:val="center"/>
          </w:tcPr>
          <w:p w:rsidR="004F319E" w:rsidRPr="006C77B5" w:rsidRDefault="004F319E" w:rsidP="00DF52AB">
            <w:pPr>
              <w:pStyle w:val="TableText0"/>
              <w:spacing w:before="0" w:after="0"/>
              <w:jc w:val="center"/>
            </w:pPr>
            <w:r>
              <w:t>-</w:t>
            </w:r>
          </w:p>
        </w:tc>
        <w:tc>
          <w:tcPr>
            <w:tcW w:w="900"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sidRPr="006C77B5">
              <w:t xml:space="preserve">-0.76 </w:t>
            </w:r>
            <w:r w:rsidR="005A1EFD">
              <w:t>(</w:t>
            </w:r>
            <w:r w:rsidRPr="006C77B5">
              <w:t>-0.98,-0.53</w:t>
            </w:r>
            <w:r w:rsidR="005A1EFD">
              <w:t>)</w:t>
            </w:r>
          </w:p>
        </w:tc>
        <w:tc>
          <w:tcPr>
            <w:tcW w:w="738" w:type="pct"/>
            <w:vMerge w:val="restart"/>
            <w:tcBorders>
              <w:top w:val="single" w:sz="4" w:space="0" w:color="auto"/>
              <w:left w:val="single" w:sz="4" w:space="0" w:color="auto"/>
              <w:right w:val="single" w:sz="4" w:space="0" w:color="auto"/>
            </w:tcBorders>
            <w:vAlign w:val="center"/>
          </w:tcPr>
          <w:p w:rsidR="00C46135" w:rsidRDefault="00C46135" w:rsidP="005A1EFD">
            <w:pPr>
              <w:pStyle w:val="TableText0"/>
              <w:spacing w:before="0" w:after="0"/>
              <w:jc w:val="center"/>
              <w:rPr>
                <w:rFonts w:cs="Arial"/>
              </w:rPr>
            </w:pPr>
            <w:r>
              <w:rPr>
                <w:rFonts w:cs="Arial"/>
              </w:rPr>
              <w:t>-0.100</w:t>
            </w:r>
          </w:p>
          <w:p w:rsidR="004F319E" w:rsidRPr="004E2ADC" w:rsidRDefault="005A1EFD" w:rsidP="005A1EFD">
            <w:pPr>
              <w:pStyle w:val="TableText0"/>
              <w:spacing w:before="0" w:after="0"/>
              <w:jc w:val="center"/>
              <w:rPr>
                <w:rFonts w:cs="Arial"/>
              </w:rPr>
            </w:pPr>
            <w:r>
              <w:rPr>
                <w:rFonts w:cs="Arial"/>
              </w:rPr>
              <w:t>(</w:t>
            </w:r>
            <w:r w:rsidR="004F319E">
              <w:rPr>
                <w:rFonts w:cs="Arial"/>
              </w:rPr>
              <w:t>-0.4</w:t>
            </w:r>
            <w:r>
              <w:rPr>
                <w:rFonts w:cs="Arial"/>
              </w:rPr>
              <w:t>3</w:t>
            </w:r>
            <w:r w:rsidR="004F319E">
              <w:rPr>
                <w:rFonts w:cs="Arial"/>
              </w:rPr>
              <w:t>, 0.2</w:t>
            </w:r>
            <w:r>
              <w:rPr>
                <w:rFonts w:cs="Arial"/>
              </w:rPr>
              <w:t>3)</w:t>
            </w:r>
          </w:p>
        </w:tc>
      </w:tr>
      <w:tr w:rsidR="00C46135" w:rsidRPr="004E2ADC" w:rsidTr="006442E6">
        <w:trPr>
          <w:trHeight w:val="242"/>
        </w:trPr>
        <w:tc>
          <w:tcPr>
            <w:tcW w:w="654" w:type="pct"/>
            <w:tcBorders>
              <w:top w:val="single" w:sz="4" w:space="0" w:color="auto"/>
              <w:left w:val="single" w:sz="4" w:space="0" w:color="auto"/>
              <w:bottom w:val="single" w:sz="4" w:space="0" w:color="auto"/>
              <w:right w:val="single" w:sz="4" w:space="0" w:color="auto"/>
            </w:tcBorders>
            <w:tcMar>
              <w:right w:w="28" w:type="dxa"/>
            </w:tcMar>
            <w:vAlign w:val="center"/>
          </w:tcPr>
          <w:p w:rsidR="004F319E" w:rsidRDefault="004F319E" w:rsidP="00DF52AB">
            <w:pPr>
              <w:pStyle w:val="TableText0"/>
              <w:spacing w:before="0" w:after="0"/>
              <w:rPr>
                <w:rFonts w:cs="Arial"/>
              </w:rPr>
            </w:pPr>
            <w:r>
              <w:rPr>
                <w:rFonts w:cs="Arial"/>
              </w:rPr>
              <w:t>Moses 2014</w:t>
            </w:r>
          </w:p>
        </w:tc>
        <w:tc>
          <w:tcPr>
            <w:tcW w:w="903"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Pr>
                <w:rFonts w:cs="Arial"/>
              </w:rPr>
              <w:t>-</w:t>
            </w:r>
          </w:p>
        </w:tc>
        <w:tc>
          <w:tcPr>
            <w:tcW w:w="902"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sidRPr="006C77B5">
              <w:t xml:space="preserve">-0.08 </w:t>
            </w:r>
            <w:r w:rsidR="005A1EFD">
              <w:t>(</w:t>
            </w:r>
            <w:r w:rsidRPr="006C77B5">
              <w:t>-0.23</w:t>
            </w:r>
            <w:r>
              <w:t>,</w:t>
            </w:r>
            <w:r w:rsidRPr="006C77B5">
              <w:t xml:space="preserve"> 0.07</w:t>
            </w:r>
            <w:r w:rsidR="005A1EFD">
              <w:t>)</w:t>
            </w:r>
          </w:p>
        </w:tc>
        <w:tc>
          <w:tcPr>
            <w:tcW w:w="903" w:type="pct"/>
            <w:gridSpan w:val="2"/>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sidRPr="006C77B5">
              <w:t xml:space="preserve">-0.74 </w:t>
            </w:r>
            <w:r w:rsidR="005A1EFD">
              <w:t>(</w:t>
            </w:r>
            <w:r w:rsidRPr="006C77B5">
              <w:t>-0.89</w:t>
            </w:r>
            <w:r>
              <w:t>,</w:t>
            </w:r>
            <w:r w:rsidRPr="006C77B5">
              <w:t xml:space="preserve"> -0.60</w:t>
            </w:r>
            <w:r w:rsidR="005A1EFD">
              <w:t>)</w:t>
            </w:r>
          </w:p>
        </w:tc>
        <w:tc>
          <w:tcPr>
            <w:tcW w:w="900" w:type="pct"/>
            <w:tcBorders>
              <w:top w:val="single" w:sz="4" w:space="0" w:color="auto"/>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r w:rsidRPr="006C77B5">
              <w:t xml:space="preserve">-0.66 </w:t>
            </w:r>
            <w:r w:rsidR="005A1EFD">
              <w:t>(</w:t>
            </w:r>
            <w:r w:rsidRPr="006C77B5">
              <w:t>-0.89</w:t>
            </w:r>
            <w:r>
              <w:t>,</w:t>
            </w:r>
            <w:r w:rsidRPr="006C77B5">
              <w:t xml:space="preserve"> -0.45</w:t>
            </w:r>
            <w:r w:rsidR="005A1EFD">
              <w:t>)</w:t>
            </w:r>
          </w:p>
        </w:tc>
        <w:tc>
          <w:tcPr>
            <w:tcW w:w="738" w:type="pct"/>
            <w:vMerge/>
            <w:tcBorders>
              <w:left w:val="single" w:sz="4" w:space="0" w:color="auto"/>
              <w:bottom w:val="single" w:sz="4" w:space="0" w:color="auto"/>
              <w:right w:val="single" w:sz="4" w:space="0" w:color="auto"/>
            </w:tcBorders>
            <w:vAlign w:val="center"/>
          </w:tcPr>
          <w:p w:rsidR="004F319E" w:rsidRPr="004E2ADC" w:rsidRDefault="004F319E" w:rsidP="00DF52AB">
            <w:pPr>
              <w:pStyle w:val="TableText0"/>
              <w:spacing w:before="0" w:after="0"/>
              <w:jc w:val="center"/>
              <w:rPr>
                <w:rFonts w:cs="Arial"/>
              </w:rPr>
            </w:pPr>
          </w:p>
        </w:tc>
      </w:tr>
    </w:tbl>
    <w:p w:rsidR="004F319E" w:rsidRPr="00BB23EF" w:rsidRDefault="004F319E" w:rsidP="004F319E">
      <w:pPr>
        <w:pStyle w:val="TableFooter"/>
        <w:ind w:left="709"/>
      </w:pPr>
      <w:proofErr w:type="gramStart"/>
      <w:r>
        <w:rPr>
          <w:vertAlign w:val="superscript"/>
        </w:rPr>
        <w:t>a</w:t>
      </w:r>
      <w:proofErr w:type="gramEnd"/>
      <w:r>
        <w:t xml:space="preserve"> </w:t>
      </w:r>
      <w:r w:rsidR="00CD0ED1">
        <w:t xml:space="preserve">Pooled </w:t>
      </w:r>
      <w:r>
        <w:t xml:space="preserve">sitagliptin trials: </w:t>
      </w:r>
      <w:r w:rsidRPr="00BB23EF">
        <w:t>Hermansen 2007, NCT01076075 and NCT0159077</w:t>
      </w:r>
    </w:p>
    <w:p w:rsidR="004F319E" w:rsidRDefault="004F319E" w:rsidP="004F319E">
      <w:pPr>
        <w:pStyle w:val="TableFooter"/>
        <w:ind w:left="709"/>
        <w:rPr>
          <w:iCs/>
        </w:rPr>
      </w:pPr>
      <w:r>
        <w:t xml:space="preserve">Abbreviations: </w:t>
      </w:r>
      <w:r w:rsidRPr="00D13A3E">
        <w:t>CI</w:t>
      </w:r>
      <w:r>
        <w:t xml:space="preserve">, </w:t>
      </w:r>
      <w:r w:rsidRPr="00D13A3E">
        <w:t xml:space="preserve">confidence </w:t>
      </w:r>
      <w:r w:rsidRPr="00BD148E">
        <w:t>interval;</w:t>
      </w:r>
      <w:r w:rsidRPr="00BD148E">
        <w:rPr>
          <w:iCs/>
        </w:rPr>
        <w:t xml:space="preserve"> RD, risk difference</w:t>
      </w:r>
    </w:p>
    <w:p w:rsidR="004F319E" w:rsidRPr="00BD148E" w:rsidRDefault="004F319E" w:rsidP="004F319E">
      <w:pPr>
        <w:pStyle w:val="TableFooter"/>
        <w:ind w:left="709"/>
      </w:pPr>
      <w:r>
        <w:rPr>
          <w:iCs/>
        </w:rPr>
        <w:t>Source: Table 25, p53; Table 26, p55 of the submission</w:t>
      </w:r>
      <w:r w:rsidRPr="00BD148E">
        <w:t xml:space="preserve"> </w:t>
      </w:r>
    </w:p>
    <w:p w:rsidR="00B60939" w:rsidRDefault="00B60939" w:rsidP="00B60939">
      <w:pPr>
        <w:rPr>
          <w:szCs w:val="22"/>
        </w:rPr>
      </w:pPr>
    </w:p>
    <w:p w:rsidR="005B63A1" w:rsidRPr="00687ADE" w:rsidRDefault="00687ADE" w:rsidP="008A55D3">
      <w:pPr>
        <w:pStyle w:val="ListParagraph"/>
        <w:widowControl/>
        <w:numPr>
          <w:ilvl w:val="1"/>
          <w:numId w:val="4"/>
        </w:numPr>
        <w:rPr>
          <w:szCs w:val="22"/>
        </w:rPr>
      </w:pPr>
      <w:r w:rsidRPr="00687ADE">
        <w:rPr>
          <w:szCs w:val="22"/>
        </w:rPr>
        <w:t xml:space="preserve">The results of the indirect analyses were consistent with no statistically significant differences between vildagliptin and dapagliflozin, sitagliptin or saxagliptin, in combination with metformin and a sulfonylurea, in reduction in HbA1c at 24 weeks. The observed differences were within the minimal clinically important difference of 0.4% specified in the submission, and previously accepted by the PBAC (Dapagliflozin, March 2015 </w:t>
      </w:r>
      <w:r w:rsidR="00C46135">
        <w:rPr>
          <w:szCs w:val="22"/>
        </w:rPr>
        <w:t>Public Summary Document</w:t>
      </w:r>
      <w:r w:rsidRPr="00687ADE">
        <w:rPr>
          <w:szCs w:val="22"/>
        </w:rPr>
        <w:t>).</w:t>
      </w:r>
      <w:r>
        <w:rPr>
          <w:szCs w:val="22"/>
        </w:rPr>
        <w:t xml:space="preserve"> Similar results were reported for the proportion of HbA1c responders at 24 weeks.</w:t>
      </w:r>
    </w:p>
    <w:p w:rsidR="00687ADE" w:rsidRPr="00687ADE" w:rsidRDefault="00687ADE" w:rsidP="00687ADE">
      <w:pPr>
        <w:widowControl/>
        <w:rPr>
          <w:szCs w:val="22"/>
          <w:highlight w:val="yellow"/>
        </w:rPr>
      </w:pPr>
    </w:p>
    <w:p w:rsidR="00687ADE" w:rsidRPr="00682FC3" w:rsidRDefault="00687ADE" w:rsidP="008A55D3">
      <w:pPr>
        <w:pStyle w:val="ListParagraph"/>
        <w:widowControl/>
        <w:numPr>
          <w:ilvl w:val="1"/>
          <w:numId w:val="4"/>
        </w:numPr>
        <w:rPr>
          <w:szCs w:val="22"/>
        </w:rPr>
      </w:pPr>
      <w:r w:rsidRPr="00682FC3">
        <w:lastRenderedPageBreak/>
        <w:t xml:space="preserve">No studies were </w:t>
      </w:r>
      <w:r w:rsidR="00C46135" w:rsidRPr="00682FC3">
        <w:t>identified</w:t>
      </w:r>
      <w:r w:rsidRPr="00682FC3">
        <w:t xml:space="preserve"> that investigated the use of vildagliptin/metformin FDC in triple therapy. </w:t>
      </w:r>
      <w:r w:rsidRPr="00682FC3">
        <w:rPr>
          <w:szCs w:val="22"/>
        </w:rPr>
        <w:t xml:space="preserve">The submission re-presented evidence supporting the bioequivalence of the vildagliptin/metformin FDCs, and vildagliptin and metformin given separately. </w:t>
      </w:r>
      <w:r w:rsidRPr="00682FC3">
        <w:t>The three bioequivalence studies presented were the basis of the recommendation to list vildagliptin/metformin FDC for dual therapy at the November 2010 PBAC meeting.</w:t>
      </w:r>
    </w:p>
    <w:p w:rsidR="005B63A1" w:rsidRPr="00687ADE" w:rsidRDefault="005B63A1" w:rsidP="00B60939">
      <w:pPr>
        <w:rPr>
          <w:i/>
          <w:szCs w:val="22"/>
        </w:rPr>
      </w:pPr>
    </w:p>
    <w:p w:rsidR="00B60939" w:rsidRPr="002C2775" w:rsidRDefault="00B60939" w:rsidP="002F39B8">
      <w:pPr>
        <w:pStyle w:val="Heading2"/>
      </w:pPr>
      <w:bookmarkStart w:id="11" w:name="_Toc440983181"/>
      <w:r w:rsidRPr="002C2775">
        <w:t>Comparative harms</w:t>
      </w:r>
      <w:bookmarkEnd w:id="11"/>
    </w:p>
    <w:p w:rsidR="00B60939" w:rsidRPr="00882085" w:rsidRDefault="00B60939" w:rsidP="00B60939">
      <w:pPr>
        <w:ind w:left="720" w:hanging="720"/>
        <w:rPr>
          <w:szCs w:val="22"/>
        </w:rPr>
      </w:pPr>
    </w:p>
    <w:p w:rsidR="00687ADE" w:rsidRPr="00687ADE" w:rsidRDefault="00687ADE" w:rsidP="008A55D3">
      <w:pPr>
        <w:pStyle w:val="ListParagraph"/>
        <w:widowControl/>
        <w:numPr>
          <w:ilvl w:val="1"/>
          <w:numId w:val="4"/>
        </w:numPr>
        <w:rPr>
          <w:szCs w:val="22"/>
        </w:rPr>
      </w:pPr>
      <w:r>
        <w:t>In vildagliptin Trial 23152, there were no differences in the percentage of serious or clinically significant adverse events in the vildagliptin and placebo arms. One patient in the placebo group died due to suicide. No clinically significant hepatic adverse events were reported. Reported rates of hypoglycaemia were low (5.1% in the vildagliptin arm and 1.9% in the placebo arm).</w:t>
      </w:r>
    </w:p>
    <w:p w:rsidR="00687ADE" w:rsidRPr="00687ADE" w:rsidRDefault="00687ADE" w:rsidP="00687ADE">
      <w:pPr>
        <w:widowControl/>
        <w:rPr>
          <w:szCs w:val="22"/>
        </w:rPr>
      </w:pPr>
    </w:p>
    <w:p w:rsidR="00B60939" w:rsidRPr="00682FC3" w:rsidRDefault="00687ADE" w:rsidP="008A55D3">
      <w:pPr>
        <w:pStyle w:val="ListParagraph"/>
        <w:widowControl/>
        <w:numPr>
          <w:ilvl w:val="1"/>
          <w:numId w:val="4"/>
        </w:numPr>
        <w:rPr>
          <w:szCs w:val="22"/>
        </w:rPr>
      </w:pPr>
      <w:r w:rsidRPr="00682FC3">
        <w:t xml:space="preserve">An indirect comparison of key adverse events reported in the trials is provided in Table 4. There </w:t>
      </w:r>
      <w:r w:rsidR="00C46135" w:rsidRPr="00682FC3">
        <w:t>were</w:t>
      </w:r>
      <w:r w:rsidRPr="00682FC3">
        <w:t xml:space="preserve"> no significant difference</w:t>
      </w:r>
      <w:r w:rsidR="00C46135" w:rsidRPr="00682FC3">
        <w:t>s</w:t>
      </w:r>
      <w:r w:rsidRPr="00682FC3">
        <w:t xml:space="preserve"> in the overall rate of adverse events or hypoglycaemic events between vildagliptin and all comparators. However, the potential differences in definitions of adverse events and wide confidence intervals suggest the results based on indirect comparisons should be interpreted with caution.</w:t>
      </w:r>
    </w:p>
    <w:p w:rsidR="00B60939" w:rsidRDefault="00B60939" w:rsidP="007F1017">
      <w:pPr>
        <w:pStyle w:val="ListParagraph"/>
        <w:ind w:left="0"/>
        <w:rPr>
          <w:szCs w:val="22"/>
        </w:rPr>
      </w:pPr>
    </w:p>
    <w:p w:rsidR="00687ADE" w:rsidRPr="00C55502" w:rsidRDefault="00687ADE" w:rsidP="004A02AA">
      <w:pPr>
        <w:keepNext/>
        <w:widowControl/>
        <w:ind w:left="709"/>
        <w:rPr>
          <w:rFonts w:ascii="Arial Narrow" w:hAnsi="Arial Narrow"/>
          <w:b/>
          <w:sz w:val="20"/>
          <w:szCs w:val="16"/>
        </w:rPr>
      </w:pPr>
      <w:r w:rsidRPr="00C55502">
        <w:rPr>
          <w:rFonts w:ascii="Arial Narrow" w:hAnsi="Arial Narrow"/>
          <w:b/>
          <w:sz w:val="20"/>
          <w:szCs w:val="16"/>
        </w:rPr>
        <w:t xml:space="preserve">Table </w:t>
      </w:r>
      <w:r>
        <w:rPr>
          <w:rFonts w:ascii="Arial Narrow" w:hAnsi="Arial Narrow"/>
          <w:b/>
          <w:sz w:val="20"/>
          <w:szCs w:val="16"/>
        </w:rPr>
        <w:t>4</w:t>
      </w:r>
      <w:r w:rsidRPr="00C55502">
        <w:rPr>
          <w:rFonts w:ascii="Arial Narrow" w:hAnsi="Arial Narrow"/>
          <w:b/>
          <w:sz w:val="20"/>
          <w:szCs w:val="16"/>
        </w:rPr>
        <w:t xml:space="preserve">: Indirect comparisons of key adverse events in the randomised trials </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9"/>
        <w:gridCol w:w="2678"/>
      </w:tblGrid>
      <w:tr w:rsidR="00687ADE" w:rsidRPr="008D3EF0" w:rsidTr="00687ADE">
        <w:trPr>
          <w:trHeight w:val="58"/>
          <w:tblHeader/>
        </w:trPr>
        <w:tc>
          <w:tcPr>
            <w:tcW w:w="3396" w:type="pct"/>
            <w:tcBorders>
              <w:bottom w:val="single" w:sz="4" w:space="0" w:color="auto"/>
              <w:right w:val="single" w:sz="4" w:space="0" w:color="auto"/>
            </w:tcBorders>
            <w:shd w:val="clear" w:color="auto" w:fill="auto"/>
            <w:noWrap/>
            <w:vAlign w:val="center"/>
          </w:tcPr>
          <w:p w:rsidR="00687ADE" w:rsidRPr="008D3EF0" w:rsidRDefault="00687ADE" w:rsidP="00687ADE">
            <w:pPr>
              <w:widowControl/>
              <w:ind w:right="-41"/>
              <w:jc w:val="left"/>
              <w:rPr>
                <w:rFonts w:ascii="Arial Narrow" w:hAnsi="Arial Narrow" w:cs="Times New Roman"/>
                <w:b/>
                <w:bCs/>
                <w:snapToGrid/>
                <w:color w:val="000000"/>
                <w:sz w:val="20"/>
                <w:highlight w:val="yellow"/>
                <w:lang w:eastAsia="en-AU"/>
              </w:rPr>
            </w:pPr>
            <w:r w:rsidRPr="002F3934">
              <w:rPr>
                <w:rFonts w:ascii="Arial Narrow" w:hAnsi="Arial Narrow" w:cs="Times New Roman"/>
                <w:b/>
                <w:bCs/>
                <w:snapToGrid/>
                <w:color w:val="000000"/>
                <w:sz w:val="20"/>
                <w:lang w:eastAsia="en-AU"/>
              </w:rPr>
              <w:t>Trial (all 24 weeks duration</w:t>
            </w:r>
            <w:r>
              <w:rPr>
                <w:rFonts w:ascii="Arial Narrow" w:hAnsi="Arial Narrow" w:cs="Times New Roman"/>
                <w:b/>
                <w:bCs/>
                <w:snapToGrid/>
                <w:color w:val="000000"/>
                <w:sz w:val="20"/>
                <w:lang w:eastAsia="en-AU"/>
              </w:rPr>
              <w:t>, comparison with vildagliptin Trial 23152</w:t>
            </w:r>
            <w:r w:rsidRPr="002F3934">
              <w:rPr>
                <w:rFonts w:ascii="Arial Narrow" w:hAnsi="Arial Narrow" w:cs="Times New Roman"/>
                <w:b/>
                <w:bCs/>
                <w:snapToGrid/>
                <w:color w:val="000000"/>
                <w:sz w:val="20"/>
                <w:lang w:eastAsia="en-AU"/>
              </w:rPr>
              <w:t>)</w:t>
            </w:r>
          </w:p>
        </w:tc>
        <w:tc>
          <w:tcPr>
            <w:tcW w:w="1604" w:type="pct"/>
            <w:tcBorders>
              <w:left w:val="single" w:sz="4" w:space="0" w:color="auto"/>
              <w:bottom w:val="single" w:sz="4" w:space="0" w:color="auto"/>
            </w:tcBorders>
            <w:vAlign w:val="bottom"/>
          </w:tcPr>
          <w:p w:rsidR="00687ADE" w:rsidRPr="00F2052D" w:rsidRDefault="00687ADE" w:rsidP="00687ADE">
            <w:pPr>
              <w:widowControl/>
              <w:ind w:right="-41" w:firstLine="26"/>
              <w:jc w:val="center"/>
              <w:rPr>
                <w:rFonts w:ascii="Arial Narrow" w:hAnsi="Arial Narrow" w:cs="Times New Roman"/>
                <w:b/>
                <w:bCs/>
                <w:snapToGrid/>
                <w:color w:val="000000"/>
                <w:sz w:val="20"/>
                <w:lang w:eastAsia="en-AU"/>
              </w:rPr>
            </w:pPr>
            <w:r w:rsidRPr="00F2052D">
              <w:rPr>
                <w:rFonts w:ascii="Arial Narrow" w:hAnsi="Arial Narrow" w:cs="Times New Roman"/>
                <w:b/>
                <w:bCs/>
                <w:snapToGrid/>
                <w:color w:val="000000"/>
                <w:sz w:val="20"/>
                <w:lang w:eastAsia="en-AU"/>
              </w:rPr>
              <w:t xml:space="preserve">Odds Ratio </w:t>
            </w:r>
          </w:p>
          <w:p w:rsidR="00687ADE" w:rsidRPr="00F2052D" w:rsidRDefault="00802439" w:rsidP="00687ADE">
            <w:pPr>
              <w:widowControl/>
              <w:ind w:right="-41" w:firstLine="26"/>
              <w:jc w:val="center"/>
              <w:rPr>
                <w:rFonts w:ascii="Arial Narrow" w:hAnsi="Arial Narrow" w:cs="Times New Roman"/>
                <w:b/>
                <w:bCs/>
                <w:snapToGrid/>
                <w:color w:val="000000"/>
                <w:sz w:val="20"/>
                <w:lang w:eastAsia="en-AU"/>
              </w:rPr>
            </w:pPr>
            <w:r>
              <w:rPr>
                <w:rFonts w:ascii="Arial Narrow" w:hAnsi="Arial Narrow" w:cs="Times New Roman"/>
                <w:b/>
                <w:bCs/>
                <w:snapToGrid/>
                <w:color w:val="000000"/>
                <w:sz w:val="20"/>
                <w:lang w:eastAsia="en-AU"/>
              </w:rPr>
              <w:t>(</w:t>
            </w:r>
            <w:r w:rsidR="00687ADE" w:rsidRPr="00F2052D">
              <w:rPr>
                <w:rFonts w:ascii="Arial Narrow" w:hAnsi="Arial Narrow" w:cs="Times New Roman"/>
                <w:b/>
                <w:bCs/>
                <w:snapToGrid/>
                <w:color w:val="000000"/>
                <w:sz w:val="20"/>
                <w:lang w:eastAsia="en-AU"/>
              </w:rPr>
              <w:t>95% CI</w:t>
            </w:r>
            <w:r>
              <w:rPr>
                <w:rFonts w:ascii="Arial Narrow" w:hAnsi="Arial Narrow" w:cs="Times New Roman"/>
                <w:b/>
                <w:bCs/>
                <w:snapToGrid/>
                <w:color w:val="000000"/>
                <w:sz w:val="20"/>
                <w:lang w:eastAsia="en-AU"/>
              </w:rPr>
              <w:t>)</w:t>
            </w:r>
          </w:p>
        </w:tc>
      </w:tr>
      <w:tr w:rsidR="00687ADE" w:rsidRPr="008D3EF0" w:rsidTr="00687ADE">
        <w:trPr>
          <w:trHeight w:val="58"/>
        </w:trPr>
        <w:tc>
          <w:tcPr>
            <w:tcW w:w="3396" w:type="pct"/>
            <w:tcBorders>
              <w:top w:val="single" w:sz="4" w:space="0" w:color="auto"/>
              <w:bottom w:val="single" w:sz="4" w:space="0" w:color="auto"/>
              <w:right w:val="nil"/>
            </w:tcBorders>
            <w:shd w:val="clear" w:color="auto" w:fill="auto"/>
            <w:noWrap/>
            <w:vAlign w:val="bottom"/>
          </w:tcPr>
          <w:p w:rsidR="00687ADE" w:rsidRPr="007C743A" w:rsidRDefault="00687ADE" w:rsidP="00687ADE">
            <w:pPr>
              <w:widowControl/>
              <w:rPr>
                <w:rFonts w:ascii="Arial Narrow" w:hAnsi="Arial Narrow"/>
                <w:b/>
                <w:bCs/>
                <w:snapToGrid/>
                <w:color w:val="000000"/>
                <w:sz w:val="20"/>
                <w:lang w:eastAsia="en-AU"/>
              </w:rPr>
            </w:pPr>
            <w:r w:rsidRPr="007C743A">
              <w:rPr>
                <w:rFonts w:ascii="Arial Narrow" w:hAnsi="Arial Narrow"/>
                <w:b/>
                <w:bCs/>
                <w:snapToGrid/>
                <w:color w:val="000000"/>
                <w:sz w:val="20"/>
                <w:lang w:eastAsia="en-AU"/>
              </w:rPr>
              <w:t>At least one adverse event</w:t>
            </w:r>
          </w:p>
        </w:tc>
        <w:tc>
          <w:tcPr>
            <w:tcW w:w="1604" w:type="pct"/>
            <w:tcBorders>
              <w:top w:val="single" w:sz="4" w:space="0" w:color="auto"/>
              <w:left w:val="nil"/>
              <w:right w:val="single" w:sz="4" w:space="0" w:color="auto"/>
            </w:tcBorders>
            <w:vAlign w:val="bottom"/>
          </w:tcPr>
          <w:p w:rsidR="00687ADE" w:rsidRPr="008D3EF0" w:rsidRDefault="00687ADE" w:rsidP="00687ADE">
            <w:pPr>
              <w:widowControl/>
              <w:rPr>
                <w:rFonts w:ascii="Arial Narrow" w:hAnsi="Arial Narrow"/>
                <w:b/>
                <w:bCs/>
                <w:snapToGrid/>
                <w:color w:val="000000"/>
                <w:sz w:val="20"/>
                <w:highlight w:val="yellow"/>
                <w:lang w:eastAsia="en-AU"/>
              </w:rPr>
            </w:pPr>
          </w:p>
        </w:tc>
      </w:tr>
      <w:tr w:rsidR="00687ADE" w:rsidRPr="008D3EF0" w:rsidTr="00687ADE">
        <w:trPr>
          <w:trHeight w:val="221"/>
        </w:trPr>
        <w:tc>
          <w:tcPr>
            <w:tcW w:w="3396" w:type="pct"/>
            <w:tcBorders>
              <w:bottom w:val="single" w:sz="4" w:space="0" w:color="auto"/>
              <w:right w:val="single" w:sz="4" w:space="0" w:color="auto"/>
            </w:tcBorders>
            <w:shd w:val="clear" w:color="auto" w:fill="auto"/>
            <w:noWrap/>
            <w:vAlign w:val="center"/>
          </w:tcPr>
          <w:p w:rsidR="00687ADE" w:rsidRPr="007C743A" w:rsidRDefault="00687ADE" w:rsidP="00687ADE">
            <w:pPr>
              <w:widowControl/>
              <w:tabs>
                <w:tab w:val="left" w:pos="1701"/>
              </w:tabs>
              <w:jc w:val="left"/>
              <w:rPr>
                <w:rFonts w:ascii="Arial Narrow" w:hAnsi="Arial Narrow" w:cs="Arial Narrow"/>
                <w:i/>
                <w:iCs/>
                <w:snapToGrid/>
                <w:sz w:val="20"/>
              </w:rPr>
            </w:pPr>
            <w:r w:rsidRPr="007C743A">
              <w:rPr>
                <w:rFonts w:ascii="Arial Narrow" w:hAnsi="Arial Narrow" w:cs="Arial Narrow"/>
                <w:snapToGrid/>
                <w:sz w:val="20"/>
              </w:rPr>
              <w:t>Vildagliptin 100mg vs dapagliflozin 10mg</w:t>
            </w:r>
            <w:r>
              <w:rPr>
                <w:rFonts w:ascii="Arial Narrow" w:hAnsi="Arial Narrow" w:cs="Arial Narrow"/>
                <w:snapToGrid/>
                <w:sz w:val="20"/>
              </w:rPr>
              <w:t xml:space="preserve"> (Matthaei 2015)</w:t>
            </w:r>
          </w:p>
        </w:tc>
        <w:tc>
          <w:tcPr>
            <w:tcW w:w="1604" w:type="pct"/>
            <w:tcBorders>
              <w:left w:val="single" w:sz="4" w:space="0" w:color="auto"/>
            </w:tcBorders>
            <w:vAlign w:val="center"/>
          </w:tcPr>
          <w:p w:rsidR="00687ADE" w:rsidRPr="007C743A" w:rsidRDefault="00687ADE" w:rsidP="00687ADE">
            <w:pPr>
              <w:widowControl/>
              <w:jc w:val="center"/>
              <w:rPr>
                <w:rFonts w:ascii="Arial Narrow" w:hAnsi="Arial Narrow"/>
                <w:iCs/>
                <w:snapToGrid/>
                <w:sz w:val="20"/>
              </w:rPr>
            </w:pPr>
            <w:r w:rsidRPr="007C743A">
              <w:rPr>
                <w:rFonts w:ascii="Arial Narrow" w:hAnsi="Arial Narrow"/>
                <w:iCs/>
                <w:snapToGrid/>
                <w:sz w:val="20"/>
              </w:rPr>
              <w:t xml:space="preserve">0.72 </w:t>
            </w:r>
            <w:r w:rsidR="00802439">
              <w:rPr>
                <w:rFonts w:ascii="Arial Narrow" w:hAnsi="Arial Narrow"/>
                <w:iCs/>
                <w:snapToGrid/>
                <w:sz w:val="20"/>
              </w:rPr>
              <w:t>(</w:t>
            </w:r>
            <w:r w:rsidRPr="007C743A">
              <w:rPr>
                <w:rFonts w:ascii="Arial Narrow" w:hAnsi="Arial Narrow"/>
                <w:iCs/>
                <w:snapToGrid/>
                <w:sz w:val="20"/>
              </w:rPr>
              <w:t>0.36, 1.44</w:t>
            </w:r>
            <w:r w:rsidR="00802439">
              <w:rPr>
                <w:rFonts w:ascii="Arial Narrow" w:hAnsi="Arial Narrow"/>
                <w:iCs/>
                <w:snapToGrid/>
                <w:sz w:val="20"/>
              </w:rPr>
              <w:t>)</w:t>
            </w:r>
          </w:p>
        </w:tc>
      </w:tr>
      <w:tr w:rsidR="00687ADE" w:rsidRPr="008D3EF0" w:rsidTr="00687ADE">
        <w:trPr>
          <w:trHeight w:val="64"/>
        </w:trPr>
        <w:tc>
          <w:tcPr>
            <w:tcW w:w="3396" w:type="pct"/>
            <w:tcBorders>
              <w:top w:val="single" w:sz="4" w:space="0" w:color="auto"/>
              <w:bottom w:val="single" w:sz="4" w:space="0" w:color="auto"/>
              <w:right w:val="single" w:sz="4" w:space="0" w:color="auto"/>
            </w:tcBorders>
            <w:shd w:val="clear" w:color="auto" w:fill="auto"/>
            <w:noWrap/>
            <w:vAlign w:val="center"/>
          </w:tcPr>
          <w:p w:rsidR="00687ADE" w:rsidRPr="007C743A" w:rsidRDefault="00687ADE" w:rsidP="00687ADE">
            <w:pPr>
              <w:widowControl/>
              <w:tabs>
                <w:tab w:val="left" w:pos="1701"/>
              </w:tabs>
              <w:jc w:val="left"/>
              <w:rPr>
                <w:rFonts w:ascii="Arial Narrow" w:hAnsi="Arial Narrow" w:cs="Arial Narrow"/>
                <w:i/>
                <w:iCs/>
                <w:snapToGrid/>
                <w:sz w:val="20"/>
              </w:rPr>
            </w:pPr>
            <w:r w:rsidRPr="007C743A">
              <w:rPr>
                <w:rFonts w:ascii="Arial Narrow" w:hAnsi="Arial Narrow" w:cs="Arial Narrow"/>
                <w:snapToGrid/>
                <w:sz w:val="20"/>
              </w:rPr>
              <w:t>Vildagliptin 100mg vs sitagliptin 100mg (pooled studies)</w:t>
            </w:r>
          </w:p>
        </w:tc>
        <w:tc>
          <w:tcPr>
            <w:tcW w:w="1604" w:type="pct"/>
            <w:tcBorders>
              <w:left w:val="single" w:sz="4" w:space="0" w:color="auto"/>
              <w:bottom w:val="single" w:sz="4" w:space="0" w:color="auto"/>
            </w:tcBorders>
            <w:vAlign w:val="center"/>
          </w:tcPr>
          <w:p w:rsidR="00687ADE" w:rsidRPr="007C743A" w:rsidRDefault="00687ADE" w:rsidP="00687ADE">
            <w:pPr>
              <w:widowControl/>
              <w:jc w:val="center"/>
              <w:rPr>
                <w:rFonts w:ascii="Arial Narrow" w:hAnsi="Arial Narrow"/>
                <w:iCs/>
                <w:snapToGrid/>
                <w:sz w:val="20"/>
              </w:rPr>
            </w:pPr>
            <w:r w:rsidRPr="007C743A">
              <w:rPr>
                <w:rFonts w:ascii="Arial Narrow" w:hAnsi="Arial Narrow"/>
                <w:iCs/>
                <w:snapToGrid/>
                <w:sz w:val="20"/>
              </w:rPr>
              <w:t xml:space="preserve">0.96 </w:t>
            </w:r>
            <w:r w:rsidR="00802439">
              <w:rPr>
                <w:rFonts w:ascii="Arial Narrow" w:hAnsi="Arial Narrow"/>
                <w:iCs/>
                <w:snapToGrid/>
                <w:sz w:val="20"/>
              </w:rPr>
              <w:t>(</w:t>
            </w:r>
            <w:r w:rsidRPr="007C743A">
              <w:rPr>
                <w:rFonts w:ascii="Arial Narrow" w:hAnsi="Arial Narrow"/>
                <w:iCs/>
                <w:snapToGrid/>
                <w:sz w:val="20"/>
              </w:rPr>
              <w:t>0.53, 1.74</w:t>
            </w:r>
            <w:r w:rsidR="00802439">
              <w:rPr>
                <w:rFonts w:ascii="Arial Narrow" w:hAnsi="Arial Narrow"/>
                <w:iCs/>
                <w:snapToGrid/>
                <w:sz w:val="20"/>
              </w:rPr>
              <w:t>)</w:t>
            </w:r>
          </w:p>
        </w:tc>
      </w:tr>
      <w:tr w:rsidR="00687ADE" w:rsidRPr="008D3EF0" w:rsidTr="00687ADE">
        <w:trPr>
          <w:trHeight w:val="158"/>
        </w:trPr>
        <w:tc>
          <w:tcPr>
            <w:tcW w:w="3396" w:type="pct"/>
            <w:tcBorders>
              <w:top w:val="single" w:sz="4" w:space="0" w:color="auto"/>
              <w:bottom w:val="double" w:sz="4" w:space="0" w:color="auto"/>
              <w:right w:val="single" w:sz="4" w:space="0" w:color="auto"/>
            </w:tcBorders>
            <w:shd w:val="clear" w:color="auto" w:fill="auto"/>
            <w:noWrap/>
            <w:vAlign w:val="center"/>
          </w:tcPr>
          <w:p w:rsidR="00687ADE" w:rsidRPr="007C743A" w:rsidRDefault="00687ADE" w:rsidP="00687ADE">
            <w:pPr>
              <w:widowControl/>
              <w:tabs>
                <w:tab w:val="left" w:pos="1701"/>
              </w:tabs>
              <w:jc w:val="left"/>
              <w:rPr>
                <w:rFonts w:ascii="Arial Narrow" w:hAnsi="Arial Narrow" w:cs="Arial Narrow"/>
                <w:snapToGrid/>
                <w:sz w:val="20"/>
              </w:rPr>
            </w:pPr>
            <w:r w:rsidRPr="007C743A">
              <w:rPr>
                <w:rFonts w:ascii="Arial Narrow" w:hAnsi="Arial Narrow" w:cs="Arial Narrow"/>
                <w:snapToGrid/>
                <w:sz w:val="20"/>
              </w:rPr>
              <w:t>Vildagliptin 100mg vs saxagliptin 5mg</w:t>
            </w:r>
            <w:r>
              <w:rPr>
                <w:rFonts w:ascii="Arial Narrow" w:hAnsi="Arial Narrow" w:cs="Arial Narrow"/>
                <w:snapToGrid/>
                <w:sz w:val="20"/>
              </w:rPr>
              <w:t xml:space="preserve"> (Moses 2014)</w:t>
            </w:r>
          </w:p>
        </w:tc>
        <w:tc>
          <w:tcPr>
            <w:tcW w:w="1604" w:type="pct"/>
            <w:tcBorders>
              <w:left w:val="single" w:sz="4" w:space="0" w:color="auto"/>
              <w:bottom w:val="double" w:sz="4" w:space="0" w:color="auto"/>
            </w:tcBorders>
            <w:vAlign w:val="center"/>
          </w:tcPr>
          <w:p w:rsidR="00687ADE" w:rsidRPr="007C743A" w:rsidRDefault="00687ADE" w:rsidP="00687ADE">
            <w:pPr>
              <w:widowControl/>
              <w:jc w:val="center"/>
              <w:rPr>
                <w:rFonts w:ascii="Arial Narrow" w:hAnsi="Arial Narrow"/>
                <w:iCs/>
                <w:snapToGrid/>
                <w:sz w:val="20"/>
              </w:rPr>
            </w:pPr>
            <w:r w:rsidRPr="007C743A">
              <w:rPr>
                <w:rFonts w:ascii="Arial Narrow" w:hAnsi="Arial Narrow"/>
                <w:iCs/>
                <w:snapToGrid/>
                <w:sz w:val="20"/>
              </w:rPr>
              <w:t xml:space="preserve">1.62 </w:t>
            </w:r>
            <w:r w:rsidR="00802439">
              <w:rPr>
                <w:rFonts w:ascii="Arial Narrow" w:hAnsi="Arial Narrow"/>
                <w:iCs/>
                <w:snapToGrid/>
                <w:sz w:val="20"/>
              </w:rPr>
              <w:t>(</w:t>
            </w:r>
            <w:r w:rsidRPr="007C743A">
              <w:rPr>
                <w:rFonts w:ascii="Arial Narrow" w:hAnsi="Arial Narrow"/>
                <w:iCs/>
                <w:snapToGrid/>
                <w:sz w:val="20"/>
              </w:rPr>
              <w:t>0.82, 3.21</w:t>
            </w:r>
            <w:r w:rsidR="00802439">
              <w:rPr>
                <w:rFonts w:ascii="Arial Narrow" w:hAnsi="Arial Narrow"/>
                <w:iCs/>
                <w:snapToGrid/>
                <w:sz w:val="20"/>
              </w:rPr>
              <w:t>)</w:t>
            </w:r>
          </w:p>
        </w:tc>
      </w:tr>
      <w:tr w:rsidR="00687ADE" w:rsidRPr="008D3EF0" w:rsidTr="00687ADE">
        <w:trPr>
          <w:trHeight w:val="58"/>
        </w:trPr>
        <w:tc>
          <w:tcPr>
            <w:tcW w:w="3396" w:type="pct"/>
            <w:tcBorders>
              <w:top w:val="double" w:sz="4" w:space="0" w:color="auto"/>
              <w:right w:val="nil"/>
            </w:tcBorders>
            <w:shd w:val="clear" w:color="auto" w:fill="auto"/>
            <w:noWrap/>
            <w:vAlign w:val="bottom"/>
          </w:tcPr>
          <w:p w:rsidR="00687ADE" w:rsidRPr="008D3EF0" w:rsidRDefault="00687ADE" w:rsidP="00687ADE">
            <w:pPr>
              <w:widowControl/>
              <w:rPr>
                <w:rFonts w:ascii="Arial Narrow" w:hAnsi="Arial Narrow"/>
                <w:b/>
                <w:bCs/>
                <w:snapToGrid/>
                <w:color w:val="000000"/>
                <w:sz w:val="20"/>
                <w:highlight w:val="yellow"/>
                <w:lang w:eastAsia="en-AU"/>
              </w:rPr>
            </w:pPr>
            <w:r w:rsidRPr="007C743A">
              <w:rPr>
                <w:rFonts w:ascii="Arial Narrow" w:hAnsi="Arial Narrow"/>
                <w:b/>
                <w:bCs/>
                <w:snapToGrid/>
                <w:color w:val="000000"/>
                <w:sz w:val="20"/>
                <w:lang w:eastAsia="en-AU"/>
              </w:rPr>
              <w:t>One or more episodes of hypoglycaemia</w:t>
            </w:r>
          </w:p>
        </w:tc>
        <w:tc>
          <w:tcPr>
            <w:tcW w:w="1604" w:type="pct"/>
            <w:tcBorders>
              <w:top w:val="double" w:sz="4" w:space="0" w:color="auto"/>
              <w:left w:val="nil"/>
              <w:right w:val="nil"/>
            </w:tcBorders>
            <w:vAlign w:val="bottom"/>
          </w:tcPr>
          <w:p w:rsidR="00687ADE" w:rsidRPr="008D3EF0" w:rsidRDefault="00687ADE" w:rsidP="00687ADE">
            <w:pPr>
              <w:widowControl/>
              <w:rPr>
                <w:rFonts w:ascii="Arial Narrow" w:hAnsi="Arial Narrow"/>
                <w:b/>
                <w:bCs/>
                <w:snapToGrid/>
                <w:color w:val="000000"/>
                <w:sz w:val="20"/>
                <w:highlight w:val="yellow"/>
                <w:lang w:eastAsia="en-AU"/>
              </w:rPr>
            </w:pPr>
          </w:p>
        </w:tc>
      </w:tr>
      <w:tr w:rsidR="00687ADE" w:rsidRPr="008D3EF0" w:rsidTr="00687ADE">
        <w:trPr>
          <w:trHeight w:val="221"/>
        </w:trPr>
        <w:tc>
          <w:tcPr>
            <w:tcW w:w="3396" w:type="pct"/>
            <w:tcBorders>
              <w:bottom w:val="single" w:sz="4" w:space="0" w:color="auto"/>
              <w:right w:val="single" w:sz="4" w:space="0" w:color="auto"/>
            </w:tcBorders>
            <w:shd w:val="clear" w:color="auto" w:fill="auto"/>
            <w:noWrap/>
            <w:vAlign w:val="center"/>
          </w:tcPr>
          <w:p w:rsidR="00687ADE" w:rsidRPr="008D3EF0" w:rsidRDefault="00687ADE" w:rsidP="00687ADE">
            <w:pPr>
              <w:widowControl/>
              <w:tabs>
                <w:tab w:val="left" w:pos="1701"/>
              </w:tabs>
              <w:jc w:val="left"/>
              <w:rPr>
                <w:rFonts w:ascii="Arial Narrow" w:hAnsi="Arial Narrow" w:cs="Arial Narrow"/>
                <w:i/>
                <w:iCs/>
                <w:snapToGrid/>
                <w:sz w:val="20"/>
                <w:highlight w:val="yellow"/>
              </w:rPr>
            </w:pPr>
            <w:r w:rsidRPr="007C743A">
              <w:rPr>
                <w:rFonts w:ascii="Arial Narrow" w:hAnsi="Arial Narrow" w:cs="Arial Narrow"/>
                <w:snapToGrid/>
                <w:sz w:val="20"/>
              </w:rPr>
              <w:t>Vildagliptin 100mg vs dapagliflozin 10mg</w:t>
            </w:r>
            <w:r>
              <w:rPr>
                <w:rFonts w:ascii="Arial Narrow" w:hAnsi="Arial Narrow" w:cs="Arial Narrow"/>
                <w:snapToGrid/>
                <w:sz w:val="20"/>
              </w:rPr>
              <w:t xml:space="preserve"> (Matthaei 2015)</w:t>
            </w:r>
          </w:p>
        </w:tc>
        <w:tc>
          <w:tcPr>
            <w:tcW w:w="1604" w:type="pct"/>
            <w:tcBorders>
              <w:left w:val="single" w:sz="4" w:space="0" w:color="auto"/>
            </w:tcBorders>
            <w:vAlign w:val="center"/>
          </w:tcPr>
          <w:p w:rsidR="00687ADE" w:rsidRPr="007C743A" w:rsidRDefault="00687ADE" w:rsidP="00687ADE">
            <w:pPr>
              <w:widowControl/>
              <w:jc w:val="center"/>
              <w:rPr>
                <w:rFonts w:ascii="Arial Narrow" w:hAnsi="Arial Narrow"/>
                <w:iCs/>
                <w:snapToGrid/>
                <w:sz w:val="20"/>
              </w:rPr>
            </w:pPr>
            <w:r w:rsidRPr="007C743A">
              <w:rPr>
                <w:rFonts w:ascii="Arial Narrow" w:hAnsi="Arial Narrow"/>
                <w:iCs/>
                <w:snapToGrid/>
                <w:sz w:val="20"/>
              </w:rPr>
              <w:t xml:space="preserve">0.73 </w:t>
            </w:r>
            <w:r w:rsidR="00802439">
              <w:rPr>
                <w:rFonts w:ascii="Arial Narrow" w:hAnsi="Arial Narrow"/>
                <w:iCs/>
                <w:snapToGrid/>
                <w:sz w:val="20"/>
              </w:rPr>
              <w:t>(</w:t>
            </w:r>
            <w:r w:rsidRPr="007C743A">
              <w:rPr>
                <w:rFonts w:ascii="Arial Narrow" w:hAnsi="Arial Narrow"/>
                <w:iCs/>
                <w:snapToGrid/>
                <w:sz w:val="20"/>
              </w:rPr>
              <w:t>0.12, 4.25</w:t>
            </w:r>
            <w:r w:rsidR="00802439">
              <w:rPr>
                <w:rFonts w:ascii="Arial Narrow" w:hAnsi="Arial Narrow"/>
                <w:iCs/>
                <w:snapToGrid/>
                <w:sz w:val="20"/>
              </w:rPr>
              <w:t>)</w:t>
            </w:r>
          </w:p>
        </w:tc>
      </w:tr>
      <w:tr w:rsidR="00687ADE" w:rsidRPr="008D3EF0" w:rsidTr="00687ADE">
        <w:trPr>
          <w:trHeight w:val="64"/>
        </w:trPr>
        <w:tc>
          <w:tcPr>
            <w:tcW w:w="3396" w:type="pct"/>
            <w:tcBorders>
              <w:top w:val="single" w:sz="4" w:space="0" w:color="auto"/>
              <w:bottom w:val="single" w:sz="4" w:space="0" w:color="auto"/>
              <w:right w:val="single" w:sz="4" w:space="0" w:color="auto"/>
            </w:tcBorders>
            <w:shd w:val="clear" w:color="auto" w:fill="auto"/>
            <w:noWrap/>
            <w:vAlign w:val="center"/>
          </w:tcPr>
          <w:p w:rsidR="00687ADE" w:rsidRPr="008D3EF0" w:rsidRDefault="00687ADE" w:rsidP="00687ADE">
            <w:pPr>
              <w:widowControl/>
              <w:tabs>
                <w:tab w:val="left" w:pos="1701"/>
              </w:tabs>
              <w:jc w:val="left"/>
              <w:rPr>
                <w:rFonts w:ascii="Arial Narrow" w:hAnsi="Arial Narrow" w:cs="Arial Narrow"/>
                <w:i/>
                <w:iCs/>
                <w:snapToGrid/>
                <w:sz w:val="20"/>
                <w:highlight w:val="yellow"/>
              </w:rPr>
            </w:pPr>
            <w:r w:rsidRPr="007C743A">
              <w:rPr>
                <w:rFonts w:ascii="Arial Narrow" w:hAnsi="Arial Narrow" w:cs="Arial Narrow"/>
                <w:snapToGrid/>
                <w:sz w:val="20"/>
              </w:rPr>
              <w:t>Vildagliptin 100mg vs sitagliptin 100mg (</w:t>
            </w:r>
            <w:r>
              <w:rPr>
                <w:rFonts w:ascii="Arial Narrow" w:hAnsi="Arial Narrow" w:cs="Arial Narrow"/>
                <w:snapToGrid/>
                <w:sz w:val="20"/>
              </w:rPr>
              <w:t>Hermansen 2007, stratum 2 only</w:t>
            </w:r>
            <w:r w:rsidRPr="007C743A">
              <w:rPr>
                <w:rFonts w:ascii="Arial Narrow" w:hAnsi="Arial Narrow" w:cs="Arial Narrow"/>
                <w:snapToGrid/>
                <w:sz w:val="20"/>
              </w:rPr>
              <w:t>)</w:t>
            </w:r>
          </w:p>
        </w:tc>
        <w:tc>
          <w:tcPr>
            <w:tcW w:w="1604" w:type="pct"/>
            <w:tcBorders>
              <w:left w:val="single" w:sz="4" w:space="0" w:color="auto"/>
              <w:bottom w:val="single" w:sz="4" w:space="0" w:color="auto"/>
            </w:tcBorders>
            <w:vAlign w:val="center"/>
          </w:tcPr>
          <w:p w:rsidR="00687ADE" w:rsidRPr="007C743A" w:rsidRDefault="00687ADE" w:rsidP="00687ADE">
            <w:pPr>
              <w:widowControl/>
              <w:jc w:val="center"/>
              <w:rPr>
                <w:rFonts w:ascii="Arial Narrow" w:hAnsi="Arial Narrow"/>
                <w:iCs/>
                <w:snapToGrid/>
                <w:sz w:val="20"/>
              </w:rPr>
            </w:pPr>
            <w:r w:rsidRPr="007C743A">
              <w:rPr>
                <w:rFonts w:ascii="Arial Narrow" w:hAnsi="Arial Narrow"/>
                <w:iCs/>
                <w:snapToGrid/>
                <w:sz w:val="20"/>
              </w:rPr>
              <w:t xml:space="preserve">0.13 </w:t>
            </w:r>
            <w:r w:rsidR="00802439">
              <w:rPr>
                <w:rFonts w:ascii="Arial Narrow" w:hAnsi="Arial Narrow"/>
                <w:iCs/>
                <w:snapToGrid/>
                <w:sz w:val="20"/>
              </w:rPr>
              <w:t>(</w:t>
            </w:r>
            <w:r w:rsidRPr="007C743A">
              <w:rPr>
                <w:rFonts w:ascii="Arial Narrow" w:hAnsi="Arial Narrow"/>
                <w:iCs/>
                <w:snapToGrid/>
                <w:sz w:val="20"/>
              </w:rPr>
              <w:t>0.01, 1.46</w:t>
            </w:r>
            <w:r w:rsidR="00802439">
              <w:rPr>
                <w:rFonts w:ascii="Arial Narrow" w:hAnsi="Arial Narrow"/>
                <w:iCs/>
                <w:snapToGrid/>
                <w:sz w:val="20"/>
              </w:rPr>
              <w:t>)</w:t>
            </w:r>
          </w:p>
        </w:tc>
      </w:tr>
      <w:tr w:rsidR="00687ADE" w:rsidRPr="008D3EF0" w:rsidTr="00687ADE">
        <w:trPr>
          <w:trHeight w:val="64"/>
        </w:trPr>
        <w:tc>
          <w:tcPr>
            <w:tcW w:w="3396" w:type="pct"/>
            <w:tcBorders>
              <w:top w:val="single" w:sz="4" w:space="0" w:color="auto"/>
              <w:bottom w:val="single" w:sz="4" w:space="0" w:color="auto"/>
              <w:right w:val="single" w:sz="4" w:space="0" w:color="auto"/>
            </w:tcBorders>
            <w:shd w:val="clear" w:color="auto" w:fill="auto"/>
            <w:noWrap/>
            <w:vAlign w:val="center"/>
          </w:tcPr>
          <w:p w:rsidR="00687ADE" w:rsidRPr="008D3EF0" w:rsidRDefault="00687ADE" w:rsidP="00687ADE">
            <w:pPr>
              <w:widowControl/>
              <w:tabs>
                <w:tab w:val="left" w:pos="1701"/>
              </w:tabs>
              <w:jc w:val="left"/>
              <w:rPr>
                <w:rFonts w:ascii="Arial Narrow" w:hAnsi="Arial Narrow" w:cs="Arial Narrow"/>
                <w:i/>
                <w:iCs/>
                <w:snapToGrid/>
                <w:sz w:val="20"/>
                <w:highlight w:val="yellow"/>
              </w:rPr>
            </w:pPr>
            <w:r w:rsidRPr="007C743A">
              <w:rPr>
                <w:rFonts w:ascii="Arial Narrow" w:hAnsi="Arial Narrow" w:cs="Arial Narrow"/>
                <w:snapToGrid/>
                <w:sz w:val="20"/>
              </w:rPr>
              <w:t>Vildagliptin 100mg vs saxagliptin 5mg</w:t>
            </w:r>
            <w:r>
              <w:rPr>
                <w:rFonts w:ascii="Arial Narrow" w:hAnsi="Arial Narrow" w:cs="Arial Narrow"/>
                <w:snapToGrid/>
                <w:sz w:val="20"/>
              </w:rPr>
              <w:t xml:space="preserve"> (Moses 2014)</w:t>
            </w:r>
          </w:p>
        </w:tc>
        <w:tc>
          <w:tcPr>
            <w:tcW w:w="1604" w:type="pct"/>
            <w:tcBorders>
              <w:left w:val="single" w:sz="4" w:space="0" w:color="auto"/>
              <w:bottom w:val="single" w:sz="4" w:space="0" w:color="auto"/>
            </w:tcBorders>
            <w:vAlign w:val="center"/>
          </w:tcPr>
          <w:p w:rsidR="00687ADE" w:rsidRPr="007C743A" w:rsidRDefault="00687ADE" w:rsidP="00687ADE">
            <w:pPr>
              <w:widowControl/>
              <w:jc w:val="center"/>
              <w:rPr>
                <w:rFonts w:ascii="Arial Narrow" w:hAnsi="Arial Narrow"/>
                <w:iCs/>
                <w:snapToGrid/>
                <w:sz w:val="20"/>
              </w:rPr>
            </w:pPr>
            <w:r w:rsidRPr="007C743A">
              <w:rPr>
                <w:rFonts w:ascii="Arial Narrow" w:hAnsi="Arial Narrow"/>
                <w:iCs/>
                <w:snapToGrid/>
                <w:sz w:val="20"/>
              </w:rPr>
              <w:t xml:space="preserve">1.67 </w:t>
            </w:r>
            <w:r w:rsidR="00802439">
              <w:rPr>
                <w:rFonts w:ascii="Arial Narrow" w:hAnsi="Arial Narrow"/>
                <w:iCs/>
                <w:snapToGrid/>
                <w:sz w:val="20"/>
              </w:rPr>
              <w:t>(</w:t>
            </w:r>
            <w:r w:rsidRPr="007C743A">
              <w:rPr>
                <w:rFonts w:ascii="Arial Narrow" w:hAnsi="Arial Narrow"/>
                <w:iCs/>
                <w:snapToGrid/>
                <w:sz w:val="20"/>
              </w:rPr>
              <w:t>0.33, 8.54</w:t>
            </w:r>
            <w:r w:rsidR="00802439">
              <w:rPr>
                <w:rFonts w:ascii="Arial Narrow" w:hAnsi="Arial Narrow"/>
                <w:iCs/>
                <w:snapToGrid/>
                <w:sz w:val="20"/>
              </w:rPr>
              <w:t>)</w:t>
            </w:r>
          </w:p>
        </w:tc>
      </w:tr>
    </w:tbl>
    <w:p w:rsidR="00687ADE" w:rsidRPr="002F3934" w:rsidRDefault="00687ADE" w:rsidP="00687ADE">
      <w:pPr>
        <w:pStyle w:val="TableFooter"/>
        <w:keepNext/>
        <w:keepLines/>
        <w:widowControl/>
        <w:ind w:left="709"/>
        <w:rPr>
          <w:szCs w:val="16"/>
        </w:rPr>
      </w:pPr>
      <w:r w:rsidRPr="002F3934">
        <w:rPr>
          <w:szCs w:val="16"/>
        </w:rPr>
        <w:t>Source:</w:t>
      </w:r>
      <w:r>
        <w:rPr>
          <w:szCs w:val="16"/>
        </w:rPr>
        <w:t xml:space="preserve"> Table 34,</w:t>
      </w:r>
      <w:r w:rsidRPr="002F3934">
        <w:rPr>
          <w:szCs w:val="16"/>
        </w:rPr>
        <w:t xml:space="preserve"> </w:t>
      </w:r>
      <w:r>
        <w:rPr>
          <w:szCs w:val="16"/>
        </w:rPr>
        <w:t>p68; Table 36, p70 of the submission</w:t>
      </w:r>
    </w:p>
    <w:p w:rsidR="00687ADE" w:rsidRPr="002F3934" w:rsidRDefault="00687ADE" w:rsidP="00687ADE">
      <w:pPr>
        <w:pStyle w:val="TableFooter"/>
        <w:keepNext/>
        <w:keepLines/>
        <w:widowControl/>
        <w:ind w:left="709"/>
        <w:rPr>
          <w:szCs w:val="16"/>
        </w:rPr>
      </w:pPr>
      <w:r w:rsidRPr="002F3934">
        <w:rPr>
          <w:szCs w:val="16"/>
        </w:rPr>
        <w:t>Abbreviations:  CI, confidence interval; MET, metformin; SD, standard deviation; SU, sulfonylurea.</w:t>
      </w:r>
    </w:p>
    <w:p w:rsidR="00687ADE" w:rsidRDefault="00687ADE" w:rsidP="007F1017">
      <w:pPr>
        <w:pStyle w:val="ListParagraph"/>
        <w:ind w:left="0"/>
        <w:rPr>
          <w:szCs w:val="22"/>
        </w:rPr>
      </w:pPr>
    </w:p>
    <w:p w:rsidR="00B60939" w:rsidRPr="002C2775" w:rsidRDefault="00B60939" w:rsidP="002F39B8">
      <w:pPr>
        <w:pStyle w:val="Heading2"/>
      </w:pPr>
      <w:bookmarkStart w:id="12" w:name="_Toc440983182"/>
      <w:r w:rsidRPr="002C2775">
        <w:t>Clinical claim</w:t>
      </w:r>
      <w:bookmarkEnd w:id="12"/>
    </w:p>
    <w:p w:rsidR="00B60939" w:rsidRPr="00882085" w:rsidRDefault="00B60939" w:rsidP="00B60939">
      <w:pPr>
        <w:ind w:left="720" w:hanging="720"/>
        <w:rPr>
          <w:szCs w:val="22"/>
        </w:rPr>
      </w:pPr>
    </w:p>
    <w:p w:rsidR="004A02AA" w:rsidRPr="006D699D" w:rsidRDefault="004A02AA" w:rsidP="008A55D3">
      <w:pPr>
        <w:pStyle w:val="ListParagraph"/>
        <w:widowControl/>
        <w:numPr>
          <w:ilvl w:val="1"/>
          <w:numId w:val="4"/>
        </w:numPr>
      </w:pPr>
      <w:r w:rsidRPr="006D699D">
        <w:t xml:space="preserve">The submission described vildagliptin as non-inferior in terms of comparative effectiveness and non-inferior in terms of comparative safety </w:t>
      </w:r>
      <w:r w:rsidR="008F242A" w:rsidRPr="006D699D">
        <w:t>compared with</w:t>
      </w:r>
      <w:r w:rsidRPr="006D699D">
        <w:t xml:space="preserve"> dapagliflozin, sitagliptin and saxagliptin when used in triple therapy with metformin and a sulfonylurea. This claim was adequately supported:</w:t>
      </w:r>
    </w:p>
    <w:p w:rsidR="004A02AA" w:rsidRPr="006D699D" w:rsidRDefault="004A02AA" w:rsidP="008A55D3">
      <w:pPr>
        <w:pStyle w:val="ListParagraph"/>
        <w:numPr>
          <w:ilvl w:val="0"/>
          <w:numId w:val="7"/>
        </w:numPr>
        <w:ind w:left="993" w:hanging="284"/>
      </w:pPr>
      <w:r w:rsidRPr="006D699D">
        <w:t>Vildagliptin produces comparable reductions in HbA1c to dapagliflozin, sitagliptin and saxagliptin, when used in combination with metformin and a sulfonylurea in type 2 diabetes;</w:t>
      </w:r>
    </w:p>
    <w:p w:rsidR="004A02AA" w:rsidRPr="006D699D" w:rsidRDefault="004A02AA" w:rsidP="008A55D3">
      <w:pPr>
        <w:pStyle w:val="ListParagraph"/>
        <w:numPr>
          <w:ilvl w:val="0"/>
          <w:numId w:val="7"/>
        </w:numPr>
        <w:ind w:left="993" w:hanging="284"/>
      </w:pPr>
      <w:r w:rsidRPr="006D699D">
        <w:t>Rates of adverse events, serious adverse events and hypoglycaemia events were similar between vildagliptin and dapagliflozin, sitagliptin and saxagliptin. However, the potential differences in definitions of adverse events and wide confidence intervals suggest the results based on indirect comparisons should be interpreted with caution.</w:t>
      </w:r>
      <w:r w:rsidR="001608E6" w:rsidRPr="006D699D">
        <w:t xml:space="preserve"> The ESC </w:t>
      </w:r>
      <w:r w:rsidR="00F26CA6" w:rsidRPr="006D699D">
        <w:t>considered</w:t>
      </w:r>
      <w:r w:rsidR="001608E6" w:rsidRPr="006D699D">
        <w:t xml:space="preserve"> that this clinical claim was adequately supported. </w:t>
      </w:r>
    </w:p>
    <w:p w:rsidR="004A02AA" w:rsidRPr="006D699D" w:rsidRDefault="004A02AA" w:rsidP="004A02AA"/>
    <w:p w:rsidR="004A02AA" w:rsidRPr="006D699D" w:rsidRDefault="004A02AA" w:rsidP="008A55D3">
      <w:pPr>
        <w:pStyle w:val="ListParagraph"/>
        <w:widowControl/>
        <w:numPr>
          <w:ilvl w:val="1"/>
          <w:numId w:val="4"/>
        </w:numPr>
      </w:pPr>
      <w:r w:rsidRPr="006D699D">
        <w:lastRenderedPageBreak/>
        <w:t>The submission also re-iterated the claim that vildagliptin/metformin FDC is equivalent to the two components given separately. This claim has been previously accepted by the PBAC</w:t>
      </w:r>
      <w:r w:rsidR="00445EEB" w:rsidRPr="006D699D">
        <w:t xml:space="preserve"> (November 2010 PBAC meeting)</w:t>
      </w:r>
      <w:r w:rsidRPr="006D699D">
        <w:t>.</w:t>
      </w:r>
    </w:p>
    <w:p w:rsidR="006D699D" w:rsidRPr="00481EB0" w:rsidRDefault="006D699D" w:rsidP="006D699D">
      <w:bookmarkStart w:id="13" w:name="_Toc440983183"/>
    </w:p>
    <w:p w:rsidR="006D699D" w:rsidRPr="00481EB0" w:rsidRDefault="006D699D" w:rsidP="006D699D">
      <w:pPr>
        <w:pStyle w:val="ListParagraph"/>
        <w:widowControl/>
        <w:numPr>
          <w:ilvl w:val="1"/>
          <w:numId w:val="25"/>
        </w:numPr>
        <w:jc w:val="left"/>
        <w:rPr>
          <w:bCs/>
        </w:rPr>
      </w:pPr>
      <w:r w:rsidRPr="00481EB0">
        <w:rPr>
          <w:bCs/>
          <w:szCs w:val="22"/>
        </w:rPr>
        <w:t>The PBAC considered that the claim of non-inferior comparative effectiveness was reasonable.</w:t>
      </w:r>
    </w:p>
    <w:p w:rsidR="006D699D" w:rsidRPr="00481EB0" w:rsidRDefault="006D699D" w:rsidP="006D699D">
      <w:pPr>
        <w:pStyle w:val="ListParagraph"/>
        <w:widowControl/>
        <w:jc w:val="left"/>
        <w:rPr>
          <w:bCs/>
          <w:szCs w:val="22"/>
        </w:rPr>
      </w:pPr>
    </w:p>
    <w:p w:rsidR="006D699D" w:rsidRPr="00481EB0" w:rsidRDefault="006D699D" w:rsidP="006D699D">
      <w:pPr>
        <w:pStyle w:val="ListParagraph"/>
        <w:widowControl/>
        <w:numPr>
          <w:ilvl w:val="1"/>
          <w:numId w:val="25"/>
        </w:numPr>
        <w:rPr>
          <w:szCs w:val="22"/>
        </w:rPr>
      </w:pPr>
      <w:r w:rsidRPr="00481EB0">
        <w:rPr>
          <w:szCs w:val="22"/>
        </w:rPr>
        <w:t>The PBAC considered that the claim of non-inferior co</w:t>
      </w:r>
      <w:r w:rsidR="00D063B2" w:rsidRPr="00481EB0">
        <w:rPr>
          <w:szCs w:val="22"/>
        </w:rPr>
        <w:t>mparative safety was reasonable</w:t>
      </w:r>
      <w:r w:rsidRPr="00481EB0">
        <w:rPr>
          <w:szCs w:val="22"/>
        </w:rPr>
        <w:t>.</w:t>
      </w:r>
    </w:p>
    <w:p w:rsidR="006442E6" w:rsidRDefault="006442E6" w:rsidP="002F39B8">
      <w:pPr>
        <w:pStyle w:val="Heading2"/>
      </w:pPr>
    </w:p>
    <w:p w:rsidR="00B60939" w:rsidRPr="002C2775" w:rsidRDefault="00B60939" w:rsidP="002F39B8">
      <w:pPr>
        <w:pStyle w:val="Heading2"/>
      </w:pPr>
      <w:r w:rsidRPr="002C2775">
        <w:t>Economic analysis</w:t>
      </w:r>
      <w:bookmarkEnd w:id="13"/>
      <w:r w:rsidR="00491B3A" w:rsidRPr="002C2775">
        <w:t xml:space="preserve"> </w:t>
      </w:r>
    </w:p>
    <w:p w:rsidR="00B60939" w:rsidRPr="00882085" w:rsidRDefault="00B60939" w:rsidP="00B60939">
      <w:pPr>
        <w:ind w:left="720" w:hanging="720"/>
        <w:rPr>
          <w:szCs w:val="22"/>
        </w:rPr>
      </w:pPr>
    </w:p>
    <w:p w:rsidR="00445EEB" w:rsidRPr="006D699D" w:rsidRDefault="00445EEB" w:rsidP="006D699D">
      <w:pPr>
        <w:pStyle w:val="ListParagraph"/>
        <w:widowControl/>
        <w:numPr>
          <w:ilvl w:val="1"/>
          <w:numId w:val="26"/>
        </w:numPr>
      </w:pPr>
      <w:r w:rsidRPr="006D699D">
        <w:t>Equi-effective doses were based on the trial-based indirect comparison of vildagliptin and dapagliflozin, both in combination with metformin and a sulfonylurea, with placebo as common comparator:</w:t>
      </w:r>
    </w:p>
    <w:p w:rsidR="00445EEB" w:rsidRPr="006D699D" w:rsidRDefault="00445EEB" w:rsidP="008A55D3">
      <w:pPr>
        <w:pStyle w:val="ListParagraph"/>
        <w:numPr>
          <w:ilvl w:val="0"/>
          <w:numId w:val="8"/>
        </w:numPr>
      </w:pPr>
      <w:r w:rsidRPr="006D699D">
        <w:t>Vildagliptin 100mg/day (given as two 50mg doses) is equivalent to dapagliflozin 10mg/day.</w:t>
      </w:r>
      <w:r w:rsidR="00EC265C" w:rsidRPr="006D699D">
        <w:t xml:space="preserve"> The ESC considered this appropriate.</w:t>
      </w:r>
    </w:p>
    <w:p w:rsidR="00445EEB" w:rsidRPr="006D699D" w:rsidRDefault="00445EEB" w:rsidP="00445EEB"/>
    <w:p w:rsidR="00445EEB" w:rsidRPr="006D699D" w:rsidRDefault="00445EEB" w:rsidP="008A55D3">
      <w:pPr>
        <w:pStyle w:val="ListParagraph"/>
        <w:widowControl/>
        <w:numPr>
          <w:ilvl w:val="1"/>
          <w:numId w:val="4"/>
        </w:numPr>
      </w:pPr>
      <w:r w:rsidRPr="006D699D">
        <w:t>Therapeutic Relativity sheets from 1 Decembe</w:t>
      </w:r>
      <w:r w:rsidR="00BC6F88">
        <w:t>r 2015 state the following equi</w:t>
      </w:r>
      <w:r w:rsidR="00BC6F88">
        <w:noBreakHyphen/>
      </w:r>
      <w:r w:rsidRPr="006D699D">
        <w:t>effective doses for dual oral therapy:</w:t>
      </w:r>
    </w:p>
    <w:p w:rsidR="00445EEB" w:rsidRPr="00682FC3" w:rsidRDefault="00445EEB" w:rsidP="008A55D3">
      <w:pPr>
        <w:pStyle w:val="ListParagraph"/>
        <w:numPr>
          <w:ilvl w:val="0"/>
          <w:numId w:val="10"/>
        </w:numPr>
      </w:pPr>
      <w:r w:rsidRPr="006D699D">
        <w:t>Vildagliptin 100mg/day (given as two 50mg doses) is equivalent to sitagliptin 100mg/day (when taken in combination with metformin</w:t>
      </w:r>
      <w:r w:rsidRPr="00682FC3">
        <w:t>)</w:t>
      </w:r>
    </w:p>
    <w:p w:rsidR="00445EEB" w:rsidRPr="00682FC3" w:rsidRDefault="00445EEB" w:rsidP="008A55D3">
      <w:pPr>
        <w:pStyle w:val="ListParagraph"/>
        <w:numPr>
          <w:ilvl w:val="0"/>
          <w:numId w:val="10"/>
        </w:numPr>
      </w:pPr>
      <w:r w:rsidRPr="00682FC3">
        <w:t>Vildagliptin 50mg/day is equivalent to sitagliptin 100mg/day (when taken in combination with a sulfonylurea)</w:t>
      </w:r>
    </w:p>
    <w:p w:rsidR="00445EEB" w:rsidRPr="00682FC3" w:rsidRDefault="00445EEB" w:rsidP="008A55D3">
      <w:pPr>
        <w:pStyle w:val="ListParagraph"/>
        <w:numPr>
          <w:ilvl w:val="0"/>
          <w:numId w:val="10"/>
        </w:numPr>
      </w:pPr>
      <w:r w:rsidRPr="00682FC3">
        <w:t>Saxagliptin 5mg/day is equivalent to sitagliptin 100mg/day</w:t>
      </w:r>
    </w:p>
    <w:p w:rsidR="00A86E8B" w:rsidRPr="00682FC3" w:rsidRDefault="00445EEB" w:rsidP="008A55D3">
      <w:pPr>
        <w:pStyle w:val="ListParagraph"/>
        <w:numPr>
          <w:ilvl w:val="0"/>
          <w:numId w:val="10"/>
        </w:numPr>
      </w:pPr>
      <w:r w:rsidRPr="00682FC3">
        <w:t>Dapagliflozin 10mg/day is equivalent to sitagliptin 100mg/day.</w:t>
      </w:r>
    </w:p>
    <w:p w:rsidR="00A86E8B" w:rsidRPr="00682FC3" w:rsidRDefault="00A86E8B" w:rsidP="00A86E8B">
      <w:pPr>
        <w:widowControl/>
        <w:rPr>
          <w:szCs w:val="22"/>
        </w:rPr>
      </w:pPr>
    </w:p>
    <w:p w:rsidR="007C0D84" w:rsidRPr="00682FC3" w:rsidRDefault="007C0D84" w:rsidP="008A55D3">
      <w:pPr>
        <w:pStyle w:val="ListParagraph"/>
        <w:widowControl/>
        <w:numPr>
          <w:ilvl w:val="1"/>
          <w:numId w:val="4"/>
        </w:numPr>
      </w:pPr>
      <w:r>
        <w:t xml:space="preserve">The submission did not present a cost-minimisation analysis, rather a comparison of </w:t>
      </w:r>
      <w:r w:rsidRPr="00682FC3">
        <w:t>the proposed price of vildagliptin with the current price of dapagliflozin in triple oral therapy. The proposed prices for vildagliptin wer</w:t>
      </w:r>
      <w:r w:rsidR="00BC6F88">
        <w:t>e the same as the currently PBS</w:t>
      </w:r>
      <w:r w:rsidR="00BC6F88">
        <w:noBreakHyphen/>
      </w:r>
      <w:r w:rsidRPr="00682FC3">
        <w:t>listed prices for vildagliptin and vildagliptin/metformin FDC. During the evaluation, the prices for vildagliptin and sitagliptin (and associated FDCs) were adjusted to incorporate the 5% statutory price reduction to be implemented in April 2016.</w:t>
      </w:r>
    </w:p>
    <w:p w:rsidR="007C0D84" w:rsidRDefault="007C0D84" w:rsidP="007C0D84">
      <w:pPr>
        <w:widowControl/>
      </w:pPr>
    </w:p>
    <w:p w:rsidR="00B77BD3" w:rsidRPr="00B77BD3" w:rsidRDefault="007C0D84" w:rsidP="00B77BD3">
      <w:pPr>
        <w:pStyle w:val="ListParagraph"/>
        <w:widowControl/>
        <w:numPr>
          <w:ilvl w:val="1"/>
          <w:numId w:val="4"/>
        </w:numPr>
        <w:rPr>
          <w:szCs w:val="22"/>
        </w:rPr>
      </w:pPr>
      <w:r w:rsidRPr="006D699D">
        <w:t xml:space="preserve">The submission stated that the current price for vildagliptin already takes into account the cost of liver function tests to be conducted every three months in the first year and periodically thereafter. At the November 2010 meeting, the PBAC recommended listing of vildagliptin 100mg/day for dual oral therapy on a cost-minimisation basis with sitagliptin 100mg/day. However, in dual therapy with a sulfonylurea, the recommended dose for vildagliptin is 50mg/day. The PBAC considered that the additional costs associated with liver function tests required for patients receiving vildagliptin were offset by the lower dose and subsequent cost of vildagliptin per day compared to sitagliptin per day when either agent was used in combination with a sulfonylurea, when at least 40% of vildagliptin was used in combination with a sulfonylurea (March 2010 Public Summary Document). In the case of triple oral therapy, the recommended dose of vildagliptin is 100mg/day (given as 2 x 50mg doses). The PBAC may wish to consider whether the current PBS-listed price for vildagliptin is appropriate for triple therapy, </w:t>
      </w:r>
      <w:r w:rsidR="00C46135" w:rsidRPr="006D699D">
        <w:t>as</w:t>
      </w:r>
      <w:r w:rsidRPr="006D699D">
        <w:t xml:space="preserve"> the cost of liver function testing is no longer offset by a proportion of use at a lower dosage.</w:t>
      </w:r>
      <w:r w:rsidR="00533EE4" w:rsidRPr="006D699D">
        <w:t xml:space="preserve"> </w:t>
      </w:r>
    </w:p>
    <w:p w:rsidR="00B77BD3" w:rsidRPr="00B77BD3" w:rsidRDefault="00B77BD3" w:rsidP="00B77BD3">
      <w:pPr>
        <w:pStyle w:val="ListParagraph"/>
        <w:widowControl/>
        <w:rPr>
          <w:szCs w:val="22"/>
        </w:rPr>
      </w:pPr>
    </w:p>
    <w:p w:rsidR="004A2BEA" w:rsidRPr="00B77BD3" w:rsidRDefault="00533EE4" w:rsidP="00B77BD3">
      <w:pPr>
        <w:pStyle w:val="ListParagraph"/>
        <w:widowControl/>
        <w:numPr>
          <w:ilvl w:val="1"/>
          <w:numId w:val="4"/>
        </w:numPr>
        <w:rPr>
          <w:szCs w:val="22"/>
        </w:rPr>
      </w:pPr>
      <w:r w:rsidRPr="006D699D">
        <w:lastRenderedPageBreak/>
        <w:t>The ESC noted that the submission argued that 50% of patients under the proposed triple oral therapy listing</w:t>
      </w:r>
      <w:r w:rsidR="00A445E6" w:rsidRPr="006D699D">
        <w:t xml:space="preserve"> would</w:t>
      </w:r>
      <w:r w:rsidRPr="006D699D">
        <w:t xml:space="preserve"> </w:t>
      </w:r>
      <w:r w:rsidR="001C7BDC" w:rsidRPr="006D699D">
        <w:t xml:space="preserve">have previously received treatment under the </w:t>
      </w:r>
      <w:r w:rsidRPr="006D699D">
        <w:t>dual oral therapy</w:t>
      </w:r>
      <w:r w:rsidR="001C7BDC" w:rsidRPr="006D699D">
        <w:t xml:space="preserve"> listing</w:t>
      </w:r>
      <w:r w:rsidRPr="006D699D">
        <w:t>, and thus not requir</w:t>
      </w:r>
      <w:r w:rsidR="001C7BDC" w:rsidRPr="006D699D">
        <w:t>e</w:t>
      </w:r>
      <w:r w:rsidRPr="006D699D">
        <w:t xml:space="preserve"> </w:t>
      </w:r>
      <w:r w:rsidR="00A445E6" w:rsidRPr="006D699D">
        <w:t>a</w:t>
      </w:r>
      <w:r w:rsidRPr="006D699D">
        <w:t xml:space="preserve"> liver function test every three months in the first year.</w:t>
      </w:r>
      <w:r w:rsidR="008F242A" w:rsidRPr="006D699D">
        <w:t xml:space="preserve">  The ESC further noted that if all patients receiving vildagliptin as part of a triple oral therapy regimen required liver function testing in the first year of treatment, this could turn the projected PBS savings into an overall cost to the PBS.  </w:t>
      </w:r>
      <w:r w:rsidR="00BC6F88">
        <w:t xml:space="preserve"> The Pre</w:t>
      </w:r>
      <w:r w:rsidR="00BC6F88">
        <w:noBreakHyphen/>
      </w:r>
      <w:r w:rsidR="004A2BEA">
        <w:t xml:space="preserve">PBAC Response (p. 2) argued that the likelihood of all vildagliptin triple therapy patients being naïve to this molecule prior to being prescribed triple therapy is very low. The PBAC considered this reasonable, and noted that in practice </w:t>
      </w:r>
      <w:r w:rsidR="004A2BEA" w:rsidRPr="00481EB0">
        <w:t xml:space="preserve">many patients with type 2 diabetes mellitus </w:t>
      </w:r>
      <w:r w:rsidR="004A2BEA">
        <w:t>may</w:t>
      </w:r>
      <w:r w:rsidR="004A2BEA" w:rsidRPr="00481EB0">
        <w:t xml:space="preserve"> receive annual LFTs regardless of therapy prescribed.</w:t>
      </w:r>
    </w:p>
    <w:p w:rsidR="00A86E8B" w:rsidRPr="004A2BEA" w:rsidRDefault="00A86E8B" w:rsidP="004A2BEA">
      <w:pPr>
        <w:widowControl/>
        <w:rPr>
          <w:szCs w:val="22"/>
        </w:rPr>
      </w:pPr>
    </w:p>
    <w:p w:rsidR="00C25D9C" w:rsidRDefault="00C25D9C" w:rsidP="00C25D9C">
      <w:pPr>
        <w:widowControl/>
        <w:rPr>
          <w:szCs w:val="22"/>
        </w:rPr>
      </w:pPr>
    </w:p>
    <w:p w:rsidR="00C25D9C" w:rsidRPr="002C2775" w:rsidRDefault="00052D7B" w:rsidP="002F39B8">
      <w:pPr>
        <w:pStyle w:val="Heading2"/>
        <w:rPr>
          <w:szCs w:val="22"/>
        </w:rPr>
      </w:pPr>
      <w:bookmarkStart w:id="14" w:name="_Toc440983184"/>
      <w:r>
        <w:t>Drug cost/patient/</w:t>
      </w:r>
      <w:r w:rsidR="00C46135">
        <w:t>year</w:t>
      </w:r>
      <w:r w:rsidR="00C25D9C" w:rsidRPr="002C2775">
        <w:t xml:space="preserve">: </w:t>
      </w:r>
      <w:bookmarkEnd w:id="14"/>
      <w:r w:rsidR="007202B2">
        <w:t>$717.30</w:t>
      </w:r>
    </w:p>
    <w:p w:rsidR="00C25D9C" w:rsidRPr="00C25D9C" w:rsidRDefault="00C25D9C" w:rsidP="00C25D9C">
      <w:pPr>
        <w:widowControl/>
        <w:rPr>
          <w:szCs w:val="22"/>
        </w:rPr>
      </w:pPr>
    </w:p>
    <w:p w:rsidR="00A86E8B" w:rsidRPr="00682FC3" w:rsidRDefault="007202B2" w:rsidP="008A55D3">
      <w:pPr>
        <w:pStyle w:val="ListParagraph"/>
        <w:widowControl/>
        <w:numPr>
          <w:ilvl w:val="1"/>
          <w:numId w:val="4"/>
        </w:numPr>
        <w:rPr>
          <w:szCs w:val="22"/>
        </w:rPr>
      </w:pPr>
      <w:r>
        <w:rPr>
          <w:szCs w:val="22"/>
        </w:rPr>
        <w:t xml:space="preserve">$717.30 </w:t>
      </w:r>
      <w:r w:rsidR="009D4116" w:rsidRPr="00682FC3">
        <w:rPr>
          <w:szCs w:val="22"/>
        </w:rPr>
        <w:t>for vildagliptin 50mg</w:t>
      </w:r>
      <w:r w:rsidR="00C46135" w:rsidRPr="00682FC3">
        <w:rPr>
          <w:szCs w:val="22"/>
        </w:rPr>
        <w:t xml:space="preserve"> </w:t>
      </w:r>
      <w:r>
        <w:rPr>
          <w:szCs w:val="22"/>
        </w:rPr>
        <w:t>$58.94</w:t>
      </w:r>
      <w:r w:rsidR="002608E9" w:rsidRPr="00682FC3">
        <w:rPr>
          <w:szCs w:val="22"/>
        </w:rPr>
        <w:t xml:space="preserve">x </w:t>
      </w:r>
      <w:r w:rsidR="00C46135" w:rsidRPr="00682FC3">
        <w:rPr>
          <w:szCs w:val="22"/>
        </w:rPr>
        <w:t xml:space="preserve">30 day supply </w:t>
      </w:r>
      <w:r w:rsidR="00CE5736">
        <w:rPr>
          <w:szCs w:val="22"/>
        </w:rPr>
        <w:t xml:space="preserve">(60 tablets) </w:t>
      </w:r>
      <w:r w:rsidR="00C46135" w:rsidRPr="00682FC3">
        <w:rPr>
          <w:szCs w:val="22"/>
        </w:rPr>
        <w:t>x 12.17 scripts per year</w:t>
      </w:r>
      <w:r w:rsidR="002608E9" w:rsidRPr="00682FC3">
        <w:rPr>
          <w:szCs w:val="22"/>
        </w:rPr>
        <w:t>)</w:t>
      </w:r>
      <w:r w:rsidR="00C46135" w:rsidRPr="00682FC3">
        <w:rPr>
          <w:szCs w:val="22"/>
        </w:rPr>
        <w:t>;</w:t>
      </w:r>
      <w:r w:rsidR="009D4116" w:rsidRPr="00682FC3">
        <w:rPr>
          <w:szCs w:val="22"/>
        </w:rPr>
        <w:t xml:space="preserve"> up to $</w:t>
      </w:r>
      <w:r w:rsidR="00C46135" w:rsidRPr="0071782C">
        <w:rPr>
          <w:szCs w:val="22"/>
        </w:rPr>
        <w:t>725.33</w:t>
      </w:r>
      <w:r w:rsidR="009D4116" w:rsidRPr="00682FC3">
        <w:rPr>
          <w:szCs w:val="22"/>
        </w:rPr>
        <w:t xml:space="preserve"> for vildagliptin/metformin FDC 50mg/1000mg; compared with $</w:t>
      </w:r>
      <w:r w:rsidR="002608E9" w:rsidRPr="0071782C">
        <w:rPr>
          <w:szCs w:val="22"/>
        </w:rPr>
        <w:t>751.10</w:t>
      </w:r>
      <w:r w:rsidR="009D4116" w:rsidRPr="00682FC3">
        <w:rPr>
          <w:szCs w:val="22"/>
        </w:rPr>
        <w:t xml:space="preserve"> for dapagliflozin 10mg</w:t>
      </w:r>
      <w:r w:rsidR="002608E9" w:rsidRPr="00682FC3">
        <w:rPr>
          <w:szCs w:val="22"/>
        </w:rPr>
        <w:t xml:space="preserve"> ($</w:t>
      </w:r>
      <w:r w:rsidR="002608E9" w:rsidRPr="0071782C">
        <w:rPr>
          <w:szCs w:val="22"/>
        </w:rPr>
        <w:t>57.60</w:t>
      </w:r>
      <w:r w:rsidR="002608E9" w:rsidRPr="00682FC3">
        <w:rPr>
          <w:szCs w:val="22"/>
        </w:rPr>
        <w:t xml:space="preserve"> x 28 day supply</w:t>
      </w:r>
      <w:r w:rsidR="00CE5736">
        <w:rPr>
          <w:szCs w:val="22"/>
        </w:rPr>
        <w:t xml:space="preserve"> (56 tablets)</w:t>
      </w:r>
      <w:r w:rsidR="00C46135" w:rsidRPr="00682FC3">
        <w:rPr>
          <w:szCs w:val="22"/>
        </w:rPr>
        <w:t xml:space="preserve"> x 13.04 scripts per year</w:t>
      </w:r>
      <w:r w:rsidR="002608E9" w:rsidRPr="00682FC3">
        <w:rPr>
          <w:szCs w:val="22"/>
        </w:rPr>
        <w:t>)</w:t>
      </w:r>
      <w:r w:rsidR="00C46135" w:rsidRPr="00682FC3">
        <w:rPr>
          <w:szCs w:val="22"/>
        </w:rPr>
        <w:t xml:space="preserve">; </w:t>
      </w:r>
      <w:r w:rsidR="002608E9" w:rsidRPr="00682FC3">
        <w:rPr>
          <w:szCs w:val="22"/>
        </w:rPr>
        <w:t>a</w:t>
      </w:r>
      <w:r w:rsidR="009D4116" w:rsidRPr="00682FC3">
        <w:rPr>
          <w:szCs w:val="22"/>
        </w:rPr>
        <w:t>nd up to $</w:t>
      </w:r>
      <w:r w:rsidR="002608E9" w:rsidRPr="0071782C">
        <w:rPr>
          <w:szCs w:val="22"/>
        </w:rPr>
        <w:t>793.48</w:t>
      </w:r>
      <w:r w:rsidR="009D4116" w:rsidRPr="00682FC3">
        <w:rPr>
          <w:szCs w:val="22"/>
        </w:rPr>
        <w:t xml:space="preserve"> for dapagliflozin/metformin XR FDC 5mg/1000mg (DPMQ). The price of dapagliflozin includes a cost-offset for monitoring and treatment of genital mycotic infections and urinary tract infections.</w:t>
      </w:r>
    </w:p>
    <w:p w:rsidR="00B60939" w:rsidRPr="00682FC3" w:rsidRDefault="00B60939" w:rsidP="001456B0">
      <w:pPr>
        <w:rPr>
          <w:szCs w:val="22"/>
        </w:rPr>
      </w:pPr>
    </w:p>
    <w:p w:rsidR="00B60939" w:rsidRPr="002C2775" w:rsidRDefault="00B60939" w:rsidP="002F39B8">
      <w:pPr>
        <w:pStyle w:val="Heading2"/>
      </w:pPr>
      <w:bookmarkStart w:id="15" w:name="_Toc440983185"/>
      <w:r w:rsidRPr="002C2775">
        <w:t>Estimated PBS usage &amp; financial implications</w:t>
      </w:r>
      <w:bookmarkEnd w:id="15"/>
    </w:p>
    <w:p w:rsidR="00B60939" w:rsidRPr="00882085" w:rsidRDefault="00B60939" w:rsidP="00B60939">
      <w:pPr>
        <w:ind w:left="720" w:hanging="720"/>
        <w:rPr>
          <w:b/>
          <w:i/>
          <w:szCs w:val="22"/>
        </w:rPr>
      </w:pPr>
    </w:p>
    <w:p w:rsidR="0072416F" w:rsidRPr="00682FC3" w:rsidRDefault="009D4116" w:rsidP="008A55D3">
      <w:pPr>
        <w:pStyle w:val="ListParagraph"/>
        <w:widowControl/>
        <w:numPr>
          <w:ilvl w:val="1"/>
          <w:numId w:val="4"/>
        </w:numPr>
        <w:rPr>
          <w:szCs w:val="22"/>
        </w:rPr>
      </w:pPr>
      <w:r>
        <w:t xml:space="preserve">This submission </w:t>
      </w:r>
      <w:r w:rsidR="002608E9">
        <w:t>was not</w:t>
      </w:r>
      <w:r w:rsidR="00C25D9C">
        <w:t xml:space="preserve"> considered by DUSC</w:t>
      </w:r>
      <w:r>
        <w:t>. A market share approach was used. Medicare services data from 2014-2015 for overall use of vildagliptin, dapagliflozin, sitagliptin and saxagliptin were used to predict overall market growth</w:t>
      </w:r>
      <w:r w:rsidR="003F5ACB">
        <w:t xml:space="preserve"> in the absence of any triple therapy PBS listings for these agents. The 10% Medicare sample was used to determine the proportion of overall use by patients as triple oral therapy</w:t>
      </w:r>
      <w:r w:rsidR="005F2DEC">
        <w:t xml:space="preserve"> (use outside of PBS restrictions)</w:t>
      </w:r>
      <w:r w:rsidR="003F5ACB">
        <w:t>. The submission then projected utilisation estimates in scenarios where dapagliflozin, sitagliptin and saxagliptin had triple therapy PBS listings, and then where vildagliptin also had a triple therapy PBS listing. Incremental growth in vildagliptin scripts between the two scenarios was the basis for the submission’s financial estimates.</w:t>
      </w:r>
      <w:r w:rsidR="005F2DEC">
        <w:t xml:space="preserve"> Costs were calculated using weighted average </w:t>
      </w:r>
      <w:r w:rsidR="005F2DEC" w:rsidRPr="00682FC3">
        <w:t>DPMQs for the individual medicines and their fixed dose combinations. Costs were adjusted during the evaluation to account for the 5% statutory price reductions for vildagliptin and sitagliptin</w:t>
      </w:r>
      <w:r w:rsidR="002608E9" w:rsidRPr="00682FC3">
        <w:t xml:space="preserve"> on 1 April 2016</w:t>
      </w:r>
      <w:r w:rsidR="005F2DEC" w:rsidRPr="00682FC3">
        <w:t>.</w:t>
      </w:r>
    </w:p>
    <w:p w:rsidR="00C25D9C" w:rsidRDefault="00C25D9C" w:rsidP="00C25D9C">
      <w:pPr>
        <w:widowControl/>
        <w:rPr>
          <w:szCs w:val="22"/>
        </w:rPr>
      </w:pPr>
    </w:p>
    <w:p w:rsidR="00C25D9C" w:rsidRDefault="00C25D9C" w:rsidP="00BC6F88">
      <w:pPr>
        <w:keepNext/>
        <w:ind w:firstLine="709"/>
        <w:rPr>
          <w:rStyle w:val="CommentReference"/>
        </w:rPr>
      </w:pPr>
      <w:r w:rsidRPr="001222FC">
        <w:rPr>
          <w:rStyle w:val="CommentReference"/>
        </w:rPr>
        <w:lastRenderedPageBreak/>
        <w:t xml:space="preserve">Table </w:t>
      </w:r>
      <w:r w:rsidR="00035EF7">
        <w:rPr>
          <w:rStyle w:val="CommentReference"/>
        </w:rPr>
        <w:t>5</w:t>
      </w:r>
      <w:r w:rsidRPr="001222FC">
        <w:rPr>
          <w:rStyle w:val="CommentReference"/>
        </w:rPr>
        <w:t>: Estimated use and financial implications</w:t>
      </w:r>
    </w:p>
    <w:tbl>
      <w:tblPr>
        <w:tblW w:w="4672" w:type="pct"/>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37"/>
        <w:gridCol w:w="1130"/>
        <w:gridCol w:w="1129"/>
        <w:gridCol w:w="1132"/>
        <w:gridCol w:w="1129"/>
        <w:gridCol w:w="1130"/>
      </w:tblGrid>
      <w:tr w:rsidR="00DF52AB" w:rsidRPr="004E2ADC" w:rsidTr="008C3687">
        <w:tc>
          <w:tcPr>
            <w:tcW w:w="1671" w:type="pct"/>
            <w:vAlign w:val="center"/>
          </w:tcPr>
          <w:p w:rsidR="00DF52AB" w:rsidRPr="00706DA9" w:rsidRDefault="00DF52AB" w:rsidP="00BC6F88">
            <w:pPr>
              <w:keepNext/>
              <w:jc w:val="left"/>
              <w:rPr>
                <w:rFonts w:ascii="Arial Narrow" w:hAnsi="Arial Narrow"/>
                <w:b/>
                <w:sz w:val="20"/>
              </w:rPr>
            </w:pPr>
          </w:p>
        </w:tc>
        <w:tc>
          <w:tcPr>
            <w:tcW w:w="666" w:type="pct"/>
            <w:vAlign w:val="center"/>
          </w:tcPr>
          <w:p w:rsidR="00DF52AB" w:rsidRPr="00706DA9" w:rsidRDefault="00DF52AB" w:rsidP="00BC6F88">
            <w:pPr>
              <w:keepNext/>
              <w:jc w:val="center"/>
              <w:rPr>
                <w:rFonts w:ascii="Arial Narrow" w:hAnsi="Arial Narrow"/>
                <w:b/>
                <w:sz w:val="20"/>
              </w:rPr>
            </w:pPr>
            <w:r w:rsidRPr="00706DA9">
              <w:rPr>
                <w:rFonts w:ascii="Arial Narrow" w:hAnsi="Arial Narrow"/>
                <w:b/>
                <w:sz w:val="20"/>
              </w:rPr>
              <w:t>Year 1</w:t>
            </w:r>
          </w:p>
        </w:tc>
        <w:tc>
          <w:tcPr>
            <w:tcW w:w="665" w:type="pct"/>
            <w:vAlign w:val="center"/>
          </w:tcPr>
          <w:p w:rsidR="00DF52AB" w:rsidRPr="00706DA9" w:rsidRDefault="00DF52AB" w:rsidP="00BC6F88">
            <w:pPr>
              <w:keepNext/>
              <w:jc w:val="center"/>
              <w:rPr>
                <w:rFonts w:ascii="Arial Narrow" w:hAnsi="Arial Narrow"/>
                <w:b/>
                <w:sz w:val="20"/>
              </w:rPr>
            </w:pPr>
            <w:r w:rsidRPr="00706DA9">
              <w:rPr>
                <w:rFonts w:ascii="Arial Narrow" w:hAnsi="Arial Narrow"/>
                <w:b/>
                <w:sz w:val="20"/>
              </w:rPr>
              <w:t>Year 2</w:t>
            </w:r>
          </w:p>
        </w:tc>
        <w:tc>
          <w:tcPr>
            <w:tcW w:w="667" w:type="pct"/>
            <w:vAlign w:val="center"/>
          </w:tcPr>
          <w:p w:rsidR="00DF52AB" w:rsidRPr="00706DA9" w:rsidRDefault="00DF52AB" w:rsidP="00BC6F88">
            <w:pPr>
              <w:keepNext/>
              <w:jc w:val="center"/>
              <w:rPr>
                <w:rFonts w:ascii="Arial Narrow" w:hAnsi="Arial Narrow"/>
                <w:b/>
                <w:sz w:val="20"/>
              </w:rPr>
            </w:pPr>
            <w:r w:rsidRPr="00706DA9">
              <w:rPr>
                <w:rFonts w:ascii="Arial Narrow" w:hAnsi="Arial Narrow"/>
                <w:b/>
                <w:sz w:val="20"/>
              </w:rPr>
              <w:t>Year 3</w:t>
            </w:r>
          </w:p>
        </w:tc>
        <w:tc>
          <w:tcPr>
            <w:tcW w:w="665" w:type="pct"/>
            <w:vAlign w:val="center"/>
          </w:tcPr>
          <w:p w:rsidR="00DF52AB" w:rsidRPr="00706DA9" w:rsidRDefault="00DF52AB" w:rsidP="00BC6F88">
            <w:pPr>
              <w:keepNext/>
              <w:jc w:val="center"/>
              <w:rPr>
                <w:rFonts w:ascii="Arial Narrow" w:hAnsi="Arial Narrow"/>
                <w:b/>
                <w:sz w:val="20"/>
              </w:rPr>
            </w:pPr>
            <w:r w:rsidRPr="00706DA9">
              <w:rPr>
                <w:rFonts w:ascii="Arial Narrow" w:hAnsi="Arial Narrow"/>
                <w:b/>
                <w:sz w:val="20"/>
              </w:rPr>
              <w:t>Year 4</w:t>
            </w:r>
          </w:p>
        </w:tc>
        <w:tc>
          <w:tcPr>
            <w:tcW w:w="667" w:type="pct"/>
            <w:vAlign w:val="center"/>
          </w:tcPr>
          <w:p w:rsidR="00DF52AB" w:rsidRPr="00706DA9" w:rsidRDefault="00DF52AB" w:rsidP="00BC6F88">
            <w:pPr>
              <w:keepNext/>
              <w:jc w:val="center"/>
              <w:rPr>
                <w:rFonts w:ascii="Arial Narrow" w:hAnsi="Arial Narrow"/>
                <w:b/>
                <w:sz w:val="20"/>
              </w:rPr>
            </w:pPr>
            <w:r w:rsidRPr="00706DA9">
              <w:rPr>
                <w:rFonts w:ascii="Arial Narrow" w:hAnsi="Arial Narrow"/>
                <w:b/>
                <w:sz w:val="20"/>
              </w:rPr>
              <w:t>Year 5</w:t>
            </w:r>
          </w:p>
        </w:tc>
      </w:tr>
      <w:tr w:rsidR="00DF52AB" w:rsidRPr="004E2ADC" w:rsidTr="008C3687">
        <w:tc>
          <w:tcPr>
            <w:tcW w:w="5000" w:type="pct"/>
            <w:gridSpan w:val="6"/>
            <w:vAlign w:val="center"/>
          </w:tcPr>
          <w:p w:rsidR="00DF52AB" w:rsidRPr="00615C7B" w:rsidRDefault="00DF52AB" w:rsidP="00BC6F88">
            <w:pPr>
              <w:keepNext/>
              <w:jc w:val="left"/>
              <w:rPr>
                <w:rFonts w:ascii="Arial Narrow" w:hAnsi="Arial Narrow"/>
                <w:b/>
                <w:sz w:val="20"/>
              </w:rPr>
            </w:pPr>
            <w:r w:rsidRPr="00615C7B">
              <w:rPr>
                <w:rFonts w:ascii="Arial Narrow" w:hAnsi="Arial Narrow"/>
                <w:b/>
                <w:sz w:val="20"/>
              </w:rPr>
              <w:t>Overall</w:t>
            </w:r>
            <w:r>
              <w:rPr>
                <w:rFonts w:ascii="Arial Narrow" w:hAnsi="Arial Narrow"/>
                <w:b/>
                <w:sz w:val="20"/>
              </w:rPr>
              <w:t xml:space="preserve"> vildagliptin, dapagliflozin, sitagliptin and saxagliptin</w:t>
            </w:r>
            <w:r w:rsidRPr="00615C7B">
              <w:rPr>
                <w:rFonts w:ascii="Arial Narrow" w:hAnsi="Arial Narrow"/>
                <w:b/>
                <w:sz w:val="20"/>
              </w:rPr>
              <w:t xml:space="preserve"> market in absence of triple therapy listings</w:t>
            </w:r>
          </w:p>
        </w:tc>
      </w:tr>
      <w:tr w:rsidR="00DF52AB" w:rsidRPr="004E2ADC" w:rsidTr="008C3687">
        <w:tc>
          <w:tcPr>
            <w:tcW w:w="1671" w:type="pct"/>
            <w:vAlign w:val="center"/>
          </w:tcPr>
          <w:p w:rsidR="00DF52AB" w:rsidRPr="00DF52AB" w:rsidRDefault="00DF52AB" w:rsidP="00BC6F88">
            <w:pPr>
              <w:keepNext/>
              <w:jc w:val="left"/>
              <w:rPr>
                <w:rFonts w:ascii="Arial Narrow" w:hAnsi="Arial Narrow"/>
                <w:color w:val="000000"/>
                <w:sz w:val="20"/>
                <w:vertAlign w:val="superscript"/>
              </w:rPr>
            </w:pPr>
            <w:r>
              <w:rPr>
                <w:rFonts w:ascii="Arial Narrow" w:hAnsi="Arial Narrow"/>
                <w:color w:val="000000"/>
                <w:sz w:val="20"/>
              </w:rPr>
              <w:t xml:space="preserve">Total scripts </w:t>
            </w:r>
            <w:r w:rsidR="002608E9">
              <w:rPr>
                <w:rFonts w:ascii="Arial Narrow" w:hAnsi="Arial Narrow"/>
                <w:color w:val="000000"/>
                <w:sz w:val="20"/>
                <w:vertAlign w:val="superscript"/>
              </w:rPr>
              <w:t>a</w:t>
            </w:r>
          </w:p>
        </w:tc>
        <w:tc>
          <w:tcPr>
            <w:tcW w:w="666"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r>
      <w:tr w:rsidR="00DF52AB" w:rsidRPr="004E2ADC" w:rsidTr="008C3687">
        <w:tc>
          <w:tcPr>
            <w:tcW w:w="1671" w:type="pct"/>
            <w:vAlign w:val="center"/>
          </w:tcPr>
          <w:p w:rsidR="00DF52AB" w:rsidRPr="002608E9" w:rsidRDefault="00DF52AB" w:rsidP="00BC6F88">
            <w:pPr>
              <w:keepNext/>
              <w:jc w:val="left"/>
              <w:rPr>
                <w:rFonts w:ascii="Arial Narrow" w:hAnsi="Arial Narrow"/>
                <w:color w:val="000000"/>
                <w:sz w:val="20"/>
              </w:rPr>
            </w:pPr>
            <w:r>
              <w:rPr>
                <w:rFonts w:ascii="Arial Narrow" w:hAnsi="Arial Narrow"/>
                <w:color w:val="000000"/>
                <w:sz w:val="20"/>
              </w:rPr>
              <w:t>Total patients</w:t>
            </w:r>
            <w:r w:rsidR="002608E9">
              <w:rPr>
                <w:rFonts w:ascii="Arial Narrow" w:hAnsi="Arial Narrow"/>
                <w:color w:val="000000"/>
                <w:sz w:val="20"/>
              </w:rPr>
              <w:t xml:space="preserve"> </w:t>
            </w:r>
            <w:r w:rsidR="002608E9">
              <w:rPr>
                <w:rFonts w:ascii="Arial Narrow" w:hAnsi="Arial Narrow"/>
                <w:color w:val="000000"/>
                <w:sz w:val="20"/>
                <w:vertAlign w:val="superscript"/>
              </w:rPr>
              <w:t>b</w:t>
            </w:r>
          </w:p>
        </w:tc>
        <w:tc>
          <w:tcPr>
            <w:tcW w:w="666"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r>
      <w:tr w:rsidR="00DF52AB" w:rsidRPr="004E2ADC" w:rsidTr="008C3687">
        <w:tc>
          <w:tcPr>
            <w:tcW w:w="1671" w:type="pct"/>
            <w:vAlign w:val="center"/>
          </w:tcPr>
          <w:p w:rsidR="00DF52AB" w:rsidRDefault="00DF52AB" w:rsidP="00BC6F88">
            <w:pPr>
              <w:keepNext/>
              <w:jc w:val="left"/>
              <w:rPr>
                <w:rFonts w:ascii="Arial Narrow" w:hAnsi="Arial Narrow"/>
                <w:color w:val="000000"/>
                <w:sz w:val="20"/>
              </w:rPr>
            </w:pPr>
            <w:r>
              <w:rPr>
                <w:rFonts w:ascii="Arial Narrow" w:hAnsi="Arial Narrow"/>
                <w:color w:val="000000"/>
                <w:sz w:val="20"/>
              </w:rPr>
              <w:t>Triple therapy patients (20% of total)</w:t>
            </w:r>
          </w:p>
        </w:tc>
        <w:tc>
          <w:tcPr>
            <w:tcW w:w="666"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r>
      <w:tr w:rsidR="00DF52AB" w:rsidRPr="004E2ADC" w:rsidTr="008C3687">
        <w:tc>
          <w:tcPr>
            <w:tcW w:w="1671" w:type="pct"/>
            <w:vAlign w:val="center"/>
          </w:tcPr>
          <w:p w:rsidR="00DF52AB" w:rsidRPr="00E925A8" w:rsidRDefault="00DF52AB" w:rsidP="00BC6F88">
            <w:pPr>
              <w:pStyle w:val="ListParagraph"/>
              <w:keepNext/>
              <w:numPr>
                <w:ilvl w:val="0"/>
                <w:numId w:val="9"/>
              </w:numPr>
              <w:jc w:val="left"/>
              <w:rPr>
                <w:rFonts w:ascii="Arial Narrow" w:hAnsi="Arial Narrow"/>
                <w:color w:val="000000"/>
                <w:sz w:val="20"/>
              </w:rPr>
            </w:pPr>
            <w:r>
              <w:rPr>
                <w:rFonts w:ascii="Arial Narrow" w:hAnsi="Arial Narrow"/>
                <w:color w:val="000000"/>
                <w:sz w:val="20"/>
              </w:rPr>
              <w:t>Vildagliptin</w:t>
            </w:r>
          </w:p>
        </w:tc>
        <w:tc>
          <w:tcPr>
            <w:tcW w:w="666"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r>
      <w:tr w:rsidR="00DF52AB" w:rsidRPr="004E2ADC" w:rsidTr="008C3687">
        <w:tc>
          <w:tcPr>
            <w:tcW w:w="1671" w:type="pct"/>
            <w:vAlign w:val="center"/>
          </w:tcPr>
          <w:p w:rsidR="00DF52AB" w:rsidRPr="00E925A8" w:rsidRDefault="00DF52AB" w:rsidP="00BC6F88">
            <w:pPr>
              <w:pStyle w:val="ListParagraph"/>
              <w:keepNext/>
              <w:numPr>
                <w:ilvl w:val="0"/>
                <w:numId w:val="9"/>
              </w:numPr>
              <w:jc w:val="left"/>
              <w:rPr>
                <w:rFonts w:ascii="Arial Narrow" w:hAnsi="Arial Narrow"/>
                <w:color w:val="000000"/>
                <w:sz w:val="20"/>
              </w:rPr>
            </w:pPr>
            <w:r>
              <w:rPr>
                <w:rFonts w:ascii="Arial Narrow" w:hAnsi="Arial Narrow"/>
                <w:color w:val="000000"/>
                <w:sz w:val="20"/>
              </w:rPr>
              <w:t>Comparators</w:t>
            </w:r>
          </w:p>
        </w:tc>
        <w:tc>
          <w:tcPr>
            <w:tcW w:w="666"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r>
      <w:tr w:rsidR="00DF52AB" w:rsidRPr="004E2ADC" w:rsidTr="008C3687">
        <w:tc>
          <w:tcPr>
            <w:tcW w:w="1671" w:type="pct"/>
            <w:vAlign w:val="center"/>
          </w:tcPr>
          <w:p w:rsidR="00DF52AB" w:rsidRDefault="00DF52AB" w:rsidP="00BC6F88">
            <w:pPr>
              <w:keepNext/>
              <w:jc w:val="left"/>
              <w:rPr>
                <w:rFonts w:ascii="Arial Narrow" w:hAnsi="Arial Narrow"/>
                <w:color w:val="000000"/>
                <w:sz w:val="20"/>
              </w:rPr>
            </w:pPr>
            <w:r>
              <w:rPr>
                <w:rFonts w:ascii="Arial Narrow" w:hAnsi="Arial Narrow"/>
                <w:color w:val="000000"/>
                <w:sz w:val="20"/>
              </w:rPr>
              <w:t>Non-triple therapy patients</w:t>
            </w:r>
          </w:p>
        </w:tc>
        <w:tc>
          <w:tcPr>
            <w:tcW w:w="666"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r>
      <w:tr w:rsidR="00DF52AB" w:rsidRPr="004E2ADC" w:rsidTr="008C3687">
        <w:tc>
          <w:tcPr>
            <w:tcW w:w="5000" w:type="pct"/>
            <w:gridSpan w:val="6"/>
            <w:vAlign w:val="center"/>
          </w:tcPr>
          <w:p w:rsidR="00DF52AB" w:rsidRPr="00706DA9" w:rsidRDefault="00DF52AB" w:rsidP="00BC6F88">
            <w:pPr>
              <w:keepNext/>
              <w:jc w:val="left"/>
              <w:rPr>
                <w:rFonts w:ascii="Arial Narrow" w:hAnsi="Arial Narrow"/>
                <w:color w:val="000000"/>
                <w:sz w:val="20"/>
              </w:rPr>
            </w:pPr>
            <w:r>
              <w:rPr>
                <w:rFonts w:ascii="Arial Narrow" w:hAnsi="Arial Narrow"/>
                <w:b/>
                <w:sz w:val="20"/>
              </w:rPr>
              <w:t>Market with</w:t>
            </w:r>
            <w:r w:rsidRPr="00615C7B">
              <w:rPr>
                <w:rFonts w:ascii="Arial Narrow" w:hAnsi="Arial Narrow"/>
                <w:b/>
                <w:sz w:val="20"/>
              </w:rPr>
              <w:t xml:space="preserve"> triple therapy listings</w:t>
            </w:r>
            <w:r>
              <w:rPr>
                <w:rFonts w:ascii="Arial Narrow" w:hAnsi="Arial Narrow"/>
                <w:b/>
                <w:sz w:val="20"/>
              </w:rPr>
              <w:t xml:space="preserve"> for dapagliflozin, sitagliptin and saxagliptin (but not vildagliptin)</w:t>
            </w:r>
          </w:p>
        </w:tc>
      </w:tr>
      <w:tr w:rsidR="00DF52AB" w:rsidRPr="004E2ADC" w:rsidTr="008C3687">
        <w:tc>
          <w:tcPr>
            <w:tcW w:w="1671" w:type="pct"/>
            <w:vAlign w:val="center"/>
          </w:tcPr>
          <w:p w:rsidR="00DF52AB" w:rsidRPr="00706DA9" w:rsidRDefault="00DF52AB" w:rsidP="00BC6F88">
            <w:pPr>
              <w:keepNext/>
              <w:jc w:val="left"/>
              <w:rPr>
                <w:rFonts w:ascii="Arial Narrow" w:hAnsi="Arial Narrow"/>
                <w:color w:val="000000"/>
                <w:sz w:val="20"/>
              </w:rPr>
            </w:pPr>
            <w:r>
              <w:rPr>
                <w:rFonts w:ascii="Arial Narrow" w:hAnsi="Arial Narrow"/>
                <w:color w:val="000000"/>
                <w:sz w:val="20"/>
              </w:rPr>
              <w:t>New patients switching from other therapies (% of all patients)</w:t>
            </w:r>
          </w:p>
        </w:tc>
        <w:tc>
          <w:tcPr>
            <w:tcW w:w="666" w:type="pct"/>
            <w:vAlign w:val="center"/>
          </w:tcPr>
          <w:p w:rsidR="00DF52AB" w:rsidRDefault="00DF52AB" w:rsidP="00BC6F88">
            <w:pPr>
              <w:keepNext/>
              <w:jc w:val="center"/>
              <w:rPr>
                <w:rFonts w:ascii="Arial Narrow" w:hAnsi="Arial Narrow"/>
                <w:color w:val="000000"/>
                <w:sz w:val="20"/>
              </w:rPr>
            </w:pPr>
            <w:r>
              <w:rPr>
                <w:rFonts w:ascii="Arial Narrow" w:hAnsi="Arial Narrow"/>
                <w:color w:val="000000"/>
                <w:sz w:val="20"/>
              </w:rPr>
              <w:t>3%</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vAlign w:val="center"/>
          </w:tcPr>
          <w:p w:rsidR="00DF52AB" w:rsidRDefault="00DF52AB" w:rsidP="00BC6F88">
            <w:pPr>
              <w:keepNext/>
              <w:jc w:val="center"/>
              <w:rPr>
                <w:rFonts w:ascii="Arial Narrow" w:hAnsi="Arial Narrow"/>
                <w:color w:val="000000"/>
                <w:sz w:val="20"/>
              </w:rPr>
            </w:pPr>
            <w:r>
              <w:rPr>
                <w:rFonts w:ascii="Arial Narrow" w:hAnsi="Arial Narrow"/>
                <w:color w:val="000000"/>
                <w:sz w:val="20"/>
              </w:rPr>
              <w:t>4%</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vAlign w:val="center"/>
          </w:tcPr>
          <w:p w:rsidR="00DF52AB" w:rsidRDefault="00DF52AB" w:rsidP="00BC6F88">
            <w:pPr>
              <w:keepNext/>
              <w:jc w:val="center"/>
              <w:rPr>
                <w:rFonts w:ascii="Arial Narrow" w:hAnsi="Arial Narrow"/>
                <w:color w:val="000000"/>
                <w:sz w:val="20"/>
              </w:rPr>
            </w:pPr>
            <w:r>
              <w:rPr>
                <w:rFonts w:ascii="Arial Narrow" w:hAnsi="Arial Narrow"/>
                <w:color w:val="000000"/>
                <w:sz w:val="20"/>
              </w:rPr>
              <w:t>5%</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vAlign w:val="center"/>
          </w:tcPr>
          <w:p w:rsidR="00DF52AB" w:rsidRDefault="00DF52AB" w:rsidP="00BC6F88">
            <w:pPr>
              <w:keepNext/>
              <w:jc w:val="center"/>
              <w:rPr>
                <w:rFonts w:ascii="Arial Narrow" w:hAnsi="Arial Narrow"/>
                <w:color w:val="000000"/>
                <w:sz w:val="20"/>
              </w:rPr>
            </w:pPr>
            <w:r>
              <w:rPr>
                <w:rFonts w:ascii="Arial Narrow" w:hAnsi="Arial Narrow"/>
                <w:color w:val="000000"/>
                <w:sz w:val="20"/>
              </w:rPr>
              <w:t>6%</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vAlign w:val="center"/>
          </w:tcPr>
          <w:p w:rsidR="00DF52AB" w:rsidRDefault="00DF52AB" w:rsidP="00BC6F88">
            <w:pPr>
              <w:keepNext/>
              <w:jc w:val="center"/>
              <w:rPr>
                <w:rFonts w:ascii="Arial Narrow" w:hAnsi="Arial Narrow"/>
                <w:color w:val="000000"/>
                <w:sz w:val="20"/>
              </w:rPr>
            </w:pPr>
            <w:r>
              <w:rPr>
                <w:rFonts w:ascii="Arial Narrow" w:hAnsi="Arial Narrow"/>
                <w:color w:val="000000"/>
                <w:sz w:val="20"/>
              </w:rPr>
              <w:t>7%</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r>
      <w:tr w:rsidR="00DF52AB" w:rsidRPr="004E2ADC" w:rsidTr="008C3687">
        <w:tc>
          <w:tcPr>
            <w:tcW w:w="1671" w:type="pct"/>
            <w:vAlign w:val="center"/>
          </w:tcPr>
          <w:p w:rsidR="00DF52AB" w:rsidRPr="00706DA9" w:rsidRDefault="00DF52AB" w:rsidP="00BC6F88">
            <w:pPr>
              <w:keepNext/>
              <w:jc w:val="left"/>
              <w:rPr>
                <w:rFonts w:ascii="Arial Narrow" w:hAnsi="Arial Narrow"/>
                <w:color w:val="000000"/>
                <w:sz w:val="20"/>
              </w:rPr>
            </w:pPr>
            <w:r>
              <w:rPr>
                <w:rFonts w:ascii="Arial Narrow" w:hAnsi="Arial Narrow"/>
                <w:color w:val="000000"/>
                <w:sz w:val="20"/>
              </w:rPr>
              <w:t>New patients ‘upgrading’ from dual oral therapy (% non-triple therapy)</w:t>
            </w:r>
          </w:p>
        </w:tc>
        <w:tc>
          <w:tcPr>
            <w:tcW w:w="666" w:type="pct"/>
            <w:vAlign w:val="center"/>
          </w:tcPr>
          <w:p w:rsidR="00DF52AB" w:rsidRDefault="00DF52AB" w:rsidP="00BC6F88">
            <w:pPr>
              <w:keepNext/>
              <w:jc w:val="center"/>
              <w:rPr>
                <w:rFonts w:ascii="Arial Narrow" w:hAnsi="Arial Narrow"/>
                <w:color w:val="000000"/>
                <w:sz w:val="20"/>
              </w:rPr>
            </w:pPr>
            <w:r>
              <w:rPr>
                <w:rFonts w:ascii="Arial Narrow" w:hAnsi="Arial Narrow"/>
                <w:color w:val="000000"/>
                <w:sz w:val="20"/>
              </w:rPr>
              <w:t>6%</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vAlign w:val="center"/>
          </w:tcPr>
          <w:p w:rsidR="00DF52AB" w:rsidRDefault="00DF52AB" w:rsidP="00BC6F88">
            <w:pPr>
              <w:keepNext/>
              <w:jc w:val="center"/>
              <w:rPr>
                <w:rFonts w:ascii="Arial Narrow" w:hAnsi="Arial Narrow"/>
                <w:color w:val="000000"/>
                <w:sz w:val="20"/>
              </w:rPr>
            </w:pPr>
            <w:r>
              <w:rPr>
                <w:rFonts w:ascii="Arial Narrow" w:hAnsi="Arial Narrow"/>
                <w:color w:val="000000"/>
                <w:sz w:val="20"/>
              </w:rPr>
              <w:t>7%</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vAlign w:val="center"/>
          </w:tcPr>
          <w:p w:rsidR="00DF52AB" w:rsidRDefault="00DF52AB" w:rsidP="00BC6F88">
            <w:pPr>
              <w:keepNext/>
              <w:jc w:val="center"/>
              <w:rPr>
                <w:rFonts w:ascii="Arial Narrow" w:hAnsi="Arial Narrow"/>
                <w:color w:val="000000"/>
                <w:sz w:val="20"/>
              </w:rPr>
            </w:pPr>
            <w:r>
              <w:rPr>
                <w:rFonts w:ascii="Arial Narrow" w:hAnsi="Arial Narrow"/>
                <w:color w:val="000000"/>
                <w:sz w:val="20"/>
              </w:rPr>
              <w:t>8%</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vAlign w:val="center"/>
          </w:tcPr>
          <w:p w:rsidR="00DF52AB" w:rsidRDefault="00DF52AB" w:rsidP="00BC6F88">
            <w:pPr>
              <w:keepNext/>
              <w:jc w:val="center"/>
              <w:rPr>
                <w:rFonts w:ascii="Arial Narrow" w:hAnsi="Arial Narrow"/>
                <w:color w:val="000000"/>
                <w:sz w:val="20"/>
              </w:rPr>
            </w:pPr>
            <w:r>
              <w:rPr>
                <w:rFonts w:ascii="Arial Narrow" w:hAnsi="Arial Narrow"/>
                <w:color w:val="000000"/>
                <w:sz w:val="20"/>
              </w:rPr>
              <w:t>9%</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vAlign w:val="center"/>
          </w:tcPr>
          <w:p w:rsidR="00DF52AB" w:rsidRDefault="00DF52AB" w:rsidP="00BC6F88">
            <w:pPr>
              <w:keepNext/>
              <w:jc w:val="center"/>
              <w:rPr>
                <w:rFonts w:ascii="Arial Narrow" w:hAnsi="Arial Narrow"/>
                <w:color w:val="000000"/>
                <w:sz w:val="20"/>
              </w:rPr>
            </w:pPr>
            <w:r>
              <w:rPr>
                <w:rFonts w:ascii="Arial Narrow" w:hAnsi="Arial Narrow"/>
                <w:color w:val="000000"/>
                <w:sz w:val="20"/>
              </w:rPr>
              <w:t>10%</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r>
      <w:tr w:rsidR="00DF52AB" w:rsidRPr="004E2ADC" w:rsidTr="008C3687">
        <w:tc>
          <w:tcPr>
            <w:tcW w:w="1671" w:type="pct"/>
            <w:vAlign w:val="center"/>
          </w:tcPr>
          <w:p w:rsidR="00DF52AB" w:rsidRPr="00706DA9" w:rsidRDefault="00DF52AB" w:rsidP="00BC6F88">
            <w:pPr>
              <w:keepNext/>
              <w:jc w:val="left"/>
              <w:rPr>
                <w:rFonts w:ascii="Arial Narrow" w:hAnsi="Arial Narrow"/>
                <w:color w:val="000000"/>
                <w:sz w:val="20"/>
              </w:rPr>
            </w:pPr>
            <w:r>
              <w:rPr>
                <w:rFonts w:ascii="Arial Narrow" w:hAnsi="Arial Narrow"/>
                <w:color w:val="000000"/>
                <w:sz w:val="20"/>
              </w:rPr>
              <w:t>Total triple therapy patients (new plus existing)</w:t>
            </w:r>
          </w:p>
        </w:tc>
        <w:tc>
          <w:tcPr>
            <w:tcW w:w="666" w:type="pct"/>
            <w:vAlign w:val="center"/>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r>
      <w:tr w:rsidR="00DF52AB" w:rsidRPr="004E2ADC" w:rsidTr="008C3687">
        <w:tc>
          <w:tcPr>
            <w:tcW w:w="1671" w:type="pct"/>
            <w:vAlign w:val="center"/>
          </w:tcPr>
          <w:p w:rsidR="00DF52AB" w:rsidRPr="00E925A8" w:rsidRDefault="00DF52AB" w:rsidP="00BC6F88">
            <w:pPr>
              <w:pStyle w:val="ListParagraph"/>
              <w:keepNext/>
              <w:numPr>
                <w:ilvl w:val="0"/>
                <w:numId w:val="9"/>
              </w:numPr>
              <w:jc w:val="left"/>
              <w:rPr>
                <w:rFonts w:ascii="Arial Narrow" w:hAnsi="Arial Narrow"/>
                <w:sz w:val="20"/>
              </w:rPr>
            </w:pPr>
            <w:r w:rsidRPr="00E925A8">
              <w:rPr>
                <w:rFonts w:ascii="Arial Narrow" w:hAnsi="Arial Narrow"/>
                <w:sz w:val="20"/>
              </w:rPr>
              <w:t>Vildagliptin</w:t>
            </w:r>
            <w:r>
              <w:rPr>
                <w:rFonts w:ascii="Arial Narrow" w:hAnsi="Arial Narrow"/>
                <w:sz w:val="20"/>
              </w:rPr>
              <w:t xml:space="preserve"> (% of total vildagliptin patients)</w:t>
            </w:r>
          </w:p>
        </w:tc>
        <w:tc>
          <w:tcPr>
            <w:tcW w:w="666" w:type="pct"/>
            <w:vAlign w:val="center"/>
          </w:tcPr>
          <w:p w:rsidR="00DF52AB" w:rsidRPr="00E925A8" w:rsidRDefault="00DF52AB" w:rsidP="00BC6F88">
            <w:pPr>
              <w:keepNext/>
              <w:jc w:val="center"/>
              <w:rPr>
                <w:rFonts w:ascii="Arial Narrow" w:hAnsi="Arial Narrow"/>
                <w:color w:val="000000"/>
                <w:sz w:val="20"/>
              </w:rPr>
            </w:pPr>
            <w:r w:rsidRPr="00E925A8">
              <w:rPr>
                <w:rFonts w:ascii="Arial Narrow" w:hAnsi="Arial Narrow"/>
                <w:color w:val="000000"/>
                <w:sz w:val="20"/>
              </w:rPr>
              <w:t>16%</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vAlign w:val="center"/>
          </w:tcPr>
          <w:p w:rsidR="00DF52AB" w:rsidRPr="00E925A8" w:rsidRDefault="00DF52AB" w:rsidP="00BC6F88">
            <w:pPr>
              <w:keepNext/>
              <w:jc w:val="center"/>
              <w:rPr>
                <w:rFonts w:ascii="Arial Narrow" w:hAnsi="Arial Narrow"/>
                <w:color w:val="000000"/>
                <w:sz w:val="20"/>
              </w:rPr>
            </w:pPr>
            <w:r w:rsidRPr="00E925A8">
              <w:rPr>
                <w:rFonts w:ascii="Arial Narrow" w:hAnsi="Arial Narrow"/>
                <w:color w:val="000000"/>
                <w:sz w:val="20"/>
              </w:rPr>
              <w:t>15%</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vAlign w:val="center"/>
          </w:tcPr>
          <w:p w:rsidR="00DF52AB" w:rsidRPr="00E925A8" w:rsidRDefault="00DF52AB" w:rsidP="00BC6F88">
            <w:pPr>
              <w:keepNext/>
              <w:jc w:val="center"/>
              <w:rPr>
                <w:rFonts w:ascii="Arial Narrow" w:hAnsi="Arial Narrow"/>
                <w:color w:val="000000"/>
                <w:sz w:val="20"/>
              </w:rPr>
            </w:pPr>
            <w:r w:rsidRPr="00E925A8">
              <w:rPr>
                <w:rFonts w:ascii="Arial Narrow" w:hAnsi="Arial Narrow"/>
                <w:color w:val="000000"/>
                <w:sz w:val="20"/>
              </w:rPr>
              <w:t>14%</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vAlign w:val="center"/>
          </w:tcPr>
          <w:p w:rsidR="00DF52AB" w:rsidRPr="00E925A8" w:rsidRDefault="00DF52AB" w:rsidP="00BC6F88">
            <w:pPr>
              <w:keepNext/>
              <w:jc w:val="center"/>
              <w:rPr>
                <w:rFonts w:ascii="Arial Narrow" w:hAnsi="Arial Narrow"/>
                <w:color w:val="000000"/>
                <w:sz w:val="20"/>
              </w:rPr>
            </w:pPr>
            <w:r w:rsidRPr="00E925A8">
              <w:rPr>
                <w:rFonts w:ascii="Arial Narrow" w:hAnsi="Arial Narrow"/>
                <w:color w:val="000000"/>
                <w:sz w:val="20"/>
              </w:rPr>
              <w:t>13%</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vAlign w:val="center"/>
          </w:tcPr>
          <w:p w:rsidR="00DF52AB" w:rsidRPr="00E925A8" w:rsidRDefault="00DF52AB" w:rsidP="00BC6F88">
            <w:pPr>
              <w:keepNext/>
              <w:jc w:val="center"/>
              <w:rPr>
                <w:rFonts w:ascii="Arial Narrow" w:hAnsi="Arial Narrow"/>
                <w:color w:val="000000"/>
                <w:sz w:val="20"/>
              </w:rPr>
            </w:pPr>
            <w:r w:rsidRPr="00E925A8">
              <w:rPr>
                <w:rFonts w:ascii="Arial Narrow" w:hAnsi="Arial Narrow"/>
                <w:color w:val="000000"/>
                <w:sz w:val="20"/>
              </w:rPr>
              <w:t>12%</w:t>
            </w:r>
          </w:p>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r>
      <w:tr w:rsidR="00DF52AB" w:rsidRPr="004E2ADC" w:rsidTr="008C3687">
        <w:tc>
          <w:tcPr>
            <w:tcW w:w="1671" w:type="pct"/>
            <w:vAlign w:val="center"/>
          </w:tcPr>
          <w:p w:rsidR="00DF52AB" w:rsidRPr="00E925A8" w:rsidRDefault="00DF52AB" w:rsidP="00BC6F88">
            <w:pPr>
              <w:pStyle w:val="ListParagraph"/>
              <w:keepNext/>
              <w:numPr>
                <w:ilvl w:val="0"/>
                <w:numId w:val="9"/>
              </w:numPr>
              <w:jc w:val="left"/>
              <w:rPr>
                <w:rFonts w:ascii="Arial Narrow" w:hAnsi="Arial Narrow"/>
                <w:sz w:val="20"/>
              </w:rPr>
            </w:pPr>
            <w:r w:rsidRPr="00E925A8">
              <w:rPr>
                <w:rFonts w:ascii="Arial Narrow" w:hAnsi="Arial Narrow"/>
                <w:sz w:val="20"/>
              </w:rPr>
              <w:t>Comparators</w:t>
            </w:r>
            <w:r>
              <w:rPr>
                <w:rFonts w:ascii="Arial Narrow" w:hAnsi="Arial Narrow"/>
                <w:sz w:val="20"/>
              </w:rPr>
              <w:t xml:space="preserve"> (patients)</w:t>
            </w:r>
          </w:p>
        </w:tc>
        <w:tc>
          <w:tcPr>
            <w:tcW w:w="666" w:type="pct"/>
            <w:vAlign w:val="center"/>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r>
      <w:tr w:rsidR="00DF52AB" w:rsidRPr="004E2ADC" w:rsidTr="008C3687">
        <w:tc>
          <w:tcPr>
            <w:tcW w:w="5000" w:type="pct"/>
            <w:gridSpan w:val="6"/>
            <w:vAlign w:val="center"/>
          </w:tcPr>
          <w:p w:rsidR="00DF52AB" w:rsidRPr="00706DA9" w:rsidRDefault="00DF52AB" w:rsidP="00BC6F88">
            <w:pPr>
              <w:keepNext/>
              <w:jc w:val="left"/>
              <w:rPr>
                <w:rFonts w:ascii="Arial Narrow" w:hAnsi="Arial Narrow"/>
                <w:sz w:val="20"/>
              </w:rPr>
            </w:pPr>
            <w:r>
              <w:rPr>
                <w:rFonts w:ascii="Arial Narrow" w:hAnsi="Arial Narrow"/>
                <w:b/>
                <w:sz w:val="20"/>
              </w:rPr>
              <w:t>Market with</w:t>
            </w:r>
            <w:r w:rsidRPr="00615C7B">
              <w:rPr>
                <w:rFonts w:ascii="Arial Narrow" w:hAnsi="Arial Narrow"/>
                <w:b/>
                <w:sz w:val="20"/>
              </w:rPr>
              <w:t xml:space="preserve"> triple therapy listings</w:t>
            </w:r>
            <w:r>
              <w:rPr>
                <w:rFonts w:ascii="Arial Narrow" w:hAnsi="Arial Narrow"/>
                <w:b/>
                <w:sz w:val="20"/>
              </w:rPr>
              <w:t xml:space="preserve"> for dapagliflozin, sitagliptin and saxagliptin AND vildagliptin</w:t>
            </w:r>
          </w:p>
        </w:tc>
      </w:tr>
      <w:tr w:rsidR="00DF52AB" w:rsidRPr="004E2ADC" w:rsidTr="008C3687">
        <w:tc>
          <w:tcPr>
            <w:tcW w:w="1671" w:type="pct"/>
            <w:vAlign w:val="center"/>
          </w:tcPr>
          <w:p w:rsidR="00DF52AB" w:rsidRPr="00706DA9" w:rsidRDefault="00DF52AB" w:rsidP="00BC6F88">
            <w:pPr>
              <w:keepNext/>
              <w:jc w:val="left"/>
              <w:rPr>
                <w:rFonts w:ascii="Arial Narrow" w:hAnsi="Arial Narrow"/>
                <w:sz w:val="20"/>
              </w:rPr>
            </w:pPr>
            <w:r>
              <w:rPr>
                <w:rFonts w:ascii="Arial Narrow" w:hAnsi="Arial Narrow"/>
                <w:sz w:val="20"/>
              </w:rPr>
              <w:t>Total triple therapy market (patients)</w:t>
            </w:r>
          </w:p>
        </w:tc>
        <w:tc>
          <w:tcPr>
            <w:tcW w:w="666"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5"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7"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5"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7"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r>
      <w:tr w:rsidR="00DF52AB" w:rsidRPr="004E2ADC" w:rsidTr="008C3687">
        <w:tc>
          <w:tcPr>
            <w:tcW w:w="1671" w:type="pct"/>
            <w:vAlign w:val="center"/>
          </w:tcPr>
          <w:p w:rsidR="00DF52AB" w:rsidRPr="00706DA9" w:rsidRDefault="00DF52AB" w:rsidP="00BC6F88">
            <w:pPr>
              <w:pStyle w:val="ListParagraph"/>
              <w:keepNext/>
              <w:numPr>
                <w:ilvl w:val="0"/>
                <w:numId w:val="9"/>
              </w:numPr>
              <w:jc w:val="left"/>
              <w:rPr>
                <w:rFonts w:ascii="Arial Narrow" w:hAnsi="Arial Narrow"/>
                <w:sz w:val="20"/>
              </w:rPr>
            </w:pPr>
            <w:r>
              <w:rPr>
                <w:rFonts w:ascii="Arial Narrow" w:hAnsi="Arial Narrow"/>
                <w:sz w:val="20"/>
              </w:rPr>
              <w:t>Vildagliptin (% of triple therapy patients)</w:t>
            </w:r>
          </w:p>
        </w:tc>
        <w:tc>
          <w:tcPr>
            <w:tcW w:w="666" w:type="pct"/>
            <w:vAlign w:val="center"/>
          </w:tcPr>
          <w:p w:rsidR="00DF52AB" w:rsidRDefault="00DF52AB" w:rsidP="00BC6F88">
            <w:pPr>
              <w:keepNext/>
              <w:jc w:val="center"/>
              <w:rPr>
                <w:rFonts w:ascii="Arial Narrow" w:hAnsi="Arial Narrow"/>
                <w:sz w:val="20"/>
              </w:rPr>
            </w:pPr>
            <w:r>
              <w:rPr>
                <w:rFonts w:ascii="Arial Narrow" w:hAnsi="Arial Narrow"/>
                <w:sz w:val="20"/>
              </w:rPr>
              <w:t>10%</w:t>
            </w:r>
          </w:p>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Default="00DF52AB" w:rsidP="00BC6F88">
            <w:pPr>
              <w:keepNext/>
              <w:jc w:val="center"/>
              <w:rPr>
                <w:rFonts w:ascii="Arial Narrow" w:hAnsi="Arial Narrow"/>
                <w:sz w:val="20"/>
              </w:rPr>
            </w:pPr>
            <w:r>
              <w:rPr>
                <w:rFonts w:ascii="Arial Narrow" w:hAnsi="Arial Narrow"/>
                <w:sz w:val="20"/>
              </w:rPr>
              <w:t>11%</w:t>
            </w:r>
          </w:p>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Default="00DF52AB" w:rsidP="00BC6F88">
            <w:pPr>
              <w:keepNext/>
              <w:jc w:val="center"/>
              <w:rPr>
                <w:rFonts w:ascii="Arial Narrow" w:hAnsi="Arial Narrow"/>
                <w:sz w:val="20"/>
              </w:rPr>
            </w:pPr>
            <w:r>
              <w:rPr>
                <w:rFonts w:ascii="Arial Narrow" w:hAnsi="Arial Narrow"/>
                <w:sz w:val="20"/>
              </w:rPr>
              <w:t>12%</w:t>
            </w:r>
          </w:p>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Default="00DF52AB" w:rsidP="00BC6F88">
            <w:pPr>
              <w:keepNext/>
              <w:jc w:val="center"/>
              <w:rPr>
                <w:rFonts w:ascii="Arial Narrow" w:hAnsi="Arial Narrow"/>
                <w:sz w:val="20"/>
              </w:rPr>
            </w:pPr>
            <w:r>
              <w:rPr>
                <w:rFonts w:ascii="Arial Narrow" w:hAnsi="Arial Narrow"/>
                <w:sz w:val="20"/>
              </w:rPr>
              <w:t>13%</w:t>
            </w:r>
          </w:p>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Default="00DF52AB" w:rsidP="00BC6F88">
            <w:pPr>
              <w:keepNext/>
              <w:jc w:val="center"/>
              <w:rPr>
                <w:rFonts w:ascii="Arial Narrow" w:hAnsi="Arial Narrow"/>
                <w:sz w:val="20"/>
              </w:rPr>
            </w:pPr>
            <w:r>
              <w:rPr>
                <w:rFonts w:ascii="Arial Narrow" w:hAnsi="Arial Narrow"/>
                <w:sz w:val="20"/>
              </w:rPr>
              <w:t>14%</w:t>
            </w:r>
          </w:p>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r>
      <w:tr w:rsidR="00DF52AB" w:rsidRPr="004E2ADC" w:rsidTr="008C3687">
        <w:tc>
          <w:tcPr>
            <w:tcW w:w="1671" w:type="pct"/>
            <w:vAlign w:val="center"/>
          </w:tcPr>
          <w:p w:rsidR="00DF52AB" w:rsidRPr="008779CE" w:rsidRDefault="00DF52AB" w:rsidP="00BC6F88">
            <w:pPr>
              <w:pStyle w:val="ListParagraph"/>
              <w:keepNext/>
              <w:numPr>
                <w:ilvl w:val="0"/>
                <w:numId w:val="9"/>
              </w:numPr>
              <w:jc w:val="left"/>
              <w:rPr>
                <w:rFonts w:ascii="Arial Narrow" w:hAnsi="Arial Narrow"/>
                <w:sz w:val="20"/>
              </w:rPr>
            </w:pPr>
            <w:r w:rsidRPr="008779CE">
              <w:rPr>
                <w:rFonts w:ascii="Arial Narrow" w:hAnsi="Arial Narrow"/>
                <w:sz w:val="20"/>
              </w:rPr>
              <w:t>Comparators (patients)</w:t>
            </w:r>
          </w:p>
        </w:tc>
        <w:tc>
          <w:tcPr>
            <w:tcW w:w="666"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5"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c>
          <w:tcPr>
            <w:tcW w:w="667"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w:t>
            </w:r>
          </w:p>
        </w:tc>
      </w:tr>
      <w:tr w:rsidR="00DF52AB" w:rsidRPr="004E2ADC" w:rsidTr="008C3687">
        <w:tc>
          <w:tcPr>
            <w:tcW w:w="5000" w:type="pct"/>
            <w:gridSpan w:val="6"/>
            <w:vAlign w:val="center"/>
          </w:tcPr>
          <w:p w:rsidR="00DF52AB" w:rsidRPr="008779CE" w:rsidRDefault="00DF52AB" w:rsidP="00BC6F88">
            <w:pPr>
              <w:keepNext/>
              <w:jc w:val="left"/>
              <w:rPr>
                <w:rFonts w:ascii="Arial Narrow" w:hAnsi="Arial Narrow"/>
                <w:color w:val="000000"/>
                <w:sz w:val="20"/>
              </w:rPr>
            </w:pPr>
            <w:r>
              <w:rPr>
                <w:rFonts w:ascii="Arial Narrow" w:hAnsi="Arial Narrow"/>
                <w:b/>
                <w:sz w:val="20"/>
              </w:rPr>
              <w:t>Incremental vildagliptin patients / scripts due to PBS listing for vildagliptin</w:t>
            </w:r>
          </w:p>
        </w:tc>
      </w:tr>
      <w:tr w:rsidR="00DF52AB" w:rsidRPr="004E2ADC" w:rsidTr="008C3687">
        <w:tc>
          <w:tcPr>
            <w:tcW w:w="1671" w:type="pct"/>
            <w:vAlign w:val="center"/>
          </w:tcPr>
          <w:p w:rsidR="00DF52AB" w:rsidRDefault="00DF52AB" w:rsidP="00BC6F88">
            <w:pPr>
              <w:pStyle w:val="ListParagraph"/>
              <w:keepNext/>
              <w:ind w:left="0"/>
              <w:jc w:val="left"/>
              <w:rPr>
                <w:rFonts w:ascii="Arial Narrow" w:hAnsi="Arial Narrow"/>
                <w:b/>
                <w:sz w:val="20"/>
              </w:rPr>
            </w:pPr>
            <w:r>
              <w:rPr>
                <w:rFonts w:ascii="Arial Narrow" w:hAnsi="Arial Narrow"/>
                <w:sz w:val="20"/>
              </w:rPr>
              <w:t>Incremental vildagliptin patients</w:t>
            </w:r>
          </w:p>
        </w:tc>
        <w:tc>
          <w:tcPr>
            <w:tcW w:w="666"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5"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7"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5"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7"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r>
      <w:tr w:rsidR="00DF52AB" w:rsidRPr="004E2ADC" w:rsidTr="008C3687">
        <w:tc>
          <w:tcPr>
            <w:tcW w:w="1671" w:type="pct"/>
            <w:vAlign w:val="center"/>
          </w:tcPr>
          <w:p w:rsidR="00DF52AB" w:rsidRPr="008779CE" w:rsidRDefault="00DF52AB" w:rsidP="00BC6F88">
            <w:pPr>
              <w:keepNext/>
              <w:jc w:val="left"/>
              <w:rPr>
                <w:rFonts w:ascii="Arial Narrow" w:hAnsi="Arial Narrow"/>
                <w:sz w:val="20"/>
              </w:rPr>
            </w:pPr>
            <w:r>
              <w:rPr>
                <w:rFonts w:ascii="Arial Narrow" w:hAnsi="Arial Narrow"/>
                <w:sz w:val="20"/>
              </w:rPr>
              <w:t>Incremental vildagliptin scripts</w:t>
            </w:r>
          </w:p>
        </w:tc>
        <w:tc>
          <w:tcPr>
            <w:tcW w:w="666"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5"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7"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5"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c>
          <w:tcPr>
            <w:tcW w:w="667" w:type="pct"/>
          </w:tcPr>
          <w:p w:rsidR="00DF52AB" w:rsidRPr="002F7E56" w:rsidRDefault="002F7E56" w:rsidP="00BC6F88">
            <w:pPr>
              <w:keepNext/>
              <w:jc w:val="center"/>
              <w:rPr>
                <w:rFonts w:ascii="Arial Narrow" w:hAnsi="Arial Narrow"/>
                <w:color w:val="000000"/>
                <w:sz w:val="20"/>
                <w:highlight w:val="black"/>
              </w:rPr>
            </w:pPr>
            <w:r>
              <w:rPr>
                <w:rFonts w:ascii="Arial Narrow" w:hAnsi="Arial Narrow"/>
                <w:noProof/>
                <w:color w:val="000000"/>
                <w:sz w:val="20"/>
                <w:highlight w:val="black"/>
              </w:rPr>
              <w:t xml:space="preserve"> ''''''''''''''''' </w:t>
            </w:r>
          </w:p>
        </w:tc>
      </w:tr>
      <w:tr w:rsidR="00DF52AB" w:rsidRPr="00B67AB3" w:rsidTr="008C3687">
        <w:tc>
          <w:tcPr>
            <w:tcW w:w="5000" w:type="pct"/>
            <w:gridSpan w:val="6"/>
            <w:vAlign w:val="center"/>
          </w:tcPr>
          <w:p w:rsidR="00DF52AB" w:rsidRPr="00DF52AB" w:rsidRDefault="00DF52AB" w:rsidP="00BC6F88">
            <w:pPr>
              <w:keepNext/>
              <w:jc w:val="left"/>
              <w:rPr>
                <w:rFonts w:ascii="Arial Narrow" w:hAnsi="Arial Narrow"/>
                <w:b/>
                <w:sz w:val="20"/>
              </w:rPr>
            </w:pPr>
            <w:r>
              <w:rPr>
                <w:rFonts w:ascii="Arial Narrow" w:hAnsi="Arial Narrow"/>
                <w:b/>
                <w:color w:val="000000"/>
                <w:sz w:val="20"/>
              </w:rPr>
              <w:t>R</w:t>
            </w:r>
            <w:r w:rsidRPr="00DF52AB">
              <w:rPr>
                <w:rFonts w:ascii="Arial Narrow" w:hAnsi="Arial Narrow"/>
                <w:b/>
                <w:color w:val="000000"/>
                <w:sz w:val="20"/>
              </w:rPr>
              <w:t>eduction in comparator scripts</w:t>
            </w:r>
          </w:p>
        </w:tc>
      </w:tr>
      <w:tr w:rsidR="00DF52AB" w:rsidRPr="00B67AB3" w:rsidTr="008C3687">
        <w:tc>
          <w:tcPr>
            <w:tcW w:w="1671" w:type="pct"/>
            <w:vAlign w:val="center"/>
          </w:tcPr>
          <w:p w:rsidR="00DF52AB" w:rsidRPr="00733686" w:rsidRDefault="00DF52AB" w:rsidP="00BC6F88">
            <w:pPr>
              <w:keepNext/>
              <w:jc w:val="left"/>
              <w:rPr>
                <w:rFonts w:ascii="Arial Narrow" w:hAnsi="Arial Narrow"/>
                <w:sz w:val="20"/>
              </w:rPr>
            </w:pPr>
            <w:r>
              <w:rPr>
                <w:rFonts w:ascii="Arial Narrow" w:hAnsi="Arial Narrow"/>
                <w:color w:val="000000"/>
                <w:sz w:val="20"/>
              </w:rPr>
              <w:t>Reduction in dapagliflozin, sitagliptin, saxagliptin patients</w:t>
            </w:r>
          </w:p>
        </w:tc>
        <w:tc>
          <w:tcPr>
            <w:tcW w:w="666"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r>
      <w:tr w:rsidR="00DF52AB" w:rsidRPr="00B67AB3" w:rsidTr="008C3687">
        <w:tc>
          <w:tcPr>
            <w:tcW w:w="1671" w:type="pct"/>
            <w:vAlign w:val="center"/>
          </w:tcPr>
          <w:p w:rsidR="00DF52AB" w:rsidRPr="00706DA9" w:rsidRDefault="00DF52AB" w:rsidP="00BC6F88">
            <w:pPr>
              <w:keepNext/>
              <w:jc w:val="left"/>
              <w:rPr>
                <w:rFonts w:ascii="Arial Narrow" w:hAnsi="Arial Narrow"/>
                <w:color w:val="000000"/>
                <w:sz w:val="20"/>
              </w:rPr>
            </w:pPr>
            <w:r>
              <w:rPr>
                <w:rFonts w:ascii="Arial Narrow" w:hAnsi="Arial Narrow"/>
                <w:color w:val="000000"/>
                <w:sz w:val="20"/>
              </w:rPr>
              <w:t>Reduction in dapagliflozin, sitagliptin, saxagliptin scripts</w:t>
            </w:r>
          </w:p>
        </w:tc>
        <w:tc>
          <w:tcPr>
            <w:tcW w:w="666"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5"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c>
          <w:tcPr>
            <w:tcW w:w="667" w:type="pct"/>
            <w:vAlign w:val="center"/>
          </w:tcPr>
          <w:p w:rsidR="00DF52AB" w:rsidRPr="002F7E56" w:rsidRDefault="002F7E56" w:rsidP="00BC6F88">
            <w:pPr>
              <w:keepNext/>
              <w:jc w:val="center"/>
              <w:rPr>
                <w:rFonts w:ascii="Arial Narrow" w:hAnsi="Arial Narrow"/>
                <w:sz w:val="20"/>
                <w:highlight w:val="black"/>
              </w:rPr>
            </w:pPr>
            <w:r>
              <w:rPr>
                <w:rFonts w:ascii="Arial Narrow" w:hAnsi="Arial Narrow"/>
                <w:noProof/>
                <w:color w:val="000000"/>
                <w:sz w:val="20"/>
                <w:highlight w:val="black"/>
              </w:rPr>
              <w:t>'''''''''''''''''</w:t>
            </w:r>
          </w:p>
        </w:tc>
      </w:tr>
      <w:tr w:rsidR="00DF52AB" w:rsidRPr="00B67AB3" w:rsidTr="008C3687">
        <w:tc>
          <w:tcPr>
            <w:tcW w:w="5000" w:type="pct"/>
            <w:gridSpan w:val="6"/>
            <w:vAlign w:val="center"/>
          </w:tcPr>
          <w:p w:rsidR="00DF52AB" w:rsidRPr="00DF52AB" w:rsidRDefault="00DF52AB" w:rsidP="00BC6F88">
            <w:pPr>
              <w:keepNext/>
              <w:jc w:val="left"/>
              <w:rPr>
                <w:rFonts w:ascii="Arial Narrow" w:hAnsi="Arial Narrow"/>
                <w:b/>
                <w:sz w:val="20"/>
              </w:rPr>
            </w:pPr>
            <w:r>
              <w:rPr>
                <w:rFonts w:ascii="Arial Narrow" w:hAnsi="Arial Narrow"/>
                <w:b/>
                <w:sz w:val="20"/>
              </w:rPr>
              <w:t>Net cost to PBS/RPBS/MBS</w:t>
            </w:r>
          </w:p>
        </w:tc>
      </w:tr>
      <w:tr w:rsidR="00DF52AB" w:rsidRPr="00B67AB3" w:rsidTr="008C3687">
        <w:tc>
          <w:tcPr>
            <w:tcW w:w="1671" w:type="pct"/>
            <w:vAlign w:val="center"/>
          </w:tcPr>
          <w:p w:rsidR="00DF52AB" w:rsidRDefault="00DF52AB" w:rsidP="00BC6F88">
            <w:pPr>
              <w:keepNext/>
              <w:jc w:val="left"/>
              <w:rPr>
                <w:rFonts w:ascii="Arial Narrow" w:hAnsi="Arial Narrow"/>
                <w:color w:val="000000"/>
                <w:sz w:val="20"/>
              </w:rPr>
            </w:pPr>
            <w:r>
              <w:rPr>
                <w:rFonts w:ascii="Arial Narrow" w:hAnsi="Arial Narrow"/>
                <w:color w:val="000000"/>
                <w:sz w:val="20"/>
              </w:rPr>
              <w:t>Net cost to PBS/RPBS</w:t>
            </w:r>
          </w:p>
        </w:tc>
        <w:tc>
          <w:tcPr>
            <w:tcW w:w="666" w:type="pct"/>
            <w:vAlign w:val="center"/>
          </w:tcPr>
          <w:p w:rsidR="00DF52AB" w:rsidRPr="00DF52AB" w:rsidRDefault="00DF52AB" w:rsidP="00BC6F88">
            <w:pPr>
              <w:keepNext/>
              <w:jc w:val="center"/>
              <w:rPr>
                <w:rFonts w:ascii="Arial Narrow" w:hAnsi="Arial Narrow"/>
                <w:sz w:val="20"/>
              </w:rPr>
            </w:pPr>
            <w:r w:rsidRPr="00DF52AB">
              <w:rPr>
                <w:rFonts w:ascii="Arial Narrow" w:hAnsi="Arial Narrow"/>
                <w:sz w:val="20"/>
              </w:rPr>
              <w:t>-$</w:t>
            </w:r>
            <w:r w:rsidR="002F7E56">
              <w:rPr>
                <w:rFonts w:ascii="Arial Narrow" w:hAnsi="Arial Narrow"/>
                <w:noProof/>
                <w:color w:val="000000"/>
                <w:sz w:val="20"/>
                <w:highlight w:val="black"/>
              </w:rPr>
              <w:t>''''''''''''''''''</w:t>
            </w:r>
          </w:p>
        </w:tc>
        <w:tc>
          <w:tcPr>
            <w:tcW w:w="665" w:type="pct"/>
            <w:vAlign w:val="center"/>
          </w:tcPr>
          <w:p w:rsidR="00DF52AB" w:rsidRPr="00DF52AB" w:rsidRDefault="00DF52AB" w:rsidP="00BC6F88">
            <w:pPr>
              <w:keepNext/>
              <w:jc w:val="center"/>
              <w:rPr>
                <w:rFonts w:ascii="Arial Narrow" w:hAnsi="Arial Narrow"/>
                <w:sz w:val="20"/>
              </w:rPr>
            </w:pPr>
            <w:r w:rsidRPr="00DF52AB">
              <w:rPr>
                <w:rFonts w:ascii="Arial Narrow" w:hAnsi="Arial Narrow"/>
                <w:sz w:val="20"/>
              </w:rPr>
              <w:t>-$</w:t>
            </w:r>
            <w:r w:rsidR="002F7E56">
              <w:rPr>
                <w:rFonts w:ascii="Arial Narrow" w:hAnsi="Arial Narrow"/>
                <w:noProof/>
                <w:color w:val="000000"/>
                <w:sz w:val="20"/>
                <w:highlight w:val="black"/>
              </w:rPr>
              <w:t>''''''''''''''''</w:t>
            </w:r>
          </w:p>
        </w:tc>
        <w:tc>
          <w:tcPr>
            <w:tcW w:w="667" w:type="pct"/>
            <w:vAlign w:val="center"/>
          </w:tcPr>
          <w:p w:rsidR="00DF52AB" w:rsidRPr="00DF52AB" w:rsidRDefault="00DF52AB" w:rsidP="00BC6F88">
            <w:pPr>
              <w:keepNext/>
              <w:jc w:val="center"/>
              <w:rPr>
                <w:rFonts w:ascii="Arial Narrow" w:hAnsi="Arial Narrow"/>
                <w:sz w:val="20"/>
              </w:rPr>
            </w:pPr>
            <w:r w:rsidRPr="00DF52AB">
              <w:rPr>
                <w:rFonts w:ascii="Arial Narrow" w:hAnsi="Arial Narrow"/>
                <w:sz w:val="20"/>
              </w:rPr>
              <w:t>-$</w:t>
            </w:r>
            <w:r w:rsidR="002F7E56">
              <w:rPr>
                <w:rFonts w:ascii="Arial Narrow" w:hAnsi="Arial Narrow"/>
                <w:noProof/>
                <w:color w:val="000000"/>
                <w:sz w:val="20"/>
                <w:highlight w:val="black"/>
              </w:rPr>
              <w:t>'''''''''''''''''</w:t>
            </w:r>
          </w:p>
        </w:tc>
        <w:tc>
          <w:tcPr>
            <w:tcW w:w="665" w:type="pct"/>
            <w:vAlign w:val="center"/>
          </w:tcPr>
          <w:p w:rsidR="00DF52AB" w:rsidRPr="00DF52AB" w:rsidRDefault="00DF52AB" w:rsidP="00BC6F88">
            <w:pPr>
              <w:keepNext/>
              <w:jc w:val="center"/>
              <w:rPr>
                <w:rFonts w:ascii="Arial Narrow" w:hAnsi="Arial Narrow"/>
                <w:sz w:val="20"/>
              </w:rPr>
            </w:pPr>
            <w:r w:rsidRPr="00DF52AB">
              <w:rPr>
                <w:rFonts w:ascii="Arial Narrow" w:hAnsi="Arial Narrow"/>
                <w:sz w:val="20"/>
              </w:rPr>
              <w:t>-$</w:t>
            </w:r>
            <w:r w:rsidR="002F7E56">
              <w:rPr>
                <w:rFonts w:ascii="Arial Narrow" w:hAnsi="Arial Narrow"/>
                <w:noProof/>
                <w:color w:val="000000"/>
                <w:sz w:val="20"/>
                <w:highlight w:val="black"/>
              </w:rPr>
              <w:t>''''''''''''''''''</w:t>
            </w:r>
          </w:p>
        </w:tc>
        <w:tc>
          <w:tcPr>
            <w:tcW w:w="667" w:type="pct"/>
            <w:vAlign w:val="center"/>
          </w:tcPr>
          <w:p w:rsidR="00DF52AB" w:rsidRPr="00DF52AB" w:rsidRDefault="00DF52AB" w:rsidP="00BC6F88">
            <w:pPr>
              <w:keepNext/>
              <w:jc w:val="center"/>
              <w:rPr>
                <w:rFonts w:ascii="Arial Narrow" w:hAnsi="Arial Narrow"/>
                <w:sz w:val="20"/>
              </w:rPr>
            </w:pPr>
            <w:r w:rsidRPr="00DF52AB">
              <w:rPr>
                <w:rFonts w:ascii="Arial Narrow" w:hAnsi="Arial Narrow"/>
                <w:sz w:val="20"/>
              </w:rPr>
              <w:t>-$</w:t>
            </w:r>
            <w:r w:rsidR="002F7E56">
              <w:rPr>
                <w:rFonts w:ascii="Arial Narrow" w:hAnsi="Arial Narrow"/>
                <w:noProof/>
                <w:color w:val="000000"/>
                <w:sz w:val="20"/>
                <w:highlight w:val="black"/>
              </w:rPr>
              <w:t>''''''''''''''''''''</w:t>
            </w:r>
          </w:p>
        </w:tc>
      </w:tr>
      <w:tr w:rsidR="00B52283" w:rsidRPr="00B67AB3" w:rsidTr="008C3687">
        <w:tc>
          <w:tcPr>
            <w:tcW w:w="1671" w:type="pct"/>
            <w:vAlign w:val="center"/>
          </w:tcPr>
          <w:p w:rsidR="00B52283" w:rsidRPr="00DF52AB" w:rsidRDefault="00B52283" w:rsidP="00BC6F88">
            <w:pPr>
              <w:keepNext/>
              <w:jc w:val="left"/>
              <w:rPr>
                <w:rFonts w:ascii="Arial Narrow" w:hAnsi="Arial Narrow"/>
                <w:color w:val="000000"/>
                <w:sz w:val="20"/>
                <w:vertAlign w:val="superscript"/>
              </w:rPr>
            </w:pPr>
            <w:r>
              <w:rPr>
                <w:rFonts w:ascii="Arial Narrow" w:hAnsi="Arial Narrow"/>
                <w:color w:val="000000"/>
                <w:sz w:val="20"/>
              </w:rPr>
              <w:t xml:space="preserve">Net cost to MBS </w:t>
            </w:r>
            <w:r>
              <w:rPr>
                <w:rFonts w:ascii="Arial Narrow" w:hAnsi="Arial Narrow"/>
                <w:color w:val="000000"/>
                <w:sz w:val="20"/>
                <w:vertAlign w:val="superscript"/>
              </w:rPr>
              <w:t>c</w:t>
            </w:r>
          </w:p>
        </w:tc>
        <w:tc>
          <w:tcPr>
            <w:tcW w:w="666" w:type="pct"/>
            <w:vAlign w:val="center"/>
          </w:tcPr>
          <w:p w:rsidR="00B52283" w:rsidRPr="00B52283" w:rsidRDefault="00B52283" w:rsidP="00BC6F88">
            <w:pPr>
              <w:keepNext/>
              <w:jc w:val="center"/>
              <w:rPr>
                <w:rFonts w:ascii="Arial Narrow" w:hAnsi="Arial Narrow"/>
                <w:sz w:val="20"/>
              </w:rPr>
            </w:pPr>
            <w:r w:rsidRPr="00B52283">
              <w:rPr>
                <w:rFonts w:ascii="Arial Narrow" w:hAnsi="Arial Narrow"/>
                <w:sz w:val="20"/>
              </w:rPr>
              <w:t>$</w:t>
            </w:r>
            <w:r w:rsidR="002F7E56">
              <w:rPr>
                <w:rFonts w:ascii="Arial Narrow" w:hAnsi="Arial Narrow"/>
                <w:noProof/>
                <w:color w:val="000000"/>
                <w:sz w:val="20"/>
                <w:highlight w:val="black"/>
              </w:rPr>
              <w:t>'''''''''''''''''</w:t>
            </w:r>
          </w:p>
        </w:tc>
        <w:tc>
          <w:tcPr>
            <w:tcW w:w="665" w:type="pct"/>
            <w:vAlign w:val="center"/>
          </w:tcPr>
          <w:p w:rsidR="00B52283" w:rsidRPr="00B52283" w:rsidRDefault="00B52283" w:rsidP="00BC6F88">
            <w:pPr>
              <w:keepNext/>
              <w:jc w:val="center"/>
              <w:rPr>
                <w:rFonts w:ascii="Arial Narrow" w:hAnsi="Arial Narrow"/>
                <w:sz w:val="20"/>
              </w:rPr>
            </w:pPr>
            <w:r w:rsidRPr="00B52283">
              <w:rPr>
                <w:rFonts w:ascii="Arial Narrow" w:hAnsi="Arial Narrow"/>
                <w:sz w:val="20"/>
              </w:rPr>
              <w:t>$</w:t>
            </w:r>
            <w:r w:rsidR="002F7E56">
              <w:rPr>
                <w:rFonts w:ascii="Arial Narrow" w:hAnsi="Arial Narrow"/>
                <w:noProof/>
                <w:color w:val="000000"/>
                <w:sz w:val="20"/>
                <w:highlight w:val="black"/>
              </w:rPr>
              <w:t>'''''''''''''''''</w:t>
            </w:r>
          </w:p>
        </w:tc>
        <w:tc>
          <w:tcPr>
            <w:tcW w:w="667" w:type="pct"/>
            <w:vAlign w:val="center"/>
          </w:tcPr>
          <w:p w:rsidR="00B52283" w:rsidRPr="00B52283" w:rsidRDefault="00B52283" w:rsidP="00BC6F88">
            <w:pPr>
              <w:keepNext/>
              <w:jc w:val="center"/>
              <w:rPr>
                <w:rFonts w:ascii="Arial Narrow" w:hAnsi="Arial Narrow"/>
                <w:sz w:val="20"/>
              </w:rPr>
            </w:pPr>
            <w:r w:rsidRPr="00B52283">
              <w:rPr>
                <w:rFonts w:ascii="Arial Narrow" w:hAnsi="Arial Narrow"/>
                <w:sz w:val="20"/>
              </w:rPr>
              <w:t>$</w:t>
            </w:r>
            <w:r w:rsidR="002F7E56">
              <w:rPr>
                <w:rFonts w:ascii="Arial Narrow" w:hAnsi="Arial Narrow"/>
                <w:noProof/>
                <w:color w:val="000000"/>
                <w:sz w:val="20"/>
                <w:highlight w:val="black"/>
              </w:rPr>
              <w:t>''''''''''''''''''</w:t>
            </w:r>
          </w:p>
        </w:tc>
        <w:tc>
          <w:tcPr>
            <w:tcW w:w="665" w:type="pct"/>
            <w:vAlign w:val="center"/>
          </w:tcPr>
          <w:p w:rsidR="00B52283" w:rsidRPr="00B52283" w:rsidRDefault="00B52283" w:rsidP="00BC6F88">
            <w:pPr>
              <w:keepNext/>
              <w:jc w:val="center"/>
              <w:rPr>
                <w:rFonts w:ascii="Arial Narrow" w:hAnsi="Arial Narrow"/>
                <w:sz w:val="20"/>
              </w:rPr>
            </w:pPr>
            <w:r w:rsidRPr="00B52283">
              <w:rPr>
                <w:rFonts w:ascii="Arial Narrow" w:hAnsi="Arial Narrow"/>
                <w:sz w:val="20"/>
              </w:rPr>
              <w:t>$</w:t>
            </w:r>
            <w:r w:rsidR="002F7E56">
              <w:rPr>
                <w:rFonts w:ascii="Arial Narrow" w:hAnsi="Arial Narrow"/>
                <w:noProof/>
                <w:color w:val="000000"/>
                <w:sz w:val="20"/>
                <w:highlight w:val="black"/>
              </w:rPr>
              <w:t>'''''''''''''''''''''</w:t>
            </w:r>
          </w:p>
        </w:tc>
        <w:tc>
          <w:tcPr>
            <w:tcW w:w="667" w:type="pct"/>
            <w:vAlign w:val="center"/>
          </w:tcPr>
          <w:p w:rsidR="00B52283" w:rsidRPr="00B52283" w:rsidRDefault="00B52283" w:rsidP="00BC6F88">
            <w:pPr>
              <w:keepNext/>
              <w:jc w:val="center"/>
              <w:rPr>
                <w:rFonts w:ascii="Arial Narrow" w:hAnsi="Arial Narrow"/>
                <w:sz w:val="20"/>
              </w:rPr>
            </w:pPr>
            <w:r w:rsidRPr="00B52283">
              <w:rPr>
                <w:rFonts w:ascii="Arial Narrow" w:hAnsi="Arial Narrow"/>
                <w:sz w:val="20"/>
              </w:rPr>
              <w:t>$</w:t>
            </w:r>
            <w:r w:rsidR="002F7E56">
              <w:rPr>
                <w:rFonts w:ascii="Arial Narrow" w:hAnsi="Arial Narrow"/>
                <w:noProof/>
                <w:color w:val="000000"/>
                <w:sz w:val="20"/>
                <w:highlight w:val="black"/>
              </w:rPr>
              <w:t>'''''''''''''''''''''</w:t>
            </w:r>
          </w:p>
        </w:tc>
      </w:tr>
      <w:tr w:rsidR="00B52283" w:rsidRPr="004E2ADC" w:rsidTr="008C3687">
        <w:tc>
          <w:tcPr>
            <w:tcW w:w="1671" w:type="pct"/>
            <w:vAlign w:val="center"/>
          </w:tcPr>
          <w:p w:rsidR="00B52283" w:rsidRPr="00B52283" w:rsidRDefault="00B52283" w:rsidP="00BC6F88">
            <w:pPr>
              <w:keepNext/>
              <w:jc w:val="left"/>
              <w:rPr>
                <w:rFonts w:ascii="Arial Narrow" w:hAnsi="Arial Narrow"/>
                <w:b/>
                <w:sz w:val="20"/>
              </w:rPr>
            </w:pPr>
            <w:r w:rsidRPr="00B52283">
              <w:rPr>
                <w:rFonts w:ascii="Arial Narrow" w:hAnsi="Arial Narrow"/>
                <w:b/>
                <w:sz w:val="20"/>
              </w:rPr>
              <w:t>Net cost to PBS/RPBS/MBS</w:t>
            </w:r>
          </w:p>
        </w:tc>
        <w:tc>
          <w:tcPr>
            <w:tcW w:w="666" w:type="pct"/>
          </w:tcPr>
          <w:p w:rsidR="00B52283" w:rsidRPr="00B52283" w:rsidRDefault="00B52283" w:rsidP="00BC6F88">
            <w:pPr>
              <w:keepNext/>
              <w:jc w:val="center"/>
              <w:rPr>
                <w:rFonts w:ascii="Arial Narrow" w:hAnsi="Arial Narrow"/>
                <w:b/>
                <w:color w:val="000000"/>
                <w:sz w:val="20"/>
              </w:rPr>
            </w:pPr>
            <w:r w:rsidRPr="00B52283">
              <w:rPr>
                <w:rFonts w:ascii="Arial Narrow" w:hAnsi="Arial Narrow"/>
                <w:b/>
                <w:sz w:val="20"/>
              </w:rPr>
              <w:t>$</w:t>
            </w:r>
            <w:r w:rsidR="002F7E56">
              <w:rPr>
                <w:rFonts w:ascii="Arial Narrow" w:hAnsi="Arial Narrow"/>
                <w:b/>
                <w:noProof/>
                <w:color w:val="000000"/>
                <w:sz w:val="20"/>
                <w:highlight w:val="black"/>
              </w:rPr>
              <w:t>'''''''''''</w:t>
            </w:r>
          </w:p>
        </w:tc>
        <w:tc>
          <w:tcPr>
            <w:tcW w:w="665" w:type="pct"/>
          </w:tcPr>
          <w:p w:rsidR="00B52283" w:rsidRPr="00B52283" w:rsidRDefault="00B52283" w:rsidP="00BC6F88">
            <w:pPr>
              <w:keepNext/>
              <w:jc w:val="center"/>
              <w:rPr>
                <w:rFonts w:ascii="Arial Narrow" w:hAnsi="Arial Narrow"/>
                <w:b/>
                <w:color w:val="000000"/>
                <w:sz w:val="20"/>
              </w:rPr>
            </w:pPr>
            <w:r w:rsidRPr="00B52283">
              <w:rPr>
                <w:rFonts w:ascii="Arial Narrow" w:hAnsi="Arial Narrow"/>
                <w:b/>
                <w:sz w:val="20"/>
              </w:rPr>
              <w:t>$</w:t>
            </w:r>
            <w:r w:rsidR="002F7E56">
              <w:rPr>
                <w:rFonts w:ascii="Arial Narrow" w:hAnsi="Arial Narrow"/>
                <w:b/>
                <w:noProof/>
                <w:color w:val="000000"/>
                <w:sz w:val="20"/>
                <w:highlight w:val="black"/>
              </w:rPr>
              <w:t>'''''''''''''</w:t>
            </w:r>
          </w:p>
        </w:tc>
        <w:tc>
          <w:tcPr>
            <w:tcW w:w="667" w:type="pct"/>
          </w:tcPr>
          <w:p w:rsidR="00B52283" w:rsidRPr="00B52283" w:rsidRDefault="00B52283" w:rsidP="00BC6F88">
            <w:pPr>
              <w:keepNext/>
              <w:jc w:val="center"/>
              <w:rPr>
                <w:rFonts w:ascii="Arial Narrow" w:hAnsi="Arial Narrow"/>
                <w:b/>
                <w:color w:val="000000"/>
                <w:sz w:val="20"/>
              </w:rPr>
            </w:pPr>
            <w:r w:rsidRPr="00B52283">
              <w:rPr>
                <w:rFonts w:ascii="Arial Narrow" w:hAnsi="Arial Narrow"/>
                <w:b/>
                <w:sz w:val="20"/>
              </w:rPr>
              <w:t>-$</w:t>
            </w:r>
            <w:r w:rsidR="002F7E56">
              <w:rPr>
                <w:rFonts w:ascii="Arial Narrow" w:hAnsi="Arial Narrow"/>
                <w:b/>
                <w:noProof/>
                <w:color w:val="000000"/>
                <w:sz w:val="20"/>
                <w:highlight w:val="black"/>
              </w:rPr>
              <w:t>''''''''''''</w:t>
            </w:r>
          </w:p>
        </w:tc>
        <w:tc>
          <w:tcPr>
            <w:tcW w:w="665" w:type="pct"/>
          </w:tcPr>
          <w:p w:rsidR="00B52283" w:rsidRPr="00B52283" w:rsidRDefault="00B52283" w:rsidP="00BC6F88">
            <w:pPr>
              <w:keepNext/>
              <w:jc w:val="center"/>
              <w:rPr>
                <w:rFonts w:ascii="Arial Narrow" w:hAnsi="Arial Narrow"/>
                <w:b/>
                <w:color w:val="000000"/>
                <w:sz w:val="20"/>
              </w:rPr>
            </w:pPr>
            <w:r w:rsidRPr="00B52283">
              <w:rPr>
                <w:rFonts w:ascii="Arial Narrow" w:hAnsi="Arial Narrow"/>
                <w:b/>
                <w:sz w:val="20"/>
              </w:rPr>
              <w:t>-$</w:t>
            </w:r>
            <w:r w:rsidR="002F7E56">
              <w:rPr>
                <w:rFonts w:ascii="Arial Narrow" w:hAnsi="Arial Narrow"/>
                <w:b/>
                <w:noProof/>
                <w:color w:val="000000"/>
                <w:sz w:val="20"/>
                <w:highlight w:val="black"/>
              </w:rPr>
              <w:t>'''''''''''''</w:t>
            </w:r>
          </w:p>
        </w:tc>
        <w:tc>
          <w:tcPr>
            <w:tcW w:w="667" w:type="pct"/>
          </w:tcPr>
          <w:p w:rsidR="00B52283" w:rsidRPr="00B52283" w:rsidRDefault="00B52283" w:rsidP="00BC6F88">
            <w:pPr>
              <w:keepNext/>
              <w:jc w:val="center"/>
              <w:rPr>
                <w:rFonts w:ascii="Arial Narrow" w:hAnsi="Arial Narrow"/>
                <w:b/>
                <w:color w:val="000000"/>
                <w:sz w:val="20"/>
              </w:rPr>
            </w:pPr>
            <w:r w:rsidRPr="00B52283">
              <w:rPr>
                <w:rFonts w:ascii="Arial Narrow" w:hAnsi="Arial Narrow"/>
                <w:b/>
                <w:sz w:val="20"/>
              </w:rPr>
              <w:t>-$</w:t>
            </w:r>
            <w:r w:rsidR="002F7E56">
              <w:rPr>
                <w:rFonts w:ascii="Arial Narrow" w:hAnsi="Arial Narrow"/>
                <w:b/>
                <w:noProof/>
                <w:color w:val="000000"/>
                <w:sz w:val="20"/>
                <w:highlight w:val="black"/>
              </w:rPr>
              <w:t>''''''''''''''''</w:t>
            </w:r>
          </w:p>
        </w:tc>
      </w:tr>
    </w:tbl>
    <w:p w:rsidR="00DF52AB" w:rsidRDefault="00DF52AB" w:rsidP="00BC6F88">
      <w:pPr>
        <w:keepNext/>
        <w:ind w:left="709"/>
        <w:rPr>
          <w:rFonts w:ascii="Arial Narrow" w:hAnsi="Arial Narrow"/>
          <w:sz w:val="18"/>
        </w:rPr>
      </w:pPr>
      <w:r>
        <w:rPr>
          <w:rFonts w:ascii="Arial Narrow" w:hAnsi="Arial Narrow"/>
          <w:sz w:val="18"/>
          <w:vertAlign w:val="superscript"/>
        </w:rPr>
        <w:t>a</w:t>
      </w:r>
      <w:r>
        <w:rPr>
          <w:rFonts w:ascii="Arial Narrow" w:hAnsi="Arial Narrow"/>
          <w:sz w:val="18"/>
        </w:rPr>
        <w:t> Total scripts were estimated based on assumed growth from 2014-2015 for dapagliflozin, saxagliptin, saxagliptin/metformin XR FDC, sitagliptin, sitagliptin/metformin FDC, sitagliptin/metformin XR FDC, vildagliptin and vildagliptin/metformin FDC</w:t>
      </w:r>
    </w:p>
    <w:p w:rsidR="00DF52AB" w:rsidRDefault="00DF52AB" w:rsidP="00BC6F88">
      <w:pPr>
        <w:keepNext/>
        <w:ind w:left="709"/>
        <w:rPr>
          <w:rFonts w:ascii="Arial Narrow" w:hAnsi="Arial Narrow"/>
          <w:sz w:val="18"/>
        </w:rPr>
      </w:pPr>
      <w:proofErr w:type="gramStart"/>
      <w:r>
        <w:rPr>
          <w:rFonts w:ascii="Arial Narrow" w:hAnsi="Arial Narrow"/>
          <w:sz w:val="18"/>
          <w:vertAlign w:val="superscript"/>
        </w:rPr>
        <w:t>b</w:t>
      </w:r>
      <w:proofErr w:type="gramEnd"/>
      <w:r>
        <w:rPr>
          <w:rFonts w:ascii="Arial Narrow" w:hAnsi="Arial Narrow"/>
          <w:sz w:val="18"/>
        </w:rPr>
        <w:t xml:space="preserve"> Assuming 12.17 scripts per year for vildagliptin and 13.04 scripts per year for the comparators as estimated </w:t>
      </w:r>
      <w:r w:rsidR="002608E9">
        <w:rPr>
          <w:rFonts w:ascii="Arial Narrow" w:hAnsi="Arial Narrow"/>
          <w:sz w:val="18"/>
        </w:rPr>
        <w:t>in</w:t>
      </w:r>
      <w:r>
        <w:rPr>
          <w:rFonts w:ascii="Arial Narrow" w:hAnsi="Arial Narrow"/>
          <w:sz w:val="18"/>
        </w:rPr>
        <w:t xml:space="preserve"> the submission</w:t>
      </w:r>
    </w:p>
    <w:p w:rsidR="00DF52AB" w:rsidRPr="00DF52AB" w:rsidRDefault="00DF52AB" w:rsidP="00BC6F88">
      <w:pPr>
        <w:keepNext/>
        <w:ind w:left="709"/>
        <w:rPr>
          <w:rFonts w:ascii="Arial Narrow" w:hAnsi="Arial Narrow"/>
          <w:sz w:val="18"/>
        </w:rPr>
      </w:pPr>
      <w:proofErr w:type="gramStart"/>
      <w:r>
        <w:rPr>
          <w:rFonts w:ascii="Arial Narrow" w:hAnsi="Arial Narrow"/>
          <w:sz w:val="18"/>
          <w:vertAlign w:val="superscript"/>
        </w:rPr>
        <w:t>c</w:t>
      </w:r>
      <w:proofErr w:type="gramEnd"/>
      <w:r>
        <w:rPr>
          <w:rFonts w:ascii="Arial Narrow" w:hAnsi="Arial Narrow"/>
          <w:sz w:val="18"/>
        </w:rPr>
        <w:t xml:space="preserve"> Costs to MBS were for liver function testing and associated GP consultations; submission assumed 50% of new patients each year were vildagliptin-naïve and would require more intensive liver function testing in the first year of use.</w:t>
      </w:r>
    </w:p>
    <w:p w:rsidR="00DF52AB" w:rsidRDefault="00DF52AB" w:rsidP="00BC6F88">
      <w:pPr>
        <w:keepNext/>
        <w:ind w:left="709"/>
        <w:rPr>
          <w:rFonts w:ascii="Arial Narrow" w:hAnsi="Arial Narrow"/>
          <w:sz w:val="18"/>
        </w:rPr>
      </w:pPr>
      <w:r>
        <w:rPr>
          <w:rFonts w:ascii="Arial Narrow" w:hAnsi="Arial Narrow"/>
          <w:sz w:val="18"/>
        </w:rPr>
        <w:t>Abbreviations: DPP-4, dipeptidyl peptidase-4; FDC, fixed dose combination; SGLT-2, sodium-glucose co-transporter-2</w:t>
      </w:r>
    </w:p>
    <w:p w:rsidR="00DF52AB" w:rsidRPr="0042296B" w:rsidRDefault="00DF52AB" w:rsidP="00DF52AB">
      <w:pPr>
        <w:ind w:left="709"/>
        <w:rPr>
          <w:rFonts w:ascii="Arial Narrow" w:hAnsi="Arial Narrow"/>
          <w:sz w:val="18"/>
        </w:rPr>
      </w:pPr>
      <w:r w:rsidRPr="0042296B">
        <w:rPr>
          <w:rFonts w:ascii="Arial Narrow" w:hAnsi="Arial Narrow"/>
          <w:sz w:val="18"/>
        </w:rPr>
        <w:t xml:space="preserve">Source: </w:t>
      </w:r>
      <w:r>
        <w:rPr>
          <w:rFonts w:ascii="Arial Narrow" w:hAnsi="Arial Narrow"/>
          <w:sz w:val="18"/>
        </w:rPr>
        <w:t>Excel workbook: Att 6 Section E spreadsheets.xls</w:t>
      </w:r>
    </w:p>
    <w:p w:rsidR="00C25D9C" w:rsidRDefault="00C25D9C" w:rsidP="00C25D9C">
      <w:pPr>
        <w:widowControl/>
        <w:rPr>
          <w:szCs w:val="22"/>
        </w:rPr>
      </w:pPr>
    </w:p>
    <w:p w:rsidR="00C10556" w:rsidRDefault="00C10556" w:rsidP="00C10556">
      <w:pPr>
        <w:widowControl/>
        <w:ind w:left="709" w:firstLine="11"/>
        <w:rPr>
          <w:szCs w:val="22"/>
        </w:rPr>
      </w:pPr>
      <w:r>
        <w:rPr>
          <w:szCs w:val="22"/>
        </w:rPr>
        <w:t>The redacted table shows that at year 5, the estimated number of vildagliptin (triple therapy) patients was less than 10,000, and the net save to the PBS would be less than $10 million.</w:t>
      </w:r>
    </w:p>
    <w:p w:rsidR="00C10556" w:rsidRPr="00C25D9C" w:rsidRDefault="00C10556" w:rsidP="00C25D9C">
      <w:pPr>
        <w:widowControl/>
        <w:rPr>
          <w:szCs w:val="22"/>
        </w:rPr>
      </w:pPr>
    </w:p>
    <w:p w:rsidR="00C25D9C" w:rsidRPr="00682FC3" w:rsidRDefault="00B52283" w:rsidP="008A55D3">
      <w:pPr>
        <w:pStyle w:val="ListParagraph"/>
        <w:widowControl/>
        <w:numPr>
          <w:ilvl w:val="1"/>
          <w:numId w:val="4"/>
        </w:numPr>
        <w:rPr>
          <w:szCs w:val="22"/>
        </w:rPr>
      </w:pPr>
      <w:r w:rsidRPr="00682FC3">
        <w:rPr>
          <w:color w:val="000000" w:themeColor="text1"/>
        </w:rPr>
        <w:t>Whether the estimated costs are an under</w:t>
      </w:r>
      <w:r w:rsidR="002608E9" w:rsidRPr="00682FC3">
        <w:rPr>
          <w:color w:val="000000" w:themeColor="text1"/>
        </w:rPr>
        <w:t>-</w:t>
      </w:r>
      <w:r w:rsidRPr="00682FC3">
        <w:rPr>
          <w:color w:val="000000" w:themeColor="text1"/>
        </w:rPr>
        <w:t xml:space="preserve"> or over</w:t>
      </w:r>
      <w:r w:rsidR="002608E9" w:rsidRPr="00682FC3">
        <w:rPr>
          <w:color w:val="000000" w:themeColor="text1"/>
        </w:rPr>
        <w:t>-</w:t>
      </w:r>
      <w:r w:rsidRPr="00682FC3">
        <w:rPr>
          <w:color w:val="000000" w:themeColor="text1"/>
        </w:rPr>
        <w:t>estimate is unknown due to the number of assumptions used in calculating utilisation of vildag</w:t>
      </w:r>
      <w:r w:rsidR="002608E9" w:rsidRPr="00682FC3">
        <w:rPr>
          <w:color w:val="000000" w:themeColor="text1"/>
        </w:rPr>
        <w:t xml:space="preserve">liptin. There are difficulties </w:t>
      </w:r>
      <w:r w:rsidRPr="00682FC3">
        <w:rPr>
          <w:color w:val="000000" w:themeColor="text1"/>
        </w:rPr>
        <w:t xml:space="preserve">in predicting a market for vildagliptin triple therapy when there are no current utilisation data for the new triple therapy PBS listings for the comparators due to their recent addition to the PBS, and </w:t>
      </w:r>
      <w:r w:rsidR="00632A7D">
        <w:rPr>
          <w:color w:val="000000" w:themeColor="text1"/>
        </w:rPr>
        <w:t xml:space="preserve">there is </w:t>
      </w:r>
      <w:r w:rsidRPr="00682FC3">
        <w:rPr>
          <w:color w:val="000000" w:themeColor="text1"/>
        </w:rPr>
        <w:t>an existing market for triple therapy where use was outside of PBS restrictions.</w:t>
      </w:r>
    </w:p>
    <w:p w:rsidR="006D699D" w:rsidRDefault="006D699D" w:rsidP="006D699D">
      <w:pPr>
        <w:pStyle w:val="BodyText"/>
      </w:pPr>
    </w:p>
    <w:p w:rsidR="006D699D" w:rsidRDefault="006D699D" w:rsidP="006D699D">
      <w:pPr>
        <w:pStyle w:val="BodyText"/>
        <w:rPr>
          <w:szCs w:val="22"/>
        </w:rPr>
      </w:pPr>
      <w:r w:rsidRPr="00BF71B8">
        <w:rPr>
          <w:i/>
          <w:szCs w:val="22"/>
        </w:rPr>
        <w:t>For more detail on PBAC’s view, see section 7 “PBAC outcome”</w:t>
      </w:r>
    </w:p>
    <w:p w:rsidR="006D699D" w:rsidRDefault="006D699D" w:rsidP="006D699D">
      <w:pPr>
        <w:pStyle w:val="BodyText"/>
      </w:pPr>
    </w:p>
    <w:p w:rsidR="006D699D" w:rsidRDefault="006D699D" w:rsidP="006D699D">
      <w:pPr>
        <w:rPr>
          <w:bCs/>
          <w:szCs w:val="22"/>
        </w:rPr>
      </w:pPr>
    </w:p>
    <w:p w:rsidR="006D699D" w:rsidRPr="00534E3D" w:rsidRDefault="006D699D" w:rsidP="00FF792C">
      <w:pPr>
        <w:pStyle w:val="Heading1"/>
        <w:rPr>
          <w:bCs/>
        </w:rPr>
      </w:pPr>
      <w:r w:rsidRPr="00534E3D">
        <w:rPr>
          <w:bCs/>
        </w:rPr>
        <w:t>PBAC Outcome</w:t>
      </w:r>
    </w:p>
    <w:p w:rsidR="006D699D" w:rsidRPr="00BF71B8" w:rsidRDefault="006D699D" w:rsidP="006D699D">
      <w:pPr>
        <w:contextualSpacing/>
        <w:rPr>
          <w:b/>
          <w:bCs/>
          <w:szCs w:val="22"/>
          <w:lang w:val="en-GB"/>
        </w:rPr>
      </w:pPr>
    </w:p>
    <w:p w:rsidR="0017065B" w:rsidRPr="00481EB0" w:rsidRDefault="0017065B" w:rsidP="006D699D">
      <w:pPr>
        <w:numPr>
          <w:ilvl w:val="1"/>
          <w:numId w:val="31"/>
        </w:numPr>
        <w:contextualSpacing/>
        <w:rPr>
          <w:bCs/>
          <w:szCs w:val="22"/>
          <w:lang w:val="en-GB"/>
        </w:rPr>
      </w:pPr>
      <w:r w:rsidRPr="00481EB0">
        <w:rPr>
          <w:bCs/>
          <w:szCs w:val="22"/>
          <w:lang w:val="en-GB"/>
        </w:rPr>
        <w:t xml:space="preserve">The PBAC recommended the Authority </w:t>
      </w:r>
      <w:proofErr w:type="gramStart"/>
      <w:r w:rsidRPr="00481EB0">
        <w:rPr>
          <w:bCs/>
          <w:szCs w:val="22"/>
          <w:lang w:val="en-GB"/>
        </w:rPr>
        <w:t>Required</w:t>
      </w:r>
      <w:proofErr w:type="gramEnd"/>
      <w:r w:rsidRPr="00481EB0">
        <w:rPr>
          <w:bCs/>
          <w:szCs w:val="22"/>
          <w:lang w:val="en-GB"/>
        </w:rPr>
        <w:t xml:space="preserve"> (streamlined) listing of </w:t>
      </w:r>
      <w:r w:rsidR="00CD6248" w:rsidRPr="00481EB0">
        <w:rPr>
          <w:bCs/>
          <w:szCs w:val="22"/>
          <w:lang w:val="en-GB"/>
        </w:rPr>
        <w:t>vildagliptin</w:t>
      </w:r>
      <w:r w:rsidRPr="00481EB0">
        <w:rPr>
          <w:bCs/>
          <w:szCs w:val="22"/>
          <w:lang w:val="en-GB"/>
        </w:rPr>
        <w:t xml:space="preserve"> in triple oral combination with metformin and a sulfonylurea on a cost minimisation basis with dapagliflozin. The equi-effective doses were</w:t>
      </w:r>
      <w:r w:rsidR="00CD6248" w:rsidRPr="00481EB0">
        <w:rPr>
          <w:bCs/>
          <w:szCs w:val="22"/>
          <w:lang w:val="en-GB"/>
        </w:rPr>
        <w:t xml:space="preserve"> </w:t>
      </w:r>
      <w:r w:rsidR="00CD6248" w:rsidRPr="00481EB0">
        <w:t xml:space="preserve">vildagliptin 100mg/day (given as two 50mg doses) and </w:t>
      </w:r>
      <w:r w:rsidR="00E15BBD" w:rsidRPr="00481EB0">
        <w:t xml:space="preserve">dapagliflozin </w:t>
      </w:r>
      <w:r w:rsidR="00CD6248" w:rsidRPr="00481EB0">
        <w:t>10mg/day.</w:t>
      </w:r>
    </w:p>
    <w:p w:rsidR="0017065B" w:rsidRPr="00481EB0" w:rsidRDefault="0017065B" w:rsidP="0017065B">
      <w:pPr>
        <w:ind w:left="720"/>
        <w:contextualSpacing/>
        <w:rPr>
          <w:bCs/>
          <w:szCs w:val="22"/>
          <w:lang w:val="en-GB"/>
        </w:rPr>
      </w:pPr>
    </w:p>
    <w:p w:rsidR="00E15BBD" w:rsidRPr="00481EB0" w:rsidRDefault="00E15BBD" w:rsidP="006D699D">
      <w:pPr>
        <w:numPr>
          <w:ilvl w:val="1"/>
          <w:numId w:val="31"/>
        </w:numPr>
        <w:contextualSpacing/>
        <w:rPr>
          <w:bCs/>
          <w:szCs w:val="22"/>
          <w:lang w:val="en-GB"/>
        </w:rPr>
      </w:pPr>
      <w:r w:rsidRPr="00481EB0">
        <w:rPr>
          <w:bCs/>
          <w:szCs w:val="22"/>
          <w:lang w:val="en-GB"/>
        </w:rPr>
        <w:t xml:space="preserve">The PBAC recommended the Authority Required (Streamlined) listing of vildagliptin with metformin (FDC) in combination with a sulfonylurea on a cost minimisation basis to the individual components taken concomitantly. </w:t>
      </w:r>
    </w:p>
    <w:p w:rsidR="006D699D" w:rsidRPr="00481EB0" w:rsidRDefault="006D699D" w:rsidP="006D699D">
      <w:pPr>
        <w:ind w:left="720"/>
        <w:contextualSpacing/>
        <w:rPr>
          <w:bCs/>
          <w:szCs w:val="22"/>
          <w:highlight w:val="yellow"/>
          <w:lang w:val="en-GB"/>
        </w:rPr>
      </w:pPr>
    </w:p>
    <w:p w:rsidR="00E15BBD" w:rsidRPr="00481EB0" w:rsidRDefault="00E15BBD" w:rsidP="006D699D">
      <w:pPr>
        <w:numPr>
          <w:ilvl w:val="1"/>
          <w:numId w:val="31"/>
        </w:numPr>
        <w:contextualSpacing/>
        <w:rPr>
          <w:bCs/>
          <w:szCs w:val="22"/>
          <w:lang w:val="en-GB"/>
        </w:rPr>
      </w:pPr>
      <w:r w:rsidRPr="00481EB0">
        <w:rPr>
          <w:bCs/>
          <w:szCs w:val="22"/>
          <w:lang w:val="en-GB"/>
        </w:rPr>
        <w:t>The PBAC accepted that dapagliflozin was an appropriate comparator. The PBAC also considered that sitagliptin and saxagliptin were also appropriate secondary comparators.</w:t>
      </w:r>
    </w:p>
    <w:p w:rsidR="00481EB0" w:rsidRPr="00481EB0" w:rsidRDefault="00481EB0" w:rsidP="00481EB0">
      <w:pPr>
        <w:contextualSpacing/>
        <w:rPr>
          <w:bCs/>
          <w:szCs w:val="22"/>
          <w:lang w:val="en-GB"/>
        </w:rPr>
      </w:pPr>
    </w:p>
    <w:p w:rsidR="006D699D" w:rsidRPr="00481EB0" w:rsidRDefault="008242F3" w:rsidP="006D699D">
      <w:pPr>
        <w:numPr>
          <w:ilvl w:val="1"/>
          <w:numId w:val="31"/>
        </w:numPr>
        <w:contextualSpacing/>
        <w:rPr>
          <w:bCs/>
          <w:szCs w:val="22"/>
          <w:lang w:val="en-GB"/>
        </w:rPr>
      </w:pPr>
      <w:r w:rsidRPr="00481EB0">
        <w:rPr>
          <w:bCs/>
          <w:szCs w:val="22"/>
          <w:lang w:val="en-GB"/>
        </w:rPr>
        <w:t xml:space="preserve">The PBAC considered that the clinical claim of non-inferior comparative </w:t>
      </w:r>
      <w:r w:rsidR="00481EB0" w:rsidRPr="00481EB0">
        <w:rPr>
          <w:bCs/>
          <w:szCs w:val="22"/>
          <w:lang w:val="en-GB"/>
        </w:rPr>
        <w:t>effectiveness</w:t>
      </w:r>
      <w:r w:rsidRPr="00481EB0">
        <w:rPr>
          <w:bCs/>
          <w:szCs w:val="22"/>
          <w:lang w:val="en-GB"/>
        </w:rPr>
        <w:t xml:space="preserve"> and safety between vildagliptin</w:t>
      </w:r>
      <w:r w:rsidR="00F05020" w:rsidRPr="00481EB0">
        <w:rPr>
          <w:bCs/>
          <w:szCs w:val="22"/>
          <w:lang w:val="en-GB"/>
        </w:rPr>
        <w:t xml:space="preserve"> and dapagliflozin</w:t>
      </w:r>
      <w:r w:rsidR="00481EB0" w:rsidRPr="00481EB0">
        <w:rPr>
          <w:bCs/>
          <w:szCs w:val="22"/>
          <w:lang w:val="en-GB"/>
        </w:rPr>
        <w:t xml:space="preserve">, </w:t>
      </w:r>
      <w:r w:rsidR="00F05020" w:rsidRPr="00481EB0">
        <w:rPr>
          <w:bCs/>
          <w:szCs w:val="22"/>
          <w:lang w:val="en-GB"/>
        </w:rPr>
        <w:t>sitagliptin</w:t>
      </w:r>
      <w:r w:rsidR="00481EB0" w:rsidRPr="00481EB0">
        <w:rPr>
          <w:bCs/>
          <w:szCs w:val="22"/>
          <w:lang w:val="en-GB"/>
        </w:rPr>
        <w:t xml:space="preserve"> and</w:t>
      </w:r>
      <w:r w:rsidR="00F05020" w:rsidRPr="00481EB0">
        <w:rPr>
          <w:bCs/>
          <w:szCs w:val="22"/>
          <w:lang w:val="en-GB"/>
        </w:rPr>
        <w:t xml:space="preserve"> saxagliptin when used in triple oral therapy with metformin and a sulfonylurea, was reasonable.</w:t>
      </w:r>
    </w:p>
    <w:p w:rsidR="00632A7D" w:rsidRPr="00481EB0" w:rsidRDefault="00632A7D" w:rsidP="00632A7D">
      <w:pPr>
        <w:pStyle w:val="ListParagraph"/>
        <w:rPr>
          <w:bCs/>
          <w:szCs w:val="22"/>
          <w:lang w:val="en-GB"/>
        </w:rPr>
      </w:pPr>
    </w:p>
    <w:p w:rsidR="006D699D" w:rsidRPr="00481EB0" w:rsidRDefault="00806693" w:rsidP="003B1D43">
      <w:pPr>
        <w:pStyle w:val="ListParagraph"/>
        <w:widowControl/>
        <w:numPr>
          <w:ilvl w:val="1"/>
          <w:numId w:val="31"/>
        </w:numPr>
        <w:rPr>
          <w:szCs w:val="22"/>
        </w:rPr>
      </w:pPr>
      <w:r>
        <w:rPr>
          <w:color w:val="000000" w:themeColor="text1"/>
        </w:rPr>
        <w:t xml:space="preserve">The PBAC recalled from previous consideration of treatments for diabetes that the PBS market for these drugs is not yet stable. The PBAC considered that it was not possible to exclude the possibility that the market would not grow further upon the PBS listing of vildagliptin and vildagliptin with metformin for triple oral therapy. </w:t>
      </w:r>
      <w:r w:rsidR="00632A7D" w:rsidRPr="00481EB0">
        <w:rPr>
          <w:color w:val="000000" w:themeColor="text1"/>
        </w:rPr>
        <w:t>.</w:t>
      </w:r>
    </w:p>
    <w:p w:rsidR="009210AA" w:rsidRPr="00481EB0" w:rsidRDefault="009210AA" w:rsidP="009210AA">
      <w:pPr>
        <w:pStyle w:val="ListParagraph"/>
        <w:rPr>
          <w:szCs w:val="22"/>
        </w:rPr>
      </w:pPr>
    </w:p>
    <w:p w:rsidR="00FF29C0" w:rsidRPr="00481EB0" w:rsidRDefault="009210AA" w:rsidP="00FF29C0">
      <w:pPr>
        <w:pStyle w:val="ListParagraph"/>
        <w:widowControl/>
        <w:numPr>
          <w:ilvl w:val="1"/>
          <w:numId w:val="31"/>
        </w:numPr>
      </w:pPr>
      <w:r w:rsidRPr="00481EB0">
        <w:t xml:space="preserve">The PBAC recalled its previous advice that the additional costs associated with liver function tests </w:t>
      </w:r>
      <w:r w:rsidR="00B12C00" w:rsidRPr="00481EB0">
        <w:t xml:space="preserve">(LFTs) </w:t>
      </w:r>
      <w:r w:rsidRPr="00481EB0">
        <w:t xml:space="preserve">required for patients receiving vildagliptin were offset by the lower dose and subsequent cost of vildagliptin per day compared to sitagliptin per day when either agent was used in combination with a sulfonylurea, when at least 40% of vildagliptin was used in combination with a sulfonylurea (March 2010 Public Summary Document). </w:t>
      </w:r>
      <w:r w:rsidR="00B12C00" w:rsidRPr="00481EB0">
        <w:t>The PBAC noted</w:t>
      </w:r>
      <w:r w:rsidRPr="00481EB0">
        <w:t xml:space="preserve"> that in the case of triple oral therapy, the recommended dose of vildagliptin is 100mg/day (given as 2 x 50mg doses), </w:t>
      </w:r>
      <w:r w:rsidR="00B12C00" w:rsidRPr="00481EB0">
        <w:t xml:space="preserve">and it could therefore be considered the cost of LFTs is no longer offset by a proportion of use at a lower dosage. However, the PBAC noted that the submission had factored in these costs by assuming that 50% of patients under the proposed triple oral therapy listing would have previously received treatment under the dual oral therapy listing, and thus not require a LFT every three months in the first year (see Table 5). </w:t>
      </w:r>
      <w:r w:rsidR="00FF29C0">
        <w:t xml:space="preserve">The PBAC noted the ESC advice </w:t>
      </w:r>
      <w:r w:rsidR="00FF29C0" w:rsidRPr="006D699D">
        <w:t xml:space="preserve">that if all patients receiving vildagliptin as part of a triple oral therapy regimen required liver function testing in the first year of treatment, this could turn the projected PBS savings into an overall cost to the PBS.  </w:t>
      </w:r>
      <w:r w:rsidR="00FF29C0">
        <w:t xml:space="preserve">The Pre-PBAC Response (p. 2) argued that the likelihood of all vildagliptin triple therapy patients being naïve to this molecule prior to being prescribed triple therapy is very low. The PBAC considered this reasonable, and noted that in practice </w:t>
      </w:r>
      <w:r w:rsidR="00FF29C0" w:rsidRPr="00481EB0">
        <w:t xml:space="preserve">many patients with type 2 diabetes mellitus </w:t>
      </w:r>
      <w:r w:rsidR="00FF29C0">
        <w:t>may</w:t>
      </w:r>
      <w:r w:rsidR="00FF29C0" w:rsidRPr="00481EB0">
        <w:t xml:space="preserve"> receive annual LFTs regardless of therapy prescribed.</w:t>
      </w:r>
    </w:p>
    <w:p w:rsidR="009210AA" w:rsidRPr="00481EB0" w:rsidRDefault="009210AA" w:rsidP="009210AA">
      <w:pPr>
        <w:pStyle w:val="ListParagraph"/>
        <w:widowControl/>
        <w:rPr>
          <w:szCs w:val="22"/>
        </w:rPr>
      </w:pPr>
    </w:p>
    <w:p w:rsidR="00481EB0" w:rsidRDefault="003B1D43" w:rsidP="003B1D43">
      <w:pPr>
        <w:numPr>
          <w:ilvl w:val="1"/>
          <w:numId w:val="31"/>
        </w:numPr>
        <w:contextualSpacing/>
        <w:rPr>
          <w:bCs/>
          <w:szCs w:val="22"/>
          <w:lang w:val="en-GB"/>
        </w:rPr>
      </w:pPr>
      <w:r w:rsidRPr="00481EB0">
        <w:rPr>
          <w:szCs w:val="22"/>
        </w:rPr>
        <w:t xml:space="preserve">The PBAC recommended that the restriction wording for these listings be consistent with the restrictions for triple oral therapy listings for sitagliptin and </w:t>
      </w:r>
      <w:proofErr w:type="gramStart"/>
      <w:r w:rsidRPr="00481EB0">
        <w:rPr>
          <w:szCs w:val="22"/>
        </w:rPr>
        <w:t>its</w:t>
      </w:r>
      <w:proofErr w:type="gramEnd"/>
      <w:r w:rsidRPr="00481EB0">
        <w:rPr>
          <w:szCs w:val="22"/>
        </w:rPr>
        <w:t xml:space="preserve"> FDC, which are </w:t>
      </w:r>
      <w:r w:rsidRPr="00481EB0">
        <w:rPr>
          <w:szCs w:val="22"/>
        </w:rPr>
        <w:lastRenderedPageBreak/>
        <w:t>in turn consistent with the SGLT2 inhibitor restrictions.</w:t>
      </w:r>
    </w:p>
    <w:p w:rsidR="00481EB0" w:rsidRDefault="00481EB0" w:rsidP="00481EB0">
      <w:pPr>
        <w:pStyle w:val="ListParagraph"/>
        <w:rPr>
          <w:bCs/>
          <w:szCs w:val="22"/>
          <w:lang w:val="en-GB"/>
        </w:rPr>
      </w:pPr>
    </w:p>
    <w:p w:rsidR="003B1D43" w:rsidRDefault="00481EB0" w:rsidP="003B1D43">
      <w:pPr>
        <w:numPr>
          <w:ilvl w:val="1"/>
          <w:numId w:val="31"/>
        </w:numPr>
        <w:contextualSpacing/>
        <w:rPr>
          <w:bCs/>
          <w:szCs w:val="22"/>
          <w:lang w:val="en-GB"/>
        </w:rPr>
      </w:pPr>
      <w:r w:rsidRPr="00481EB0">
        <w:rPr>
          <w:bCs/>
          <w:szCs w:val="22"/>
          <w:lang w:val="en-GB"/>
        </w:rPr>
        <w:t xml:space="preserve">The PBAC recalled from previous analyses by DUSC and the Post Market Review of Diabetes Drugs that the PBS market for treatments for diabetes is not yet stable.  The PBAC considered that it was not possible to exclude the possibility that the market would not grow further upon the PBS listing </w:t>
      </w:r>
      <w:r>
        <w:rPr>
          <w:bCs/>
          <w:szCs w:val="22"/>
          <w:lang w:val="en-GB"/>
        </w:rPr>
        <w:t>vildagliptin</w:t>
      </w:r>
      <w:r w:rsidRPr="00481EB0">
        <w:rPr>
          <w:bCs/>
          <w:szCs w:val="22"/>
          <w:lang w:val="en-GB"/>
        </w:rPr>
        <w:t xml:space="preserve"> and </w:t>
      </w:r>
      <w:r>
        <w:rPr>
          <w:bCs/>
          <w:szCs w:val="22"/>
          <w:lang w:val="en-GB"/>
        </w:rPr>
        <w:t>vildagliptin</w:t>
      </w:r>
      <w:r w:rsidRPr="00481EB0">
        <w:rPr>
          <w:bCs/>
          <w:szCs w:val="22"/>
          <w:lang w:val="en-GB"/>
        </w:rPr>
        <w:t xml:space="preserve"> with metformin for triple oral therapy.</w:t>
      </w:r>
    </w:p>
    <w:p w:rsidR="00481EB0" w:rsidRPr="00481EB0" w:rsidRDefault="00481EB0" w:rsidP="00481EB0">
      <w:pPr>
        <w:contextualSpacing/>
        <w:rPr>
          <w:bCs/>
          <w:szCs w:val="22"/>
          <w:lang w:val="en-GB"/>
        </w:rPr>
      </w:pPr>
    </w:p>
    <w:p w:rsidR="003B1D43" w:rsidRPr="00481EB0" w:rsidRDefault="003B1D43" w:rsidP="003B1D43">
      <w:pPr>
        <w:pStyle w:val="ListParagraph"/>
        <w:widowControl/>
        <w:numPr>
          <w:ilvl w:val="1"/>
          <w:numId w:val="31"/>
        </w:numPr>
        <w:rPr>
          <w:szCs w:val="22"/>
        </w:rPr>
      </w:pPr>
      <w:r w:rsidRPr="00481EB0">
        <w:rPr>
          <w:szCs w:val="22"/>
        </w:rPr>
        <w:t xml:space="preserve">The PBAC advised that vildagliptin and vildagliptin with metformin FDC are suitable for prescribing by Nurse Practitioners for Continuing Therapy Only. </w:t>
      </w:r>
    </w:p>
    <w:p w:rsidR="003B1D43" w:rsidRPr="00481EB0" w:rsidRDefault="003B1D43" w:rsidP="003B1D43">
      <w:pPr>
        <w:widowControl/>
        <w:rPr>
          <w:szCs w:val="22"/>
        </w:rPr>
      </w:pPr>
    </w:p>
    <w:p w:rsidR="00B83A1A" w:rsidRPr="00A30AF7" w:rsidRDefault="00B83A1A" w:rsidP="00B83A1A">
      <w:pPr>
        <w:numPr>
          <w:ilvl w:val="1"/>
          <w:numId w:val="31"/>
        </w:numPr>
        <w:contextualSpacing/>
        <w:rPr>
          <w:bCs/>
          <w:szCs w:val="22"/>
          <w:lang w:val="en-GB"/>
        </w:rPr>
      </w:pPr>
      <w:r w:rsidRPr="00481EB0">
        <w:rPr>
          <w:bCs/>
          <w:szCs w:val="22"/>
          <w:lang w:val="en-GB"/>
        </w:rPr>
        <w:t xml:space="preserve">Under Section 101(3BA) of the </w:t>
      </w:r>
      <w:r w:rsidRPr="00E52A2E">
        <w:rPr>
          <w:bCs/>
          <w:i/>
          <w:szCs w:val="22"/>
          <w:lang w:val="en-GB"/>
        </w:rPr>
        <w:t>National Health Act 1953</w:t>
      </w:r>
      <w:r w:rsidRPr="00481EB0">
        <w:rPr>
          <w:bCs/>
          <w:szCs w:val="22"/>
          <w:lang w:val="en-GB"/>
        </w:rPr>
        <w:t xml:space="preserve">, the PBAC advised that </w:t>
      </w:r>
      <w:r w:rsidR="004E6D94" w:rsidRPr="00481EB0">
        <w:rPr>
          <w:bCs/>
          <w:szCs w:val="22"/>
          <w:lang w:val="en-GB"/>
        </w:rPr>
        <w:t>vildagliptin</w:t>
      </w:r>
      <w:r w:rsidRPr="00481EB0">
        <w:rPr>
          <w:bCs/>
          <w:szCs w:val="22"/>
          <w:lang w:val="en-GB"/>
        </w:rPr>
        <w:t xml:space="preserve"> should be treated as interchangeable on an individual patient basis with </w:t>
      </w:r>
      <w:r w:rsidRPr="00A30AF7">
        <w:rPr>
          <w:bCs/>
          <w:szCs w:val="22"/>
          <w:lang w:val="en-GB"/>
        </w:rPr>
        <w:t xml:space="preserve">sitagliptin </w:t>
      </w:r>
      <w:r w:rsidR="004E6D94" w:rsidRPr="00A30AF7">
        <w:rPr>
          <w:bCs/>
          <w:szCs w:val="22"/>
          <w:lang w:val="en-GB"/>
        </w:rPr>
        <w:t xml:space="preserve">and </w:t>
      </w:r>
      <w:r w:rsidRPr="00A30AF7">
        <w:rPr>
          <w:bCs/>
          <w:szCs w:val="22"/>
          <w:lang w:val="en-GB"/>
        </w:rPr>
        <w:t xml:space="preserve">saxagliptin </w:t>
      </w:r>
      <w:r w:rsidR="00481EB0" w:rsidRPr="00A30AF7">
        <w:rPr>
          <w:bCs/>
          <w:szCs w:val="22"/>
          <w:lang w:val="en-GB"/>
        </w:rPr>
        <w:t>for triple oral therapy</w:t>
      </w:r>
      <w:r w:rsidRPr="00A30AF7">
        <w:rPr>
          <w:bCs/>
          <w:szCs w:val="22"/>
          <w:lang w:val="en-GB"/>
        </w:rPr>
        <w:t xml:space="preserve">. The PBAC advised that </w:t>
      </w:r>
      <w:r w:rsidR="00481EB0" w:rsidRPr="00A30AF7">
        <w:rPr>
          <w:bCs/>
          <w:szCs w:val="22"/>
          <w:lang w:val="en-GB"/>
        </w:rPr>
        <w:t xml:space="preserve">vildagliptin </w:t>
      </w:r>
      <w:r w:rsidRPr="00A30AF7">
        <w:rPr>
          <w:bCs/>
          <w:szCs w:val="22"/>
          <w:lang w:val="en-GB"/>
        </w:rPr>
        <w:t>with metformin should be treated as interchangeable on an individual patient basis with: sitagliptin with metformin</w:t>
      </w:r>
      <w:r w:rsidR="004E6D94" w:rsidRPr="00A30AF7">
        <w:rPr>
          <w:bCs/>
          <w:szCs w:val="22"/>
          <w:lang w:val="en-GB"/>
        </w:rPr>
        <w:t xml:space="preserve"> and</w:t>
      </w:r>
      <w:r w:rsidRPr="00A30AF7">
        <w:rPr>
          <w:bCs/>
          <w:szCs w:val="22"/>
          <w:lang w:val="en-GB"/>
        </w:rPr>
        <w:t xml:space="preserve"> saxagliptin with metformin </w:t>
      </w:r>
      <w:r w:rsidR="00481EB0" w:rsidRPr="00A30AF7">
        <w:rPr>
          <w:bCs/>
          <w:szCs w:val="22"/>
          <w:lang w:val="en-GB"/>
        </w:rPr>
        <w:t>for triple oral therapy</w:t>
      </w:r>
      <w:r w:rsidRPr="00A30AF7">
        <w:rPr>
          <w:bCs/>
          <w:szCs w:val="22"/>
          <w:lang w:val="en-GB"/>
        </w:rPr>
        <w:t>.</w:t>
      </w:r>
    </w:p>
    <w:p w:rsidR="006D699D" w:rsidRPr="00481EB0" w:rsidRDefault="006D699D" w:rsidP="006D699D">
      <w:pPr>
        <w:ind w:left="720"/>
        <w:contextualSpacing/>
        <w:rPr>
          <w:bCs/>
          <w:szCs w:val="22"/>
          <w:highlight w:val="yellow"/>
          <w:lang w:val="en-GB"/>
        </w:rPr>
      </w:pPr>
    </w:p>
    <w:p w:rsidR="006D699D" w:rsidRPr="00481EB0" w:rsidRDefault="006D699D" w:rsidP="006D699D">
      <w:pPr>
        <w:numPr>
          <w:ilvl w:val="1"/>
          <w:numId w:val="31"/>
        </w:numPr>
        <w:contextualSpacing/>
        <w:rPr>
          <w:bCs/>
          <w:szCs w:val="22"/>
          <w:lang w:val="en-GB"/>
        </w:rPr>
      </w:pPr>
      <w:r w:rsidRPr="00481EB0">
        <w:rPr>
          <w:bCs/>
          <w:szCs w:val="22"/>
          <w:lang w:val="en-GB"/>
        </w:rPr>
        <w:t xml:space="preserve">The PBAC </w:t>
      </w:r>
      <w:r w:rsidR="00534E3D" w:rsidRPr="00481EB0">
        <w:rPr>
          <w:bCs/>
          <w:szCs w:val="22"/>
          <w:lang w:val="en-GB"/>
        </w:rPr>
        <w:t xml:space="preserve">considered that there was no reason to exempt vildagliptin and vildagliptin with metformin FDC from the Early Supply Rule. </w:t>
      </w:r>
    </w:p>
    <w:p w:rsidR="00534E3D" w:rsidRPr="00481EB0" w:rsidRDefault="00534E3D" w:rsidP="00534E3D">
      <w:pPr>
        <w:contextualSpacing/>
        <w:rPr>
          <w:bCs/>
          <w:szCs w:val="22"/>
          <w:highlight w:val="yellow"/>
          <w:lang w:val="en-GB"/>
        </w:rPr>
      </w:pPr>
    </w:p>
    <w:p w:rsidR="006D699D" w:rsidRPr="00481EB0" w:rsidRDefault="006D699D" w:rsidP="006D699D">
      <w:pPr>
        <w:rPr>
          <w:b/>
          <w:bCs/>
          <w:szCs w:val="22"/>
          <w:lang w:val="en-GB"/>
        </w:rPr>
      </w:pPr>
      <w:r w:rsidRPr="00481EB0">
        <w:rPr>
          <w:b/>
          <w:bCs/>
          <w:szCs w:val="22"/>
          <w:lang w:val="en-GB"/>
        </w:rPr>
        <w:t>Outcome:</w:t>
      </w:r>
    </w:p>
    <w:p w:rsidR="006D699D" w:rsidRPr="00A33637" w:rsidRDefault="00534E3D" w:rsidP="006D699D">
      <w:pPr>
        <w:rPr>
          <w:bCs/>
          <w:szCs w:val="22"/>
          <w:lang w:val="en-GB"/>
        </w:rPr>
      </w:pPr>
      <w:r w:rsidRPr="00481EB0">
        <w:rPr>
          <w:bCs/>
          <w:szCs w:val="22"/>
          <w:lang w:val="en-GB"/>
        </w:rPr>
        <w:t>Recommended</w:t>
      </w:r>
    </w:p>
    <w:p w:rsidR="00534E3D" w:rsidRPr="00534E3D" w:rsidRDefault="006D699D" w:rsidP="00FF792C">
      <w:pPr>
        <w:pStyle w:val="Heading1"/>
        <w:rPr>
          <w:bCs/>
          <w:lang w:val="en-GB"/>
        </w:rPr>
      </w:pPr>
      <w:r w:rsidRPr="00534E3D">
        <w:rPr>
          <w:bCs/>
          <w:lang w:val="en-GB"/>
        </w:rPr>
        <w:t>Recommended listing</w:t>
      </w:r>
    </w:p>
    <w:p w:rsidR="00534E3D" w:rsidRPr="00534E3D" w:rsidRDefault="00534E3D" w:rsidP="00534E3D">
      <w:pPr>
        <w:pStyle w:val="PBACHeading10"/>
        <w:numPr>
          <w:ilvl w:val="0"/>
          <w:numId w:val="0"/>
        </w:numPr>
        <w:ind w:left="720"/>
        <w:rPr>
          <w:bCs/>
          <w:lang w:val="en-GB"/>
        </w:rPr>
      </w:pPr>
    </w:p>
    <w:p w:rsidR="006D699D" w:rsidRPr="00534E3D" w:rsidRDefault="006D699D" w:rsidP="00534E3D">
      <w:pPr>
        <w:pStyle w:val="PBACHeading10"/>
        <w:numPr>
          <w:ilvl w:val="1"/>
          <w:numId w:val="4"/>
        </w:numPr>
        <w:rPr>
          <w:b w:val="0"/>
          <w:bCs/>
          <w:lang w:val="en-GB"/>
        </w:rPr>
      </w:pPr>
      <w:r w:rsidRPr="00534E3D">
        <w:rPr>
          <w:b w:val="0"/>
          <w:bCs/>
        </w:rPr>
        <w:t>Amend existing/recommended listing as follows:</w:t>
      </w:r>
    </w:p>
    <w:p w:rsidR="006D699D" w:rsidRDefault="006D699D" w:rsidP="006D699D">
      <w:pPr>
        <w:rPr>
          <w:b/>
          <w:bCs/>
          <w:szCs w:val="22"/>
          <w:highlight w:val="yellow"/>
        </w:rPr>
      </w:pPr>
    </w:p>
    <w:p w:rsidR="000570FF" w:rsidRPr="008F242A" w:rsidRDefault="000570FF" w:rsidP="000570FF">
      <w:pPr>
        <w:rPr>
          <w:b/>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559"/>
        <w:gridCol w:w="1276"/>
        <w:gridCol w:w="1701"/>
      </w:tblGrid>
      <w:tr w:rsidR="000570FF" w:rsidRPr="00260CE3" w:rsidTr="003E437E">
        <w:trPr>
          <w:gridAfter w:val="1"/>
          <w:wAfter w:w="1701" w:type="dxa"/>
          <w:cantSplit/>
          <w:trHeight w:val="471"/>
        </w:trPr>
        <w:tc>
          <w:tcPr>
            <w:tcW w:w="3261" w:type="dxa"/>
            <w:gridSpan w:val="2"/>
            <w:tcBorders>
              <w:bottom w:val="single" w:sz="4" w:space="0" w:color="auto"/>
            </w:tcBorders>
          </w:tcPr>
          <w:p w:rsidR="000570FF" w:rsidRPr="008F242A" w:rsidRDefault="000570FF" w:rsidP="003E437E">
            <w:pPr>
              <w:keepNext/>
              <w:ind w:left="-108"/>
              <w:rPr>
                <w:rFonts w:ascii="Arial Narrow" w:hAnsi="Arial Narrow"/>
                <w:sz w:val="20"/>
              </w:rPr>
            </w:pPr>
            <w:r w:rsidRPr="008F242A">
              <w:rPr>
                <w:rFonts w:ascii="Arial Narrow" w:hAnsi="Arial Narrow"/>
                <w:sz w:val="20"/>
              </w:rPr>
              <w:t>Name, Restriction,</w:t>
            </w:r>
          </w:p>
          <w:p w:rsidR="000570FF" w:rsidRPr="008F242A" w:rsidRDefault="000570FF" w:rsidP="003E437E">
            <w:pPr>
              <w:keepNext/>
              <w:ind w:left="-108"/>
              <w:rPr>
                <w:rFonts w:ascii="Arial Narrow" w:hAnsi="Arial Narrow"/>
                <w:sz w:val="20"/>
              </w:rPr>
            </w:pPr>
            <w:r w:rsidRPr="008F242A">
              <w:rPr>
                <w:rFonts w:ascii="Arial Narrow" w:hAnsi="Arial Narrow"/>
                <w:sz w:val="20"/>
              </w:rPr>
              <w:t>Manner of administration and form</w:t>
            </w:r>
          </w:p>
        </w:tc>
        <w:tc>
          <w:tcPr>
            <w:tcW w:w="567" w:type="dxa"/>
            <w:tcBorders>
              <w:bottom w:val="single" w:sz="4" w:space="0" w:color="auto"/>
            </w:tcBorders>
          </w:tcPr>
          <w:p w:rsidR="000570FF" w:rsidRPr="008F242A" w:rsidRDefault="000570FF" w:rsidP="003E437E">
            <w:pPr>
              <w:keepNext/>
              <w:ind w:left="-108"/>
              <w:rPr>
                <w:rFonts w:ascii="Arial Narrow" w:hAnsi="Arial Narrow"/>
                <w:sz w:val="20"/>
              </w:rPr>
            </w:pPr>
            <w:r w:rsidRPr="008F242A">
              <w:rPr>
                <w:rFonts w:ascii="Arial Narrow" w:hAnsi="Arial Narrow"/>
                <w:sz w:val="20"/>
              </w:rPr>
              <w:t>Max.</w:t>
            </w:r>
          </w:p>
          <w:p w:rsidR="000570FF" w:rsidRPr="008F242A" w:rsidRDefault="000570FF" w:rsidP="003E437E">
            <w:pPr>
              <w:keepNext/>
              <w:ind w:left="-108"/>
              <w:rPr>
                <w:rFonts w:ascii="Arial Narrow" w:hAnsi="Arial Narrow"/>
                <w:sz w:val="20"/>
              </w:rPr>
            </w:pPr>
            <w:r w:rsidRPr="008F242A">
              <w:rPr>
                <w:rFonts w:ascii="Arial Narrow" w:hAnsi="Arial Narrow"/>
                <w:sz w:val="20"/>
              </w:rPr>
              <w:t>Qty</w:t>
            </w:r>
          </w:p>
        </w:tc>
        <w:tc>
          <w:tcPr>
            <w:tcW w:w="850" w:type="dxa"/>
            <w:tcBorders>
              <w:bottom w:val="single" w:sz="4" w:space="0" w:color="auto"/>
            </w:tcBorders>
          </w:tcPr>
          <w:p w:rsidR="000570FF" w:rsidRPr="008F242A" w:rsidRDefault="000570FF" w:rsidP="003E437E">
            <w:pPr>
              <w:keepNext/>
              <w:ind w:left="-108"/>
              <w:rPr>
                <w:rFonts w:ascii="Arial Narrow" w:hAnsi="Arial Narrow"/>
                <w:sz w:val="20"/>
              </w:rPr>
            </w:pPr>
            <w:r w:rsidRPr="008F242A">
              <w:rPr>
                <w:rFonts w:ascii="Arial Narrow" w:hAnsi="Arial Narrow"/>
                <w:sz w:val="20"/>
              </w:rPr>
              <w:t>№.of</w:t>
            </w:r>
          </w:p>
          <w:p w:rsidR="000570FF" w:rsidRPr="008F242A" w:rsidRDefault="000570FF" w:rsidP="003E437E">
            <w:pPr>
              <w:keepNext/>
              <w:ind w:left="-108"/>
              <w:rPr>
                <w:rFonts w:ascii="Arial Narrow" w:hAnsi="Arial Narrow"/>
                <w:sz w:val="20"/>
              </w:rPr>
            </w:pPr>
            <w:r w:rsidRPr="008F242A">
              <w:rPr>
                <w:rFonts w:ascii="Arial Narrow" w:hAnsi="Arial Narrow"/>
                <w:sz w:val="20"/>
              </w:rPr>
              <w:t>Rpts</w:t>
            </w:r>
          </w:p>
        </w:tc>
        <w:tc>
          <w:tcPr>
            <w:tcW w:w="2835" w:type="dxa"/>
            <w:gridSpan w:val="2"/>
            <w:tcBorders>
              <w:bottom w:val="single" w:sz="4" w:space="0" w:color="auto"/>
            </w:tcBorders>
          </w:tcPr>
          <w:p w:rsidR="000570FF" w:rsidRPr="00260CE3" w:rsidRDefault="000570FF" w:rsidP="003E437E">
            <w:pPr>
              <w:keepNext/>
              <w:rPr>
                <w:rFonts w:ascii="Arial Narrow" w:hAnsi="Arial Narrow"/>
                <w:sz w:val="20"/>
                <w:lang w:val="fr-FR"/>
              </w:rPr>
            </w:pPr>
            <w:r w:rsidRPr="008F242A">
              <w:rPr>
                <w:rFonts w:ascii="Arial Narrow" w:hAnsi="Arial Narrow"/>
                <w:sz w:val="20"/>
              </w:rPr>
              <w:t>Proprietary Name and Manufacturer</w:t>
            </w:r>
          </w:p>
        </w:tc>
      </w:tr>
      <w:tr w:rsidR="000570FF" w:rsidRPr="00260CE3" w:rsidTr="003E437E">
        <w:trPr>
          <w:gridAfter w:val="1"/>
          <w:wAfter w:w="1701" w:type="dxa"/>
          <w:cantSplit/>
          <w:trHeight w:val="714"/>
        </w:trPr>
        <w:tc>
          <w:tcPr>
            <w:tcW w:w="3261" w:type="dxa"/>
            <w:gridSpan w:val="2"/>
            <w:vAlign w:val="center"/>
          </w:tcPr>
          <w:p w:rsidR="000570FF" w:rsidRPr="002765AE" w:rsidRDefault="000570FF" w:rsidP="003E437E">
            <w:pPr>
              <w:keepNext/>
              <w:jc w:val="left"/>
              <w:rPr>
                <w:rFonts w:ascii="Arial Narrow" w:hAnsi="Arial Narrow"/>
                <w:sz w:val="20"/>
              </w:rPr>
            </w:pPr>
            <w:r w:rsidRPr="002765AE">
              <w:rPr>
                <w:rFonts w:ascii="Arial Narrow" w:hAnsi="Arial Narrow"/>
                <w:smallCaps/>
                <w:sz w:val="20"/>
              </w:rPr>
              <w:t>Vildagliptin</w:t>
            </w:r>
          </w:p>
          <w:p w:rsidR="000570FF" w:rsidRPr="002765AE" w:rsidRDefault="000570FF" w:rsidP="003E437E">
            <w:pPr>
              <w:keepNext/>
              <w:jc w:val="left"/>
              <w:rPr>
                <w:rFonts w:ascii="Arial Narrow" w:hAnsi="Arial Narrow"/>
                <w:sz w:val="20"/>
              </w:rPr>
            </w:pPr>
            <w:r w:rsidRPr="002765AE">
              <w:rPr>
                <w:rFonts w:ascii="Arial Narrow" w:hAnsi="Arial Narrow"/>
                <w:sz w:val="20"/>
              </w:rPr>
              <w:t>Tablet 50mg</w:t>
            </w:r>
          </w:p>
        </w:tc>
        <w:tc>
          <w:tcPr>
            <w:tcW w:w="567" w:type="dxa"/>
            <w:vAlign w:val="center"/>
          </w:tcPr>
          <w:p w:rsidR="000570FF" w:rsidRPr="002765AE" w:rsidRDefault="000570FF" w:rsidP="003E437E">
            <w:pPr>
              <w:keepNext/>
              <w:jc w:val="left"/>
              <w:rPr>
                <w:rFonts w:ascii="Arial Narrow" w:hAnsi="Arial Narrow"/>
                <w:sz w:val="20"/>
              </w:rPr>
            </w:pPr>
            <w:r w:rsidRPr="002765AE">
              <w:rPr>
                <w:rFonts w:ascii="Arial Narrow" w:hAnsi="Arial Narrow"/>
                <w:sz w:val="20"/>
              </w:rPr>
              <w:t>60</w:t>
            </w:r>
          </w:p>
        </w:tc>
        <w:tc>
          <w:tcPr>
            <w:tcW w:w="850" w:type="dxa"/>
            <w:vAlign w:val="center"/>
          </w:tcPr>
          <w:p w:rsidR="000570FF" w:rsidRPr="002765AE" w:rsidRDefault="000570FF" w:rsidP="003E437E">
            <w:pPr>
              <w:keepNext/>
              <w:jc w:val="left"/>
              <w:rPr>
                <w:rFonts w:ascii="Arial Narrow" w:hAnsi="Arial Narrow"/>
                <w:sz w:val="20"/>
              </w:rPr>
            </w:pPr>
            <w:r w:rsidRPr="002765AE">
              <w:rPr>
                <w:rFonts w:ascii="Arial Narrow" w:hAnsi="Arial Narrow"/>
                <w:sz w:val="20"/>
              </w:rPr>
              <w:t>5</w:t>
            </w:r>
          </w:p>
        </w:tc>
        <w:tc>
          <w:tcPr>
            <w:tcW w:w="1559" w:type="dxa"/>
            <w:vAlign w:val="center"/>
          </w:tcPr>
          <w:p w:rsidR="000570FF" w:rsidRPr="002765AE" w:rsidRDefault="000570FF" w:rsidP="003E437E">
            <w:pPr>
              <w:keepNext/>
              <w:jc w:val="left"/>
              <w:rPr>
                <w:rFonts w:ascii="Arial Narrow" w:hAnsi="Arial Narrow"/>
                <w:sz w:val="20"/>
                <w:vertAlign w:val="superscript"/>
              </w:rPr>
            </w:pPr>
            <w:r w:rsidRPr="002765AE">
              <w:rPr>
                <w:rFonts w:ascii="Arial Narrow" w:hAnsi="Arial Narrow"/>
                <w:sz w:val="20"/>
              </w:rPr>
              <w:t>Galvus</w:t>
            </w:r>
            <w:r w:rsidRPr="002765AE">
              <w:rPr>
                <w:rFonts w:ascii="Arial Narrow" w:hAnsi="Arial Narrow"/>
                <w:sz w:val="20"/>
                <w:vertAlign w:val="superscript"/>
              </w:rPr>
              <w:t>®</w:t>
            </w:r>
          </w:p>
        </w:tc>
        <w:tc>
          <w:tcPr>
            <w:tcW w:w="1276" w:type="dxa"/>
            <w:vAlign w:val="center"/>
          </w:tcPr>
          <w:p w:rsidR="000570FF" w:rsidRPr="002765AE" w:rsidRDefault="000570FF" w:rsidP="003E437E">
            <w:pPr>
              <w:keepNext/>
              <w:jc w:val="left"/>
              <w:rPr>
                <w:rFonts w:ascii="Arial Narrow" w:hAnsi="Arial Narrow"/>
                <w:sz w:val="20"/>
              </w:rPr>
            </w:pPr>
            <w:r w:rsidRPr="002765AE">
              <w:rPr>
                <w:rFonts w:ascii="Arial Narrow" w:hAnsi="Arial Narrow"/>
                <w:sz w:val="20"/>
              </w:rPr>
              <w:t>Novartis</w:t>
            </w:r>
          </w:p>
        </w:tc>
      </w:tr>
      <w:tr w:rsidR="000570FF" w:rsidRPr="00260CE3" w:rsidTr="003E437E">
        <w:trPr>
          <w:cantSplit/>
          <w:trHeight w:val="397"/>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sz w:val="20"/>
              </w:rPr>
            </w:pPr>
            <w:r w:rsidRPr="00260CE3">
              <w:rPr>
                <w:rFonts w:ascii="Arial Narrow" w:hAnsi="Arial Narrow"/>
                <w:sz w:val="20"/>
              </w:rPr>
              <w:t>GENERAL – General Schedule (Code GE)</w:t>
            </w:r>
          </w:p>
        </w:tc>
      </w:tr>
      <w:tr w:rsidR="000570FF" w:rsidRPr="00260CE3" w:rsidTr="003E437E">
        <w:trPr>
          <w:cantSplit/>
          <w:trHeight w:val="397"/>
        </w:trPr>
        <w:tc>
          <w:tcPr>
            <w:tcW w:w="2835" w:type="dxa"/>
            <w:tcBorders>
              <w:top w:val="single" w:sz="4" w:space="0" w:color="auto"/>
              <w:left w:val="single" w:sz="4" w:space="0" w:color="auto"/>
              <w:bottom w:val="single" w:sz="4" w:space="0" w:color="auto"/>
              <w:right w:val="single" w:sz="4" w:space="0" w:color="auto"/>
            </w:tcBorders>
          </w:tcPr>
          <w:p w:rsidR="000570FF" w:rsidRPr="0030502E" w:rsidRDefault="000570FF" w:rsidP="003E437E">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0570FF" w:rsidRPr="00260CE3" w:rsidRDefault="00F12313" w:rsidP="003E437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sidR="000570F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0570FF" w:rsidRPr="00260CE3">
              <w:rPr>
                <w:rFonts w:ascii="Arial Narrow" w:hAnsi="Arial Narrow"/>
                <w:sz w:val="20"/>
              </w:rPr>
              <w:t xml:space="preserve">Medical Practitioners  </w:t>
            </w:r>
            <w:r>
              <w:rPr>
                <w:rFonts w:ascii="Arial Narrow" w:hAnsi="Arial Narrow"/>
                <w:sz w:val="20"/>
              </w:rPr>
              <w:fldChar w:fldCharType="begin">
                <w:ffData>
                  <w:name w:val=""/>
                  <w:enabled/>
                  <w:calcOnExit w:val="0"/>
                  <w:checkBox>
                    <w:sizeAuto/>
                    <w:default w:val="1"/>
                  </w:checkBox>
                </w:ffData>
              </w:fldChar>
            </w:r>
            <w:r w:rsidR="000570F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0570FF" w:rsidRPr="00260CE3">
              <w:rPr>
                <w:rFonts w:ascii="Arial Narrow" w:hAnsi="Arial Narrow"/>
                <w:sz w:val="20"/>
              </w:rPr>
              <w:t xml:space="preserve">Nurse practitioners  </w:t>
            </w:r>
          </w:p>
        </w:tc>
      </w:tr>
      <w:tr w:rsidR="000570FF" w:rsidRPr="00260CE3" w:rsidTr="003E437E">
        <w:trPr>
          <w:cantSplit/>
          <w:trHeight w:val="397"/>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sz w:val="20"/>
              </w:rPr>
            </w:pPr>
            <w:r>
              <w:rPr>
                <w:rFonts w:ascii="Arial Narrow" w:hAnsi="Arial Narrow"/>
                <w:sz w:val="20"/>
              </w:rPr>
              <w:t>Diabetes mellitus type 2</w:t>
            </w:r>
          </w:p>
        </w:tc>
      </w:tr>
      <w:tr w:rsidR="000570FF" w:rsidRPr="00260CE3" w:rsidTr="003E437E">
        <w:trPr>
          <w:cantSplit/>
          <w:trHeight w:val="397"/>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570FF" w:rsidRPr="0030502E" w:rsidRDefault="000570FF" w:rsidP="003E437E">
            <w:pPr>
              <w:shd w:val="clear" w:color="auto" w:fill="FFFFFF"/>
              <w:rPr>
                <w:rFonts w:ascii="Arial Narrow" w:hAnsi="Arial Narrow"/>
                <w:sz w:val="20"/>
                <w:lang w:val="en-US" w:eastAsia="zh-CN"/>
              </w:rPr>
            </w:pPr>
            <w:r w:rsidRPr="000C7378">
              <w:rPr>
                <w:rFonts w:ascii="Arial Narrow" w:hAnsi="Arial Narrow"/>
                <w:sz w:val="20"/>
                <w:lang w:val="en-US" w:eastAsia="zh-CN"/>
              </w:rPr>
              <w:t>Diabetes mellitus type 2</w:t>
            </w:r>
          </w:p>
        </w:tc>
      </w:tr>
      <w:tr w:rsidR="000570FF" w:rsidRPr="00260CE3" w:rsidTr="003E437E">
        <w:trPr>
          <w:cantSplit/>
          <w:trHeight w:val="397"/>
        </w:trPr>
        <w:tc>
          <w:tcPr>
            <w:tcW w:w="2835" w:type="dxa"/>
            <w:tcBorders>
              <w:top w:val="single" w:sz="4" w:space="0" w:color="auto"/>
              <w:left w:val="single" w:sz="4" w:space="0" w:color="auto"/>
              <w:bottom w:val="single" w:sz="4" w:space="0" w:color="auto"/>
              <w:right w:val="single" w:sz="4" w:space="0" w:color="auto"/>
            </w:tcBorders>
          </w:tcPr>
          <w:p w:rsidR="000570FF" w:rsidRPr="0030502E" w:rsidRDefault="000570FF" w:rsidP="003E437E">
            <w:pPr>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sz w:val="20"/>
              </w:rPr>
            </w:pPr>
            <w:r>
              <w:rPr>
                <w:rFonts w:ascii="Arial Narrow" w:hAnsi="Arial Narrow"/>
                <w:sz w:val="20"/>
              </w:rPr>
              <w:t>N/A</w:t>
            </w:r>
          </w:p>
        </w:tc>
      </w:tr>
      <w:tr w:rsidR="000570FF" w:rsidRPr="00260CE3"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0570FF" w:rsidRDefault="000570FF" w:rsidP="003E437E">
            <w:pPr>
              <w:rPr>
                <w:rFonts w:ascii="Arial Narrow" w:hAnsi="Arial Narrow"/>
                <w:i/>
                <w:sz w:val="20"/>
                <w:highlight w:val="yellow"/>
              </w:rPr>
            </w:pPr>
          </w:p>
          <w:p w:rsidR="000570FF" w:rsidRPr="00CD28F3" w:rsidRDefault="000570FF" w:rsidP="003E437E">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70FF" w:rsidRPr="00106BCF" w:rsidRDefault="00F12313" w:rsidP="003E437E">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0570FF"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0570FF" w:rsidRPr="00106BCF">
              <w:rPr>
                <w:rFonts w:ascii="Arial Narrow" w:hAnsi="Arial Narrow"/>
                <w:sz w:val="20"/>
              </w:rPr>
              <w:t>Restricted benefit</w:t>
            </w:r>
          </w:p>
          <w:p w:rsidR="000570FF" w:rsidRPr="00106BCF" w:rsidRDefault="00F12313" w:rsidP="003E437E">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0570FF"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0570FF" w:rsidRPr="00106BCF">
              <w:rPr>
                <w:rFonts w:ascii="Arial Narrow" w:hAnsi="Arial Narrow"/>
                <w:sz w:val="20"/>
              </w:rPr>
              <w:t>Authority Required - In Writing</w:t>
            </w:r>
          </w:p>
          <w:p w:rsidR="000570FF" w:rsidRPr="00106BCF" w:rsidRDefault="00F12313" w:rsidP="003E437E">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0570FF"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0570FF" w:rsidRPr="00106BCF">
              <w:rPr>
                <w:rFonts w:ascii="Arial Narrow" w:hAnsi="Arial Narrow"/>
                <w:sz w:val="20"/>
              </w:rPr>
              <w:t>Authority Required - Telephone</w:t>
            </w:r>
          </w:p>
          <w:p w:rsidR="000570FF" w:rsidRPr="00106BCF" w:rsidRDefault="00F12313" w:rsidP="003E437E">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0570FF"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0570FF" w:rsidRPr="00106BCF">
              <w:rPr>
                <w:rFonts w:ascii="Arial Narrow" w:hAnsi="Arial Narrow"/>
                <w:sz w:val="20"/>
              </w:rPr>
              <w:t>Authority Required – Emergency</w:t>
            </w:r>
          </w:p>
          <w:p w:rsidR="000570FF" w:rsidRPr="00106BCF" w:rsidRDefault="00F12313" w:rsidP="003E437E">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0570FF"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0570FF" w:rsidRPr="00106BCF">
              <w:rPr>
                <w:rFonts w:ascii="Arial Narrow" w:hAnsi="Arial Narrow"/>
                <w:sz w:val="20"/>
              </w:rPr>
              <w:t>Authority Required - Electronic</w:t>
            </w:r>
          </w:p>
          <w:p w:rsidR="000570FF" w:rsidRPr="00260CE3" w:rsidRDefault="00F12313" w:rsidP="003E437E">
            <w:pPr>
              <w:rPr>
                <w:rFonts w:ascii="Arial Narrow" w:hAnsi="Arial Narrow"/>
                <w:sz w:val="20"/>
              </w:rPr>
            </w:pPr>
            <w:r>
              <w:rPr>
                <w:rFonts w:ascii="Arial Narrow" w:hAnsi="Arial Narrow"/>
                <w:sz w:val="20"/>
              </w:rPr>
              <w:fldChar w:fldCharType="begin">
                <w:ffData>
                  <w:name w:val="Check5"/>
                  <w:enabled w:val="0"/>
                  <w:calcOnExit w:val="0"/>
                  <w:checkBox>
                    <w:sizeAuto/>
                    <w:default w:val="1"/>
                  </w:checkBox>
                </w:ffData>
              </w:fldChar>
            </w:r>
            <w:r w:rsidR="000570F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0570FF" w:rsidRPr="00106BCF">
              <w:rPr>
                <w:rFonts w:ascii="Arial Narrow" w:hAnsi="Arial Narrow"/>
                <w:sz w:val="20"/>
              </w:rPr>
              <w:t>Streamlined</w:t>
            </w:r>
          </w:p>
        </w:tc>
      </w:tr>
      <w:tr w:rsidR="000570FF" w:rsidRPr="00260CE3"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lastRenderedPageBreak/>
              <w:t>Clinical criteria:</w:t>
            </w:r>
          </w:p>
          <w:p w:rsidR="000570FF" w:rsidRPr="00260CE3" w:rsidRDefault="000570FF" w:rsidP="003E437E">
            <w:pPr>
              <w:rPr>
                <w:rFonts w:ascii="Arial Narrow" w:hAnsi="Arial Narrow"/>
                <w:i/>
                <w:sz w:val="20"/>
              </w:rPr>
            </w:pPr>
          </w:p>
          <w:p w:rsidR="000570FF" w:rsidRPr="00260CE3" w:rsidRDefault="000570FF" w:rsidP="003E437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70FF" w:rsidRDefault="000570FF" w:rsidP="003E437E">
            <w:pPr>
              <w:spacing w:after="240" w:line="300" w:lineRule="atLeast"/>
              <w:rPr>
                <w:rFonts w:ascii="Arial Narrow" w:hAnsi="Arial Narrow"/>
                <w:color w:val="222222"/>
                <w:sz w:val="20"/>
                <w:lang w:val="en-US"/>
              </w:rPr>
            </w:pPr>
            <w:r w:rsidRPr="000C7378">
              <w:rPr>
                <w:rFonts w:ascii="Arial Narrow" w:hAnsi="Arial Narrow"/>
                <w:color w:val="222222"/>
                <w:sz w:val="20"/>
                <w:lang w:val="en-US"/>
              </w:rPr>
              <w:t>The treatment must be in combination with metformin,</w:t>
            </w:r>
          </w:p>
          <w:p w:rsidR="000570FF" w:rsidRPr="00990932" w:rsidRDefault="000570FF" w:rsidP="003E437E">
            <w:pPr>
              <w:spacing w:after="240" w:line="300" w:lineRule="atLeast"/>
              <w:rPr>
                <w:rFonts w:ascii="Arial Narrow" w:hAnsi="Arial Narrow"/>
                <w:color w:val="222222"/>
                <w:sz w:val="20"/>
                <w:lang w:val="en-US"/>
              </w:rPr>
            </w:pPr>
            <w:r w:rsidRPr="000C7378">
              <w:rPr>
                <w:rFonts w:ascii="Arial Narrow" w:hAnsi="Arial Narrow"/>
                <w:b/>
                <w:bCs/>
                <w:color w:val="222222"/>
                <w:sz w:val="20"/>
                <w:lang w:val="en-US"/>
              </w:rPr>
              <w:t>AND</w:t>
            </w:r>
          </w:p>
          <w:p w:rsidR="000570FF" w:rsidRPr="000C7378" w:rsidRDefault="000570FF" w:rsidP="003E437E">
            <w:pPr>
              <w:spacing w:after="240" w:line="300" w:lineRule="atLeast"/>
              <w:rPr>
                <w:color w:val="222222"/>
                <w:sz w:val="20"/>
                <w:lang w:val="en-US"/>
              </w:rPr>
            </w:pPr>
            <w:r w:rsidRPr="000C7378">
              <w:rPr>
                <w:rFonts w:ascii="Arial Narrow" w:hAnsi="Arial Narrow"/>
                <w:color w:val="222222"/>
                <w:sz w:val="20"/>
                <w:lang w:val="en-US"/>
              </w:rPr>
              <w:t>The treatment must be in combination with a sulfonylurea</w:t>
            </w:r>
            <w:r w:rsidRPr="000C7378">
              <w:rPr>
                <w:color w:val="222222"/>
                <w:sz w:val="20"/>
                <w:lang w:val="en-US"/>
              </w:rPr>
              <w:t>,</w:t>
            </w:r>
          </w:p>
          <w:p w:rsidR="000570FF" w:rsidRPr="000C7378" w:rsidRDefault="000570FF" w:rsidP="003E437E">
            <w:pPr>
              <w:shd w:val="clear" w:color="auto" w:fill="FFFFFF"/>
              <w:spacing w:after="120"/>
              <w:rPr>
                <w:rFonts w:ascii="Arial Narrow" w:hAnsi="Arial Narrow"/>
                <w:b/>
                <w:sz w:val="20"/>
                <w:lang w:val="en-US" w:eastAsia="zh-CN"/>
              </w:rPr>
            </w:pPr>
            <w:r w:rsidRPr="000C7378">
              <w:rPr>
                <w:rFonts w:ascii="Arial Narrow" w:hAnsi="Arial Narrow"/>
                <w:b/>
                <w:sz w:val="20"/>
                <w:lang w:val="en-US" w:eastAsia="zh-CN"/>
              </w:rPr>
              <w:t>AND</w:t>
            </w:r>
          </w:p>
          <w:p w:rsidR="000570FF" w:rsidRPr="00555D83" w:rsidRDefault="000570FF" w:rsidP="003E437E">
            <w:pPr>
              <w:rPr>
                <w:szCs w:val="22"/>
              </w:rPr>
            </w:pPr>
            <w:r w:rsidRPr="000C7378">
              <w:rPr>
                <w:rFonts w:ascii="Arial Narrow" w:hAnsi="Arial Narrow"/>
                <w:sz w:val="20"/>
                <w:lang w:val="en-US" w:eastAsia="zh-CN"/>
              </w:rPr>
              <w:t>Patients must have, or have had, a HbA1c measurement greater than 7% prior to the initiation</w:t>
            </w:r>
            <w:r>
              <w:rPr>
                <w:rFonts w:ascii="Arial Narrow" w:hAnsi="Arial Narrow"/>
                <w:sz w:val="20"/>
                <w:lang w:val="en-US" w:eastAsia="zh-CN"/>
              </w:rPr>
              <w:t xml:space="preserve"> of a </w:t>
            </w:r>
            <w:r w:rsidRPr="000C7378">
              <w:rPr>
                <w:rFonts w:ascii="Arial Narrow" w:hAnsi="Arial Narrow"/>
                <w:sz w:val="20"/>
                <w:lang w:val="en-US" w:eastAsia="zh-CN"/>
              </w:rPr>
              <w:t xml:space="preserve">dipeptidyl peptidase 4 inhibitor (gliptin), a thiazolidinedione (glitazone), a glucagon-like peptide-1 or a sodium-glucose co-transporter 2 (SGLT2) </w:t>
            </w:r>
            <w:r w:rsidRPr="000C7378">
              <w:rPr>
                <w:rFonts w:ascii="Arial Narrow" w:hAnsi="Arial Narrow"/>
                <w:color w:val="222222"/>
                <w:sz w:val="20"/>
              </w:rPr>
              <w:t xml:space="preserve">despite treatment with </w:t>
            </w:r>
            <w:r w:rsidRPr="000570FF">
              <w:rPr>
                <w:rFonts w:ascii="Arial Narrow" w:hAnsi="Arial Narrow"/>
                <w:sz w:val="20"/>
                <w:lang w:val="en-US" w:eastAsia="zh-CN"/>
              </w:rPr>
              <w:t>optimal doses of dual oral therapy; OR</w:t>
            </w:r>
            <w:r w:rsidRPr="00552722">
              <w:rPr>
                <w:szCs w:val="22"/>
              </w:rPr>
              <w:t xml:space="preserve"> </w:t>
            </w:r>
          </w:p>
          <w:p w:rsidR="000570FF" w:rsidRPr="000C7378" w:rsidRDefault="000570FF" w:rsidP="003E437E">
            <w:pPr>
              <w:shd w:val="clear" w:color="auto" w:fill="FFFFFF"/>
              <w:spacing w:after="120"/>
              <w:rPr>
                <w:rFonts w:ascii="Arial Narrow" w:hAnsi="Arial Narrow"/>
                <w:sz w:val="20"/>
                <w:lang w:val="en-US" w:eastAsia="zh-CN"/>
              </w:rPr>
            </w:pPr>
          </w:p>
          <w:p w:rsidR="000570FF" w:rsidRPr="006947EC" w:rsidRDefault="000570FF" w:rsidP="000570FF">
            <w:pPr>
              <w:shd w:val="clear" w:color="auto" w:fill="FFFFFF"/>
              <w:spacing w:before="100" w:beforeAutospacing="1" w:after="100" w:afterAutospacing="1"/>
              <w:rPr>
                <w:rFonts w:ascii="Arial Narrow" w:hAnsi="Arial Narrow"/>
                <w:sz w:val="20"/>
                <w:lang w:val="en-US" w:eastAsia="zh-CN"/>
              </w:rPr>
            </w:pPr>
            <w:r>
              <w:rPr>
                <w:rFonts w:ascii="Arial Narrow" w:hAnsi="Arial Narrow"/>
                <w:sz w:val="20"/>
                <w:lang w:val="en-US" w:eastAsia="zh-CN"/>
              </w:rPr>
              <w:t>Patients must have,</w:t>
            </w:r>
            <w:r w:rsidRPr="000C7378">
              <w:rPr>
                <w:rFonts w:ascii="Arial Narrow" w:hAnsi="Arial Narrow"/>
                <w:sz w:val="20"/>
                <w:lang w:val="en-US" w:eastAsia="zh-CN"/>
              </w:rPr>
              <w:t xml:space="preserve"> </w:t>
            </w:r>
            <w:r>
              <w:rPr>
                <w:rFonts w:ascii="Arial Narrow" w:hAnsi="Arial Narrow"/>
                <w:sz w:val="20"/>
                <w:lang w:val="en-US" w:eastAsia="zh-CN"/>
              </w:rPr>
              <w:t>o</w:t>
            </w:r>
            <w:r w:rsidRPr="000C7378">
              <w:rPr>
                <w:rFonts w:ascii="Arial Narrow" w:hAnsi="Arial Narrow"/>
                <w:sz w:val="20"/>
                <w:lang w:val="en-US" w:eastAsia="zh-CN"/>
              </w:rPr>
              <w:t>r have had, where HbA1c measurement is clinically appropriate, blood glucose levels greater than 10 mmol per L in more than 20% of tests over a 2 weeks period prior to initiation with a gliptin, a glitazone, a glucagon-like peptide-1 or an SGLT2 inhibitor d</w:t>
            </w:r>
            <w:r w:rsidRPr="000570FF">
              <w:rPr>
                <w:rFonts w:ascii="Arial Narrow" w:hAnsi="Arial Narrow"/>
                <w:sz w:val="20"/>
                <w:lang w:val="en-US" w:eastAsia="zh-CN"/>
              </w:rPr>
              <w:t>espite treatment with optimal doses of dual oral therapy.</w:t>
            </w:r>
          </w:p>
        </w:tc>
      </w:tr>
      <w:tr w:rsidR="000570FF" w:rsidRPr="00260CE3"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Prescriber Instructions</w:t>
            </w:r>
          </w:p>
          <w:p w:rsidR="000570FF" w:rsidRPr="00260CE3" w:rsidRDefault="000570FF" w:rsidP="003E437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70FF" w:rsidRDefault="000570FF" w:rsidP="003E437E">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 xml:space="preserve">The date and level of the qualifying HbA1c must be, or must have been, documented in the patient's medical records at the time treatment with a dipeptidyl peptidase 4 inhibitor (gliptin), a thiazolidinedione (glitazone), a glucagon-like peptide-1 or a sodium-glucose co-transporter 2 (SGLT2) is initiated. </w:t>
            </w:r>
          </w:p>
          <w:p w:rsidR="000570FF" w:rsidRPr="000C7378" w:rsidRDefault="000570FF" w:rsidP="003E437E">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The HbA1c must be no more than 4 months old at the time treatment with a gliptin, a glitazone, a glucagon-like peptide-1 or n SGLT2 inhibitor was initiated.</w:t>
            </w:r>
          </w:p>
          <w:p w:rsidR="000570FF" w:rsidRPr="000C7378" w:rsidRDefault="000570FF" w:rsidP="003E437E">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 xml:space="preserve">Blood glucose monitoring may be used as an alternative assessment to HbA1c levels in the following circumstances: </w:t>
            </w:r>
          </w:p>
          <w:p w:rsidR="000570FF" w:rsidRPr="000C7378" w:rsidRDefault="000570FF" w:rsidP="003E437E">
            <w:pPr>
              <w:shd w:val="clear" w:color="auto" w:fill="FFFFFF"/>
              <w:spacing w:before="100" w:beforeAutospacing="1" w:after="100" w:afterAutospacing="1"/>
              <w:ind w:left="720"/>
              <w:rPr>
                <w:rFonts w:ascii="Arial Narrow" w:hAnsi="Arial Narrow"/>
                <w:sz w:val="20"/>
                <w:lang w:val="en-US" w:eastAsia="zh-CN"/>
              </w:rPr>
            </w:pPr>
            <w:r w:rsidRPr="000C7378">
              <w:rPr>
                <w:rFonts w:ascii="Arial Narrow" w:hAnsi="Arial Narrow"/>
                <w:sz w:val="20"/>
                <w:lang w:val="en-US" w:eastAsia="zh-CN"/>
              </w:rPr>
              <w:t xml:space="preserve">(a) clinical conditions with reduced red blood cell survival, including haemolytic anaemias and haemoglobinopathies; and/or </w:t>
            </w:r>
          </w:p>
          <w:p w:rsidR="000570FF" w:rsidRPr="000C7378" w:rsidRDefault="000570FF" w:rsidP="003E437E">
            <w:pPr>
              <w:shd w:val="clear" w:color="auto" w:fill="FFFFFF"/>
              <w:spacing w:before="100" w:beforeAutospacing="1" w:after="100" w:afterAutospacing="1"/>
              <w:ind w:left="720"/>
              <w:rPr>
                <w:rFonts w:ascii="Arial Narrow" w:hAnsi="Arial Narrow"/>
                <w:sz w:val="20"/>
                <w:lang w:val="en-US" w:eastAsia="zh-CN"/>
              </w:rPr>
            </w:pPr>
            <w:r w:rsidRPr="000C7378">
              <w:rPr>
                <w:rFonts w:ascii="Arial Narrow" w:hAnsi="Arial Narrow"/>
                <w:sz w:val="20"/>
                <w:lang w:val="en-US" w:eastAsia="zh-CN"/>
              </w:rPr>
              <w:t xml:space="preserve">(b) </w:t>
            </w:r>
            <w:proofErr w:type="gramStart"/>
            <w:r>
              <w:rPr>
                <w:rFonts w:ascii="Arial Narrow" w:hAnsi="Arial Narrow"/>
                <w:sz w:val="20"/>
                <w:lang w:val="en-US" w:eastAsia="zh-CN"/>
              </w:rPr>
              <w:t>had</w:t>
            </w:r>
            <w:proofErr w:type="gramEnd"/>
            <w:r>
              <w:rPr>
                <w:rFonts w:ascii="Arial Narrow" w:hAnsi="Arial Narrow"/>
                <w:sz w:val="20"/>
                <w:lang w:val="en-US" w:eastAsia="zh-CN"/>
              </w:rPr>
              <w:t xml:space="preserve"> </w:t>
            </w:r>
            <w:r w:rsidRPr="000C7378">
              <w:rPr>
                <w:rFonts w:ascii="Arial Narrow" w:hAnsi="Arial Narrow"/>
                <w:sz w:val="20"/>
                <w:lang w:val="en-US" w:eastAsia="zh-CN"/>
              </w:rPr>
              <w:t xml:space="preserve">red cell transfusion within the previous 3 months. </w:t>
            </w:r>
          </w:p>
          <w:p w:rsidR="000570FF" w:rsidRPr="000C7378" w:rsidRDefault="000570FF" w:rsidP="003E437E">
            <w:pPr>
              <w:shd w:val="clear" w:color="auto" w:fill="FFFFFF"/>
              <w:spacing w:after="120"/>
              <w:rPr>
                <w:rFonts w:ascii="Arial Narrow" w:hAnsi="Arial Narrow"/>
                <w:sz w:val="20"/>
                <w:lang w:val="en-US" w:eastAsia="zh-CN"/>
              </w:rPr>
            </w:pPr>
            <w:r w:rsidRPr="000C7378">
              <w:rPr>
                <w:rFonts w:ascii="Arial Narrow" w:hAnsi="Arial Narrow"/>
                <w:sz w:val="20"/>
                <w:lang w:val="en-US" w:eastAsia="zh-CN"/>
              </w:rPr>
              <w:t xml:space="preserve">The results of the blood glucose monitoring, which must be no more than 4 months old at the time of initiation of treatment with a gliptin, a glitazone, a glucagon-like peptide-1 or an SGLT2 inhibitor, must be document in the patient’s medical records. </w:t>
            </w:r>
          </w:p>
          <w:p w:rsidR="000570FF" w:rsidRPr="000C7378" w:rsidRDefault="000570FF" w:rsidP="003E437E">
            <w:pPr>
              <w:shd w:val="clear" w:color="auto" w:fill="FFFFFF"/>
              <w:spacing w:after="120"/>
              <w:rPr>
                <w:rFonts w:ascii="Arial Narrow" w:hAnsi="Arial Narrow"/>
                <w:sz w:val="20"/>
                <w:lang w:val="en-US" w:eastAsia="zh-CN"/>
              </w:rPr>
            </w:pPr>
            <w:r w:rsidRPr="000C7378">
              <w:rPr>
                <w:rFonts w:ascii="Arial Narrow" w:hAnsi="Arial Narrow"/>
                <w:sz w:val="20"/>
                <w:lang w:val="en-US" w:eastAsia="zh-CN"/>
              </w:rPr>
              <w:t>A patient whose diabetes was previously demonstrated unable to be controlled with metformin or a sul</w:t>
            </w:r>
            <w:r>
              <w:rPr>
                <w:rFonts w:ascii="Arial Narrow" w:hAnsi="Arial Narrow"/>
                <w:sz w:val="20"/>
                <w:lang w:val="en-US" w:eastAsia="zh-CN"/>
              </w:rPr>
              <w:t>f</w:t>
            </w:r>
            <w:r w:rsidRPr="000C7378">
              <w:rPr>
                <w:rFonts w:ascii="Arial Narrow" w:hAnsi="Arial Narrow"/>
                <w:sz w:val="20"/>
                <w:lang w:val="en-US" w:eastAsia="zh-CN"/>
              </w:rPr>
              <w:t>onylurea does not need to requalify on this criterion before being eligible for PBS-subsidised treatment with</w:t>
            </w:r>
            <w:r>
              <w:rPr>
                <w:rFonts w:ascii="Arial Narrow" w:hAnsi="Arial Narrow"/>
                <w:sz w:val="20"/>
                <w:lang w:val="en-US" w:eastAsia="zh-CN"/>
              </w:rPr>
              <w:t xml:space="preserve"> this drug</w:t>
            </w:r>
            <w:r w:rsidRPr="000C7378">
              <w:rPr>
                <w:rFonts w:ascii="Arial Narrow" w:hAnsi="Arial Narrow"/>
                <w:sz w:val="20"/>
                <w:lang w:val="en-US" w:eastAsia="zh-CN"/>
              </w:rPr>
              <w:t>.</w:t>
            </w:r>
          </w:p>
          <w:p w:rsidR="000570FF" w:rsidRPr="00260CE3" w:rsidRDefault="000570FF" w:rsidP="003E437E">
            <w:pPr>
              <w:rPr>
                <w:rFonts w:ascii="Arial Narrow" w:hAnsi="Arial Narrow"/>
                <w:sz w:val="20"/>
              </w:rPr>
            </w:pPr>
          </w:p>
        </w:tc>
      </w:tr>
      <w:tr w:rsidR="000570FF" w:rsidRPr="00260CE3" w:rsidTr="003E437E">
        <w:trPr>
          <w:cantSplit/>
          <w:trHeight w:val="1213"/>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Administrative Advice</w:t>
            </w:r>
          </w:p>
          <w:p w:rsidR="000570FF" w:rsidRPr="00260CE3" w:rsidRDefault="000570FF" w:rsidP="003E437E">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70FF" w:rsidRPr="000570FF" w:rsidRDefault="000570FF" w:rsidP="003E437E">
            <w:pPr>
              <w:rPr>
                <w:rFonts w:ascii="Arial Narrow" w:hAnsi="Arial Narrow"/>
                <w:sz w:val="20"/>
                <w:u w:val="single"/>
                <w:lang w:val="en-US" w:eastAsia="zh-CN"/>
              </w:rPr>
            </w:pPr>
            <w:r w:rsidRPr="000570FF">
              <w:rPr>
                <w:rFonts w:ascii="Arial Narrow" w:hAnsi="Arial Narrow"/>
                <w:sz w:val="20"/>
                <w:u w:val="single"/>
                <w:lang w:val="en-US" w:eastAsia="zh-CN"/>
              </w:rPr>
              <w:t>Continuing Therapy Only:</w:t>
            </w:r>
          </w:p>
          <w:p w:rsidR="000570FF" w:rsidRPr="000570FF" w:rsidRDefault="000570FF" w:rsidP="003E437E">
            <w:pPr>
              <w:rPr>
                <w:rFonts w:ascii="Arial Narrow" w:hAnsi="Arial Narrow"/>
                <w:sz w:val="20"/>
                <w:lang w:val="en-US" w:eastAsia="zh-CN"/>
              </w:rPr>
            </w:pPr>
            <w:r w:rsidRPr="000570FF">
              <w:rPr>
                <w:rFonts w:ascii="Arial Narrow" w:hAnsi="Arial Narrow"/>
                <w:sz w:val="20"/>
                <w:lang w:val="en-US" w:eastAsia="zh-CN"/>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0570FF" w:rsidRPr="000570FF" w:rsidRDefault="000570FF" w:rsidP="003E437E">
            <w:pPr>
              <w:rPr>
                <w:rFonts w:ascii="Arial Narrow" w:hAnsi="Arial Narrow"/>
                <w:sz w:val="20"/>
                <w:lang w:val="en-US" w:eastAsia="zh-CN"/>
              </w:rPr>
            </w:pPr>
          </w:p>
          <w:p w:rsidR="000570FF" w:rsidRPr="000570FF" w:rsidRDefault="000570FF" w:rsidP="003E437E">
            <w:pPr>
              <w:rPr>
                <w:rFonts w:ascii="Arial Narrow" w:hAnsi="Arial Narrow"/>
                <w:sz w:val="20"/>
                <w:lang w:val="en-US" w:eastAsia="zh-CN"/>
              </w:rPr>
            </w:pPr>
            <w:r w:rsidRPr="000570FF">
              <w:rPr>
                <w:rFonts w:ascii="Arial Narrow" w:hAnsi="Arial Narrow"/>
                <w:sz w:val="20"/>
                <w:lang w:val="en-US" w:eastAsia="zh-CN"/>
              </w:rPr>
              <w:t>This drug is not PBS-subsidised for use as monotherapy or in combination with a thiazolidinedione (glitazone), a glucagon-like peptide-1 or an SGLT2-inhibitor</w:t>
            </w:r>
          </w:p>
          <w:p w:rsidR="000570FF" w:rsidRPr="000570FF" w:rsidRDefault="000570FF" w:rsidP="003E437E">
            <w:pPr>
              <w:rPr>
                <w:rFonts w:ascii="Arial Narrow" w:hAnsi="Arial Narrow"/>
                <w:sz w:val="20"/>
                <w:lang w:val="en-US" w:eastAsia="zh-CN"/>
              </w:rPr>
            </w:pPr>
          </w:p>
          <w:p w:rsidR="000570FF" w:rsidRPr="000570FF" w:rsidRDefault="000570FF" w:rsidP="003E437E">
            <w:pPr>
              <w:rPr>
                <w:rFonts w:ascii="Arial Narrow" w:hAnsi="Arial Narrow"/>
                <w:sz w:val="20"/>
              </w:rPr>
            </w:pPr>
            <w:r w:rsidRPr="000570FF">
              <w:rPr>
                <w:rFonts w:ascii="Arial Narrow" w:hAnsi="Arial Narrow"/>
                <w:sz w:val="20"/>
              </w:rPr>
              <w:t>PBS subsidised dual oral therapy does not include concomitant use of two of either: a gliptin, a glitazone or an SGLT2 inhibitor.</w:t>
            </w:r>
          </w:p>
        </w:tc>
      </w:tr>
    </w:tbl>
    <w:p w:rsidR="000570FF" w:rsidRDefault="000570FF" w:rsidP="000570FF">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559"/>
        <w:gridCol w:w="1276"/>
        <w:gridCol w:w="1701"/>
      </w:tblGrid>
      <w:tr w:rsidR="000570FF" w:rsidRPr="00260CE3" w:rsidTr="003E437E">
        <w:trPr>
          <w:gridAfter w:val="1"/>
          <w:wAfter w:w="1701" w:type="dxa"/>
          <w:cantSplit/>
          <w:trHeight w:val="471"/>
        </w:trPr>
        <w:tc>
          <w:tcPr>
            <w:tcW w:w="3261" w:type="dxa"/>
            <w:gridSpan w:val="2"/>
            <w:tcBorders>
              <w:bottom w:val="single" w:sz="4" w:space="0" w:color="auto"/>
            </w:tcBorders>
          </w:tcPr>
          <w:p w:rsidR="000570FF" w:rsidRPr="00260CE3" w:rsidRDefault="000570FF" w:rsidP="003E437E">
            <w:pPr>
              <w:keepNext/>
              <w:ind w:left="-108"/>
              <w:rPr>
                <w:rFonts w:ascii="Arial Narrow" w:hAnsi="Arial Narrow"/>
                <w:sz w:val="20"/>
              </w:rPr>
            </w:pPr>
            <w:r w:rsidRPr="00260CE3">
              <w:rPr>
                <w:rFonts w:ascii="Arial Narrow" w:hAnsi="Arial Narrow"/>
                <w:sz w:val="20"/>
              </w:rPr>
              <w:t>Name, Restriction,</w:t>
            </w:r>
          </w:p>
          <w:p w:rsidR="000570FF" w:rsidRPr="00260CE3" w:rsidRDefault="000570FF" w:rsidP="003E437E">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0570FF" w:rsidRPr="00260CE3" w:rsidRDefault="000570FF" w:rsidP="003E437E">
            <w:pPr>
              <w:keepNext/>
              <w:ind w:left="-108"/>
              <w:rPr>
                <w:rFonts w:ascii="Arial Narrow" w:hAnsi="Arial Narrow"/>
                <w:sz w:val="20"/>
              </w:rPr>
            </w:pPr>
            <w:r w:rsidRPr="00260CE3">
              <w:rPr>
                <w:rFonts w:ascii="Arial Narrow" w:hAnsi="Arial Narrow"/>
                <w:sz w:val="20"/>
              </w:rPr>
              <w:t>Max.</w:t>
            </w:r>
          </w:p>
          <w:p w:rsidR="000570FF" w:rsidRPr="00260CE3" w:rsidRDefault="000570FF" w:rsidP="003E437E">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0570FF" w:rsidRPr="00260CE3" w:rsidRDefault="000570FF" w:rsidP="003E437E">
            <w:pPr>
              <w:keepNext/>
              <w:ind w:left="-108"/>
              <w:rPr>
                <w:rFonts w:ascii="Arial Narrow" w:hAnsi="Arial Narrow"/>
                <w:sz w:val="20"/>
              </w:rPr>
            </w:pPr>
            <w:r w:rsidRPr="00260CE3">
              <w:rPr>
                <w:rFonts w:ascii="Arial Narrow" w:hAnsi="Arial Narrow"/>
                <w:sz w:val="20"/>
              </w:rPr>
              <w:t>№.of</w:t>
            </w:r>
          </w:p>
          <w:p w:rsidR="000570FF" w:rsidRPr="00260CE3" w:rsidRDefault="000570FF" w:rsidP="003E437E">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rsidR="000570FF" w:rsidRPr="00260CE3" w:rsidRDefault="000570FF" w:rsidP="003E437E">
            <w:pPr>
              <w:keepNext/>
              <w:rPr>
                <w:rFonts w:ascii="Arial Narrow" w:hAnsi="Arial Narrow"/>
                <w:sz w:val="20"/>
                <w:lang w:val="fr-FR"/>
              </w:rPr>
            </w:pPr>
            <w:r w:rsidRPr="00260CE3">
              <w:rPr>
                <w:rFonts w:ascii="Arial Narrow" w:hAnsi="Arial Narrow"/>
                <w:sz w:val="20"/>
              </w:rPr>
              <w:t>Proprietary Name and Manufacturer</w:t>
            </w:r>
          </w:p>
        </w:tc>
      </w:tr>
      <w:tr w:rsidR="000570FF" w:rsidRPr="002765AE" w:rsidTr="003E437E">
        <w:trPr>
          <w:gridAfter w:val="1"/>
          <w:wAfter w:w="1701" w:type="dxa"/>
          <w:cantSplit/>
          <w:trHeight w:val="577"/>
        </w:trPr>
        <w:tc>
          <w:tcPr>
            <w:tcW w:w="3261" w:type="dxa"/>
            <w:gridSpan w:val="2"/>
          </w:tcPr>
          <w:p w:rsidR="000570FF" w:rsidRPr="002765AE" w:rsidRDefault="000570FF" w:rsidP="003E437E">
            <w:pPr>
              <w:keepNext/>
              <w:rPr>
                <w:rFonts w:ascii="Arial Narrow" w:hAnsi="Arial Narrow"/>
                <w:smallCaps/>
                <w:sz w:val="20"/>
              </w:rPr>
            </w:pPr>
            <w:r w:rsidRPr="002765AE">
              <w:rPr>
                <w:rFonts w:ascii="Arial Narrow" w:hAnsi="Arial Narrow"/>
                <w:smallCaps/>
                <w:sz w:val="20"/>
              </w:rPr>
              <w:t>Vildagliptin/Metformin</w:t>
            </w:r>
          </w:p>
          <w:p w:rsidR="000570FF" w:rsidRPr="002765AE" w:rsidRDefault="000570FF" w:rsidP="003E437E">
            <w:pPr>
              <w:keepNext/>
              <w:rPr>
                <w:rFonts w:ascii="Arial Narrow" w:hAnsi="Arial Narrow"/>
                <w:sz w:val="20"/>
              </w:rPr>
            </w:pPr>
            <w:r w:rsidRPr="002765AE">
              <w:rPr>
                <w:rFonts w:ascii="Arial Narrow" w:hAnsi="Arial Narrow"/>
                <w:sz w:val="20"/>
              </w:rPr>
              <w:t>Tablet 50mg/500mg</w:t>
            </w:r>
          </w:p>
          <w:p w:rsidR="000570FF" w:rsidRPr="002765AE" w:rsidRDefault="000570FF" w:rsidP="003E437E">
            <w:pPr>
              <w:keepNext/>
              <w:rPr>
                <w:rFonts w:ascii="Arial Narrow" w:hAnsi="Arial Narrow"/>
                <w:sz w:val="20"/>
              </w:rPr>
            </w:pPr>
            <w:r w:rsidRPr="002765AE">
              <w:rPr>
                <w:rFonts w:ascii="Arial Narrow" w:hAnsi="Arial Narrow"/>
                <w:sz w:val="20"/>
              </w:rPr>
              <w:t>Tablet 50mg/850mg</w:t>
            </w:r>
          </w:p>
          <w:p w:rsidR="000570FF" w:rsidRPr="002765AE" w:rsidRDefault="000570FF" w:rsidP="003E437E">
            <w:pPr>
              <w:keepNext/>
              <w:rPr>
                <w:rFonts w:ascii="Arial Narrow" w:hAnsi="Arial Narrow"/>
                <w:sz w:val="20"/>
              </w:rPr>
            </w:pPr>
            <w:r w:rsidRPr="002765AE">
              <w:rPr>
                <w:rFonts w:ascii="Arial Narrow" w:hAnsi="Arial Narrow"/>
                <w:sz w:val="20"/>
              </w:rPr>
              <w:t>Tablet 50mg/1000mg</w:t>
            </w:r>
          </w:p>
        </w:tc>
        <w:tc>
          <w:tcPr>
            <w:tcW w:w="567" w:type="dxa"/>
          </w:tcPr>
          <w:p w:rsidR="000570FF" w:rsidRDefault="000570FF" w:rsidP="003E437E">
            <w:pPr>
              <w:keepNext/>
              <w:rPr>
                <w:rFonts w:ascii="Arial Narrow" w:hAnsi="Arial Narrow"/>
                <w:sz w:val="20"/>
              </w:rPr>
            </w:pPr>
          </w:p>
          <w:p w:rsidR="000570FF" w:rsidRPr="002765AE" w:rsidRDefault="000570FF" w:rsidP="003E437E">
            <w:pPr>
              <w:keepNext/>
              <w:rPr>
                <w:rFonts w:ascii="Arial Narrow" w:hAnsi="Arial Narrow"/>
                <w:sz w:val="20"/>
              </w:rPr>
            </w:pPr>
            <w:r w:rsidRPr="002765AE">
              <w:rPr>
                <w:rFonts w:ascii="Arial Narrow" w:hAnsi="Arial Narrow"/>
                <w:sz w:val="20"/>
              </w:rPr>
              <w:t>60</w:t>
            </w:r>
          </w:p>
          <w:p w:rsidR="000570FF" w:rsidRPr="002765AE" w:rsidRDefault="000570FF" w:rsidP="003E437E">
            <w:pPr>
              <w:keepNext/>
              <w:rPr>
                <w:rFonts w:ascii="Arial Narrow" w:hAnsi="Arial Narrow"/>
                <w:sz w:val="20"/>
              </w:rPr>
            </w:pPr>
            <w:r w:rsidRPr="002765AE">
              <w:rPr>
                <w:rFonts w:ascii="Arial Narrow" w:hAnsi="Arial Narrow"/>
                <w:sz w:val="20"/>
              </w:rPr>
              <w:t>60</w:t>
            </w:r>
          </w:p>
          <w:p w:rsidR="000570FF" w:rsidRPr="002765AE" w:rsidRDefault="000570FF" w:rsidP="003E437E">
            <w:pPr>
              <w:keepNext/>
              <w:rPr>
                <w:rFonts w:ascii="Arial Narrow" w:hAnsi="Arial Narrow"/>
                <w:sz w:val="20"/>
              </w:rPr>
            </w:pPr>
            <w:r w:rsidRPr="002765AE">
              <w:rPr>
                <w:rFonts w:ascii="Arial Narrow" w:hAnsi="Arial Narrow"/>
                <w:sz w:val="20"/>
              </w:rPr>
              <w:t>60</w:t>
            </w:r>
          </w:p>
        </w:tc>
        <w:tc>
          <w:tcPr>
            <w:tcW w:w="850" w:type="dxa"/>
          </w:tcPr>
          <w:p w:rsidR="000570FF" w:rsidRDefault="000570FF" w:rsidP="003E437E">
            <w:pPr>
              <w:keepNext/>
              <w:rPr>
                <w:rFonts w:ascii="Arial Narrow" w:hAnsi="Arial Narrow"/>
                <w:sz w:val="20"/>
              </w:rPr>
            </w:pPr>
          </w:p>
          <w:p w:rsidR="000570FF" w:rsidRPr="002765AE" w:rsidRDefault="000570FF" w:rsidP="003E437E">
            <w:pPr>
              <w:keepNext/>
              <w:rPr>
                <w:rFonts w:ascii="Arial Narrow" w:hAnsi="Arial Narrow"/>
                <w:sz w:val="20"/>
              </w:rPr>
            </w:pPr>
            <w:r w:rsidRPr="002765AE">
              <w:rPr>
                <w:rFonts w:ascii="Arial Narrow" w:hAnsi="Arial Narrow"/>
                <w:sz w:val="20"/>
              </w:rPr>
              <w:t>5</w:t>
            </w:r>
          </w:p>
          <w:p w:rsidR="000570FF" w:rsidRPr="002765AE" w:rsidRDefault="000570FF" w:rsidP="003E437E">
            <w:pPr>
              <w:keepNext/>
              <w:rPr>
                <w:rFonts w:ascii="Arial Narrow" w:hAnsi="Arial Narrow"/>
                <w:sz w:val="20"/>
              </w:rPr>
            </w:pPr>
            <w:r w:rsidRPr="002765AE">
              <w:rPr>
                <w:rFonts w:ascii="Arial Narrow" w:hAnsi="Arial Narrow"/>
                <w:sz w:val="20"/>
              </w:rPr>
              <w:t>5</w:t>
            </w:r>
          </w:p>
          <w:p w:rsidR="000570FF" w:rsidRPr="002765AE" w:rsidRDefault="000570FF" w:rsidP="003E437E">
            <w:pPr>
              <w:keepNext/>
              <w:rPr>
                <w:rFonts w:ascii="Arial Narrow" w:hAnsi="Arial Narrow"/>
                <w:sz w:val="20"/>
              </w:rPr>
            </w:pPr>
            <w:r w:rsidRPr="002765AE">
              <w:rPr>
                <w:rFonts w:ascii="Arial Narrow" w:hAnsi="Arial Narrow"/>
                <w:sz w:val="20"/>
              </w:rPr>
              <w:t>5</w:t>
            </w:r>
          </w:p>
        </w:tc>
        <w:tc>
          <w:tcPr>
            <w:tcW w:w="1559" w:type="dxa"/>
            <w:vAlign w:val="center"/>
          </w:tcPr>
          <w:p w:rsidR="000570FF" w:rsidRPr="002765AE" w:rsidRDefault="000570FF" w:rsidP="003E437E">
            <w:pPr>
              <w:keepNext/>
              <w:jc w:val="left"/>
              <w:rPr>
                <w:rFonts w:ascii="Arial Narrow" w:hAnsi="Arial Narrow"/>
                <w:sz w:val="20"/>
                <w:vertAlign w:val="superscript"/>
              </w:rPr>
            </w:pPr>
            <w:r w:rsidRPr="002765AE">
              <w:rPr>
                <w:rFonts w:ascii="Arial Narrow" w:hAnsi="Arial Narrow"/>
                <w:sz w:val="20"/>
              </w:rPr>
              <w:t>Galvumet</w:t>
            </w:r>
            <w:r w:rsidRPr="002765AE">
              <w:rPr>
                <w:rFonts w:ascii="Arial Narrow" w:hAnsi="Arial Narrow"/>
                <w:sz w:val="20"/>
                <w:vertAlign w:val="superscript"/>
              </w:rPr>
              <w:t>®</w:t>
            </w:r>
          </w:p>
        </w:tc>
        <w:tc>
          <w:tcPr>
            <w:tcW w:w="1276" w:type="dxa"/>
            <w:vAlign w:val="center"/>
          </w:tcPr>
          <w:p w:rsidR="000570FF" w:rsidRPr="002765AE" w:rsidRDefault="000570FF" w:rsidP="003E437E">
            <w:pPr>
              <w:keepNext/>
              <w:rPr>
                <w:rFonts w:ascii="Arial Narrow" w:hAnsi="Arial Narrow"/>
                <w:sz w:val="20"/>
              </w:rPr>
            </w:pPr>
            <w:r w:rsidRPr="002765AE">
              <w:rPr>
                <w:rFonts w:ascii="Arial Narrow" w:hAnsi="Arial Narrow"/>
                <w:sz w:val="20"/>
              </w:rPr>
              <w:t>Novartis</w:t>
            </w:r>
          </w:p>
        </w:tc>
      </w:tr>
      <w:tr w:rsidR="000570FF" w:rsidRPr="00260CE3"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sz w:val="20"/>
              </w:rPr>
            </w:pPr>
            <w:r w:rsidRPr="00260CE3">
              <w:rPr>
                <w:rFonts w:ascii="Arial Narrow" w:hAnsi="Arial Narrow"/>
                <w:sz w:val="20"/>
              </w:rPr>
              <w:t>GENERAL – General Schedule (Code GE)</w:t>
            </w:r>
          </w:p>
        </w:tc>
      </w:tr>
      <w:tr w:rsidR="000570FF" w:rsidRPr="00260CE3"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Default="000570FF" w:rsidP="003E437E">
            <w:pPr>
              <w:rPr>
                <w:rFonts w:ascii="Arial Narrow" w:hAnsi="Arial Narrow"/>
                <w:b/>
                <w:sz w:val="20"/>
              </w:rPr>
            </w:pPr>
            <w:r w:rsidRPr="00260CE3">
              <w:rPr>
                <w:rFonts w:ascii="Arial Narrow" w:hAnsi="Arial Narrow"/>
                <w:b/>
                <w:sz w:val="20"/>
              </w:rPr>
              <w:t>Prescriber type:</w:t>
            </w:r>
          </w:p>
          <w:p w:rsidR="000570FF" w:rsidRPr="00340D66" w:rsidRDefault="000570FF" w:rsidP="003E437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70FF" w:rsidRPr="00260CE3" w:rsidRDefault="00F12313" w:rsidP="003E437E">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sidR="000570F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0570FF" w:rsidRPr="00260CE3">
              <w:rPr>
                <w:rFonts w:ascii="Arial Narrow" w:hAnsi="Arial Narrow"/>
                <w:sz w:val="20"/>
              </w:rPr>
              <w:t xml:space="preserve">Medical Practitioners  </w:t>
            </w:r>
            <w:r>
              <w:rPr>
                <w:rFonts w:ascii="Arial Narrow" w:hAnsi="Arial Narrow"/>
                <w:sz w:val="20"/>
              </w:rPr>
              <w:fldChar w:fldCharType="begin">
                <w:ffData>
                  <w:name w:val=""/>
                  <w:enabled/>
                  <w:calcOnExit w:val="0"/>
                  <w:checkBox>
                    <w:sizeAuto/>
                    <w:default w:val="1"/>
                  </w:checkBox>
                </w:ffData>
              </w:fldChar>
            </w:r>
            <w:r w:rsidR="000570F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0570FF" w:rsidRPr="00260CE3">
              <w:rPr>
                <w:rFonts w:ascii="Arial Narrow" w:hAnsi="Arial Narrow"/>
                <w:sz w:val="20"/>
              </w:rPr>
              <w:t xml:space="preserve">Nurse practitioners  </w:t>
            </w:r>
          </w:p>
          <w:p w:rsidR="000570FF" w:rsidRPr="00260CE3" w:rsidRDefault="000570FF" w:rsidP="003E437E">
            <w:pPr>
              <w:rPr>
                <w:rFonts w:ascii="Arial Narrow" w:hAnsi="Arial Narrow"/>
                <w:sz w:val="20"/>
              </w:rPr>
            </w:pPr>
          </w:p>
        </w:tc>
      </w:tr>
      <w:tr w:rsidR="000570FF" w:rsidRPr="00260CE3"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sz w:val="20"/>
              </w:rPr>
            </w:pPr>
            <w:r>
              <w:rPr>
                <w:rFonts w:ascii="Arial Narrow" w:hAnsi="Arial Narrow"/>
                <w:sz w:val="20"/>
              </w:rPr>
              <w:t>Diabetes mellitus type 2</w:t>
            </w:r>
          </w:p>
        </w:tc>
      </w:tr>
      <w:tr w:rsidR="000570FF" w:rsidRPr="00260CE3"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0570FF" w:rsidRPr="00260CE3" w:rsidRDefault="000570FF" w:rsidP="003E437E">
            <w:pPr>
              <w:shd w:val="clear" w:color="auto" w:fill="FFFFFF"/>
              <w:spacing w:after="120"/>
              <w:rPr>
                <w:rFonts w:ascii="Arial Narrow" w:hAnsi="Arial Narrow"/>
                <w:sz w:val="20"/>
              </w:rPr>
            </w:pPr>
            <w:r w:rsidRPr="000C7378">
              <w:rPr>
                <w:rFonts w:ascii="Arial Narrow" w:hAnsi="Arial Narrow"/>
                <w:sz w:val="20"/>
                <w:lang w:val="en-US" w:eastAsia="zh-CN"/>
              </w:rPr>
              <w:t>Diabetes mellitus type 2</w:t>
            </w:r>
          </w:p>
        </w:tc>
      </w:tr>
      <w:tr w:rsidR="000570FF" w:rsidRPr="00260CE3"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1C7BDC" w:rsidRDefault="000570FF" w:rsidP="003E437E">
            <w:pPr>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sz w:val="20"/>
              </w:rPr>
            </w:pPr>
            <w:r>
              <w:rPr>
                <w:rFonts w:ascii="Arial Narrow" w:hAnsi="Arial Narrow"/>
                <w:sz w:val="20"/>
              </w:rPr>
              <w:t>N/A</w:t>
            </w:r>
          </w:p>
        </w:tc>
      </w:tr>
      <w:tr w:rsidR="000570FF" w:rsidRPr="00260CE3"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0570FF" w:rsidRDefault="000570FF" w:rsidP="003E437E">
            <w:pPr>
              <w:rPr>
                <w:rFonts w:ascii="Arial Narrow" w:hAnsi="Arial Narrow"/>
                <w:i/>
                <w:sz w:val="20"/>
                <w:highlight w:val="yellow"/>
              </w:rPr>
            </w:pPr>
          </w:p>
          <w:p w:rsidR="000570FF" w:rsidRPr="00CD28F3" w:rsidRDefault="000570FF" w:rsidP="003E437E">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70FF" w:rsidRPr="00106BCF" w:rsidRDefault="00F12313" w:rsidP="003E437E">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0570FF"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0570FF" w:rsidRPr="00106BCF">
              <w:rPr>
                <w:rFonts w:ascii="Arial Narrow" w:hAnsi="Arial Narrow"/>
                <w:sz w:val="20"/>
              </w:rPr>
              <w:t>Restricted benefit</w:t>
            </w:r>
          </w:p>
          <w:p w:rsidR="000570FF" w:rsidRPr="00106BCF" w:rsidRDefault="00F12313" w:rsidP="003E437E">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0570FF"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0570FF" w:rsidRPr="00106BCF">
              <w:rPr>
                <w:rFonts w:ascii="Arial Narrow" w:hAnsi="Arial Narrow"/>
                <w:sz w:val="20"/>
              </w:rPr>
              <w:t>Authority Required - In Writing</w:t>
            </w:r>
          </w:p>
          <w:p w:rsidR="000570FF" w:rsidRPr="00106BCF" w:rsidRDefault="00F12313" w:rsidP="003E437E">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0570FF"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0570FF" w:rsidRPr="00106BCF">
              <w:rPr>
                <w:rFonts w:ascii="Arial Narrow" w:hAnsi="Arial Narrow"/>
                <w:sz w:val="20"/>
              </w:rPr>
              <w:t>Authority Required - Telephone</w:t>
            </w:r>
          </w:p>
          <w:p w:rsidR="000570FF" w:rsidRPr="00106BCF" w:rsidRDefault="00F12313" w:rsidP="003E437E">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0570FF"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0570FF" w:rsidRPr="00106BCF">
              <w:rPr>
                <w:rFonts w:ascii="Arial Narrow" w:hAnsi="Arial Narrow"/>
                <w:sz w:val="20"/>
              </w:rPr>
              <w:t>Authority Required – Emergency</w:t>
            </w:r>
          </w:p>
          <w:p w:rsidR="000570FF" w:rsidRPr="00106BCF" w:rsidRDefault="00F12313" w:rsidP="003E437E">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0570FF" w:rsidRPr="00106BC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sidRPr="00106BCF">
              <w:rPr>
                <w:rFonts w:ascii="Arial Narrow" w:hAnsi="Arial Narrow"/>
                <w:sz w:val="20"/>
              </w:rPr>
              <w:fldChar w:fldCharType="end"/>
            </w:r>
            <w:r w:rsidR="000570FF" w:rsidRPr="00106BCF">
              <w:rPr>
                <w:rFonts w:ascii="Arial Narrow" w:hAnsi="Arial Narrow"/>
                <w:sz w:val="20"/>
              </w:rPr>
              <w:t>Authority Required - Electronic</w:t>
            </w:r>
          </w:p>
          <w:p w:rsidR="000570FF" w:rsidRPr="00260CE3" w:rsidRDefault="00F12313" w:rsidP="003E437E">
            <w:pPr>
              <w:rPr>
                <w:rFonts w:ascii="Arial Narrow" w:hAnsi="Arial Narrow"/>
                <w:sz w:val="20"/>
              </w:rPr>
            </w:pPr>
            <w:r>
              <w:rPr>
                <w:rFonts w:ascii="Arial Narrow" w:hAnsi="Arial Narrow"/>
                <w:sz w:val="20"/>
              </w:rPr>
              <w:fldChar w:fldCharType="begin">
                <w:ffData>
                  <w:name w:val="Check5"/>
                  <w:enabled w:val="0"/>
                  <w:calcOnExit w:val="0"/>
                  <w:checkBox>
                    <w:sizeAuto/>
                    <w:default w:val="1"/>
                  </w:checkBox>
                </w:ffData>
              </w:fldChar>
            </w:r>
            <w:r w:rsidR="000570FF">
              <w:rPr>
                <w:rFonts w:ascii="Arial Narrow" w:hAnsi="Arial Narrow"/>
                <w:sz w:val="20"/>
              </w:rPr>
              <w:instrText xml:space="preserve"> FORMCHECKBOX </w:instrText>
            </w:r>
            <w:r w:rsidR="001C71F9">
              <w:rPr>
                <w:rFonts w:ascii="Arial Narrow" w:hAnsi="Arial Narrow"/>
                <w:sz w:val="20"/>
              </w:rPr>
            </w:r>
            <w:r w:rsidR="001C71F9">
              <w:rPr>
                <w:rFonts w:ascii="Arial Narrow" w:hAnsi="Arial Narrow"/>
                <w:sz w:val="20"/>
              </w:rPr>
              <w:fldChar w:fldCharType="separate"/>
            </w:r>
            <w:r>
              <w:rPr>
                <w:rFonts w:ascii="Arial Narrow" w:hAnsi="Arial Narrow"/>
                <w:sz w:val="20"/>
              </w:rPr>
              <w:fldChar w:fldCharType="end"/>
            </w:r>
            <w:r w:rsidR="000570FF" w:rsidRPr="00106BCF">
              <w:rPr>
                <w:rFonts w:ascii="Arial Narrow" w:hAnsi="Arial Narrow"/>
                <w:sz w:val="20"/>
              </w:rPr>
              <w:t>Streamlined</w:t>
            </w:r>
          </w:p>
        </w:tc>
      </w:tr>
      <w:tr w:rsidR="000570FF" w:rsidRPr="006947EC"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Clinical criteria:</w:t>
            </w:r>
          </w:p>
          <w:p w:rsidR="000570FF" w:rsidRPr="00260CE3" w:rsidRDefault="000570FF" w:rsidP="003E437E">
            <w:pPr>
              <w:rPr>
                <w:rFonts w:ascii="Arial Narrow" w:hAnsi="Arial Narrow"/>
                <w:i/>
                <w:sz w:val="20"/>
              </w:rPr>
            </w:pPr>
          </w:p>
          <w:p w:rsidR="000570FF" w:rsidRPr="00260CE3" w:rsidRDefault="000570FF" w:rsidP="003E437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70FF" w:rsidRPr="000C7378" w:rsidRDefault="000570FF" w:rsidP="003E437E">
            <w:pPr>
              <w:spacing w:after="240" w:line="300" w:lineRule="atLeast"/>
              <w:rPr>
                <w:color w:val="222222"/>
                <w:sz w:val="20"/>
                <w:lang w:val="en-US"/>
              </w:rPr>
            </w:pPr>
            <w:r w:rsidRPr="000C7378">
              <w:rPr>
                <w:rFonts w:ascii="Arial Narrow" w:hAnsi="Arial Narrow"/>
                <w:color w:val="222222"/>
                <w:sz w:val="20"/>
                <w:lang w:val="en-US"/>
              </w:rPr>
              <w:t>The treatment must be in combination with a sulfonylurea</w:t>
            </w:r>
            <w:r w:rsidRPr="000C7378">
              <w:rPr>
                <w:color w:val="222222"/>
                <w:sz w:val="20"/>
                <w:lang w:val="en-US"/>
              </w:rPr>
              <w:t>,</w:t>
            </w:r>
          </w:p>
          <w:p w:rsidR="000570FF" w:rsidRPr="000C7378" w:rsidRDefault="000570FF" w:rsidP="003E437E">
            <w:pPr>
              <w:shd w:val="clear" w:color="auto" w:fill="FFFFFF"/>
              <w:spacing w:after="120"/>
              <w:rPr>
                <w:rFonts w:ascii="Arial Narrow" w:hAnsi="Arial Narrow"/>
                <w:b/>
                <w:sz w:val="20"/>
                <w:lang w:val="en-US" w:eastAsia="zh-CN"/>
              </w:rPr>
            </w:pPr>
            <w:r w:rsidRPr="000C7378">
              <w:rPr>
                <w:rFonts w:ascii="Arial Narrow" w:hAnsi="Arial Narrow"/>
                <w:b/>
                <w:sz w:val="20"/>
                <w:lang w:val="en-US" w:eastAsia="zh-CN"/>
              </w:rPr>
              <w:t>AND</w:t>
            </w:r>
          </w:p>
          <w:p w:rsidR="000570FF" w:rsidRDefault="000570FF" w:rsidP="003E437E">
            <w:pPr>
              <w:rPr>
                <w:rFonts w:ascii="Arial Narrow" w:hAnsi="Arial Narrow"/>
                <w:sz w:val="20"/>
                <w:lang w:val="en-US" w:eastAsia="zh-CN"/>
              </w:rPr>
            </w:pPr>
            <w:r w:rsidRPr="000C7378">
              <w:rPr>
                <w:rFonts w:ascii="Arial Narrow" w:hAnsi="Arial Narrow"/>
                <w:sz w:val="20"/>
                <w:lang w:val="en-US" w:eastAsia="zh-CN"/>
              </w:rPr>
              <w:t>Patients must have, or have had, a HbA1c measurement greater than 7% prior to the initiation</w:t>
            </w:r>
            <w:r>
              <w:rPr>
                <w:rFonts w:ascii="Arial Narrow" w:hAnsi="Arial Narrow"/>
                <w:sz w:val="20"/>
                <w:lang w:val="en-US" w:eastAsia="zh-CN"/>
              </w:rPr>
              <w:t xml:space="preserve"> of a </w:t>
            </w:r>
            <w:r w:rsidRPr="000C7378">
              <w:rPr>
                <w:rFonts w:ascii="Arial Narrow" w:hAnsi="Arial Narrow"/>
                <w:sz w:val="20"/>
                <w:lang w:val="en-US" w:eastAsia="zh-CN"/>
              </w:rPr>
              <w:t xml:space="preserve">dipeptidyl peptidase 4 inhibitor (gliptin), a thiazolidinedione (glitazone), a glucagon-like peptide-1 or a sodium-glucose co-transporter 2 (SGLT2) </w:t>
            </w:r>
            <w:r w:rsidRPr="000C7378">
              <w:rPr>
                <w:rFonts w:ascii="Arial Narrow" w:hAnsi="Arial Narrow"/>
                <w:color w:val="222222"/>
                <w:sz w:val="20"/>
              </w:rPr>
              <w:t xml:space="preserve">despite </w:t>
            </w:r>
            <w:r w:rsidRPr="000570FF">
              <w:rPr>
                <w:rFonts w:ascii="Arial Narrow" w:hAnsi="Arial Narrow"/>
                <w:color w:val="222222"/>
                <w:sz w:val="20"/>
              </w:rPr>
              <w:t xml:space="preserve">treatment with </w:t>
            </w:r>
            <w:r w:rsidRPr="000570FF">
              <w:rPr>
                <w:rFonts w:ascii="Arial Narrow" w:hAnsi="Arial Narrow"/>
                <w:sz w:val="20"/>
                <w:lang w:val="en-US" w:eastAsia="zh-CN"/>
              </w:rPr>
              <w:t>optimal doses of dual oral therapy;</w:t>
            </w:r>
            <w:r w:rsidRPr="000C7378">
              <w:rPr>
                <w:rFonts w:ascii="Arial Narrow" w:hAnsi="Arial Narrow"/>
                <w:sz w:val="20"/>
                <w:lang w:val="en-US" w:eastAsia="zh-CN"/>
              </w:rPr>
              <w:t xml:space="preserve"> </w:t>
            </w:r>
          </w:p>
          <w:p w:rsidR="000570FF" w:rsidRDefault="000570FF" w:rsidP="003E437E">
            <w:pPr>
              <w:rPr>
                <w:rFonts w:ascii="Arial Narrow" w:hAnsi="Arial Narrow"/>
                <w:sz w:val="20"/>
                <w:lang w:val="en-US" w:eastAsia="zh-CN"/>
              </w:rPr>
            </w:pPr>
          </w:p>
          <w:p w:rsidR="000570FF" w:rsidRPr="00555D83" w:rsidRDefault="000570FF" w:rsidP="003E437E">
            <w:pPr>
              <w:rPr>
                <w:szCs w:val="22"/>
              </w:rPr>
            </w:pPr>
            <w:r>
              <w:rPr>
                <w:rFonts w:ascii="Arial Narrow" w:hAnsi="Arial Narrow"/>
                <w:sz w:val="20"/>
                <w:lang w:val="en-US" w:eastAsia="zh-CN"/>
              </w:rPr>
              <w:t>OR</w:t>
            </w:r>
          </w:p>
          <w:p w:rsidR="000570FF" w:rsidRPr="006947EC" w:rsidRDefault="000570FF" w:rsidP="000570FF">
            <w:pPr>
              <w:shd w:val="clear" w:color="auto" w:fill="FFFFFF"/>
              <w:spacing w:before="100" w:beforeAutospacing="1" w:after="100" w:afterAutospacing="1"/>
              <w:rPr>
                <w:rFonts w:ascii="Arial Narrow" w:hAnsi="Arial Narrow"/>
                <w:sz w:val="20"/>
                <w:lang w:val="en-US" w:eastAsia="zh-CN"/>
              </w:rPr>
            </w:pPr>
            <w:r>
              <w:rPr>
                <w:rFonts w:ascii="Arial Narrow" w:hAnsi="Arial Narrow"/>
                <w:sz w:val="20"/>
                <w:lang w:val="en-US" w:eastAsia="zh-CN"/>
              </w:rPr>
              <w:t>Patients must have,</w:t>
            </w:r>
            <w:r w:rsidRPr="000C7378">
              <w:rPr>
                <w:rFonts w:ascii="Arial Narrow" w:hAnsi="Arial Narrow"/>
                <w:sz w:val="20"/>
                <w:lang w:val="en-US" w:eastAsia="zh-CN"/>
              </w:rPr>
              <w:t xml:space="preserve"> </w:t>
            </w:r>
            <w:r>
              <w:rPr>
                <w:rFonts w:ascii="Arial Narrow" w:hAnsi="Arial Narrow"/>
                <w:sz w:val="20"/>
                <w:lang w:val="en-US" w:eastAsia="zh-CN"/>
              </w:rPr>
              <w:t>o</w:t>
            </w:r>
            <w:r w:rsidRPr="000C7378">
              <w:rPr>
                <w:rFonts w:ascii="Arial Narrow" w:hAnsi="Arial Narrow"/>
                <w:sz w:val="20"/>
                <w:lang w:val="en-US" w:eastAsia="zh-CN"/>
              </w:rPr>
              <w:t xml:space="preserve">r have had, where HbA1c measurement is clinically </w:t>
            </w:r>
            <w:r>
              <w:rPr>
                <w:rFonts w:ascii="Arial Narrow" w:hAnsi="Arial Narrow"/>
                <w:sz w:val="20"/>
                <w:lang w:val="en-US" w:eastAsia="zh-CN"/>
              </w:rPr>
              <w:t>in</w:t>
            </w:r>
            <w:r w:rsidRPr="000C7378">
              <w:rPr>
                <w:rFonts w:ascii="Arial Narrow" w:hAnsi="Arial Narrow"/>
                <w:sz w:val="20"/>
                <w:lang w:val="en-US" w:eastAsia="zh-CN"/>
              </w:rPr>
              <w:t xml:space="preserve">appropriate, blood glucose levels greater than 10 mmol per L in more than 20% of tests over a 2 weeks period prior to initiation with a gliptin, a glitazone, a glucagon-like peptide-1 or an </w:t>
            </w:r>
            <w:r w:rsidRPr="000570FF">
              <w:rPr>
                <w:rFonts w:ascii="Arial Narrow" w:hAnsi="Arial Narrow"/>
                <w:sz w:val="20"/>
                <w:lang w:val="en-US" w:eastAsia="zh-CN"/>
              </w:rPr>
              <w:t>SGLT2 inhibitor despite treatment with optimal doses of dual oral therapy.</w:t>
            </w:r>
          </w:p>
        </w:tc>
      </w:tr>
      <w:tr w:rsidR="000570FF" w:rsidRPr="00260CE3"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lastRenderedPageBreak/>
              <w:t>Prescriber Instructions</w:t>
            </w:r>
          </w:p>
          <w:p w:rsidR="000570FF" w:rsidRPr="00260CE3" w:rsidRDefault="000570FF" w:rsidP="003E437E">
            <w:pPr>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70FF" w:rsidRDefault="000570FF" w:rsidP="003E437E">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 xml:space="preserve">The date and level of the qualifying HbA1c must be, or must have been, documented in the patient's medical records at the time treatment with a dipeptidyl peptidase 4 inhibitor (gliptin), a thiazolidinedione (glitazone), a glucagon-like peptide-1 or a sodium-glucose co-transporter 2 (SGLT2) is initiated. </w:t>
            </w:r>
          </w:p>
          <w:p w:rsidR="000570FF" w:rsidRPr="000C7378" w:rsidRDefault="000570FF" w:rsidP="003E437E">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The HbA1c must be no more than 4 months old at the time treatment with a gliptin, a glitazone, a glucagon-like peptide-1 or n SGLT2 inhibitor was initiated.</w:t>
            </w:r>
          </w:p>
          <w:p w:rsidR="000570FF" w:rsidRPr="000C7378" w:rsidRDefault="000570FF" w:rsidP="003E437E">
            <w:pPr>
              <w:shd w:val="clear" w:color="auto" w:fill="FFFFFF"/>
              <w:spacing w:before="100" w:beforeAutospacing="1" w:after="100" w:afterAutospacing="1"/>
              <w:rPr>
                <w:rFonts w:ascii="Arial Narrow" w:hAnsi="Arial Narrow"/>
                <w:sz w:val="20"/>
                <w:lang w:val="en-US" w:eastAsia="zh-CN"/>
              </w:rPr>
            </w:pPr>
            <w:r w:rsidRPr="000C7378">
              <w:rPr>
                <w:rFonts w:ascii="Arial Narrow" w:hAnsi="Arial Narrow"/>
                <w:sz w:val="20"/>
                <w:lang w:val="en-US" w:eastAsia="zh-CN"/>
              </w:rPr>
              <w:t xml:space="preserve">Blood glucose monitoring may be used as an alternative assessment to HbA1c levels in the following circumstances: </w:t>
            </w:r>
          </w:p>
          <w:p w:rsidR="000570FF" w:rsidRPr="000C7378" w:rsidRDefault="000570FF" w:rsidP="003E437E">
            <w:pPr>
              <w:shd w:val="clear" w:color="auto" w:fill="FFFFFF"/>
              <w:spacing w:before="100" w:beforeAutospacing="1" w:after="100" w:afterAutospacing="1"/>
              <w:ind w:left="720"/>
              <w:rPr>
                <w:rFonts w:ascii="Arial Narrow" w:hAnsi="Arial Narrow"/>
                <w:sz w:val="20"/>
                <w:lang w:val="en-US" w:eastAsia="zh-CN"/>
              </w:rPr>
            </w:pPr>
            <w:r w:rsidRPr="000C7378">
              <w:rPr>
                <w:rFonts w:ascii="Arial Narrow" w:hAnsi="Arial Narrow"/>
                <w:sz w:val="20"/>
                <w:lang w:val="en-US" w:eastAsia="zh-CN"/>
              </w:rPr>
              <w:t xml:space="preserve">(a) clinical conditions with reduced red blood cell survival, including haemolytic anaemias and haemoglobinopathies; and/or </w:t>
            </w:r>
          </w:p>
          <w:p w:rsidR="000570FF" w:rsidRPr="000C7378" w:rsidRDefault="000570FF" w:rsidP="003E437E">
            <w:pPr>
              <w:shd w:val="clear" w:color="auto" w:fill="FFFFFF"/>
              <w:spacing w:before="100" w:beforeAutospacing="1" w:after="100" w:afterAutospacing="1"/>
              <w:ind w:left="720"/>
              <w:rPr>
                <w:rFonts w:ascii="Arial Narrow" w:hAnsi="Arial Narrow"/>
                <w:sz w:val="20"/>
                <w:lang w:val="en-US" w:eastAsia="zh-CN"/>
              </w:rPr>
            </w:pPr>
            <w:r w:rsidRPr="000C7378">
              <w:rPr>
                <w:rFonts w:ascii="Arial Narrow" w:hAnsi="Arial Narrow"/>
                <w:sz w:val="20"/>
                <w:lang w:val="en-US" w:eastAsia="zh-CN"/>
              </w:rPr>
              <w:t xml:space="preserve">(b) </w:t>
            </w:r>
            <w:proofErr w:type="gramStart"/>
            <w:r>
              <w:rPr>
                <w:rFonts w:ascii="Arial Narrow" w:hAnsi="Arial Narrow"/>
                <w:sz w:val="20"/>
                <w:lang w:val="en-US" w:eastAsia="zh-CN"/>
              </w:rPr>
              <w:t>had</w:t>
            </w:r>
            <w:proofErr w:type="gramEnd"/>
            <w:r>
              <w:rPr>
                <w:rFonts w:ascii="Arial Narrow" w:hAnsi="Arial Narrow"/>
                <w:sz w:val="20"/>
                <w:lang w:val="en-US" w:eastAsia="zh-CN"/>
              </w:rPr>
              <w:t xml:space="preserve"> </w:t>
            </w:r>
            <w:r w:rsidRPr="000C7378">
              <w:rPr>
                <w:rFonts w:ascii="Arial Narrow" w:hAnsi="Arial Narrow"/>
                <w:sz w:val="20"/>
                <w:lang w:val="en-US" w:eastAsia="zh-CN"/>
              </w:rPr>
              <w:t xml:space="preserve">red cell transfusion within the previous 3 months. </w:t>
            </w:r>
          </w:p>
          <w:p w:rsidR="000570FF" w:rsidRPr="000C7378" w:rsidRDefault="000570FF" w:rsidP="003E437E">
            <w:pPr>
              <w:shd w:val="clear" w:color="auto" w:fill="FFFFFF"/>
              <w:spacing w:after="120"/>
              <w:rPr>
                <w:rFonts w:ascii="Arial Narrow" w:hAnsi="Arial Narrow"/>
                <w:sz w:val="20"/>
                <w:lang w:val="en-US" w:eastAsia="zh-CN"/>
              </w:rPr>
            </w:pPr>
            <w:r w:rsidRPr="000C7378">
              <w:rPr>
                <w:rFonts w:ascii="Arial Narrow" w:hAnsi="Arial Narrow"/>
                <w:sz w:val="20"/>
                <w:lang w:val="en-US" w:eastAsia="zh-CN"/>
              </w:rPr>
              <w:t xml:space="preserve">The results of the blood glucose monitoring, which must be no more than 4 months old at the time of initiation of treatment with a gliptin, a glitazone, a glucagon-like peptide-1 or an SGLT2 inhibitor, must be document in the patient’s medical records. </w:t>
            </w:r>
          </w:p>
          <w:p w:rsidR="000570FF" w:rsidRPr="00393462" w:rsidRDefault="000570FF" w:rsidP="003E437E">
            <w:pPr>
              <w:shd w:val="clear" w:color="auto" w:fill="FFFFFF"/>
              <w:spacing w:after="120"/>
              <w:rPr>
                <w:rFonts w:ascii="Arial Narrow" w:hAnsi="Arial Narrow"/>
                <w:sz w:val="20"/>
                <w:lang w:val="en-US" w:eastAsia="zh-CN"/>
              </w:rPr>
            </w:pPr>
            <w:r w:rsidRPr="000C7378">
              <w:rPr>
                <w:rFonts w:ascii="Arial Narrow" w:hAnsi="Arial Narrow"/>
                <w:sz w:val="20"/>
                <w:lang w:val="en-US" w:eastAsia="zh-CN"/>
              </w:rPr>
              <w:t>A patient whose diabetes was previously demonstrated unable to be controlled with metformin or a sul</w:t>
            </w:r>
            <w:r>
              <w:rPr>
                <w:rFonts w:ascii="Arial Narrow" w:hAnsi="Arial Narrow"/>
                <w:sz w:val="20"/>
                <w:lang w:val="en-US" w:eastAsia="zh-CN"/>
              </w:rPr>
              <w:t>f</w:t>
            </w:r>
            <w:r w:rsidRPr="000C7378">
              <w:rPr>
                <w:rFonts w:ascii="Arial Narrow" w:hAnsi="Arial Narrow"/>
                <w:sz w:val="20"/>
                <w:lang w:val="en-US" w:eastAsia="zh-CN"/>
              </w:rPr>
              <w:t>onylurea does not need to requalify on this criterion before being eligible for PBS-subsidised treatment with</w:t>
            </w:r>
            <w:r>
              <w:rPr>
                <w:rFonts w:ascii="Arial Narrow" w:hAnsi="Arial Narrow"/>
                <w:sz w:val="20"/>
                <w:lang w:val="en-US" w:eastAsia="zh-CN"/>
              </w:rPr>
              <w:t xml:space="preserve"> this </w:t>
            </w:r>
            <w:r w:rsidRPr="000570FF">
              <w:rPr>
                <w:rFonts w:ascii="Arial Narrow" w:hAnsi="Arial Narrow"/>
                <w:sz w:val="20"/>
                <w:lang w:val="en-US" w:eastAsia="zh-CN"/>
              </w:rPr>
              <w:t>fixed dose combination.</w:t>
            </w:r>
          </w:p>
        </w:tc>
      </w:tr>
      <w:tr w:rsidR="000570FF" w:rsidRPr="009F742D" w:rsidTr="003E437E">
        <w:trPr>
          <w:cantSplit/>
          <w:trHeight w:val="360"/>
        </w:trPr>
        <w:tc>
          <w:tcPr>
            <w:tcW w:w="2835" w:type="dxa"/>
            <w:tcBorders>
              <w:top w:val="single" w:sz="4" w:space="0" w:color="auto"/>
              <w:left w:val="single" w:sz="4" w:space="0" w:color="auto"/>
              <w:bottom w:val="single" w:sz="4" w:space="0" w:color="auto"/>
              <w:right w:val="single" w:sz="4" w:space="0" w:color="auto"/>
            </w:tcBorders>
          </w:tcPr>
          <w:p w:rsidR="000570FF" w:rsidRPr="00260CE3" w:rsidRDefault="000570FF" w:rsidP="003E437E">
            <w:pPr>
              <w:rPr>
                <w:rFonts w:ascii="Arial Narrow" w:hAnsi="Arial Narrow"/>
                <w:b/>
                <w:sz w:val="20"/>
              </w:rPr>
            </w:pPr>
            <w:r w:rsidRPr="00260CE3">
              <w:rPr>
                <w:rFonts w:ascii="Arial Narrow" w:hAnsi="Arial Narrow"/>
                <w:b/>
                <w:sz w:val="20"/>
              </w:rPr>
              <w:t>Administrative Advice</w:t>
            </w:r>
          </w:p>
          <w:p w:rsidR="000570FF" w:rsidRPr="00260CE3" w:rsidRDefault="000570FF" w:rsidP="003E437E">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0570FF" w:rsidRPr="000570FF" w:rsidRDefault="000570FF" w:rsidP="003E437E">
            <w:pPr>
              <w:rPr>
                <w:rFonts w:ascii="Arial Narrow" w:hAnsi="Arial Narrow"/>
                <w:sz w:val="20"/>
                <w:u w:val="single"/>
                <w:lang w:val="en-US" w:eastAsia="zh-CN"/>
              </w:rPr>
            </w:pPr>
            <w:r w:rsidRPr="000570FF">
              <w:rPr>
                <w:rFonts w:ascii="Arial Narrow" w:hAnsi="Arial Narrow"/>
                <w:sz w:val="20"/>
                <w:u w:val="single"/>
                <w:lang w:val="en-US" w:eastAsia="zh-CN"/>
              </w:rPr>
              <w:t>Continuing Therapy Only:</w:t>
            </w:r>
          </w:p>
          <w:p w:rsidR="000570FF" w:rsidRPr="000570FF" w:rsidRDefault="000570FF" w:rsidP="003E437E">
            <w:pPr>
              <w:rPr>
                <w:rFonts w:ascii="Arial Narrow" w:hAnsi="Arial Narrow"/>
                <w:sz w:val="20"/>
                <w:lang w:val="en-US" w:eastAsia="zh-CN"/>
              </w:rPr>
            </w:pPr>
            <w:r w:rsidRPr="000570FF">
              <w:rPr>
                <w:rFonts w:ascii="Arial Narrow" w:hAnsi="Arial Narrow"/>
                <w:sz w:val="20"/>
                <w:lang w:val="en-US" w:eastAsia="zh-CN"/>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0570FF" w:rsidRPr="000570FF" w:rsidRDefault="000570FF" w:rsidP="003E437E">
            <w:pPr>
              <w:rPr>
                <w:rFonts w:ascii="Arial Narrow" w:hAnsi="Arial Narrow"/>
                <w:sz w:val="20"/>
                <w:lang w:val="en-US" w:eastAsia="zh-CN"/>
              </w:rPr>
            </w:pPr>
          </w:p>
          <w:p w:rsidR="000570FF" w:rsidRPr="000570FF" w:rsidRDefault="000570FF" w:rsidP="003E437E">
            <w:pPr>
              <w:rPr>
                <w:rFonts w:ascii="Arial Narrow" w:hAnsi="Arial Narrow"/>
                <w:sz w:val="20"/>
                <w:lang w:val="en-US" w:eastAsia="zh-CN"/>
              </w:rPr>
            </w:pPr>
            <w:r w:rsidRPr="000570FF">
              <w:rPr>
                <w:rFonts w:ascii="Arial Narrow" w:hAnsi="Arial Narrow"/>
                <w:sz w:val="20"/>
                <w:lang w:val="en-US" w:eastAsia="zh-CN"/>
              </w:rPr>
              <w:t>This fixed dose combination is not PBS-subsidised for use as  initial therapy or in combination with a thiazolidinedione (glitazone), a glucagon-like peptide-1 or an SGLT2-inhibitor</w:t>
            </w:r>
          </w:p>
          <w:p w:rsidR="000570FF" w:rsidRPr="000570FF" w:rsidRDefault="000570FF" w:rsidP="003E437E">
            <w:pPr>
              <w:rPr>
                <w:rFonts w:ascii="Arial Narrow" w:hAnsi="Arial Narrow"/>
                <w:sz w:val="20"/>
                <w:lang w:val="en-US" w:eastAsia="zh-CN"/>
              </w:rPr>
            </w:pPr>
          </w:p>
          <w:p w:rsidR="000570FF" w:rsidRPr="000570FF" w:rsidRDefault="000570FF" w:rsidP="003E437E">
            <w:pPr>
              <w:rPr>
                <w:rFonts w:ascii="Arial Narrow" w:hAnsi="Arial Narrow"/>
                <w:sz w:val="20"/>
              </w:rPr>
            </w:pPr>
            <w:r w:rsidRPr="000570FF">
              <w:rPr>
                <w:rFonts w:ascii="Arial Narrow" w:hAnsi="Arial Narrow"/>
                <w:sz w:val="20"/>
              </w:rPr>
              <w:t>PBS subsidised dual oral therapy does not include concomitant use of two of either: a gliptin, a glitazone or an SGLT2 inhibitor.</w:t>
            </w:r>
          </w:p>
        </w:tc>
      </w:tr>
    </w:tbl>
    <w:p w:rsidR="00534E3D" w:rsidRDefault="00534E3D" w:rsidP="006D699D">
      <w:pPr>
        <w:rPr>
          <w:b/>
          <w:bCs/>
          <w:szCs w:val="22"/>
          <w:highlight w:val="yellow"/>
        </w:rPr>
      </w:pPr>
    </w:p>
    <w:p w:rsidR="00534E3D" w:rsidRPr="006C307E" w:rsidRDefault="00534E3D" w:rsidP="006D699D">
      <w:pPr>
        <w:rPr>
          <w:b/>
          <w:bCs/>
          <w:szCs w:val="22"/>
          <w:highlight w:val="yellow"/>
        </w:rPr>
      </w:pPr>
    </w:p>
    <w:p w:rsidR="002F39B8" w:rsidRPr="00A81C85" w:rsidRDefault="002F39B8" w:rsidP="002F39B8">
      <w:pPr>
        <w:pStyle w:val="Heading1"/>
      </w:pPr>
      <w:r w:rsidRPr="00A81C85">
        <w:t>Context for Decision</w:t>
      </w:r>
    </w:p>
    <w:p w:rsidR="002F39B8" w:rsidRPr="006B3CD8" w:rsidRDefault="002F39B8" w:rsidP="002F39B8"/>
    <w:p w:rsidR="002F39B8" w:rsidRDefault="002F39B8" w:rsidP="002F39B8">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F39B8" w:rsidRDefault="002F39B8" w:rsidP="002F39B8">
      <w:pPr>
        <w:ind w:left="720"/>
      </w:pPr>
    </w:p>
    <w:p w:rsidR="002F39B8" w:rsidRDefault="002F39B8" w:rsidP="002F39B8">
      <w:pPr>
        <w:ind w:left="720"/>
      </w:pPr>
    </w:p>
    <w:p w:rsidR="002F39B8" w:rsidRPr="004304F6" w:rsidRDefault="002F39B8" w:rsidP="002F39B8">
      <w:pPr>
        <w:pStyle w:val="Heading1"/>
      </w:pPr>
      <w:r w:rsidRPr="004304F6">
        <w:t>Sponsor’s Comment</w:t>
      </w:r>
    </w:p>
    <w:p w:rsidR="002F39B8" w:rsidRDefault="002F39B8" w:rsidP="002F39B8">
      <w:pPr>
        <w:rPr>
          <w:szCs w:val="22"/>
        </w:rPr>
      </w:pPr>
    </w:p>
    <w:p w:rsidR="00092183" w:rsidRPr="006D699D" w:rsidRDefault="0026637F" w:rsidP="0026637F">
      <w:pPr>
        <w:spacing w:after="120"/>
        <w:ind w:left="720"/>
      </w:pPr>
      <w:r w:rsidRPr="003035CC">
        <w:rPr>
          <w:bCs/>
        </w:rPr>
        <w:t>The sponsor had no comment.</w:t>
      </w:r>
    </w:p>
    <w:sectPr w:rsidR="00092183" w:rsidRPr="006D699D" w:rsidSect="00EC265C">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E56" w:rsidRDefault="002F7E56" w:rsidP="00124A51">
      <w:r>
        <w:separator/>
      </w:r>
    </w:p>
  </w:endnote>
  <w:endnote w:type="continuationSeparator" w:id="0">
    <w:p w:rsidR="002F7E56" w:rsidRDefault="002F7E56"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News Gothic MT">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56" w:rsidRDefault="002F7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285306"/>
      <w:docPartObj>
        <w:docPartGallery w:val="Page Numbers (Bottom of Page)"/>
        <w:docPartUnique/>
      </w:docPartObj>
    </w:sdtPr>
    <w:sdtEndPr>
      <w:rPr>
        <w:noProof/>
        <w:sz w:val="20"/>
      </w:rPr>
    </w:sdtEndPr>
    <w:sdtContent>
      <w:p w:rsidR="005D3B1C" w:rsidRPr="00FE3C01" w:rsidRDefault="005D3B1C">
        <w:pPr>
          <w:pStyle w:val="Footer"/>
          <w:jc w:val="center"/>
          <w:rPr>
            <w:sz w:val="20"/>
          </w:rPr>
        </w:pPr>
        <w:r w:rsidRPr="00FE3C01">
          <w:rPr>
            <w:sz w:val="20"/>
          </w:rPr>
          <w:fldChar w:fldCharType="begin"/>
        </w:r>
        <w:r w:rsidRPr="00FE3C01">
          <w:rPr>
            <w:sz w:val="20"/>
          </w:rPr>
          <w:instrText xml:space="preserve"> PAGE   \* MERGEFORMAT </w:instrText>
        </w:r>
        <w:r w:rsidRPr="00FE3C01">
          <w:rPr>
            <w:sz w:val="20"/>
          </w:rPr>
          <w:fldChar w:fldCharType="separate"/>
        </w:r>
        <w:r w:rsidR="001C71F9">
          <w:rPr>
            <w:noProof/>
            <w:sz w:val="20"/>
          </w:rPr>
          <w:t>1</w:t>
        </w:r>
        <w:r w:rsidRPr="00FE3C01">
          <w:rPr>
            <w:noProof/>
            <w:sz w:val="20"/>
          </w:rPr>
          <w:fldChar w:fldCharType="end"/>
        </w:r>
      </w:p>
    </w:sdtContent>
  </w:sdt>
  <w:p w:rsidR="005D3B1C" w:rsidRDefault="005D3B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56" w:rsidRDefault="002F7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E56" w:rsidRDefault="002F7E56" w:rsidP="00124A51">
      <w:r>
        <w:separator/>
      </w:r>
    </w:p>
  </w:footnote>
  <w:footnote w:type="continuationSeparator" w:id="0">
    <w:p w:rsidR="002F7E56" w:rsidRDefault="002F7E56"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56" w:rsidRDefault="002F7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B1C" w:rsidRPr="00150152" w:rsidRDefault="005D3B1C" w:rsidP="002F39B8">
    <w:pPr>
      <w:pStyle w:val="Header"/>
      <w:ind w:left="360"/>
      <w:jc w:val="center"/>
      <w:rPr>
        <w:i/>
        <w:color w:val="808080"/>
      </w:rPr>
    </w:pPr>
    <w:r>
      <w:rPr>
        <w:i/>
        <w:color w:val="808080"/>
      </w:rPr>
      <w:t>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w:t>
    </w:r>
    <w:r w:rsidRPr="00DF217D">
      <w:rPr>
        <w:i/>
        <w:color w:val="808080"/>
      </w:rPr>
      <w:t>Meeting</w:t>
    </w:r>
  </w:p>
  <w:p w:rsidR="005D3B1C" w:rsidRDefault="005D3B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56" w:rsidRDefault="002F7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B46C5B"/>
    <w:multiLevelType w:val="hybridMultilevel"/>
    <w:tmpl w:val="7906772C"/>
    <w:lvl w:ilvl="0" w:tplc="FFFFFFFF">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DF80DAD"/>
    <w:multiLevelType w:val="hybridMultilevel"/>
    <w:tmpl w:val="9B12702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nsid w:val="19E76D05"/>
    <w:multiLevelType w:val="hybridMultilevel"/>
    <w:tmpl w:val="2E58344C"/>
    <w:lvl w:ilvl="0" w:tplc="DB2E09B8">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nsid w:val="1C3F64C5"/>
    <w:multiLevelType w:val="multilevel"/>
    <w:tmpl w:val="D034F39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034493"/>
    <w:multiLevelType w:val="hybridMultilevel"/>
    <w:tmpl w:val="15B8B53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nsid w:val="243D7704"/>
    <w:multiLevelType w:val="hybridMultilevel"/>
    <w:tmpl w:val="68086E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251E22D0"/>
    <w:multiLevelType w:val="hybridMultilevel"/>
    <w:tmpl w:val="6888C21A"/>
    <w:lvl w:ilvl="0" w:tplc="E6B07314">
      <w:start w:val="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32A10AE6"/>
    <w:multiLevelType w:val="hybridMultilevel"/>
    <w:tmpl w:val="EB746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C70350"/>
    <w:multiLevelType w:val="hybridMultilevel"/>
    <w:tmpl w:val="6DAA9E6A"/>
    <w:lvl w:ilvl="0" w:tplc="81BEF63C">
      <w:numFmt w:val="bullet"/>
      <w:lvlText w:val="-"/>
      <w:lvlJc w:val="left"/>
      <w:pPr>
        <w:ind w:left="405" w:hanging="360"/>
      </w:pPr>
      <w:rPr>
        <w:rFonts w:ascii="Arial Narrow" w:eastAsia="Times New Roman" w:hAnsi="Arial Narrow"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2">
    <w:nsid w:val="39970E58"/>
    <w:multiLevelType w:val="multilevel"/>
    <w:tmpl w:val="3DB82972"/>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nsid w:val="41B46299"/>
    <w:multiLevelType w:val="hybridMultilevel"/>
    <w:tmpl w:val="B6EE687E"/>
    <w:lvl w:ilvl="0" w:tplc="FFFFFFFF">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4B391AE3"/>
    <w:multiLevelType w:val="hybridMultilevel"/>
    <w:tmpl w:val="57D620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D2A5396"/>
    <w:multiLevelType w:val="multilevel"/>
    <w:tmpl w:val="4DE849D2"/>
    <w:lvl w:ilvl="0">
      <w:start w:val="1"/>
      <w:numFmt w:val="decimal"/>
      <w:lvlText w:val="%1"/>
      <w:lvlJc w:val="left"/>
      <w:pPr>
        <w:ind w:left="720" w:hanging="720"/>
      </w:pPr>
      <w:rPr>
        <w:rFonts w:hint="default"/>
        <w:b/>
      </w:rPr>
    </w:lvl>
    <w:lvl w:ilvl="1">
      <w:start w:val="4"/>
      <w:numFmt w:val="decimal"/>
      <w:lvlRestart w:val="0"/>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3F4E75"/>
    <w:multiLevelType w:val="hybridMultilevel"/>
    <w:tmpl w:val="3DFC5D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0E20EE2"/>
    <w:multiLevelType w:val="multilevel"/>
    <w:tmpl w:val="D0E206A8"/>
    <w:lvl w:ilvl="0">
      <w:start w:val="1"/>
      <w:numFmt w:val="decimal"/>
      <w:lvlText w:val="%1"/>
      <w:lvlJc w:val="left"/>
      <w:pPr>
        <w:ind w:left="720" w:hanging="720"/>
      </w:pPr>
      <w:rPr>
        <w:rFonts w:hint="default"/>
        <w:b/>
      </w:rPr>
    </w:lvl>
    <w:lvl w:ilvl="1">
      <w:start w:val="17"/>
      <w:numFmt w:val="decimal"/>
      <w:lvlRestart w:val="0"/>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4611686"/>
    <w:multiLevelType w:val="hybridMultilevel"/>
    <w:tmpl w:val="1F28BD60"/>
    <w:lvl w:ilvl="0" w:tplc="82C417D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2DB005A"/>
    <w:multiLevelType w:val="multilevel"/>
    <w:tmpl w:val="D646BD54"/>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84D033C"/>
    <w:multiLevelType w:val="multilevel"/>
    <w:tmpl w:val="A2B0A4A4"/>
    <w:lvl w:ilvl="0">
      <w:start w:val="1"/>
      <w:numFmt w:val="decimal"/>
      <w:pStyle w:val="PBACHeading10"/>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C7E3CA8"/>
    <w:multiLevelType w:val="hybridMultilevel"/>
    <w:tmpl w:val="60E6CF3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nsid w:val="7E932407"/>
    <w:multiLevelType w:val="hybridMultilevel"/>
    <w:tmpl w:val="D1FC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6"/>
  </w:num>
  <w:num w:numId="4">
    <w:abstractNumId w:val="26"/>
  </w:num>
  <w:num w:numId="5">
    <w:abstractNumId w:val="14"/>
  </w:num>
  <w:num w:numId="6">
    <w:abstractNumId w:val="1"/>
  </w:num>
  <w:num w:numId="7">
    <w:abstractNumId w:val="3"/>
  </w:num>
  <w:num w:numId="8">
    <w:abstractNumId w:val="7"/>
  </w:num>
  <w:num w:numId="9">
    <w:abstractNumId w:val="11"/>
  </w:num>
  <w:num w:numId="10">
    <w:abstractNumId w:val="9"/>
  </w:num>
  <w:num w:numId="11">
    <w:abstractNumId w:val="27"/>
  </w:num>
  <w:num w:numId="12">
    <w:abstractNumId w:val="8"/>
  </w:num>
  <w:num w:numId="13">
    <w:abstractNumId w:val="23"/>
  </w:num>
  <w:num w:numId="14">
    <w:abstractNumId w:val="4"/>
  </w:num>
  <w:num w:numId="15">
    <w:abstractNumId w:val="28"/>
  </w:num>
  <w:num w:numId="16">
    <w:abstractNumId w:val="10"/>
  </w:num>
  <w:num w:numId="17">
    <w:abstractNumId w:val="17"/>
  </w:num>
  <w:num w:numId="18">
    <w:abstractNumId w:val="26"/>
  </w:num>
  <w:num w:numId="19">
    <w:abstractNumId w:val="15"/>
  </w:num>
  <w:num w:numId="20">
    <w:abstractNumId w:val="21"/>
  </w:num>
  <w:num w:numId="21">
    <w:abstractNumId w:val="5"/>
  </w:num>
  <w:num w:numId="22">
    <w:abstractNumId w:val="19"/>
  </w:num>
  <w:num w:numId="23">
    <w:abstractNumId w:val="25"/>
  </w:num>
  <w:num w:numId="24">
    <w:abstractNumId w:val="2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6"/>
    <w:lvlOverride w:ilvl="0">
      <w:startOverride w:val="6"/>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0"/>
  </w:num>
  <w:num w:numId="30">
    <w:abstractNumId w:val="6"/>
  </w:num>
  <w:num w:numId="31">
    <w:abstractNumId w:val="12"/>
  </w:num>
  <w:num w:numId="32">
    <w:abstractNumId w:val="24"/>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79CF"/>
    <w:rsid w:val="00010BD1"/>
    <w:rsid w:val="00012F71"/>
    <w:rsid w:val="00013247"/>
    <w:rsid w:val="00015886"/>
    <w:rsid w:val="000162EF"/>
    <w:rsid w:val="00017870"/>
    <w:rsid w:val="0002225F"/>
    <w:rsid w:val="0002254C"/>
    <w:rsid w:val="00023763"/>
    <w:rsid w:val="00025565"/>
    <w:rsid w:val="00027462"/>
    <w:rsid w:val="00035EF7"/>
    <w:rsid w:val="00040895"/>
    <w:rsid w:val="000408C4"/>
    <w:rsid w:val="00043C37"/>
    <w:rsid w:val="00043E83"/>
    <w:rsid w:val="00047643"/>
    <w:rsid w:val="00052D7B"/>
    <w:rsid w:val="000546D7"/>
    <w:rsid w:val="000570FF"/>
    <w:rsid w:val="00064581"/>
    <w:rsid w:val="00064FA3"/>
    <w:rsid w:val="00071248"/>
    <w:rsid w:val="000720B9"/>
    <w:rsid w:val="000810C5"/>
    <w:rsid w:val="00081204"/>
    <w:rsid w:val="000812CA"/>
    <w:rsid w:val="000820D0"/>
    <w:rsid w:val="00087FE6"/>
    <w:rsid w:val="00090C7E"/>
    <w:rsid w:val="00092183"/>
    <w:rsid w:val="00093F3B"/>
    <w:rsid w:val="000963A5"/>
    <w:rsid w:val="000A3DFC"/>
    <w:rsid w:val="000A48C4"/>
    <w:rsid w:val="000A7212"/>
    <w:rsid w:val="000B5384"/>
    <w:rsid w:val="000C180D"/>
    <w:rsid w:val="000C329E"/>
    <w:rsid w:val="000C3538"/>
    <w:rsid w:val="000C37F1"/>
    <w:rsid w:val="000C3FB6"/>
    <w:rsid w:val="000D023A"/>
    <w:rsid w:val="000D1BFC"/>
    <w:rsid w:val="000D603D"/>
    <w:rsid w:val="000E7D64"/>
    <w:rsid w:val="000F18D9"/>
    <w:rsid w:val="000F4BB8"/>
    <w:rsid w:val="000F7127"/>
    <w:rsid w:val="000F75BA"/>
    <w:rsid w:val="00100F8A"/>
    <w:rsid w:val="00103159"/>
    <w:rsid w:val="001049FB"/>
    <w:rsid w:val="00107311"/>
    <w:rsid w:val="0011032E"/>
    <w:rsid w:val="0011348B"/>
    <w:rsid w:val="001165D9"/>
    <w:rsid w:val="00121799"/>
    <w:rsid w:val="001222FC"/>
    <w:rsid w:val="0012308B"/>
    <w:rsid w:val="001230AB"/>
    <w:rsid w:val="00124A51"/>
    <w:rsid w:val="00126621"/>
    <w:rsid w:val="001301E9"/>
    <w:rsid w:val="00132656"/>
    <w:rsid w:val="00132BDB"/>
    <w:rsid w:val="0013303E"/>
    <w:rsid w:val="00137645"/>
    <w:rsid w:val="0014015A"/>
    <w:rsid w:val="00140B60"/>
    <w:rsid w:val="00140E99"/>
    <w:rsid w:val="00144512"/>
    <w:rsid w:val="00145540"/>
    <w:rsid w:val="001456B0"/>
    <w:rsid w:val="00145DE0"/>
    <w:rsid w:val="00152AEA"/>
    <w:rsid w:val="00155A3D"/>
    <w:rsid w:val="00155E3C"/>
    <w:rsid w:val="00157130"/>
    <w:rsid w:val="001608E6"/>
    <w:rsid w:val="00162913"/>
    <w:rsid w:val="00162F73"/>
    <w:rsid w:val="00163EFF"/>
    <w:rsid w:val="001652DD"/>
    <w:rsid w:val="001661FB"/>
    <w:rsid w:val="0017065B"/>
    <w:rsid w:val="001717FF"/>
    <w:rsid w:val="00176713"/>
    <w:rsid w:val="0017722A"/>
    <w:rsid w:val="0018752F"/>
    <w:rsid w:val="00190166"/>
    <w:rsid w:val="00195222"/>
    <w:rsid w:val="001975D8"/>
    <w:rsid w:val="001A3390"/>
    <w:rsid w:val="001B15FE"/>
    <w:rsid w:val="001B32B4"/>
    <w:rsid w:val="001B3443"/>
    <w:rsid w:val="001B7E04"/>
    <w:rsid w:val="001C0ED0"/>
    <w:rsid w:val="001C140D"/>
    <w:rsid w:val="001C6E66"/>
    <w:rsid w:val="001C71F9"/>
    <w:rsid w:val="001C728B"/>
    <w:rsid w:val="001C784B"/>
    <w:rsid w:val="001C7BDC"/>
    <w:rsid w:val="001D091D"/>
    <w:rsid w:val="001D0BE6"/>
    <w:rsid w:val="001E238E"/>
    <w:rsid w:val="001E2B1E"/>
    <w:rsid w:val="001E52EB"/>
    <w:rsid w:val="001E740C"/>
    <w:rsid w:val="001F1235"/>
    <w:rsid w:val="001F1CB3"/>
    <w:rsid w:val="001F3992"/>
    <w:rsid w:val="001F4ABA"/>
    <w:rsid w:val="001F7361"/>
    <w:rsid w:val="001F7630"/>
    <w:rsid w:val="001F7768"/>
    <w:rsid w:val="0020021C"/>
    <w:rsid w:val="0020385F"/>
    <w:rsid w:val="00207021"/>
    <w:rsid w:val="00207D00"/>
    <w:rsid w:val="002105C1"/>
    <w:rsid w:val="002126DC"/>
    <w:rsid w:val="00215DC1"/>
    <w:rsid w:val="00217348"/>
    <w:rsid w:val="00223B49"/>
    <w:rsid w:val="00224065"/>
    <w:rsid w:val="00224DD4"/>
    <w:rsid w:val="002309CC"/>
    <w:rsid w:val="00234BA7"/>
    <w:rsid w:val="002454BE"/>
    <w:rsid w:val="00251C2B"/>
    <w:rsid w:val="00252FB2"/>
    <w:rsid w:val="00254DCF"/>
    <w:rsid w:val="0025534B"/>
    <w:rsid w:val="00255BB7"/>
    <w:rsid w:val="002608E9"/>
    <w:rsid w:val="002618EC"/>
    <w:rsid w:val="00262A87"/>
    <w:rsid w:val="0026637F"/>
    <w:rsid w:val="002742E0"/>
    <w:rsid w:val="00274B45"/>
    <w:rsid w:val="00274C02"/>
    <w:rsid w:val="002758C7"/>
    <w:rsid w:val="00275C5A"/>
    <w:rsid w:val="0028085F"/>
    <w:rsid w:val="00281014"/>
    <w:rsid w:val="00290435"/>
    <w:rsid w:val="00291A9D"/>
    <w:rsid w:val="00295275"/>
    <w:rsid w:val="002A14AB"/>
    <w:rsid w:val="002A304F"/>
    <w:rsid w:val="002A4001"/>
    <w:rsid w:val="002A410A"/>
    <w:rsid w:val="002B05E3"/>
    <w:rsid w:val="002B1C1F"/>
    <w:rsid w:val="002B432F"/>
    <w:rsid w:val="002B609A"/>
    <w:rsid w:val="002B6CCE"/>
    <w:rsid w:val="002C2775"/>
    <w:rsid w:val="002C27C1"/>
    <w:rsid w:val="002C595C"/>
    <w:rsid w:val="002C7365"/>
    <w:rsid w:val="002D039D"/>
    <w:rsid w:val="002D150E"/>
    <w:rsid w:val="002D188E"/>
    <w:rsid w:val="002D3A24"/>
    <w:rsid w:val="002D4FED"/>
    <w:rsid w:val="002D73FA"/>
    <w:rsid w:val="002E03BF"/>
    <w:rsid w:val="002E09F8"/>
    <w:rsid w:val="002E2A55"/>
    <w:rsid w:val="002E51C8"/>
    <w:rsid w:val="002E6124"/>
    <w:rsid w:val="002F0CA6"/>
    <w:rsid w:val="002F3934"/>
    <w:rsid w:val="002F39B8"/>
    <w:rsid w:val="002F79BE"/>
    <w:rsid w:val="002F7E56"/>
    <w:rsid w:val="003000DA"/>
    <w:rsid w:val="00301017"/>
    <w:rsid w:val="0030502E"/>
    <w:rsid w:val="0030614E"/>
    <w:rsid w:val="0030786C"/>
    <w:rsid w:val="0031031A"/>
    <w:rsid w:val="00310981"/>
    <w:rsid w:val="003117BD"/>
    <w:rsid w:val="0031183E"/>
    <w:rsid w:val="00315498"/>
    <w:rsid w:val="00315B9D"/>
    <w:rsid w:val="00324AB9"/>
    <w:rsid w:val="00326E72"/>
    <w:rsid w:val="003366C9"/>
    <w:rsid w:val="003371B0"/>
    <w:rsid w:val="00346026"/>
    <w:rsid w:val="0035025F"/>
    <w:rsid w:val="0035620E"/>
    <w:rsid w:val="00362AC1"/>
    <w:rsid w:val="00377223"/>
    <w:rsid w:val="0038365C"/>
    <w:rsid w:val="00386752"/>
    <w:rsid w:val="00387540"/>
    <w:rsid w:val="00387DE6"/>
    <w:rsid w:val="0039168D"/>
    <w:rsid w:val="00393462"/>
    <w:rsid w:val="00396FD0"/>
    <w:rsid w:val="003A1A7A"/>
    <w:rsid w:val="003A4342"/>
    <w:rsid w:val="003A52E1"/>
    <w:rsid w:val="003A72AD"/>
    <w:rsid w:val="003B1D43"/>
    <w:rsid w:val="003B3D6D"/>
    <w:rsid w:val="003B708F"/>
    <w:rsid w:val="003B78FD"/>
    <w:rsid w:val="003C2DCB"/>
    <w:rsid w:val="003C5FFC"/>
    <w:rsid w:val="003D0A4A"/>
    <w:rsid w:val="003D1828"/>
    <w:rsid w:val="003D2422"/>
    <w:rsid w:val="003D3D23"/>
    <w:rsid w:val="003E0C4E"/>
    <w:rsid w:val="003E1BD4"/>
    <w:rsid w:val="003E437E"/>
    <w:rsid w:val="003F1EE9"/>
    <w:rsid w:val="003F2535"/>
    <w:rsid w:val="003F4156"/>
    <w:rsid w:val="003F5ACB"/>
    <w:rsid w:val="00410708"/>
    <w:rsid w:val="00410EC7"/>
    <w:rsid w:val="0041283E"/>
    <w:rsid w:val="00414476"/>
    <w:rsid w:val="00420B9F"/>
    <w:rsid w:val="00422724"/>
    <w:rsid w:val="0042296B"/>
    <w:rsid w:val="004316B9"/>
    <w:rsid w:val="004319F8"/>
    <w:rsid w:val="004327AA"/>
    <w:rsid w:val="00433044"/>
    <w:rsid w:val="0043446E"/>
    <w:rsid w:val="00434843"/>
    <w:rsid w:val="00437D97"/>
    <w:rsid w:val="0044003D"/>
    <w:rsid w:val="0044022B"/>
    <w:rsid w:val="00440B49"/>
    <w:rsid w:val="0044364A"/>
    <w:rsid w:val="004443A7"/>
    <w:rsid w:val="00445EEB"/>
    <w:rsid w:val="004464EB"/>
    <w:rsid w:val="00455D45"/>
    <w:rsid w:val="004613F4"/>
    <w:rsid w:val="00464595"/>
    <w:rsid w:val="004712B7"/>
    <w:rsid w:val="00481B3B"/>
    <w:rsid w:val="00481EB0"/>
    <w:rsid w:val="00483E92"/>
    <w:rsid w:val="004867E2"/>
    <w:rsid w:val="00487775"/>
    <w:rsid w:val="0049196F"/>
    <w:rsid w:val="00491B3A"/>
    <w:rsid w:val="00492CFD"/>
    <w:rsid w:val="004962D2"/>
    <w:rsid w:val="004A02AA"/>
    <w:rsid w:val="004A0DA1"/>
    <w:rsid w:val="004A2BEA"/>
    <w:rsid w:val="004A6597"/>
    <w:rsid w:val="004B0A07"/>
    <w:rsid w:val="004B1523"/>
    <w:rsid w:val="004B1CB4"/>
    <w:rsid w:val="004B2F18"/>
    <w:rsid w:val="004B3B7C"/>
    <w:rsid w:val="004B3DDB"/>
    <w:rsid w:val="004B44FD"/>
    <w:rsid w:val="004B5CFC"/>
    <w:rsid w:val="004B6638"/>
    <w:rsid w:val="004B69FD"/>
    <w:rsid w:val="004C1D0A"/>
    <w:rsid w:val="004C4617"/>
    <w:rsid w:val="004C4AED"/>
    <w:rsid w:val="004C53C5"/>
    <w:rsid w:val="004D2EF1"/>
    <w:rsid w:val="004D5F06"/>
    <w:rsid w:val="004E0EB8"/>
    <w:rsid w:val="004E1829"/>
    <w:rsid w:val="004E2ADC"/>
    <w:rsid w:val="004E43B2"/>
    <w:rsid w:val="004E6D94"/>
    <w:rsid w:val="004E72CE"/>
    <w:rsid w:val="004F1219"/>
    <w:rsid w:val="004F1D02"/>
    <w:rsid w:val="004F2679"/>
    <w:rsid w:val="004F319E"/>
    <w:rsid w:val="004F3AE5"/>
    <w:rsid w:val="004F7865"/>
    <w:rsid w:val="00503221"/>
    <w:rsid w:val="0050523D"/>
    <w:rsid w:val="00506928"/>
    <w:rsid w:val="00511CC4"/>
    <w:rsid w:val="00512CAD"/>
    <w:rsid w:val="00513C2F"/>
    <w:rsid w:val="005152B5"/>
    <w:rsid w:val="00516300"/>
    <w:rsid w:val="00521319"/>
    <w:rsid w:val="00521AF2"/>
    <w:rsid w:val="00522EC9"/>
    <w:rsid w:val="00523C28"/>
    <w:rsid w:val="00527CDD"/>
    <w:rsid w:val="005303C5"/>
    <w:rsid w:val="00533EE4"/>
    <w:rsid w:val="00534698"/>
    <w:rsid w:val="00534E3D"/>
    <w:rsid w:val="00540252"/>
    <w:rsid w:val="00551664"/>
    <w:rsid w:val="00551C2E"/>
    <w:rsid w:val="00552BD3"/>
    <w:rsid w:val="00555109"/>
    <w:rsid w:val="00564407"/>
    <w:rsid w:val="00564D28"/>
    <w:rsid w:val="0056696F"/>
    <w:rsid w:val="00574623"/>
    <w:rsid w:val="00575C2B"/>
    <w:rsid w:val="00575D8D"/>
    <w:rsid w:val="00576972"/>
    <w:rsid w:val="00583699"/>
    <w:rsid w:val="00595E1A"/>
    <w:rsid w:val="005A18B2"/>
    <w:rsid w:val="005A1EFD"/>
    <w:rsid w:val="005B5857"/>
    <w:rsid w:val="005B63A1"/>
    <w:rsid w:val="005C1B83"/>
    <w:rsid w:val="005C346B"/>
    <w:rsid w:val="005D044D"/>
    <w:rsid w:val="005D18AD"/>
    <w:rsid w:val="005D3B1C"/>
    <w:rsid w:val="005D5FBE"/>
    <w:rsid w:val="005D6319"/>
    <w:rsid w:val="005E73C0"/>
    <w:rsid w:val="005F2706"/>
    <w:rsid w:val="005F2DEC"/>
    <w:rsid w:val="005F595C"/>
    <w:rsid w:val="005F6A8F"/>
    <w:rsid w:val="005F7F53"/>
    <w:rsid w:val="0060239C"/>
    <w:rsid w:val="00607546"/>
    <w:rsid w:val="00607669"/>
    <w:rsid w:val="00612F97"/>
    <w:rsid w:val="00615C7B"/>
    <w:rsid w:val="00616802"/>
    <w:rsid w:val="006169E2"/>
    <w:rsid w:val="00617E12"/>
    <w:rsid w:val="00621477"/>
    <w:rsid w:val="0062312A"/>
    <w:rsid w:val="00623E76"/>
    <w:rsid w:val="006278D4"/>
    <w:rsid w:val="00630BA1"/>
    <w:rsid w:val="00630E73"/>
    <w:rsid w:val="00631D6B"/>
    <w:rsid w:val="00632A7D"/>
    <w:rsid w:val="0063479F"/>
    <w:rsid w:val="00635C2A"/>
    <w:rsid w:val="006364A1"/>
    <w:rsid w:val="00637BFD"/>
    <w:rsid w:val="006439E3"/>
    <w:rsid w:val="006442E6"/>
    <w:rsid w:val="00646182"/>
    <w:rsid w:val="006471CC"/>
    <w:rsid w:val="0065079F"/>
    <w:rsid w:val="00652DC2"/>
    <w:rsid w:val="00674E42"/>
    <w:rsid w:val="00682112"/>
    <w:rsid w:val="00682FC3"/>
    <w:rsid w:val="0068572A"/>
    <w:rsid w:val="006872BA"/>
    <w:rsid w:val="00687ADE"/>
    <w:rsid w:val="00690002"/>
    <w:rsid w:val="0069145C"/>
    <w:rsid w:val="006917D7"/>
    <w:rsid w:val="00694F44"/>
    <w:rsid w:val="0069689C"/>
    <w:rsid w:val="006A688E"/>
    <w:rsid w:val="006A7E0F"/>
    <w:rsid w:val="006B5CA1"/>
    <w:rsid w:val="006C2A8E"/>
    <w:rsid w:val="006C328E"/>
    <w:rsid w:val="006C6AA0"/>
    <w:rsid w:val="006C77B5"/>
    <w:rsid w:val="006D2192"/>
    <w:rsid w:val="006D3C7D"/>
    <w:rsid w:val="006D5D5F"/>
    <w:rsid w:val="006D699D"/>
    <w:rsid w:val="006E0DEE"/>
    <w:rsid w:val="006E47EB"/>
    <w:rsid w:val="006E7DE6"/>
    <w:rsid w:val="006F01D6"/>
    <w:rsid w:val="006F3F80"/>
    <w:rsid w:val="006F63A5"/>
    <w:rsid w:val="0070276E"/>
    <w:rsid w:val="00702F8F"/>
    <w:rsid w:val="0070507F"/>
    <w:rsid w:val="00705B95"/>
    <w:rsid w:val="00706DA9"/>
    <w:rsid w:val="00711A36"/>
    <w:rsid w:val="007128B0"/>
    <w:rsid w:val="0071382C"/>
    <w:rsid w:val="0071603D"/>
    <w:rsid w:val="007170DE"/>
    <w:rsid w:val="007172AD"/>
    <w:rsid w:val="0071782C"/>
    <w:rsid w:val="007202B2"/>
    <w:rsid w:val="00722F54"/>
    <w:rsid w:val="0072416F"/>
    <w:rsid w:val="00727747"/>
    <w:rsid w:val="00733686"/>
    <w:rsid w:val="007350ED"/>
    <w:rsid w:val="00735328"/>
    <w:rsid w:val="0073685B"/>
    <w:rsid w:val="00740911"/>
    <w:rsid w:val="00747544"/>
    <w:rsid w:val="007542D2"/>
    <w:rsid w:val="007543E0"/>
    <w:rsid w:val="00755D98"/>
    <w:rsid w:val="00772D56"/>
    <w:rsid w:val="00774283"/>
    <w:rsid w:val="00783C61"/>
    <w:rsid w:val="00785268"/>
    <w:rsid w:val="00787D36"/>
    <w:rsid w:val="007904BD"/>
    <w:rsid w:val="007908D1"/>
    <w:rsid w:val="00797FA6"/>
    <w:rsid w:val="007A0A12"/>
    <w:rsid w:val="007A1552"/>
    <w:rsid w:val="007A43CB"/>
    <w:rsid w:val="007B18C2"/>
    <w:rsid w:val="007B2006"/>
    <w:rsid w:val="007B251D"/>
    <w:rsid w:val="007B3C0D"/>
    <w:rsid w:val="007B77D1"/>
    <w:rsid w:val="007B7EA9"/>
    <w:rsid w:val="007C0D84"/>
    <w:rsid w:val="007C361D"/>
    <w:rsid w:val="007C5E40"/>
    <w:rsid w:val="007C743A"/>
    <w:rsid w:val="007D0B38"/>
    <w:rsid w:val="007D1C46"/>
    <w:rsid w:val="007D41CD"/>
    <w:rsid w:val="007D4F07"/>
    <w:rsid w:val="007E0BBF"/>
    <w:rsid w:val="007F1017"/>
    <w:rsid w:val="007F399E"/>
    <w:rsid w:val="007F4A3F"/>
    <w:rsid w:val="007F4ED0"/>
    <w:rsid w:val="008009F9"/>
    <w:rsid w:val="00800B6E"/>
    <w:rsid w:val="00802439"/>
    <w:rsid w:val="008046D8"/>
    <w:rsid w:val="00805142"/>
    <w:rsid w:val="00805BC8"/>
    <w:rsid w:val="00806693"/>
    <w:rsid w:val="00806A8A"/>
    <w:rsid w:val="00807A8B"/>
    <w:rsid w:val="00812149"/>
    <w:rsid w:val="00812414"/>
    <w:rsid w:val="008166EF"/>
    <w:rsid w:val="00821FC2"/>
    <w:rsid w:val="00822723"/>
    <w:rsid w:val="008242F3"/>
    <w:rsid w:val="008264EB"/>
    <w:rsid w:val="00826709"/>
    <w:rsid w:val="00833B05"/>
    <w:rsid w:val="00840CA2"/>
    <w:rsid w:val="008419B3"/>
    <w:rsid w:val="00843C6B"/>
    <w:rsid w:val="00843E6E"/>
    <w:rsid w:val="00851402"/>
    <w:rsid w:val="00852155"/>
    <w:rsid w:val="008527F7"/>
    <w:rsid w:val="00856E9A"/>
    <w:rsid w:val="00862502"/>
    <w:rsid w:val="00866931"/>
    <w:rsid w:val="00872BF1"/>
    <w:rsid w:val="008779CE"/>
    <w:rsid w:val="00882874"/>
    <w:rsid w:val="00883787"/>
    <w:rsid w:val="00883FDE"/>
    <w:rsid w:val="00885F66"/>
    <w:rsid w:val="00894489"/>
    <w:rsid w:val="00895478"/>
    <w:rsid w:val="008963A5"/>
    <w:rsid w:val="00896D84"/>
    <w:rsid w:val="00897213"/>
    <w:rsid w:val="008A0112"/>
    <w:rsid w:val="008A32E0"/>
    <w:rsid w:val="008A3C3E"/>
    <w:rsid w:val="008A55D3"/>
    <w:rsid w:val="008A79DE"/>
    <w:rsid w:val="008B4B13"/>
    <w:rsid w:val="008B65E1"/>
    <w:rsid w:val="008B7D7E"/>
    <w:rsid w:val="008C1A5B"/>
    <w:rsid w:val="008C1AC1"/>
    <w:rsid w:val="008C3687"/>
    <w:rsid w:val="008C7ECB"/>
    <w:rsid w:val="008D3EF0"/>
    <w:rsid w:val="008D4E84"/>
    <w:rsid w:val="008E1B9E"/>
    <w:rsid w:val="008E3F1E"/>
    <w:rsid w:val="008E4B65"/>
    <w:rsid w:val="008E6772"/>
    <w:rsid w:val="008F0DFE"/>
    <w:rsid w:val="008F120A"/>
    <w:rsid w:val="008F242A"/>
    <w:rsid w:val="008F48EB"/>
    <w:rsid w:val="008F4F0B"/>
    <w:rsid w:val="00905DA9"/>
    <w:rsid w:val="009062A5"/>
    <w:rsid w:val="00911272"/>
    <w:rsid w:val="009210AA"/>
    <w:rsid w:val="00922FC0"/>
    <w:rsid w:val="00926841"/>
    <w:rsid w:val="00933EA9"/>
    <w:rsid w:val="009343B3"/>
    <w:rsid w:val="00940DF0"/>
    <w:rsid w:val="00943B9A"/>
    <w:rsid w:val="0095243C"/>
    <w:rsid w:val="0095442A"/>
    <w:rsid w:val="00954FD6"/>
    <w:rsid w:val="00960FF9"/>
    <w:rsid w:val="00961F34"/>
    <w:rsid w:val="00962CB9"/>
    <w:rsid w:val="00964312"/>
    <w:rsid w:val="00965E0A"/>
    <w:rsid w:val="00980F6B"/>
    <w:rsid w:val="0098384D"/>
    <w:rsid w:val="00983E57"/>
    <w:rsid w:val="00987007"/>
    <w:rsid w:val="00991E3A"/>
    <w:rsid w:val="0099443D"/>
    <w:rsid w:val="00996B1A"/>
    <w:rsid w:val="009B3E26"/>
    <w:rsid w:val="009C1537"/>
    <w:rsid w:val="009C24AF"/>
    <w:rsid w:val="009D253D"/>
    <w:rsid w:val="009D2AED"/>
    <w:rsid w:val="009D4116"/>
    <w:rsid w:val="009D5B91"/>
    <w:rsid w:val="009D7C5A"/>
    <w:rsid w:val="009E4C07"/>
    <w:rsid w:val="009F3D21"/>
    <w:rsid w:val="009F6E62"/>
    <w:rsid w:val="00A02D38"/>
    <w:rsid w:val="00A03D43"/>
    <w:rsid w:val="00A04380"/>
    <w:rsid w:val="00A10189"/>
    <w:rsid w:val="00A10AB4"/>
    <w:rsid w:val="00A121ED"/>
    <w:rsid w:val="00A1265C"/>
    <w:rsid w:val="00A13948"/>
    <w:rsid w:val="00A154B7"/>
    <w:rsid w:val="00A270DD"/>
    <w:rsid w:val="00A27AEC"/>
    <w:rsid w:val="00A30AF7"/>
    <w:rsid w:val="00A33637"/>
    <w:rsid w:val="00A33B73"/>
    <w:rsid w:val="00A3414F"/>
    <w:rsid w:val="00A35420"/>
    <w:rsid w:val="00A35D16"/>
    <w:rsid w:val="00A41648"/>
    <w:rsid w:val="00A43C59"/>
    <w:rsid w:val="00A445E6"/>
    <w:rsid w:val="00A463F1"/>
    <w:rsid w:val="00A46645"/>
    <w:rsid w:val="00A47222"/>
    <w:rsid w:val="00A50ECD"/>
    <w:rsid w:val="00A52729"/>
    <w:rsid w:val="00A53675"/>
    <w:rsid w:val="00A56B6A"/>
    <w:rsid w:val="00A578DC"/>
    <w:rsid w:val="00A6090E"/>
    <w:rsid w:val="00A65D04"/>
    <w:rsid w:val="00A6725B"/>
    <w:rsid w:val="00A67CE0"/>
    <w:rsid w:val="00A71574"/>
    <w:rsid w:val="00A733DC"/>
    <w:rsid w:val="00A735A1"/>
    <w:rsid w:val="00A73A4D"/>
    <w:rsid w:val="00A75F99"/>
    <w:rsid w:val="00A80128"/>
    <w:rsid w:val="00A82045"/>
    <w:rsid w:val="00A867F0"/>
    <w:rsid w:val="00A86E8B"/>
    <w:rsid w:val="00A90AD6"/>
    <w:rsid w:val="00A92C1A"/>
    <w:rsid w:val="00A93072"/>
    <w:rsid w:val="00A959D8"/>
    <w:rsid w:val="00AA462D"/>
    <w:rsid w:val="00AA46B7"/>
    <w:rsid w:val="00AA5B62"/>
    <w:rsid w:val="00AB042A"/>
    <w:rsid w:val="00AB1547"/>
    <w:rsid w:val="00AB2D34"/>
    <w:rsid w:val="00AB2EA9"/>
    <w:rsid w:val="00AB3430"/>
    <w:rsid w:val="00AB7CFA"/>
    <w:rsid w:val="00AC6FA5"/>
    <w:rsid w:val="00AD1B2B"/>
    <w:rsid w:val="00AD2AF7"/>
    <w:rsid w:val="00AD3C1A"/>
    <w:rsid w:val="00AD49B2"/>
    <w:rsid w:val="00AD7BAB"/>
    <w:rsid w:val="00AE4570"/>
    <w:rsid w:val="00AE4E89"/>
    <w:rsid w:val="00AE7916"/>
    <w:rsid w:val="00AE7A7D"/>
    <w:rsid w:val="00AE7F5A"/>
    <w:rsid w:val="00AF012A"/>
    <w:rsid w:val="00AF3AC0"/>
    <w:rsid w:val="00AF69B5"/>
    <w:rsid w:val="00AF73C3"/>
    <w:rsid w:val="00B03E13"/>
    <w:rsid w:val="00B07563"/>
    <w:rsid w:val="00B100E7"/>
    <w:rsid w:val="00B12C00"/>
    <w:rsid w:val="00B15A02"/>
    <w:rsid w:val="00B2136F"/>
    <w:rsid w:val="00B22AA0"/>
    <w:rsid w:val="00B23552"/>
    <w:rsid w:val="00B27785"/>
    <w:rsid w:val="00B42851"/>
    <w:rsid w:val="00B46D2C"/>
    <w:rsid w:val="00B50DB8"/>
    <w:rsid w:val="00B52283"/>
    <w:rsid w:val="00B52C86"/>
    <w:rsid w:val="00B53706"/>
    <w:rsid w:val="00B53905"/>
    <w:rsid w:val="00B54B5B"/>
    <w:rsid w:val="00B54CB0"/>
    <w:rsid w:val="00B5562E"/>
    <w:rsid w:val="00B55DCB"/>
    <w:rsid w:val="00B57000"/>
    <w:rsid w:val="00B579B5"/>
    <w:rsid w:val="00B60939"/>
    <w:rsid w:val="00B60AFD"/>
    <w:rsid w:val="00B62715"/>
    <w:rsid w:val="00B62F25"/>
    <w:rsid w:val="00B65B22"/>
    <w:rsid w:val="00B674A3"/>
    <w:rsid w:val="00B67AB3"/>
    <w:rsid w:val="00B7787D"/>
    <w:rsid w:val="00B77BD3"/>
    <w:rsid w:val="00B818A4"/>
    <w:rsid w:val="00B82E24"/>
    <w:rsid w:val="00B830DA"/>
    <w:rsid w:val="00B83A1A"/>
    <w:rsid w:val="00B8426C"/>
    <w:rsid w:val="00B8471E"/>
    <w:rsid w:val="00B8649C"/>
    <w:rsid w:val="00B8765D"/>
    <w:rsid w:val="00B92D0B"/>
    <w:rsid w:val="00B937A0"/>
    <w:rsid w:val="00B94945"/>
    <w:rsid w:val="00B9590E"/>
    <w:rsid w:val="00BA5CB0"/>
    <w:rsid w:val="00BA649F"/>
    <w:rsid w:val="00BB23EF"/>
    <w:rsid w:val="00BB26DA"/>
    <w:rsid w:val="00BB47FE"/>
    <w:rsid w:val="00BB672F"/>
    <w:rsid w:val="00BB70F5"/>
    <w:rsid w:val="00BB7405"/>
    <w:rsid w:val="00BC5505"/>
    <w:rsid w:val="00BC6F88"/>
    <w:rsid w:val="00BD0EEC"/>
    <w:rsid w:val="00BD148E"/>
    <w:rsid w:val="00BD1932"/>
    <w:rsid w:val="00BD6CF3"/>
    <w:rsid w:val="00BE2180"/>
    <w:rsid w:val="00BE4275"/>
    <w:rsid w:val="00BE46CB"/>
    <w:rsid w:val="00BE52C2"/>
    <w:rsid w:val="00BE6BEF"/>
    <w:rsid w:val="00BF2433"/>
    <w:rsid w:val="00BF61C9"/>
    <w:rsid w:val="00BF71B8"/>
    <w:rsid w:val="00C00540"/>
    <w:rsid w:val="00C018B6"/>
    <w:rsid w:val="00C050F1"/>
    <w:rsid w:val="00C10556"/>
    <w:rsid w:val="00C22077"/>
    <w:rsid w:val="00C23D7F"/>
    <w:rsid w:val="00C25418"/>
    <w:rsid w:val="00C25D9C"/>
    <w:rsid w:val="00C25DEB"/>
    <w:rsid w:val="00C27317"/>
    <w:rsid w:val="00C30DBB"/>
    <w:rsid w:val="00C31649"/>
    <w:rsid w:val="00C32A87"/>
    <w:rsid w:val="00C40385"/>
    <w:rsid w:val="00C43732"/>
    <w:rsid w:val="00C46135"/>
    <w:rsid w:val="00C55502"/>
    <w:rsid w:val="00C6397E"/>
    <w:rsid w:val="00C65576"/>
    <w:rsid w:val="00C66165"/>
    <w:rsid w:val="00C66515"/>
    <w:rsid w:val="00C71966"/>
    <w:rsid w:val="00C750C8"/>
    <w:rsid w:val="00C761AE"/>
    <w:rsid w:val="00C8213F"/>
    <w:rsid w:val="00C854FA"/>
    <w:rsid w:val="00C8797A"/>
    <w:rsid w:val="00C90480"/>
    <w:rsid w:val="00C938CF"/>
    <w:rsid w:val="00C93BA7"/>
    <w:rsid w:val="00C977BE"/>
    <w:rsid w:val="00CA5245"/>
    <w:rsid w:val="00CA7B09"/>
    <w:rsid w:val="00CB5B1A"/>
    <w:rsid w:val="00CC206D"/>
    <w:rsid w:val="00CC39EC"/>
    <w:rsid w:val="00CC3ACA"/>
    <w:rsid w:val="00CD0ED1"/>
    <w:rsid w:val="00CD2250"/>
    <w:rsid w:val="00CD416F"/>
    <w:rsid w:val="00CD6248"/>
    <w:rsid w:val="00CD6ADC"/>
    <w:rsid w:val="00CE07B0"/>
    <w:rsid w:val="00CE5736"/>
    <w:rsid w:val="00CE6274"/>
    <w:rsid w:val="00CE6C8F"/>
    <w:rsid w:val="00CF096F"/>
    <w:rsid w:val="00CF456B"/>
    <w:rsid w:val="00CF5A22"/>
    <w:rsid w:val="00CF61EA"/>
    <w:rsid w:val="00CF7F45"/>
    <w:rsid w:val="00D00ECB"/>
    <w:rsid w:val="00D0262E"/>
    <w:rsid w:val="00D063B2"/>
    <w:rsid w:val="00D06BFD"/>
    <w:rsid w:val="00D110BD"/>
    <w:rsid w:val="00D144B9"/>
    <w:rsid w:val="00D15B79"/>
    <w:rsid w:val="00D15FD6"/>
    <w:rsid w:val="00D16919"/>
    <w:rsid w:val="00D17D6C"/>
    <w:rsid w:val="00D2153C"/>
    <w:rsid w:val="00D226D5"/>
    <w:rsid w:val="00D337B8"/>
    <w:rsid w:val="00D357FF"/>
    <w:rsid w:val="00D56AF1"/>
    <w:rsid w:val="00D6404F"/>
    <w:rsid w:val="00D65C49"/>
    <w:rsid w:val="00D70E72"/>
    <w:rsid w:val="00D751B5"/>
    <w:rsid w:val="00D76A44"/>
    <w:rsid w:val="00D77BE8"/>
    <w:rsid w:val="00D837B1"/>
    <w:rsid w:val="00D84765"/>
    <w:rsid w:val="00D8604A"/>
    <w:rsid w:val="00D93753"/>
    <w:rsid w:val="00DA0302"/>
    <w:rsid w:val="00DA5B51"/>
    <w:rsid w:val="00DA77A5"/>
    <w:rsid w:val="00DB0183"/>
    <w:rsid w:val="00DB0F66"/>
    <w:rsid w:val="00DB70DD"/>
    <w:rsid w:val="00DB7754"/>
    <w:rsid w:val="00DC03EF"/>
    <w:rsid w:val="00DC1121"/>
    <w:rsid w:val="00DC5501"/>
    <w:rsid w:val="00DD3F28"/>
    <w:rsid w:val="00DD41AB"/>
    <w:rsid w:val="00DD4537"/>
    <w:rsid w:val="00DD4E15"/>
    <w:rsid w:val="00DD5946"/>
    <w:rsid w:val="00DD5BBC"/>
    <w:rsid w:val="00DE043B"/>
    <w:rsid w:val="00DE47CE"/>
    <w:rsid w:val="00DE4FCB"/>
    <w:rsid w:val="00DF2B45"/>
    <w:rsid w:val="00DF52AB"/>
    <w:rsid w:val="00DF5D2B"/>
    <w:rsid w:val="00E02918"/>
    <w:rsid w:val="00E02FA0"/>
    <w:rsid w:val="00E073E7"/>
    <w:rsid w:val="00E10149"/>
    <w:rsid w:val="00E140A2"/>
    <w:rsid w:val="00E15BBD"/>
    <w:rsid w:val="00E16372"/>
    <w:rsid w:val="00E20ED6"/>
    <w:rsid w:val="00E21358"/>
    <w:rsid w:val="00E2249B"/>
    <w:rsid w:val="00E22A0D"/>
    <w:rsid w:val="00E2771E"/>
    <w:rsid w:val="00E37569"/>
    <w:rsid w:val="00E41E30"/>
    <w:rsid w:val="00E43D70"/>
    <w:rsid w:val="00E47B2C"/>
    <w:rsid w:val="00E50578"/>
    <w:rsid w:val="00E51560"/>
    <w:rsid w:val="00E52A2E"/>
    <w:rsid w:val="00E53991"/>
    <w:rsid w:val="00E54FBE"/>
    <w:rsid w:val="00E55424"/>
    <w:rsid w:val="00E55BB5"/>
    <w:rsid w:val="00E55E66"/>
    <w:rsid w:val="00E60430"/>
    <w:rsid w:val="00E626D3"/>
    <w:rsid w:val="00E63E33"/>
    <w:rsid w:val="00E65E79"/>
    <w:rsid w:val="00E667D4"/>
    <w:rsid w:val="00E67416"/>
    <w:rsid w:val="00E718B6"/>
    <w:rsid w:val="00E73581"/>
    <w:rsid w:val="00E771FB"/>
    <w:rsid w:val="00E80805"/>
    <w:rsid w:val="00E83BDF"/>
    <w:rsid w:val="00E85A77"/>
    <w:rsid w:val="00E925A8"/>
    <w:rsid w:val="00EA3864"/>
    <w:rsid w:val="00EA5DE9"/>
    <w:rsid w:val="00EA7BBC"/>
    <w:rsid w:val="00EB15B6"/>
    <w:rsid w:val="00EB2F01"/>
    <w:rsid w:val="00EB4916"/>
    <w:rsid w:val="00EB7B7A"/>
    <w:rsid w:val="00EC00C9"/>
    <w:rsid w:val="00EC265C"/>
    <w:rsid w:val="00EC3282"/>
    <w:rsid w:val="00EC3D64"/>
    <w:rsid w:val="00EC4AF0"/>
    <w:rsid w:val="00ED02A2"/>
    <w:rsid w:val="00ED1854"/>
    <w:rsid w:val="00ED7110"/>
    <w:rsid w:val="00EE07D3"/>
    <w:rsid w:val="00EE42BC"/>
    <w:rsid w:val="00EF2129"/>
    <w:rsid w:val="00EF67D9"/>
    <w:rsid w:val="00EF68B0"/>
    <w:rsid w:val="00F00863"/>
    <w:rsid w:val="00F05020"/>
    <w:rsid w:val="00F05B3A"/>
    <w:rsid w:val="00F067A2"/>
    <w:rsid w:val="00F12313"/>
    <w:rsid w:val="00F2052D"/>
    <w:rsid w:val="00F2058C"/>
    <w:rsid w:val="00F21B2E"/>
    <w:rsid w:val="00F22788"/>
    <w:rsid w:val="00F24837"/>
    <w:rsid w:val="00F2575F"/>
    <w:rsid w:val="00F26CA6"/>
    <w:rsid w:val="00F33DE9"/>
    <w:rsid w:val="00F35440"/>
    <w:rsid w:val="00F3619A"/>
    <w:rsid w:val="00F44C1D"/>
    <w:rsid w:val="00F46CB6"/>
    <w:rsid w:val="00F55631"/>
    <w:rsid w:val="00F55E73"/>
    <w:rsid w:val="00F60092"/>
    <w:rsid w:val="00F63E2B"/>
    <w:rsid w:val="00F7061A"/>
    <w:rsid w:val="00F75F5A"/>
    <w:rsid w:val="00F8052B"/>
    <w:rsid w:val="00F80E5D"/>
    <w:rsid w:val="00F851CE"/>
    <w:rsid w:val="00F95C78"/>
    <w:rsid w:val="00F97A78"/>
    <w:rsid w:val="00FA008B"/>
    <w:rsid w:val="00FA050E"/>
    <w:rsid w:val="00FA24E7"/>
    <w:rsid w:val="00FA6D34"/>
    <w:rsid w:val="00FB03EC"/>
    <w:rsid w:val="00FB048E"/>
    <w:rsid w:val="00FB1E08"/>
    <w:rsid w:val="00FB2FCB"/>
    <w:rsid w:val="00FB443D"/>
    <w:rsid w:val="00FB4D5C"/>
    <w:rsid w:val="00FB4FC7"/>
    <w:rsid w:val="00FC1074"/>
    <w:rsid w:val="00FC1884"/>
    <w:rsid w:val="00FC33C8"/>
    <w:rsid w:val="00FC7E98"/>
    <w:rsid w:val="00FD2100"/>
    <w:rsid w:val="00FD277F"/>
    <w:rsid w:val="00FD446D"/>
    <w:rsid w:val="00FD60C8"/>
    <w:rsid w:val="00FE0955"/>
    <w:rsid w:val="00FE3C01"/>
    <w:rsid w:val="00FE49BF"/>
    <w:rsid w:val="00FE5429"/>
    <w:rsid w:val="00FF29C0"/>
    <w:rsid w:val="00FF3DCF"/>
    <w:rsid w:val="00FF5AA3"/>
    <w:rsid w:val="00FF603D"/>
    <w:rsid w:val="00FF792C"/>
    <w:rsid w:val="00FF7FD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0"/>
    <w:next w:val="Normal"/>
    <w:link w:val="Heading1Char"/>
    <w:qFormat/>
    <w:rsid w:val="00FF792C"/>
    <w:pPr>
      <w:outlineLvl w:val="0"/>
    </w:pPr>
  </w:style>
  <w:style w:type="paragraph" w:styleId="Heading2">
    <w:name w:val="heading 2"/>
    <w:basedOn w:val="Normal"/>
    <w:next w:val="Normal"/>
    <w:link w:val="Heading2Char"/>
    <w:qFormat/>
    <w:rsid w:val="002F39B8"/>
    <w:pPr>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2F39B8"/>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
    <w:link w:val="Caption"/>
    <w:rsid w:val="00124A51"/>
    <w:rPr>
      <w:b/>
      <w:bCs/>
      <w:snapToGrid w:val="0"/>
      <w:color w:val="4F81BD" w:themeColor="accent1"/>
      <w:sz w:val="18"/>
      <w:szCs w:val="18"/>
      <w:lang w:eastAsia="en-US"/>
    </w:rPr>
  </w:style>
  <w:style w:type="paragraph" w:styleId="Title">
    <w:name w:val="Title"/>
    <w:next w:val="Normal"/>
    <w:link w:val="TitleChar"/>
    <w:qFormat/>
    <w:rsid w:val="00FF792C"/>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FF792C"/>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BD6CF3"/>
    <w:pPr>
      <w:numPr>
        <w:numId w:val="4"/>
      </w:numPr>
    </w:pPr>
    <w:rPr>
      <w:rFonts w:ascii="Arial" w:hAnsi="Arial" w:cs="Arial"/>
      <w:b/>
      <w:snapToGrid w:val="0"/>
      <w:sz w:val="22"/>
      <w:szCs w:val="22"/>
      <w:lang w:eastAsia="en-US"/>
    </w:rPr>
  </w:style>
  <w:style w:type="character" w:customStyle="1" w:styleId="Heading1Char">
    <w:name w:val="Heading 1 Char"/>
    <w:basedOn w:val="DefaultParagraphFont"/>
    <w:link w:val="Heading1"/>
    <w:rsid w:val="00FF792C"/>
    <w:rPr>
      <w:rFonts w:ascii="Arial" w:hAnsi="Arial" w:cs="Arial"/>
      <w:b/>
      <w:snapToGrid w:val="0"/>
      <w:sz w:val="22"/>
      <w:szCs w:val="22"/>
      <w:lang w:eastAsia="en-US"/>
    </w:rPr>
  </w:style>
  <w:style w:type="paragraph" w:customStyle="1" w:styleId="TableText1">
    <w:name w:val="Table Text"/>
    <w:basedOn w:val="Normal"/>
    <w:link w:val="TableTextChar0"/>
    <w:qFormat/>
    <w:rsid w:val="00EC4AF0"/>
    <w:pPr>
      <w:widowControl/>
      <w:jc w:val="left"/>
    </w:pPr>
    <w:rPr>
      <w:rFonts w:eastAsia="SimSun" w:cs="Times New Roman"/>
      <w:snapToGrid/>
      <w:sz w:val="20"/>
      <w:lang w:eastAsia="zh-CN"/>
    </w:rPr>
  </w:style>
  <w:style w:type="character" w:customStyle="1" w:styleId="TableTextChar0">
    <w:name w:val="Table Text Char"/>
    <w:link w:val="TableText1"/>
    <w:rsid w:val="00EC4AF0"/>
    <w:rPr>
      <w:rFonts w:ascii="Arial" w:eastAsia="SimSun" w:hAnsi="Arial"/>
      <w:lang w:eastAsia="zh-CN"/>
    </w:rPr>
  </w:style>
  <w:style w:type="paragraph" w:customStyle="1" w:styleId="PBACTableText">
    <w:name w:val="PBAC Table Text"/>
    <w:basedOn w:val="Normal"/>
    <w:link w:val="PBACTableTextChar"/>
    <w:qFormat/>
    <w:rsid w:val="00B579B5"/>
    <w:pPr>
      <w:widowControl/>
      <w:spacing w:before="40" w:after="40"/>
      <w:jc w:val="left"/>
    </w:pPr>
    <w:rPr>
      <w:rFonts w:ascii="News Gothic MT" w:hAnsi="News Gothic MT" w:cs="Times New Roman"/>
      <w:snapToGrid/>
      <w:sz w:val="20"/>
      <w:lang w:val="en-US"/>
    </w:rPr>
  </w:style>
  <w:style w:type="character" w:customStyle="1" w:styleId="PBACTableTextChar">
    <w:name w:val="PBAC Table Text Char"/>
    <w:basedOn w:val="DefaultParagraphFont"/>
    <w:link w:val="PBACTableText"/>
    <w:rsid w:val="00B579B5"/>
    <w:rPr>
      <w:rFonts w:ascii="News Gothic MT" w:hAnsi="News Gothic MT"/>
      <w:lang w:val="en-US" w:eastAsia="en-US"/>
    </w:rPr>
  </w:style>
  <w:style w:type="paragraph" w:customStyle="1" w:styleId="PBACTableTextBoldLeft">
    <w:name w:val="PBAC Table Text + Bold + Left"/>
    <w:basedOn w:val="PBACTableText"/>
    <w:qFormat/>
    <w:rsid w:val="00B579B5"/>
    <w:pPr>
      <w:keepNext/>
    </w:pPr>
    <w:rPr>
      <w:b/>
      <w:bCs/>
    </w:rPr>
  </w:style>
  <w:style w:type="paragraph" w:customStyle="1" w:styleId="COMtbl-HEADLeftAligned">
    <w:name w:val="COMtbl-HEAD Left Aligned"/>
    <w:basedOn w:val="Normal"/>
    <w:qFormat/>
    <w:rsid w:val="00BD0EEC"/>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BD0EEC"/>
    <w:pPr>
      <w:jc w:val="center"/>
    </w:pPr>
  </w:style>
  <w:style w:type="paragraph" w:customStyle="1" w:styleId="COMTbl-cap">
    <w:name w:val="COMTbl-cap"/>
    <w:basedOn w:val="Normal"/>
    <w:link w:val="COMTbl-capChar"/>
    <w:qFormat/>
    <w:rsid w:val="00BD0EEC"/>
    <w:pPr>
      <w:keepNext/>
    </w:pPr>
    <w:rPr>
      <w:rFonts w:ascii="Arial Narrow" w:hAnsi="Arial Narrow"/>
      <w:b/>
      <w:sz w:val="20"/>
    </w:rPr>
  </w:style>
  <w:style w:type="character" w:customStyle="1" w:styleId="COMTbl-capChar">
    <w:name w:val="COMTbl-cap Char"/>
    <w:basedOn w:val="DefaultParagraphFont"/>
    <w:link w:val="COMTbl-cap"/>
    <w:rsid w:val="00BD0EEC"/>
    <w:rPr>
      <w:rFonts w:ascii="Arial Narrow" w:hAnsi="Arial Narrow" w:cs="Arial"/>
      <w:b/>
      <w:snapToGrid w:val="0"/>
      <w:lang w:eastAsia="en-US"/>
    </w:rPr>
  </w:style>
  <w:style w:type="paragraph" w:customStyle="1" w:styleId="bodytext0">
    <w:name w:val="bodytext"/>
    <w:basedOn w:val="Normal"/>
    <w:link w:val="bodytextChar0"/>
    <w:rsid w:val="0070507F"/>
    <w:pPr>
      <w:widowControl/>
      <w:spacing w:before="120" w:after="240" w:line="360" w:lineRule="auto"/>
      <w:jc w:val="left"/>
    </w:pPr>
    <w:rPr>
      <w:rFonts w:ascii="Garamond" w:hAnsi="Garamond" w:cs="Times New Roman"/>
      <w:snapToGrid/>
      <w:sz w:val="24"/>
      <w:szCs w:val="22"/>
    </w:rPr>
  </w:style>
  <w:style w:type="character" w:customStyle="1" w:styleId="bodytextChar0">
    <w:name w:val="bodytext Char"/>
    <w:basedOn w:val="DefaultParagraphFont"/>
    <w:link w:val="bodytext0"/>
    <w:rsid w:val="0070507F"/>
    <w:rPr>
      <w:rFonts w:ascii="Garamond" w:hAnsi="Garamond"/>
      <w:sz w:val="24"/>
      <w:szCs w:val="22"/>
      <w:lang w:eastAsia="en-US"/>
    </w:rPr>
  </w:style>
  <w:style w:type="paragraph" w:customStyle="1" w:styleId="TablesSub">
    <w:name w:val="Tables Sub"/>
    <w:basedOn w:val="Normal"/>
    <w:rsid w:val="004C53C5"/>
    <w:pPr>
      <w:widowControl/>
      <w:spacing w:before="40" w:after="40"/>
      <w:jc w:val="left"/>
    </w:pPr>
    <w:rPr>
      <w:rFonts w:ascii="News Gothic MT" w:hAnsi="News Gothic MT" w:cs="Times New Roman"/>
      <w:snapToGrid/>
      <w:sz w:val="20"/>
      <w:szCs w:val="24"/>
    </w:rPr>
  </w:style>
  <w:style w:type="paragraph" w:customStyle="1" w:styleId="PBACTableTextBoldCentered">
    <w:name w:val="PBAC Table Text + Bold + Centered"/>
    <w:basedOn w:val="PBACTableTextBoldLeft"/>
    <w:rsid w:val="004C53C5"/>
    <w:pPr>
      <w:jc w:val="center"/>
    </w:pPr>
  </w:style>
  <w:style w:type="paragraph" w:customStyle="1" w:styleId="TableFootnotes">
    <w:name w:val="Table Footnotes"/>
    <w:basedOn w:val="Normal"/>
    <w:qFormat/>
    <w:rsid w:val="00DA0302"/>
    <w:pPr>
      <w:widowControl/>
      <w:spacing w:after="360"/>
      <w:contextualSpacing/>
      <w:jc w:val="left"/>
    </w:pPr>
    <w:rPr>
      <w:rFonts w:asciiTheme="minorHAnsi" w:hAnsiTheme="minorHAnsi"/>
      <w:snapToGrid/>
      <w:sz w:val="18"/>
      <w:szCs w:val="22"/>
      <w:lang w:eastAsia="en-AU"/>
    </w:rPr>
  </w:style>
  <w:style w:type="character" w:customStyle="1" w:styleId="TableFooterChar">
    <w:name w:val="Table Footer Char"/>
    <w:link w:val="TableFooter"/>
    <w:rsid w:val="008D3EF0"/>
    <w:rPr>
      <w:rFonts w:ascii="Arial Narrow" w:hAnsi="Arial Narrow"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A55D3"/>
    <w:pPr>
      <w:widowControl/>
      <w:spacing w:after="160" w:line="240" w:lineRule="exact"/>
      <w:jc w:val="left"/>
    </w:pPr>
    <w:rPr>
      <w:rFonts w:ascii="Verdana" w:eastAsia="MS Mincho" w:hAnsi="Verdana" w:cs="Verdana"/>
      <w:snapToGrid/>
      <w:sz w:val="20"/>
      <w:lang w:val="en-US"/>
    </w:rPr>
  </w:style>
  <w:style w:type="paragraph" w:customStyle="1" w:styleId="COMBody">
    <w:name w:val="COMBody"/>
    <w:basedOn w:val="Normal"/>
    <w:link w:val="COMBodyChar"/>
    <w:qFormat/>
    <w:rsid w:val="00092183"/>
    <w:pPr>
      <w:widowControl/>
    </w:pPr>
    <w:rPr>
      <w:bCs/>
      <w:snapToGrid/>
      <w:szCs w:val="22"/>
      <w:lang w:val="en-US"/>
    </w:rPr>
  </w:style>
  <w:style w:type="character" w:customStyle="1" w:styleId="COMBodyChar">
    <w:name w:val="COMBody Char"/>
    <w:link w:val="COMBody"/>
    <w:rsid w:val="00092183"/>
    <w:rPr>
      <w:rFonts w:ascii="Arial" w:hAnsi="Arial" w:cs="Arial"/>
      <w:bCs/>
      <w:sz w:val="22"/>
      <w:szCs w:val="22"/>
      <w:lang w:val="en-US" w:eastAsia="en-US"/>
    </w:rPr>
  </w:style>
  <w:style w:type="character" w:customStyle="1" w:styleId="ListParagraphChar">
    <w:name w:val="List Paragraph Char"/>
    <w:aliases w:val="BulletPoints Char"/>
    <w:link w:val="ListParagraph"/>
    <w:uiPriority w:val="72"/>
    <w:rsid w:val="00092183"/>
    <w:rPr>
      <w:rFonts w:ascii="Arial" w:hAnsi="Arial" w:cs="Arial"/>
      <w:snapToGrid w:val="0"/>
      <w:sz w:val="22"/>
      <w:lang w:eastAsia="en-US"/>
    </w:rPr>
  </w:style>
  <w:style w:type="paragraph" w:customStyle="1" w:styleId="PBACheading1">
    <w:name w:val="PBAC heading 1"/>
    <w:qFormat/>
    <w:rsid w:val="006D699D"/>
    <w:pPr>
      <w:numPr>
        <w:numId w:val="21"/>
      </w:numPr>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0"/>
    <w:next w:val="Normal"/>
    <w:link w:val="Heading1Char"/>
    <w:qFormat/>
    <w:rsid w:val="00FF792C"/>
    <w:pPr>
      <w:outlineLvl w:val="0"/>
    </w:pPr>
  </w:style>
  <w:style w:type="paragraph" w:styleId="Heading2">
    <w:name w:val="heading 2"/>
    <w:basedOn w:val="Normal"/>
    <w:next w:val="Normal"/>
    <w:link w:val="Heading2Char"/>
    <w:qFormat/>
    <w:rsid w:val="002F39B8"/>
    <w:pPr>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2F39B8"/>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
    <w:link w:val="Caption"/>
    <w:rsid w:val="00124A51"/>
    <w:rPr>
      <w:b/>
      <w:bCs/>
      <w:snapToGrid w:val="0"/>
      <w:color w:val="4F81BD" w:themeColor="accent1"/>
      <w:sz w:val="18"/>
      <w:szCs w:val="18"/>
      <w:lang w:eastAsia="en-US"/>
    </w:rPr>
  </w:style>
  <w:style w:type="paragraph" w:styleId="Title">
    <w:name w:val="Title"/>
    <w:next w:val="Normal"/>
    <w:link w:val="TitleChar"/>
    <w:qFormat/>
    <w:rsid w:val="00FF792C"/>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FF792C"/>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BD6CF3"/>
    <w:pPr>
      <w:numPr>
        <w:numId w:val="4"/>
      </w:numPr>
    </w:pPr>
    <w:rPr>
      <w:rFonts w:ascii="Arial" w:hAnsi="Arial" w:cs="Arial"/>
      <w:b/>
      <w:snapToGrid w:val="0"/>
      <w:sz w:val="22"/>
      <w:szCs w:val="22"/>
      <w:lang w:eastAsia="en-US"/>
    </w:rPr>
  </w:style>
  <w:style w:type="character" w:customStyle="1" w:styleId="Heading1Char">
    <w:name w:val="Heading 1 Char"/>
    <w:basedOn w:val="DefaultParagraphFont"/>
    <w:link w:val="Heading1"/>
    <w:rsid w:val="00FF792C"/>
    <w:rPr>
      <w:rFonts w:ascii="Arial" w:hAnsi="Arial" w:cs="Arial"/>
      <w:b/>
      <w:snapToGrid w:val="0"/>
      <w:sz w:val="22"/>
      <w:szCs w:val="22"/>
      <w:lang w:eastAsia="en-US"/>
    </w:rPr>
  </w:style>
  <w:style w:type="paragraph" w:customStyle="1" w:styleId="TableText1">
    <w:name w:val="Table Text"/>
    <w:basedOn w:val="Normal"/>
    <w:link w:val="TableTextChar0"/>
    <w:qFormat/>
    <w:rsid w:val="00EC4AF0"/>
    <w:pPr>
      <w:widowControl/>
      <w:jc w:val="left"/>
    </w:pPr>
    <w:rPr>
      <w:rFonts w:eastAsia="SimSun" w:cs="Times New Roman"/>
      <w:snapToGrid/>
      <w:sz w:val="20"/>
      <w:lang w:eastAsia="zh-CN"/>
    </w:rPr>
  </w:style>
  <w:style w:type="character" w:customStyle="1" w:styleId="TableTextChar0">
    <w:name w:val="Table Text Char"/>
    <w:link w:val="TableText1"/>
    <w:rsid w:val="00EC4AF0"/>
    <w:rPr>
      <w:rFonts w:ascii="Arial" w:eastAsia="SimSun" w:hAnsi="Arial"/>
      <w:lang w:eastAsia="zh-CN"/>
    </w:rPr>
  </w:style>
  <w:style w:type="paragraph" w:customStyle="1" w:styleId="PBACTableText">
    <w:name w:val="PBAC Table Text"/>
    <w:basedOn w:val="Normal"/>
    <w:link w:val="PBACTableTextChar"/>
    <w:qFormat/>
    <w:rsid w:val="00B579B5"/>
    <w:pPr>
      <w:widowControl/>
      <w:spacing w:before="40" w:after="40"/>
      <w:jc w:val="left"/>
    </w:pPr>
    <w:rPr>
      <w:rFonts w:ascii="News Gothic MT" w:hAnsi="News Gothic MT" w:cs="Times New Roman"/>
      <w:snapToGrid/>
      <w:sz w:val="20"/>
      <w:lang w:val="en-US"/>
    </w:rPr>
  </w:style>
  <w:style w:type="character" w:customStyle="1" w:styleId="PBACTableTextChar">
    <w:name w:val="PBAC Table Text Char"/>
    <w:basedOn w:val="DefaultParagraphFont"/>
    <w:link w:val="PBACTableText"/>
    <w:rsid w:val="00B579B5"/>
    <w:rPr>
      <w:rFonts w:ascii="News Gothic MT" w:hAnsi="News Gothic MT"/>
      <w:lang w:val="en-US" w:eastAsia="en-US"/>
    </w:rPr>
  </w:style>
  <w:style w:type="paragraph" w:customStyle="1" w:styleId="PBACTableTextBoldLeft">
    <w:name w:val="PBAC Table Text + Bold + Left"/>
    <w:basedOn w:val="PBACTableText"/>
    <w:qFormat/>
    <w:rsid w:val="00B579B5"/>
    <w:pPr>
      <w:keepNext/>
    </w:pPr>
    <w:rPr>
      <w:b/>
      <w:bCs/>
    </w:rPr>
  </w:style>
  <w:style w:type="paragraph" w:customStyle="1" w:styleId="COMtbl-HEADLeftAligned">
    <w:name w:val="COMtbl-HEAD Left Aligned"/>
    <w:basedOn w:val="Normal"/>
    <w:qFormat/>
    <w:rsid w:val="00BD0EEC"/>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BD0EEC"/>
    <w:pPr>
      <w:jc w:val="center"/>
    </w:pPr>
  </w:style>
  <w:style w:type="paragraph" w:customStyle="1" w:styleId="COMTbl-cap">
    <w:name w:val="COMTbl-cap"/>
    <w:basedOn w:val="Normal"/>
    <w:link w:val="COMTbl-capChar"/>
    <w:qFormat/>
    <w:rsid w:val="00BD0EEC"/>
    <w:pPr>
      <w:keepNext/>
    </w:pPr>
    <w:rPr>
      <w:rFonts w:ascii="Arial Narrow" w:hAnsi="Arial Narrow"/>
      <w:b/>
      <w:sz w:val="20"/>
    </w:rPr>
  </w:style>
  <w:style w:type="character" w:customStyle="1" w:styleId="COMTbl-capChar">
    <w:name w:val="COMTbl-cap Char"/>
    <w:basedOn w:val="DefaultParagraphFont"/>
    <w:link w:val="COMTbl-cap"/>
    <w:rsid w:val="00BD0EEC"/>
    <w:rPr>
      <w:rFonts w:ascii="Arial Narrow" w:hAnsi="Arial Narrow" w:cs="Arial"/>
      <w:b/>
      <w:snapToGrid w:val="0"/>
      <w:lang w:eastAsia="en-US"/>
    </w:rPr>
  </w:style>
  <w:style w:type="paragraph" w:customStyle="1" w:styleId="bodytext0">
    <w:name w:val="bodytext"/>
    <w:basedOn w:val="Normal"/>
    <w:link w:val="bodytextChar0"/>
    <w:rsid w:val="0070507F"/>
    <w:pPr>
      <w:widowControl/>
      <w:spacing w:before="120" w:after="240" w:line="360" w:lineRule="auto"/>
      <w:jc w:val="left"/>
    </w:pPr>
    <w:rPr>
      <w:rFonts w:ascii="Garamond" w:hAnsi="Garamond" w:cs="Times New Roman"/>
      <w:snapToGrid/>
      <w:sz w:val="24"/>
      <w:szCs w:val="22"/>
    </w:rPr>
  </w:style>
  <w:style w:type="character" w:customStyle="1" w:styleId="bodytextChar0">
    <w:name w:val="bodytext Char"/>
    <w:basedOn w:val="DefaultParagraphFont"/>
    <w:link w:val="bodytext0"/>
    <w:rsid w:val="0070507F"/>
    <w:rPr>
      <w:rFonts w:ascii="Garamond" w:hAnsi="Garamond"/>
      <w:sz w:val="24"/>
      <w:szCs w:val="22"/>
      <w:lang w:eastAsia="en-US"/>
    </w:rPr>
  </w:style>
  <w:style w:type="paragraph" w:customStyle="1" w:styleId="TablesSub">
    <w:name w:val="Tables Sub"/>
    <w:basedOn w:val="Normal"/>
    <w:rsid w:val="004C53C5"/>
    <w:pPr>
      <w:widowControl/>
      <w:spacing w:before="40" w:after="40"/>
      <w:jc w:val="left"/>
    </w:pPr>
    <w:rPr>
      <w:rFonts w:ascii="News Gothic MT" w:hAnsi="News Gothic MT" w:cs="Times New Roman"/>
      <w:snapToGrid/>
      <w:sz w:val="20"/>
      <w:szCs w:val="24"/>
    </w:rPr>
  </w:style>
  <w:style w:type="paragraph" w:customStyle="1" w:styleId="PBACTableTextBoldCentered">
    <w:name w:val="PBAC Table Text + Bold + Centered"/>
    <w:basedOn w:val="PBACTableTextBoldLeft"/>
    <w:rsid w:val="004C53C5"/>
    <w:pPr>
      <w:jc w:val="center"/>
    </w:pPr>
  </w:style>
  <w:style w:type="paragraph" w:customStyle="1" w:styleId="TableFootnotes">
    <w:name w:val="Table Footnotes"/>
    <w:basedOn w:val="Normal"/>
    <w:qFormat/>
    <w:rsid w:val="00DA0302"/>
    <w:pPr>
      <w:widowControl/>
      <w:spacing w:after="360"/>
      <w:contextualSpacing/>
      <w:jc w:val="left"/>
    </w:pPr>
    <w:rPr>
      <w:rFonts w:asciiTheme="minorHAnsi" w:hAnsiTheme="minorHAnsi"/>
      <w:snapToGrid/>
      <w:sz w:val="18"/>
      <w:szCs w:val="22"/>
      <w:lang w:eastAsia="en-AU"/>
    </w:rPr>
  </w:style>
  <w:style w:type="character" w:customStyle="1" w:styleId="TableFooterChar">
    <w:name w:val="Table Footer Char"/>
    <w:link w:val="TableFooter"/>
    <w:rsid w:val="008D3EF0"/>
    <w:rPr>
      <w:rFonts w:ascii="Arial Narrow" w:hAnsi="Arial Narrow" w:cs="Arial"/>
      <w:snapToGrid w:val="0"/>
      <w:sz w:val="18"/>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A55D3"/>
    <w:pPr>
      <w:widowControl/>
      <w:spacing w:after="160" w:line="240" w:lineRule="exact"/>
      <w:jc w:val="left"/>
    </w:pPr>
    <w:rPr>
      <w:rFonts w:ascii="Verdana" w:eastAsia="MS Mincho" w:hAnsi="Verdana" w:cs="Verdana"/>
      <w:snapToGrid/>
      <w:sz w:val="20"/>
      <w:lang w:val="en-US"/>
    </w:rPr>
  </w:style>
  <w:style w:type="paragraph" w:customStyle="1" w:styleId="COMBody">
    <w:name w:val="COMBody"/>
    <w:basedOn w:val="Normal"/>
    <w:link w:val="COMBodyChar"/>
    <w:qFormat/>
    <w:rsid w:val="00092183"/>
    <w:pPr>
      <w:widowControl/>
    </w:pPr>
    <w:rPr>
      <w:bCs/>
      <w:snapToGrid/>
      <w:szCs w:val="22"/>
      <w:lang w:val="en-US"/>
    </w:rPr>
  </w:style>
  <w:style w:type="character" w:customStyle="1" w:styleId="COMBodyChar">
    <w:name w:val="COMBody Char"/>
    <w:link w:val="COMBody"/>
    <w:rsid w:val="00092183"/>
    <w:rPr>
      <w:rFonts w:ascii="Arial" w:hAnsi="Arial" w:cs="Arial"/>
      <w:bCs/>
      <w:sz w:val="22"/>
      <w:szCs w:val="22"/>
      <w:lang w:val="en-US" w:eastAsia="en-US"/>
    </w:rPr>
  </w:style>
  <w:style w:type="character" w:customStyle="1" w:styleId="ListParagraphChar">
    <w:name w:val="List Paragraph Char"/>
    <w:aliases w:val="BulletPoints Char"/>
    <w:link w:val="ListParagraph"/>
    <w:uiPriority w:val="72"/>
    <w:rsid w:val="00092183"/>
    <w:rPr>
      <w:rFonts w:ascii="Arial" w:hAnsi="Arial" w:cs="Arial"/>
      <w:snapToGrid w:val="0"/>
      <w:sz w:val="22"/>
      <w:lang w:eastAsia="en-US"/>
    </w:rPr>
  </w:style>
  <w:style w:type="paragraph" w:customStyle="1" w:styleId="PBACheading1">
    <w:name w:val="PBAC heading 1"/>
    <w:qFormat/>
    <w:rsid w:val="006D699D"/>
    <w:pPr>
      <w:numPr>
        <w:numId w:val="21"/>
      </w:numPr>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8087">
      <w:bodyDiv w:val="1"/>
      <w:marLeft w:val="0"/>
      <w:marRight w:val="0"/>
      <w:marTop w:val="0"/>
      <w:marBottom w:val="0"/>
      <w:divBdr>
        <w:top w:val="none" w:sz="0" w:space="0" w:color="auto"/>
        <w:left w:val="none" w:sz="0" w:space="0" w:color="auto"/>
        <w:bottom w:val="none" w:sz="0" w:space="0" w:color="auto"/>
        <w:right w:val="none" w:sz="0" w:space="0" w:color="auto"/>
      </w:divBdr>
    </w:div>
    <w:div w:id="238364843">
      <w:bodyDiv w:val="1"/>
      <w:marLeft w:val="0"/>
      <w:marRight w:val="0"/>
      <w:marTop w:val="0"/>
      <w:marBottom w:val="0"/>
      <w:divBdr>
        <w:top w:val="none" w:sz="0" w:space="0" w:color="auto"/>
        <w:left w:val="none" w:sz="0" w:space="0" w:color="auto"/>
        <w:bottom w:val="none" w:sz="0" w:space="0" w:color="auto"/>
        <w:right w:val="none" w:sz="0" w:space="0" w:color="auto"/>
      </w:divBdr>
    </w:div>
    <w:div w:id="320620071">
      <w:bodyDiv w:val="1"/>
      <w:marLeft w:val="0"/>
      <w:marRight w:val="0"/>
      <w:marTop w:val="0"/>
      <w:marBottom w:val="0"/>
      <w:divBdr>
        <w:top w:val="none" w:sz="0" w:space="0" w:color="auto"/>
        <w:left w:val="none" w:sz="0" w:space="0" w:color="auto"/>
        <w:bottom w:val="none" w:sz="0" w:space="0" w:color="auto"/>
        <w:right w:val="none" w:sz="0" w:space="0" w:color="auto"/>
      </w:divBdr>
    </w:div>
    <w:div w:id="325474017">
      <w:bodyDiv w:val="1"/>
      <w:marLeft w:val="0"/>
      <w:marRight w:val="0"/>
      <w:marTop w:val="0"/>
      <w:marBottom w:val="0"/>
      <w:divBdr>
        <w:top w:val="none" w:sz="0" w:space="0" w:color="auto"/>
        <w:left w:val="none" w:sz="0" w:space="0" w:color="auto"/>
        <w:bottom w:val="none" w:sz="0" w:space="0" w:color="auto"/>
        <w:right w:val="none" w:sz="0" w:space="0" w:color="auto"/>
      </w:divBdr>
    </w:div>
    <w:div w:id="384454129">
      <w:bodyDiv w:val="1"/>
      <w:marLeft w:val="0"/>
      <w:marRight w:val="0"/>
      <w:marTop w:val="0"/>
      <w:marBottom w:val="0"/>
      <w:divBdr>
        <w:top w:val="none" w:sz="0" w:space="0" w:color="auto"/>
        <w:left w:val="none" w:sz="0" w:space="0" w:color="auto"/>
        <w:bottom w:val="none" w:sz="0" w:space="0" w:color="auto"/>
        <w:right w:val="none" w:sz="0" w:space="0" w:color="auto"/>
      </w:divBdr>
    </w:div>
    <w:div w:id="403376136">
      <w:bodyDiv w:val="1"/>
      <w:marLeft w:val="0"/>
      <w:marRight w:val="0"/>
      <w:marTop w:val="0"/>
      <w:marBottom w:val="0"/>
      <w:divBdr>
        <w:top w:val="none" w:sz="0" w:space="0" w:color="auto"/>
        <w:left w:val="none" w:sz="0" w:space="0" w:color="auto"/>
        <w:bottom w:val="none" w:sz="0" w:space="0" w:color="auto"/>
        <w:right w:val="none" w:sz="0" w:space="0" w:color="auto"/>
      </w:divBdr>
    </w:div>
    <w:div w:id="467287327">
      <w:bodyDiv w:val="1"/>
      <w:marLeft w:val="0"/>
      <w:marRight w:val="0"/>
      <w:marTop w:val="0"/>
      <w:marBottom w:val="0"/>
      <w:divBdr>
        <w:top w:val="none" w:sz="0" w:space="0" w:color="auto"/>
        <w:left w:val="none" w:sz="0" w:space="0" w:color="auto"/>
        <w:bottom w:val="none" w:sz="0" w:space="0" w:color="auto"/>
        <w:right w:val="none" w:sz="0" w:space="0" w:color="auto"/>
      </w:divBdr>
    </w:div>
    <w:div w:id="485514836">
      <w:bodyDiv w:val="1"/>
      <w:marLeft w:val="0"/>
      <w:marRight w:val="0"/>
      <w:marTop w:val="0"/>
      <w:marBottom w:val="0"/>
      <w:divBdr>
        <w:top w:val="none" w:sz="0" w:space="0" w:color="auto"/>
        <w:left w:val="none" w:sz="0" w:space="0" w:color="auto"/>
        <w:bottom w:val="none" w:sz="0" w:space="0" w:color="auto"/>
        <w:right w:val="none" w:sz="0" w:space="0" w:color="auto"/>
      </w:divBdr>
    </w:div>
    <w:div w:id="616956265">
      <w:bodyDiv w:val="1"/>
      <w:marLeft w:val="0"/>
      <w:marRight w:val="0"/>
      <w:marTop w:val="0"/>
      <w:marBottom w:val="0"/>
      <w:divBdr>
        <w:top w:val="none" w:sz="0" w:space="0" w:color="auto"/>
        <w:left w:val="none" w:sz="0" w:space="0" w:color="auto"/>
        <w:bottom w:val="none" w:sz="0" w:space="0" w:color="auto"/>
        <w:right w:val="none" w:sz="0" w:space="0" w:color="auto"/>
      </w:divBdr>
    </w:div>
    <w:div w:id="728962161">
      <w:bodyDiv w:val="1"/>
      <w:marLeft w:val="0"/>
      <w:marRight w:val="0"/>
      <w:marTop w:val="0"/>
      <w:marBottom w:val="0"/>
      <w:divBdr>
        <w:top w:val="none" w:sz="0" w:space="0" w:color="auto"/>
        <w:left w:val="none" w:sz="0" w:space="0" w:color="auto"/>
        <w:bottom w:val="none" w:sz="0" w:space="0" w:color="auto"/>
        <w:right w:val="none" w:sz="0" w:space="0" w:color="auto"/>
      </w:divBdr>
    </w:div>
    <w:div w:id="824862185">
      <w:bodyDiv w:val="1"/>
      <w:marLeft w:val="0"/>
      <w:marRight w:val="0"/>
      <w:marTop w:val="0"/>
      <w:marBottom w:val="0"/>
      <w:divBdr>
        <w:top w:val="none" w:sz="0" w:space="0" w:color="auto"/>
        <w:left w:val="none" w:sz="0" w:space="0" w:color="auto"/>
        <w:bottom w:val="none" w:sz="0" w:space="0" w:color="auto"/>
        <w:right w:val="none" w:sz="0" w:space="0" w:color="auto"/>
      </w:divBdr>
    </w:div>
    <w:div w:id="995110977">
      <w:bodyDiv w:val="1"/>
      <w:marLeft w:val="0"/>
      <w:marRight w:val="0"/>
      <w:marTop w:val="0"/>
      <w:marBottom w:val="0"/>
      <w:divBdr>
        <w:top w:val="none" w:sz="0" w:space="0" w:color="auto"/>
        <w:left w:val="none" w:sz="0" w:space="0" w:color="auto"/>
        <w:bottom w:val="none" w:sz="0" w:space="0" w:color="auto"/>
        <w:right w:val="none" w:sz="0" w:space="0" w:color="auto"/>
      </w:divBdr>
    </w:div>
    <w:div w:id="1065839973">
      <w:bodyDiv w:val="1"/>
      <w:marLeft w:val="0"/>
      <w:marRight w:val="0"/>
      <w:marTop w:val="0"/>
      <w:marBottom w:val="0"/>
      <w:divBdr>
        <w:top w:val="none" w:sz="0" w:space="0" w:color="auto"/>
        <w:left w:val="none" w:sz="0" w:space="0" w:color="auto"/>
        <w:bottom w:val="none" w:sz="0" w:space="0" w:color="auto"/>
        <w:right w:val="none" w:sz="0" w:space="0" w:color="auto"/>
      </w:divBdr>
    </w:div>
    <w:div w:id="1103304521">
      <w:bodyDiv w:val="1"/>
      <w:marLeft w:val="0"/>
      <w:marRight w:val="0"/>
      <w:marTop w:val="0"/>
      <w:marBottom w:val="0"/>
      <w:divBdr>
        <w:top w:val="none" w:sz="0" w:space="0" w:color="auto"/>
        <w:left w:val="none" w:sz="0" w:space="0" w:color="auto"/>
        <w:bottom w:val="none" w:sz="0" w:space="0" w:color="auto"/>
        <w:right w:val="none" w:sz="0" w:space="0" w:color="auto"/>
      </w:divBdr>
    </w:div>
    <w:div w:id="1228345862">
      <w:bodyDiv w:val="1"/>
      <w:marLeft w:val="0"/>
      <w:marRight w:val="0"/>
      <w:marTop w:val="0"/>
      <w:marBottom w:val="0"/>
      <w:divBdr>
        <w:top w:val="none" w:sz="0" w:space="0" w:color="auto"/>
        <w:left w:val="none" w:sz="0" w:space="0" w:color="auto"/>
        <w:bottom w:val="none" w:sz="0" w:space="0" w:color="auto"/>
        <w:right w:val="none" w:sz="0" w:space="0" w:color="auto"/>
      </w:divBdr>
    </w:div>
    <w:div w:id="1277908924">
      <w:bodyDiv w:val="1"/>
      <w:marLeft w:val="0"/>
      <w:marRight w:val="0"/>
      <w:marTop w:val="0"/>
      <w:marBottom w:val="0"/>
      <w:divBdr>
        <w:top w:val="none" w:sz="0" w:space="0" w:color="auto"/>
        <w:left w:val="none" w:sz="0" w:space="0" w:color="auto"/>
        <w:bottom w:val="none" w:sz="0" w:space="0" w:color="auto"/>
        <w:right w:val="none" w:sz="0" w:space="0" w:color="auto"/>
      </w:divBdr>
    </w:div>
    <w:div w:id="1282301997">
      <w:bodyDiv w:val="1"/>
      <w:marLeft w:val="0"/>
      <w:marRight w:val="0"/>
      <w:marTop w:val="0"/>
      <w:marBottom w:val="0"/>
      <w:divBdr>
        <w:top w:val="none" w:sz="0" w:space="0" w:color="auto"/>
        <w:left w:val="none" w:sz="0" w:space="0" w:color="auto"/>
        <w:bottom w:val="none" w:sz="0" w:space="0" w:color="auto"/>
        <w:right w:val="none" w:sz="0" w:space="0" w:color="auto"/>
      </w:divBdr>
    </w:div>
    <w:div w:id="1341352168">
      <w:bodyDiv w:val="1"/>
      <w:marLeft w:val="0"/>
      <w:marRight w:val="0"/>
      <w:marTop w:val="0"/>
      <w:marBottom w:val="0"/>
      <w:divBdr>
        <w:top w:val="none" w:sz="0" w:space="0" w:color="auto"/>
        <w:left w:val="none" w:sz="0" w:space="0" w:color="auto"/>
        <w:bottom w:val="none" w:sz="0" w:space="0" w:color="auto"/>
        <w:right w:val="none" w:sz="0" w:space="0" w:color="auto"/>
      </w:divBdr>
    </w:div>
    <w:div w:id="1542745039">
      <w:bodyDiv w:val="1"/>
      <w:marLeft w:val="0"/>
      <w:marRight w:val="0"/>
      <w:marTop w:val="0"/>
      <w:marBottom w:val="0"/>
      <w:divBdr>
        <w:top w:val="none" w:sz="0" w:space="0" w:color="auto"/>
        <w:left w:val="none" w:sz="0" w:space="0" w:color="auto"/>
        <w:bottom w:val="none" w:sz="0" w:space="0" w:color="auto"/>
        <w:right w:val="none" w:sz="0" w:space="0" w:color="auto"/>
      </w:divBdr>
    </w:div>
    <w:div w:id="1686858528">
      <w:bodyDiv w:val="1"/>
      <w:marLeft w:val="0"/>
      <w:marRight w:val="0"/>
      <w:marTop w:val="0"/>
      <w:marBottom w:val="0"/>
      <w:divBdr>
        <w:top w:val="none" w:sz="0" w:space="0" w:color="auto"/>
        <w:left w:val="none" w:sz="0" w:space="0" w:color="auto"/>
        <w:bottom w:val="none" w:sz="0" w:space="0" w:color="auto"/>
        <w:right w:val="none" w:sz="0" w:space="0" w:color="auto"/>
      </w:divBdr>
    </w:div>
    <w:div w:id="1710103284">
      <w:bodyDiv w:val="1"/>
      <w:marLeft w:val="0"/>
      <w:marRight w:val="0"/>
      <w:marTop w:val="0"/>
      <w:marBottom w:val="0"/>
      <w:divBdr>
        <w:top w:val="none" w:sz="0" w:space="0" w:color="auto"/>
        <w:left w:val="none" w:sz="0" w:space="0" w:color="auto"/>
        <w:bottom w:val="none" w:sz="0" w:space="0" w:color="auto"/>
        <w:right w:val="none" w:sz="0" w:space="0" w:color="auto"/>
      </w:divBdr>
    </w:div>
    <w:div w:id="1723602212">
      <w:bodyDiv w:val="1"/>
      <w:marLeft w:val="0"/>
      <w:marRight w:val="0"/>
      <w:marTop w:val="0"/>
      <w:marBottom w:val="0"/>
      <w:divBdr>
        <w:top w:val="none" w:sz="0" w:space="0" w:color="auto"/>
        <w:left w:val="none" w:sz="0" w:space="0" w:color="auto"/>
        <w:bottom w:val="none" w:sz="0" w:space="0" w:color="auto"/>
        <w:right w:val="none" w:sz="0" w:space="0" w:color="auto"/>
      </w:divBdr>
    </w:div>
    <w:div w:id="1895464010">
      <w:bodyDiv w:val="1"/>
      <w:marLeft w:val="0"/>
      <w:marRight w:val="0"/>
      <w:marTop w:val="0"/>
      <w:marBottom w:val="0"/>
      <w:divBdr>
        <w:top w:val="none" w:sz="0" w:space="0" w:color="auto"/>
        <w:left w:val="none" w:sz="0" w:space="0" w:color="auto"/>
        <w:bottom w:val="none" w:sz="0" w:space="0" w:color="auto"/>
        <w:right w:val="none" w:sz="0" w:space="0" w:color="auto"/>
      </w:divBdr>
    </w:div>
    <w:div w:id="200331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A6A38-8013-426C-809E-85D8010D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6377</Words>
  <Characters>38453</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2016-06-21T05:15:00Z</dcterms:created>
  <dcterms:modified xsi:type="dcterms:W3CDTF">2016-06-22T02:19:00Z</dcterms:modified>
</cp:coreProperties>
</file>