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42" w:rsidRPr="000403D8" w:rsidRDefault="000403D8" w:rsidP="00845EC4">
      <w:pPr>
        <w:pStyle w:val="Title"/>
      </w:pPr>
      <w:bookmarkStart w:id="0" w:name="_Toc440884950"/>
      <w:bookmarkStart w:id="1" w:name="_Toc436982527"/>
      <w:r w:rsidRPr="000403D8">
        <w:t>5.12</w:t>
      </w:r>
      <w:r w:rsidRPr="000403D8">
        <w:tab/>
      </w:r>
      <w:r w:rsidR="0047786D" w:rsidRPr="000403D8">
        <w:t>TRIPTORELIN</w:t>
      </w:r>
      <w:r w:rsidR="00845EC4">
        <w:t xml:space="preserve"> </w:t>
      </w:r>
      <w:r w:rsidR="00845EC4">
        <w:br/>
      </w:r>
      <w:r w:rsidR="002867F9" w:rsidRPr="000403D8">
        <w:t>100 </w:t>
      </w:r>
      <w:r w:rsidR="00A90842" w:rsidRPr="000403D8">
        <w:t>m</w:t>
      </w:r>
      <w:r w:rsidR="00B65C9D" w:rsidRPr="000403D8">
        <w:t>i</w:t>
      </w:r>
      <w:r w:rsidR="002867F9" w:rsidRPr="000403D8">
        <w:t>c</w:t>
      </w:r>
      <w:r w:rsidR="00B65C9D" w:rsidRPr="000403D8">
        <w:t>ro</w:t>
      </w:r>
      <w:r w:rsidR="002867F9" w:rsidRPr="000403D8">
        <w:t>g</w:t>
      </w:r>
      <w:r w:rsidR="00B65C9D" w:rsidRPr="000403D8">
        <w:t>ram</w:t>
      </w:r>
      <w:r w:rsidR="00A90842" w:rsidRPr="000403D8">
        <w:t xml:space="preserve"> in 1</w:t>
      </w:r>
      <w:r w:rsidR="002867F9" w:rsidRPr="000403D8">
        <w:t> </w:t>
      </w:r>
      <w:r w:rsidR="00A90842" w:rsidRPr="000403D8">
        <w:t>mL</w:t>
      </w:r>
      <w:r w:rsidR="000E528D" w:rsidRPr="000403D8">
        <w:t xml:space="preserve"> (as acetate)</w:t>
      </w:r>
      <w:r w:rsidR="00A90842" w:rsidRPr="000403D8">
        <w:t xml:space="preserve">, pre-filled syringe, </w:t>
      </w:r>
      <w:r w:rsidR="00845EC4">
        <w:br/>
      </w:r>
      <w:proofErr w:type="spellStart"/>
      <w:r w:rsidR="00A90842" w:rsidRPr="000403D8">
        <w:t>Decaceptyl</w:t>
      </w:r>
      <w:proofErr w:type="spellEnd"/>
      <w:r w:rsidR="00A90842" w:rsidRPr="000403D8">
        <w:t xml:space="preserve">®, </w:t>
      </w:r>
      <w:proofErr w:type="spellStart"/>
      <w:r w:rsidR="00A90842" w:rsidRPr="000403D8">
        <w:t>Ferring</w:t>
      </w:r>
      <w:proofErr w:type="spellEnd"/>
      <w:r w:rsidR="00A90842" w:rsidRPr="000403D8">
        <w:t xml:space="preserve"> Pharmaceuticals Pty Ltd.</w:t>
      </w:r>
      <w:bookmarkEnd w:id="0"/>
      <w:bookmarkEnd w:id="1"/>
    </w:p>
    <w:p w:rsidR="00CF5828" w:rsidRDefault="00CF5828" w:rsidP="000403D8"/>
    <w:p w:rsidR="009E7EF4" w:rsidRPr="00CF5828" w:rsidRDefault="009E7EF4" w:rsidP="000403D8"/>
    <w:p w:rsidR="00A90842" w:rsidRPr="000403D8" w:rsidRDefault="00A90842" w:rsidP="000403D8">
      <w:pPr>
        <w:pStyle w:val="Heading1"/>
      </w:pPr>
      <w:bookmarkStart w:id="2" w:name="_Toc437239491"/>
      <w:bookmarkStart w:id="3" w:name="_Toc440884952"/>
      <w:r w:rsidRPr="000403D8">
        <w:t>Purpose of Application</w:t>
      </w:r>
      <w:bookmarkEnd w:id="2"/>
      <w:bookmarkEnd w:id="3"/>
    </w:p>
    <w:p w:rsidR="00A90842" w:rsidRPr="00882085" w:rsidRDefault="00A90842" w:rsidP="00A90842">
      <w:pPr>
        <w:rPr>
          <w:szCs w:val="22"/>
        </w:rPr>
      </w:pPr>
    </w:p>
    <w:p w:rsidR="00A90842" w:rsidRPr="00B50DB8" w:rsidRDefault="00AA53BE" w:rsidP="000403D8">
      <w:pPr>
        <w:pStyle w:val="ListParagraph"/>
        <w:widowControl/>
        <w:numPr>
          <w:ilvl w:val="1"/>
          <w:numId w:val="1"/>
        </w:numPr>
        <w:rPr>
          <w:szCs w:val="22"/>
        </w:rPr>
      </w:pPr>
      <w:r>
        <w:t xml:space="preserve">The submission requested a </w:t>
      </w:r>
      <w:r w:rsidR="00A90842" w:rsidRPr="004B3DDB">
        <w:t>Section 100</w:t>
      </w:r>
      <w:r>
        <w:t xml:space="preserve"> (</w:t>
      </w:r>
      <w:r w:rsidR="00365210">
        <w:t>IVF</w:t>
      </w:r>
      <w:r w:rsidR="00A90842">
        <w:t xml:space="preserve"> </w:t>
      </w:r>
      <w:r>
        <w:t>Program)</w:t>
      </w:r>
      <w:r w:rsidR="00A90842" w:rsidRPr="004B3DDB">
        <w:t xml:space="preserve"> listing for </w:t>
      </w:r>
      <w:proofErr w:type="spellStart"/>
      <w:r w:rsidR="00A90842">
        <w:t>triptorelin</w:t>
      </w:r>
      <w:proofErr w:type="spellEnd"/>
      <w:r w:rsidR="00A90842">
        <w:t xml:space="preserve"> acetate </w:t>
      </w:r>
      <w:r w:rsidR="00A90842" w:rsidRPr="004B3DDB">
        <w:t xml:space="preserve">for </w:t>
      </w:r>
      <w:r w:rsidR="00A90842">
        <w:t xml:space="preserve">down-regulation and prevention of premature luteinising hormone (LH) surges in women undergoing controlled ovarian </w:t>
      </w:r>
      <w:proofErr w:type="spellStart"/>
      <w:r w:rsidR="00A90842">
        <w:t>hyperstimulat</w:t>
      </w:r>
      <w:r w:rsidR="00F11CA8">
        <w:t>i</w:t>
      </w:r>
      <w:r w:rsidR="00A90842">
        <w:t>on</w:t>
      </w:r>
      <w:proofErr w:type="spellEnd"/>
      <w:r w:rsidR="00A90842">
        <w:t xml:space="preserve"> (COH)</w:t>
      </w:r>
      <w:r w:rsidR="00A90842" w:rsidRPr="004B3DDB">
        <w:t xml:space="preserve"> </w:t>
      </w:r>
      <w:r w:rsidR="00A90842">
        <w:t>as part of an Assisted Reproductive Technology (ART)</w:t>
      </w:r>
      <w:r w:rsidR="00A90842" w:rsidRPr="004B3DDB">
        <w:t xml:space="preserve"> </w:t>
      </w:r>
      <w:r w:rsidR="00A90842">
        <w:t>treatment program</w:t>
      </w:r>
      <w:r w:rsidR="00A90842" w:rsidRPr="004B3DDB">
        <w:t>.</w:t>
      </w:r>
    </w:p>
    <w:p w:rsidR="00A90842" w:rsidRDefault="00A90842" w:rsidP="00A90842"/>
    <w:p w:rsidR="0010307F" w:rsidRPr="00882085" w:rsidRDefault="0010307F" w:rsidP="00A90842"/>
    <w:p w:rsidR="00A90842" w:rsidRPr="00407F2D" w:rsidRDefault="00A90842" w:rsidP="000403D8">
      <w:pPr>
        <w:pStyle w:val="Heading1"/>
      </w:pPr>
      <w:bookmarkStart w:id="4" w:name="_Toc437239492"/>
      <w:bookmarkStart w:id="5" w:name="_Toc440884953"/>
      <w:r w:rsidRPr="00407F2D">
        <w:t>Requested listing</w:t>
      </w:r>
      <w:bookmarkEnd w:id="4"/>
      <w:bookmarkEnd w:id="5"/>
    </w:p>
    <w:p w:rsidR="00A90842" w:rsidRPr="00882085" w:rsidRDefault="00A90842" w:rsidP="00A90842"/>
    <w:p w:rsidR="00C94DED" w:rsidRPr="00C94DED" w:rsidRDefault="00004AE4" w:rsidP="000403D8">
      <w:pPr>
        <w:pStyle w:val="ListParagraph"/>
        <w:widowControl/>
        <w:numPr>
          <w:ilvl w:val="1"/>
          <w:numId w:val="1"/>
        </w:numPr>
        <w:rPr>
          <w:szCs w:val="22"/>
        </w:rPr>
      </w:pPr>
      <w:r w:rsidRPr="00295980">
        <w:rPr>
          <w:szCs w:val="22"/>
        </w:rPr>
        <w:t xml:space="preserve">The </w:t>
      </w:r>
      <w:r w:rsidR="00570C28">
        <w:rPr>
          <w:szCs w:val="22"/>
        </w:rPr>
        <w:t xml:space="preserve">requested </w:t>
      </w:r>
      <w:r w:rsidRPr="00295980">
        <w:rPr>
          <w:szCs w:val="22"/>
        </w:rPr>
        <w:t xml:space="preserve">listing </w:t>
      </w:r>
      <w:r w:rsidR="00464D20">
        <w:rPr>
          <w:szCs w:val="22"/>
        </w:rPr>
        <w:t>is</w:t>
      </w:r>
      <w:r w:rsidR="00570C28">
        <w:rPr>
          <w:szCs w:val="22"/>
        </w:rPr>
        <w:t xml:space="preserve"> </w:t>
      </w:r>
      <w:r w:rsidR="00A17407">
        <w:rPr>
          <w:szCs w:val="22"/>
        </w:rPr>
        <w:t xml:space="preserve">shown in the </w:t>
      </w:r>
      <w:r w:rsidR="00C94DED">
        <w:rPr>
          <w:szCs w:val="22"/>
        </w:rPr>
        <w:t xml:space="preserve">following </w:t>
      </w:r>
      <w:r w:rsidR="00A17407">
        <w:rPr>
          <w:szCs w:val="22"/>
        </w:rPr>
        <w:t>table</w:t>
      </w:r>
      <w:r w:rsidRPr="00295980">
        <w:rPr>
          <w:szCs w:val="22"/>
        </w:rPr>
        <w:t>.</w:t>
      </w:r>
    </w:p>
    <w:tbl>
      <w:tblPr>
        <w:tblW w:w="5000" w:type="pct"/>
        <w:tblInd w:w="737" w:type="dxa"/>
        <w:tblCellMar>
          <w:left w:w="28" w:type="dxa"/>
          <w:right w:w="28" w:type="dxa"/>
        </w:tblCellMar>
        <w:tblLook w:val="0000" w:firstRow="0" w:lastRow="0" w:firstColumn="0" w:lastColumn="0" w:noHBand="0" w:noVBand="0"/>
      </w:tblPr>
      <w:tblGrid>
        <w:gridCol w:w="9082"/>
      </w:tblGrid>
      <w:tr w:rsidR="00116BE5" w:rsidRPr="00413860" w:rsidTr="00004AE4">
        <w:trPr>
          <w:cantSplit/>
          <w:trHeight w:val="354"/>
        </w:trPr>
        <w:tc>
          <w:tcPr>
            <w:tcW w:w="5000" w:type="pct"/>
          </w:tcPr>
          <w:tbl>
            <w:tblPr>
              <w:tblW w:w="8227" w:type="dxa"/>
              <w:tblInd w:w="108" w:type="dxa"/>
              <w:tblLook w:val="0000" w:firstRow="0" w:lastRow="0" w:firstColumn="0" w:lastColumn="0" w:noHBand="0" w:noVBand="0"/>
            </w:tblPr>
            <w:tblGrid>
              <w:gridCol w:w="2653"/>
              <w:gridCol w:w="378"/>
              <w:gridCol w:w="555"/>
              <w:gridCol w:w="804"/>
              <w:gridCol w:w="1604"/>
              <w:gridCol w:w="1497"/>
              <w:gridCol w:w="736"/>
            </w:tblGrid>
            <w:tr w:rsidR="00116BE5" w:rsidRPr="009A5BE6" w:rsidTr="00004AE4">
              <w:trPr>
                <w:cantSplit/>
                <w:trHeight w:val="471"/>
              </w:trPr>
              <w:tc>
                <w:tcPr>
                  <w:tcW w:w="3261" w:type="dxa"/>
                  <w:gridSpan w:val="2"/>
                  <w:tcBorders>
                    <w:bottom w:val="single" w:sz="4" w:space="0" w:color="auto"/>
                  </w:tcBorders>
                </w:tcPr>
                <w:p w:rsidR="00116BE5" w:rsidRPr="009A5BE6" w:rsidRDefault="00116BE5" w:rsidP="00C94DED">
                  <w:pPr>
                    <w:ind w:left="-108"/>
                    <w:rPr>
                      <w:rFonts w:ascii="Arial Narrow" w:hAnsi="Arial Narrow"/>
                      <w:sz w:val="20"/>
                    </w:rPr>
                  </w:pPr>
                  <w:r w:rsidRPr="009A5BE6">
                    <w:rPr>
                      <w:rFonts w:ascii="Arial Narrow" w:hAnsi="Arial Narrow"/>
                      <w:sz w:val="20"/>
                    </w:rPr>
                    <w:t>Name, Restriction,</w:t>
                  </w:r>
                </w:p>
                <w:p w:rsidR="00116BE5" w:rsidRPr="009A5BE6" w:rsidRDefault="00116BE5" w:rsidP="00C94DED">
                  <w:pPr>
                    <w:ind w:left="-108"/>
                    <w:rPr>
                      <w:rFonts w:ascii="Arial Narrow" w:hAnsi="Arial Narrow"/>
                      <w:sz w:val="20"/>
                    </w:rPr>
                  </w:pPr>
                  <w:r w:rsidRPr="009A5BE6">
                    <w:rPr>
                      <w:rFonts w:ascii="Arial Narrow" w:hAnsi="Arial Narrow"/>
                      <w:sz w:val="20"/>
                    </w:rPr>
                    <w:t>Manner of administration and form</w:t>
                  </w:r>
                </w:p>
              </w:tc>
              <w:tc>
                <w:tcPr>
                  <w:tcW w:w="567" w:type="dxa"/>
                  <w:tcBorders>
                    <w:bottom w:val="single" w:sz="4" w:space="0" w:color="auto"/>
                  </w:tcBorders>
                </w:tcPr>
                <w:p w:rsidR="00116BE5" w:rsidRPr="009A5BE6" w:rsidRDefault="00116BE5" w:rsidP="00C94DED">
                  <w:pPr>
                    <w:ind w:left="-108"/>
                    <w:rPr>
                      <w:rFonts w:ascii="Arial Narrow" w:hAnsi="Arial Narrow"/>
                      <w:sz w:val="20"/>
                    </w:rPr>
                  </w:pPr>
                  <w:r w:rsidRPr="009A5BE6">
                    <w:rPr>
                      <w:rFonts w:ascii="Arial Narrow" w:hAnsi="Arial Narrow"/>
                      <w:sz w:val="20"/>
                    </w:rPr>
                    <w:t>Max.</w:t>
                  </w:r>
                </w:p>
                <w:p w:rsidR="00116BE5" w:rsidRPr="009A5BE6" w:rsidRDefault="00116BE5" w:rsidP="00C94DED">
                  <w:pPr>
                    <w:ind w:left="-108"/>
                    <w:rPr>
                      <w:rFonts w:ascii="Arial Narrow" w:hAnsi="Arial Narrow"/>
                      <w:sz w:val="20"/>
                    </w:rPr>
                  </w:pPr>
                  <w:proofErr w:type="spellStart"/>
                  <w:r w:rsidRPr="009A5BE6">
                    <w:rPr>
                      <w:rFonts w:ascii="Arial Narrow" w:hAnsi="Arial Narrow"/>
                      <w:sz w:val="20"/>
                    </w:rPr>
                    <w:t>Qty</w:t>
                  </w:r>
                  <w:proofErr w:type="spellEnd"/>
                </w:p>
              </w:tc>
              <w:tc>
                <w:tcPr>
                  <w:tcW w:w="850" w:type="dxa"/>
                  <w:tcBorders>
                    <w:bottom w:val="single" w:sz="4" w:space="0" w:color="auto"/>
                  </w:tcBorders>
                </w:tcPr>
                <w:p w:rsidR="00116BE5" w:rsidRPr="009A5BE6" w:rsidRDefault="00116BE5" w:rsidP="00C94DED">
                  <w:pPr>
                    <w:ind w:left="-108"/>
                    <w:rPr>
                      <w:rFonts w:ascii="Arial Narrow" w:hAnsi="Arial Narrow"/>
                      <w:sz w:val="20"/>
                    </w:rPr>
                  </w:pPr>
                  <w:r w:rsidRPr="009A5BE6">
                    <w:rPr>
                      <w:rFonts w:ascii="Arial Narrow" w:hAnsi="Arial Narrow"/>
                      <w:sz w:val="20"/>
                    </w:rPr>
                    <w:t>№.of</w:t>
                  </w:r>
                </w:p>
                <w:p w:rsidR="00116BE5" w:rsidRPr="009A5BE6" w:rsidRDefault="00116BE5" w:rsidP="00C94DED">
                  <w:pPr>
                    <w:ind w:left="-108"/>
                    <w:rPr>
                      <w:rFonts w:ascii="Arial Narrow" w:hAnsi="Arial Narrow"/>
                      <w:sz w:val="20"/>
                    </w:rPr>
                  </w:pPr>
                  <w:proofErr w:type="spellStart"/>
                  <w:r w:rsidRPr="009A5BE6">
                    <w:rPr>
                      <w:rFonts w:ascii="Arial Narrow" w:hAnsi="Arial Narrow"/>
                      <w:sz w:val="20"/>
                    </w:rPr>
                    <w:t>Rpts</w:t>
                  </w:r>
                  <w:proofErr w:type="spellEnd"/>
                </w:p>
              </w:tc>
              <w:tc>
                <w:tcPr>
                  <w:tcW w:w="1701" w:type="dxa"/>
                  <w:tcBorders>
                    <w:bottom w:val="single" w:sz="4" w:space="0" w:color="auto"/>
                  </w:tcBorders>
                </w:tcPr>
                <w:p w:rsidR="00116BE5" w:rsidRPr="009A5BE6" w:rsidRDefault="00116BE5" w:rsidP="00C94DED">
                  <w:pPr>
                    <w:ind w:left="-108"/>
                    <w:rPr>
                      <w:rFonts w:ascii="Arial Narrow" w:hAnsi="Arial Narrow"/>
                      <w:sz w:val="20"/>
                    </w:rPr>
                  </w:pPr>
                  <w:r w:rsidRPr="009A5BE6">
                    <w:rPr>
                      <w:rFonts w:ascii="Arial Narrow" w:hAnsi="Arial Narrow"/>
                      <w:sz w:val="20"/>
                    </w:rPr>
                    <w:t xml:space="preserve">Dispensed Price for Max. </w:t>
                  </w:r>
                  <w:proofErr w:type="spellStart"/>
                  <w:r w:rsidRPr="009A5BE6">
                    <w:rPr>
                      <w:rFonts w:ascii="Arial Narrow" w:hAnsi="Arial Narrow"/>
                      <w:sz w:val="20"/>
                    </w:rPr>
                    <w:t>Qty</w:t>
                  </w:r>
                  <w:proofErr w:type="spellEnd"/>
                </w:p>
              </w:tc>
              <w:tc>
                <w:tcPr>
                  <w:tcW w:w="1848" w:type="dxa"/>
                  <w:gridSpan w:val="2"/>
                  <w:tcBorders>
                    <w:bottom w:val="single" w:sz="4" w:space="0" w:color="auto"/>
                  </w:tcBorders>
                </w:tcPr>
                <w:p w:rsidR="00116BE5" w:rsidRPr="009A5BE6" w:rsidRDefault="00116BE5" w:rsidP="00C94DED">
                  <w:pPr>
                    <w:rPr>
                      <w:rFonts w:ascii="Arial Narrow" w:hAnsi="Arial Narrow"/>
                      <w:sz w:val="20"/>
                      <w:lang w:val="fr-FR"/>
                    </w:rPr>
                  </w:pPr>
                  <w:r w:rsidRPr="009A5BE6">
                    <w:rPr>
                      <w:rFonts w:ascii="Arial Narrow" w:hAnsi="Arial Narrow"/>
                      <w:sz w:val="20"/>
                    </w:rPr>
                    <w:t>Proprietary Name and Manufacturer</w:t>
                  </w:r>
                </w:p>
              </w:tc>
            </w:tr>
            <w:tr w:rsidR="00116BE5" w:rsidRPr="009A5BE6" w:rsidTr="00004AE4">
              <w:trPr>
                <w:cantSplit/>
                <w:trHeight w:val="577"/>
              </w:trPr>
              <w:tc>
                <w:tcPr>
                  <w:tcW w:w="3261" w:type="dxa"/>
                  <w:gridSpan w:val="2"/>
                </w:tcPr>
                <w:p w:rsidR="00116BE5" w:rsidRPr="009A5BE6" w:rsidRDefault="00116BE5" w:rsidP="00C94DED">
                  <w:pPr>
                    <w:ind w:left="-108"/>
                    <w:rPr>
                      <w:rFonts w:ascii="Arial Narrow" w:hAnsi="Arial Narrow"/>
                      <w:sz w:val="20"/>
                    </w:rPr>
                  </w:pPr>
                  <w:proofErr w:type="spellStart"/>
                  <w:r w:rsidRPr="009A5BE6">
                    <w:rPr>
                      <w:rFonts w:ascii="Arial Narrow" w:hAnsi="Arial Narrow"/>
                      <w:smallCaps/>
                    </w:rPr>
                    <w:t>triptorelin</w:t>
                  </w:r>
                  <w:proofErr w:type="spellEnd"/>
                  <w:r w:rsidRPr="009A5BE6">
                    <w:rPr>
                      <w:rFonts w:ascii="Arial Narrow" w:hAnsi="Arial Narrow"/>
                      <w:smallCaps/>
                    </w:rPr>
                    <w:t xml:space="preserve"> acetate</w:t>
                  </w:r>
                </w:p>
                <w:p w:rsidR="00116BE5" w:rsidRPr="009A5BE6" w:rsidRDefault="00116BE5" w:rsidP="00C94DED">
                  <w:pPr>
                    <w:ind w:left="-108"/>
                    <w:rPr>
                      <w:rFonts w:ascii="Arial Narrow" w:hAnsi="Arial Narrow"/>
                      <w:sz w:val="20"/>
                    </w:rPr>
                  </w:pPr>
                  <w:r w:rsidRPr="009A5BE6">
                    <w:rPr>
                      <w:rFonts w:ascii="Arial Narrow" w:hAnsi="Arial Narrow"/>
                      <w:sz w:val="20"/>
                    </w:rPr>
                    <w:t xml:space="preserve"> 100 micrograms/1mL injection, 28 x 1mL pre-filled syringes </w:t>
                  </w:r>
                </w:p>
              </w:tc>
              <w:tc>
                <w:tcPr>
                  <w:tcW w:w="567" w:type="dxa"/>
                </w:tcPr>
                <w:p w:rsidR="00116BE5" w:rsidRPr="009A5BE6" w:rsidRDefault="00116BE5" w:rsidP="00C94DED">
                  <w:pPr>
                    <w:ind w:left="-108"/>
                    <w:rPr>
                      <w:rFonts w:ascii="Arial Narrow" w:hAnsi="Arial Narrow"/>
                      <w:sz w:val="20"/>
                    </w:rPr>
                  </w:pPr>
                </w:p>
                <w:p w:rsidR="00116BE5" w:rsidRPr="009A5BE6" w:rsidRDefault="00116BE5" w:rsidP="00C94DED">
                  <w:pPr>
                    <w:ind w:left="-108"/>
                    <w:rPr>
                      <w:rFonts w:ascii="Arial Narrow" w:hAnsi="Arial Narrow"/>
                      <w:sz w:val="20"/>
                    </w:rPr>
                  </w:pPr>
                  <w:r w:rsidRPr="009A5BE6">
                    <w:rPr>
                      <w:rFonts w:ascii="Arial Narrow" w:hAnsi="Arial Narrow"/>
                      <w:sz w:val="20"/>
                    </w:rPr>
                    <w:t>1</w:t>
                  </w:r>
                </w:p>
              </w:tc>
              <w:tc>
                <w:tcPr>
                  <w:tcW w:w="850" w:type="dxa"/>
                </w:tcPr>
                <w:p w:rsidR="00116BE5" w:rsidRPr="009A5BE6" w:rsidRDefault="00116BE5" w:rsidP="00C94DED">
                  <w:pPr>
                    <w:ind w:left="-108"/>
                    <w:rPr>
                      <w:rFonts w:ascii="Arial Narrow" w:hAnsi="Arial Narrow"/>
                      <w:sz w:val="20"/>
                    </w:rPr>
                  </w:pPr>
                </w:p>
                <w:p w:rsidR="00116BE5" w:rsidRPr="009A5BE6" w:rsidRDefault="00116BE5" w:rsidP="00C94DED">
                  <w:pPr>
                    <w:ind w:left="-108"/>
                    <w:rPr>
                      <w:rFonts w:ascii="Arial Narrow" w:hAnsi="Arial Narrow"/>
                      <w:sz w:val="20"/>
                    </w:rPr>
                  </w:pPr>
                  <w:r w:rsidRPr="009A5BE6">
                    <w:rPr>
                      <w:rFonts w:ascii="Arial Narrow" w:hAnsi="Arial Narrow"/>
                      <w:sz w:val="20"/>
                    </w:rPr>
                    <w:t>0</w:t>
                  </w:r>
                </w:p>
              </w:tc>
              <w:tc>
                <w:tcPr>
                  <w:tcW w:w="1701" w:type="dxa"/>
                </w:tcPr>
                <w:p w:rsidR="00116BE5" w:rsidRPr="009A5BE6" w:rsidRDefault="00116BE5" w:rsidP="00C94DED">
                  <w:pPr>
                    <w:ind w:left="-108"/>
                    <w:rPr>
                      <w:rFonts w:ascii="Arial Narrow" w:hAnsi="Arial Narrow"/>
                      <w:sz w:val="20"/>
                    </w:rPr>
                  </w:pPr>
                </w:p>
                <w:p w:rsidR="00116BE5" w:rsidRPr="009A5BE6" w:rsidRDefault="00116BE5" w:rsidP="00C94DED">
                  <w:pPr>
                    <w:ind w:left="-108"/>
                    <w:rPr>
                      <w:rFonts w:ascii="Arial Narrow" w:hAnsi="Arial Narrow"/>
                      <w:sz w:val="20"/>
                    </w:rPr>
                  </w:pPr>
                  <w:r w:rsidRPr="009A5BE6">
                    <w:rPr>
                      <w:rFonts w:ascii="Arial Narrow" w:hAnsi="Arial Narrow"/>
                      <w:sz w:val="20"/>
                    </w:rPr>
                    <w:t>$</w:t>
                  </w:r>
                  <w:r w:rsidR="00183312">
                    <w:rPr>
                      <w:rFonts w:ascii="Arial Narrow" w:hAnsi="Arial Narrow"/>
                      <w:noProof/>
                      <w:color w:val="000000"/>
                      <w:sz w:val="20"/>
                      <w:highlight w:val="black"/>
                    </w:rPr>
                    <w:t>''''''''''''''''</w:t>
                  </w:r>
                </w:p>
              </w:tc>
              <w:tc>
                <w:tcPr>
                  <w:tcW w:w="1559" w:type="dxa"/>
                </w:tcPr>
                <w:p w:rsidR="00116BE5" w:rsidRPr="009A5BE6" w:rsidRDefault="00116BE5" w:rsidP="00C94DED">
                  <w:pPr>
                    <w:rPr>
                      <w:rFonts w:ascii="Arial Narrow" w:hAnsi="Arial Narrow"/>
                      <w:sz w:val="20"/>
                    </w:rPr>
                  </w:pPr>
                </w:p>
                <w:p w:rsidR="00116BE5" w:rsidRPr="009A5BE6" w:rsidRDefault="00116BE5" w:rsidP="00C94DED">
                  <w:pPr>
                    <w:rPr>
                      <w:rFonts w:ascii="Arial Narrow" w:hAnsi="Arial Narrow"/>
                      <w:sz w:val="20"/>
                    </w:rPr>
                  </w:pPr>
                  <w:proofErr w:type="spellStart"/>
                  <w:r w:rsidRPr="009A5BE6">
                    <w:rPr>
                      <w:rFonts w:ascii="Arial Narrow" w:hAnsi="Arial Narrow"/>
                      <w:sz w:val="20"/>
                    </w:rPr>
                    <w:t>Decapeptyl</w:t>
                  </w:r>
                  <w:proofErr w:type="spellEnd"/>
                </w:p>
              </w:tc>
              <w:tc>
                <w:tcPr>
                  <w:tcW w:w="289" w:type="dxa"/>
                </w:tcPr>
                <w:p w:rsidR="00116BE5" w:rsidRPr="009A5BE6" w:rsidRDefault="00116BE5" w:rsidP="00C94DED">
                  <w:pPr>
                    <w:rPr>
                      <w:rFonts w:ascii="Arial Narrow" w:hAnsi="Arial Narrow"/>
                      <w:sz w:val="20"/>
                    </w:rPr>
                  </w:pPr>
                </w:p>
                <w:p w:rsidR="00116BE5" w:rsidRPr="009A5BE6" w:rsidRDefault="00116BE5" w:rsidP="00C94DED">
                  <w:pPr>
                    <w:rPr>
                      <w:rFonts w:ascii="Arial Narrow" w:hAnsi="Arial Narrow"/>
                      <w:sz w:val="20"/>
                    </w:rPr>
                  </w:pPr>
                  <w:proofErr w:type="spellStart"/>
                  <w:r w:rsidRPr="009A5BE6">
                    <w:rPr>
                      <w:rFonts w:ascii="Arial Narrow" w:hAnsi="Arial Narrow"/>
                      <w:sz w:val="20"/>
                    </w:rPr>
                    <w:t>Ferring</w:t>
                  </w:r>
                  <w:proofErr w:type="spellEnd"/>
                </w:p>
              </w:tc>
            </w:tr>
            <w:tr w:rsidR="00116BE5" w:rsidRPr="009A5BE6" w:rsidTr="00004AE4">
              <w:trPr>
                <w:cantSplit/>
                <w:trHeight w:val="360"/>
              </w:trPr>
              <w:tc>
                <w:tcPr>
                  <w:tcW w:w="8227" w:type="dxa"/>
                  <w:gridSpan w:val="7"/>
                  <w:tcBorders>
                    <w:bottom w:val="single" w:sz="4" w:space="0" w:color="auto"/>
                  </w:tcBorders>
                </w:tcPr>
                <w:p w:rsidR="00116BE5" w:rsidRPr="009A5BE6" w:rsidRDefault="00116BE5" w:rsidP="00C94DED">
                  <w:pPr>
                    <w:rPr>
                      <w:rFonts w:ascii="Arial Narrow" w:hAnsi="Arial Narrow"/>
                      <w:sz w:val="20"/>
                    </w:rPr>
                  </w:pPr>
                </w:p>
              </w:tc>
            </w:tr>
            <w:tr w:rsidR="00116BE5" w:rsidRPr="009A5BE6" w:rsidTr="00004A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6BE5" w:rsidRPr="009A5BE6" w:rsidRDefault="00116BE5" w:rsidP="00C94DED">
                  <w:pPr>
                    <w:rPr>
                      <w:rFonts w:ascii="Arial Narrow" w:hAnsi="Arial Narrow"/>
                      <w:b/>
                      <w:sz w:val="20"/>
                    </w:rPr>
                  </w:pPr>
                  <w:r w:rsidRPr="009A5BE6">
                    <w:rPr>
                      <w:rFonts w:ascii="Arial Narrow" w:hAnsi="Arial Narrow"/>
                      <w:b/>
                      <w:sz w:val="20"/>
                    </w:rPr>
                    <w:t>Category / Program</w:t>
                  </w:r>
                </w:p>
              </w:tc>
              <w:tc>
                <w:tcPr>
                  <w:tcW w:w="5392" w:type="dxa"/>
                  <w:gridSpan w:val="6"/>
                  <w:tcBorders>
                    <w:top w:val="single" w:sz="4" w:space="0" w:color="auto"/>
                    <w:left w:val="single" w:sz="4" w:space="0" w:color="auto"/>
                    <w:bottom w:val="single" w:sz="4" w:space="0" w:color="auto"/>
                    <w:right w:val="single" w:sz="4" w:space="0" w:color="auto"/>
                  </w:tcBorders>
                </w:tcPr>
                <w:p w:rsidR="00116BE5" w:rsidRPr="009A5BE6" w:rsidRDefault="00116BE5" w:rsidP="00C94DED">
                  <w:pPr>
                    <w:rPr>
                      <w:rFonts w:ascii="Arial Narrow" w:hAnsi="Arial Narrow"/>
                      <w:sz w:val="20"/>
                    </w:rPr>
                  </w:pPr>
                  <w:r w:rsidRPr="009A5BE6">
                    <w:rPr>
                      <w:rFonts w:ascii="Arial Narrow" w:hAnsi="Arial Narrow"/>
                      <w:sz w:val="20"/>
                    </w:rPr>
                    <w:t>Section 100 – IVF</w:t>
                  </w:r>
                </w:p>
                <w:p w:rsidR="00116BE5" w:rsidRPr="009A5BE6" w:rsidRDefault="00116BE5" w:rsidP="00C94DED">
                  <w:pPr>
                    <w:rPr>
                      <w:rFonts w:ascii="Arial Narrow" w:hAnsi="Arial Narrow"/>
                      <w:sz w:val="20"/>
                    </w:rPr>
                  </w:pPr>
                </w:p>
              </w:tc>
            </w:tr>
            <w:tr w:rsidR="00116BE5" w:rsidRPr="009A5BE6" w:rsidTr="00004A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6BE5" w:rsidRPr="009A5BE6" w:rsidRDefault="00116BE5" w:rsidP="00C94DED">
                  <w:pPr>
                    <w:rPr>
                      <w:rFonts w:ascii="Arial Narrow" w:hAnsi="Arial Narrow"/>
                      <w:b/>
                      <w:sz w:val="20"/>
                    </w:rPr>
                  </w:pPr>
                  <w:r w:rsidRPr="009A5BE6">
                    <w:rPr>
                      <w:rFonts w:ascii="Arial Narrow" w:hAnsi="Arial Narrow"/>
                      <w:b/>
                      <w:sz w:val="20"/>
                    </w:rPr>
                    <w:t>Prescriber type:</w:t>
                  </w:r>
                </w:p>
                <w:p w:rsidR="00116BE5" w:rsidRPr="009A5BE6" w:rsidRDefault="00116BE5" w:rsidP="00C94DED">
                  <w:pPr>
                    <w:rPr>
                      <w:rFonts w:ascii="Arial Narrow" w:hAnsi="Arial Narrow"/>
                      <w:sz w:val="20"/>
                    </w:rPr>
                  </w:pPr>
                </w:p>
              </w:tc>
              <w:tc>
                <w:tcPr>
                  <w:tcW w:w="5392" w:type="dxa"/>
                  <w:gridSpan w:val="6"/>
                  <w:tcBorders>
                    <w:top w:val="single" w:sz="4" w:space="0" w:color="auto"/>
                    <w:left w:val="single" w:sz="4" w:space="0" w:color="auto"/>
                    <w:bottom w:val="single" w:sz="4" w:space="0" w:color="auto"/>
                    <w:right w:val="single" w:sz="4" w:space="0" w:color="auto"/>
                  </w:tcBorders>
                </w:tcPr>
                <w:p w:rsidR="00116BE5" w:rsidRPr="009A5BE6" w:rsidRDefault="00116BE5" w:rsidP="00C94DED">
                  <w:pPr>
                    <w:rPr>
                      <w:rFonts w:ascii="Arial Narrow" w:hAnsi="Arial Narrow"/>
                      <w:sz w:val="20"/>
                    </w:rPr>
                  </w:pPr>
                  <w:r w:rsidRPr="009A5BE6">
                    <w:rPr>
                      <w:rFonts w:ascii="Arial Narrow" w:hAnsi="Arial Narrow"/>
                      <w:sz w:val="20"/>
                    </w:rPr>
                    <w:fldChar w:fldCharType="begin">
                      <w:ffData>
                        <w:name w:val="Check1"/>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 xml:space="preserve">Dental  </w:t>
                  </w:r>
                  <w:r w:rsidRPr="009A5BE6">
                    <w:rPr>
                      <w:rFonts w:ascii="Arial Narrow" w:hAnsi="Arial Narrow"/>
                      <w:sz w:val="20"/>
                    </w:rPr>
                    <w:fldChar w:fldCharType="begin">
                      <w:ffData>
                        <w:name w:val=""/>
                        <w:enabled/>
                        <w:calcOnExit w:val="0"/>
                        <w:checkBox>
                          <w:sizeAuto/>
                          <w:default w:val="1"/>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 xml:space="preserve">Medical Practitioners  </w:t>
                  </w:r>
                  <w:r w:rsidRPr="009A5BE6">
                    <w:rPr>
                      <w:rFonts w:ascii="Arial Narrow" w:hAnsi="Arial Narrow"/>
                      <w:sz w:val="20"/>
                    </w:rPr>
                    <w:fldChar w:fldCharType="begin">
                      <w:ffData>
                        <w:name w:val="Check3"/>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 xml:space="preserve">Nurse practitioners  </w:t>
                  </w:r>
                  <w:r w:rsidRPr="009A5BE6">
                    <w:rPr>
                      <w:rFonts w:ascii="Arial Narrow" w:hAnsi="Arial Narrow"/>
                      <w:sz w:val="20"/>
                    </w:rPr>
                    <w:fldChar w:fldCharType="begin">
                      <w:ffData>
                        <w:name w:val=""/>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Optometrists</w:t>
                  </w:r>
                </w:p>
                <w:p w:rsidR="00116BE5" w:rsidRPr="009A5BE6" w:rsidRDefault="00116BE5" w:rsidP="00C94DED">
                  <w:pPr>
                    <w:rPr>
                      <w:rFonts w:ascii="Arial Narrow" w:hAnsi="Arial Narrow"/>
                      <w:sz w:val="20"/>
                    </w:rPr>
                  </w:pPr>
                  <w:r w:rsidRPr="009A5BE6">
                    <w:rPr>
                      <w:rFonts w:ascii="Arial Narrow" w:hAnsi="Arial Narrow"/>
                      <w:sz w:val="20"/>
                    </w:rPr>
                    <w:fldChar w:fldCharType="begin">
                      <w:ffData>
                        <w:name w:val="Check5"/>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Midwives</w:t>
                  </w:r>
                </w:p>
              </w:tc>
            </w:tr>
            <w:tr w:rsidR="00116BE5" w:rsidRPr="009A5BE6" w:rsidTr="00004A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6BE5" w:rsidRPr="009A5BE6" w:rsidRDefault="00116BE5" w:rsidP="00C94DED">
                  <w:pPr>
                    <w:rPr>
                      <w:rFonts w:ascii="Arial Narrow" w:hAnsi="Arial Narrow"/>
                      <w:b/>
                      <w:sz w:val="20"/>
                    </w:rPr>
                  </w:pPr>
                  <w:r w:rsidRPr="009A5BE6">
                    <w:rPr>
                      <w:rFonts w:ascii="Arial Narrow" w:hAnsi="Arial Narrow"/>
                      <w:b/>
                      <w:sz w:val="20"/>
                    </w:rPr>
                    <w:t>PBS Indication:</w:t>
                  </w:r>
                </w:p>
              </w:tc>
              <w:tc>
                <w:tcPr>
                  <w:tcW w:w="5392" w:type="dxa"/>
                  <w:gridSpan w:val="6"/>
                  <w:tcBorders>
                    <w:top w:val="single" w:sz="4" w:space="0" w:color="auto"/>
                    <w:left w:val="single" w:sz="4" w:space="0" w:color="auto"/>
                    <w:bottom w:val="single" w:sz="4" w:space="0" w:color="auto"/>
                    <w:right w:val="single" w:sz="4" w:space="0" w:color="auto"/>
                  </w:tcBorders>
                </w:tcPr>
                <w:p w:rsidR="00116BE5" w:rsidRPr="009A5BE6" w:rsidRDefault="00116BE5" w:rsidP="00C94DED">
                  <w:pPr>
                    <w:rPr>
                      <w:rFonts w:ascii="Arial Narrow" w:hAnsi="Arial Narrow"/>
                      <w:sz w:val="20"/>
                    </w:rPr>
                  </w:pPr>
                  <w:r w:rsidRPr="009A5BE6">
                    <w:rPr>
                      <w:rFonts w:ascii="Arial Narrow" w:hAnsi="Arial Narrow"/>
                      <w:sz w:val="20"/>
                    </w:rPr>
                    <w:t xml:space="preserve">Assisted Reproductive Technology </w:t>
                  </w:r>
                </w:p>
              </w:tc>
            </w:tr>
            <w:tr w:rsidR="00116BE5" w:rsidRPr="009A5BE6" w:rsidTr="00004A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6BE5" w:rsidRPr="009A5BE6" w:rsidRDefault="00116BE5" w:rsidP="00C94DED">
                  <w:pPr>
                    <w:rPr>
                      <w:rFonts w:ascii="Arial Narrow" w:hAnsi="Arial Narrow"/>
                      <w:b/>
                      <w:sz w:val="20"/>
                    </w:rPr>
                  </w:pPr>
                  <w:r w:rsidRPr="009A5BE6">
                    <w:rPr>
                      <w:rFonts w:ascii="Arial Narrow" w:hAnsi="Arial Narrow"/>
                      <w:b/>
                      <w:sz w:val="20"/>
                    </w:rPr>
                    <w:t>Treatment phase:</w:t>
                  </w:r>
                </w:p>
                <w:p w:rsidR="00116BE5" w:rsidRPr="009A5BE6" w:rsidRDefault="00116BE5" w:rsidP="00C94DED">
                  <w:pPr>
                    <w:rPr>
                      <w:rFonts w:ascii="Arial Narrow" w:hAnsi="Arial Narrow"/>
                      <w:i/>
                      <w:sz w:val="20"/>
                    </w:rPr>
                  </w:pPr>
                </w:p>
              </w:tc>
              <w:tc>
                <w:tcPr>
                  <w:tcW w:w="5392" w:type="dxa"/>
                  <w:gridSpan w:val="6"/>
                  <w:tcBorders>
                    <w:top w:val="single" w:sz="4" w:space="0" w:color="auto"/>
                    <w:left w:val="single" w:sz="4" w:space="0" w:color="auto"/>
                    <w:bottom w:val="single" w:sz="4" w:space="0" w:color="auto"/>
                    <w:right w:val="single" w:sz="4" w:space="0" w:color="auto"/>
                  </w:tcBorders>
                </w:tcPr>
                <w:p w:rsidR="00116BE5" w:rsidRPr="009A5BE6" w:rsidRDefault="00116BE5" w:rsidP="00C94DED">
                  <w:pPr>
                    <w:rPr>
                      <w:rFonts w:ascii="Arial Narrow" w:hAnsi="Arial Narrow"/>
                      <w:sz w:val="20"/>
                    </w:rPr>
                  </w:pPr>
                  <w:r w:rsidRPr="009A5BE6">
                    <w:rPr>
                      <w:rFonts w:ascii="Arial Narrow" w:hAnsi="Arial Narrow"/>
                      <w:sz w:val="20"/>
                    </w:rPr>
                    <w:t>-</w:t>
                  </w:r>
                </w:p>
              </w:tc>
            </w:tr>
            <w:tr w:rsidR="00116BE5" w:rsidRPr="009A5BE6" w:rsidTr="00004A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6BE5" w:rsidRPr="009A5BE6" w:rsidRDefault="00116BE5" w:rsidP="00C94DED">
                  <w:pPr>
                    <w:rPr>
                      <w:rFonts w:ascii="Arial Narrow" w:hAnsi="Arial Narrow"/>
                      <w:b/>
                      <w:sz w:val="20"/>
                    </w:rPr>
                  </w:pPr>
                  <w:r w:rsidRPr="009A5BE6">
                    <w:rPr>
                      <w:rFonts w:ascii="Arial Narrow" w:hAnsi="Arial Narrow"/>
                      <w:b/>
                      <w:sz w:val="20"/>
                    </w:rPr>
                    <w:t>Restriction Level / Method:</w:t>
                  </w:r>
                </w:p>
                <w:p w:rsidR="00116BE5" w:rsidRPr="009A5BE6" w:rsidRDefault="00116BE5" w:rsidP="00C94DED">
                  <w:pPr>
                    <w:rPr>
                      <w:rFonts w:ascii="Arial Narrow" w:hAnsi="Arial Narrow"/>
                      <w:i/>
                      <w:sz w:val="20"/>
                      <w:highlight w:val="yellow"/>
                    </w:rPr>
                  </w:pPr>
                </w:p>
                <w:p w:rsidR="00116BE5" w:rsidRPr="009A5BE6" w:rsidRDefault="00116BE5" w:rsidP="00C94DED">
                  <w:pPr>
                    <w:rPr>
                      <w:rFonts w:ascii="Arial Narrow" w:hAnsi="Arial Narrow"/>
                      <w:i/>
                      <w:sz w:val="20"/>
                    </w:rPr>
                  </w:pPr>
                </w:p>
              </w:tc>
              <w:tc>
                <w:tcPr>
                  <w:tcW w:w="5392" w:type="dxa"/>
                  <w:gridSpan w:val="6"/>
                  <w:tcBorders>
                    <w:top w:val="single" w:sz="4" w:space="0" w:color="auto"/>
                    <w:left w:val="single" w:sz="4" w:space="0" w:color="auto"/>
                    <w:bottom w:val="single" w:sz="4" w:space="0" w:color="auto"/>
                    <w:right w:val="single" w:sz="4" w:space="0" w:color="auto"/>
                  </w:tcBorders>
                </w:tcPr>
                <w:p w:rsidR="00116BE5" w:rsidRPr="009A5BE6" w:rsidRDefault="00116BE5" w:rsidP="00C94DED">
                  <w:pPr>
                    <w:rPr>
                      <w:rFonts w:ascii="Arial Narrow" w:hAnsi="Arial Narrow"/>
                      <w:sz w:val="20"/>
                    </w:rPr>
                  </w:pPr>
                  <w:r w:rsidRPr="009A5BE6">
                    <w:rPr>
                      <w:rFonts w:ascii="Arial Narrow" w:hAnsi="Arial Narrow"/>
                      <w:sz w:val="20"/>
                    </w:rPr>
                    <w:fldChar w:fldCharType="begin">
                      <w:ffData>
                        <w:name w:val="Check1"/>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Restricted benefit</w:t>
                  </w:r>
                </w:p>
                <w:p w:rsidR="00116BE5" w:rsidRPr="009A5BE6" w:rsidRDefault="00116BE5" w:rsidP="00C94DED">
                  <w:pPr>
                    <w:rPr>
                      <w:rFonts w:ascii="Arial Narrow" w:hAnsi="Arial Narrow"/>
                      <w:sz w:val="20"/>
                    </w:rPr>
                  </w:pPr>
                  <w:r w:rsidRPr="009A5BE6">
                    <w:rPr>
                      <w:rFonts w:ascii="Arial Narrow" w:hAnsi="Arial Narrow"/>
                      <w:sz w:val="20"/>
                    </w:rPr>
                    <w:fldChar w:fldCharType="begin">
                      <w:ffData>
                        <w:name w:val="Check1"/>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Authority Required - In Writing</w:t>
                  </w:r>
                </w:p>
                <w:p w:rsidR="00116BE5" w:rsidRPr="009A5BE6" w:rsidRDefault="00116BE5" w:rsidP="00C94DED">
                  <w:pPr>
                    <w:rPr>
                      <w:rFonts w:ascii="Arial Narrow" w:hAnsi="Arial Narrow"/>
                      <w:sz w:val="20"/>
                    </w:rPr>
                  </w:pPr>
                  <w:r w:rsidRPr="009A5BE6">
                    <w:rPr>
                      <w:rFonts w:ascii="Arial Narrow" w:hAnsi="Arial Narrow"/>
                      <w:sz w:val="20"/>
                    </w:rPr>
                    <w:fldChar w:fldCharType="begin">
                      <w:ffData>
                        <w:name w:val="Check3"/>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Authority Required - Telephone</w:t>
                  </w:r>
                </w:p>
                <w:p w:rsidR="00116BE5" w:rsidRPr="009A5BE6" w:rsidRDefault="00116BE5" w:rsidP="00C94DED">
                  <w:pPr>
                    <w:rPr>
                      <w:rFonts w:ascii="Arial Narrow" w:hAnsi="Arial Narrow"/>
                      <w:sz w:val="20"/>
                    </w:rPr>
                  </w:pPr>
                  <w:r w:rsidRPr="009A5BE6">
                    <w:rPr>
                      <w:rFonts w:ascii="Arial Narrow" w:hAnsi="Arial Narrow"/>
                      <w:sz w:val="20"/>
                    </w:rPr>
                    <w:fldChar w:fldCharType="begin">
                      <w:ffData>
                        <w:name w:val=""/>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Authority Required – Emergency</w:t>
                  </w:r>
                </w:p>
                <w:p w:rsidR="00116BE5" w:rsidRPr="009A5BE6" w:rsidRDefault="00116BE5" w:rsidP="00C94DED">
                  <w:pPr>
                    <w:rPr>
                      <w:rFonts w:ascii="Arial Narrow" w:hAnsi="Arial Narrow"/>
                      <w:sz w:val="20"/>
                    </w:rPr>
                  </w:pPr>
                  <w:r w:rsidRPr="009A5BE6">
                    <w:rPr>
                      <w:rFonts w:ascii="Arial Narrow" w:hAnsi="Arial Narrow"/>
                      <w:sz w:val="20"/>
                    </w:rPr>
                    <w:fldChar w:fldCharType="begin">
                      <w:ffData>
                        <w:name w:val="Check5"/>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Authority Required - Electronic</w:t>
                  </w:r>
                </w:p>
                <w:p w:rsidR="00116BE5" w:rsidRPr="009A5BE6" w:rsidRDefault="00116BE5" w:rsidP="00C94DED">
                  <w:pPr>
                    <w:rPr>
                      <w:rFonts w:ascii="Arial Narrow" w:hAnsi="Arial Narrow"/>
                      <w:sz w:val="20"/>
                    </w:rPr>
                  </w:pPr>
                  <w:r w:rsidRPr="009A5BE6">
                    <w:rPr>
                      <w:rFonts w:ascii="Arial Narrow" w:hAnsi="Arial Narrow"/>
                      <w:sz w:val="20"/>
                    </w:rPr>
                    <w:fldChar w:fldCharType="begin">
                      <w:ffData>
                        <w:name w:val="Check5"/>
                        <w:enabled/>
                        <w:calcOnExit w:val="0"/>
                        <w:checkBox>
                          <w:sizeAuto/>
                          <w:default w:val="1"/>
                        </w:checkBox>
                      </w:ffData>
                    </w:fldChar>
                  </w:r>
                  <w:r w:rsidRPr="009A5BE6">
                    <w:rPr>
                      <w:rFonts w:ascii="Arial Narrow" w:hAnsi="Arial Narrow"/>
                      <w:sz w:val="20"/>
                    </w:rPr>
                    <w:instrText xml:space="preserve"> </w:instrText>
                  </w:r>
                  <w:bookmarkStart w:id="6" w:name="Check5"/>
                  <w:r w:rsidRPr="009A5BE6">
                    <w:rPr>
                      <w:rFonts w:ascii="Arial Narrow" w:hAnsi="Arial Narrow"/>
                      <w:sz w:val="20"/>
                    </w:rPr>
                    <w:instrText xml:space="preserve">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bookmarkEnd w:id="6"/>
                  <w:r w:rsidRPr="009A5BE6">
                    <w:rPr>
                      <w:rFonts w:ascii="Arial Narrow" w:hAnsi="Arial Narrow"/>
                      <w:sz w:val="20"/>
                    </w:rPr>
                    <w:t>Streamlined</w:t>
                  </w:r>
                </w:p>
              </w:tc>
            </w:tr>
            <w:tr w:rsidR="00116BE5" w:rsidRPr="009A5BE6" w:rsidTr="00004AE4">
              <w:trPr>
                <w:cantSplit/>
                <w:trHeight w:val="360"/>
              </w:trPr>
              <w:tc>
                <w:tcPr>
                  <w:tcW w:w="2835" w:type="dxa"/>
                  <w:tcBorders>
                    <w:top w:val="single" w:sz="4" w:space="0" w:color="auto"/>
                    <w:left w:val="single" w:sz="4" w:space="0" w:color="auto"/>
                    <w:bottom w:val="single" w:sz="4" w:space="0" w:color="auto"/>
                    <w:right w:val="single" w:sz="4" w:space="0" w:color="auto"/>
                  </w:tcBorders>
                </w:tcPr>
                <w:p w:rsidR="00116BE5" w:rsidRPr="009A5BE6" w:rsidRDefault="00116BE5" w:rsidP="00C94DED">
                  <w:pPr>
                    <w:rPr>
                      <w:rFonts w:ascii="Arial Narrow" w:hAnsi="Arial Narrow"/>
                      <w:b/>
                      <w:sz w:val="20"/>
                    </w:rPr>
                  </w:pPr>
                  <w:r w:rsidRPr="009A5BE6">
                    <w:rPr>
                      <w:rFonts w:ascii="Arial Narrow" w:hAnsi="Arial Narrow"/>
                      <w:b/>
                      <w:sz w:val="20"/>
                    </w:rPr>
                    <w:t>Clinical criteria:</w:t>
                  </w:r>
                </w:p>
                <w:p w:rsidR="00116BE5" w:rsidRPr="009A5BE6" w:rsidRDefault="00116BE5" w:rsidP="00C94DED">
                  <w:pPr>
                    <w:rPr>
                      <w:rFonts w:ascii="Arial Narrow" w:hAnsi="Arial Narrow"/>
                      <w:i/>
                      <w:sz w:val="20"/>
                    </w:rPr>
                  </w:pPr>
                </w:p>
                <w:p w:rsidR="00116BE5" w:rsidRPr="009A5BE6" w:rsidRDefault="00116BE5" w:rsidP="00C94DED">
                  <w:pPr>
                    <w:rPr>
                      <w:rFonts w:ascii="Arial Narrow" w:hAnsi="Arial Narrow"/>
                      <w:sz w:val="20"/>
                    </w:rPr>
                  </w:pPr>
                </w:p>
              </w:tc>
              <w:tc>
                <w:tcPr>
                  <w:tcW w:w="5392" w:type="dxa"/>
                  <w:gridSpan w:val="6"/>
                  <w:tcBorders>
                    <w:top w:val="single" w:sz="4" w:space="0" w:color="auto"/>
                    <w:left w:val="single" w:sz="4" w:space="0" w:color="auto"/>
                    <w:bottom w:val="single" w:sz="4" w:space="0" w:color="auto"/>
                    <w:right w:val="single" w:sz="4" w:space="0" w:color="auto"/>
                  </w:tcBorders>
                </w:tcPr>
                <w:p w:rsidR="00116BE5" w:rsidRPr="009A5BE6" w:rsidRDefault="00116BE5" w:rsidP="00C94DED">
                  <w:pPr>
                    <w:rPr>
                      <w:rFonts w:ascii="Arial Narrow" w:hAnsi="Arial Narrow"/>
                      <w:sz w:val="20"/>
                    </w:rPr>
                  </w:pPr>
                  <w:r w:rsidRPr="009A5BE6">
                    <w:rPr>
                      <w:rFonts w:ascii="Arial Narrow" w:hAnsi="Arial Narrow"/>
                      <w:sz w:val="20"/>
                    </w:rPr>
                    <w:t>The treatment must be for prevention of premature luteinisation and ovulation,</w:t>
                  </w:r>
                </w:p>
                <w:p w:rsidR="00116BE5" w:rsidRPr="009A5BE6" w:rsidRDefault="00116BE5" w:rsidP="00C94DED">
                  <w:pPr>
                    <w:rPr>
                      <w:rFonts w:ascii="Arial Narrow" w:hAnsi="Arial Narrow"/>
                      <w:sz w:val="20"/>
                    </w:rPr>
                  </w:pPr>
                </w:p>
                <w:p w:rsidR="00116BE5" w:rsidRPr="009A5BE6" w:rsidRDefault="00116BE5" w:rsidP="00C94DED">
                  <w:pPr>
                    <w:rPr>
                      <w:rFonts w:ascii="Arial Narrow" w:hAnsi="Arial Narrow"/>
                      <w:sz w:val="20"/>
                    </w:rPr>
                  </w:pPr>
                  <w:r w:rsidRPr="009A5BE6">
                    <w:rPr>
                      <w:rFonts w:ascii="Arial Narrow" w:hAnsi="Arial Narrow"/>
                      <w:sz w:val="20"/>
                    </w:rPr>
                    <w:t>AND</w:t>
                  </w:r>
                </w:p>
                <w:p w:rsidR="00116BE5" w:rsidRPr="009A5BE6" w:rsidRDefault="00116BE5" w:rsidP="00C94DED">
                  <w:pPr>
                    <w:rPr>
                      <w:rFonts w:ascii="Arial Narrow" w:hAnsi="Arial Narrow"/>
                      <w:sz w:val="20"/>
                    </w:rPr>
                  </w:pPr>
                </w:p>
                <w:p w:rsidR="00116BE5" w:rsidRPr="009A5BE6" w:rsidRDefault="00116BE5" w:rsidP="00C94DED">
                  <w:pPr>
                    <w:rPr>
                      <w:rFonts w:ascii="Arial Narrow" w:hAnsi="Arial Narrow"/>
                      <w:sz w:val="20"/>
                    </w:rPr>
                  </w:pPr>
                  <w:r w:rsidRPr="009A5BE6">
                    <w:rPr>
                      <w:rFonts w:ascii="Arial Narrow" w:hAnsi="Arial Narrow"/>
                      <w:sz w:val="20"/>
                    </w:rPr>
                    <w:t>Patient must be undergoing controlled ovarian stimulation,</w:t>
                  </w:r>
                </w:p>
                <w:p w:rsidR="00116BE5" w:rsidRPr="009A5BE6" w:rsidRDefault="00116BE5" w:rsidP="00C94DED">
                  <w:pPr>
                    <w:rPr>
                      <w:rFonts w:ascii="Arial Narrow" w:hAnsi="Arial Narrow"/>
                      <w:sz w:val="20"/>
                    </w:rPr>
                  </w:pPr>
                </w:p>
                <w:p w:rsidR="00116BE5" w:rsidRPr="009A5BE6" w:rsidRDefault="00116BE5" w:rsidP="00C94DED">
                  <w:pPr>
                    <w:rPr>
                      <w:rFonts w:ascii="Arial Narrow" w:hAnsi="Arial Narrow"/>
                      <w:sz w:val="20"/>
                    </w:rPr>
                  </w:pPr>
                  <w:r w:rsidRPr="009A5BE6">
                    <w:rPr>
                      <w:rFonts w:ascii="Arial Narrow" w:hAnsi="Arial Narrow"/>
                      <w:sz w:val="20"/>
                    </w:rPr>
                    <w:t>AND</w:t>
                  </w:r>
                </w:p>
                <w:p w:rsidR="00116BE5" w:rsidRPr="009A5BE6" w:rsidRDefault="00116BE5" w:rsidP="00C94DED">
                  <w:pPr>
                    <w:rPr>
                      <w:rFonts w:ascii="Arial Narrow" w:hAnsi="Arial Narrow"/>
                      <w:sz w:val="20"/>
                    </w:rPr>
                  </w:pPr>
                </w:p>
                <w:p w:rsidR="00116BE5" w:rsidRPr="009A5BE6" w:rsidRDefault="00116BE5" w:rsidP="00C94DED">
                  <w:pPr>
                    <w:rPr>
                      <w:rFonts w:ascii="Arial Narrow" w:hAnsi="Arial Narrow"/>
                      <w:sz w:val="20"/>
                    </w:rPr>
                  </w:pPr>
                  <w:r w:rsidRPr="009A5BE6">
                    <w:rPr>
                      <w:rFonts w:ascii="Arial Narrow" w:hAnsi="Arial Narrow"/>
                      <w:sz w:val="20"/>
                    </w:rPr>
                    <w:t>Patient must be receiving medical services as described in items 13200, 13201, 13202 or 13203 of the Medicare Benefits Schedule.</w:t>
                  </w:r>
                </w:p>
              </w:tc>
            </w:tr>
          </w:tbl>
          <w:p w:rsidR="00116BE5" w:rsidRDefault="00116BE5" w:rsidP="009C7BAC">
            <w:pPr>
              <w:jc w:val="left"/>
              <w:rPr>
                <w:sz w:val="20"/>
              </w:rPr>
            </w:pPr>
          </w:p>
        </w:tc>
      </w:tr>
    </w:tbl>
    <w:p w:rsidR="00A90842" w:rsidRPr="00882085" w:rsidRDefault="00A90842" w:rsidP="00A90842"/>
    <w:p w:rsidR="00A90842" w:rsidRPr="0074618F" w:rsidRDefault="009377C2" w:rsidP="000403D8">
      <w:pPr>
        <w:pStyle w:val="ListParagraph"/>
        <w:widowControl/>
        <w:numPr>
          <w:ilvl w:val="1"/>
          <w:numId w:val="1"/>
        </w:numPr>
        <w:rPr>
          <w:szCs w:val="22"/>
        </w:rPr>
      </w:pPr>
      <w:r>
        <w:rPr>
          <w:szCs w:val="22"/>
        </w:rPr>
        <w:t xml:space="preserve">The basis for listing is cost-minimisation against </w:t>
      </w:r>
      <w:proofErr w:type="spellStart"/>
      <w:r>
        <w:rPr>
          <w:szCs w:val="22"/>
        </w:rPr>
        <w:t>nafarelin</w:t>
      </w:r>
      <w:proofErr w:type="spellEnd"/>
      <w:r>
        <w:rPr>
          <w:szCs w:val="22"/>
        </w:rPr>
        <w:t xml:space="preserve">. </w:t>
      </w:r>
    </w:p>
    <w:p w:rsidR="0030596F" w:rsidRDefault="0030596F" w:rsidP="0030596F">
      <w:pPr>
        <w:pStyle w:val="ListParagraph"/>
        <w:ind w:left="709"/>
        <w:rPr>
          <w:i/>
          <w:szCs w:val="22"/>
        </w:rPr>
      </w:pPr>
    </w:p>
    <w:p w:rsidR="006B4A9A" w:rsidRDefault="006B4A9A">
      <w:pPr>
        <w:widowControl/>
        <w:jc w:val="left"/>
      </w:pPr>
      <w:r>
        <w:br w:type="page"/>
      </w:r>
    </w:p>
    <w:p w:rsidR="0030596F" w:rsidRDefault="0030596F">
      <w:pPr>
        <w:widowControl/>
        <w:jc w:val="left"/>
      </w:pPr>
    </w:p>
    <w:p w:rsidR="00A90842" w:rsidRPr="00407F2D" w:rsidRDefault="00A90842" w:rsidP="000403D8">
      <w:pPr>
        <w:pStyle w:val="Heading1"/>
      </w:pPr>
      <w:bookmarkStart w:id="7" w:name="_Toc437239493"/>
      <w:bookmarkStart w:id="8" w:name="_Toc440884954"/>
      <w:r w:rsidRPr="00407F2D">
        <w:t>Background</w:t>
      </w:r>
      <w:bookmarkEnd w:id="7"/>
      <w:bookmarkEnd w:id="8"/>
    </w:p>
    <w:p w:rsidR="00A90842" w:rsidRPr="00CF5828" w:rsidRDefault="00A90842" w:rsidP="00A90842">
      <w:pPr>
        <w:rPr>
          <w:szCs w:val="22"/>
        </w:rPr>
      </w:pPr>
    </w:p>
    <w:p w:rsidR="00A90842" w:rsidRPr="004B4E75" w:rsidRDefault="00A90842" w:rsidP="000403D8">
      <w:pPr>
        <w:pStyle w:val="ListParagraph"/>
        <w:widowControl/>
        <w:numPr>
          <w:ilvl w:val="1"/>
          <w:numId w:val="1"/>
        </w:numPr>
        <w:rPr>
          <w:szCs w:val="22"/>
        </w:rPr>
      </w:pPr>
      <w:proofErr w:type="spellStart"/>
      <w:r w:rsidRPr="004B4E75">
        <w:rPr>
          <w:szCs w:val="22"/>
        </w:rPr>
        <w:t>Triptorelin</w:t>
      </w:r>
      <w:proofErr w:type="spellEnd"/>
      <w:r w:rsidRPr="004B4E75">
        <w:rPr>
          <w:szCs w:val="22"/>
        </w:rPr>
        <w:t xml:space="preserve"> acetate was TGA registered on 26 February 2015 for down-regulation and prevention of premature </w:t>
      </w:r>
      <w:r w:rsidR="00251A5B" w:rsidRPr="004B4E75">
        <w:rPr>
          <w:szCs w:val="22"/>
        </w:rPr>
        <w:t>LH</w:t>
      </w:r>
      <w:r w:rsidRPr="004B4E75">
        <w:rPr>
          <w:szCs w:val="22"/>
        </w:rPr>
        <w:t xml:space="preserve"> surges in women undergoing </w:t>
      </w:r>
      <w:r w:rsidR="00DD2518" w:rsidRPr="004B4E75">
        <w:rPr>
          <w:szCs w:val="22"/>
        </w:rPr>
        <w:t>COH</w:t>
      </w:r>
      <w:r w:rsidRPr="004B4E75">
        <w:rPr>
          <w:szCs w:val="22"/>
        </w:rPr>
        <w:t xml:space="preserve"> </w:t>
      </w:r>
      <w:r w:rsidR="00040113" w:rsidRPr="004B4E75">
        <w:t>as part of an ART treatment program</w:t>
      </w:r>
      <w:r w:rsidRPr="004B4E75">
        <w:rPr>
          <w:szCs w:val="22"/>
        </w:rPr>
        <w:t xml:space="preserve">. </w:t>
      </w:r>
      <w:proofErr w:type="spellStart"/>
      <w:r w:rsidR="00133837" w:rsidRPr="004B4E75">
        <w:rPr>
          <w:szCs w:val="22"/>
        </w:rPr>
        <w:t>Triptorelin</w:t>
      </w:r>
      <w:proofErr w:type="spellEnd"/>
      <w:r w:rsidR="00133837" w:rsidRPr="004B4E75">
        <w:rPr>
          <w:szCs w:val="22"/>
        </w:rPr>
        <w:t xml:space="preserve"> acetate was registered on the basis of Phase II clinical data.</w:t>
      </w:r>
    </w:p>
    <w:p w:rsidR="00A90842" w:rsidRPr="00882085" w:rsidRDefault="00A90842" w:rsidP="00A90842">
      <w:pPr>
        <w:pStyle w:val="ListParagraph"/>
        <w:rPr>
          <w:szCs w:val="22"/>
        </w:rPr>
      </w:pPr>
    </w:p>
    <w:p w:rsidR="00A90842" w:rsidRDefault="00A90842" w:rsidP="000403D8">
      <w:pPr>
        <w:pStyle w:val="ListParagraph"/>
        <w:widowControl/>
        <w:numPr>
          <w:ilvl w:val="1"/>
          <w:numId w:val="1"/>
        </w:numPr>
        <w:rPr>
          <w:szCs w:val="22"/>
        </w:rPr>
      </w:pPr>
      <w:proofErr w:type="spellStart"/>
      <w:r w:rsidRPr="00D94D29">
        <w:rPr>
          <w:szCs w:val="22"/>
        </w:rPr>
        <w:t>Triptorelin</w:t>
      </w:r>
      <w:proofErr w:type="spellEnd"/>
      <w:r w:rsidRPr="00D94D29">
        <w:rPr>
          <w:szCs w:val="22"/>
        </w:rPr>
        <w:t xml:space="preserve"> acetate ha</w:t>
      </w:r>
      <w:r w:rsidR="004065B0">
        <w:rPr>
          <w:szCs w:val="22"/>
        </w:rPr>
        <w:t>s</w:t>
      </w:r>
      <w:r w:rsidRPr="00D94D29">
        <w:rPr>
          <w:szCs w:val="22"/>
        </w:rPr>
        <w:t xml:space="preserve"> not been considered by the PBAC</w:t>
      </w:r>
      <w:r w:rsidR="004065B0">
        <w:rPr>
          <w:szCs w:val="22"/>
        </w:rPr>
        <w:t xml:space="preserve"> previously</w:t>
      </w:r>
      <w:r w:rsidRPr="00D94D29">
        <w:rPr>
          <w:szCs w:val="22"/>
        </w:rPr>
        <w:t xml:space="preserve">. </w:t>
      </w:r>
    </w:p>
    <w:p w:rsidR="00045EC4" w:rsidRPr="00045EC4" w:rsidRDefault="00045EC4" w:rsidP="00045EC4">
      <w:pPr>
        <w:pStyle w:val="ListParagraph"/>
        <w:rPr>
          <w:szCs w:val="22"/>
        </w:rPr>
      </w:pPr>
    </w:p>
    <w:p w:rsidR="00045EC4" w:rsidRPr="006E2DD8" w:rsidRDefault="00045EC4" w:rsidP="000403D8">
      <w:pPr>
        <w:pStyle w:val="ListParagraph"/>
        <w:widowControl/>
        <w:numPr>
          <w:ilvl w:val="1"/>
          <w:numId w:val="1"/>
        </w:numPr>
        <w:rPr>
          <w:szCs w:val="22"/>
        </w:rPr>
      </w:pPr>
      <w:r>
        <w:rPr>
          <w:szCs w:val="22"/>
        </w:rPr>
        <w:t xml:space="preserve">Three </w:t>
      </w:r>
      <w:r w:rsidR="009F40D5">
        <w:t>gonadotropin</w:t>
      </w:r>
      <w:r>
        <w:t>-releasing hormone (</w:t>
      </w:r>
      <w:proofErr w:type="spellStart"/>
      <w:r w:rsidRPr="006E2DD8">
        <w:t>GnRH</w:t>
      </w:r>
      <w:proofErr w:type="spellEnd"/>
      <w:r>
        <w:t xml:space="preserve">) analogues are listed on the Section 100 IVF program, </w:t>
      </w:r>
      <w:proofErr w:type="spellStart"/>
      <w:r>
        <w:t>nafarelin</w:t>
      </w:r>
      <w:proofErr w:type="spellEnd"/>
      <w:r>
        <w:t xml:space="preserve">, </w:t>
      </w:r>
      <w:proofErr w:type="spellStart"/>
      <w:r>
        <w:t>ganirelix</w:t>
      </w:r>
      <w:proofErr w:type="spellEnd"/>
      <w:r>
        <w:t xml:space="preserve"> and </w:t>
      </w:r>
      <w:proofErr w:type="spellStart"/>
      <w:r>
        <w:t>cetrorelix</w:t>
      </w:r>
      <w:proofErr w:type="spellEnd"/>
      <w:r>
        <w:t xml:space="preserve">. </w:t>
      </w:r>
      <w:proofErr w:type="spellStart"/>
      <w:r>
        <w:t>Ganirelix</w:t>
      </w:r>
      <w:proofErr w:type="spellEnd"/>
      <w:r>
        <w:t xml:space="preserve"> was recommended for listing at the same price as </w:t>
      </w:r>
      <w:proofErr w:type="spellStart"/>
      <w:r>
        <w:t>nafarelin</w:t>
      </w:r>
      <w:proofErr w:type="spellEnd"/>
      <w:r>
        <w:t xml:space="preserve"> for the treatment of endometriosis. </w:t>
      </w:r>
      <w:r w:rsidR="00251A5B">
        <w:t>For ART</w:t>
      </w:r>
      <w:r w:rsidR="00AA53BE">
        <w:t>,</w:t>
      </w:r>
      <w:r w:rsidR="00251A5B">
        <w:t xml:space="preserve"> </w:t>
      </w:r>
      <w:proofErr w:type="spellStart"/>
      <w:r w:rsidR="00251A5B">
        <w:t>nafarelin</w:t>
      </w:r>
      <w:proofErr w:type="spellEnd"/>
      <w:r w:rsidR="00251A5B">
        <w:t xml:space="preserve"> </w:t>
      </w:r>
      <w:r>
        <w:t xml:space="preserve">and </w:t>
      </w:r>
      <w:proofErr w:type="spellStart"/>
      <w:r>
        <w:t>cetrorelix</w:t>
      </w:r>
      <w:proofErr w:type="spellEnd"/>
      <w:r>
        <w:t xml:space="preserve"> </w:t>
      </w:r>
      <w:r w:rsidR="006C2044">
        <w:t xml:space="preserve">were recommended for listing on a cost-minimisation basis compared with </w:t>
      </w:r>
      <w:proofErr w:type="spellStart"/>
      <w:r w:rsidR="006C2044">
        <w:t>ganirelix</w:t>
      </w:r>
      <w:proofErr w:type="spellEnd"/>
      <w:r w:rsidR="006C2044">
        <w:t>.</w:t>
      </w:r>
    </w:p>
    <w:p w:rsidR="00A90842" w:rsidRDefault="00A90842" w:rsidP="00A90842"/>
    <w:p w:rsidR="0030596F" w:rsidRPr="00882085" w:rsidRDefault="0030596F" w:rsidP="00A90842"/>
    <w:p w:rsidR="00A90842" w:rsidRPr="006E2DD8" w:rsidRDefault="00A90842" w:rsidP="000403D8">
      <w:pPr>
        <w:pStyle w:val="Heading1"/>
      </w:pPr>
      <w:bookmarkStart w:id="9" w:name="_Toc437239494"/>
      <w:bookmarkStart w:id="10" w:name="_Toc440884955"/>
      <w:r w:rsidRPr="006E2DD8">
        <w:t>Clinical place for the proposed therapy</w:t>
      </w:r>
      <w:bookmarkEnd w:id="9"/>
      <w:bookmarkEnd w:id="10"/>
    </w:p>
    <w:p w:rsidR="00A90842" w:rsidRPr="006E2DD8" w:rsidRDefault="00A90842" w:rsidP="00C94DED">
      <w:pPr>
        <w:keepNext/>
        <w:widowControl/>
      </w:pPr>
    </w:p>
    <w:p w:rsidR="00A90842" w:rsidRPr="006E2DD8" w:rsidRDefault="00A90842" w:rsidP="000403D8">
      <w:pPr>
        <w:pStyle w:val="ListParagraph"/>
        <w:widowControl/>
        <w:numPr>
          <w:ilvl w:val="1"/>
          <w:numId w:val="1"/>
        </w:numPr>
      </w:pPr>
      <w:proofErr w:type="spellStart"/>
      <w:r w:rsidRPr="006E2DD8">
        <w:t>GnRH</w:t>
      </w:r>
      <w:proofErr w:type="spellEnd"/>
      <w:r w:rsidR="00296902">
        <w:t xml:space="preserve"> analogues are used in women undergoing ART to prevent the surge in natural LH and hence to prevent premature ovulation and allow oocyte collection. </w:t>
      </w:r>
      <w:proofErr w:type="spellStart"/>
      <w:r w:rsidR="005E45A0">
        <w:t>Nafarelin</w:t>
      </w:r>
      <w:proofErr w:type="spellEnd"/>
      <w:r w:rsidR="005E45A0">
        <w:t xml:space="preserve"> is a </w:t>
      </w:r>
      <w:proofErr w:type="spellStart"/>
      <w:r w:rsidR="005E45A0">
        <w:t>GnRH</w:t>
      </w:r>
      <w:proofErr w:type="spellEnd"/>
      <w:r w:rsidRPr="006E2DD8">
        <w:t xml:space="preserve"> agonist </w:t>
      </w:r>
      <w:r w:rsidR="005E45A0">
        <w:t xml:space="preserve">and is generally used </w:t>
      </w:r>
      <w:r w:rsidRPr="006E2DD8">
        <w:t>in a long down-regulation protocol</w:t>
      </w:r>
      <w:r w:rsidR="005E45A0">
        <w:t xml:space="preserve"> with treatment started in the mid-</w:t>
      </w:r>
      <w:r w:rsidR="006C2044">
        <w:t>luteal</w:t>
      </w:r>
      <w:r w:rsidR="005E45A0">
        <w:t xml:space="preserve"> phase (day 21-23 of the previous menstrual cycle)</w:t>
      </w:r>
      <w:r w:rsidR="008B7B11">
        <w:t>.</w:t>
      </w:r>
      <w:r w:rsidR="005E45A0">
        <w:rPr>
          <w:i/>
        </w:rPr>
        <w:t xml:space="preserve"> </w:t>
      </w:r>
      <w:proofErr w:type="spellStart"/>
      <w:r w:rsidR="005E45A0">
        <w:t>Ganirelix</w:t>
      </w:r>
      <w:proofErr w:type="spellEnd"/>
      <w:r w:rsidR="005E45A0">
        <w:t xml:space="preserve"> and </w:t>
      </w:r>
      <w:proofErr w:type="spellStart"/>
      <w:r w:rsidR="005E45A0">
        <w:t>cetrorelix</w:t>
      </w:r>
      <w:proofErr w:type="spellEnd"/>
      <w:r w:rsidR="005E45A0">
        <w:t xml:space="preserve"> are </w:t>
      </w:r>
      <w:proofErr w:type="spellStart"/>
      <w:r w:rsidR="005E45A0">
        <w:t>GnRH</w:t>
      </w:r>
      <w:proofErr w:type="spellEnd"/>
      <w:r w:rsidR="005E45A0">
        <w:t xml:space="preserve"> antagonists used in a short-down-regulation protocol with treatment started </w:t>
      </w:r>
      <w:r w:rsidR="00045EC4">
        <w:t>in the follicular phase (day 5-6 of the cycle)</w:t>
      </w:r>
      <w:r w:rsidR="005E45A0">
        <w:t>.</w:t>
      </w:r>
      <w:r w:rsidR="00052013" w:rsidRPr="005C6449">
        <w:rPr>
          <w:i/>
        </w:rPr>
        <w:t xml:space="preserve"> </w:t>
      </w:r>
    </w:p>
    <w:p w:rsidR="00A90842" w:rsidRPr="006E2DD8" w:rsidRDefault="00A90842" w:rsidP="00A90842">
      <w:pPr>
        <w:pStyle w:val="ListParagraph"/>
        <w:widowControl/>
        <w:rPr>
          <w:szCs w:val="22"/>
        </w:rPr>
      </w:pPr>
    </w:p>
    <w:p w:rsidR="00A90842" w:rsidRPr="000F3D5F" w:rsidRDefault="00A90842" w:rsidP="000403D8">
      <w:pPr>
        <w:pStyle w:val="ListParagraph"/>
        <w:widowControl/>
        <w:numPr>
          <w:ilvl w:val="1"/>
          <w:numId w:val="1"/>
        </w:numPr>
        <w:rPr>
          <w:szCs w:val="22"/>
        </w:rPr>
      </w:pPr>
      <w:proofErr w:type="spellStart"/>
      <w:r w:rsidRPr="006E2DD8">
        <w:rPr>
          <w:szCs w:val="22"/>
        </w:rPr>
        <w:t>Triptorelin</w:t>
      </w:r>
      <w:proofErr w:type="spellEnd"/>
      <w:r w:rsidRPr="006E2DD8">
        <w:rPr>
          <w:szCs w:val="22"/>
        </w:rPr>
        <w:t xml:space="preserve"> acetate </w:t>
      </w:r>
      <w:r w:rsidR="005E45A0">
        <w:rPr>
          <w:szCs w:val="22"/>
          <w:lang w:val="en-US"/>
        </w:rPr>
        <w:t>i</w:t>
      </w:r>
      <w:r w:rsidRPr="006E2DD8">
        <w:rPr>
          <w:szCs w:val="22"/>
          <w:lang w:val="en-US"/>
        </w:rPr>
        <w:t xml:space="preserve">s proposed </w:t>
      </w:r>
      <w:r w:rsidR="005E45A0">
        <w:rPr>
          <w:szCs w:val="22"/>
          <w:lang w:val="en-US"/>
        </w:rPr>
        <w:t>as</w:t>
      </w:r>
      <w:r w:rsidRPr="006E2DD8">
        <w:rPr>
          <w:szCs w:val="22"/>
          <w:lang w:val="en-US"/>
        </w:rPr>
        <w:t xml:space="preserve"> an alternative </w:t>
      </w:r>
      <w:proofErr w:type="spellStart"/>
      <w:r w:rsidR="005E45A0">
        <w:rPr>
          <w:szCs w:val="22"/>
          <w:lang w:val="en-US"/>
        </w:rPr>
        <w:t>GnRH</w:t>
      </w:r>
      <w:proofErr w:type="spellEnd"/>
      <w:r w:rsidR="005E45A0">
        <w:rPr>
          <w:szCs w:val="22"/>
          <w:lang w:val="en-US"/>
        </w:rPr>
        <w:t xml:space="preserve"> agonist</w:t>
      </w:r>
      <w:r w:rsidRPr="006E2DD8">
        <w:t>.</w:t>
      </w:r>
    </w:p>
    <w:p w:rsidR="00A90842" w:rsidRDefault="00A90842" w:rsidP="00A90842">
      <w:pPr>
        <w:pStyle w:val="Header"/>
        <w:rPr>
          <w:szCs w:val="22"/>
        </w:rPr>
      </w:pPr>
    </w:p>
    <w:p w:rsidR="0030596F" w:rsidRPr="00882085" w:rsidRDefault="0030596F" w:rsidP="00A90842">
      <w:pPr>
        <w:pStyle w:val="Header"/>
        <w:rPr>
          <w:szCs w:val="22"/>
        </w:rPr>
      </w:pPr>
    </w:p>
    <w:p w:rsidR="00A90842" w:rsidRPr="00407F2D" w:rsidRDefault="00A90842" w:rsidP="000403D8">
      <w:pPr>
        <w:pStyle w:val="Heading1"/>
        <w:rPr>
          <w:b w:val="0"/>
        </w:rPr>
      </w:pPr>
      <w:bookmarkStart w:id="11" w:name="_Toc440884956"/>
      <w:r w:rsidRPr="00407F2D">
        <w:t>Comparator</w:t>
      </w:r>
      <w:bookmarkEnd w:id="11"/>
    </w:p>
    <w:p w:rsidR="00A90842" w:rsidRPr="00AD474A" w:rsidRDefault="00A90842" w:rsidP="00A90842"/>
    <w:p w:rsidR="00A90842" w:rsidRPr="006C2044" w:rsidRDefault="00A90842" w:rsidP="000403D8">
      <w:pPr>
        <w:pStyle w:val="ListParagraph"/>
        <w:widowControl/>
        <w:numPr>
          <w:ilvl w:val="1"/>
          <w:numId w:val="1"/>
        </w:numPr>
        <w:rPr>
          <w:szCs w:val="22"/>
        </w:rPr>
      </w:pPr>
      <w:r w:rsidRPr="00AD474A">
        <w:t xml:space="preserve">The submission nominated </w:t>
      </w:r>
      <w:proofErr w:type="spellStart"/>
      <w:r w:rsidRPr="00AD474A">
        <w:t>nafarelin</w:t>
      </w:r>
      <w:proofErr w:type="spellEnd"/>
      <w:r w:rsidRPr="00AD474A">
        <w:t xml:space="preserve"> as the main comparator.</w:t>
      </w:r>
      <w:r w:rsidRPr="006C2044">
        <w:rPr>
          <w:i/>
        </w:rPr>
        <w:t xml:space="preserve"> </w:t>
      </w:r>
      <w:proofErr w:type="spellStart"/>
      <w:r w:rsidR="00296902" w:rsidRPr="006C2044">
        <w:rPr>
          <w:szCs w:val="22"/>
        </w:rPr>
        <w:t>Ganirelix</w:t>
      </w:r>
      <w:proofErr w:type="spellEnd"/>
      <w:r w:rsidR="00296902" w:rsidRPr="006C2044">
        <w:rPr>
          <w:szCs w:val="22"/>
        </w:rPr>
        <w:t xml:space="preserve"> was nominated as a secondary clinical comparator</w:t>
      </w:r>
      <w:r w:rsidR="006C2044" w:rsidRPr="006C2044">
        <w:rPr>
          <w:szCs w:val="22"/>
        </w:rPr>
        <w:t xml:space="preserve"> because </w:t>
      </w:r>
      <w:r w:rsidR="006C2044">
        <w:rPr>
          <w:szCs w:val="22"/>
        </w:rPr>
        <w:t>(</w:t>
      </w:r>
      <w:proofErr w:type="spellStart"/>
      <w:r w:rsidR="006C2044">
        <w:rPr>
          <w:szCs w:val="22"/>
        </w:rPr>
        <w:t>i</w:t>
      </w:r>
      <w:proofErr w:type="spellEnd"/>
      <w:r w:rsidR="006C2044">
        <w:rPr>
          <w:szCs w:val="22"/>
        </w:rPr>
        <w:t xml:space="preserve">) </w:t>
      </w:r>
      <w:proofErr w:type="spellStart"/>
      <w:r w:rsidR="006C2044">
        <w:rPr>
          <w:szCs w:val="22"/>
        </w:rPr>
        <w:t>nafarelin</w:t>
      </w:r>
      <w:proofErr w:type="spellEnd"/>
      <w:r w:rsidR="006C2044" w:rsidRPr="006C2044">
        <w:rPr>
          <w:szCs w:val="22"/>
        </w:rPr>
        <w:t xml:space="preserve"> was recommended for listing on a cost-minimisation basis versus </w:t>
      </w:r>
      <w:proofErr w:type="spellStart"/>
      <w:r w:rsidR="006C2044" w:rsidRPr="006C2044">
        <w:rPr>
          <w:szCs w:val="22"/>
        </w:rPr>
        <w:t>ganirelix</w:t>
      </w:r>
      <w:proofErr w:type="spellEnd"/>
      <w:r w:rsidR="006C2044" w:rsidRPr="006C2044">
        <w:rPr>
          <w:szCs w:val="22"/>
        </w:rPr>
        <w:t xml:space="preserve"> and</w:t>
      </w:r>
      <w:r w:rsidR="006C2044">
        <w:rPr>
          <w:szCs w:val="22"/>
        </w:rPr>
        <w:t xml:space="preserve"> (ii) </w:t>
      </w:r>
      <w:proofErr w:type="spellStart"/>
      <w:r w:rsidR="006C2044">
        <w:rPr>
          <w:szCs w:val="22"/>
        </w:rPr>
        <w:t>ganirelix</w:t>
      </w:r>
      <w:proofErr w:type="spellEnd"/>
      <w:r w:rsidR="006C2044" w:rsidRPr="006C2044">
        <w:rPr>
          <w:szCs w:val="22"/>
        </w:rPr>
        <w:t xml:space="preserve"> is the most commonly used </w:t>
      </w:r>
      <w:proofErr w:type="spellStart"/>
      <w:r w:rsidR="006C2044" w:rsidRPr="006C2044">
        <w:rPr>
          <w:szCs w:val="22"/>
        </w:rPr>
        <w:t>GnRH</w:t>
      </w:r>
      <w:proofErr w:type="spellEnd"/>
      <w:r w:rsidR="006C2044" w:rsidRPr="006C2044">
        <w:rPr>
          <w:szCs w:val="22"/>
        </w:rPr>
        <w:t xml:space="preserve"> analogue in Australia.</w:t>
      </w:r>
    </w:p>
    <w:p w:rsidR="0030596F" w:rsidRDefault="0030596F" w:rsidP="0030596F">
      <w:pPr>
        <w:pStyle w:val="ListParagraph"/>
        <w:ind w:left="709"/>
        <w:rPr>
          <w:i/>
          <w:szCs w:val="22"/>
        </w:rPr>
      </w:pPr>
    </w:p>
    <w:p w:rsidR="0030596F" w:rsidRDefault="0030596F" w:rsidP="0036681E">
      <w:pPr>
        <w:pStyle w:val="ListParagraph"/>
        <w:ind w:left="709"/>
        <w:rPr>
          <w:i/>
          <w:szCs w:val="22"/>
        </w:rPr>
      </w:pPr>
      <w:r w:rsidRPr="0006029E">
        <w:rPr>
          <w:i/>
          <w:szCs w:val="22"/>
        </w:rPr>
        <w:t>For more detail on PBAC’s view, see section 7 “PBAC outcome”</w:t>
      </w:r>
    </w:p>
    <w:p w:rsidR="0010307F" w:rsidRDefault="0010307F" w:rsidP="00A90842">
      <w:pPr>
        <w:pStyle w:val="PBACHeading1"/>
        <w:numPr>
          <w:ilvl w:val="0"/>
          <w:numId w:val="0"/>
        </w:numPr>
        <w:ind w:left="720" w:hanging="720"/>
      </w:pPr>
    </w:p>
    <w:p w:rsidR="0030596F" w:rsidRPr="00167ADD" w:rsidRDefault="0030596F" w:rsidP="00A90842">
      <w:pPr>
        <w:pStyle w:val="PBACHeading1"/>
        <w:numPr>
          <w:ilvl w:val="0"/>
          <w:numId w:val="0"/>
        </w:numPr>
        <w:ind w:left="720" w:hanging="720"/>
      </w:pPr>
    </w:p>
    <w:p w:rsidR="00EF2D0D" w:rsidRDefault="00A90842" w:rsidP="000403D8">
      <w:pPr>
        <w:pStyle w:val="Heading1"/>
      </w:pPr>
      <w:bookmarkStart w:id="12" w:name="_Toc437239495"/>
      <w:bookmarkStart w:id="13" w:name="_Toc440884957"/>
      <w:r>
        <w:t>C</w:t>
      </w:r>
      <w:r w:rsidRPr="00407F2D">
        <w:t>onsideration of the evidence</w:t>
      </w:r>
      <w:bookmarkEnd w:id="12"/>
      <w:bookmarkEnd w:id="13"/>
    </w:p>
    <w:p w:rsidR="005E41A4" w:rsidRPr="005E41A4" w:rsidRDefault="005E41A4" w:rsidP="005E41A4">
      <w:pPr>
        <w:pStyle w:val="PBACHeading1"/>
        <w:numPr>
          <w:ilvl w:val="0"/>
          <w:numId w:val="0"/>
        </w:numPr>
        <w:ind w:left="720"/>
      </w:pPr>
    </w:p>
    <w:p w:rsidR="00EF2D0D" w:rsidRDefault="00EF2D0D" w:rsidP="00296326">
      <w:pPr>
        <w:pStyle w:val="Heading2"/>
      </w:pPr>
      <w:r w:rsidRPr="00C94DED">
        <w:t>Sponsor hearing</w:t>
      </w:r>
    </w:p>
    <w:p w:rsidR="00455165" w:rsidRPr="00455165" w:rsidRDefault="00455165" w:rsidP="00455165"/>
    <w:p w:rsidR="00EF2D0D" w:rsidRPr="007D3A68" w:rsidRDefault="00EF2D0D" w:rsidP="000403D8">
      <w:pPr>
        <w:numPr>
          <w:ilvl w:val="1"/>
          <w:numId w:val="1"/>
        </w:numPr>
        <w:contextualSpacing/>
        <w:rPr>
          <w:bCs/>
          <w:szCs w:val="22"/>
        </w:rPr>
      </w:pPr>
      <w:r w:rsidRPr="007D3A68">
        <w:rPr>
          <w:bCs/>
          <w:szCs w:val="22"/>
        </w:rPr>
        <w:t>Ther</w:t>
      </w:r>
      <w:r w:rsidR="007D3A68" w:rsidRPr="007D3A68">
        <w:rPr>
          <w:bCs/>
          <w:szCs w:val="22"/>
        </w:rPr>
        <w:t>e was no hearing for this item.</w:t>
      </w:r>
    </w:p>
    <w:p w:rsidR="007D3A68" w:rsidRPr="007D3A68" w:rsidRDefault="007D3A68" w:rsidP="007D3A68">
      <w:pPr>
        <w:contextualSpacing/>
        <w:rPr>
          <w:bCs/>
          <w:szCs w:val="22"/>
          <w:highlight w:val="yellow"/>
        </w:rPr>
      </w:pPr>
    </w:p>
    <w:p w:rsidR="00EF2D0D" w:rsidRDefault="00EF2D0D" w:rsidP="00296326">
      <w:pPr>
        <w:pStyle w:val="Heading2"/>
      </w:pPr>
      <w:r w:rsidRPr="00C94DED">
        <w:t>Consumer comments</w:t>
      </w:r>
    </w:p>
    <w:p w:rsidR="00455165" w:rsidRPr="00455165" w:rsidRDefault="00455165" w:rsidP="00455165"/>
    <w:p w:rsidR="00EF2D0D" w:rsidRPr="00AB399A" w:rsidRDefault="00EF2D0D" w:rsidP="000403D8">
      <w:pPr>
        <w:numPr>
          <w:ilvl w:val="1"/>
          <w:numId w:val="1"/>
        </w:numPr>
        <w:contextualSpacing/>
        <w:rPr>
          <w:bCs/>
          <w:szCs w:val="22"/>
        </w:rPr>
      </w:pPr>
      <w:r w:rsidRPr="00AB399A">
        <w:rPr>
          <w:bCs/>
          <w:szCs w:val="22"/>
        </w:rPr>
        <w:t>The PBAC noted that no consumer comme</w:t>
      </w:r>
      <w:r w:rsidR="00503C60">
        <w:rPr>
          <w:bCs/>
          <w:szCs w:val="22"/>
        </w:rPr>
        <w:t>nts were received for this item</w:t>
      </w:r>
      <w:r w:rsidRPr="00AB399A">
        <w:rPr>
          <w:bCs/>
          <w:szCs w:val="22"/>
        </w:rPr>
        <w:t>.</w:t>
      </w:r>
    </w:p>
    <w:p w:rsidR="00EF2D0D" w:rsidRPr="00882085" w:rsidRDefault="00EF2D0D" w:rsidP="00A90842"/>
    <w:p w:rsidR="006B4A9A" w:rsidRDefault="006B4A9A">
      <w:pPr>
        <w:widowControl/>
        <w:jc w:val="left"/>
        <w:rPr>
          <w:b/>
          <w:i/>
        </w:rPr>
      </w:pPr>
      <w:bookmarkStart w:id="14" w:name="_Toc437239496"/>
      <w:bookmarkStart w:id="15" w:name="_Toc440884958"/>
      <w:r>
        <w:br w:type="page"/>
      </w:r>
    </w:p>
    <w:p w:rsidR="00A90842" w:rsidRPr="00296326" w:rsidRDefault="00A90842" w:rsidP="00296326">
      <w:pPr>
        <w:pStyle w:val="Heading2"/>
      </w:pPr>
      <w:r w:rsidRPr="00296326">
        <w:lastRenderedPageBreak/>
        <w:t>Clinical trials</w:t>
      </w:r>
      <w:bookmarkEnd w:id="14"/>
      <w:bookmarkEnd w:id="15"/>
    </w:p>
    <w:p w:rsidR="00A90842" w:rsidRPr="00882085" w:rsidRDefault="00A90842" w:rsidP="00A90842">
      <w:pPr>
        <w:rPr>
          <w:szCs w:val="22"/>
        </w:rPr>
      </w:pPr>
    </w:p>
    <w:p w:rsidR="0053329D" w:rsidRPr="00194CC2" w:rsidRDefault="00A90842" w:rsidP="000403D8">
      <w:pPr>
        <w:pStyle w:val="ListParagraph"/>
        <w:widowControl/>
        <w:numPr>
          <w:ilvl w:val="1"/>
          <w:numId w:val="1"/>
        </w:numPr>
        <w:rPr>
          <w:szCs w:val="22"/>
        </w:rPr>
      </w:pPr>
      <w:r w:rsidRPr="00194CC2">
        <w:rPr>
          <w:szCs w:val="22"/>
        </w:rPr>
        <w:t xml:space="preserve">The submission </w:t>
      </w:r>
      <w:r w:rsidR="005247F3" w:rsidRPr="00194CC2">
        <w:rPr>
          <w:szCs w:val="22"/>
        </w:rPr>
        <w:t>wa</w:t>
      </w:r>
      <w:r w:rsidRPr="00194CC2">
        <w:rPr>
          <w:szCs w:val="22"/>
        </w:rPr>
        <w:t xml:space="preserve">s based on an indirect comparison of </w:t>
      </w:r>
      <w:proofErr w:type="spellStart"/>
      <w:r w:rsidRPr="00194CC2">
        <w:rPr>
          <w:szCs w:val="22"/>
        </w:rPr>
        <w:t>triptorelin</w:t>
      </w:r>
      <w:proofErr w:type="spellEnd"/>
      <w:r w:rsidRPr="00194CC2">
        <w:rPr>
          <w:szCs w:val="22"/>
        </w:rPr>
        <w:t xml:space="preserve"> acetate </w:t>
      </w:r>
      <w:r w:rsidR="005247F3" w:rsidRPr="00194CC2">
        <w:rPr>
          <w:szCs w:val="22"/>
        </w:rPr>
        <w:t xml:space="preserve">and </w:t>
      </w:r>
      <w:proofErr w:type="spellStart"/>
      <w:r w:rsidRPr="00194CC2">
        <w:rPr>
          <w:szCs w:val="22"/>
        </w:rPr>
        <w:t>nafarelin</w:t>
      </w:r>
      <w:proofErr w:type="spellEnd"/>
      <w:r w:rsidRPr="00194CC2">
        <w:rPr>
          <w:szCs w:val="22"/>
        </w:rPr>
        <w:t xml:space="preserve"> using </w:t>
      </w:r>
      <w:proofErr w:type="spellStart"/>
      <w:r w:rsidRPr="00194CC2">
        <w:rPr>
          <w:szCs w:val="22"/>
        </w:rPr>
        <w:t>ganirelix</w:t>
      </w:r>
      <w:proofErr w:type="spellEnd"/>
      <w:r w:rsidRPr="00194CC2">
        <w:rPr>
          <w:szCs w:val="22"/>
        </w:rPr>
        <w:t xml:space="preserve"> as the common reference. </w:t>
      </w:r>
      <w:r w:rsidR="00194CC2" w:rsidRPr="00194CC2">
        <w:t xml:space="preserve">As part of the indirect comparison, a head-to-head comparison of </w:t>
      </w:r>
      <w:proofErr w:type="spellStart"/>
      <w:r w:rsidR="00194CC2" w:rsidRPr="00194CC2">
        <w:t>triptorelin</w:t>
      </w:r>
      <w:proofErr w:type="spellEnd"/>
      <w:r w:rsidR="00194CC2" w:rsidRPr="00194CC2">
        <w:t xml:space="preserve"> acetate and </w:t>
      </w:r>
      <w:proofErr w:type="spellStart"/>
      <w:r w:rsidR="00194CC2" w:rsidRPr="00194CC2">
        <w:t>ganirelix</w:t>
      </w:r>
      <w:proofErr w:type="spellEnd"/>
      <w:r w:rsidR="00194CC2" w:rsidRPr="00194CC2">
        <w:t xml:space="preserve"> was also presented.</w:t>
      </w:r>
      <w:r w:rsidR="0053329D" w:rsidRPr="00194CC2">
        <w:rPr>
          <w:szCs w:val="22"/>
        </w:rPr>
        <w:t xml:space="preserve"> </w:t>
      </w:r>
    </w:p>
    <w:p w:rsidR="00D66EB6" w:rsidRDefault="00D66EB6">
      <w:pPr>
        <w:widowControl/>
        <w:jc w:val="left"/>
        <w:rPr>
          <w:szCs w:val="22"/>
        </w:rPr>
      </w:pPr>
    </w:p>
    <w:p w:rsidR="00A90842" w:rsidRPr="00B50DB8" w:rsidRDefault="00A90842" w:rsidP="000403D8">
      <w:pPr>
        <w:pStyle w:val="ListParagraph"/>
        <w:widowControl/>
        <w:numPr>
          <w:ilvl w:val="1"/>
          <w:numId w:val="1"/>
        </w:numPr>
        <w:rPr>
          <w:szCs w:val="22"/>
        </w:rPr>
      </w:pPr>
      <w:r w:rsidRPr="00B50DB8">
        <w:rPr>
          <w:szCs w:val="22"/>
        </w:rPr>
        <w:t>Details of the trials presented in the submission</w:t>
      </w:r>
      <w:r w:rsidR="00A17407">
        <w:rPr>
          <w:szCs w:val="22"/>
        </w:rPr>
        <w:t xml:space="preserve"> are provided in the table</w:t>
      </w:r>
      <w:r>
        <w:rPr>
          <w:szCs w:val="22"/>
        </w:rPr>
        <w:t xml:space="preserve">. </w:t>
      </w:r>
    </w:p>
    <w:p w:rsidR="00A90842" w:rsidRPr="00862502" w:rsidRDefault="00A90842" w:rsidP="00A90842">
      <w:pPr>
        <w:widowControl/>
        <w:rPr>
          <w:szCs w:val="22"/>
        </w:rPr>
      </w:pPr>
    </w:p>
    <w:p w:rsidR="00A90842" w:rsidRDefault="009014F0" w:rsidP="00A90842">
      <w:pPr>
        <w:ind w:firstLine="720"/>
        <w:rPr>
          <w:rStyle w:val="CommentReference"/>
        </w:rPr>
      </w:pPr>
      <w:r w:rsidRPr="0053329D">
        <w:rPr>
          <w:rStyle w:val="CommentReference"/>
        </w:rPr>
        <w:t>Table 1</w:t>
      </w:r>
      <w:r w:rsidR="00A90842" w:rsidRPr="0053329D">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4680"/>
        <w:gridCol w:w="1964"/>
      </w:tblGrid>
      <w:tr w:rsidR="00A90842" w:rsidRPr="004E2ADC" w:rsidTr="009C7BAC">
        <w:trPr>
          <w:tblHeader/>
        </w:trPr>
        <w:tc>
          <w:tcPr>
            <w:tcW w:w="1019" w:type="pct"/>
          </w:tcPr>
          <w:p w:rsidR="00A90842" w:rsidRPr="004E2ADC" w:rsidRDefault="00A90842" w:rsidP="009C7BAC">
            <w:pPr>
              <w:jc w:val="left"/>
              <w:rPr>
                <w:rFonts w:ascii="Arial Narrow" w:hAnsi="Arial Narrow"/>
                <w:b/>
                <w:sz w:val="20"/>
              </w:rPr>
            </w:pPr>
            <w:r w:rsidRPr="004E2ADC">
              <w:rPr>
                <w:rFonts w:ascii="Arial Narrow" w:hAnsi="Arial Narrow"/>
                <w:b/>
                <w:sz w:val="20"/>
              </w:rPr>
              <w:t>Trial ID</w:t>
            </w:r>
            <w:r>
              <w:rPr>
                <w:rFonts w:ascii="Arial Narrow" w:hAnsi="Arial Narrow"/>
                <w:b/>
                <w:sz w:val="20"/>
              </w:rPr>
              <w:t>/First Author</w:t>
            </w:r>
          </w:p>
        </w:tc>
        <w:tc>
          <w:tcPr>
            <w:tcW w:w="2804" w:type="pct"/>
          </w:tcPr>
          <w:p w:rsidR="00A90842" w:rsidRPr="004E2ADC" w:rsidRDefault="00A90842" w:rsidP="009C7BAC">
            <w:pPr>
              <w:jc w:val="center"/>
              <w:rPr>
                <w:rFonts w:ascii="Arial Narrow" w:hAnsi="Arial Narrow"/>
                <w:b/>
                <w:sz w:val="20"/>
              </w:rPr>
            </w:pPr>
            <w:r w:rsidRPr="004E2ADC">
              <w:rPr>
                <w:rFonts w:ascii="Arial Narrow" w:hAnsi="Arial Narrow"/>
                <w:b/>
                <w:sz w:val="20"/>
              </w:rPr>
              <w:t>Protocol title/ Publication title</w:t>
            </w:r>
          </w:p>
        </w:tc>
        <w:tc>
          <w:tcPr>
            <w:tcW w:w="1177" w:type="pct"/>
          </w:tcPr>
          <w:p w:rsidR="00A90842" w:rsidRPr="004E2ADC" w:rsidRDefault="00A90842" w:rsidP="009C7BAC">
            <w:pPr>
              <w:jc w:val="center"/>
              <w:rPr>
                <w:rFonts w:ascii="Arial Narrow" w:hAnsi="Arial Narrow"/>
                <w:b/>
                <w:sz w:val="20"/>
              </w:rPr>
            </w:pPr>
            <w:r w:rsidRPr="004E2ADC">
              <w:rPr>
                <w:rFonts w:ascii="Arial Narrow" w:hAnsi="Arial Narrow"/>
                <w:b/>
                <w:sz w:val="20"/>
              </w:rPr>
              <w:t>Publication citation</w:t>
            </w:r>
          </w:p>
        </w:tc>
      </w:tr>
      <w:tr w:rsidR="00A90842" w:rsidRPr="004E2ADC" w:rsidTr="009C7BAC">
        <w:tc>
          <w:tcPr>
            <w:tcW w:w="5000" w:type="pct"/>
            <w:gridSpan w:val="3"/>
          </w:tcPr>
          <w:p w:rsidR="00A90842" w:rsidRPr="004E2ADC" w:rsidRDefault="00A90842" w:rsidP="009C7BAC">
            <w:pPr>
              <w:jc w:val="left"/>
              <w:rPr>
                <w:rFonts w:ascii="Arial Narrow" w:hAnsi="Arial Narrow"/>
                <w:b/>
                <w:sz w:val="20"/>
              </w:rPr>
            </w:pPr>
            <w:proofErr w:type="spellStart"/>
            <w:r w:rsidRPr="00FC6A17">
              <w:rPr>
                <w:rFonts w:ascii="Arial Narrow" w:hAnsi="Arial Narrow"/>
                <w:b/>
                <w:i/>
                <w:iCs/>
                <w:sz w:val="20"/>
              </w:rPr>
              <w:t>Triptorelin</w:t>
            </w:r>
            <w:proofErr w:type="spellEnd"/>
            <w:r w:rsidRPr="00FC6A17">
              <w:rPr>
                <w:rFonts w:ascii="Arial Narrow" w:hAnsi="Arial Narrow"/>
                <w:b/>
                <w:i/>
                <w:iCs/>
                <w:sz w:val="20"/>
              </w:rPr>
              <w:t xml:space="preserve"> </w:t>
            </w:r>
            <w:r>
              <w:rPr>
                <w:rFonts w:ascii="Arial Narrow" w:hAnsi="Arial Narrow"/>
                <w:b/>
                <w:i/>
                <w:iCs/>
                <w:sz w:val="20"/>
              </w:rPr>
              <w:t xml:space="preserve">acetate </w:t>
            </w:r>
            <w:r w:rsidRPr="00FC6A17">
              <w:rPr>
                <w:rFonts w:ascii="Arial Narrow" w:hAnsi="Arial Narrow"/>
                <w:b/>
                <w:i/>
                <w:iCs/>
                <w:sz w:val="20"/>
              </w:rPr>
              <w:t xml:space="preserve">vs </w:t>
            </w:r>
            <w:proofErr w:type="spellStart"/>
            <w:r w:rsidRPr="00FC6A17">
              <w:rPr>
                <w:rFonts w:ascii="Arial Narrow" w:hAnsi="Arial Narrow"/>
                <w:b/>
                <w:i/>
                <w:iCs/>
                <w:sz w:val="20"/>
              </w:rPr>
              <w:t>ganirelix</w:t>
            </w:r>
            <w:proofErr w:type="spellEnd"/>
          </w:p>
        </w:tc>
      </w:tr>
      <w:tr w:rsidR="00A90842" w:rsidRPr="004E2ADC" w:rsidTr="009C7BAC">
        <w:tc>
          <w:tcPr>
            <w:tcW w:w="1019" w:type="pct"/>
          </w:tcPr>
          <w:p w:rsidR="00A90842" w:rsidRPr="004E2ADC" w:rsidRDefault="00A90842" w:rsidP="009C7BAC">
            <w:pPr>
              <w:pStyle w:val="TableText0"/>
              <w:spacing w:before="0" w:after="0"/>
              <w:rPr>
                <w:rFonts w:cs="Arial"/>
                <w:lang w:eastAsia="en-AU"/>
              </w:rPr>
            </w:pPr>
            <w:r>
              <w:t xml:space="preserve">EMEOSG </w:t>
            </w:r>
            <w:r w:rsidRPr="00925010">
              <w:t>2001</w:t>
            </w:r>
          </w:p>
        </w:tc>
        <w:tc>
          <w:tcPr>
            <w:tcW w:w="2804" w:type="pct"/>
          </w:tcPr>
          <w:p w:rsidR="00A90842" w:rsidRPr="009C0CB3" w:rsidRDefault="00A90842" w:rsidP="009C7BAC">
            <w:pPr>
              <w:pStyle w:val="TableText0"/>
              <w:spacing w:before="0" w:after="0"/>
              <w:rPr>
                <w:rFonts w:cs="Arial"/>
                <w:highlight w:val="green"/>
                <w:lang w:eastAsia="en-AU"/>
              </w:rPr>
            </w:pPr>
            <w:r w:rsidRPr="00925010">
              <w:t>European and Mid</w:t>
            </w:r>
            <w:r>
              <w:t xml:space="preserve">dle East </w:t>
            </w:r>
            <w:proofErr w:type="spellStart"/>
            <w:r>
              <w:t>Orgalutran</w:t>
            </w:r>
            <w:proofErr w:type="spellEnd"/>
            <w:r>
              <w:t xml:space="preserve"> Study Group.</w:t>
            </w:r>
            <w:r w:rsidRPr="00925010">
              <w:t xml:space="preserve"> Comparable clinical outcome using the </w:t>
            </w:r>
            <w:proofErr w:type="spellStart"/>
            <w:r w:rsidRPr="00925010">
              <w:t>GnRH</w:t>
            </w:r>
            <w:proofErr w:type="spellEnd"/>
            <w:r w:rsidRPr="00925010">
              <w:t xml:space="preserve"> antagonist </w:t>
            </w:r>
            <w:proofErr w:type="spellStart"/>
            <w:r w:rsidRPr="00925010">
              <w:t>ganirelix</w:t>
            </w:r>
            <w:proofErr w:type="spellEnd"/>
            <w:r w:rsidRPr="00925010">
              <w:t xml:space="preserve"> or a long protocol of the </w:t>
            </w:r>
            <w:proofErr w:type="spellStart"/>
            <w:r w:rsidRPr="00925010">
              <w:t>GnRH</w:t>
            </w:r>
            <w:proofErr w:type="spellEnd"/>
            <w:r w:rsidRPr="00925010">
              <w:t xml:space="preserve"> agonist </w:t>
            </w:r>
            <w:proofErr w:type="spellStart"/>
            <w:r w:rsidRPr="00925010">
              <w:t>triptorelin</w:t>
            </w:r>
            <w:proofErr w:type="spellEnd"/>
            <w:r w:rsidRPr="00925010">
              <w:t xml:space="preserve"> for the prevention of premature LH surges in women undergoing ovarian stimulatio</w:t>
            </w:r>
            <w:r>
              <w:t xml:space="preserve">n. </w:t>
            </w:r>
          </w:p>
        </w:tc>
        <w:tc>
          <w:tcPr>
            <w:tcW w:w="1177" w:type="pct"/>
          </w:tcPr>
          <w:p w:rsidR="00A90842" w:rsidRPr="004E2ADC" w:rsidRDefault="00A90842" w:rsidP="009C7BAC">
            <w:pPr>
              <w:pStyle w:val="TableText0"/>
              <w:spacing w:before="0" w:after="0"/>
              <w:rPr>
                <w:rFonts w:cs="Arial"/>
                <w:lang w:eastAsia="en-AU"/>
              </w:rPr>
            </w:pPr>
            <w:r>
              <w:t>Human Reproduction. 2001; 16</w:t>
            </w:r>
            <w:r w:rsidRPr="00925010">
              <w:t>(4): 644-651</w:t>
            </w:r>
          </w:p>
        </w:tc>
      </w:tr>
      <w:tr w:rsidR="00A90842" w:rsidRPr="004E2ADC" w:rsidTr="009C7BAC">
        <w:tc>
          <w:tcPr>
            <w:tcW w:w="5000" w:type="pct"/>
            <w:gridSpan w:val="3"/>
          </w:tcPr>
          <w:p w:rsidR="00A90842" w:rsidRPr="004E2ADC" w:rsidRDefault="00A90842" w:rsidP="009C7BAC">
            <w:pPr>
              <w:jc w:val="left"/>
              <w:rPr>
                <w:rFonts w:ascii="Arial Narrow" w:hAnsi="Arial Narrow"/>
                <w:b/>
                <w:sz w:val="20"/>
              </w:rPr>
            </w:pPr>
            <w:proofErr w:type="spellStart"/>
            <w:r w:rsidRPr="00FC6A17">
              <w:rPr>
                <w:rFonts w:ascii="Arial Narrow" w:hAnsi="Arial Narrow"/>
                <w:b/>
                <w:i/>
                <w:iCs/>
                <w:sz w:val="20"/>
              </w:rPr>
              <w:t>Nafarelin</w:t>
            </w:r>
            <w:proofErr w:type="spellEnd"/>
            <w:r w:rsidRPr="00FC6A17">
              <w:rPr>
                <w:rFonts w:ascii="Arial Narrow" w:hAnsi="Arial Narrow"/>
                <w:b/>
                <w:i/>
                <w:iCs/>
                <w:sz w:val="20"/>
              </w:rPr>
              <w:t xml:space="preserve"> vs </w:t>
            </w:r>
            <w:proofErr w:type="spellStart"/>
            <w:r w:rsidRPr="00FC6A17">
              <w:rPr>
                <w:rFonts w:ascii="Arial Narrow" w:hAnsi="Arial Narrow"/>
                <w:b/>
                <w:i/>
                <w:iCs/>
                <w:sz w:val="20"/>
              </w:rPr>
              <w:t>ganirelix</w:t>
            </w:r>
            <w:proofErr w:type="spellEnd"/>
          </w:p>
        </w:tc>
      </w:tr>
      <w:tr w:rsidR="00A90842" w:rsidRPr="004E2ADC" w:rsidTr="009C7BAC">
        <w:tc>
          <w:tcPr>
            <w:tcW w:w="1019" w:type="pct"/>
          </w:tcPr>
          <w:p w:rsidR="00A90842" w:rsidRPr="004E2ADC" w:rsidRDefault="00A90842" w:rsidP="009C7BAC">
            <w:pPr>
              <w:pStyle w:val="TableText0"/>
              <w:spacing w:before="0" w:after="0"/>
              <w:rPr>
                <w:rFonts w:cs="Arial"/>
                <w:lang w:eastAsia="en-AU"/>
              </w:rPr>
            </w:pPr>
            <w:proofErr w:type="spellStart"/>
            <w:r>
              <w:rPr>
                <w:rFonts w:cs="Arial"/>
                <w:lang w:eastAsia="en-AU"/>
              </w:rPr>
              <w:t>Rombauts</w:t>
            </w:r>
            <w:proofErr w:type="spellEnd"/>
            <w:r>
              <w:rPr>
                <w:rFonts w:cs="Arial"/>
                <w:lang w:eastAsia="en-AU"/>
              </w:rPr>
              <w:t xml:space="preserve"> 2006</w:t>
            </w:r>
          </w:p>
        </w:tc>
        <w:tc>
          <w:tcPr>
            <w:tcW w:w="2804" w:type="pct"/>
          </w:tcPr>
          <w:p w:rsidR="00A90842" w:rsidRPr="009C0CB3" w:rsidRDefault="00A90842" w:rsidP="009C7BAC">
            <w:pPr>
              <w:pStyle w:val="TableText0"/>
              <w:spacing w:before="0" w:after="0"/>
              <w:rPr>
                <w:rFonts w:cs="Arial"/>
                <w:highlight w:val="green"/>
                <w:lang w:eastAsia="en-AU"/>
              </w:rPr>
            </w:pPr>
            <w:proofErr w:type="spellStart"/>
            <w:r w:rsidRPr="0068452E">
              <w:rPr>
                <w:rFonts w:cs="Arial"/>
                <w:lang w:eastAsia="en-AU"/>
              </w:rPr>
              <w:t>Rombauts</w:t>
            </w:r>
            <w:proofErr w:type="spellEnd"/>
            <w:r w:rsidRPr="0068452E">
              <w:rPr>
                <w:rFonts w:cs="Arial"/>
                <w:lang w:eastAsia="en-AU"/>
              </w:rPr>
              <w:t xml:space="preserve">, L., D. Healy, R. J. Norman, A. </w:t>
            </w:r>
            <w:proofErr w:type="spellStart"/>
            <w:r w:rsidRPr="0068452E">
              <w:rPr>
                <w:rFonts w:cs="Arial"/>
                <w:lang w:eastAsia="en-AU"/>
              </w:rPr>
              <w:t>Speirs</w:t>
            </w:r>
            <w:proofErr w:type="spellEnd"/>
            <w:r w:rsidRPr="0068452E">
              <w:rPr>
                <w:rFonts w:cs="Arial"/>
                <w:lang w:eastAsia="en-AU"/>
              </w:rPr>
              <w:t xml:space="preserve">, B. Watkins, J. </w:t>
            </w:r>
            <w:proofErr w:type="spellStart"/>
            <w:r w:rsidRPr="0068452E">
              <w:rPr>
                <w:rFonts w:cs="Arial"/>
                <w:lang w:eastAsia="en-AU"/>
              </w:rPr>
              <w:t>Yovich</w:t>
            </w:r>
            <w:proofErr w:type="spellEnd"/>
            <w:r w:rsidRPr="0068452E">
              <w:rPr>
                <w:rFonts w:cs="Arial"/>
                <w:lang w:eastAsia="en-AU"/>
              </w:rPr>
              <w:t xml:space="preserve">, R. Norman, M. Bowman, G. Driscoll, S. </w:t>
            </w:r>
            <w:proofErr w:type="spellStart"/>
            <w:r w:rsidRPr="0068452E">
              <w:rPr>
                <w:rFonts w:cs="Arial"/>
                <w:lang w:eastAsia="en-AU"/>
              </w:rPr>
              <w:t>Lindenberg</w:t>
            </w:r>
            <w:proofErr w:type="spellEnd"/>
            <w:r w:rsidRPr="0068452E">
              <w:rPr>
                <w:rFonts w:cs="Arial"/>
                <w:lang w:eastAsia="en-AU"/>
              </w:rPr>
              <w:t xml:space="preserve">, Z. </w:t>
            </w:r>
            <w:proofErr w:type="spellStart"/>
            <w:r w:rsidRPr="0068452E">
              <w:rPr>
                <w:rFonts w:cs="Arial"/>
                <w:lang w:eastAsia="en-AU"/>
              </w:rPr>
              <w:t>Kilani</w:t>
            </w:r>
            <w:proofErr w:type="spellEnd"/>
            <w:r w:rsidRPr="0068452E">
              <w:rPr>
                <w:rFonts w:cs="Arial"/>
                <w:lang w:eastAsia="en-AU"/>
              </w:rPr>
              <w:t xml:space="preserve">, P. O. Dale, B. J. </w:t>
            </w:r>
            <w:proofErr w:type="spellStart"/>
            <w:r w:rsidRPr="0068452E">
              <w:rPr>
                <w:rFonts w:cs="Arial"/>
                <w:lang w:eastAsia="en-AU"/>
              </w:rPr>
              <w:t>Oddens</w:t>
            </w:r>
            <w:proofErr w:type="spellEnd"/>
            <w:r w:rsidRPr="0068452E">
              <w:rPr>
                <w:rFonts w:cs="Arial"/>
                <w:lang w:eastAsia="en-AU"/>
              </w:rPr>
              <w:t xml:space="preserve">, H. G. van </w:t>
            </w:r>
            <w:proofErr w:type="spellStart"/>
            <w:r w:rsidRPr="0068452E">
              <w:rPr>
                <w:rFonts w:cs="Arial"/>
                <w:lang w:eastAsia="en-AU"/>
              </w:rPr>
              <w:t>Hooren</w:t>
            </w:r>
            <w:proofErr w:type="spellEnd"/>
            <w:r w:rsidRPr="0068452E">
              <w:rPr>
                <w:rFonts w:cs="Arial"/>
                <w:lang w:eastAsia="en-AU"/>
              </w:rPr>
              <w:t xml:space="preserve"> and B. M. J. L. </w:t>
            </w:r>
            <w:proofErr w:type="spellStart"/>
            <w:r w:rsidRPr="0068452E">
              <w:rPr>
                <w:rFonts w:cs="Arial"/>
                <w:lang w:eastAsia="en-AU"/>
              </w:rPr>
              <w:t>Mannaert</w:t>
            </w:r>
            <w:proofErr w:type="spellEnd"/>
            <w:r>
              <w:rPr>
                <w:rFonts w:cs="Arial"/>
                <w:lang w:eastAsia="en-AU"/>
              </w:rPr>
              <w:t xml:space="preserve">. </w:t>
            </w:r>
            <w:r w:rsidRPr="0068452E">
              <w:rPr>
                <w:rFonts w:cs="Arial"/>
                <w:lang w:eastAsia="en-AU"/>
              </w:rPr>
              <w:t xml:space="preserve">A comparative randomised trial to assess the impact of oral contraceptive pre-treatment on follicular growth and hormone profiles in </w:t>
            </w:r>
            <w:proofErr w:type="spellStart"/>
            <w:r w:rsidRPr="0068452E">
              <w:rPr>
                <w:rFonts w:cs="Arial"/>
                <w:lang w:eastAsia="en-AU"/>
              </w:rPr>
              <w:t>GnRH</w:t>
            </w:r>
            <w:proofErr w:type="spellEnd"/>
            <w:r w:rsidRPr="0068452E">
              <w:rPr>
                <w:rFonts w:cs="Arial"/>
                <w:lang w:eastAsia="en-AU"/>
              </w:rPr>
              <w:t xml:space="preserve"> antagonist-treated patient</w:t>
            </w:r>
            <w:r>
              <w:rPr>
                <w:rFonts w:cs="Arial"/>
                <w:lang w:eastAsia="en-AU"/>
              </w:rPr>
              <w:t xml:space="preserve">s. </w:t>
            </w:r>
          </w:p>
        </w:tc>
        <w:tc>
          <w:tcPr>
            <w:tcW w:w="1177" w:type="pct"/>
          </w:tcPr>
          <w:p w:rsidR="00A90842" w:rsidRPr="004E2ADC" w:rsidRDefault="00A90842" w:rsidP="009C7BAC">
            <w:pPr>
              <w:pStyle w:val="TableText0"/>
              <w:spacing w:before="0" w:after="0"/>
              <w:rPr>
                <w:rFonts w:cs="Arial"/>
                <w:lang w:eastAsia="en-AU"/>
              </w:rPr>
            </w:pPr>
            <w:r>
              <w:rPr>
                <w:rFonts w:cs="Arial"/>
                <w:lang w:eastAsia="en-AU"/>
              </w:rPr>
              <w:t>Human Reproduction. 2006; 21</w:t>
            </w:r>
            <w:r w:rsidRPr="0068452E">
              <w:rPr>
                <w:rFonts w:cs="Arial"/>
                <w:lang w:eastAsia="en-AU"/>
              </w:rPr>
              <w:t>(1): 95-103</w:t>
            </w:r>
          </w:p>
        </w:tc>
      </w:tr>
    </w:tbl>
    <w:p w:rsidR="00A90842" w:rsidRPr="00862502" w:rsidRDefault="009014F0" w:rsidP="00A90842">
      <w:pPr>
        <w:pStyle w:val="TableFooter"/>
        <w:ind w:firstLine="720"/>
        <w:rPr>
          <w:szCs w:val="22"/>
        </w:rPr>
      </w:pPr>
      <w:r w:rsidRPr="009014F0">
        <w:t>Source: Table B-4 p25 of the submission.</w:t>
      </w:r>
    </w:p>
    <w:p w:rsidR="00A90842" w:rsidRPr="008F120A" w:rsidRDefault="00A90842" w:rsidP="00A90842">
      <w:pPr>
        <w:widowControl/>
        <w:rPr>
          <w:szCs w:val="22"/>
        </w:rPr>
      </w:pPr>
    </w:p>
    <w:p w:rsidR="00A90842" w:rsidRDefault="00A90842" w:rsidP="000403D8">
      <w:pPr>
        <w:pStyle w:val="ListParagraph"/>
        <w:widowControl/>
        <w:numPr>
          <w:ilvl w:val="1"/>
          <w:numId w:val="1"/>
        </w:numPr>
      </w:pPr>
      <w:r w:rsidRPr="009A280B">
        <w:rPr>
          <w:szCs w:val="22"/>
        </w:rPr>
        <w:t xml:space="preserve">The key features of the randomised trials are summarised in the table below. </w:t>
      </w:r>
    </w:p>
    <w:p w:rsidR="00A90842" w:rsidRPr="00E22A0D" w:rsidRDefault="00A90842" w:rsidP="00A90842"/>
    <w:p w:rsidR="00A90842" w:rsidRDefault="00A90842" w:rsidP="00A90842">
      <w:pPr>
        <w:ind w:firstLine="720"/>
        <w:rPr>
          <w:rStyle w:val="CommentReference"/>
        </w:rPr>
      </w:pPr>
      <w:r w:rsidRPr="009F59A6">
        <w:rPr>
          <w:rStyle w:val="CommentReference"/>
        </w:rPr>
        <w:t xml:space="preserve">Table </w:t>
      </w:r>
      <w:r w:rsidR="009F59A6" w:rsidRPr="009F59A6">
        <w:rPr>
          <w:rStyle w:val="CommentReference"/>
        </w:rPr>
        <w:t>2</w:t>
      </w:r>
      <w:r w:rsidRPr="009F59A6">
        <w:rPr>
          <w:rStyle w:val="CommentReference"/>
        </w:rPr>
        <w:t>: Key features of</w:t>
      </w:r>
      <w:r w:rsidRPr="00A13948">
        <w:rPr>
          <w:rStyle w:val="CommentReference"/>
        </w:rPr>
        <w:t xml:space="preserve"> the included evidence – indirect comparison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6"/>
        <w:gridCol w:w="614"/>
        <w:gridCol w:w="1557"/>
        <w:gridCol w:w="850"/>
        <w:gridCol w:w="1559"/>
        <w:gridCol w:w="2977"/>
      </w:tblGrid>
      <w:tr w:rsidR="00812102" w:rsidRPr="00E2771E" w:rsidTr="00812102">
        <w:trPr>
          <w:tblHeader/>
        </w:trPr>
        <w:tc>
          <w:tcPr>
            <w:tcW w:w="482" w:type="pct"/>
            <w:shd w:val="clear" w:color="auto" w:fill="auto"/>
            <w:vAlign w:val="center"/>
          </w:tcPr>
          <w:p w:rsidR="00812102" w:rsidRPr="00E2771E" w:rsidRDefault="00812102" w:rsidP="009C7BAC">
            <w:pPr>
              <w:jc w:val="left"/>
              <w:rPr>
                <w:rFonts w:ascii="Arial Narrow" w:hAnsi="Arial Narrow"/>
                <w:b/>
                <w:sz w:val="20"/>
                <w:szCs w:val="16"/>
                <w:lang w:val="en-US"/>
              </w:rPr>
            </w:pPr>
            <w:r w:rsidRPr="00E2771E">
              <w:rPr>
                <w:rFonts w:ascii="Arial Narrow" w:hAnsi="Arial Narrow"/>
                <w:b/>
                <w:sz w:val="20"/>
                <w:szCs w:val="16"/>
                <w:lang w:val="en-US"/>
              </w:rPr>
              <w:t>Trial</w:t>
            </w:r>
          </w:p>
        </w:tc>
        <w:tc>
          <w:tcPr>
            <w:tcW w:w="367" w:type="pct"/>
            <w:shd w:val="clear" w:color="auto" w:fill="auto"/>
            <w:vAlign w:val="center"/>
          </w:tcPr>
          <w:p w:rsidR="00812102" w:rsidRPr="00E2771E" w:rsidRDefault="00812102" w:rsidP="009C7BAC">
            <w:pPr>
              <w:jc w:val="center"/>
              <w:rPr>
                <w:rFonts w:ascii="Arial Narrow" w:hAnsi="Arial Narrow"/>
                <w:b/>
                <w:sz w:val="20"/>
                <w:szCs w:val="16"/>
                <w:lang w:val="en-US"/>
              </w:rPr>
            </w:pPr>
            <w:r w:rsidRPr="00E2771E">
              <w:rPr>
                <w:rFonts w:ascii="Arial Narrow" w:hAnsi="Arial Narrow"/>
                <w:b/>
                <w:sz w:val="20"/>
                <w:szCs w:val="16"/>
                <w:lang w:val="en-US"/>
              </w:rPr>
              <w:t>N</w:t>
            </w:r>
          </w:p>
        </w:tc>
        <w:tc>
          <w:tcPr>
            <w:tcW w:w="931" w:type="pct"/>
            <w:shd w:val="clear" w:color="auto" w:fill="auto"/>
            <w:vAlign w:val="center"/>
          </w:tcPr>
          <w:p w:rsidR="00812102" w:rsidRPr="00E2771E" w:rsidRDefault="00812102" w:rsidP="009C7BAC">
            <w:pPr>
              <w:jc w:val="center"/>
              <w:rPr>
                <w:rFonts w:ascii="Arial Narrow" w:hAnsi="Arial Narrow"/>
                <w:b/>
                <w:sz w:val="20"/>
                <w:szCs w:val="16"/>
                <w:lang w:val="en-US"/>
              </w:rPr>
            </w:pPr>
            <w:r w:rsidRPr="00E2771E">
              <w:rPr>
                <w:rFonts w:ascii="Arial Narrow" w:hAnsi="Arial Narrow"/>
                <w:b/>
                <w:sz w:val="20"/>
                <w:szCs w:val="16"/>
                <w:lang w:val="en-US"/>
              </w:rPr>
              <w:t>Design/ duration</w:t>
            </w:r>
          </w:p>
        </w:tc>
        <w:tc>
          <w:tcPr>
            <w:tcW w:w="508" w:type="pct"/>
            <w:shd w:val="clear" w:color="auto" w:fill="auto"/>
            <w:vAlign w:val="center"/>
          </w:tcPr>
          <w:p w:rsidR="00812102" w:rsidRPr="00E2771E" w:rsidRDefault="00812102" w:rsidP="009C7BAC">
            <w:pPr>
              <w:jc w:val="center"/>
              <w:rPr>
                <w:rFonts w:ascii="Arial Narrow" w:hAnsi="Arial Narrow"/>
                <w:b/>
                <w:sz w:val="20"/>
                <w:szCs w:val="16"/>
                <w:lang w:val="en-US"/>
              </w:rPr>
            </w:pPr>
            <w:r w:rsidRPr="00E2771E">
              <w:rPr>
                <w:rFonts w:ascii="Arial Narrow" w:hAnsi="Arial Narrow"/>
                <w:b/>
                <w:sz w:val="20"/>
                <w:szCs w:val="16"/>
                <w:lang w:val="en-US"/>
              </w:rPr>
              <w:t>Risk of bias</w:t>
            </w:r>
          </w:p>
        </w:tc>
        <w:tc>
          <w:tcPr>
            <w:tcW w:w="932" w:type="pct"/>
            <w:shd w:val="clear" w:color="auto" w:fill="auto"/>
            <w:vAlign w:val="center"/>
          </w:tcPr>
          <w:p w:rsidR="00812102" w:rsidRPr="00E2771E" w:rsidRDefault="00812102" w:rsidP="009C7BAC">
            <w:pPr>
              <w:jc w:val="center"/>
              <w:rPr>
                <w:rFonts w:ascii="Arial Narrow" w:hAnsi="Arial Narrow"/>
                <w:b/>
                <w:sz w:val="20"/>
                <w:szCs w:val="16"/>
                <w:lang w:val="en-US"/>
              </w:rPr>
            </w:pPr>
            <w:r w:rsidRPr="00E2771E">
              <w:rPr>
                <w:rFonts w:ascii="Arial Narrow" w:hAnsi="Arial Narrow"/>
                <w:b/>
                <w:sz w:val="20"/>
                <w:szCs w:val="16"/>
                <w:lang w:val="en-US"/>
              </w:rPr>
              <w:t>Patient population</w:t>
            </w:r>
          </w:p>
        </w:tc>
        <w:tc>
          <w:tcPr>
            <w:tcW w:w="1780" w:type="pct"/>
            <w:shd w:val="clear" w:color="auto" w:fill="auto"/>
            <w:vAlign w:val="center"/>
          </w:tcPr>
          <w:p w:rsidR="00812102" w:rsidRPr="00E2771E" w:rsidRDefault="00812102" w:rsidP="009C7BAC">
            <w:pPr>
              <w:jc w:val="center"/>
              <w:rPr>
                <w:rFonts w:ascii="Arial Narrow" w:hAnsi="Arial Narrow"/>
                <w:b/>
                <w:sz w:val="20"/>
                <w:szCs w:val="16"/>
                <w:lang w:val="en-US"/>
              </w:rPr>
            </w:pPr>
            <w:r w:rsidRPr="00E2771E">
              <w:rPr>
                <w:rFonts w:ascii="Arial Narrow" w:hAnsi="Arial Narrow"/>
                <w:b/>
                <w:sz w:val="20"/>
                <w:szCs w:val="16"/>
                <w:lang w:val="en-US"/>
              </w:rPr>
              <w:t>Outcome(s)</w:t>
            </w:r>
          </w:p>
        </w:tc>
      </w:tr>
      <w:tr w:rsidR="00812102" w:rsidRPr="00E2771E" w:rsidTr="00812102">
        <w:tc>
          <w:tcPr>
            <w:tcW w:w="5000" w:type="pct"/>
            <w:gridSpan w:val="6"/>
            <w:shd w:val="clear" w:color="auto" w:fill="auto"/>
            <w:vAlign w:val="center"/>
          </w:tcPr>
          <w:p w:rsidR="00812102" w:rsidRPr="00E2771E" w:rsidRDefault="00812102" w:rsidP="009C7BAC">
            <w:pPr>
              <w:jc w:val="left"/>
              <w:rPr>
                <w:rFonts w:ascii="Arial Narrow" w:hAnsi="Arial Narrow"/>
                <w:b/>
                <w:sz w:val="20"/>
                <w:szCs w:val="16"/>
                <w:lang w:val="en-US"/>
              </w:rPr>
            </w:pPr>
            <w:proofErr w:type="spellStart"/>
            <w:r w:rsidRPr="00FC6A17">
              <w:rPr>
                <w:rFonts w:ascii="Arial Narrow" w:hAnsi="Arial Narrow"/>
                <w:b/>
                <w:i/>
                <w:iCs/>
                <w:sz w:val="20"/>
              </w:rPr>
              <w:t>Triptorelin</w:t>
            </w:r>
            <w:proofErr w:type="spellEnd"/>
            <w:r w:rsidRPr="00FC6A17">
              <w:rPr>
                <w:rFonts w:ascii="Arial Narrow" w:hAnsi="Arial Narrow"/>
                <w:b/>
                <w:i/>
                <w:iCs/>
                <w:sz w:val="20"/>
              </w:rPr>
              <w:t xml:space="preserve"> </w:t>
            </w:r>
            <w:r>
              <w:rPr>
                <w:rFonts w:ascii="Arial Narrow" w:hAnsi="Arial Narrow"/>
                <w:b/>
                <w:i/>
                <w:iCs/>
                <w:sz w:val="20"/>
              </w:rPr>
              <w:t xml:space="preserve">acetate </w:t>
            </w:r>
            <w:r w:rsidRPr="00FC6A17">
              <w:rPr>
                <w:rFonts w:ascii="Arial Narrow" w:hAnsi="Arial Narrow"/>
                <w:b/>
                <w:i/>
                <w:iCs/>
                <w:sz w:val="20"/>
              </w:rPr>
              <w:t xml:space="preserve">vs </w:t>
            </w:r>
            <w:proofErr w:type="spellStart"/>
            <w:r w:rsidRPr="00FC6A17">
              <w:rPr>
                <w:rFonts w:ascii="Arial Narrow" w:hAnsi="Arial Narrow"/>
                <w:b/>
                <w:i/>
                <w:iCs/>
                <w:sz w:val="20"/>
              </w:rPr>
              <w:t>ganirelix</w:t>
            </w:r>
            <w:proofErr w:type="spellEnd"/>
          </w:p>
        </w:tc>
      </w:tr>
      <w:tr w:rsidR="00812102" w:rsidRPr="00E2771E" w:rsidTr="00812102">
        <w:tc>
          <w:tcPr>
            <w:tcW w:w="482" w:type="pct"/>
            <w:shd w:val="clear" w:color="auto" w:fill="auto"/>
            <w:vAlign w:val="center"/>
          </w:tcPr>
          <w:p w:rsidR="00812102" w:rsidRPr="00E2771E" w:rsidRDefault="00812102" w:rsidP="009C7BAC">
            <w:pPr>
              <w:jc w:val="left"/>
              <w:rPr>
                <w:rFonts w:ascii="Arial Narrow" w:hAnsi="Arial Narrow"/>
                <w:sz w:val="20"/>
                <w:lang w:val="en-US"/>
              </w:rPr>
            </w:pPr>
            <w:r w:rsidRPr="00435FBA">
              <w:rPr>
                <w:rFonts w:ascii="Arial Narrow" w:hAnsi="Arial Narrow"/>
                <w:sz w:val="20"/>
              </w:rPr>
              <w:t>EMEOSG 2001</w:t>
            </w:r>
          </w:p>
        </w:tc>
        <w:tc>
          <w:tcPr>
            <w:tcW w:w="367" w:type="pct"/>
            <w:shd w:val="clear" w:color="auto" w:fill="auto"/>
            <w:vAlign w:val="center"/>
          </w:tcPr>
          <w:p w:rsidR="00812102" w:rsidRPr="00E2771E" w:rsidRDefault="00812102" w:rsidP="009C7BAC">
            <w:pPr>
              <w:jc w:val="center"/>
              <w:rPr>
                <w:rFonts w:ascii="Arial Narrow" w:hAnsi="Arial Narrow"/>
                <w:sz w:val="20"/>
                <w:lang w:val="en-US"/>
              </w:rPr>
            </w:pPr>
            <w:r>
              <w:rPr>
                <w:rFonts w:ascii="Arial Narrow" w:hAnsi="Arial Narrow"/>
                <w:sz w:val="20"/>
                <w:lang w:val="en-US"/>
              </w:rPr>
              <w:t>337</w:t>
            </w:r>
          </w:p>
        </w:tc>
        <w:tc>
          <w:tcPr>
            <w:tcW w:w="931" w:type="pct"/>
            <w:shd w:val="clear" w:color="auto" w:fill="auto"/>
            <w:vAlign w:val="center"/>
          </w:tcPr>
          <w:p w:rsidR="00812102" w:rsidRPr="00E2771E" w:rsidRDefault="00812102" w:rsidP="009C7BAC">
            <w:pPr>
              <w:jc w:val="center"/>
              <w:rPr>
                <w:rFonts w:ascii="Arial Narrow" w:hAnsi="Arial Narrow"/>
                <w:sz w:val="20"/>
                <w:lang w:val="en-US"/>
              </w:rPr>
            </w:pPr>
            <w:r w:rsidRPr="00E2771E">
              <w:rPr>
                <w:rFonts w:ascii="Arial Narrow" w:hAnsi="Arial Narrow"/>
                <w:sz w:val="20"/>
                <w:lang w:val="en-US"/>
              </w:rPr>
              <w:t xml:space="preserve">R, </w:t>
            </w:r>
            <w:r>
              <w:rPr>
                <w:rFonts w:ascii="Arial Narrow" w:hAnsi="Arial Narrow"/>
                <w:sz w:val="20"/>
                <w:lang w:val="en-US"/>
              </w:rPr>
              <w:t>OL,</w:t>
            </w:r>
          </w:p>
          <w:p w:rsidR="00812102" w:rsidRPr="00E2771E" w:rsidRDefault="00812102" w:rsidP="009C7BAC">
            <w:pPr>
              <w:jc w:val="center"/>
              <w:rPr>
                <w:rFonts w:ascii="Arial Narrow" w:hAnsi="Arial Narrow"/>
                <w:sz w:val="20"/>
                <w:lang w:val="en-US"/>
              </w:rPr>
            </w:pPr>
            <w:r w:rsidRPr="000606D1">
              <w:rPr>
                <w:rFonts w:ascii="Arial Narrow" w:hAnsi="Arial Narrow"/>
                <w:sz w:val="20"/>
              </w:rPr>
              <w:t xml:space="preserve">≥12-16 weeks after </w:t>
            </w:r>
            <w:r>
              <w:rPr>
                <w:rFonts w:ascii="Arial Narrow" w:hAnsi="Arial Narrow"/>
                <w:sz w:val="20"/>
              </w:rPr>
              <w:t>embryo transfer</w:t>
            </w:r>
          </w:p>
        </w:tc>
        <w:tc>
          <w:tcPr>
            <w:tcW w:w="508" w:type="pct"/>
            <w:shd w:val="clear" w:color="auto" w:fill="auto"/>
            <w:vAlign w:val="center"/>
          </w:tcPr>
          <w:p w:rsidR="00812102" w:rsidRPr="00E2771E" w:rsidRDefault="00812102" w:rsidP="009C7BAC">
            <w:pPr>
              <w:jc w:val="center"/>
              <w:rPr>
                <w:rFonts w:ascii="Arial Narrow" w:hAnsi="Arial Narrow"/>
                <w:sz w:val="20"/>
                <w:lang w:val="en-US"/>
              </w:rPr>
            </w:pPr>
            <w:r w:rsidRPr="00E2771E">
              <w:rPr>
                <w:rFonts w:ascii="Arial Narrow" w:hAnsi="Arial Narrow"/>
                <w:sz w:val="20"/>
                <w:lang w:val="en-US"/>
              </w:rPr>
              <w:t>Low</w:t>
            </w:r>
          </w:p>
        </w:tc>
        <w:tc>
          <w:tcPr>
            <w:tcW w:w="932" w:type="pct"/>
            <w:shd w:val="clear" w:color="auto" w:fill="auto"/>
            <w:vAlign w:val="center"/>
          </w:tcPr>
          <w:p w:rsidR="00812102" w:rsidRPr="00E2771E" w:rsidRDefault="00812102" w:rsidP="009C7BAC">
            <w:pPr>
              <w:jc w:val="center"/>
              <w:rPr>
                <w:rFonts w:ascii="Arial Narrow" w:hAnsi="Arial Narrow"/>
                <w:sz w:val="20"/>
                <w:lang w:val="en-US"/>
              </w:rPr>
            </w:pPr>
            <w:r>
              <w:rPr>
                <w:rFonts w:ascii="Arial Narrow" w:hAnsi="Arial Narrow"/>
                <w:sz w:val="20"/>
                <w:lang w:val="en-US"/>
              </w:rPr>
              <w:t>Females of infertile couples undergoing IVF treatment</w:t>
            </w:r>
          </w:p>
        </w:tc>
        <w:tc>
          <w:tcPr>
            <w:tcW w:w="1780" w:type="pct"/>
            <w:shd w:val="clear" w:color="auto" w:fill="auto"/>
            <w:vAlign w:val="center"/>
          </w:tcPr>
          <w:p w:rsidR="00812102" w:rsidRPr="00E2771E" w:rsidRDefault="00812102" w:rsidP="009C7BAC">
            <w:pPr>
              <w:jc w:val="center"/>
              <w:rPr>
                <w:rFonts w:ascii="Arial Narrow" w:hAnsi="Arial Narrow"/>
                <w:sz w:val="20"/>
                <w:lang w:val="en-US"/>
              </w:rPr>
            </w:pPr>
            <w:r>
              <w:rPr>
                <w:rFonts w:ascii="Arial Narrow" w:hAnsi="Arial Narrow"/>
                <w:sz w:val="20"/>
                <w:lang w:val="en-US"/>
              </w:rPr>
              <w:t>No. of oocytes retrieved, No.</w:t>
            </w:r>
            <w:r w:rsidRPr="00FF1386">
              <w:rPr>
                <w:rFonts w:ascii="Arial Narrow" w:hAnsi="Arial Narrow"/>
                <w:sz w:val="20"/>
                <w:lang w:val="en-US"/>
              </w:rPr>
              <w:t xml:space="preserve"> of good q</w:t>
            </w:r>
            <w:r>
              <w:rPr>
                <w:rFonts w:ascii="Arial Narrow" w:hAnsi="Arial Narrow"/>
                <w:sz w:val="20"/>
                <w:lang w:val="en-US"/>
              </w:rPr>
              <w:t>uality embryos (Grade I and II), Ongoing pregnancy.</w:t>
            </w:r>
          </w:p>
        </w:tc>
      </w:tr>
      <w:tr w:rsidR="00812102" w:rsidRPr="00E2771E" w:rsidTr="00812102">
        <w:tc>
          <w:tcPr>
            <w:tcW w:w="5000" w:type="pct"/>
            <w:gridSpan w:val="6"/>
            <w:shd w:val="clear" w:color="auto" w:fill="auto"/>
            <w:vAlign w:val="center"/>
          </w:tcPr>
          <w:p w:rsidR="00812102" w:rsidRPr="00DD5019" w:rsidRDefault="00812102" w:rsidP="009C7BAC">
            <w:pPr>
              <w:jc w:val="left"/>
              <w:rPr>
                <w:rFonts w:ascii="Arial Narrow" w:hAnsi="Arial Narrow"/>
                <w:b/>
                <w:sz w:val="20"/>
                <w:szCs w:val="16"/>
                <w:lang w:val="en-US"/>
              </w:rPr>
            </w:pPr>
            <w:proofErr w:type="spellStart"/>
            <w:r w:rsidRPr="00DD5019">
              <w:rPr>
                <w:rFonts w:ascii="Arial Narrow" w:hAnsi="Arial Narrow"/>
                <w:b/>
                <w:i/>
                <w:iCs/>
                <w:sz w:val="20"/>
              </w:rPr>
              <w:t>Nafarelin</w:t>
            </w:r>
            <w:proofErr w:type="spellEnd"/>
            <w:r w:rsidRPr="00DD5019">
              <w:rPr>
                <w:rFonts w:ascii="Arial Narrow" w:hAnsi="Arial Narrow"/>
                <w:b/>
                <w:i/>
                <w:iCs/>
                <w:sz w:val="20"/>
              </w:rPr>
              <w:t xml:space="preserve"> vs </w:t>
            </w:r>
            <w:proofErr w:type="spellStart"/>
            <w:r w:rsidRPr="00DD5019">
              <w:rPr>
                <w:rFonts w:ascii="Arial Narrow" w:hAnsi="Arial Narrow"/>
                <w:b/>
                <w:i/>
                <w:iCs/>
                <w:sz w:val="20"/>
              </w:rPr>
              <w:t>ganirelix</w:t>
            </w:r>
            <w:proofErr w:type="spellEnd"/>
          </w:p>
        </w:tc>
      </w:tr>
      <w:tr w:rsidR="00812102" w:rsidRPr="00E2771E" w:rsidTr="00812102">
        <w:tc>
          <w:tcPr>
            <w:tcW w:w="482" w:type="pct"/>
            <w:shd w:val="clear" w:color="auto" w:fill="auto"/>
            <w:vAlign w:val="center"/>
          </w:tcPr>
          <w:p w:rsidR="00812102" w:rsidRPr="00E2771E" w:rsidRDefault="00812102" w:rsidP="009C7BAC">
            <w:pPr>
              <w:jc w:val="left"/>
              <w:rPr>
                <w:rFonts w:ascii="Arial Narrow" w:hAnsi="Arial Narrow"/>
                <w:sz w:val="20"/>
                <w:lang w:val="en-US"/>
              </w:rPr>
            </w:pPr>
            <w:proofErr w:type="spellStart"/>
            <w:r w:rsidRPr="00435FBA">
              <w:rPr>
                <w:rFonts w:ascii="Arial Narrow" w:hAnsi="Arial Narrow"/>
                <w:sz w:val="20"/>
              </w:rPr>
              <w:t>Rombauts</w:t>
            </w:r>
            <w:proofErr w:type="spellEnd"/>
            <w:r w:rsidRPr="00435FBA">
              <w:rPr>
                <w:rFonts w:ascii="Arial Narrow" w:hAnsi="Arial Narrow"/>
                <w:sz w:val="20"/>
              </w:rPr>
              <w:t xml:space="preserve"> 2006</w:t>
            </w:r>
          </w:p>
        </w:tc>
        <w:tc>
          <w:tcPr>
            <w:tcW w:w="367" w:type="pct"/>
            <w:shd w:val="clear" w:color="auto" w:fill="auto"/>
            <w:vAlign w:val="center"/>
          </w:tcPr>
          <w:p w:rsidR="00812102" w:rsidRPr="00E2771E" w:rsidRDefault="00812102" w:rsidP="009C7BAC">
            <w:pPr>
              <w:jc w:val="center"/>
              <w:rPr>
                <w:rFonts w:ascii="Arial Narrow" w:hAnsi="Arial Narrow"/>
                <w:sz w:val="20"/>
                <w:lang w:val="en-US"/>
              </w:rPr>
            </w:pPr>
            <w:r>
              <w:rPr>
                <w:rFonts w:ascii="Arial Narrow" w:hAnsi="Arial Narrow"/>
                <w:sz w:val="20"/>
                <w:lang w:val="en-US"/>
              </w:rPr>
              <w:t>222</w:t>
            </w:r>
          </w:p>
        </w:tc>
        <w:tc>
          <w:tcPr>
            <w:tcW w:w="931" w:type="pct"/>
            <w:shd w:val="clear" w:color="auto" w:fill="auto"/>
            <w:vAlign w:val="center"/>
          </w:tcPr>
          <w:p w:rsidR="00812102" w:rsidRPr="00E2771E" w:rsidRDefault="00812102" w:rsidP="009C7BAC">
            <w:pPr>
              <w:jc w:val="center"/>
              <w:rPr>
                <w:rFonts w:ascii="Arial Narrow" w:hAnsi="Arial Narrow"/>
                <w:sz w:val="20"/>
                <w:lang w:val="en-US"/>
              </w:rPr>
            </w:pPr>
            <w:r w:rsidRPr="00E2771E">
              <w:rPr>
                <w:rFonts w:ascii="Arial Narrow" w:hAnsi="Arial Narrow"/>
                <w:sz w:val="20"/>
                <w:lang w:val="en-US"/>
              </w:rPr>
              <w:t>R, OL</w:t>
            </w:r>
            <w:r>
              <w:rPr>
                <w:rFonts w:ascii="Arial Narrow" w:hAnsi="Arial Narrow"/>
                <w:sz w:val="20"/>
                <w:lang w:val="en-US"/>
              </w:rPr>
              <w:t>,</w:t>
            </w:r>
          </w:p>
          <w:p w:rsidR="00812102" w:rsidRPr="00E2771E" w:rsidRDefault="00812102" w:rsidP="009C7BAC">
            <w:pPr>
              <w:jc w:val="center"/>
              <w:rPr>
                <w:rFonts w:ascii="Arial Narrow" w:hAnsi="Arial Narrow"/>
                <w:sz w:val="20"/>
                <w:lang w:val="en-US"/>
              </w:rPr>
            </w:pPr>
            <w:r w:rsidRPr="000606D1">
              <w:rPr>
                <w:rFonts w:ascii="Arial Narrow" w:hAnsi="Arial Narrow"/>
                <w:sz w:val="20"/>
              </w:rPr>
              <w:t xml:space="preserve">≥12-16 weeks after </w:t>
            </w:r>
            <w:r>
              <w:rPr>
                <w:rFonts w:ascii="Arial Narrow" w:hAnsi="Arial Narrow"/>
                <w:sz w:val="20"/>
              </w:rPr>
              <w:t>embryo transfer</w:t>
            </w:r>
          </w:p>
        </w:tc>
        <w:tc>
          <w:tcPr>
            <w:tcW w:w="508" w:type="pct"/>
            <w:shd w:val="clear" w:color="auto" w:fill="auto"/>
            <w:vAlign w:val="center"/>
          </w:tcPr>
          <w:p w:rsidR="00812102" w:rsidRPr="00E2771E" w:rsidRDefault="00812102" w:rsidP="009C7BAC">
            <w:pPr>
              <w:jc w:val="center"/>
              <w:rPr>
                <w:rFonts w:ascii="Arial Narrow" w:hAnsi="Arial Narrow"/>
                <w:sz w:val="20"/>
                <w:lang w:val="en-US"/>
              </w:rPr>
            </w:pPr>
            <w:r>
              <w:rPr>
                <w:rFonts w:ascii="Arial Narrow" w:hAnsi="Arial Narrow"/>
                <w:sz w:val="20"/>
                <w:lang w:val="en-US"/>
              </w:rPr>
              <w:t>Low</w:t>
            </w:r>
          </w:p>
        </w:tc>
        <w:tc>
          <w:tcPr>
            <w:tcW w:w="932" w:type="pct"/>
            <w:shd w:val="clear" w:color="auto" w:fill="auto"/>
            <w:vAlign w:val="center"/>
          </w:tcPr>
          <w:p w:rsidR="00812102" w:rsidRPr="00E2771E" w:rsidRDefault="00812102" w:rsidP="009C7BAC">
            <w:pPr>
              <w:jc w:val="center"/>
              <w:rPr>
                <w:rFonts w:ascii="Arial Narrow" w:hAnsi="Arial Narrow"/>
                <w:sz w:val="20"/>
                <w:lang w:val="en-US"/>
              </w:rPr>
            </w:pPr>
            <w:r>
              <w:rPr>
                <w:rFonts w:ascii="Arial Narrow" w:hAnsi="Arial Narrow"/>
                <w:sz w:val="20"/>
                <w:lang w:val="en-US"/>
              </w:rPr>
              <w:t>Females of infertile couples undergoing IVF treatment</w:t>
            </w:r>
          </w:p>
        </w:tc>
        <w:tc>
          <w:tcPr>
            <w:tcW w:w="1780" w:type="pct"/>
            <w:shd w:val="clear" w:color="auto" w:fill="auto"/>
            <w:vAlign w:val="center"/>
          </w:tcPr>
          <w:p w:rsidR="00812102" w:rsidRPr="00E2771E" w:rsidRDefault="00812102" w:rsidP="009C7BAC">
            <w:pPr>
              <w:jc w:val="center"/>
              <w:rPr>
                <w:rFonts w:ascii="Arial Narrow" w:hAnsi="Arial Narrow"/>
                <w:sz w:val="20"/>
                <w:lang w:val="en-US"/>
              </w:rPr>
            </w:pPr>
            <w:r>
              <w:rPr>
                <w:rFonts w:ascii="Arial Narrow" w:hAnsi="Arial Narrow"/>
                <w:sz w:val="20"/>
                <w:lang w:val="en-US"/>
              </w:rPr>
              <w:t>No. of oocytes retrieved, No.</w:t>
            </w:r>
            <w:r w:rsidRPr="00FF1386">
              <w:rPr>
                <w:rFonts w:ascii="Arial Narrow" w:hAnsi="Arial Narrow"/>
                <w:sz w:val="20"/>
                <w:lang w:val="en-US"/>
              </w:rPr>
              <w:t xml:space="preserve"> of good q</w:t>
            </w:r>
            <w:r>
              <w:rPr>
                <w:rFonts w:ascii="Arial Narrow" w:hAnsi="Arial Narrow"/>
                <w:sz w:val="20"/>
                <w:lang w:val="en-US"/>
              </w:rPr>
              <w:t>uality embryos (Grade I and II), Ongoing pregnancy.</w:t>
            </w:r>
          </w:p>
        </w:tc>
      </w:tr>
    </w:tbl>
    <w:p w:rsidR="00A90842" w:rsidRDefault="00A90842" w:rsidP="00A90842">
      <w:pPr>
        <w:pStyle w:val="TableFooter"/>
        <w:ind w:firstLine="720"/>
        <w:rPr>
          <w:szCs w:val="18"/>
        </w:rPr>
      </w:pPr>
      <w:r w:rsidRPr="007F1017">
        <w:rPr>
          <w:szCs w:val="18"/>
        </w:rPr>
        <w:t>Source: compiled during the evaluation</w:t>
      </w:r>
    </w:p>
    <w:p w:rsidR="00A90842" w:rsidRPr="00F04B31" w:rsidRDefault="003D1258" w:rsidP="00A90842">
      <w:pPr>
        <w:pStyle w:val="TableFooter"/>
        <w:ind w:firstLine="720"/>
      </w:pPr>
      <w:r>
        <w:t xml:space="preserve">Abbreviations: </w:t>
      </w:r>
      <w:r w:rsidR="00A90842">
        <w:t xml:space="preserve">OL=open label; </w:t>
      </w:r>
      <w:r w:rsidR="00A90842" w:rsidRPr="00D13A3E">
        <w:t>R=randomised</w:t>
      </w:r>
    </w:p>
    <w:p w:rsidR="00BD08D7" w:rsidRDefault="00BD08D7" w:rsidP="00A90842">
      <w:pPr>
        <w:rPr>
          <w:szCs w:val="22"/>
        </w:rPr>
      </w:pPr>
    </w:p>
    <w:p w:rsidR="00BD08D7" w:rsidRPr="0030596F" w:rsidRDefault="00BD08D7" w:rsidP="000403D8">
      <w:pPr>
        <w:pStyle w:val="ListParagraph"/>
        <w:widowControl/>
        <w:numPr>
          <w:ilvl w:val="1"/>
          <w:numId w:val="1"/>
        </w:numPr>
        <w:rPr>
          <w:szCs w:val="22"/>
        </w:rPr>
      </w:pPr>
      <w:r>
        <w:rPr>
          <w:szCs w:val="22"/>
        </w:rPr>
        <w:t>T</w:t>
      </w:r>
      <w:r w:rsidRPr="00BD08D7">
        <w:rPr>
          <w:szCs w:val="22"/>
        </w:rPr>
        <w:t xml:space="preserve">here </w:t>
      </w:r>
      <w:r w:rsidR="00402519">
        <w:rPr>
          <w:szCs w:val="22"/>
        </w:rPr>
        <w:t>were</w:t>
      </w:r>
      <w:r w:rsidR="00402519" w:rsidRPr="00BD08D7">
        <w:rPr>
          <w:szCs w:val="22"/>
        </w:rPr>
        <w:t xml:space="preserve"> </w:t>
      </w:r>
      <w:r w:rsidRPr="00BD08D7">
        <w:rPr>
          <w:szCs w:val="22"/>
        </w:rPr>
        <w:t xml:space="preserve">a number of potential exchangeability issues due to differences across the trials with respect to patient demographics, duration and cause of infertility and </w:t>
      </w:r>
      <w:r w:rsidRPr="0030596F">
        <w:rPr>
          <w:szCs w:val="22"/>
        </w:rPr>
        <w:t xml:space="preserve">concomitant use of </w:t>
      </w:r>
      <w:proofErr w:type="spellStart"/>
      <w:r w:rsidRPr="0030596F">
        <w:rPr>
          <w:szCs w:val="22"/>
        </w:rPr>
        <w:t>rFSH</w:t>
      </w:r>
      <w:proofErr w:type="spellEnd"/>
      <w:r w:rsidRPr="0030596F">
        <w:rPr>
          <w:szCs w:val="22"/>
        </w:rPr>
        <w:t xml:space="preserve">. In the </w:t>
      </w:r>
      <w:proofErr w:type="spellStart"/>
      <w:r w:rsidRPr="0030596F">
        <w:rPr>
          <w:szCs w:val="22"/>
        </w:rPr>
        <w:t>ganirelix</w:t>
      </w:r>
      <w:proofErr w:type="spellEnd"/>
      <w:r w:rsidRPr="0030596F">
        <w:rPr>
          <w:szCs w:val="22"/>
        </w:rPr>
        <w:t xml:space="preserve"> arm</w:t>
      </w:r>
      <w:r w:rsidR="00812102" w:rsidRPr="0030596F">
        <w:rPr>
          <w:szCs w:val="22"/>
        </w:rPr>
        <w:t>s</w:t>
      </w:r>
      <w:r w:rsidRPr="0030596F">
        <w:rPr>
          <w:szCs w:val="22"/>
        </w:rPr>
        <w:t xml:space="preserve">, the number of oocytes and good quality embryos per attempt were lower in EMEOSG 2001 compared with </w:t>
      </w:r>
      <w:proofErr w:type="spellStart"/>
      <w:r w:rsidRPr="0030596F">
        <w:rPr>
          <w:szCs w:val="22"/>
        </w:rPr>
        <w:t>Rombauts</w:t>
      </w:r>
      <w:proofErr w:type="spellEnd"/>
      <w:r w:rsidRPr="0030596F">
        <w:rPr>
          <w:szCs w:val="22"/>
        </w:rPr>
        <w:t xml:space="preserve"> 2006 however, the ongoing pregnancy rate was higher in EMEOSG 2001 compared with </w:t>
      </w:r>
      <w:proofErr w:type="spellStart"/>
      <w:r w:rsidRPr="0030596F">
        <w:rPr>
          <w:szCs w:val="22"/>
        </w:rPr>
        <w:t>Rombauts</w:t>
      </w:r>
      <w:proofErr w:type="spellEnd"/>
      <w:r w:rsidRPr="0030596F">
        <w:rPr>
          <w:szCs w:val="22"/>
        </w:rPr>
        <w:t xml:space="preserve"> 2006.</w:t>
      </w:r>
    </w:p>
    <w:p w:rsidR="00D81F88" w:rsidRPr="0030596F" w:rsidRDefault="00D81F88" w:rsidP="00D81F88">
      <w:pPr>
        <w:pStyle w:val="PBACHeading1"/>
        <w:numPr>
          <w:ilvl w:val="0"/>
          <w:numId w:val="0"/>
        </w:numPr>
      </w:pPr>
    </w:p>
    <w:p w:rsidR="00D81F88" w:rsidRPr="0030596F" w:rsidRDefault="00D81F88" w:rsidP="000403D8">
      <w:pPr>
        <w:pStyle w:val="ListParagraph"/>
        <w:widowControl/>
        <w:numPr>
          <w:ilvl w:val="1"/>
          <w:numId w:val="1"/>
        </w:numPr>
      </w:pPr>
      <w:r w:rsidRPr="0030596F">
        <w:t>The ESC noted that the data presented was limited, which made comparisons difficult, particularly when assessing harms.</w:t>
      </w:r>
      <w:r w:rsidR="00E17958" w:rsidRPr="0030596F">
        <w:t xml:space="preserve"> The PSCR (p.1) acknowledged that there were differences in the recruited trial populations between the studies, but contends that the submitted indirect comparison remains the best approach possible.</w:t>
      </w:r>
    </w:p>
    <w:p w:rsidR="009F59A6" w:rsidRPr="000E22B9" w:rsidRDefault="009F59A6" w:rsidP="000E22B9">
      <w:pPr>
        <w:widowControl/>
        <w:rPr>
          <w:szCs w:val="22"/>
        </w:rPr>
      </w:pPr>
      <w:bookmarkStart w:id="16" w:name="_Toc437239497"/>
    </w:p>
    <w:p w:rsidR="00A90842" w:rsidRDefault="00A90842" w:rsidP="00296326">
      <w:pPr>
        <w:pStyle w:val="Heading2"/>
      </w:pPr>
      <w:bookmarkStart w:id="17" w:name="_Toc440884959"/>
      <w:r w:rsidRPr="002C2775">
        <w:lastRenderedPageBreak/>
        <w:t>Comparative effectiveness</w:t>
      </w:r>
      <w:bookmarkEnd w:id="16"/>
      <w:bookmarkEnd w:id="17"/>
    </w:p>
    <w:p w:rsidR="0039417A" w:rsidRPr="0039417A" w:rsidRDefault="0039417A" w:rsidP="0039417A"/>
    <w:p w:rsidR="00D47CFC" w:rsidRPr="00BD08D7" w:rsidRDefault="0039417A" w:rsidP="000403D8">
      <w:pPr>
        <w:pStyle w:val="ListParagraph"/>
        <w:widowControl/>
        <w:numPr>
          <w:ilvl w:val="1"/>
          <w:numId w:val="1"/>
        </w:numPr>
      </w:pPr>
      <w:r w:rsidRPr="00BD08D7">
        <w:t xml:space="preserve">A summary of the comparative effectiveness </w:t>
      </w:r>
      <w:r w:rsidRPr="00BD08D7">
        <w:rPr>
          <w:szCs w:val="22"/>
        </w:rPr>
        <w:t xml:space="preserve">for </w:t>
      </w:r>
      <w:proofErr w:type="spellStart"/>
      <w:r w:rsidRPr="00BD08D7">
        <w:rPr>
          <w:szCs w:val="22"/>
        </w:rPr>
        <w:t>triptorelin</w:t>
      </w:r>
      <w:proofErr w:type="spellEnd"/>
      <w:r w:rsidRPr="00BD08D7">
        <w:rPr>
          <w:szCs w:val="22"/>
        </w:rPr>
        <w:t xml:space="preserve"> acetate versus </w:t>
      </w:r>
      <w:proofErr w:type="spellStart"/>
      <w:r w:rsidRPr="00BD08D7">
        <w:rPr>
          <w:szCs w:val="22"/>
        </w:rPr>
        <w:t>nafarelin</w:t>
      </w:r>
      <w:proofErr w:type="spellEnd"/>
      <w:r w:rsidRPr="00BD08D7">
        <w:rPr>
          <w:szCs w:val="22"/>
        </w:rPr>
        <w:t xml:space="preserve"> is presented in</w:t>
      </w:r>
      <w:r w:rsidRPr="00BD08D7">
        <w:t xml:space="preserve"> Table 3. </w:t>
      </w:r>
    </w:p>
    <w:p w:rsidR="00D47CFC" w:rsidRPr="00BD08D7" w:rsidRDefault="00D47CFC" w:rsidP="00D47CFC">
      <w:pPr>
        <w:pStyle w:val="ListParagraph"/>
        <w:widowControl/>
      </w:pPr>
    </w:p>
    <w:p w:rsidR="00A90842" w:rsidRPr="0030596F" w:rsidRDefault="00BE07CA" w:rsidP="000403D8">
      <w:pPr>
        <w:pStyle w:val="ListParagraph"/>
        <w:widowControl/>
        <w:numPr>
          <w:ilvl w:val="1"/>
          <w:numId w:val="1"/>
        </w:numPr>
      </w:pPr>
      <w:r w:rsidRPr="00BD08D7">
        <w:t xml:space="preserve">The mean difference in the number of oocytes per attempt for </w:t>
      </w:r>
      <w:proofErr w:type="spellStart"/>
      <w:r w:rsidRPr="00BD08D7">
        <w:t>triptorelin</w:t>
      </w:r>
      <w:proofErr w:type="spellEnd"/>
      <w:r w:rsidRPr="00BD08D7">
        <w:t xml:space="preserve"> </w:t>
      </w:r>
      <w:r w:rsidR="00812102" w:rsidRPr="00D47CFC">
        <w:t>acetate</w:t>
      </w:r>
      <w:r w:rsidR="00812102" w:rsidRPr="00BD08D7">
        <w:t xml:space="preserve"> </w:t>
      </w:r>
      <w:r w:rsidRPr="0030596F">
        <w:t xml:space="preserve">minus </w:t>
      </w:r>
      <w:proofErr w:type="spellStart"/>
      <w:r w:rsidRPr="0030596F">
        <w:t>nafarelin</w:t>
      </w:r>
      <w:proofErr w:type="spellEnd"/>
      <w:r w:rsidRPr="0030596F">
        <w:t xml:space="preserve"> was 0.3 (95% CI: -2.28, 2.88). Based on </w:t>
      </w:r>
      <w:r w:rsidR="00E3256E" w:rsidRPr="0030596F">
        <w:t xml:space="preserve">a </w:t>
      </w:r>
      <w:r w:rsidRPr="0030596F">
        <w:t xml:space="preserve">non-inferiority margin of 3, the submission claimed that </w:t>
      </w:r>
      <w:proofErr w:type="spellStart"/>
      <w:r w:rsidRPr="0030596F">
        <w:t>triptorelin</w:t>
      </w:r>
      <w:proofErr w:type="spellEnd"/>
      <w:r w:rsidRPr="0030596F">
        <w:t xml:space="preserve"> acetate is non-inferior to </w:t>
      </w:r>
      <w:proofErr w:type="spellStart"/>
      <w:r w:rsidRPr="0030596F">
        <w:t>nafarelin</w:t>
      </w:r>
      <w:proofErr w:type="spellEnd"/>
      <w:r w:rsidRPr="0030596F">
        <w:t>.</w:t>
      </w:r>
    </w:p>
    <w:p w:rsidR="00D47CFC" w:rsidRPr="0030596F" w:rsidRDefault="00D47CFC" w:rsidP="00D47CFC">
      <w:pPr>
        <w:pStyle w:val="ListParagraph"/>
      </w:pPr>
    </w:p>
    <w:p w:rsidR="009D5CE3" w:rsidRPr="0030596F" w:rsidRDefault="00BD08D7" w:rsidP="000403D8">
      <w:pPr>
        <w:pStyle w:val="ListParagraph"/>
        <w:widowControl/>
        <w:numPr>
          <w:ilvl w:val="1"/>
          <w:numId w:val="1"/>
        </w:numPr>
      </w:pPr>
      <w:r w:rsidRPr="0030596F">
        <w:t>T</w:t>
      </w:r>
      <w:r w:rsidR="00D47CFC" w:rsidRPr="0030596F">
        <w:t xml:space="preserve">he difference in the proportion of patients with an ongoing pregnancy with </w:t>
      </w:r>
      <w:proofErr w:type="spellStart"/>
      <w:r w:rsidR="00D47CFC" w:rsidRPr="0030596F">
        <w:t>triptorelin</w:t>
      </w:r>
      <w:proofErr w:type="spellEnd"/>
      <w:r w:rsidR="00D47CFC" w:rsidRPr="0030596F">
        <w:t xml:space="preserve"> </w:t>
      </w:r>
      <w:r w:rsidR="00812102" w:rsidRPr="0030596F">
        <w:t>acetate</w:t>
      </w:r>
      <w:r w:rsidR="00D47CFC" w:rsidRPr="0030596F">
        <w:t xml:space="preserve"> compared with </w:t>
      </w:r>
      <w:proofErr w:type="spellStart"/>
      <w:r w:rsidR="00D47CFC" w:rsidRPr="0030596F">
        <w:t>nafarelin</w:t>
      </w:r>
      <w:proofErr w:type="spellEnd"/>
      <w:r w:rsidR="00D47CFC" w:rsidRPr="0030596F">
        <w:t xml:space="preserve"> was not statically significant. The mean difference for </w:t>
      </w:r>
      <w:proofErr w:type="spellStart"/>
      <w:r w:rsidR="00D47CFC" w:rsidRPr="0030596F">
        <w:t>triptorelin</w:t>
      </w:r>
      <w:proofErr w:type="spellEnd"/>
      <w:r w:rsidR="00D47CFC" w:rsidRPr="0030596F">
        <w:t xml:space="preserve"> </w:t>
      </w:r>
      <w:r w:rsidR="00812102" w:rsidRPr="0030596F">
        <w:t xml:space="preserve">acetate </w:t>
      </w:r>
      <w:r w:rsidR="00D47CFC" w:rsidRPr="0030596F">
        <w:t xml:space="preserve">minus </w:t>
      </w:r>
      <w:proofErr w:type="spellStart"/>
      <w:r w:rsidR="00D47CFC" w:rsidRPr="0030596F">
        <w:t>nafarelin</w:t>
      </w:r>
      <w:proofErr w:type="spellEnd"/>
      <w:r w:rsidR="00D47CFC" w:rsidRPr="0030596F">
        <w:t xml:space="preserve"> was 0.03% (95% CI: -15.4% to 15.4%). </w:t>
      </w:r>
      <w:r w:rsidRPr="0030596F">
        <w:t>The lower confidence interval exceeds the 10% non-inferiority margin previously accepted by the PBAC.</w:t>
      </w:r>
      <w:r w:rsidRPr="0030596F" w:rsidDel="00BD08D7">
        <w:t xml:space="preserve"> </w:t>
      </w:r>
      <w:r w:rsidR="009D5CE3" w:rsidRPr="0030596F">
        <w:t xml:space="preserve">The Pre-Sub-Committee Response (PSCR) (p.2) stated this is not surprising in the indirect comparison given that the </w:t>
      </w:r>
      <w:proofErr w:type="spellStart"/>
      <w:r w:rsidR="009D5CE3" w:rsidRPr="0030596F">
        <w:t>Rombauts</w:t>
      </w:r>
      <w:proofErr w:type="spellEnd"/>
      <w:r w:rsidR="009D5CE3" w:rsidRPr="0030596F">
        <w:t xml:space="preserve"> 2006 study was not powered for the outcome of ongoing pregnancy, and that it should be noted that </w:t>
      </w:r>
      <w:proofErr w:type="spellStart"/>
      <w:r w:rsidR="009D5CE3" w:rsidRPr="0030596F">
        <w:t>triptorelin</w:t>
      </w:r>
      <w:proofErr w:type="spellEnd"/>
      <w:r w:rsidR="009D5CE3" w:rsidRPr="0030596F">
        <w:t xml:space="preserve"> met the 10% non-inferiority margin for the difference in ongoing pregnancy rate when directly compared with </w:t>
      </w:r>
      <w:proofErr w:type="spellStart"/>
      <w:r w:rsidR="009D5CE3" w:rsidRPr="0030596F">
        <w:t>ganirelix</w:t>
      </w:r>
      <w:proofErr w:type="spellEnd"/>
      <w:r w:rsidR="009D5CE3" w:rsidRPr="0030596F">
        <w:t>.</w:t>
      </w:r>
    </w:p>
    <w:p w:rsidR="00EF2091" w:rsidRPr="0030596F" w:rsidRDefault="00EF2091" w:rsidP="00EF2091">
      <w:pPr>
        <w:pStyle w:val="ListParagraph"/>
      </w:pPr>
    </w:p>
    <w:p w:rsidR="00A90842" w:rsidRPr="0030596F" w:rsidRDefault="00EF2091" w:rsidP="000403D8">
      <w:pPr>
        <w:pStyle w:val="ListParagraph"/>
        <w:widowControl/>
        <w:numPr>
          <w:ilvl w:val="1"/>
          <w:numId w:val="1"/>
        </w:numPr>
      </w:pPr>
      <w:r w:rsidRPr="0030596F">
        <w:t xml:space="preserve">The mean adjusted difference in the proportion of patients with an ongoing pregnancy for </w:t>
      </w:r>
      <w:proofErr w:type="spellStart"/>
      <w:r w:rsidRPr="0030596F">
        <w:t>triptorelin</w:t>
      </w:r>
      <w:proofErr w:type="spellEnd"/>
      <w:r w:rsidRPr="0030596F">
        <w:t xml:space="preserve"> </w:t>
      </w:r>
      <w:r w:rsidR="00812102" w:rsidRPr="0030596F">
        <w:t xml:space="preserve">acetate </w:t>
      </w:r>
      <w:r w:rsidRPr="0030596F">
        <w:t xml:space="preserve">minus </w:t>
      </w:r>
      <w:proofErr w:type="spellStart"/>
      <w:r w:rsidRPr="0030596F">
        <w:t>ganirelix</w:t>
      </w:r>
      <w:proofErr w:type="spellEnd"/>
      <w:r w:rsidRPr="0030596F">
        <w:t xml:space="preserve"> was 2.5% (95% CI -8.0%, 13.0%). The lower 95% confidence limit is within the 10% non-inferiority margin previously accepted by the PBAC.</w:t>
      </w:r>
    </w:p>
    <w:p w:rsidR="00570CCE" w:rsidRPr="0030596F" w:rsidRDefault="00570CCE" w:rsidP="00570CCE">
      <w:pPr>
        <w:pStyle w:val="ListParagraph"/>
      </w:pPr>
    </w:p>
    <w:p w:rsidR="00E40C3D" w:rsidRPr="0030596F" w:rsidRDefault="003F43C5" w:rsidP="000403D8">
      <w:pPr>
        <w:pStyle w:val="ListParagraph"/>
        <w:widowControl/>
        <w:numPr>
          <w:ilvl w:val="1"/>
          <w:numId w:val="1"/>
        </w:numPr>
        <w:rPr>
          <w:rFonts w:cs="Times New Roman"/>
        </w:rPr>
      </w:pPr>
      <w:r w:rsidRPr="0030596F">
        <w:rPr>
          <w:rFonts w:cs="Times New Roman"/>
        </w:rPr>
        <w:t xml:space="preserve">The ESC noted that the most clinically and patient relevant outcome is live birth rate, however it is not often reported. The ESC considered that while </w:t>
      </w:r>
      <w:proofErr w:type="gramStart"/>
      <w:r w:rsidRPr="0030596F">
        <w:rPr>
          <w:rFonts w:cs="Times New Roman"/>
        </w:rPr>
        <w:t>oocytes recovered is</w:t>
      </w:r>
      <w:proofErr w:type="gramEnd"/>
      <w:r w:rsidRPr="0030596F">
        <w:rPr>
          <w:rFonts w:cs="Times New Roman"/>
        </w:rPr>
        <w:t xml:space="preserve"> relevant, ongoing pregnancy rate is a more relevant outcome.</w:t>
      </w:r>
    </w:p>
    <w:p w:rsidR="002808A4" w:rsidRDefault="002808A4" w:rsidP="00E40C3D">
      <w:pPr>
        <w:pStyle w:val="ListParagraph"/>
        <w:rPr>
          <w:i/>
        </w:rPr>
      </w:pPr>
    </w:p>
    <w:p w:rsidR="006B4A9A" w:rsidRDefault="006B4A9A">
      <w:pPr>
        <w:widowControl/>
        <w:jc w:val="left"/>
        <w:rPr>
          <w:rStyle w:val="CommentReference"/>
        </w:rPr>
      </w:pPr>
      <w:r>
        <w:rPr>
          <w:rStyle w:val="CommentReference"/>
        </w:rPr>
        <w:br w:type="page"/>
      </w:r>
    </w:p>
    <w:p w:rsidR="00E40C3D" w:rsidRDefault="00295980" w:rsidP="00E40C3D">
      <w:pPr>
        <w:pStyle w:val="ListParagraph"/>
      </w:pPr>
      <w:r w:rsidRPr="00227BA6">
        <w:rPr>
          <w:rStyle w:val="CommentReference"/>
        </w:rPr>
        <w:lastRenderedPageBreak/>
        <w:t>Table 3:</w:t>
      </w:r>
      <w:r>
        <w:rPr>
          <w:rStyle w:val="CommentReference"/>
        </w:rPr>
        <w:t xml:space="preserve"> </w:t>
      </w:r>
      <w:r w:rsidRPr="00A578DC">
        <w:rPr>
          <w:rStyle w:val="CommentReference"/>
        </w:rPr>
        <w:t xml:space="preserve">Summary of comparative benefits for </w:t>
      </w:r>
      <w:proofErr w:type="spellStart"/>
      <w:r>
        <w:rPr>
          <w:rStyle w:val="CommentReference"/>
        </w:rPr>
        <w:t>triptorelin</w:t>
      </w:r>
      <w:proofErr w:type="spellEnd"/>
      <w:r>
        <w:rPr>
          <w:rStyle w:val="CommentReference"/>
        </w:rPr>
        <w:t xml:space="preserve"> acetate and </w:t>
      </w:r>
      <w:proofErr w:type="spellStart"/>
      <w:r>
        <w:rPr>
          <w:rStyle w:val="CommentReference"/>
        </w:rPr>
        <w:t>nafarelin</w:t>
      </w:r>
      <w:proofErr w:type="spellEnd"/>
      <w:r>
        <w:rPr>
          <w:rStyle w:val="CommentReference"/>
        </w:rPr>
        <w:t>/</w:t>
      </w:r>
      <w:proofErr w:type="spellStart"/>
      <w:r>
        <w:rPr>
          <w:rStyle w:val="CommentReference"/>
        </w:rPr>
        <w:t>ganirelix</w:t>
      </w:r>
      <w:proofErr w:type="spellEnd"/>
    </w:p>
    <w:tbl>
      <w:tblPr>
        <w:tblStyle w:val="TableGrid"/>
        <w:tblW w:w="4661" w:type="pct"/>
        <w:tblInd w:w="705" w:type="dxa"/>
        <w:tblLayout w:type="fixed"/>
        <w:tblCellMar>
          <w:left w:w="28" w:type="dxa"/>
          <w:right w:w="28" w:type="dxa"/>
        </w:tblCellMar>
        <w:tblLook w:val="04A0" w:firstRow="1" w:lastRow="0" w:firstColumn="1" w:lastColumn="0" w:noHBand="0" w:noVBand="1"/>
        <w:tblCaption w:val="Table 3: Summary of comparative benefits for triptorelin acetate and nafarelin/ganirelix"/>
      </w:tblPr>
      <w:tblGrid>
        <w:gridCol w:w="1024"/>
        <w:gridCol w:w="850"/>
        <w:gridCol w:w="828"/>
        <w:gridCol w:w="151"/>
        <w:gridCol w:w="721"/>
        <w:gridCol w:w="709"/>
        <w:gridCol w:w="337"/>
        <w:gridCol w:w="699"/>
        <w:gridCol w:w="168"/>
        <w:gridCol w:w="825"/>
        <w:gridCol w:w="149"/>
        <w:gridCol w:w="701"/>
        <w:gridCol w:w="1304"/>
      </w:tblGrid>
      <w:tr w:rsidR="00295980" w:rsidRPr="00E2771E" w:rsidTr="00D70BC6">
        <w:trPr>
          <w:tblHeader/>
        </w:trPr>
        <w:tc>
          <w:tcPr>
            <w:tcW w:w="5000" w:type="pct"/>
            <w:gridSpan w:val="13"/>
            <w:shd w:val="clear" w:color="auto" w:fill="auto"/>
            <w:vAlign w:val="center"/>
          </w:tcPr>
          <w:p w:rsidR="00295980" w:rsidRPr="00E2771E" w:rsidRDefault="00295980" w:rsidP="00C67E3E">
            <w:pPr>
              <w:keepNext/>
              <w:rPr>
                <w:rFonts w:ascii="Arial Narrow" w:hAnsi="Arial Narrow"/>
                <w:b/>
                <w:color w:val="000000"/>
                <w:sz w:val="20"/>
                <w:szCs w:val="18"/>
              </w:rPr>
            </w:pPr>
            <w:r w:rsidRPr="00E2771E">
              <w:rPr>
                <w:rFonts w:ascii="Arial Narrow" w:hAnsi="Arial Narrow"/>
                <w:b/>
                <w:color w:val="000000"/>
                <w:sz w:val="20"/>
                <w:szCs w:val="18"/>
              </w:rPr>
              <w:t>Benefits</w:t>
            </w:r>
          </w:p>
        </w:tc>
      </w:tr>
      <w:tr w:rsidR="00295980" w:rsidRPr="00E2771E" w:rsidTr="00C67E3E">
        <w:tc>
          <w:tcPr>
            <w:tcW w:w="5000" w:type="pct"/>
            <w:gridSpan w:val="13"/>
            <w:tcBorders>
              <w:top w:val="double" w:sz="4" w:space="0" w:color="auto"/>
              <w:bottom w:val="single" w:sz="4" w:space="0" w:color="auto"/>
            </w:tcBorders>
            <w:shd w:val="clear" w:color="auto" w:fill="auto"/>
            <w:vAlign w:val="center"/>
          </w:tcPr>
          <w:p w:rsidR="00295980" w:rsidRPr="00E2771E" w:rsidRDefault="00295980" w:rsidP="00C67E3E">
            <w:pPr>
              <w:keepNext/>
              <w:rPr>
                <w:rFonts w:ascii="Arial Narrow" w:hAnsi="Arial Narrow"/>
                <w:b/>
                <w:color w:val="000000"/>
                <w:sz w:val="20"/>
                <w:szCs w:val="18"/>
              </w:rPr>
            </w:pPr>
            <w:r w:rsidRPr="00E2771E">
              <w:rPr>
                <w:rFonts w:ascii="Arial Narrow" w:hAnsi="Arial Narrow"/>
                <w:b/>
                <w:color w:val="000000"/>
                <w:sz w:val="20"/>
                <w:szCs w:val="18"/>
              </w:rPr>
              <w:t xml:space="preserve">Continuous Outcome I: </w:t>
            </w:r>
            <w:r w:rsidRPr="0093439E">
              <w:rPr>
                <w:rFonts w:ascii="Arial Narrow" w:hAnsi="Arial Narrow"/>
                <w:b/>
                <w:color w:val="000000"/>
                <w:sz w:val="20"/>
                <w:szCs w:val="18"/>
              </w:rPr>
              <w:t xml:space="preserve">No. of oocytes recovered per attempt </w:t>
            </w:r>
            <w:r w:rsidRPr="00E2771E">
              <w:rPr>
                <w:rFonts w:ascii="Arial Narrow" w:hAnsi="Arial Narrow"/>
                <w:b/>
                <w:color w:val="000000"/>
                <w:sz w:val="20"/>
                <w:szCs w:val="18"/>
              </w:rPr>
              <w:t>[indirect comparison]</w:t>
            </w:r>
          </w:p>
        </w:tc>
      </w:tr>
      <w:tr w:rsidR="00295980" w:rsidRPr="00E2771E" w:rsidTr="00295980">
        <w:trPr>
          <w:trHeight w:val="225"/>
        </w:trPr>
        <w:tc>
          <w:tcPr>
            <w:tcW w:w="605" w:type="pct"/>
            <w:vMerge w:val="restart"/>
            <w:shd w:val="clear" w:color="auto" w:fill="auto"/>
            <w:vAlign w:val="center"/>
          </w:tcPr>
          <w:p w:rsidR="00295980" w:rsidRPr="008F07A4" w:rsidRDefault="00295980" w:rsidP="00C67E3E">
            <w:pPr>
              <w:keepNext/>
              <w:rPr>
                <w:rFonts w:ascii="Arial Narrow" w:hAnsi="Arial Narrow"/>
                <w:b/>
                <w:color w:val="000000"/>
                <w:sz w:val="20"/>
                <w:szCs w:val="18"/>
              </w:rPr>
            </w:pPr>
            <w:r w:rsidRPr="008F07A4">
              <w:rPr>
                <w:rFonts w:ascii="Arial Narrow" w:hAnsi="Arial Narrow"/>
                <w:b/>
                <w:color w:val="000000"/>
                <w:sz w:val="20"/>
                <w:szCs w:val="18"/>
              </w:rPr>
              <w:t>Trial</w:t>
            </w:r>
          </w:p>
        </w:tc>
        <w:tc>
          <w:tcPr>
            <w:tcW w:w="1506" w:type="pct"/>
            <w:gridSpan w:val="4"/>
            <w:vAlign w:val="center"/>
          </w:tcPr>
          <w:p w:rsidR="00295980" w:rsidRPr="00E2771E" w:rsidRDefault="00295980" w:rsidP="00C67E3E">
            <w:pPr>
              <w:keepNext/>
              <w:jc w:val="center"/>
              <w:rPr>
                <w:rFonts w:ascii="Arial Narrow" w:hAnsi="Arial Narrow"/>
                <w:color w:val="000000"/>
                <w:sz w:val="20"/>
                <w:szCs w:val="18"/>
              </w:rPr>
            </w:pPr>
            <w:r w:rsidRPr="00E2771E">
              <w:rPr>
                <w:rFonts w:ascii="Arial Narrow" w:hAnsi="Arial Narrow"/>
                <w:b/>
                <w:color w:val="000000"/>
                <w:sz w:val="20"/>
                <w:szCs w:val="18"/>
              </w:rPr>
              <w:t>Active treatment group</w:t>
            </w:r>
            <w:r>
              <w:rPr>
                <w:rFonts w:ascii="Arial Narrow" w:hAnsi="Arial Narrow"/>
                <w:b/>
                <w:color w:val="000000"/>
                <w:sz w:val="20"/>
                <w:szCs w:val="18"/>
              </w:rPr>
              <w:t xml:space="preserve"> (</w:t>
            </w:r>
            <w:proofErr w:type="spellStart"/>
            <w:r>
              <w:rPr>
                <w:rFonts w:ascii="Arial Narrow" w:hAnsi="Arial Narrow"/>
                <w:b/>
                <w:color w:val="000000"/>
                <w:sz w:val="20"/>
                <w:szCs w:val="18"/>
              </w:rPr>
              <w:t>triptorelin</w:t>
            </w:r>
            <w:proofErr w:type="spellEnd"/>
            <w:r>
              <w:rPr>
                <w:rFonts w:ascii="Arial Narrow" w:hAnsi="Arial Narrow"/>
                <w:b/>
                <w:color w:val="000000"/>
                <w:sz w:val="20"/>
                <w:szCs w:val="18"/>
              </w:rPr>
              <w:t xml:space="preserve"> acetate/</w:t>
            </w:r>
            <w:proofErr w:type="spellStart"/>
            <w:r>
              <w:rPr>
                <w:rFonts w:ascii="Arial Narrow" w:hAnsi="Arial Narrow"/>
                <w:b/>
                <w:color w:val="000000"/>
                <w:sz w:val="20"/>
                <w:szCs w:val="18"/>
              </w:rPr>
              <w:t>nafarelin</w:t>
            </w:r>
            <w:proofErr w:type="spellEnd"/>
            <w:r>
              <w:rPr>
                <w:rFonts w:ascii="Arial Narrow" w:hAnsi="Arial Narrow"/>
                <w:b/>
                <w:color w:val="000000"/>
                <w:sz w:val="20"/>
                <w:szCs w:val="18"/>
              </w:rPr>
              <w:t>)</w:t>
            </w:r>
          </w:p>
        </w:tc>
        <w:tc>
          <w:tcPr>
            <w:tcW w:w="1705" w:type="pct"/>
            <w:gridSpan w:val="6"/>
            <w:vAlign w:val="center"/>
          </w:tcPr>
          <w:p w:rsidR="00295980" w:rsidRPr="00E2771E" w:rsidRDefault="00295980" w:rsidP="00C67E3E">
            <w:pPr>
              <w:keepNext/>
              <w:jc w:val="center"/>
              <w:rPr>
                <w:rFonts w:ascii="Arial Narrow" w:hAnsi="Arial Narrow"/>
                <w:color w:val="000000"/>
                <w:sz w:val="20"/>
                <w:szCs w:val="18"/>
              </w:rPr>
            </w:pPr>
            <w:r w:rsidRPr="00E2771E">
              <w:rPr>
                <w:rFonts w:ascii="Arial Narrow" w:hAnsi="Arial Narrow"/>
                <w:b/>
                <w:color w:val="000000"/>
                <w:sz w:val="20"/>
                <w:szCs w:val="18"/>
              </w:rPr>
              <w:t>Common arm comparator</w:t>
            </w:r>
            <w:r>
              <w:rPr>
                <w:rFonts w:ascii="Arial Narrow" w:hAnsi="Arial Narrow"/>
                <w:b/>
                <w:color w:val="000000"/>
                <w:sz w:val="20"/>
                <w:szCs w:val="18"/>
              </w:rPr>
              <w:t xml:space="preserve"> (</w:t>
            </w:r>
            <w:proofErr w:type="spellStart"/>
            <w:r>
              <w:rPr>
                <w:rFonts w:ascii="Arial Narrow" w:hAnsi="Arial Narrow"/>
                <w:b/>
                <w:color w:val="000000"/>
                <w:sz w:val="20"/>
                <w:szCs w:val="18"/>
              </w:rPr>
              <w:t>ganirelix</w:t>
            </w:r>
            <w:proofErr w:type="spellEnd"/>
            <w:r>
              <w:rPr>
                <w:rFonts w:ascii="Arial Narrow" w:hAnsi="Arial Narrow"/>
                <w:b/>
                <w:color w:val="000000"/>
                <w:sz w:val="20"/>
                <w:szCs w:val="18"/>
              </w:rPr>
              <w:t>)</w:t>
            </w:r>
          </w:p>
        </w:tc>
        <w:tc>
          <w:tcPr>
            <w:tcW w:w="1184" w:type="pct"/>
            <w:gridSpan w:val="2"/>
            <w:vMerge w:val="restart"/>
            <w:vAlign w:val="center"/>
          </w:tcPr>
          <w:p w:rsidR="00295980" w:rsidRPr="00E2771E" w:rsidRDefault="00295980" w:rsidP="00C67E3E">
            <w:pPr>
              <w:keepNext/>
              <w:jc w:val="center"/>
              <w:rPr>
                <w:rFonts w:ascii="Arial Narrow" w:hAnsi="Arial Narrow"/>
                <w:b/>
                <w:sz w:val="20"/>
                <w:szCs w:val="18"/>
              </w:rPr>
            </w:pPr>
            <w:r w:rsidRPr="00E2771E">
              <w:rPr>
                <w:rFonts w:ascii="Arial Narrow" w:hAnsi="Arial Narrow"/>
                <w:b/>
                <w:sz w:val="20"/>
                <w:szCs w:val="18"/>
              </w:rPr>
              <w:t xml:space="preserve">Indirect comparison: </w:t>
            </w:r>
          </w:p>
          <w:p w:rsidR="00295980" w:rsidRPr="00E2771E" w:rsidRDefault="00295980" w:rsidP="00C67E3E">
            <w:pPr>
              <w:keepNext/>
              <w:jc w:val="center"/>
              <w:rPr>
                <w:rFonts w:ascii="Arial Narrow" w:hAnsi="Arial Narrow"/>
                <w:b/>
                <w:sz w:val="20"/>
                <w:szCs w:val="18"/>
              </w:rPr>
            </w:pPr>
            <w:r w:rsidRPr="00E2771E">
              <w:rPr>
                <w:rFonts w:ascii="Arial Narrow" w:hAnsi="Arial Narrow"/>
                <w:b/>
                <w:sz w:val="20"/>
                <w:szCs w:val="18"/>
              </w:rPr>
              <w:t>Mean difference*</w:t>
            </w:r>
          </w:p>
          <w:p w:rsidR="00295980" w:rsidRPr="00E2771E" w:rsidRDefault="00295980" w:rsidP="00C67E3E">
            <w:pPr>
              <w:keepNext/>
              <w:jc w:val="center"/>
              <w:rPr>
                <w:rFonts w:ascii="Arial Narrow" w:hAnsi="Arial Narrow"/>
                <w:b/>
                <w:sz w:val="20"/>
                <w:szCs w:val="18"/>
              </w:rPr>
            </w:pPr>
            <w:proofErr w:type="spellStart"/>
            <w:r>
              <w:rPr>
                <w:rFonts w:ascii="Arial Narrow" w:hAnsi="Arial Narrow"/>
                <w:b/>
                <w:color w:val="000000"/>
                <w:sz w:val="20"/>
                <w:szCs w:val="18"/>
              </w:rPr>
              <w:t>Triptorelin</w:t>
            </w:r>
            <w:proofErr w:type="spellEnd"/>
            <w:r>
              <w:rPr>
                <w:rFonts w:ascii="Arial Narrow" w:hAnsi="Arial Narrow"/>
                <w:b/>
                <w:color w:val="000000"/>
                <w:sz w:val="20"/>
                <w:szCs w:val="18"/>
              </w:rPr>
              <w:t xml:space="preserve"> acetate</w:t>
            </w:r>
            <w:r w:rsidRPr="00E2771E">
              <w:rPr>
                <w:rFonts w:ascii="Arial Narrow" w:hAnsi="Arial Narrow"/>
                <w:b/>
                <w:sz w:val="20"/>
                <w:szCs w:val="18"/>
              </w:rPr>
              <w:t xml:space="preserve"> </w:t>
            </w:r>
            <w:r>
              <w:rPr>
                <w:rFonts w:ascii="Arial Narrow" w:hAnsi="Arial Narrow"/>
                <w:b/>
                <w:sz w:val="20"/>
                <w:szCs w:val="18"/>
              </w:rPr>
              <w:br/>
            </w:r>
            <w:r w:rsidRPr="00E2771E">
              <w:rPr>
                <w:rFonts w:ascii="Arial Narrow" w:hAnsi="Arial Narrow"/>
                <w:b/>
                <w:sz w:val="20"/>
                <w:szCs w:val="18"/>
              </w:rPr>
              <w:t xml:space="preserve">vs </w:t>
            </w:r>
            <w:proofErr w:type="spellStart"/>
            <w:r>
              <w:rPr>
                <w:rFonts w:ascii="Arial Narrow" w:hAnsi="Arial Narrow"/>
                <w:b/>
                <w:sz w:val="20"/>
                <w:szCs w:val="18"/>
              </w:rPr>
              <w:t>nafarelin</w:t>
            </w:r>
            <w:proofErr w:type="spellEnd"/>
          </w:p>
          <w:p w:rsidR="00295980" w:rsidRPr="00E2771E" w:rsidRDefault="00295980" w:rsidP="00C67E3E">
            <w:pPr>
              <w:keepNext/>
              <w:jc w:val="center"/>
              <w:rPr>
                <w:rFonts w:ascii="Arial Narrow" w:hAnsi="Arial Narrow"/>
                <w:b/>
                <w:sz w:val="20"/>
                <w:szCs w:val="18"/>
              </w:rPr>
            </w:pPr>
            <w:r w:rsidRPr="00E2771E">
              <w:rPr>
                <w:rFonts w:ascii="Arial Narrow" w:hAnsi="Arial Narrow"/>
                <w:b/>
                <w:sz w:val="20"/>
                <w:szCs w:val="18"/>
              </w:rPr>
              <w:t>(95% CI)</w:t>
            </w:r>
          </w:p>
        </w:tc>
      </w:tr>
      <w:tr w:rsidR="00295980" w:rsidRPr="00E2771E" w:rsidTr="00C67E3E">
        <w:trPr>
          <w:trHeight w:val="225"/>
        </w:trPr>
        <w:tc>
          <w:tcPr>
            <w:tcW w:w="605" w:type="pct"/>
            <w:vMerge/>
            <w:shd w:val="clear" w:color="auto" w:fill="auto"/>
            <w:vAlign w:val="center"/>
          </w:tcPr>
          <w:p w:rsidR="00295980" w:rsidRPr="00E2771E" w:rsidRDefault="00295980" w:rsidP="00C67E3E">
            <w:pPr>
              <w:keepNext/>
              <w:rPr>
                <w:rFonts w:ascii="Arial Narrow" w:hAnsi="Arial Narrow"/>
                <w:color w:val="000000"/>
                <w:sz w:val="20"/>
                <w:szCs w:val="18"/>
              </w:rPr>
            </w:pPr>
          </w:p>
        </w:tc>
        <w:tc>
          <w:tcPr>
            <w:tcW w:w="502" w:type="pct"/>
            <w:vAlign w:val="center"/>
          </w:tcPr>
          <w:p w:rsidR="00295980" w:rsidRPr="00E2771E" w:rsidRDefault="00295980" w:rsidP="00C67E3E">
            <w:pPr>
              <w:keepNext/>
              <w:jc w:val="center"/>
              <w:rPr>
                <w:rFonts w:ascii="Arial Narrow" w:hAnsi="Arial Narrow"/>
                <w:b/>
                <w:color w:val="000000"/>
                <w:sz w:val="20"/>
                <w:szCs w:val="18"/>
              </w:rPr>
            </w:pPr>
            <w:r w:rsidRPr="00E2771E">
              <w:rPr>
                <w:rFonts w:ascii="Arial Narrow" w:hAnsi="Arial Narrow"/>
                <w:b/>
                <w:color w:val="000000"/>
                <w:sz w:val="20"/>
                <w:szCs w:val="18"/>
              </w:rPr>
              <w:t>n</w:t>
            </w:r>
          </w:p>
        </w:tc>
        <w:tc>
          <w:tcPr>
            <w:tcW w:w="578" w:type="pct"/>
            <w:gridSpan w:val="2"/>
            <w:vAlign w:val="center"/>
          </w:tcPr>
          <w:p w:rsidR="00295980" w:rsidRPr="00E2771E" w:rsidRDefault="00295980" w:rsidP="00C67E3E">
            <w:pPr>
              <w:keepNext/>
              <w:jc w:val="center"/>
              <w:rPr>
                <w:rFonts w:ascii="Arial Narrow" w:hAnsi="Arial Narrow"/>
                <w:b/>
                <w:sz w:val="20"/>
                <w:szCs w:val="18"/>
              </w:rPr>
            </w:pPr>
            <w:r w:rsidRPr="00E2771E">
              <w:rPr>
                <w:rFonts w:ascii="Arial Narrow" w:hAnsi="Arial Narrow"/>
                <w:b/>
                <w:sz w:val="20"/>
                <w:szCs w:val="18"/>
              </w:rPr>
              <w:t xml:space="preserve">Mean </w:t>
            </w:r>
            <w:r>
              <w:rPr>
                <w:rFonts w:ascii="Arial Narrow" w:hAnsi="Arial Narrow"/>
                <w:b/>
                <w:sz w:val="20"/>
                <w:szCs w:val="18"/>
              </w:rPr>
              <w:t>number</w:t>
            </w:r>
          </w:p>
        </w:tc>
        <w:tc>
          <w:tcPr>
            <w:tcW w:w="426" w:type="pct"/>
            <w:vAlign w:val="center"/>
          </w:tcPr>
          <w:p w:rsidR="00295980" w:rsidRPr="00E2771E" w:rsidRDefault="00295980" w:rsidP="00C67E3E">
            <w:pPr>
              <w:keepNext/>
              <w:jc w:val="center"/>
              <w:rPr>
                <w:rFonts w:ascii="Arial Narrow" w:hAnsi="Arial Narrow"/>
                <w:b/>
                <w:sz w:val="20"/>
                <w:szCs w:val="18"/>
              </w:rPr>
            </w:pPr>
            <w:r w:rsidRPr="00E2771E">
              <w:rPr>
                <w:rFonts w:ascii="Arial Narrow" w:hAnsi="Arial Narrow"/>
                <w:b/>
                <w:sz w:val="20"/>
                <w:szCs w:val="18"/>
              </w:rPr>
              <w:t>SD</w:t>
            </w:r>
          </w:p>
        </w:tc>
        <w:tc>
          <w:tcPr>
            <w:tcW w:w="419" w:type="pct"/>
            <w:vAlign w:val="center"/>
          </w:tcPr>
          <w:p w:rsidR="00295980" w:rsidRPr="00E2771E" w:rsidRDefault="00295980" w:rsidP="00C67E3E">
            <w:pPr>
              <w:keepNext/>
              <w:jc w:val="center"/>
              <w:rPr>
                <w:rFonts w:ascii="Arial Narrow" w:hAnsi="Arial Narrow"/>
                <w:b/>
                <w:color w:val="000000"/>
                <w:sz w:val="20"/>
                <w:szCs w:val="18"/>
              </w:rPr>
            </w:pPr>
            <w:r w:rsidRPr="00E2771E">
              <w:rPr>
                <w:rFonts w:ascii="Arial Narrow" w:hAnsi="Arial Narrow"/>
                <w:b/>
                <w:color w:val="000000"/>
                <w:sz w:val="20"/>
                <w:szCs w:val="18"/>
              </w:rPr>
              <w:t>n</w:t>
            </w:r>
          </w:p>
        </w:tc>
        <w:tc>
          <w:tcPr>
            <w:tcW w:w="612" w:type="pct"/>
            <w:gridSpan w:val="2"/>
            <w:vAlign w:val="center"/>
          </w:tcPr>
          <w:p w:rsidR="00295980" w:rsidRPr="00E2771E" w:rsidRDefault="00295980" w:rsidP="00C67E3E">
            <w:pPr>
              <w:keepNext/>
              <w:jc w:val="center"/>
              <w:rPr>
                <w:rFonts w:ascii="Arial Narrow" w:hAnsi="Arial Narrow"/>
                <w:b/>
                <w:sz w:val="20"/>
                <w:szCs w:val="18"/>
              </w:rPr>
            </w:pPr>
            <w:r w:rsidRPr="00E2771E">
              <w:rPr>
                <w:rFonts w:ascii="Arial Narrow" w:hAnsi="Arial Narrow"/>
                <w:b/>
                <w:sz w:val="20"/>
                <w:szCs w:val="18"/>
              </w:rPr>
              <w:t xml:space="preserve">Mean </w:t>
            </w:r>
            <w:r>
              <w:rPr>
                <w:rFonts w:ascii="Arial Narrow" w:hAnsi="Arial Narrow"/>
                <w:b/>
                <w:sz w:val="20"/>
                <w:szCs w:val="18"/>
              </w:rPr>
              <w:t>number</w:t>
            </w:r>
          </w:p>
        </w:tc>
        <w:tc>
          <w:tcPr>
            <w:tcW w:w="674" w:type="pct"/>
            <w:gridSpan w:val="3"/>
            <w:vAlign w:val="center"/>
          </w:tcPr>
          <w:p w:rsidR="00295980" w:rsidRPr="00E2771E" w:rsidRDefault="00295980" w:rsidP="00C67E3E">
            <w:pPr>
              <w:keepNext/>
              <w:jc w:val="center"/>
              <w:rPr>
                <w:rFonts w:ascii="Arial Narrow" w:hAnsi="Arial Narrow"/>
                <w:b/>
                <w:sz w:val="20"/>
                <w:szCs w:val="18"/>
              </w:rPr>
            </w:pPr>
            <w:r w:rsidRPr="00E2771E">
              <w:rPr>
                <w:rFonts w:ascii="Arial Narrow" w:hAnsi="Arial Narrow"/>
                <w:b/>
                <w:sz w:val="20"/>
                <w:szCs w:val="18"/>
              </w:rPr>
              <w:t>SD</w:t>
            </w:r>
          </w:p>
        </w:tc>
        <w:tc>
          <w:tcPr>
            <w:tcW w:w="1184" w:type="pct"/>
            <w:gridSpan w:val="2"/>
            <w:vMerge/>
            <w:vAlign w:val="center"/>
          </w:tcPr>
          <w:p w:rsidR="00295980" w:rsidRPr="00E2771E" w:rsidRDefault="00295980" w:rsidP="00C67E3E">
            <w:pPr>
              <w:keepNext/>
              <w:jc w:val="center"/>
              <w:rPr>
                <w:rFonts w:ascii="Arial Narrow" w:hAnsi="Arial Narrow"/>
                <w:b/>
                <w:sz w:val="20"/>
                <w:szCs w:val="18"/>
              </w:rPr>
            </w:pPr>
          </w:p>
        </w:tc>
      </w:tr>
      <w:tr w:rsidR="00295980" w:rsidRPr="00CE6C5B" w:rsidTr="00C67E3E">
        <w:tc>
          <w:tcPr>
            <w:tcW w:w="605" w:type="pct"/>
            <w:tcBorders>
              <w:bottom w:val="single" w:sz="4" w:space="0" w:color="auto"/>
            </w:tcBorders>
            <w:shd w:val="clear" w:color="auto" w:fill="auto"/>
            <w:vAlign w:val="center"/>
          </w:tcPr>
          <w:p w:rsidR="00295980" w:rsidRPr="00E2771E" w:rsidRDefault="00295980" w:rsidP="00C67E3E">
            <w:pPr>
              <w:keepNext/>
              <w:rPr>
                <w:rFonts w:ascii="Arial Narrow" w:hAnsi="Arial Narrow"/>
                <w:color w:val="000000"/>
                <w:sz w:val="20"/>
                <w:szCs w:val="18"/>
              </w:rPr>
            </w:pPr>
            <w:r>
              <w:rPr>
                <w:rFonts w:ascii="Arial Narrow" w:hAnsi="Arial Narrow"/>
                <w:color w:val="000000"/>
                <w:sz w:val="20"/>
                <w:szCs w:val="18"/>
              </w:rPr>
              <w:t>EMEOSG 2001</w:t>
            </w:r>
          </w:p>
        </w:tc>
        <w:tc>
          <w:tcPr>
            <w:tcW w:w="502" w:type="pct"/>
            <w:tcBorders>
              <w:bottom w:val="single" w:sz="4" w:space="0" w:color="auto"/>
            </w:tcBorders>
            <w:vAlign w:val="center"/>
          </w:tcPr>
          <w:p w:rsidR="00295980" w:rsidRPr="00E2771E" w:rsidRDefault="00295980" w:rsidP="00C67E3E">
            <w:pPr>
              <w:keepNext/>
              <w:jc w:val="center"/>
              <w:rPr>
                <w:rFonts w:ascii="Arial Narrow" w:hAnsi="Arial Narrow"/>
                <w:sz w:val="20"/>
              </w:rPr>
            </w:pPr>
            <w:r>
              <w:rPr>
                <w:rFonts w:ascii="Arial Narrow" w:hAnsi="Arial Narrow"/>
                <w:sz w:val="20"/>
              </w:rPr>
              <w:t>111</w:t>
            </w:r>
          </w:p>
        </w:tc>
        <w:tc>
          <w:tcPr>
            <w:tcW w:w="578" w:type="pct"/>
            <w:gridSpan w:val="2"/>
            <w:tcBorders>
              <w:bottom w:val="single" w:sz="4" w:space="0" w:color="auto"/>
            </w:tcBorders>
            <w:vAlign w:val="center"/>
          </w:tcPr>
          <w:p w:rsidR="00295980" w:rsidRPr="00E2771E" w:rsidRDefault="00295980" w:rsidP="00C67E3E">
            <w:pPr>
              <w:keepNext/>
              <w:jc w:val="center"/>
              <w:rPr>
                <w:rFonts w:ascii="Arial Narrow" w:hAnsi="Arial Narrow"/>
                <w:color w:val="000000"/>
                <w:sz w:val="20"/>
              </w:rPr>
            </w:pPr>
            <w:r w:rsidRPr="0093439E">
              <w:rPr>
                <w:rFonts w:ascii="Arial Narrow" w:hAnsi="Arial Narrow"/>
                <w:color w:val="000000"/>
                <w:sz w:val="20"/>
              </w:rPr>
              <w:t>9.6</w:t>
            </w:r>
          </w:p>
        </w:tc>
        <w:tc>
          <w:tcPr>
            <w:tcW w:w="426" w:type="pct"/>
            <w:tcBorders>
              <w:bottom w:val="single" w:sz="4" w:space="0" w:color="auto"/>
            </w:tcBorders>
            <w:vAlign w:val="center"/>
          </w:tcPr>
          <w:p w:rsidR="00295980" w:rsidRPr="00E2771E" w:rsidRDefault="00295980" w:rsidP="00C67E3E">
            <w:pPr>
              <w:keepNext/>
              <w:jc w:val="center"/>
              <w:rPr>
                <w:rFonts w:ascii="Arial Narrow" w:hAnsi="Arial Narrow"/>
                <w:color w:val="000000"/>
                <w:sz w:val="20"/>
              </w:rPr>
            </w:pPr>
            <w:r w:rsidRPr="0093439E">
              <w:rPr>
                <w:rFonts w:ascii="Arial Narrow" w:hAnsi="Arial Narrow"/>
                <w:color w:val="000000"/>
                <w:sz w:val="20"/>
              </w:rPr>
              <w:t>6.8</w:t>
            </w:r>
          </w:p>
        </w:tc>
        <w:tc>
          <w:tcPr>
            <w:tcW w:w="419" w:type="pct"/>
            <w:tcBorders>
              <w:bottom w:val="single" w:sz="4" w:space="0" w:color="auto"/>
            </w:tcBorders>
            <w:vAlign w:val="center"/>
          </w:tcPr>
          <w:p w:rsidR="00295980" w:rsidRPr="00E2771E" w:rsidRDefault="00295980" w:rsidP="00C67E3E">
            <w:pPr>
              <w:keepNext/>
              <w:jc w:val="center"/>
              <w:rPr>
                <w:rFonts w:ascii="Arial Narrow" w:hAnsi="Arial Narrow"/>
                <w:color w:val="000000"/>
                <w:sz w:val="20"/>
              </w:rPr>
            </w:pPr>
            <w:r>
              <w:rPr>
                <w:rFonts w:ascii="Arial Narrow" w:hAnsi="Arial Narrow"/>
                <w:color w:val="000000"/>
                <w:sz w:val="20"/>
              </w:rPr>
              <w:t>226</w:t>
            </w:r>
          </w:p>
        </w:tc>
        <w:tc>
          <w:tcPr>
            <w:tcW w:w="612" w:type="pct"/>
            <w:gridSpan w:val="2"/>
            <w:tcBorders>
              <w:bottom w:val="single" w:sz="4" w:space="0" w:color="auto"/>
            </w:tcBorders>
            <w:vAlign w:val="center"/>
          </w:tcPr>
          <w:p w:rsidR="00295980" w:rsidRPr="00E2771E" w:rsidRDefault="00295980" w:rsidP="00C67E3E">
            <w:pPr>
              <w:keepNext/>
              <w:jc w:val="center"/>
              <w:rPr>
                <w:rFonts w:ascii="Arial Narrow" w:hAnsi="Arial Narrow"/>
                <w:color w:val="000000"/>
                <w:sz w:val="20"/>
              </w:rPr>
            </w:pPr>
            <w:r>
              <w:rPr>
                <w:rFonts w:ascii="Arial Narrow" w:hAnsi="Arial Narrow"/>
                <w:color w:val="000000"/>
                <w:sz w:val="20"/>
              </w:rPr>
              <w:t>7.9</w:t>
            </w:r>
          </w:p>
        </w:tc>
        <w:tc>
          <w:tcPr>
            <w:tcW w:w="674" w:type="pct"/>
            <w:gridSpan w:val="3"/>
            <w:tcBorders>
              <w:bottom w:val="single" w:sz="4" w:space="0" w:color="auto"/>
            </w:tcBorders>
            <w:vAlign w:val="center"/>
          </w:tcPr>
          <w:p w:rsidR="00295980" w:rsidRPr="00E2771E" w:rsidRDefault="00295980" w:rsidP="00C67E3E">
            <w:pPr>
              <w:keepNext/>
              <w:jc w:val="center"/>
              <w:rPr>
                <w:rFonts w:ascii="Arial Narrow" w:hAnsi="Arial Narrow"/>
                <w:color w:val="000000"/>
                <w:sz w:val="20"/>
              </w:rPr>
            </w:pPr>
            <w:r>
              <w:rPr>
                <w:rFonts w:ascii="Arial Narrow" w:hAnsi="Arial Narrow"/>
                <w:color w:val="000000"/>
                <w:sz w:val="20"/>
              </w:rPr>
              <w:t>5.1</w:t>
            </w:r>
          </w:p>
        </w:tc>
        <w:tc>
          <w:tcPr>
            <w:tcW w:w="1184" w:type="pct"/>
            <w:gridSpan w:val="2"/>
            <w:vMerge w:val="restart"/>
            <w:vAlign w:val="center"/>
          </w:tcPr>
          <w:p w:rsidR="00295980" w:rsidRPr="00CE6C5B" w:rsidRDefault="00295980" w:rsidP="00C67E3E">
            <w:pPr>
              <w:keepNext/>
              <w:jc w:val="center"/>
              <w:rPr>
                <w:rFonts w:ascii="Arial Narrow" w:hAnsi="Arial Narrow"/>
                <w:i/>
                <w:sz w:val="20"/>
              </w:rPr>
            </w:pPr>
            <w:r w:rsidRPr="00CE6C5B">
              <w:rPr>
                <w:rFonts w:ascii="Arial Narrow" w:hAnsi="Arial Narrow"/>
                <w:i/>
                <w:sz w:val="20"/>
              </w:rPr>
              <w:t xml:space="preserve">(RD) 0.3 </w:t>
            </w:r>
            <w:r w:rsidRPr="00CE6C5B">
              <w:rPr>
                <w:rFonts w:ascii="Arial Narrow" w:hAnsi="Arial Narrow"/>
                <w:i/>
                <w:sz w:val="20"/>
              </w:rPr>
              <w:br/>
              <w:t>(-2.28, 2.88)</w:t>
            </w:r>
          </w:p>
        </w:tc>
      </w:tr>
      <w:tr w:rsidR="00295980" w:rsidRPr="00E2771E" w:rsidTr="00C67E3E">
        <w:tc>
          <w:tcPr>
            <w:tcW w:w="605" w:type="pct"/>
            <w:tcBorders>
              <w:bottom w:val="double" w:sz="4" w:space="0" w:color="auto"/>
            </w:tcBorders>
            <w:shd w:val="clear" w:color="auto" w:fill="auto"/>
            <w:vAlign w:val="center"/>
          </w:tcPr>
          <w:p w:rsidR="00295980" w:rsidRPr="00E2771E" w:rsidRDefault="00295980" w:rsidP="00C67E3E">
            <w:pPr>
              <w:keepNext/>
              <w:rPr>
                <w:rFonts w:ascii="Arial Narrow" w:hAnsi="Arial Narrow"/>
                <w:color w:val="000000"/>
                <w:sz w:val="20"/>
                <w:szCs w:val="18"/>
              </w:rPr>
            </w:pPr>
            <w:proofErr w:type="spellStart"/>
            <w:r>
              <w:rPr>
                <w:rFonts w:ascii="Arial Narrow" w:hAnsi="Arial Narrow"/>
                <w:color w:val="000000"/>
                <w:sz w:val="20"/>
                <w:szCs w:val="18"/>
              </w:rPr>
              <w:t>Rombauts</w:t>
            </w:r>
            <w:proofErr w:type="spellEnd"/>
            <w:r>
              <w:rPr>
                <w:rFonts w:ascii="Arial Narrow" w:hAnsi="Arial Narrow"/>
                <w:color w:val="000000"/>
                <w:sz w:val="20"/>
                <w:szCs w:val="18"/>
              </w:rPr>
              <w:t xml:space="preserve"> 2006</w:t>
            </w:r>
          </w:p>
        </w:tc>
        <w:tc>
          <w:tcPr>
            <w:tcW w:w="502" w:type="pct"/>
            <w:tcBorders>
              <w:bottom w:val="double" w:sz="4" w:space="0" w:color="auto"/>
            </w:tcBorders>
            <w:vAlign w:val="center"/>
          </w:tcPr>
          <w:p w:rsidR="00295980" w:rsidRPr="00E2771E" w:rsidRDefault="00295980" w:rsidP="00C67E3E">
            <w:pPr>
              <w:keepNext/>
              <w:jc w:val="center"/>
              <w:rPr>
                <w:rFonts w:ascii="Arial Narrow" w:hAnsi="Arial Narrow"/>
                <w:color w:val="000000"/>
                <w:sz w:val="20"/>
              </w:rPr>
            </w:pPr>
            <w:r>
              <w:rPr>
                <w:rFonts w:ascii="Arial Narrow" w:hAnsi="Arial Narrow"/>
                <w:color w:val="000000"/>
                <w:sz w:val="20"/>
              </w:rPr>
              <w:t>111</w:t>
            </w:r>
          </w:p>
        </w:tc>
        <w:tc>
          <w:tcPr>
            <w:tcW w:w="578" w:type="pct"/>
            <w:gridSpan w:val="2"/>
            <w:tcBorders>
              <w:bottom w:val="double" w:sz="4" w:space="0" w:color="auto"/>
            </w:tcBorders>
            <w:vAlign w:val="center"/>
          </w:tcPr>
          <w:p w:rsidR="00295980" w:rsidRPr="00E2771E" w:rsidRDefault="00295980" w:rsidP="00C67E3E">
            <w:pPr>
              <w:keepNext/>
              <w:jc w:val="center"/>
              <w:rPr>
                <w:rFonts w:ascii="Arial Narrow" w:hAnsi="Arial Narrow"/>
                <w:color w:val="000000"/>
                <w:sz w:val="20"/>
              </w:rPr>
            </w:pPr>
            <w:r>
              <w:rPr>
                <w:rFonts w:ascii="Arial Narrow" w:hAnsi="Arial Narrow"/>
                <w:color w:val="000000"/>
                <w:sz w:val="20"/>
              </w:rPr>
              <w:t>12.9</w:t>
            </w:r>
          </w:p>
        </w:tc>
        <w:tc>
          <w:tcPr>
            <w:tcW w:w="426" w:type="pct"/>
            <w:tcBorders>
              <w:bottom w:val="double" w:sz="4" w:space="0" w:color="auto"/>
            </w:tcBorders>
            <w:vAlign w:val="center"/>
          </w:tcPr>
          <w:p w:rsidR="00295980" w:rsidRPr="00E2771E" w:rsidRDefault="00295980" w:rsidP="00C67E3E">
            <w:pPr>
              <w:keepNext/>
              <w:jc w:val="center"/>
              <w:rPr>
                <w:rFonts w:ascii="Arial Narrow" w:hAnsi="Arial Narrow"/>
                <w:color w:val="000000"/>
                <w:sz w:val="20"/>
              </w:rPr>
            </w:pPr>
            <w:r>
              <w:rPr>
                <w:rFonts w:ascii="Arial Narrow" w:hAnsi="Arial Narrow"/>
                <w:color w:val="000000"/>
                <w:sz w:val="20"/>
              </w:rPr>
              <w:t>8.7</w:t>
            </w:r>
          </w:p>
        </w:tc>
        <w:tc>
          <w:tcPr>
            <w:tcW w:w="419" w:type="pct"/>
            <w:tcBorders>
              <w:bottom w:val="double" w:sz="4" w:space="0" w:color="auto"/>
            </w:tcBorders>
            <w:vAlign w:val="center"/>
          </w:tcPr>
          <w:p w:rsidR="00295980" w:rsidRPr="00E2771E" w:rsidRDefault="00295980" w:rsidP="00C67E3E">
            <w:pPr>
              <w:keepNext/>
              <w:jc w:val="center"/>
              <w:rPr>
                <w:rFonts w:ascii="Arial Narrow" w:hAnsi="Arial Narrow"/>
                <w:color w:val="000000"/>
                <w:sz w:val="20"/>
              </w:rPr>
            </w:pPr>
            <w:r>
              <w:rPr>
                <w:rFonts w:ascii="Arial Narrow" w:hAnsi="Arial Narrow"/>
                <w:color w:val="000000"/>
                <w:sz w:val="20"/>
              </w:rPr>
              <w:t>110</w:t>
            </w:r>
          </w:p>
        </w:tc>
        <w:tc>
          <w:tcPr>
            <w:tcW w:w="612" w:type="pct"/>
            <w:gridSpan w:val="2"/>
            <w:tcBorders>
              <w:bottom w:val="double" w:sz="4" w:space="0" w:color="auto"/>
            </w:tcBorders>
            <w:vAlign w:val="center"/>
          </w:tcPr>
          <w:p w:rsidR="00295980" w:rsidRPr="00E2771E" w:rsidRDefault="00295980" w:rsidP="00C67E3E">
            <w:pPr>
              <w:keepNext/>
              <w:jc w:val="center"/>
              <w:rPr>
                <w:rFonts w:ascii="Arial Narrow" w:hAnsi="Arial Narrow"/>
                <w:color w:val="000000"/>
                <w:sz w:val="20"/>
              </w:rPr>
            </w:pPr>
            <w:r>
              <w:rPr>
                <w:rFonts w:ascii="Arial Narrow" w:hAnsi="Arial Narrow"/>
                <w:color w:val="000000"/>
                <w:sz w:val="20"/>
              </w:rPr>
              <w:t>11.5</w:t>
            </w:r>
          </w:p>
        </w:tc>
        <w:tc>
          <w:tcPr>
            <w:tcW w:w="674" w:type="pct"/>
            <w:gridSpan w:val="3"/>
            <w:tcBorders>
              <w:bottom w:val="double" w:sz="4" w:space="0" w:color="auto"/>
            </w:tcBorders>
            <w:vAlign w:val="center"/>
          </w:tcPr>
          <w:p w:rsidR="00295980" w:rsidRPr="00E2771E" w:rsidRDefault="00295980" w:rsidP="00C67E3E">
            <w:pPr>
              <w:keepNext/>
              <w:jc w:val="center"/>
              <w:rPr>
                <w:rFonts w:ascii="Arial Narrow" w:hAnsi="Arial Narrow"/>
                <w:color w:val="000000"/>
                <w:sz w:val="20"/>
              </w:rPr>
            </w:pPr>
            <w:r>
              <w:rPr>
                <w:rFonts w:ascii="Arial Narrow" w:hAnsi="Arial Narrow"/>
                <w:color w:val="000000"/>
                <w:sz w:val="20"/>
              </w:rPr>
              <w:t>7.6</w:t>
            </w:r>
          </w:p>
        </w:tc>
        <w:tc>
          <w:tcPr>
            <w:tcW w:w="1184" w:type="pct"/>
            <w:gridSpan w:val="2"/>
            <w:vMerge/>
            <w:tcBorders>
              <w:bottom w:val="double" w:sz="4" w:space="0" w:color="auto"/>
            </w:tcBorders>
            <w:vAlign w:val="center"/>
          </w:tcPr>
          <w:p w:rsidR="00295980" w:rsidRPr="00E2771E" w:rsidRDefault="00295980" w:rsidP="00C67E3E">
            <w:pPr>
              <w:keepNext/>
              <w:jc w:val="center"/>
              <w:rPr>
                <w:rFonts w:ascii="Arial Narrow" w:hAnsi="Arial Narrow"/>
                <w:b/>
                <w:sz w:val="20"/>
                <w:szCs w:val="18"/>
              </w:rPr>
            </w:pPr>
          </w:p>
        </w:tc>
      </w:tr>
      <w:tr w:rsidR="00295980" w:rsidRPr="00E2771E" w:rsidTr="00C67E3E">
        <w:tc>
          <w:tcPr>
            <w:tcW w:w="5000" w:type="pct"/>
            <w:gridSpan w:val="13"/>
            <w:tcBorders>
              <w:bottom w:val="single" w:sz="4" w:space="0" w:color="auto"/>
            </w:tcBorders>
            <w:shd w:val="clear" w:color="auto" w:fill="auto"/>
            <w:vAlign w:val="center"/>
          </w:tcPr>
          <w:p w:rsidR="00295980" w:rsidRPr="00E2771E" w:rsidRDefault="00295980" w:rsidP="00C67E3E">
            <w:pPr>
              <w:keepNext/>
              <w:jc w:val="left"/>
              <w:rPr>
                <w:rFonts w:ascii="Arial Narrow" w:hAnsi="Arial Narrow"/>
                <w:b/>
                <w:sz w:val="20"/>
                <w:szCs w:val="18"/>
              </w:rPr>
            </w:pPr>
            <w:r w:rsidRPr="00E2771E">
              <w:rPr>
                <w:rFonts w:ascii="Arial Narrow" w:hAnsi="Arial Narrow"/>
                <w:b/>
                <w:color w:val="000000"/>
                <w:sz w:val="20"/>
                <w:szCs w:val="18"/>
              </w:rPr>
              <w:t xml:space="preserve">Continuous Outcome I: </w:t>
            </w:r>
            <w:r w:rsidRPr="00742D14">
              <w:rPr>
                <w:rFonts w:ascii="Arial Narrow" w:hAnsi="Arial Narrow"/>
                <w:b/>
                <w:color w:val="000000"/>
                <w:sz w:val="20"/>
                <w:szCs w:val="18"/>
              </w:rPr>
              <w:t xml:space="preserve">No. of good quality (grade I and II) embryos per attempt </w:t>
            </w:r>
            <w:r w:rsidRPr="00E2771E">
              <w:rPr>
                <w:rFonts w:ascii="Arial Narrow" w:hAnsi="Arial Narrow"/>
                <w:b/>
                <w:color w:val="000000"/>
                <w:sz w:val="20"/>
                <w:szCs w:val="18"/>
              </w:rPr>
              <w:t>[indirect comparison]</w:t>
            </w:r>
          </w:p>
        </w:tc>
      </w:tr>
      <w:tr w:rsidR="00295980" w:rsidRPr="00CE6C5B" w:rsidTr="00C67E3E">
        <w:tc>
          <w:tcPr>
            <w:tcW w:w="605" w:type="pct"/>
            <w:tcBorders>
              <w:bottom w:val="single" w:sz="4" w:space="0" w:color="auto"/>
            </w:tcBorders>
            <w:shd w:val="clear" w:color="auto" w:fill="auto"/>
            <w:vAlign w:val="center"/>
          </w:tcPr>
          <w:p w:rsidR="00295980" w:rsidRPr="00E2771E" w:rsidRDefault="00295980" w:rsidP="00C67E3E">
            <w:pPr>
              <w:keepNext/>
              <w:rPr>
                <w:rFonts w:ascii="Arial Narrow" w:hAnsi="Arial Narrow"/>
                <w:color w:val="000000"/>
                <w:sz w:val="20"/>
                <w:szCs w:val="18"/>
              </w:rPr>
            </w:pPr>
            <w:r>
              <w:rPr>
                <w:rFonts w:ascii="Arial Narrow" w:hAnsi="Arial Narrow"/>
                <w:color w:val="000000"/>
                <w:sz w:val="20"/>
                <w:szCs w:val="18"/>
              </w:rPr>
              <w:t>EMEOSG 2001</w:t>
            </w:r>
          </w:p>
        </w:tc>
        <w:tc>
          <w:tcPr>
            <w:tcW w:w="502" w:type="pct"/>
            <w:tcBorders>
              <w:bottom w:val="single" w:sz="4" w:space="0" w:color="auto"/>
            </w:tcBorders>
            <w:vAlign w:val="center"/>
          </w:tcPr>
          <w:p w:rsidR="00295980" w:rsidRPr="00E2771E" w:rsidRDefault="00295980" w:rsidP="00C67E3E">
            <w:pPr>
              <w:keepNext/>
              <w:jc w:val="center"/>
              <w:rPr>
                <w:rFonts w:ascii="Arial Narrow" w:hAnsi="Arial Narrow"/>
                <w:sz w:val="20"/>
              </w:rPr>
            </w:pPr>
            <w:r>
              <w:rPr>
                <w:rFonts w:ascii="Arial Narrow" w:hAnsi="Arial Narrow"/>
                <w:sz w:val="20"/>
              </w:rPr>
              <w:t>111</w:t>
            </w:r>
          </w:p>
        </w:tc>
        <w:tc>
          <w:tcPr>
            <w:tcW w:w="578" w:type="pct"/>
            <w:gridSpan w:val="2"/>
            <w:tcBorders>
              <w:bottom w:val="single" w:sz="4" w:space="0" w:color="auto"/>
            </w:tcBorders>
            <w:vAlign w:val="center"/>
          </w:tcPr>
          <w:p w:rsidR="00295980" w:rsidRDefault="00295980" w:rsidP="00C67E3E">
            <w:pPr>
              <w:keepNext/>
              <w:jc w:val="center"/>
              <w:rPr>
                <w:rFonts w:ascii="Arial Narrow" w:hAnsi="Arial Narrow"/>
                <w:color w:val="000000"/>
                <w:sz w:val="20"/>
              </w:rPr>
            </w:pPr>
            <w:r w:rsidRPr="00742D14">
              <w:rPr>
                <w:rFonts w:ascii="Arial Narrow" w:hAnsi="Arial Narrow"/>
                <w:color w:val="000000"/>
                <w:sz w:val="20"/>
              </w:rPr>
              <w:t>2.9</w:t>
            </w:r>
          </w:p>
        </w:tc>
        <w:tc>
          <w:tcPr>
            <w:tcW w:w="426" w:type="pct"/>
            <w:tcBorders>
              <w:bottom w:val="single" w:sz="4" w:space="0" w:color="auto"/>
            </w:tcBorders>
            <w:vAlign w:val="center"/>
          </w:tcPr>
          <w:p w:rsidR="00295980" w:rsidRDefault="00295980" w:rsidP="00C67E3E">
            <w:pPr>
              <w:keepNext/>
              <w:jc w:val="center"/>
              <w:rPr>
                <w:rFonts w:ascii="Arial Narrow" w:hAnsi="Arial Narrow"/>
                <w:color w:val="000000"/>
                <w:sz w:val="20"/>
              </w:rPr>
            </w:pPr>
            <w:r w:rsidRPr="00742D14">
              <w:rPr>
                <w:rFonts w:ascii="Arial Narrow" w:hAnsi="Arial Narrow"/>
                <w:color w:val="000000"/>
                <w:sz w:val="20"/>
              </w:rPr>
              <w:t>NR</w:t>
            </w:r>
          </w:p>
        </w:tc>
        <w:tc>
          <w:tcPr>
            <w:tcW w:w="419" w:type="pct"/>
            <w:tcBorders>
              <w:bottom w:val="single" w:sz="4" w:space="0" w:color="auto"/>
            </w:tcBorders>
            <w:vAlign w:val="center"/>
          </w:tcPr>
          <w:p w:rsidR="00295980" w:rsidRPr="00E2771E" w:rsidRDefault="00295980" w:rsidP="00C67E3E">
            <w:pPr>
              <w:keepNext/>
              <w:jc w:val="center"/>
              <w:rPr>
                <w:rFonts w:ascii="Arial Narrow" w:hAnsi="Arial Narrow"/>
                <w:color w:val="000000"/>
                <w:sz w:val="20"/>
              </w:rPr>
            </w:pPr>
            <w:r>
              <w:rPr>
                <w:rFonts w:ascii="Arial Narrow" w:hAnsi="Arial Narrow"/>
                <w:color w:val="000000"/>
                <w:sz w:val="20"/>
              </w:rPr>
              <w:t>226</w:t>
            </w:r>
          </w:p>
        </w:tc>
        <w:tc>
          <w:tcPr>
            <w:tcW w:w="612" w:type="pct"/>
            <w:gridSpan w:val="2"/>
            <w:tcBorders>
              <w:bottom w:val="single" w:sz="4" w:space="0" w:color="auto"/>
            </w:tcBorders>
            <w:vAlign w:val="center"/>
          </w:tcPr>
          <w:p w:rsidR="00295980" w:rsidRDefault="00295980" w:rsidP="00C67E3E">
            <w:pPr>
              <w:keepNext/>
              <w:jc w:val="center"/>
              <w:rPr>
                <w:rFonts w:ascii="Arial Narrow" w:hAnsi="Arial Narrow"/>
                <w:color w:val="000000"/>
                <w:sz w:val="20"/>
              </w:rPr>
            </w:pPr>
            <w:r>
              <w:rPr>
                <w:rFonts w:ascii="Arial Narrow" w:hAnsi="Arial Narrow"/>
                <w:color w:val="000000"/>
                <w:sz w:val="20"/>
              </w:rPr>
              <w:t>2.7</w:t>
            </w:r>
          </w:p>
        </w:tc>
        <w:tc>
          <w:tcPr>
            <w:tcW w:w="674" w:type="pct"/>
            <w:gridSpan w:val="3"/>
            <w:tcBorders>
              <w:bottom w:val="single" w:sz="4" w:space="0" w:color="auto"/>
            </w:tcBorders>
            <w:vAlign w:val="center"/>
          </w:tcPr>
          <w:p w:rsidR="00295980" w:rsidRDefault="00295980" w:rsidP="00C67E3E">
            <w:pPr>
              <w:keepNext/>
              <w:jc w:val="center"/>
              <w:rPr>
                <w:rFonts w:ascii="Arial Narrow" w:hAnsi="Arial Narrow"/>
                <w:color w:val="000000"/>
                <w:sz w:val="20"/>
              </w:rPr>
            </w:pPr>
            <w:r>
              <w:rPr>
                <w:rFonts w:ascii="Arial Narrow" w:hAnsi="Arial Narrow"/>
                <w:color w:val="000000"/>
                <w:sz w:val="20"/>
              </w:rPr>
              <w:t>NR</w:t>
            </w:r>
          </w:p>
        </w:tc>
        <w:tc>
          <w:tcPr>
            <w:tcW w:w="1184" w:type="pct"/>
            <w:gridSpan w:val="2"/>
            <w:vMerge w:val="restart"/>
            <w:vAlign w:val="center"/>
          </w:tcPr>
          <w:p w:rsidR="00295980" w:rsidRPr="00CE6C5B" w:rsidRDefault="00295980" w:rsidP="00C67E3E">
            <w:pPr>
              <w:keepNext/>
              <w:jc w:val="center"/>
              <w:rPr>
                <w:i/>
              </w:rPr>
            </w:pPr>
            <w:r w:rsidRPr="00CE6C5B">
              <w:rPr>
                <w:rFonts w:ascii="Arial Narrow" w:hAnsi="Arial Narrow"/>
                <w:i/>
                <w:sz w:val="20"/>
              </w:rPr>
              <w:t xml:space="preserve">(RD) -0.4 </w:t>
            </w:r>
            <w:r w:rsidRPr="00CE6C5B">
              <w:rPr>
                <w:rFonts w:ascii="Arial Narrow" w:hAnsi="Arial Narrow"/>
                <w:i/>
                <w:sz w:val="20"/>
              </w:rPr>
              <w:br/>
              <w:t>(-1.73, 0.93)</w:t>
            </w:r>
          </w:p>
        </w:tc>
      </w:tr>
      <w:tr w:rsidR="00295980" w:rsidRPr="00E2771E" w:rsidTr="00C67E3E">
        <w:tc>
          <w:tcPr>
            <w:tcW w:w="605" w:type="pct"/>
            <w:tcBorders>
              <w:top w:val="single" w:sz="4" w:space="0" w:color="auto"/>
              <w:bottom w:val="double" w:sz="4" w:space="0" w:color="auto"/>
            </w:tcBorders>
            <w:shd w:val="clear" w:color="auto" w:fill="auto"/>
            <w:vAlign w:val="center"/>
          </w:tcPr>
          <w:p w:rsidR="00295980" w:rsidRPr="00E2771E" w:rsidRDefault="00295980" w:rsidP="00C67E3E">
            <w:pPr>
              <w:keepNext/>
              <w:rPr>
                <w:rFonts w:ascii="Arial Narrow" w:hAnsi="Arial Narrow"/>
                <w:color w:val="000000"/>
                <w:sz w:val="20"/>
                <w:szCs w:val="18"/>
              </w:rPr>
            </w:pPr>
            <w:proofErr w:type="spellStart"/>
            <w:r>
              <w:rPr>
                <w:rFonts w:ascii="Arial Narrow" w:hAnsi="Arial Narrow"/>
                <w:color w:val="000000"/>
                <w:sz w:val="20"/>
                <w:szCs w:val="18"/>
              </w:rPr>
              <w:t>Rombauts</w:t>
            </w:r>
            <w:proofErr w:type="spellEnd"/>
            <w:r>
              <w:rPr>
                <w:rFonts w:ascii="Arial Narrow" w:hAnsi="Arial Narrow"/>
                <w:color w:val="000000"/>
                <w:sz w:val="20"/>
                <w:szCs w:val="18"/>
              </w:rPr>
              <w:t xml:space="preserve"> 2006</w:t>
            </w:r>
          </w:p>
        </w:tc>
        <w:tc>
          <w:tcPr>
            <w:tcW w:w="502" w:type="pct"/>
            <w:tcBorders>
              <w:top w:val="single" w:sz="4" w:space="0" w:color="auto"/>
              <w:bottom w:val="double" w:sz="4" w:space="0" w:color="auto"/>
            </w:tcBorders>
            <w:vAlign w:val="center"/>
          </w:tcPr>
          <w:p w:rsidR="00295980" w:rsidRPr="00E2771E" w:rsidRDefault="00295980" w:rsidP="00C67E3E">
            <w:pPr>
              <w:keepNext/>
              <w:jc w:val="center"/>
              <w:rPr>
                <w:rFonts w:ascii="Arial Narrow" w:hAnsi="Arial Narrow"/>
                <w:color w:val="000000"/>
                <w:sz w:val="20"/>
              </w:rPr>
            </w:pPr>
            <w:r>
              <w:rPr>
                <w:rFonts w:ascii="Arial Narrow" w:hAnsi="Arial Narrow"/>
                <w:color w:val="000000"/>
                <w:sz w:val="20"/>
              </w:rPr>
              <w:t>111</w:t>
            </w:r>
          </w:p>
        </w:tc>
        <w:tc>
          <w:tcPr>
            <w:tcW w:w="578" w:type="pct"/>
            <w:gridSpan w:val="2"/>
            <w:tcBorders>
              <w:top w:val="single" w:sz="4" w:space="0" w:color="auto"/>
              <w:bottom w:val="double" w:sz="4" w:space="0" w:color="auto"/>
            </w:tcBorders>
            <w:vAlign w:val="center"/>
          </w:tcPr>
          <w:p w:rsidR="00295980" w:rsidRDefault="00295980" w:rsidP="00C67E3E">
            <w:pPr>
              <w:keepNext/>
              <w:jc w:val="center"/>
              <w:rPr>
                <w:rFonts w:ascii="Arial Narrow" w:hAnsi="Arial Narrow"/>
                <w:color w:val="000000"/>
                <w:sz w:val="20"/>
              </w:rPr>
            </w:pPr>
            <w:r w:rsidRPr="00742D14">
              <w:rPr>
                <w:rFonts w:ascii="Arial Narrow" w:hAnsi="Arial Narrow"/>
                <w:color w:val="000000"/>
                <w:sz w:val="20"/>
              </w:rPr>
              <w:t>5.7</w:t>
            </w:r>
          </w:p>
        </w:tc>
        <w:tc>
          <w:tcPr>
            <w:tcW w:w="426" w:type="pct"/>
            <w:tcBorders>
              <w:top w:val="single" w:sz="4" w:space="0" w:color="auto"/>
              <w:bottom w:val="double" w:sz="4" w:space="0" w:color="auto"/>
            </w:tcBorders>
            <w:vAlign w:val="center"/>
          </w:tcPr>
          <w:p w:rsidR="00295980" w:rsidRDefault="00295980" w:rsidP="00C67E3E">
            <w:pPr>
              <w:keepNext/>
              <w:jc w:val="center"/>
              <w:rPr>
                <w:rFonts w:ascii="Arial Narrow" w:hAnsi="Arial Narrow"/>
                <w:color w:val="000000"/>
                <w:sz w:val="20"/>
              </w:rPr>
            </w:pPr>
            <w:r w:rsidRPr="00742D14">
              <w:rPr>
                <w:rFonts w:ascii="Arial Narrow" w:hAnsi="Arial Narrow"/>
                <w:color w:val="000000"/>
                <w:sz w:val="20"/>
              </w:rPr>
              <w:t>4.3</w:t>
            </w:r>
          </w:p>
        </w:tc>
        <w:tc>
          <w:tcPr>
            <w:tcW w:w="419" w:type="pct"/>
            <w:tcBorders>
              <w:top w:val="single" w:sz="4" w:space="0" w:color="auto"/>
              <w:bottom w:val="double" w:sz="4" w:space="0" w:color="auto"/>
            </w:tcBorders>
            <w:vAlign w:val="center"/>
          </w:tcPr>
          <w:p w:rsidR="00295980" w:rsidRPr="00E2771E" w:rsidRDefault="00295980" w:rsidP="00C67E3E">
            <w:pPr>
              <w:keepNext/>
              <w:jc w:val="center"/>
              <w:rPr>
                <w:rFonts w:ascii="Arial Narrow" w:hAnsi="Arial Narrow"/>
                <w:color w:val="000000"/>
                <w:sz w:val="20"/>
              </w:rPr>
            </w:pPr>
            <w:r>
              <w:rPr>
                <w:rFonts w:ascii="Arial Narrow" w:hAnsi="Arial Narrow"/>
                <w:color w:val="000000"/>
                <w:sz w:val="20"/>
              </w:rPr>
              <w:t>110</w:t>
            </w:r>
          </w:p>
        </w:tc>
        <w:tc>
          <w:tcPr>
            <w:tcW w:w="612" w:type="pct"/>
            <w:gridSpan w:val="2"/>
            <w:tcBorders>
              <w:top w:val="single" w:sz="4" w:space="0" w:color="auto"/>
              <w:bottom w:val="double" w:sz="4" w:space="0" w:color="auto"/>
            </w:tcBorders>
            <w:vAlign w:val="center"/>
          </w:tcPr>
          <w:p w:rsidR="00295980" w:rsidRDefault="00295980" w:rsidP="00C67E3E">
            <w:pPr>
              <w:keepNext/>
              <w:jc w:val="center"/>
              <w:rPr>
                <w:rFonts w:ascii="Arial Narrow" w:hAnsi="Arial Narrow"/>
                <w:color w:val="000000"/>
                <w:sz w:val="20"/>
              </w:rPr>
            </w:pPr>
            <w:r w:rsidRPr="00742D14">
              <w:rPr>
                <w:rFonts w:ascii="Arial Narrow" w:hAnsi="Arial Narrow"/>
                <w:color w:val="000000"/>
                <w:sz w:val="20"/>
              </w:rPr>
              <w:t>5.0</w:t>
            </w:r>
          </w:p>
        </w:tc>
        <w:tc>
          <w:tcPr>
            <w:tcW w:w="674" w:type="pct"/>
            <w:gridSpan w:val="3"/>
            <w:tcBorders>
              <w:top w:val="single" w:sz="4" w:space="0" w:color="auto"/>
              <w:bottom w:val="double" w:sz="4" w:space="0" w:color="auto"/>
            </w:tcBorders>
            <w:vAlign w:val="center"/>
          </w:tcPr>
          <w:p w:rsidR="00295980" w:rsidRDefault="00295980" w:rsidP="00C67E3E">
            <w:pPr>
              <w:keepNext/>
              <w:jc w:val="center"/>
              <w:rPr>
                <w:rFonts w:ascii="Arial Narrow" w:hAnsi="Arial Narrow"/>
                <w:color w:val="000000"/>
                <w:sz w:val="20"/>
              </w:rPr>
            </w:pPr>
            <w:r w:rsidRPr="00742D14">
              <w:rPr>
                <w:rFonts w:ascii="Arial Narrow" w:hAnsi="Arial Narrow"/>
                <w:color w:val="000000"/>
                <w:sz w:val="20"/>
              </w:rPr>
              <w:t>4.5</w:t>
            </w:r>
          </w:p>
        </w:tc>
        <w:tc>
          <w:tcPr>
            <w:tcW w:w="1184" w:type="pct"/>
            <w:gridSpan w:val="2"/>
            <w:vMerge/>
            <w:tcBorders>
              <w:bottom w:val="double" w:sz="4" w:space="0" w:color="auto"/>
            </w:tcBorders>
            <w:vAlign w:val="center"/>
          </w:tcPr>
          <w:p w:rsidR="00295980" w:rsidRPr="00E2771E" w:rsidRDefault="00295980" w:rsidP="00C67E3E">
            <w:pPr>
              <w:keepNext/>
              <w:jc w:val="center"/>
              <w:rPr>
                <w:rFonts w:ascii="Arial Narrow" w:hAnsi="Arial Narrow"/>
                <w:b/>
                <w:sz w:val="20"/>
                <w:szCs w:val="18"/>
              </w:rPr>
            </w:pPr>
          </w:p>
        </w:tc>
      </w:tr>
      <w:tr w:rsidR="00295980" w:rsidRPr="00E2771E" w:rsidTr="00C67E3E">
        <w:tc>
          <w:tcPr>
            <w:tcW w:w="5000" w:type="pct"/>
            <w:gridSpan w:val="13"/>
            <w:tcBorders>
              <w:top w:val="double" w:sz="4" w:space="0" w:color="auto"/>
              <w:bottom w:val="single" w:sz="4" w:space="0" w:color="auto"/>
            </w:tcBorders>
            <w:shd w:val="clear" w:color="auto" w:fill="auto"/>
            <w:vAlign w:val="center"/>
          </w:tcPr>
          <w:p w:rsidR="00295980" w:rsidRPr="00E2771E" w:rsidRDefault="00295980" w:rsidP="00C67E3E">
            <w:pPr>
              <w:keepNext/>
              <w:rPr>
                <w:rFonts w:ascii="Arial Narrow" w:hAnsi="Arial Narrow"/>
                <w:b/>
                <w:color w:val="000000"/>
                <w:sz w:val="20"/>
                <w:szCs w:val="18"/>
              </w:rPr>
            </w:pPr>
            <w:r w:rsidRPr="00E2771E">
              <w:rPr>
                <w:rFonts w:ascii="Arial Narrow" w:hAnsi="Arial Narrow"/>
                <w:b/>
                <w:color w:val="000000"/>
                <w:sz w:val="20"/>
                <w:szCs w:val="18"/>
              </w:rPr>
              <w:t xml:space="preserve">Dichotomous Outcome I: </w:t>
            </w:r>
            <w:r w:rsidRPr="00C1754B">
              <w:rPr>
                <w:rFonts w:ascii="Arial Narrow" w:hAnsi="Arial Narrow"/>
                <w:b/>
                <w:color w:val="000000"/>
                <w:sz w:val="20"/>
                <w:szCs w:val="18"/>
              </w:rPr>
              <w:t xml:space="preserve">Ongoing pregnancy rate per attempt </w:t>
            </w:r>
            <w:r>
              <w:rPr>
                <w:rFonts w:ascii="Arial Narrow" w:hAnsi="Arial Narrow"/>
                <w:b/>
                <w:color w:val="000000"/>
                <w:sz w:val="20"/>
                <w:szCs w:val="18"/>
              </w:rPr>
              <w:t>[</w:t>
            </w:r>
            <w:r w:rsidRPr="00E2771E">
              <w:rPr>
                <w:rFonts w:ascii="Arial Narrow" w:hAnsi="Arial Narrow"/>
                <w:b/>
                <w:color w:val="000000"/>
                <w:sz w:val="20"/>
                <w:szCs w:val="18"/>
              </w:rPr>
              <w:t>indirect comparison</w:t>
            </w:r>
            <w:r>
              <w:rPr>
                <w:rFonts w:ascii="Arial Narrow" w:hAnsi="Arial Narrow"/>
                <w:b/>
                <w:color w:val="000000"/>
                <w:sz w:val="20"/>
                <w:szCs w:val="18"/>
              </w:rPr>
              <w:t>]</w:t>
            </w:r>
          </w:p>
        </w:tc>
      </w:tr>
      <w:tr w:rsidR="00295980" w:rsidRPr="001A585D" w:rsidTr="00C67E3E">
        <w:tc>
          <w:tcPr>
            <w:tcW w:w="605" w:type="pct"/>
            <w:vMerge w:val="restart"/>
            <w:tcBorders>
              <w:top w:val="single" w:sz="4" w:space="0" w:color="auto"/>
            </w:tcBorders>
            <w:shd w:val="clear" w:color="auto" w:fill="auto"/>
            <w:vAlign w:val="center"/>
          </w:tcPr>
          <w:p w:rsidR="00295980" w:rsidRPr="00E2771E" w:rsidRDefault="00295980" w:rsidP="00C67E3E">
            <w:pPr>
              <w:keepNext/>
              <w:rPr>
                <w:rFonts w:ascii="Arial Narrow" w:hAnsi="Arial Narrow"/>
                <w:color w:val="000000"/>
                <w:sz w:val="20"/>
                <w:szCs w:val="18"/>
              </w:rPr>
            </w:pPr>
          </w:p>
        </w:tc>
        <w:tc>
          <w:tcPr>
            <w:tcW w:w="502" w:type="pct"/>
            <w:vMerge w:val="restart"/>
            <w:tcBorders>
              <w:top w:val="single" w:sz="4" w:space="0" w:color="auto"/>
            </w:tcBorders>
            <w:vAlign w:val="center"/>
          </w:tcPr>
          <w:p w:rsidR="00295980" w:rsidRPr="00E2771E" w:rsidRDefault="00295980" w:rsidP="00C67E3E">
            <w:pPr>
              <w:keepNext/>
              <w:jc w:val="center"/>
              <w:rPr>
                <w:rFonts w:ascii="Arial Narrow" w:hAnsi="Arial Narrow"/>
                <w:b/>
                <w:color w:val="000000"/>
                <w:sz w:val="20"/>
                <w:szCs w:val="18"/>
              </w:rPr>
            </w:pPr>
            <w:proofErr w:type="spellStart"/>
            <w:r>
              <w:rPr>
                <w:rFonts w:ascii="Arial Narrow" w:hAnsi="Arial Narrow"/>
                <w:b/>
                <w:color w:val="000000"/>
                <w:sz w:val="20"/>
                <w:szCs w:val="18"/>
              </w:rPr>
              <w:t>Triptorelin</w:t>
            </w:r>
            <w:proofErr w:type="spellEnd"/>
            <w:r>
              <w:rPr>
                <w:rFonts w:ascii="Arial Narrow" w:hAnsi="Arial Narrow"/>
                <w:b/>
                <w:color w:val="000000"/>
                <w:sz w:val="20"/>
                <w:szCs w:val="18"/>
              </w:rPr>
              <w:t xml:space="preserve"> acetate</w:t>
            </w:r>
          </w:p>
        </w:tc>
        <w:tc>
          <w:tcPr>
            <w:tcW w:w="489" w:type="pct"/>
            <w:vMerge w:val="restart"/>
            <w:tcBorders>
              <w:top w:val="single" w:sz="4" w:space="0" w:color="auto"/>
            </w:tcBorders>
            <w:vAlign w:val="center"/>
          </w:tcPr>
          <w:p w:rsidR="00295980" w:rsidRPr="00E2771E" w:rsidRDefault="00295980" w:rsidP="00C67E3E">
            <w:pPr>
              <w:keepNext/>
              <w:jc w:val="center"/>
              <w:rPr>
                <w:rFonts w:ascii="Arial Narrow" w:hAnsi="Arial Narrow"/>
                <w:b/>
                <w:color w:val="000000"/>
                <w:sz w:val="20"/>
                <w:szCs w:val="18"/>
              </w:rPr>
            </w:pPr>
            <w:proofErr w:type="spellStart"/>
            <w:r>
              <w:rPr>
                <w:rFonts w:ascii="Arial Narrow" w:hAnsi="Arial Narrow"/>
                <w:b/>
                <w:color w:val="000000"/>
                <w:sz w:val="20"/>
                <w:szCs w:val="18"/>
              </w:rPr>
              <w:t>Ganirelix</w:t>
            </w:r>
            <w:proofErr w:type="spellEnd"/>
          </w:p>
        </w:tc>
        <w:tc>
          <w:tcPr>
            <w:tcW w:w="515" w:type="pct"/>
            <w:gridSpan w:val="2"/>
            <w:vMerge w:val="restart"/>
            <w:tcBorders>
              <w:top w:val="single" w:sz="4" w:space="0" w:color="auto"/>
            </w:tcBorders>
            <w:vAlign w:val="center"/>
          </w:tcPr>
          <w:p w:rsidR="00295980" w:rsidRPr="00E2771E" w:rsidRDefault="00295980" w:rsidP="00C67E3E">
            <w:pPr>
              <w:keepNext/>
              <w:jc w:val="center"/>
              <w:rPr>
                <w:rFonts w:ascii="Arial Narrow" w:hAnsi="Arial Narrow"/>
                <w:b/>
                <w:color w:val="000000"/>
                <w:sz w:val="20"/>
                <w:szCs w:val="18"/>
              </w:rPr>
            </w:pPr>
            <w:proofErr w:type="spellStart"/>
            <w:r>
              <w:rPr>
                <w:rFonts w:ascii="Arial Narrow" w:hAnsi="Arial Narrow"/>
                <w:b/>
                <w:color w:val="000000"/>
                <w:sz w:val="20"/>
                <w:szCs w:val="18"/>
              </w:rPr>
              <w:t>Nafarelin</w:t>
            </w:r>
            <w:proofErr w:type="spellEnd"/>
          </w:p>
        </w:tc>
        <w:tc>
          <w:tcPr>
            <w:tcW w:w="618" w:type="pct"/>
            <w:gridSpan w:val="2"/>
            <w:vMerge w:val="restart"/>
            <w:tcBorders>
              <w:top w:val="single" w:sz="4" w:space="0" w:color="auto"/>
            </w:tcBorders>
            <w:vAlign w:val="center"/>
          </w:tcPr>
          <w:p w:rsidR="00295980" w:rsidRPr="00E2771E" w:rsidRDefault="00295980" w:rsidP="00C67E3E">
            <w:pPr>
              <w:keepNext/>
              <w:jc w:val="center"/>
              <w:rPr>
                <w:rFonts w:ascii="Arial Narrow" w:hAnsi="Arial Narrow"/>
                <w:b/>
                <w:color w:val="000000"/>
                <w:sz w:val="20"/>
                <w:szCs w:val="18"/>
              </w:rPr>
            </w:pPr>
            <w:r w:rsidRPr="00E2771E">
              <w:rPr>
                <w:rFonts w:ascii="Arial Narrow" w:hAnsi="Arial Narrow"/>
                <w:b/>
                <w:color w:val="000000"/>
                <w:sz w:val="20"/>
                <w:szCs w:val="18"/>
              </w:rPr>
              <w:t>RR</w:t>
            </w:r>
          </w:p>
          <w:p w:rsidR="00295980" w:rsidRPr="00E2771E" w:rsidRDefault="00295980" w:rsidP="00C67E3E">
            <w:pPr>
              <w:keepNext/>
              <w:jc w:val="center"/>
              <w:rPr>
                <w:rFonts w:ascii="Arial Narrow" w:hAnsi="Arial Narrow"/>
                <w:color w:val="000000"/>
                <w:sz w:val="20"/>
                <w:szCs w:val="18"/>
              </w:rPr>
            </w:pPr>
            <w:r w:rsidRPr="00E2771E">
              <w:rPr>
                <w:rFonts w:ascii="Arial Narrow" w:hAnsi="Arial Narrow"/>
                <w:b/>
                <w:color w:val="000000"/>
                <w:sz w:val="20"/>
                <w:szCs w:val="18"/>
              </w:rPr>
              <w:t>(95% CI)</w:t>
            </w:r>
          </w:p>
        </w:tc>
        <w:tc>
          <w:tcPr>
            <w:tcW w:w="1501" w:type="pct"/>
            <w:gridSpan w:val="5"/>
            <w:tcBorders>
              <w:top w:val="single" w:sz="4" w:space="0" w:color="auto"/>
              <w:bottom w:val="single" w:sz="4" w:space="0" w:color="auto"/>
            </w:tcBorders>
            <w:vAlign w:val="center"/>
          </w:tcPr>
          <w:p w:rsidR="00295980" w:rsidRPr="001A585D" w:rsidRDefault="00295980" w:rsidP="00C67E3E">
            <w:pPr>
              <w:keepNext/>
              <w:jc w:val="center"/>
              <w:rPr>
                <w:rFonts w:ascii="Arial Narrow" w:hAnsi="Arial Narrow"/>
                <w:b/>
                <w:sz w:val="20"/>
                <w:szCs w:val="18"/>
              </w:rPr>
            </w:pPr>
            <w:r w:rsidRPr="001A585D">
              <w:rPr>
                <w:rFonts w:ascii="Arial Narrow" w:hAnsi="Arial Narrow"/>
                <w:b/>
                <w:color w:val="000000"/>
                <w:sz w:val="20"/>
                <w:szCs w:val="18"/>
              </w:rPr>
              <w:t xml:space="preserve">Event rate/100 patients* </w:t>
            </w:r>
          </w:p>
        </w:tc>
        <w:tc>
          <w:tcPr>
            <w:tcW w:w="770" w:type="pct"/>
            <w:vMerge w:val="restart"/>
            <w:tcBorders>
              <w:top w:val="single" w:sz="4" w:space="0" w:color="auto"/>
            </w:tcBorders>
            <w:vAlign w:val="center"/>
          </w:tcPr>
          <w:p w:rsidR="00295980" w:rsidRPr="001A585D" w:rsidRDefault="00295980" w:rsidP="00C67E3E">
            <w:pPr>
              <w:keepNext/>
              <w:jc w:val="center"/>
              <w:rPr>
                <w:rFonts w:ascii="Arial Narrow" w:hAnsi="Arial Narrow"/>
                <w:b/>
                <w:color w:val="000000"/>
                <w:sz w:val="20"/>
                <w:szCs w:val="18"/>
              </w:rPr>
            </w:pPr>
            <w:r w:rsidRPr="001A585D">
              <w:rPr>
                <w:rFonts w:ascii="Arial Narrow" w:hAnsi="Arial Narrow"/>
                <w:b/>
                <w:color w:val="000000"/>
                <w:sz w:val="20"/>
                <w:szCs w:val="18"/>
              </w:rPr>
              <w:t>RD</w:t>
            </w:r>
          </w:p>
          <w:p w:rsidR="00295980" w:rsidRPr="001A585D" w:rsidRDefault="00295980" w:rsidP="00C67E3E">
            <w:pPr>
              <w:keepNext/>
              <w:jc w:val="center"/>
              <w:rPr>
                <w:rFonts w:ascii="Arial Narrow" w:hAnsi="Arial Narrow"/>
                <w:b/>
                <w:sz w:val="20"/>
                <w:szCs w:val="18"/>
              </w:rPr>
            </w:pPr>
            <w:r w:rsidRPr="001A585D">
              <w:rPr>
                <w:rFonts w:ascii="Arial Narrow" w:hAnsi="Arial Narrow"/>
                <w:b/>
                <w:color w:val="000000"/>
                <w:sz w:val="20"/>
                <w:szCs w:val="18"/>
              </w:rPr>
              <w:t>(95% CI)</w:t>
            </w:r>
          </w:p>
        </w:tc>
      </w:tr>
      <w:tr w:rsidR="00295980" w:rsidRPr="00E2771E" w:rsidTr="00C67E3E">
        <w:tc>
          <w:tcPr>
            <w:tcW w:w="605" w:type="pct"/>
            <w:vMerge/>
            <w:tcBorders>
              <w:bottom w:val="single" w:sz="4" w:space="0" w:color="auto"/>
            </w:tcBorders>
            <w:shd w:val="clear" w:color="auto" w:fill="auto"/>
            <w:vAlign w:val="center"/>
          </w:tcPr>
          <w:p w:rsidR="00295980" w:rsidRPr="00E2771E" w:rsidRDefault="00295980" w:rsidP="00C67E3E">
            <w:pPr>
              <w:keepNext/>
              <w:rPr>
                <w:rFonts w:ascii="Arial Narrow" w:hAnsi="Arial Narrow"/>
                <w:color w:val="000000"/>
                <w:sz w:val="20"/>
                <w:szCs w:val="18"/>
              </w:rPr>
            </w:pPr>
          </w:p>
        </w:tc>
        <w:tc>
          <w:tcPr>
            <w:tcW w:w="502" w:type="pct"/>
            <w:vMerge/>
            <w:tcBorders>
              <w:bottom w:val="single" w:sz="4" w:space="0" w:color="auto"/>
            </w:tcBorders>
            <w:vAlign w:val="center"/>
          </w:tcPr>
          <w:p w:rsidR="00295980" w:rsidRDefault="00295980" w:rsidP="00C67E3E">
            <w:pPr>
              <w:keepNext/>
              <w:jc w:val="center"/>
              <w:rPr>
                <w:rFonts w:ascii="Arial Narrow" w:hAnsi="Arial Narrow"/>
                <w:b/>
                <w:color w:val="000000"/>
                <w:sz w:val="20"/>
                <w:szCs w:val="18"/>
              </w:rPr>
            </w:pPr>
          </w:p>
        </w:tc>
        <w:tc>
          <w:tcPr>
            <w:tcW w:w="489" w:type="pct"/>
            <w:vMerge/>
            <w:tcBorders>
              <w:bottom w:val="single" w:sz="4" w:space="0" w:color="auto"/>
            </w:tcBorders>
            <w:vAlign w:val="center"/>
          </w:tcPr>
          <w:p w:rsidR="00295980" w:rsidRDefault="00295980" w:rsidP="00C67E3E">
            <w:pPr>
              <w:keepNext/>
              <w:jc w:val="center"/>
              <w:rPr>
                <w:rFonts w:ascii="Arial Narrow" w:hAnsi="Arial Narrow"/>
                <w:b/>
                <w:color w:val="000000"/>
                <w:sz w:val="20"/>
                <w:szCs w:val="18"/>
              </w:rPr>
            </w:pPr>
          </w:p>
        </w:tc>
        <w:tc>
          <w:tcPr>
            <w:tcW w:w="515" w:type="pct"/>
            <w:gridSpan w:val="2"/>
            <w:vMerge/>
            <w:tcBorders>
              <w:bottom w:val="single" w:sz="4" w:space="0" w:color="auto"/>
            </w:tcBorders>
            <w:vAlign w:val="center"/>
          </w:tcPr>
          <w:p w:rsidR="00295980" w:rsidRDefault="00295980" w:rsidP="00C67E3E">
            <w:pPr>
              <w:keepNext/>
              <w:jc w:val="center"/>
              <w:rPr>
                <w:rFonts w:ascii="Arial Narrow" w:hAnsi="Arial Narrow"/>
                <w:b/>
                <w:color w:val="000000"/>
                <w:sz w:val="20"/>
                <w:szCs w:val="18"/>
              </w:rPr>
            </w:pPr>
          </w:p>
        </w:tc>
        <w:tc>
          <w:tcPr>
            <w:tcW w:w="618" w:type="pct"/>
            <w:gridSpan w:val="2"/>
            <w:vMerge/>
            <w:tcBorders>
              <w:bottom w:val="single" w:sz="4" w:space="0" w:color="auto"/>
            </w:tcBorders>
            <w:vAlign w:val="center"/>
          </w:tcPr>
          <w:p w:rsidR="00295980" w:rsidRPr="00E2771E" w:rsidRDefault="00295980" w:rsidP="00C67E3E">
            <w:pPr>
              <w:keepNext/>
              <w:jc w:val="center"/>
              <w:rPr>
                <w:rFonts w:ascii="Arial Narrow" w:hAnsi="Arial Narrow"/>
                <w:b/>
                <w:color w:val="000000"/>
                <w:sz w:val="20"/>
                <w:szCs w:val="18"/>
              </w:rPr>
            </w:pPr>
          </w:p>
        </w:tc>
        <w:tc>
          <w:tcPr>
            <w:tcW w:w="512" w:type="pct"/>
            <w:gridSpan w:val="2"/>
            <w:tcBorders>
              <w:top w:val="single" w:sz="4" w:space="0" w:color="auto"/>
              <w:bottom w:val="single" w:sz="4" w:space="0" w:color="auto"/>
            </w:tcBorders>
            <w:vAlign w:val="center"/>
          </w:tcPr>
          <w:p w:rsidR="00295980" w:rsidRPr="001A585D" w:rsidRDefault="00295980" w:rsidP="00C67E3E">
            <w:pPr>
              <w:keepNext/>
              <w:jc w:val="center"/>
              <w:rPr>
                <w:rFonts w:ascii="Arial Narrow" w:hAnsi="Arial Narrow"/>
                <w:b/>
                <w:color w:val="000000"/>
                <w:sz w:val="20"/>
                <w:szCs w:val="18"/>
              </w:rPr>
            </w:pPr>
            <w:proofErr w:type="spellStart"/>
            <w:r w:rsidRPr="001A585D">
              <w:rPr>
                <w:rFonts w:ascii="Arial Narrow" w:hAnsi="Arial Narrow"/>
                <w:b/>
                <w:color w:val="000000"/>
                <w:sz w:val="20"/>
                <w:szCs w:val="18"/>
              </w:rPr>
              <w:t>Triptorelin</w:t>
            </w:r>
            <w:proofErr w:type="spellEnd"/>
            <w:r w:rsidRPr="001A585D">
              <w:rPr>
                <w:rFonts w:ascii="Arial Narrow" w:hAnsi="Arial Narrow"/>
                <w:b/>
                <w:color w:val="000000"/>
                <w:sz w:val="20"/>
                <w:szCs w:val="18"/>
              </w:rPr>
              <w:t xml:space="preserve"> acetate</w:t>
            </w:r>
          </w:p>
        </w:tc>
        <w:tc>
          <w:tcPr>
            <w:tcW w:w="487" w:type="pct"/>
            <w:tcBorders>
              <w:top w:val="single" w:sz="4" w:space="0" w:color="auto"/>
              <w:bottom w:val="single" w:sz="4" w:space="0" w:color="auto"/>
            </w:tcBorders>
            <w:vAlign w:val="center"/>
          </w:tcPr>
          <w:p w:rsidR="00295980" w:rsidRPr="001A585D" w:rsidRDefault="00295980" w:rsidP="00C67E3E">
            <w:pPr>
              <w:keepNext/>
              <w:jc w:val="center"/>
              <w:rPr>
                <w:rFonts w:ascii="Arial Narrow" w:hAnsi="Arial Narrow"/>
                <w:b/>
                <w:color w:val="000000"/>
                <w:sz w:val="20"/>
                <w:szCs w:val="18"/>
              </w:rPr>
            </w:pPr>
            <w:proofErr w:type="spellStart"/>
            <w:r w:rsidRPr="001A585D">
              <w:rPr>
                <w:rFonts w:ascii="Arial Narrow" w:hAnsi="Arial Narrow"/>
                <w:b/>
                <w:color w:val="000000"/>
                <w:sz w:val="20"/>
                <w:szCs w:val="18"/>
              </w:rPr>
              <w:t>Ganirelix</w:t>
            </w:r>
            <w:proofErr w:type="spellEnd"/>
          </w:p>
        </w:tc>
        <w:tc>
          <w:tcPr>
            <w:tcW w:w="502" w:type="pct"/>
            <w:gridSpan w:val="2"/>
            <w:tcBorders>
              <w:top w:val="single" w:sz="4" w:space="0" w:color="auto"/>
              <w:bottom w:val="single" w:sz="4" w:space="0" w:color="auto"/>
            </w:tcBorders>
            <w:vAlign w:val="center"/>
          </w:tcPr>
          <w:p w:rsidR="00295980" w:rsidRPr="001A585D" w:rsidRDefault="00295980" w:rsidP="00C67E3E">
            <w:pPr>
              <w:keepNext/>
              <w:jc w:val="center"/>
              <w:rPr>
                <w:rFonts w:ascii="Arial Narrow" w:hAnsi="Arial Narrow"/>
                <w:b/>
                <w:color w:val="000000"/>
                <w:sz w:val="20"/>
                <w:szCs w:val="18"/>
              </w:rPr>
            </w:pPr>
            <w:proofErr w:type="spellStart"/>
            <w:r w:rsidRPr="001A585D">
              <w:rPr>
                <w:rFonts w:ascii="Arial Narrow" w:hAnsi="Arial Narrow"/>
                <w:b/>
                <w:color w:val="000000"/>
                <w:sz w:val="20"/>
                <w:szCs w:val="18"/>
              </w:rPr>
              <w:t>Nafarelin</w:t>
            </w:r>
            <w:proofErr w:type="spellEnd"/>
          </w:p>
        </w:tc>
        <w:tc>
          <w:tcPr>
            <w:tcW w:w="770" w:type="pct"/>
            <w:vMerge/>
            <w:tcBorders>
              <w:bottom w:val="single" w:sz="4" w:space="0" w:color="auto"/>
            </w:tcBorders>
            <w:vAlign w:val="center"/>
          </w:tcPr>
          <w:p w:rsidR="00295980" w:rsidRPr="00E2771E" w:rsidRDefault="00295980" w:rsidP="00C67E3E">
            <w:pPr>
              <w:keepNext/>
              <w:jc w:val="center"/>
              <w:rPr>
                <w:rFonts w:ascii="Arial Narrow" w:hAnsi="Arial Narrow"/>
                <w:b/>
                <w:sz w:val="20"/>
                <w:szCs w:val="18"/>
              </w:rPr>
            </w:pPr>
          </w:p>
        </w:tc>
      </w:tr>
      <w:tr w:rsidR="00295980" w:rsidRPr="006311C9" w:rsidTr="00C67E3E">
        <w:tc>
          <w:tcPr>
            <w:tcW w:w="605" w:type="pct"/>
            <w:tcBorders>
              <w:top w:val="single" w:sz="4" w:space="0" w:color="auto"/>
              <w:bottom w:val="single" w:sz="4" w:space="0" w:color="auto"/>
            </w:tcBorders>
            <w:shd w:val="clear" w:color="auto" w:fill="auto"/>
            <w:vAlign w:val="center"/>
          </w:tcPr>
          <w:p w:rsidR="00295980" w:rsidRPr="00E2771E" w:rsidRDefault="00295980" w:rsidP="00C67E3E">
            <w:pPr>
              <w:keepNext/>
              <w:rPr>
                <w:rFonts w:ascii="Arial Narrow" w:hAnsi="Arial Narrow"/>
                <w:color w:val="000000"/>
                <w:sz w:val="20"/>
                <w:szCs w:val="18"/>
              </w:rPr>
            </w:pPr>
            <w:r>
              <w:rPr>
                <w:rFonts w:ascii="Arial Narrow" w:hAnsi="Arial Narrow"/>
                <w:color w:val="000000"/>
                <w:sz w:val="20"/>
                <w:szCs w:val="18"/>
              </w:rPr>
              <w:t>EMEOSG 2001</w:t>
            </w:r>
          </w:p>
        </w:tc>
        <w:tc>
          <w:tcPr>
            <w:tcW w:w="502" w:type="pct"/>
            <w:tcBorders>
              <w:top w:val="single" w:sz="4" w:space="0" w:color="auto"/>
              <w:bottom w:val="single" w:sz="4" w:space="0" w:color="auto"/>
            </w:tcBorders>
            <w:vAlign w:val="center"/>
          </w:tcPr>
          <w:p w:rsidR="00295980" w:rsidRPr="00E2771E" w:rsidRDefault="00295980" w:rsidP="00C67E3E">
            <w:pPr>
              <w:keepNext/>
              <w:jc w:val="center"/>
              <w:rPr>
                <w:rFonts w:ascii="Arial Narrow" w:hAnsi="Arial Narrow"/>
                <w:sz w:val="20"/>
                <w:szCs w:val="18"/>
              </w:rPr>
            </w:pPr>
            <w:r w:rsidRPr="007A424D">
              <w:rPr>
                <w:rFonts w:ascii="Arial Narrow" w:hAnsi="Arial Narrow"/>
                <w:sz w:val="20"/>
                <w:szCs w:val="18"/>
              </w:rPr>
              <w:t>37/109</w:t>
            </w:r>
          </w:p>
        </w:tc>
        <w:tc>
          <w:tcPr>
            <w:tcW w:w="489" w:type="pct"/>
            <w:tcBorders>
              <w:top w:val="single" w:sz="4" w:space="0" w:color="auto"/>
              <w:bottom w:val="single" w:sz="4" w:space="0" w:color="auto"/>
            </w:tcBorders>
            <w:vAlign w:val="center"/>
          </w:tcPr>
          <w:p w:rsidR="00295980" w:rsidRPr="00E2771E" w:rsidRDefault="00295980" w:rsidP="00C67E3E">
            <w:pPr>
              <w:keepNext/>
              <w:jc w:val="center"/>
              <w:rPr>
                <w:rFonts w:ascii="Arial Narrow" w:hAnsi="Arial Narrow"/>
                <w:sz w:val="20"/>
                <w:szCs w:val="18"/>
              </w:rPr>
            </w:pPr>
            <w:r w:rsidRPr="007A424D">
              <w:rPr>
                <w:rFonts w:ascii="Arial Narrow" w:hAnsi="Arial Narrow"/>
                <w:sz w:val="20"/>
                <w:szCs w:val="18"/>
              </w:rPr>
              <w:t>70/226</w:t>
            </w:r>
          </w:p>
        </w:tc>
        <w:tc>
          <w:tcPr>
            <w:tcW w:w="515" w:type="pct"/>
            <w:gridSpan w:val="2"/>
            <w:tcBorders>
              <w:top w:val="single" w:sz="4" w:space="0" w:color="auto"/>
              <w:bottom w:val="single" w:sz="4" w:space="0" w:color="auto"/>
            </w:tcBorders>
            <w:vAlign w:val="center"/>
          </w:tcPr>
          <w:p w:rsidR="00295980" w:rsidRPr="00E2771E" w:rsidRDefault="00295980" w:rsidP="00C67E3E">
            <w:pPr>
              <w:keepNext/>
              <w:jc w:val="center"/>
              <w:rPr>
                <w:rFonts w:ascii="Arial Narrow" w:hAnsi="Arial Narrow"/>
                <w:color w:val="000000"/>
                <w:sz w:val="20"/>
                <w:szCs w:val="18"/>
              </w:rPr>
            </w:pPr>
            <w:r w:rsidRPr="00E2771E">
              <w:rPr>
                <w:rFonts w:ascii="Arial Narrow" w:hAnsi="Arial Narrow"/>
                <w:color w:val="000000"/>
                <w:sz w:val="20"/>
                <w:szCs w:val="18"/>
              </w:rPr>
              <w:t>-</w:t>
            </w:r>
          </w:p>
        </w:tc>
        <w:tc>
          <w:tcPr>
            <w:tcW w:w="618" w:type="pct"/>
            <w:gridSpan w:val="2"/>
            <w:tcBorders>
              <w:top w:val="single" w:sz="4" w:space="0" w:color="auto"/>
              <w:bottom w:val="single" w:sz="4" w:space="0" w:color="auto"/>
            </w:tcBorders>
            <w:vAlign w:val="center"/>
          </w:tcPr>
          <w:p w:rsidR="00295980" w:rsidRPr="006311C9" w:rsidRDefault="00295980" w:rsidP="00C67E3E">
            <w:pPr>
              <w:keepNext/>
              <w:jc w:val="center"/>
              <w:rPr>
                <w:rFonts w:ascii="Arial Narrow" w:hAnsi="Arial Narrow"/>
                <w:i/>
                <w:sz w:val="20"/>
                <w:szCs w:val="18"/>
              </w:rPr>
            </w:pPr>
            <w:r w:rsidRPr="006311C9">
              <w:rPr>
                <w:rFonts w:ascii="Arial Narrow" w:hAnsi="Arial Narrow"/>
                <w:i/>
                <w:sz w:val="20"/>
                <w:szCs w:val="18"/>
              </w:rPr>
              <w:t>1.10</w:t>
            </w:r>
            <w:r w:rsidRPr="006311C9">
              <w:rPr>
                <w:rFonts w:ascii="Arial Narrow" w:hAnsi="Arial Narrow"/>
                <w:i/>
                <w:sz w:val="20"/>
                <w:szCs w:val="18"/>
              </w:rPr>
              <w:br/>
              <w:t>(0.79,1.52)</w:t>
            </w:r>
          </w:p>
        </w:tc>
        <w:tc>
          <w:tcPr>
            <w:tcW w:w="512" w:type="pct"/>
            <w:gridSpan w:val="2"/>
            <w:tcBorders>
              <w:top w:val="single" w:sz="4" w:space="0" w:color="auto"/>
              <w:bottom w:val="single" w:sz="4" w:space="0" w:color="auto"/>
            </w:tcBorders>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33.9</w:t>
            </w:r>
          </w:p>
        </w:tc>
        <w:tc>
          <w:tcPr>
            <w:tcW w:w="487" w:type="pct"/>
            <w:tcBorders>
              <w:top w:val="single" w:sz="4" w:space="0" w:color="auto"/>
              <w:bottom w:val="single" w:sz="4" w:space="0" w:color="auto"/>
            </w:tcBorders>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31.0</w:t>
            </w:r>
          </w:p>
        </w:tc>
        <w:tc>
          <w:tcPr>
            <w:tcW w:w="502" w:type="pct"/>
            <w:gridSpan w:val="2"/>
            <w:tcBorders>
              <w:top w:val="single" w:sz="4" w:space="0" w:color="auto"/>
              <w:bottom w:val="single" w:sz="4" w:space="0" w:color="auto"/>
            </w:tcBorders>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w:t>
            </w:r>
          </w:p>
        </w:tc>
        <w:tc>
          <w:tcPr>
            <w:tcW w:w="770" w:type="pct"/>
            <w:tcBorders>
              <w:top w:val="single" w:sz="4" w:space="0" w:color="auto"/>
              <w:bottom w:val="single" w:sz="4" w:space="0" w:color="auto"/>
            </w:tcBorders>
            <w:vAlign w:val="center"/>
          </w:tcPr>
          <w:p w:rsidR="00295980" w:rsidRPr="006311C9" w:rsidRDefault="00295980" w:rsidP="00C67E3E">
            <w:pPr>
              <w:keepNext/>
              <w:ind w:left="2" w:right="-26"/>
              <w:jc w:val="center"/>
              <w:rPr>
                <w:rFonts w:ascii="Arial Narrow" w:hAnsi="Arial Narrow"/>
                <w:i/>
                <w:color w:val="000000"/>
                <w:sz w:val="20"/>
                <w:szCs w:val="18"/>
              </w:rPr>
            </w:pPr>
            <w:r w:rsidRPr="006311C9">
              <w:rPr>
                <w:rFonts w:ascii="Arial Narrow" w:hAnsi="Arial Narrow"/>
                <w:i/>
                <w:color w:val="000000"/>
                <w:sz w:val="20"/>
                <w:szCs w:val="18"/>
              </w:rPr>
              <w:t xml:space="preserve">2.5% </w:t>
            </w:r>
            <w:r w:rsidRPr="006311C9">
              <w:rPr>
                <w:rFonts w:ascii="Arial Narrow" w:hAnsi="Arial Narrow"/>
                <w:i/>
                <w:color w:val="000000"/>
                <w:sz w:val="20"/>
                <w:szCs w:val="18"/>
              </w:rPr>
              <w:br/>
              <w:t>(-8.0%, 13.0%)</w:t>
            </w:r>
          </w:p>
        </w:tc>
      </w:tr>
      <w:tr w:rsidR="00295980" w:rsidRPr="006311C9" w:rsidTr="00C67E3E">
        <w:tc>
          <w:tcPr>
            <w:tcW w:w="605" w:type="pct"/>
            <w:tcBorders>
              <w:top w:val="single" w:sz="4" w:space="0" w:color="auto"/>
              <w:bottom w:val="single" w:sz="4" w:space="0" w:color="auto"/>
            </w:tcBorders>
            <w:shd w:val="clear" w:color="auto" w:fill="auto"/>
            <w:vAlign w:val="center"/>
          </w:tcPr>
          <w:p w:rsidR="00295980" w:rsidRPr="00E2771E" w:rsidRDefault="00295980" w:rsidP="00C67E3E">
            <w:pPr>
              <w:keepNext/>
              <w:rPr>
                <w:rFonts w:ascii="Arial Narrow" w:hAnsi="Arial Narrow"/>
                <w:color w:val="000000"/>
                <w:sz w:val="20"/>
                <w:szCs w:val="18"/>
              </w:rPr>
            </w:pPr>
            <w:proofErr w:type="spellStart"/>
            <w:r>
              <w:rPr>
                <w:rFonts w:ascii="Arial Narrow" w:hAnsi="Arial Narrow"/>
                <w:color w:val="000000"/>
                <w:sz w:val="20"/>
                <w:szCs w:val="18"/>
              </w:rPr>
              <w:t>Rombauts</w:t>
            </w:r>
            <w:proofErr w:type="spellEnd"/>
            <w:r>
              <w:rPr>
                <w:rFonts w:ascii="Arial Narrow" w:hAnsi="Arial Narrow"/>
                <w:color w:val="000000"/>
                <w:sz w:val="20"/>
                <w:szCs w:val="18"/>
              </w:rPr>
              <w:t xml:space="preserve"> 2006</w:t>
            </w:r>
          </w:p>
        </w:tc>
        <w:tc>
          <w:tcPr>
            <w:tcW w:w="502" w:type="pct"/>
            <w:tcBorders>
              <w:top w:val="single" w:sz="4" w:space="0" w:color="auto"/>
              <w:bottom w:val="single" w:sz="4" w:space="0" w:color="auto"/>
            </w:tcBorders>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w:t>
            </w:r>
          </w:p>
        </w:tc>
        <w:tc>
          <w:tcPr>
            <w:tcW w:w="489" w:type="pct"/>
            <w:tcBorders>
              <w:top w:val="single" w:sz="4" w:space="0" w:color="auto"/>
              <w:bottom w:val="single" w:sz="4" w:space="0" w:color="auto"/>
            </w:tcBorders>
            <w:vAlign w:val="center"/>
          </w:tcPr>
          <w:p w:rsidR="00295980" w:rsidRPr="00E2771E" w:rsidRDefault="00295980" w:rsidP="00C67E3E">
            <w:pPr>
              <w:keepNext/>
              <w:jc w:val="center"/>
              <w:rPr>
                <w:rFonts w:ascii="Arial Narrow" w:hAnsi="Arial Narrow"/>
                <w:color w:val="000000"/>
                <w:sz w:val="20"/>
                <w:szCs w:val="18"/>
              </w:rPr>
            </w:pPr>
            <w:r w:rsidRPr="007A424D">
              <w:rPr>
                <w:rFonts w:ascii="Arial Narrow" w:hAnsi="Arial Narrow"/>
                <w:color w:val="000000"/>
                <w:sz w:val="20"/>
                <w:szCs w:val="18"/>
              </w:rPr>
              <w:t>23/110</w:t>
            </w:r>
          </w:p>
        </w:tc>
        <w:tc>
          <w:tcPr>
            <w:tcW w:w="515" w:type="pct"/>
            <w:gridSpan w:val="2"/>
            <w:tcBorders>
              <w:top w:val="single" w:sz="4" w:space="0" w:color="auto"/>
              <w:bottom w:val="single" w:sz="4" w:space="0" w:color="auto"/>
            </w:tcBorders>
            <w:vAlign w:val="center"/>
          </w:tcPr>
          <w:p w:rsidR="00295980" w:rsidRPr="00E2771E" w:rsidRDefault="00295980" w:rsidP="00C67E3E">
            <w:pPr>
              <w:keepNext/>
              <w:jc w:val="center"/>
              <w:rPr>
                <w:rFonts w:ascii="Arial Narrow" w:hAnsi="Arial Narrow"/>
                <w:color w:val="000000"/>
                <w:sz w:val="20"/>
                <w:szCs w:val="18"/>
              </w:rPr>
            </w:pPr>
            <w:r w:rsidRPr="007A424D">
              <w:rPr>
                <w:rFonts w:ascii="Arial Narrow" w:hAnsi="Arial Narrow"/>
                <w:color w:val="000000"/>
                <w:sz w:val="20"/>
                <w:szCs w:val="18"/>
              </w:rPr>
              <w:t>26/109</w:t>
            </w:r>
          </w:p>
        </w:tc>
        <w:tc>
          <w:tcPr>
            <w:tcW w:w="618" w:type="pct"/>
            <w:gridSpan w:val="2"/>
            <w:tcBorders>
              <w:top w:val="single" w:sz="4" w:space="0" w:color="auto"/>
              <w:bottom w:val="single" w:sz="4" w:space="0" w:color="auto"/>
            </w:tcBorders>
            <w:vAlign w:val="center"/>
          </w:tcPr>
          <w:p w:rsidR="00295980" w:rsidRPr="006311C9" w:rsidRDefault="00295980" w:rsidP="00C67E3E">
            <w:pPr>
              <w:keepNext/>
              <w:jc w:val="center"/>
              <w:rPr>
                <w:rFonts w:ascii="Arial Narrow" w:hAnsi="Arial Narrow"/>
                <w:i/>
                <w:color w:val="000000"/>
                <w:sz w:val="20"/>
                <w:szCs w:val="18"/>
              </w:rPr>
            </w:pPr>
            <w:r w:rsidRPr="006311C9">
              <w:rPr>
                <w:rFonts w:ascii="Arial Narrow" w:hAnsi="Arial Narrow"/>
                <w:i/>
                <w:color w:val="000000"/>
                <w:sz w:val="20"/>
                <w:szCs w:val="18"/>
              </w:rPr>
              <w:t>1.14</w:t>
            </w:r>
            <w:r w:rsidRPr="006311C9">
              <w:rPr>
                <w:rFonts w:ascii="Arial Narrow" w:hAnsi="Arial Narrow"/>
                <w:i/>
                <w:color w:val="000000"/>
                <w:sz w:val="20"/>
                <w:szCs w:val="18"/>
              </w:rPr>
              <w:br/>
              <w:t>(0.70,1.87)</w:t>
            </w:r>
          </w:p>
        </w:tc>
        <w:tc>
          <w:tcPr>
            <w:tcW w:w="512" w:type="pct"/>
            <w:gridSpan w:val="2"/>
            <w:tcBorders>
              <w:top w:val="single" w:sz="4" w:space="0" w:color="auto"/>
              <w:bottom w:val="single" w:sz="4" w:space="0" w:color="auto"/>
            </w:tcBorders>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w:t>
            </w:r>
          </w:p>
        </w:tc>
        <w:tc>
          <w:tcPr>
            <w:tcW w:w="487" w:type="pct"/>
            <w:tcBorders>
              <w:top w:val="single" w:sz="4" w:space="0" w:color="auto"/>
              <w:bottom w:val="single" w:sz="4" w:space="0" w:color="auto"/>
            </w:tcBorders>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20.9</w:t>
            </w:r>
          </w:p>
        </w:tc>
        <w:tc>
          <w:tcPr>
            <w:tcW w:w="502" w:type="pct"/>
            <w:gridSpan w:val="2"/>
            <w:tcBorders>
              <w:top w:val="single" w:sz="4" w:space="0" w:color="auto"/>
              <w:bottom w:val="single" w:sz="4" w:space="0" w:color="auto"/>
            </w:tcBorders>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23.9</w:t>
            </w:r>
          </w:p>
        </w:tc>
        <w:tc>
          <w:tcPr>
            <w:tcW w:w="770" w:type="pct"/>
            <w:tcBorders>
              <w:top w:val="single" w:sz="4" w:space="0" w:color="auto"/>
              <w:bottom w:val="single" w:sz="4" w:space="0" w:color="auto"/>
            </w:tcBorders>
            <w:vAlign w:val="center"/>
          </w:tcPr>
          <w:p w:rsidR="00295980" w:rsidRPr="006311C9" w:rsidRDefault="00295980" w:rsidP="00C67E3E">
            <w:pPr>
              <w:keepNext/>
              <w:ind w:left="2" w:right="-26"/>
              <w:jc w:val="center"/>
              <w:rPr>
                <w:rFonts w:ascii="Arial Narrow" w:hAnsi="Arial Narrow"/>
                <w:i/>
                <w:color w:val="000000"/>
                <w:sz w:val="20"/>
                <w:szCs w:val="18"/>
              </w:rPr>
            </w:pPr>
            <w:r w:rsidRPr="006311C9">
              <w:rPr>
                <w:rFonts w:ascii="Arial Narrow" w:hAnsi="Arial Narrow"/>
                <w:i/>
                <w:color w:val="000000"/>
                <w:sz w:val="20"/>
                <w:szCs w:val="18"/>
              </w:rPr>
              <w:t xml:space="preserve">2.9% </w:t>
            </w:r>
            <w:r w:rsidRPr="006311C9">
              <w:rPr>
                <w:rFonts w:ascii="Arial Narrow" w:hAnsi="Arial Narrow"/>
                <w:i/>
                <w:color w:val="000000"/>
                <w:sz w:val="20"/>
                <w:szCs w:val="18"/>
              </w:rPr>
              <w:br/>
              <w:t>(-8.1%, 14.0%)</w:t>
            </w:r>
          </w:p>
        </w:tc>
      </w:tr>
      <w:tr w:rsidR="00295980" w:rsidRPr="006311C9" w:rsidTr="00C67E3E">
        <w:tc>
          <w:tcPr>
            <w:tcW w:w="2111" w:type="pct"/>
            <w:gridSpan w:val="5"/>
            <w:tcBorders>
              <w:top w:val="single" w:sz="4" w:space="0" w:color="auto"/>
              <w:bottom w:val="double" w:sz="4" w:space="0" w:color="auto"/>
            </w:tcBorders>
            <w:shd w:val="clear" w:color="auto" w:fill="auto"/>
            <w:vAlign w:val="center"/>
          </w:tcPr>
          <w:p w:rsidR="00295980" w:rsidRPr="00E2771E" w:rsidRDefault="00295980" w:rsidP="00C67E3E">
            <w:pPr>
              <w:keepNext/>
              <w:jc w:val="left"/>
              <w:rPr>
                <w:rFonts w:ascii="Arial Narrow" w:hAnsi="Arial Narrow"/>
                <w:color w:val="000000"/>
                <w:sz w:val="20"/>
                <w:szCs w:val="18"/>
              </w:rPr>
            </w:pPr>
            <w:r w:rsidRPr="00E2771E">
              <w:rPr>
                <w:rFonts w:ascii="Arial Narrow" w:hAnsi="Arial Narrow"/>
                <w:color w:val="000000"/>
                <w:sz w:val="20"/>
                <w:szCs w:val="18"/>
              </w:rPr>
              <w:t xml:space="preserve">Indirect comparison: </w:t>
            </w:r>
            <w:r>
              <w:rPr>
                <w:rFonts w:ascii="Arial Narrow" w:hAnsi="Arial Narrow"/>
                <w:color w:val="000000"/>
                <w:sz w:val="20"/>
                <w:szCs w:val="18"/>
              </w:rPr>
              <w:t xml:space="preserve"> EMEOSG 2001</w:t>
            </w:r>
            <w:r w:rsidRPr="00E2771E">
              <w:rPr>
                <w:rFonts w:ascii="Arial Narrow" w:hAnsi="Arial Narrow"/>
                <w:color w:val="000000"/>
                <w:sz w:val="20"/>
                <w:szCs w:val="18"/>
              </w:rPr>
              <w:t xml:space="preserve"> vs </w:t>
            </w:r>
            <w:proofErr w:type="spellStart"/>
            <w:r>
              <w:rPr>
                <w:rFonts w:ascii="Arial Narrow" w:hAnsi="Arial Narrow"/>
                <w:color w:val="000000"/>
                <w:sz w:val="20"/>
                <w:szCs w:val="18"/>
              </w:rPr>
              <w:t>Rombauts</w:t>
            </w:r>
            <w:proofErr w:type="spellEnd"/>
            <w:r>
              <w:rPr>
                <w:rFonts w:ascii="Arial Narrow" w:hAnsi="Arial Narrow"/>
                <w:color w:val="000000"/>
                <w:sz w:val="20"/>
                <w:szCs w:val="18"/>
              </w:rPr>
              <w:t xml:space="preserve"> 2006</w:t>
            </w:r>
          </w:p>
        </w:tc>
        <w:tc>
          <w:tcPr>
            <w:tcW w:w="618" w:type="pct"/>
            <w:gridSpan w:val="2"/>
            <w:tcBorders>
              <w:top w:val="single" w:sz="4" w:space="0" w:color="auto"/>
              <w:bottom w:val="double" w:sz="4" w:space="0" w:color="auto"/>
            </w:tcBorders>
            <w:vAlign w:val="center"/>
          </w:tcPr>
          <w:p w:rsidR="00295980" w:rsidRPr="006311C9" w:rsidRDefault="00295980" w:rsidP="00C67E3E">
            <w:pPr>
              <w:keepNext/>
              <w:jc w:val="center"/>
              <w:rPr>
                <w:rFonts w:ascii="Arial Narrow" w:hAnsi="Arial Narrow"/>
                <w:i/>
                <w:color w:val="000000"/>
                <w:sz w:val="20"/>
                <w:szCs w:val="18"/>
              </w:rPr>
            </w:pPr>
            <w:r w:rsidRPr="006311C9">
              <w:rPr>
                <w:rFonts w:ascii="Arial Narrow" w:hAnsi="Arial Narrow"/>
                <w:i/>
                <w:color w:val="000000"/>
                <w:sz w:val="20"/>
                <w:szCs w:val="18"/>
              </w:rPr>
              <w:t>0.96</w:t>
            </w:r>
            <w:r w:rsidRPr="006311C9">
              <w:rPr>
                <w:rFonts w:ascii="Arial Narrow" w:hAnsi="Arial Narrow"/>
                <w:i/>
                <w:color w:val="000000"/>
                <w:sz w:val="20"/>
                <w:szCs w:val="18"/>
              </w:rPr>
              <w:br/>
              <w:t>(0.53, 1.72)</w:t>
            </w:r>
          </w:p>
        </w:tc>
        <w:tc>
          <w:tcPr>
            <w:tcW w:w="1501" w:type="pct"/>
            <w:gridSpan w:val="5"/>
            <w:tcBorders>
              <w:top w:val="single" w:sz="4" w:space="0" w:color="auto"/>
              <w:bottom w:val="double" w:sz="4" w:space="0" w:color="auto"/>
            </w:tcBorders>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w:t>
            </w:r>
          </w:p>
        </w:tc>
        <w:tc>
          <w:tcPr>
            <w:tcW w:w="770" w:type="pct"/>
            <w:tcBorders>
              <w:top w:val="single" w:sz="4" w:space="0" w:color="auto"/>
              <w:bottom w:val="double" w:sz="4" w:space="0" w:color="auto"/>
            </w:tcBorders>
            <w:vAlign w:val="center"/>
          </w:tcPr>
          <w:p w:rsidR="00295980" w:rsidRPr="006311C9" w:rsidRDefault="00295980" w:rsidP="00C67E3E">
            <w:pPr>
              <w:keepNext/>
              <w:ind w:left="2" w:right="-26"/>
              <w:jc w:val="center"/>
              <w:rPr>
                <w:rFonts w:ascii="Arial Narrow" w:hAnsi="Arial Narrow"/>
                <w:i/>
                <w:color w:val="000000"/>
                <w:sz w:val="20"/>
                <w:szCs w:val="18"/>
              </w:rPr>
            </w:pPr>
            <w:r w:rsidRPr="006311C9">
              <w:rPr>
                <w:rFonts w:ascii="Arial Narrow" w:hAnsi="Arial Narrow"/>
                <w:i/>
                <w:color w:val="000000"/>
                <w:sz w:val="20"/>
                <w:szCs w:val="18"/>
              </w:rPr>
              <w:t xml:space="preserve">0.03% </w:t>
            </w:r>
          </w:p>
          <w:p w:rsidR="00295980" w:rsidRPr="006311C9" w:rsidRDefault="00295980" w:rsidP="00C67E3E">
            <w:pPr>
              <w:keepNext/>
              <w:ind w:left="2" w:right="-26"/>
              <w:jc w:val="center"/>
              <w:rPr>
                <w:rFonts w:ascii="Arial Narrow" w:hAnsi="Arial Narrow"/>
                <w:i/>
                <w:color w:val="000000"/>
                <w:sz w:val="20"/>
                <w:szCs w:val="18"/>
              </w:rPr>
            </w:pPr>
            <w:r w:rsidRPr="006311C9">
              <w:rPr>
                <w:rFonts w:ascii="Arial Narrow" w:hAnsi="Arial Narrow"/>
                <w:i/>
                <w:color w:val="000000"/>
                <w:sz w:val="20"/>
                <w:szCs w:val="18"/>
              </w:rPr>
              <w:t>(-15.4%, 15.4%)</w:t>
            </w:r>
          </w:p>
        </w:tc>
      </w:tr>
    </w:tbl>
    <w:p w:rsidR="00295980" w:rsidRDefault="00295980" w:rsidP="00295980">
      <w:pPr>
        <w:pStyle w:val="TableFooter"/>
        <w:keepNext/>
        <w:ind w:left="720"/>
      </w:pPr>
      <w:r w:rsidRPr="0072416F">
        <w:t xml:space="preserve">Source: </w:t>
      </w:r>
      <w:r w:rsidRPr="003B5B01">
        <w:t>submission Table B-27 p73, p73, Table B-29 p75; values in italics calculated during the evaluation</w:t>
      </w:r>
    </w:p>
    <w:p w:rsidR="00295980" w:rsidRDefault="00295980" w:rsidP="00295980">
      <w:pPr>
        <w:pStyle w:val="TableFooter"/>
        <w:keepNext/>
        <w:ind w:firstLine="720"/>
      </w:pPr>
      <w:r w:rsidRPr="0072416F">
        <w:t xml:space="preserve">Abbreviations: </w:t>
      </w:r>
      <w:r>
        <w:t xml:space="preserve">OHSS = ovarian </w:t>
      </w:r>
      <w:proofErr w:type="spellStart"/>
      <w:r>
        <w:t>hyperstimulation</w:t>
      </w:r>
      <w:proofErr w:type="spellEnd"/>
      <w:r>
        <w:t xml:space="preserve"> syndrome; RR = risk difference; RR = risk ratio; SD = standard deviation.</w:t>
      </w:r>
    </w:p>
    <w:p w:rsidR="00E40C3D" w:rsidRDefault="00295980" w:rsidP="00AC3AE2">
      <w:pPr>
        <w:pStyle w:val="TableFooter"/>
        <w:ind w:firstLine="720"/>
      </w:pPr>
      <w:r>
        <w:t xml:space="preserve">* Event rate is based on one cycle of IVF treatment. </w:t>
      </w:r>
    </w:p>
    <w:p w:rsidR="00EF2091" w:rsidRDefault="00EF2091" w:rsidP="00A90842">
      <w:pPr>
        <w:ind w:left="720"/>
        <w:rPr>
          <w:rStyle w:val="CommentReference"/>
        </w:rPr>
      </w:pPr>
    </w:p>
    <w:p w:rsidR="00A90842" w:rsidRPr="002C2775" w:rsidRDefault="00A90842" w:rsidP="00296326">
      <w:pPr>
        <w:pStyle w:val="Heading2"/>
      </w:pPr>
      <w:bookmarkStart w:id="18" w:name="_Toc437239498"/>
      <w:bookmarkStart w:id="19" w:name="_Toc440884960"/>
      <w:r w:rsidRPr="002C2775">
        <w:t>Comparative harms</w:t>
      </w:r>
      <w:bookmarkEnd w:id="18"/>
      <w:bookmarkEnd w:id="19"/>
    </w:p>
    <w:p w:rsidR="00A90842" w:rsidRDefault="00A90842" w:rsidP="00C94DED">
      <w:pPr>
        <w:keepNext/>
        <w:widowControl/>
      </w:pPr>
    </w:p>
    <w:p w:rsidR="00A90842" w:rsidRPr="0030596F" w:rsidRDefault="001F0EAF" w:rsidP="000403D8">
      <w:pPr>
        <w:pStyle w:val="ListParagraph"/>
        <w:widowControl/>
        <w:numPr>
          <w:ilvl w:val="1"/>
          <w:numId w:val="1"/>
        </w:numPr>
      </w:pPr>
      <w:r w:rsidRPr="0030596F">
        <w:t xml:space="preserve">The submission did not present a </w:t>
      </w:r>
      <w:r w:rsidR="00812102" w:rsidRPr="0030596F">
        <w:t>comparison of safety outcomes for</w:t>
      </w:r>
      <w:r w:rsidRPr="0030596F">
        <w:t xml:space="preserve"> </w:t>
      </w:r>
      <w:proofErr w:type="spellStart"/>
      <w:r w:rsidRPr="0030596F">
        <w:t>triptorelin</w:t>
      </w:r>
      <w:proofErr w:type="spellEnd"/>
      <w:r w:rsidRPr="0030596F">
        <w:t xml:space="preserve"> </w:t>
      </w:r>
      <w:r w:rsidR="00760CDC" w:rsidRPr="0030596F">
        <w:t xml:space="preserve">acetate </w:t>
      </w:r>
      <w:r w:rsidR="00812102" w:rsidRPr="0030596F">
        <w:t>versus</w:t>
      </w:r>
      <w:r w:rsidRPr="0030596F">
        <w:t xml:space="preserve"> </w:t>
      </w:r>
      <w:proofErr w:type="spellStart"/>
      <w:r w:rsidRPr="0030596F">
        <w:t>nafarelin</w:t>
      </w:r>
      <w:proofErr w:type="spellEnd"/>
      <w:r w:rsidR="00676BF5" w:rsidRPr="0030596F">
        <w:t xml:space="preserve">. </w:t>
      </w:r>
    </w:p>
    <w:p w:rsidR="007920E8" w:rsidRPr="0030596F" w:rsidRDefault="007920E8" w:rsidP="007920E8">
      <w:pPr>
        <w:pStyle w:val="ListParagraph"/>
        <w:widowControl/>
      </w:pPr>
    </w:p>
    <w:p w:rsidR="007920E8" w:rsidRPr="0030596F" w:rsidRDefault="007920E8" w:rsidP="000403D8">
      <w:pPr>
        <w:pStyle w:val="ListParagraph"/>
        <w:widowControl/>
        <w:numPr>
          <w:ilvl w:val="1"/>
          <w:numId w:val="1"/>
        </w:numPr>
      </w:pPr>
      <w:r w:rsidRPr="0030596F">
        <w:t xml:space="preserve">The incidence of AEs in the </w:t>
      </w:r>
      <w:proofErr w:type="spellStart"/>
      <w:r w:rsidRPr="0030596F">
        <w:t>ganirelix</w:t>
      </w:r>
      <w:proofErr w:type="spellEnd"/>
      <w:r w:rsidRPr="0030596F">
        <w:t xml:space="preserve"> treatment group in </w:t>
      </w:r>
      <w:proofErr w:type="spellStart"/>
      <w:r w:rsidRPr="0030596F">
        <w:t>Rombauts</w:t>
      </w:r>
      <w:proofErr w:type="spellEnd"/>
      <w:r w:rsidRPr="0030596F">
        <w:t xml:space="preserve"> 2006 was higher than in the </w:t>
      </w:r>
      <w:proofErr w:type="spellStart"/>
      <w:r w:rsidRPr="0030596F">
        <w:t>ganirelix</w:t>
      </w:r>
      <w:proofErr w:type="spellEnd"/>
      <w:r w:rsidRPr="0030596F">
        <w:t xml:space="preserve"> group in EMEOSG 2001 (44.0% vs 22.6%). This impacts the indirect </w:t>
      </w:r>
      <w:r w:rsidR="00C67E3E" w:rsidRPr="0030596F">
        <w:t>comparison;</w:t>
      </w:r>
      <w:r w:rsidRPr="0030596F">
        <w:t xml:space="preserve"> however the increase in AEs with </w:t>
      </w:r>
      <w:proofErr w:type="spellStart"/>
      <w:r w:rsidRPr="0030596F">
        <w:t>nafarelin</w:t>
      </w:r>
      <w:proofErr w:type="spellEnd"/>
      <w:r w:rsidRPr="0030596F">
        <w:t xml:space="preserve"> versus </w:t>
      </w:r>
      <w:proofErr w:type="spellStart"/>
      <w:r w:rsidRPr="0030596F">
        <w:t>ganirelix</w:t>
      </w:r>
      <w:proofErr w:type="spellEnd"/>
      <w:r w:rsidRPr="0030596F">
        <w:t xml:space="preserve"> was numerically larger than the increase with </w:t>
      </w:r>
      <w:proofErr w:type="spellStart"/>
      <w:r w:rsidRPr="0030596F">
        <w:t>triptorelin</w:t>
      </w:r>
      <w:proofErr w:type="spellEnd"/>
      <w:r w:rsidRPr="0030596F">
        <w:t xml:space="preserve"> versus </w:t>
      </w:r>
      <w:proofErr w:type="spellStart"/>
      <w:r w:rsidRPr="0030596F">
        <w:t>ganirelix</w:t>
      </w:r>
      <w:proofErr w:type="spellEnd"/>
      <w:r w:rsidRPr="0030596F">
        <w:t>.</w:t>
      </w:r>
    </w:p>
    <w:p w:rsidR="00676BF5" w:rsidRPr="0030596F" w:rsidRDefault="00676BF5" w:rsidP="00676BF5">
      <w:pPr>
        <w:pStyle w:val="ListParagraph"/>
      </w:pPr>
    </w:p>
    <w:p w:rsidR="00D52BB3" w:rsidRPr="0030596F" w:rsidRDefault="00676BF5" w:rsidP="000403D8">
      <w:pPr>
        <w:pStyle w:val="ListParagraph"/>
        <w:widowControl/>
        <w:numPr>
          <w:ilvl w:val="1"/>
          <w:numId w:val="1"/>
        </w:numPr>
      </w:pPr>
      <w:r w:rsidRPr="0030596F">
        <w:t>The incidence of SAEs and OHSS events was relatively low and the individual trials were not powered to detect differences.</w:t>
      </w:r>
      <w:r w:rsidR="00EE50E7" w:rsidRPr="0030596F">
        <w:t xml:space="preserve"> In EMEOSG 2001, none of the SAEs were reported to be related to treatment and all patients recovered from the event. In </w:t>
      </w:r>
      <w:proofErr w:type="spellStart"/>
      <w:r w:rsidR="00EE50E7" w:rsidRPr="0030596F">
        <w:t>Rombauts</w:t>
      </w:r>
      <w:proofErr w:type="spellEnd"/>
      <w:r w:rsidR="00EE50E7" w:rsidRPr="0030596F">
        <w:t xml:space="preserve"> 2006, four of the SAEs were considered to be related to treatment (one ovarian cyst and one case of OHSS in the </w:t>
      </w:r>
      <w:proofErr w:type="spellStart"/>
      <w:r w:rsidR="00EE50E7" w:rsidRPr="0030596F">
        <w:t>OC+ganirelix</w:t>
      </w:r>
      <w:proofErr w:type="spellEnd"/>
      <w:r w:rsidR="00EE50E7" w:rsidRPr="0030596F">
        <w:t xml:space="preserve"> group; one case of OHSS in </w:t>
      </w:r>
      <w:proofErr w:type="spellStart"/>
      <w:r w:rsidR="00EE50E7" w:rsidRPr="0030596F">
        <w:t>nafarelin</w:t>
      </w:r>
      <w:proofErr w:type="spellEnd"/>
      <w:r w:rsidR="00EE50E7" w:rsidRPr="0030596F">
        <w:t xml:space="preserve"> group and one ectopic pregnancy in the </w:t>
      </w:r>
      <w:proofErr w:type="spellStart"/>
      <w:r w:rsidR="00EE50E7" w:rsidRPr="0030596F">
        <w:t>ganirelix</w:t>
      </w:r>
      <w:proofErr w:type="spellEnd"/>
      <w:r w:rsidR="00EE50E7" w:rsidRPr="0030596F">
        <w:t xml:space="preserve"> group). In EMEOSG 2001 there was one (0.9%) OHSS event in the </w:t>
      </w:r>
      <w:proofErr w:type="spellStart"/>
      <w:r w:rsidR="00EE50E7" w:rsidRPr="0030596F">
        <w:t>triptorelin</w:t>
      </w:r>
      <w:proofErr w:type="spellEnd"/>
      <w:r w:rsidR="00EE50E7" w:rsidRPr="0030596F">
        <w:t xml:space="preserve"> acetate group compared with four (1.8%) in the </w:t>
      </w:r>
      <w:proofErr w:type="spellStart"/>
      <w:r w:rsidR="00EE50E7" w:rsidRPr="0030596F">
        <w:t>ganirelix</w:t>
      </w:r>
      <w:proofErr w:type="spellEnd"/>
      <w:r w:rsidR="00EE50E7" w:rsidRPr="0030596F">
        <w:t xml:space="preserve"> group. In </w:t>
      </w:r>
      <w:proofErr w:type="spellStart"/>
      <w:r w:rsidR="00EE50E7" w:rsidRPr="0030596F">
        <w:t>Rombauts</w:t>
      </w:r>
      <w:proofErr w:type="spellEnd"/>
      <w:r w:rsidR="00EE50E7" w:rsidRPr="0030596F">
        <w:t xml:space="preserve"> 2006 there were six (5.4%) OHSS events in the </w:t>
      </w:r>
      <w:proofErr w:type="spellStart"/>
      <w:r w:rsidR="00EE50E7" w:rsidRPr="0030596F">
        <w:t>nafarelin</w:t>
      </w:r>
      <w:proofErr w:type="spellEnd"/>
      <w:r w:rsidR="00EE50E7" w:rsidRPr="0030596F">
        <w:t xml:space="preserve"> group compared with tw</w:t>
      </w:r>
      <w:bookmarkStart w:id="20" w:name="_Toc437239499"/>
      <w:r w:rsidR="00095C93" w:rsidRPr="0030596F">
        <w:t xml:space="preserve">o (1.8%) in the </w:t>
      </w:r>
      <w:proofErr w:type="spellStart"/>
      <w:r w:rsidR="00095C93" w:rsidRPr="0030596F">
        <w:t>ganirelix</w:t>
      </w:r>
      <w:proofErr w:type="spellEnd"/>
      <w:r w:rsidR="00095C93" w:rsidRPr="0030596F">
        <w:t xml:space="preserve"> group. </w:t>
      </w:r>
    </w:p>
    <w:p w:rsidR="002B11A7" w:rsidRPr="0030596F" w:rsidRDefault="002B11A7" w:rsidP="002B11A7">
      <w:pPr>
        <w:pStyle w:val="ListParagraph"/>
      </w:pPr>
    </w:p>
    <w:p w:rsidR="00052518" w:rsidRPr="0030596F" w:rsidRDefault="00052518" w:rsidP="000403D8">
      <w:pPr>
        <w:pStyle w:val="ListParagraph"/>
        <w:widowControl/>
        <w:numPr>
          <w:ilvl w:val="1"/>
          <w:numId w:val="1"/>
        </w:numPr>
      </w:pPr>
      <w:r w:rsidRPr="0030596F">
        <w:t xml:space="preserve">The ESC noted the difficulty in comparing safety outcomes for </w:t>
      </w:r>
      <w:proofErr w:type="spellStart"/>
      <w:r w:rsidRPr="0030596F">
        <w:t>triptorelin</w:t>
      </w:r>
      <w:proofErr w:type="spellEnd"/>
      <w:r w:rsidRPr="0030596F">
        <w:t xml:space="preserve"> and </w:t>
      </w:r>
      <w:proofErr w:type="spellStart"/>
      <w:r w:rsidRPr="0030596F">
        <w:t>nafarelin</w:t>
      </w:r>
      <w:proofErr w:type="spellEnd"/>
      <w:r w:rsidRPr="0030596F">
        <w:t xml:space="preserve"> through the common comparator, as </w:t>
      </w:r>
      <w:proofErr w:type="spellStart"/>
      <w:r w:rsidRPr="0030596F">
        <w:t>ganirelix</w:t>
      </w:r>
      <w:proofErr w:type="spellEnd"/>
      <w:r w:rsidRPr="0030596F">
        <w:t xml:space="preserve"> is used in short stimulation cycles, and </w:t>
      </w:r>
      <w:proofErr w:type="spellStart"/>
      <w:r w:rsidRPr="0030596F">
        <w:t>triptorelin</w:t>
      </w:r>
      <w:proofErr w:type="spellEnd"/>
      <w:r w:rsidRPr="0030596F">
        <w:t xml:space="preserve"> and </w:t>
      </w:r>
      <w:proofErr w:type="spellStart"/>
      <w:r w:rsidRPr="0030596F">
        <w:t>nafarelin</w:t>
      </w:r>
      <w:proofErr w:type="spellEnd"/>
      <w:r w:rsidRPr="0030596F">
        <w:t xml:space="preserve"> are used in long stimulation cycles and have </w:t>
      </w:r>
      <w:r w:rsidRPr="0030596F">
        <w:lastRenderedPageBreak/>
        <w:t>different rates of serious adverse effects</w:t>
      </w:r>
      <w:r w:rsidR="00DB28C6" w:rsidRPr="0030596F">
        <w:t>,</w:t>
      </w:r>
      <w:r w:rsidRPr="0030596F">
        <w:t xml:space="preserve"> including ovarian </w:t>
      </w:r>
      <w:proofErr w:type="spellStart"/>
      <w:r w:rsidRPr="0030596F">
        <w:t>hyperstimulation</w:t>
      </w:r>
      <w:proofErr w:type="spellEnd"/>
      <w:r w:rsidRPr="0030596F">
        <w:t xml:space="preserve"> syndrome.</w:t>
      </w:r>
    </w:p>
    <w:p w:rsidR="00052518" w:rsidRDefault="00052518" w:rsidP="00052518">
      <w:pPr>
        <w:pStyle w:val="PBACHeading1"/>
        <w:numPr>
          <w:ilvl w:val="0"/>
          <w:numId w:val="0"/>
        </w:numPr>
        <w:ind w:left="720" w:hanging="720"/>
      </w:pPr>
    </w:p>
    <w:p w:rsidR="00295980" w:rsidRPr="00295980" w:rsidRDefault="00295980" w:rsidP="00295980">
      <w:pPr>
        <w:pStyle w:val="PBACHeading1"/>
        <w:numPr>
          <w:ilvl w:val="0"/>
          <w:numId w:val="0"/>
        </w:numPr>
        <w:ind w:left="720"/>
        <w:rPr>
          <w:b w:val="0"/>
        </w:rPr>
      </w:pPr>
      <w:r w:rsidRPr="00295980">
        <w:rPr>
          <w:rStyle w:val="CommentReference"/>
          <w:b/>
        </w:rPr>
        <w:t>Table</w:t>
      </w:r>
      <w:r w:rsidR="00C67E3E">
        <w:rPr>
          <w:rStyle w:val="CommentReference"/>
          <w:b/>
        </w:rPr>
        <w:t xml:space="preserve"> 4</w:t>
      </w:r>
      <w:r w:rsidRPr="00295980">
        <w:rPr>
          <w:rStyle w:val="CommentReference"/>
          <w:b/>
        </w:rPr>
        <w:t xml:space="preserve">: Summary of comparative harms for </w:t>
      </w:r>
      <w:proofErr w:type="spellStart"/>
      <w:r w:rsidRPr="00295980">
        <w:rPr>
          <w:rStyle w:val="CommentReference"/>
          <w:b/>
        </w:rPr>
        <w:t>triptorelin</w:t>
      </w:r>
      <w:proofErr w:type="spellEnd"/>
      <w:r w:rsidRPr="00295980">
        <w:rPr>
          <w:rStyle w:val="CommentReference"/>
          <w:b/>
        </w:rPr>
        <w:t xml:space="preserve"> acetate and </w:t>
      </w:r>
      <w:proofErr w:type="spellStart"/>
      <w:r w:rsidRPr="00295980">
        <w:rPr>
          <w:rStyle w:val="CommentReference"/>
          <w:b/>
        </w:rPr>
        <w:t>nafarelin</w:t>
      </w:r>
      <w:proofErr w:type="spellEnd"/>
      <w:r w:rsidRPr="00295980">
        <w:rPr>
          <w:rStyle w:val="CommentReference"/>
          <w:b/>
        </w:rPr>
        <w:t>/</w:t>
      </w:r>
      <w:proofErr w:type="spellStart"/>
      <w:r w:rsidRPr="00295980">
        <w:rPr>
          <w:rStyle w:val="CommentReference"/>
          <w:b/>
        </w:rPr>
        <w:t>ganirelix</w:t>
      </w:r>
      <w:proofErr w:type="spellEnd"/>
    </w:p>
    <w:tbl>
      <w:tblPr>
        <w:tblStyle w:val="TableGrid"/>
        <w:tblW w:w="4661" w:type="pct"/>
        <w:tblInd w:w="705" w:type="dxa"/>
        <w:tblLayout w:type="fixed"/>
        <w:tblCellMar>
          <w:left w:w="28" w:type="dxa"/>
          <w:right w:w="28" w:type="dxa"/>
        </w:tblCellMar>
        <w:tblLook w:val="04A0" w:firstRow="1" w:lastRow="0" w:firstColumn="1" w:lastColumn="0" w:noHBand="0" w:noVBand="1"/>
        <w:tblCaption w:val="Table 4: Summary of comparative harms for triptorelin acetate and nafarelin/ganirelix"/>
      </w:tblPr>
      <w:tblGrid>
        <w:gridCol w:w="1128"/>
        <w:gridCol w:w="1575"/>
        <w:gridCol w:w="860"/>
        <w:gridCol w:w="1136"/>
        <w:gridCol w:w="1549"/>
        <w:gridCol w:w="874"/>
        <w:gridCol w:w="1344"/>
      </w:tblGrid>
      <w:tr w:rsidR="00295980" w:rsidRPr="00E2771E" w:rsidTr="00D70BC6">
        <w:trPr>
          <w:tblHeader/>
        </w:trPr>
        <w:tc>
          <w:tcPr>
            <w:tcW w:w="5000" w:type="pct"/>
            <w:gridSpan w:val="7"/>
            <w:tcBorders>
              <w:top w:val="double" w:sz="4" w:space="0" w:color="auto"/>
            </w:tcBorders>
            <w:shd w:val="clear" w:color="auto" w:fill="auto"/>
            <w:vAlign w:val="center"/>
          </w:tcPr>
          <w:p w:rsidR="00295980" w:rsidRPr="00E2771E" w:rsidRDefault="00295980" w:rsidP="00C67E3E">
            <w:pPr>
              <w:keepNext/>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295980" w:rsidRPr="00E2771E" w:rsidTr="00C67E3E">
        <w:trPr>
          <w:trHeight w:val="70"/>
        </w:trPr>
        <w:tc>
          <w:tcPr>
            <w:tcW w:w="666" w:type="pct"/>
            <w:vMerge w:val="restart"/>
            <w:shd w:val="clear" w:color="auto" w:fill="auto"/>
            <w:vAlign w:val="center"/>
          </w:tcPr>
          <w:p w:rsidR="00295980" w:rsidRPr="00E2771E" w:rsidRDefault="00295980" w:rsidP="00C67E3E">
            <w:pPr>
              <w:keepNext/>
              <w:rPr>
                <w:rFonts w:ascii="Arial Narrow" w:hAnsi="Arial Narrow"/>
                <w:b/>
                <w:color w:val="000000"/>
                <w:sz w:val="20"/>
                <w:szCs w:val="18"/>
              </w:rPr>
            </w:pPr>
          </w:p>
        </w:tc>
        <w:tc>
          <w:tcPr>
            <w:tcW w:w="930" w:type="pct"/>
            <w:vMerge w:val="restart"/>
            <w:vAlign w:val="center"/>
          </w:tcPr>
          <w:p w:rsidR="00295980" w:rsidRPr="00E2771E" w:rsidRDefault="00295980" w:rsidP="00C67E3E">
            <w:pPr>
              <w:keepNext/>
              <w:jc w:val="center"/>
              <w:rPr>
                <w:rFonts w:ascii="Arial Narrow" w:hAnsi="Arial Narrow"/>
                <w:b/>
                <w:color w:val="000000"/>
                <w:sz w:val="20"/>
                <w:szCs w:val="18"/>
              </w:rPr>
            </w:pPr>
            <w:proofErr w:type="spellStart"/>
            <w:r>
              <w:rPr>
                <w:rFonts w:ascii="Arial Narrow" w:hAnsi="Arial Narrow"/>
                <w:b/>
                <w:color w:val="000000"/>
                <w:sz w:val="20"/>
                <w:szCs w:val="18"/>
              </w:rPr>
              <w:t>Triptorelin</w:t>
            </w:r>
            <w:proofErr w:type="spellEnd"/>
            <w:r>
              <w:rPr>
                <w:rFonts w:ascii="Arial Narrow" w:hAnsi="Arial Narrow"/>
                <w:b/>
                <w:color w:val="000000"/>
                <w:sz w:val="20"/>
                <w:szCs w:val="18"/>
              </w:rPr>
              <w:t xml:space="preserve"> acetate/</w:t>
            </w:r>
            <w:proofErr w:type="spellStart"/>
            <w:r>
              <w:rPr>
                <w:rFonts w:ascii="Arial Narrow" w:hAnsi="Arial Narrow"/>
                <w:b/>
                <w:color w:val="000000"/>
                <w:sz w:val="20"/>
                <w:szCs w:val="18"/>
              </w:rPr>
              <w:t>nafarelin</w:t>
            </w:r>
            <w:proofErr w:type="spellEnd"/>
          </w:p>
        </w:tc>
        <w:tc>
          <w:tcPr>
            <w:tcW w:w="508" w:type="pct"/>
            <w:vMerge w:val="restart"/>
            <w:vAlign w:val="center"/>
          </w:tcPr>
          <w:p w:rsidR="00295980" w:rsidRPr="00E2771E" w:rsidRDefault="00295980" w:rsidP="00C67E3E">
            <w:pPr>
              <w:keepNext/>
              <w:jc w:val="center"/>
              <w:rPr>
                <w:rFonts w:ascii="Arial Narrow" w:hAnsi="Arial Narrow"/>
                <w:b/>
                <w:color w:val="000000"/>
                <w:sz w:val="20"/>
                <w:szCs w:val="18"/>
              </w:rPr>
            </w:pPr>
            <w:proofErr w:type="spellStart"/>
            <w:r>
              <w:rPr>
                <w:rFonts w:ascii="Arial Narrow" w:hAnsi="Arial Narrow"/>
                <w:b/>
                <w:color w:val="000000"/>
                <w:sz w:val="20"/>
                <w:szCs w:val="18"/>
              </w:rPr>
              <w:t>Ganirelix</w:t>
            </w:r>
            <w:proofErr w:type="spellEnd"/>
          </w:p>
        </w:tc>
        <w:tc>
          <w:tcPr>
            <w:tcW w:w="671" w:type="pct"/>
            <w:vMerge w:val="restart"/>
            <w:vAlign w:val="center"/>
          </w:tcPr>
          <w:p w:rsidR="00295980" w:rsidRPr="00E2771E" w:rsidRDefault="00295980" w:rsidP="00C67E3E">
            <w:pPr>
              <w:keepNext/>
              <w:jc w:val="center"/>
              <w:rPr>
                <w:rFonts w:ascii="Arial Narrow" w:hAnsi="Arial Narrow"/>
                <w:b/>
                <w:color w:val="000000"/>
                <w:sz w:val="20"/>
                <w:szCs w:val="18"/>
              </w:rPr>
            </w:pPr>
            <w:r w:rsidRPr="00E2771E">
              <w:rPr>
                <w:rFonts w:ascii="Arial Narrow" w:hAnsi="Arial Narrow"/>
                <w:b/>
                <w:color w:val="000000"/>
                <w:sz w:val="20"/>
                <w:szCs w:val="18"/>
              </w:rPr>
              <w:t>RR</w:t>
            </w:r>
          </w:p>
          <w:p w:rsidR="00295980" w:rsidRPr="00E2771E" w:rsidRDefault="00295980" w:rsidP="00C67E3E">
            <w:pPr>
              <w:keepNext/>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430" w:type="pct"/>
            <w:gridSpan w:val="2"/>
            <w:vAlign w:val="center"/>
          </w:tcPr>
          <w:p w:rsidR="00295980" w:rsidRPr="00E2771E" w:rsidRDefault="00295980" w:rsidP="00C67E3E">
            <w:pPr>
              <w:keepNext/>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794" w:type="pct"/>
            <w:vMerge w:val="restart"/>
            <w:vAlign w:val="center"/>
          </w:tcPr>
          <w:p w:rsidR="00295980" w:rsidRPr="00E2771E" w:rsidRDefault="00295980" w:rsidP="00C67E3E">
            <w:pPr>
              <w:keepNext/>
              <w:jc w:val="center"/>
              <w:rPr>
                <w:rFonts w:ascii="Arial Narrow" w:hAnsi="Arial Narrow"/>
                <w:b/>
                <w:color w:val="000000"/>
                <w:sz w:val="20"/>
                <w:szCs w:val="18"/>
              </w:rPr>
            </w:pPr>
            <w:r w:rsidRPr="00E2771E">
              <w:rPr>
                <w:rFonts w:ascii="Arial Narrow" w:hAnsi="Arial Narrow"/>
                <w:b/>
                <w:color w:val="000000"/>
                <w:sz w:val="20"/>
                <w:szCs w:val="18"/>
              </w:rPr>
              <w:t>RD</w:t>
            </w:r>
          </w:p>
          <w:p w:rsidR="00295980" w:rsidRPr="00E2771E" w:rsidRDefault="00295980" w:rsidP="00C67E3E">
            <w:pPr>
              <w:keepNext/>
              <w:jc w:val="center"/>
              <w:rPr>
                <w:rFonts w:ascii="Arial Narrow" w:hAnsi="Arial Narrow"/>
                <w:b/>
                <w:color w:val="000000"/>
                <w:sz w:val="20"/>
                <w:szCs w:val="18"/>
              </w:rPr>
            </w:pPr>
            <w:r w:rsidRPr="00E2771E">
              <w:rPr>
                <w:rFonts w:ascii="Arial Narrow" w:hAnsi="Arial Narrow"/>
                <w:b/>
                <w:color w:val="000000"/>
                <w:sz w:val="20"/>
                <w:szCs w:val="18"/>
              </w:rPr>
              <w:t>(95% CI)</w:t>
            </w:r>
          </w:p>
        </w:tc>
      </w:tr>
      <w:tr w:rsidR="00295980" w:rsidRPr="00E2771E" w:rsidTr="00C67E3E">
        <w:trPr>
          <w:trHeight w:val="390"/>
        </w:trPr>
        <w:tc>
          <w:tcPr>
            <w:tcW w:w="666" w:type="pct"/>
            <w:vMerge/>
            <w:shd w:val="clear" w:color="auto" w:fill="auto"/>
            <w:vAlign w:val="center"/>
          </w:tcPr>
          <w:p w:rsidR="00295980" w:rsidRPr="00E2771E" w:rsidRDefault="00295980" w:rsidP="00C67E3E">
            <w:pPr>
              <w:keepNext/>
              <w:rPr>
                <w:rFonts w:ascii="Arial Narrow" w:hAnsi="Arial Narrow"/>
                <w:b/>
                <w:color w:val="000000"/>
                <w:sz w:val="20"/>
                <w:szCs w:val="18"/>
              </w:rPr>
            </w:pPr>
          </w:p>
        </w:tc>
        <w:tc>
          <w:tcPr>
            <w:tcW w:w="930" w:type="pct"/>
            <w:vMerge/>
            <w:vAlign w:val="center"/>
          </w:tcPr>
          <w:p w:rsidR="00295980" w:rsidRPr="00E2771E" w:rsidRDefault="00295980" w:rsidP="00C67E3E">
            <w:pPr>
              <w:keepNext/>
              <w:jc w:val="center"/>
              <w:rPr>
                <w:rFonts w:ascii="Arial Narrow" w:hAnsi="Arial Narrow"/>
                <w:b/>
                <w:color w:val="000000"/>
                <w:sz w:val="20"/>
                <w:szCs w:val="18"/>
              </w:rPr>
            </w:pPr>
          </w:p>
        </w:tc>
        <w:tc>
          <w:tcPr>
            <w:tcW w:w="508" w:type="pct"/>
            <w:vMerge/>
            <w:vAlign w:val="center"/>
          </w:tcPr>
          <w:p w:rsidR="00295980" w:rsidRPr="00E2771E" w:rsidRDefault="00295980" w:rsidP="00C67E3E">
            <w:pPr>
              <w:keepNext/>
              <w:jc w:val="center"/>
              <w:rPr>
                <w:rFonts w:ascii="Arial Narrow" w:hAnsi="Arial Narrow"/>
                <w:b/>
                <w:color w:val="000000"/>
                <w:sz w:val="20"/>
                <w:szCs w:val="18"/>
              </w:rPr>
            </w:pPr>
          </w:p>
        </w:tc>
        <w:tc>
          <w:tcPr>
            <w:tcW w:w="671" w:type="pct"/>
            <w:vMerge/>
            <w:vAlign w:val="center"/>
          </w:tcPr>
          <w:p w:rsidR="00295980" w:rsidRPr="00E2771E" w:rsidRDefault="00295980" w:rsidP="00C67E3E">
            <w:pPr>
              <w:keepNext/>
              <w:jc w:val="center"/>
              <w:rPr>
                <w:rFonts w:ascii="Arial Narrow" w:hAnsi="Arial Narrow"/>
                <w:b/>
                <w:color w:val="000000"/>
                <w:sz w:val="20"/>
                <w:szCs w:val="18"/>
              </w:rPr>
            </w:pPr>
          </w:p>
        </w:tc>
        <w:tc>
          <w:tcPr>
            <w:tcW w:w="915" w:type="pct"/>
            <w:vAlign w:val="center"/>
          </w:tcPr>
          <w:p w:rsidR="00295980" w:rsidRPr="00E2771E" w:rsidRDefault="00295980" w:rsidP="00C67E3E">
            <w:pPr>
              <w:keepNext/>
              <w:jc w:val="center"/>
              <w:rPr>
                <w:rFonts w:ascii="Arial Narrow" w:hAnsi="Arial Narrow"/>
                <w:b/>
                <w:color w:val="000000"/>
                <w:sz w:val="20"/>
                <w:szCs w:val="18"/>
              </w:rPr>
            </w:pPr>
            <w:proofErr w:type="spellStart"/>
            <w:r>
              <w:rPr>
                <w:rFonts w:ascii="Arial Narrow" w:hAnsi="Arial Narrow"/>
                <w:b/>
                <w:color w:val="000000"/>
                <w:sz w:val="20"/>
                <w:szCs w:val="18"/>
              </w:rPr>
              <w:t>Triptorelin</w:t>
            </w:r>
            <w:proofErr w:type="spellEnd"/>
            <w:r>
              <w:rPr>
                <w:rFonts w:ascii="Arial Narrow" w:hAnsi="Arial Narrow"/>
                <w:b/>
                <w:color w:val="000000"/>
                <w:sz w:val="20"/>
                <w:szCs w:val="18"/>
              </w:rPr>
              <w:t xml:space="preserve"> acetate/</w:t>
            </w:r>
            <w:proofErr w:type="spellStart"/>
            <w:r>
              <w:rPr>
                <w:rFonts w:ascii="Arial Narrow" w:hAnsi="Arial Narrow"/>
                <w:b/>
                <w:color w:val="000000"/>
                <w:sz w:val="20"/>
                <w:szCs w:val="18"/>
              </w:rPr>
              <w:t>nafarelin</w:t>
            </w:r>
            <w:proofErr w:type="spellEnd"/>
          </w:p>
        </w:tc>
        <w:tc>
          <w:tcPr>
            <w:tcW w:w="516" w:type="pct"/>
            <w:vAlign w:val="center"/>
          </w:tcPr>
          <w:p w:rsidR="00295980" w:rsidRPr="00E2771E" w:rsidRDefault="00295980" w:rsidP="00C67E3E">
            <w:pPr>
              <w:keepNext/>
              <w:jc w:val="center"/>
              <w:rPr>
                <w:rFonts w:ascii="Arial Narrow" w:hAnsi="Arial Narrow"/>
                <w:b/>
                <w:color w:val="000000"/>
                <w:sz w:val="20"/>
                <w:szCs w:val="18"/>
              </w:rPr>
            </w:pPr>
            <w:proofErr w:type="spellStart"/>
            <w:r>
              <w:rPr>
                <w:rFonts w:ascii="Arial Narrow" w:hAnsi="Arial Narrow"/>
                <w:b/>
                <w:color w:val="000000"/>
                <w:sz w:val="20"/>
                <w:szCs w:val="18"/>
              </w:rPr>
              <w:t>Ganirelix</w:t>
            </w:r>
            <w:proofErr w:type="spellEnd"/>
          </w:p>
        </w:tc>
        <w:tc>
          <w:tcPr>
            <w:tcW w:w="794" w:type="pct"/>
            <w:vMerge/>
            <w:vAlign w:val="center"/>
          </w:tcPr>
          <w:p w:rsidR="00295980" w:rsidRPr="00E2771E" w:rsidRDefault="00295980" w:rsidP="00C67E3E">
            <w:pPr>
              <w:keepNext/>
              <w:jc w:val="center"/>
              <w:rPr>
                <w:rFonts w:ascii="Arial Narrow" w:hAnsi="Arial Narrow"/>
                <w:b/>
                <w:color w:val="000000"/>
                <w:sz w:val="20"/>
                <w:szCs w:val="18"/>
              </w:rPr>
            </w:pPr>
          </w:p>
        </w:tc>
      </w:tr>
      <w:tr w:rsidR="00295980" w:rsidRPr="00E2771E" w:rsidTr="00C67E3E">
        <w:tc>
          <w:tcPr>
            <w:tcW w:w="5000" w:type="pct"/>
            <w:gridSpan w:val="7"/>
            <w:shd w:val="clear" w:color="auto" w:fill="auto"/>
            <w:vAlign w:val="center"/>
          </w:tcPr>
          <w:p w:rsidR="00295980" w:rsidRPr="00E2771E" w:rsidRDefault="00295980" w:rsidP="00C67E3E">
            <w:pPr>
              <w:keepNext/>
              <w:rPr>
                <w:rFonts w:ascii="Arial Narrow" w:hAnsi="Arial Narrow"/>
                <w:color w:val="000000"/>
                <w:sz w:val="20"/>
                <w:szCs w:val="18"/>
              </w:rPr>
            </w:pPr>
            <w:r w:rsidRPr="00E2771E">
              <w:rPr>
                <w:rFonts w:ascii="Arial Narrow" w:hAnsi="Arial Narrow"/>
                <w:b/>
                <w:color w:val="000000"/>
                <w:sz w:val="20"/>
                <w:szCs w:val="18"/>
              </w:rPr>
              <w:t>Adverse event</w:t>
            </w:r>
            <w:r>
              <w:rPr>
                <w:rFonts w:ascii="Arial Narrow" w:hAnsi="Arial Narrow"/>
                <w:b/>
                <w:color w:val="000000"/>
                <w:sz w:val="20"/>
                <w:szCs w:val="18"/>
              </w:rPr>
              <w:t>s</w:t>
            </w:r>
          </w:p>
        </w:tc>
      </w:tr>
      <w:tr w:rsidR="00295980" w:rsidRPr="00E2771E" w:rsidTr="00C67E3E">
        <w:tc>
          <w:tcPr>
            <w:tcW w:w="666" w:type="pct"/>
            <w:shd w:val="clear" w:color="auto" w:fill="auto"/>
            <w:vAlign w:val="center"/>
          </w:tcPr>
          <w:p w:rsidR="00295980" w:rsidRPr="00E2771E" w:rsidRDefault="00295980" w:rsidP="00C67E3E">
            <w:pPr>
              <w:keepNext/>
              <w:rPr>
                <w:rFonts w:ascii="Arial Narrow" w:hAnsi="Arial Narrow"/>
                <w:color w:val="000000"/>
                <w:sz w:val="20"/>
                <w:szCs w:val="18"/>
              </w:rPr>
            </w:pPr>
            <w:r>
              <w:rPr>
                <w:rFonts w:ascii="Arial Narrow" w:hAnsi="Arial Narrow"/>
                <w:color w:val="000000"/>
                <w:sz w:val="20"/>
                <w:szCs w:val="18"/>
              </w:rPr>
              <w:t>EMEOSG 2001</w:t>
            </w:r>
          </w:p>
        </w:tc>
        <w:tc>
          <w:tcPr>
            <w:tcW w:w="930" w:type="pct"/>
            <w:vAlign w:val="center"/>
          </w:tcPr>
          <w:p w:rsidR="00295980" w:rsidRPr="00E2771E" w:rsidRDefault="00295980" w:rsidP="00C67E3E">
            <w:pPr>
              <w:keepNext/>
              <w:jc w:val="center"/>
              <w:rPr>
                <w:rFonts w:ascii="Arial Narrow" w:hAnsi="Arial Narrow"/>
                <w:color w:val="000000"/>
                <w:sz w:val="20"/>
                <w:szCs w:val="18"/>
              </w:rPr>
            </w:pPr>
            <w:r w:rsidRPr="003B5B01">
              <w:rPr>
                <w:rFonts w:ascii="Arial Narrow" w:hAnsi="Arial Narrow"/>
                <w:color w:val="000000"/>
                <w:sz w:val="20"/>
                <w:szCs w:val="18"/>
              </w:rPr>
              <w:t>30/111</w:t>
            </w:r>
          </w:p>
        </w:tc>
        <w:tc>
          <w:tcPr>
            <w:tcW w:w="508" w:type="pct"/>
            <w:vAlign w:val="center"/>
          </w:tcPr>
          <w:p w:rsidR="00295980" w:rsidRPr="00E2771E" w:rsidRDefault="00295980" w:rsidP="00C67E3E">
            <w:pPr>
              <w:keepNext/>
              <w:jc w:val="center"/>
              <w:rPr>
                <w:rFonts w:ascii="Arial Narrow" w:hAnsi="Arial Narrow"/>
                <w:color w:val="000000"/>
                <w:sz w:val="20"/>
                <w:szCs w:val="18"/>
              </w:rPr>
            </w:pPr>
            <w:r w:rsidRPr="003B5B01">
              <w:rPr>
                <w:rFonts w:ascii="Arial Narrow" w:hAnsi="Arial Narrow"/>
                <w:color w:val="000000"/>
                <w:sz w:val="20"/>
                <w:szCs w:val="18"/>
              </w:rPr>
              <w:t>51/226</w:t>
            </w:r>
          </w:p>
        </w:tc>
        <w:tc>
          <w:tcPr>
            <w:tcW w:w="671" w:type="pct"/>
            <w:vAlign w:val="center"/>
          </w:tcPr>
          <w:p w:rsidR="00295980" w:rsidRPr="006311C9" w:rsidRDefault="00295980" w:rsidP="00C67E3E">
            <w:pPr>
              <w:keepNext/>
              <w:jc w:val="center"/>
              <w:rPr>
                <w:rFonts w:ascii="Arial Narrow" w:hAnsi="Arial Narrow"/>
                <w:i/>
                <w:color w:val="000000"/>
                <w:sz w:val="20"/>
                <w:szCs w:val="18"/>
              </w:rPr>
            </w:pPr>
            <w:r w:rsidRPr="006311C9">
              <w:rPr>
                <w:rFonts w:ascii="Arial Narrow" w:hAnsi="Arial Narrow"/>
                <w:i/>
                <w:color w:val="000000"/>
                <w:sz w:val="20"/>
                <w:szCs w:val="18"/>
              </w:rPr>
              <w:t xml:space="preserve">1.20 </w:t>
            </w:r>
          </w:p>
          <w:p w:rsidR="00295980" w:rsidRPr="00E2771E" w:rsidRDefault="00295980" w:rsidP="00C67E3E">
            <w:pPr>
              <w:keepNext/>
              <w:jc w:val="center"/>
              <w:rPr>
                <w:rFonts w:ascii="Arial Narrow" w:hAnsi="Arial Narrow"/>
                <w:color w:val="000000"/>
                <w:sz w:val="20"/>
                <w:szCs w:val="18"/>
              </w:rPr>
            </w:pPr>
            <w:r w:rsidRPr="006311C9">
              <w:rPr>
                <w:rFonts w:ascii="Arial Narrow" w:hAnsi="Arial Narrow"/>
                <w:i/>
                <w:color w:val="000000"/>
                <w:sz w:val="20"/>
                <w:szCs w:val="18"/>
              </w:rPr>
              <w:t>(0.81, 1.77)</w:t>
            </w:r>
          </w:p>
        </w:tc>
        <w:tc>
          <w:tcPr>
            <w:tcW w:w="915" w:type="pct"/>
            <w:vAlign w:val="center"/>
          </w:tcPr>
          <w:p w:rsidR="00295980" w:rsidRPr="001A585D" w:rsidRDefault="00295980" w:rsidP="00C67E3E">
            <w:pPr>
              <w:keepNext/>
              <w:jc w:val="center"/>
              <w:rPr>
                <w:rFonts w:ascii="Arial Narrow" w:hAnsi="Arial Narrow"/>
                <w:i/>
                <w:color w:val="000000"/>
                <w:sz w:val="20"/>
                <w:szCs w:val="18"/>
              </w:rPr>
            </w:pPr>
            <w:r>
              <w:rPr>
                <w:rFonts w:ascii="Arial Narrow" w:hAnsi="Arial Narrow"/>
                <w:i/>
                <w:color w:val="000000"/>
                <w:sz w:val="20"/>
                <w:szCs w:val="18"/>
              </w:rPr>
              <w:t>27.0</w:t>
            </w:r>
          </w:p>
        </w:tc>
        <w:tc>
          <w:tcPr>
            <w:tcW w:w="516" w:type="pct"/>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22.6</w:t>
            </w:r>
          </w:p>
        </w:tc>
        <w:tc>
          <w:tcPr>
            <w:tcW w:w="794" w:type="pct"/>
            <w:vAlign w:val="center"/>
          </w:tcPr>
          <w:p w:rsidR="00295980" w:rsidRPr="00E2771E" w:rsidRDefault="00295980" w:rsidP="00C67E3E">
            <w:pPr>
              <w:keepNext/>
              <w:jc w:val="center"/>
              <w:rPr>
                <w:rFonts w:ascii="Arial Narrow" w:hAnsi="Arial Narrow"/>
                <w:color w:val="000000"/>
                <w:sz w:val="20"/>
                <w:szCs w:val="18"/>
              </w:rPr>
            </w:pPr>
            <w:r w:rsidRPr="006311C9">
              <w:rPr>
                <w:rFonts w:ascii="Arial Narrow" w:hAnsi="Arial Narrow"/>
                <w:i/>
                <w:color w:val="000000"/>
                <w:sz w:val="20"/>
                <w:szCs w:val="18"/>
              </w:rPr>
              <w:t xml:space="preserve">4.5% </w:t>
            </w:r>
            <w:r w:rsidRPr="006311C9">
              <w:rPr>
                <w:rFonts w:ascii="Arial Narrow" w:hAnsi="Arial Narrow"/>
                <w:i/>
                <w:color w:val="000000"/>
                <w:sz w:val="20"/>
                <w:szCs w:val="18"/>
              </w:rPr>
              <w:br/>
              <w:t>(-5.4%, 14.4%)</w:t>
            </w:r>
          </w:p>
        </w:tc>
      </w:tr>
      <w:tr w:rsidR="00295980" w:rsidRPr="00E2771E" w:rsidTr="00C67E3E">
        <w:tc>
          <w:tcPr>
            <w:tcW w:w="666" w:type="pct"/>
            <w:shd w:val="clear" w:color="auto" w:fill="auto"/>
            <w:vAlign w:val="center"/>
          </w:tcPr>
          <w:p w:rsidR="00295980" w:rsidRPr="00E2771E" w:rsidRDefault="00295980" w:rsidP="00C67E3E">
            <w:pPr>
              <w:keepNext/>
              <w:rPr>
                <w:rFonts w:ascii="Arial Narrow" w:hAnsi="Arial Narrow"/>
                <w:color w:val="000000"/>
                <w:sz w:val="20"/>
                <w:szCs w:val="18"/>
              </w:rPr>
            </w:pPr>
            <w:proofErr w:type="spellStart"/>
            <w:r>
              <w:rPr>
                <w:rFonts w:ascii="Arial Narrow" w:hAnsi="Arial Narrow"/>
                <w:color w:val="000000"/>
                <w:sz w:val="20"/>
                <w:szCs w:val="18"/>
              </w:rPr>
              <w:t>Rombauts</w:t>
            </w:r>
            <w:proofErr w:type="spellEnd"/>
            <w:r>
              <w:rPr>
                <w:rFonts w:ascii="Arial Narrow" w:hAnsi="Arial Narrow"/>
                <w:color w:val="000000"/>
                <w:sz w:val="20"/>
                <w:szCs w:val="18"/>
              </w:rPr>
              <w:t xml:space="preserve"> 2006</w:t>
            </w:r>
          </w:p>
        </w:tc>
        <w:tc>
          <w:tcPr>
            <w:tcW w:w="930" w:type="pct"/>
            <w:vAlign w:val="center"/>
          </w:tcPr>
          <w:p w:rsidR="00295980" w:rsidRPr="00E2771E" w:rsidRDefault="00295980" w:rsidP="00C67E3E">
            <w:pPr>
              <w:keepNext/>
              <w:jc w:val="center"/>
              <w:rPr>
                <w:rFonts w:ascii="Arial Narrow" w:hAnsi="Arial Narrow"/>
                <w:color w:val="000000"/>
                <w:sz w:val="20"/>
                <w:szCs w:val="18"/>
              </w:rPr>
            </w:pPr>
            <w:r w:rsidRPr="003B5B01">
              <w:rPr>
                <w:rFonts w:ascii="Arial Narrow" w:hAnsi="Arial Narrow"/>
                <w:color w:val="000000"/>
                <w:sz w:val="20"/>
                <w:szCs w:val="18"/>
              </w:rPr>
              <w:t>75/111</w:t>
            </w:r>
          </w:p>
        </w:tc>
        <w:tc>
          <w:tcPr>
            <w:tcW w:w="508" w:type="pct"/>
            <w:vAlign w:val="center"/>
          </w:tcPr>
          <w:p w:rsidR="00295980" w:rsidRPr="00E2771E" w:rsidRDefault="00295980" w:rsidP="00C67E3E">
            <w:pPr>
              <w:keepNext/>
              <w:jc w:val="center"/>
              <w:rPr>
                <w:rFonts w:ascii="Arial Narrow" w:hAnsi="Arial Narrow"/>
                <w:color w:val="000000"/>
                <w:sz w:val="20"/>
                <w:szCs w:val="18"/>
              </w:rPr>
            </w:pPr>
            <w:r w:rsidRPr="003B5B01">
              <w:rPr>
                <w:rFonts w:ascii="Arial Narrow" w:hAnsi="Arial Narrow"/>
                <w:color w:val="000000"/>
                <w:sz w:val="20"/>
                <w:szCs w:val="18"/>
              </w:rPr>
              <w:t>48/109</w:t>
            </w:r>
          </w:p>
        </w:tc>
        <w:tc>
          <w:tcPr>
            <w:tcW w:w="671" w:type="pct"/>
            <w:vAlign w:val="center"/>
          </w:tcPr>
          <w:p w:rsidR="00295980" w:rsidRPr="006311C9" w:rsidRDefault="00295980" w:rsidP="00C67E3E">
            <w:pPr>
              <w:keepNext/>
              <w:jc w:val="center"/>
              <w:rPr>
                <w:rFonts w:ascii="Arial Narrow" w:hAnsi="Arial Narrow"/>
                <w:i/>
                <w:color w:val="000000"/>
                <w:sz w:val="20"/>
                <w:szCs w:val="18"/>
              </w:rPr>
            </w:pPr>
            <w:r w:rsidRPr="006311C9">
              <w:rPr>
                <w:rFonts w:ascii="Arial Narrow" w:hAnsi="Arial Narrow"/>
                <w:i/>
                <w:color w:val="000000"/>
                <w:sz w:val="20"/>
                <w:szCs w:val="18"/>
              </w:rPr>
              <w:t xml:space="preserve">1.53 </w:t>
            </w:r>
          </w:p>
          <w:p w:rsidR="00295980" w:rsidRPr="00E2771E" w:rsidRDefault="00295980" w:rsidP="00C67E3E">
            <w:pPr>
              <w:keepNext/>
              <w:jc w:val="center"/>
              <w:rPr>
                <w:rFonts w:ascii="Arial Narrow" w:hAnsi="Arial Narrow"/>
                <w:color w:val="000000"/>
                <w:sz w:val="20"/>
                <w:szCs w:val="18"/>
              </w:rPr>
            </w:pPr>
            <w:r w:rsidRPr="006311C9">
              <w:rPr>
                <w:rFonts w:ascii="Arial Narrow" w:hAnsi="Arial Narrow"/>
                <w:i/>
                <w:color w:val="000000"/>
                <w:sz w:val="20"/>
                <w:szCs w:val="18"/>
              </w:rPr>
              <w:t>(1.20, 1.97)</w:t>
            </w:r>
          </w:p>
        </w:tc>
        <w:tc>
          <w:tcPr>
            <w:tcW w:w="915" w:type="pct"/>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67.6</w:t>
            </w:r>
          </w:p>
        </w:tc>
        <w:tc>
          <w:tcPr>
            <w:tcW w:w="516" w:type="pct"/>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44.0</w:t>
            </w:r>
          </w:p>
        </w:tc>
        <w:tc>
          <w:tcPr>
            <w:tcW w:w="794" w:type="pct"/>
            <w:vAlign w:val="center"/>
          </w:tcPr>
          <w:p w:rsidR="00295980" w:rsidRPr="00E2771E" w:rsidRDefault="00295980" w:rsidP="00C67E3E">
            <w:pPr>
              <w:keepNext/>
              <w:jc w:val="center"/>
              <w:rPr>
                <w:rFonts w:ascii="Arial Narrow" w:hAnsi="Arial Narrow"/>
                <w:color w:val="000000"/>
                <w:sz w:val="20"/>
                <w:szCs w:val="18"/>
              </w:rPr>
            </w:pPr>
            <w:r w:rsidRPr="006311C9">
              <w:rPr>
                <w:rFonts w:ascii="Arial Narrow" w:hAnsi="Arial Narrow"/>
                <w:i/>
                <w:color w:val="000000"/>
                <w:sz w:val="20"/>
                <w:szCs w:val="18"/>
              </w:rPr>
              <w:t xml:space="preserve">23.5% </w:t>
            </w:r>
            <w:r w:rsidRPr="006311C9">
              <w:rPr>
                <w:rFonts w:ascii="Arial Narrow" w:hAnsi="Arial Narrow"/>
                <w:i/>
                <w:color w:val="000000"/>
                <w:sz w:val="20"/>
                <w:szCs w:val="18"/>
              </w:rPr>
              <w:br/>
              <w:t>(10.8%, 36.3%)</w:t>
            </w:r>
          </w:p>
        </w:tc>
      </w:tr>
      <w:tr w:rsidR="00295980" w:rsidRPr="00E2771E" w:rsidTr="00C67E3E">
        <w:tc>
          <w:tcPr>
            <w:tcW w:w="5000" w:type="pct"/>
            <w:gridSpan w:val="7"/>
            <w:shd w:val="clear" w:color="auto" w:fill="auto"/>
            <w:vAlign w:val="center"/>
          </w:tcPr>
          <w:p w:rsidR="00295980" w:rsidRPr="00E2771E" w:rsidRDefault="00295980" w:rsidP="00C67E3E">
            <w:pPr>
              <w:keepNext/>
              <w:rPr>
                <w:rFonts w:ascii="Arial Narrow" w:hAnsi="Arial Narrow"/>
                <w:color w:val="000000"/>
                <w:sz w:val="20"/>
                <w:szCs w:val="18"/>
              </w:rPr>
            </w:pPr>
            <w:r w:rsidRPr="00445147">
              <w:rPr>
                <w:rFonts w:ascii="Arial Narrow" w:hAnsi="Arial Narrow"/>
                <w:b/>
                <w:color w:val="000000"/>
                <w:sz w:val="20"/>
                <w:szCs w:val="18"/>
              </w:rPr>
              <w:t>Serious adverse events</w:t>
            </w:r>
          </w:p>
        </w:tc>
      </w:tr>
      <w:tr w:rsidR="00295980" w:rsidRPr="00E2771E" w:rsidTr="00C67E3E">
        <w:tc>
          <w:tcPr>
            <w:tcW w:w="666" w:type="pct"/>
            <w:shd w:val="clear" w:color="auto" w:fill="auto"/>
            <w:vAlign w:val="center"/>
          </w:tcPr>
          <w:p w:rsidR="00295980" w:rsidRPr="00E2771E" w:rsidRDefault="00295980" w:rsidP="00C67E3E">
            <w:pPr>
              <w:keepNext/>
              <w:rPr>
                <w:rFonts w:ascii="Arial Narrow" w:hAnsi="Arial Narrow"/>
                <w:color w:val="000000"/>
                <w:sz w:val="20"/>
                <w:szCs w:val="18"/>
              </w:rPr>
            </w:pPr>
            <w:r>
              <w:rPr>
                <w:rFonts w:ascii="Arial Narrow" w:hAnsi="Arial Narrow"/>
                <w:color w:val="000000"/>
                <w:sz w:val="20"/>
                <w:szCs w:val="18"/>
              </w:rPr>
              <w:t>EMEOSG 2001</w:t>
            </w:r>
          </w:p>
        </w:tc>
        <w:tc>
          <w:tcPr>
            <w:tcW w:w="930" w:type="pct"/>
            <w:vAlign w:val="center"/>
          </w:tcPr>
          <w:p w:rsidR="00295980" w:rsidRPr="00E2771E" w:rsidRDefault="00295980" w:rsidP="00C67E3E">
            <w:pPr>
              <w:keepNext/>
              <w:jc w:val="center"/>
              <w:rPr>
                <w:rFonts w:ascii="Arial Narrow" w:hAnsi="Arial Narrow"/>
                <w:color w:val="000000"/>
                <w:sz w:val="20"/>
                <w:szCs w:val="18"/>
              </w:rPr>
            </w:pPr>
            <w:r w:rsidRPr="009D4790">
              <w:rPr>
                <w:rFonts w:ascii="Arial Narrow" w:hAnsi="Arial Narrow" w:cs="Arial Narrow"/>
                <w:i/>
                <w:snapToGrid/>
                <w:sz w:val="20"/>
              </w:rPr>
              <w:t>3/111</w:t>
            </w:r>
          </w:p>
        </w:tc>
        <w:tc>
          <w:tcPr>
            <w:tcW w:w="508" w:type="pct"/>
            <w:vAlign w:val="center"/>
          </w:tcPr>
          <w:p w:rsidR="00295980" w:rsidRPr="00E2771E" w:rsidRDefault="00295980" w:rsidP="00C67E3E">
            <w:pPr>
              <w:keepNext/>
              <w:jc w:val="center"/>
              <w:rPr>
                <w:rFonts w:ascii="Arial Narrow" w:hAnsi="Arial Narrow"/>
                <w:color w:val="000000"/>
                <w:sz w:val="20"/>
                <w:szCs w:val="18"/>
              </w:rPr>
            </w:pPr>
            <w:r w:rsidRPr="009D4790">
              <w:rPr>
                <w:rFonts w:ascii="Arial Narrow" w:hAnsi="Arial Narrow" w:cs="Arial Narrow"/>
                <w:i/>
                <w:snapToGrid/>
                <w:sz w:val="20"/>
              </w:rPr>
              <w:t>7/226</w:t>
            </w:r>
          </w:p>
        </w:tc>
        <w:tc>
          <w:tcPr>
            <w:tcW w:w="671" w:type="pct"/>
            <w:vAlign w:val="center"/>
          </w:tcPr>
          <w:p w:rsidR="00295980" w:rsidRPr="006311C9" w:rsidRDefault="00295980" w:rsidP="00C67E3E">
            <w:pPr>
              <w:keepNext/>
              <w:jc w:val="center"/>
              <w:rPr>
                <w:rFonts w:ascii="Arial Narrow" w:hAnsi="Arial Narrow"/>
                <w:i/>
                <w:color w:val="000000"/>
                <w:sz w:val="20"/>
                <w:szCs w:val="18"/>
              </w:rPr>
            </w:pPr>
            <w:r w:rsidRPr="006311C9">
              <w:rPr>
                <w:rFonts w:ascii="Arial Narrow" w:hAnsi="Arial Narrow"/>
                <w:i/>
                <w:color w:val="000000"/>
                <w:sz w:val="20"/>
                <w:szCs w:val="18"/>
              </w:rPr>
              <w:t xml:space="preserve">0.87 </w:t>
            </w:r>
          </w:p>
          <w:p w:rsidR="00295980" w:rsidRPr="00E2771E" w:rsidRDefault="00295980" w:rsidP="00C67E3E">
            <w:pPr>
              <w:keepNext/>
              <w:jc w:val="center"/>
              <w:rPr>
                <w:rFonts w:ascii="Arial Narrow" w:hAnsi="Arial Narrow"/>
                <w:color w:val="000000"/>
                <w:sz w:val="20"/>
                <w:szCs w:val="18"/>
              </w:rPr>
            </w:pPr>
            <w:r w:rsidRPr="006311C9">
              <w:rPr>
                <w:rFonts w:ascii="Arial Narrow" w:hAnsi="Arial Narrow"/>
                <w:i/>
                <w:color w:val="000000"/>
                <w:sz w:val="20"/>
                <w:szCs w:val="18"/>
              </w:rPr>
              <w:t>(0.23, 3.31)</w:t>
            </w:r>
          </w:p>
        </w:tc>
        <w:tc>
          <w:tcPr>
            <w:tcW w:w="915" w:type="pct"/>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2.7</w:t>
            </w:r>
          </w:p>
        </w:tc>
        <w:tc>
          <w:tcPr>
            <w:tcW w:w="516" w:type="pct"/>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3.1</w:t>
            </w:r>
          </w:p>
        </w:tc>
        <w:tc>
          <w:tcPr>
            <w:tcW w:w="794" w:type="pct"/>
            <w:vAlign w:val="center"/>
          </w:tcPr>
          <w:p w:rsidR="00295980" w:rsidRPr="006311C9" w:rsidRDefault="00295980" w:rsidP="00C67E3E">
            <w:pPr>
              <w:keepNext/>
              <w:jc w:val="center"/>
              <w:rPr>
                <w:rFonts w:ascii="Arial Narrow" w:hAnsi="Arial Narrow"/>
                <w:i/>
                <w:color w:val="000000"/>
                <w:sz w:val="20"/>
                <w:szCs w:val="18"/>
              </w:rPr>
            </w:pPr>
            <w:r w:rsidRPr="006311C9">
              <w:rPr>
                <w:rFonts w:ascii="Arial Narrow" w:hAnsi="Arial Narrow"/>
                <w:i/>
                <w:color w:val="000000"/>
                <w:sz w:val="20"/>
                <w:szCs w:val="18"/>
              </w:rPr>
              <w:t xml:space="preserve">-0.4% </w:t>
            </w:r>
          </w:p>
          <w:p w:rsidR="00295980" w:rsidRPr="00E2771E" w:rsidRDefault="00295980" w:rsidP="00C67E3E">
            <w:pPr>
              <w:keepNext/>
              <w:jc w:val="center"/>
              <w:rPr>
                <w:rFonts w:ascii="Arial Narrow" w:hAnsi="Arial Narrow"/>
                <w:color w:val="000000"/>
                <w:sz w:val="20"/>
                <w:szCs w:val="18"/>
              </w:rPr>
            </w:pPr>
            <w:r w:rsidRPr="006311C9">
              <w:rPr>
                <w:rFonts w:ascii="Arial Narrow" w:hAnsi="Arial Narrow"/>
                <w:i/>
                <w:color w:val="000000"/>
                <w:sz w:val="20"/>
                <w:szCs w:val="18"/>
              </w:rPr>
              <w:t>(-4.2%, 3.4%)</w:t>
            </w:r>
          </w:p>
        </w:tc>
      </w:tr>
      <w:tr w:rsidR="00295980" w:rsidRPr="00E2771E" w:rsidTr="00C67E3E">
        <w:tc>
          <w:tcPr>
            <w:tcW w:w="666" w:type="pct"/>
            <w:shd w:val="clear" w:color="auto" w:fill="auto"/>
            <w:vAlign w:val="center"/>
          </w:tcPr>
          <w:p w:rsidR="00295980" w:rsidRPr="00E2771E" w:rsidRDefault="00295980" w:rsidP="00C67E3E">
            <w:pPr>
              <w:keepNext/>
              <w:rPr>
                <w:rFonts w:ascii="Arial Narrow" w:hAnsi="Arial Narrow"/>
                <w:color w:val="000000"/>
                <w:sz w:val="20"/>
                <w:szCs w:val="18"/>
              </w:rPr>
            </w:pPr>
            <w:proofErr w:type="spellStart"/>
            <w:r>
              <w:rPr>
                <w:rFonts w:ascii="Arial Narrow" w:hAnsi="Arial Narrow"/>
                <w:color w:val="000000"/>
                <w:sz w:val="20"/>
                <w:szCs w:val="18"/>
              </w:rPr>
              <w:t>Rombauts</w:t>
            </w:r>
            <w:proofErr w:type="spellEnd"/>
            <w:r>
              <w:rPr>
                <w:rFonts w:ascii="Arial Narrow" w:hAnsi="Arial Narrow"/>
                <w:color w:val="000000"/>
                <w:sz w:val="20"/>
                <w:szCs w:val="18"/>
              </w:rPr>
              <w:t xml:space="preserve"> 2006</w:t>
            </w:r>
          </w:p>
        </w:tc>
        <w:tc>
          <w:tcPr>
            <w:tcW w:w="930" w:type="pct"/>
            <w:vAlign w:val="center"/>
          </w:tcPr>
          <w:p w:rsidR="00295980" w:rsidRPr="00E2771E" w:rsidRDefault="00295980" w:rsidP="00C67E3E">
            <w:pPr>
              <w:keepNext/>
              <w:jc w:val="center"/>
              <w:rPr>
                <w:rFonts w:ascii="Arial Narrow" w:hAnsi="Arial Narrow"/>
                <w:color w:val="000000"/>
                <w:sz w:val="20"/>
                <w:szCs w:val="18"/>
              </w:rPr>
            </w:pPr>
            <w:r w:rsidRPr="00C16610">
              <w:rPr>
                <w:rFonts w:ascii="Arial Narrow" w:hAnsi="Arial Narrow" w:cs="Arial Narrow"/>
                <w:snapToGrid/>
                <w:sz w:val="20"/>
              </w:rPr>
              <w:t>4/111</w:t>
            </w:r>
          </w:p>
        </w:tc>
        <w:tc>
          <w:tcPr>
            <w:tcW w:w="508" w:type="pct"/>
            <w:vAlign w:val="center"/>
          </w:tcPr>
          <w:p w:rsidR="00295980" w:rsidRPr="00E2771E" w:rsidRDefault="00295980" w:rsidP="00C67E3E">
            <w:pPr>
              <w:keepNext/>
              <w:jc w:val="center"/>
              <w:rPr>
                <w:rFonts w:ascii="Arial Narrow" w:hAnsi="Arial Narrow"/>
                <w:color w:val="000000"/>
                <w:sz w:val="20"/>
                <w:szCs w:val="18"/>
              </w:rPr>
            </w:pPr>
            <w:r w:rsidRPr="00C16610">
              <w:rPr>
                <w:rFonts w:ascii="Arial Narrow" w:hAnsi="Arial Narrow" w:cs="Arial Narrow"/>
                <w:snapToGrid/>
                <w:sz w:val="20"/>
              </w:rPr>
              <w:t>3/109</w:t>
            </w:r>
          </w:p>
        </w:tc>
        <w:tc>
          <w:tcPr>
            <w:tcW w:w="671" w:type="pct"/>
            <w:vAlign w:val="center"/>
          </w:tcPr>
          <w:p w:rsidR="00295980" w:rsidRPr="006311C9" w:rsidRDefault="00295980" w:rsidP="00C67E3E">
            <w:pPr>
              <w:keepNext/>
              <w:jc w:val="center"/>
              <w:rPr>
                <w:rFonts w:ascii="Arial Narrow" w:hAnsi="Arial Narrow"/>
                <w:i/>
                <w:color w:val="000000"/>
                <w:sz w:val="20"/>
                <w:szCs w:val="18"/>
              </w:rPr>
            </w:pPr>
            <w:r w:rsidRPr="006311C9">
              <w:rPr>
                <w:rFonts w:ascii="Arial Narrow" w:hAnsi="Arial Narrow"/>
                <w:i/>
                <w:color w:val="000000"/>
                <w:sz w:val="20"/>
                <w:szCs w:val="18"/>
              </w:rPr>
              <w:t xml:space="preserve">1.31 </w:t>
            </w:r>
          </w:p>
          <w:p w:rsidR="00295980" w:rsidRPr="00E2771E" w:rsidRDefault="00295980" w:rsidP="00C67E3E">
            <w:pPr>
              <w:keepNext/>
              <w:jc w:val="center"/>
              <w:rPr>
                <w:rFonts w:ascii="Arial Narrow" w:hAnsi="Arial Narrow"/>
                <w:color w:val="000000"/>
                <w:sz w:val="20"/>
                <w:szCs w:val="18"/>
              </w:rPr>
            </w:pPr>
            <w:r w:rsidRPr="006311C9">
              <w:rPr>
                <w:rFonts w:ascii="Arial Narrow" w:hAnsi="Arial Narrow"/>
                <w:i/>
                <w:color w:val="000000"/>
                <w:sz w:val="20"/>
                <w:szCs w:val="18"/>
              </w:rPr>
              <w:t>(0.30, 5.71)</w:t>
            </w:r>
          </w:p>
        </w:tc>
        <w:tc>
          <w:tcPr>
            <w:tcW w:w="915" w:type="pct"/>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3.6</w:t>
            </w:r>
          </w:p>
        </w:tc>
        <w:tc>
          <w:tcPr>
            <w:tcW w:w="516" w:type="pct"/>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2.8</w:t>
            </w:r>
          </w:p>
        </w:tc>
        <w:tc>
          <w:tcPr>
            <w:tcW w:w="794" w:type="pct"/>
            <w:vAlign w:val="center"/>
          </w:tcPr>
          <w:p w:rsidR="00295980" w:rsidRPr="006311C9" w:rsidRDefault="00295980" w:rsidP="00C67E3E">
            <w:pPr>
              <w:keepNext/>
              <w:jc w:val="center"/>
              <w:rPr>
                <w:rFonts w:ascii="Arial Narrow" w:hAnsi="Arial Narrow"/>
                <w:i/>
                <w:color w:val="000000"/>
                <w:sz w:val="20"/>
                <w:szCs w:val="18"/>
              </w:rPr>
            </w:pPr>
            <w:r w:rsidRPr="006311C9">
              <w:rPr>
                <w:rFonts w:ascii="Arial Narrow" w:hAnsi="Arial Narrow"/>
                <w:i/>
                <w:color w:val="000000"/>
                <w:sz w:val="20"/>
                <w:szCs w:val="18"/>
              </w:rPr>
              <w:t xml:space="preserve">0.9% </w:t>
            </w:r>
          </w:p>
          <w:p w:rsidR="00295980" w:rsidRPr="00E2771E" w:rsidRDefault="00295980" w:rsidP="00C67E3E">
            <w:pPr>
              <w:keepNext/>
              <w:jc w:val="center"/>
              <w:rPr>
                <w:rFonts w:ascii="Arial Narrow" w:hAnsi="Arial Narrow"/>
                <w:color w:val="000000"/>
                <w:sz w:val="20"/>
                <w:szCs w:val="18"/>
              </w:rPr>
            </w:pPr>
            <w:r w:rsidRPr="006311C9">
              <w:rPr>
                <w:rFonts w:ascii="Arial Narrow" w:hAnsi="Arial Narrow"/>
                <w:i/>
                <w:color w:val="000000"/>
                <w:sz w:val="20"/>
                <w:szCs w:val="18"/>
              </w:rPr>
              <w:t>(-3.8%, 5.5%)</w:t>
            </w:r>
          </w:p>
        </w:tc>
      </w:tr>
      <w:tr w:rsidR="00295980" w:rsidRPr="00E2771E" w:rsidTr="00C67E3E">
        <w:tc>
          <w:tcPr>
            <w:tcW w:w="5000" w:type="pct"/>
            <w:gridSpan w:val="7"/>
            <w:shd w:val="clear" w:color="auto" w:fill="auto"/>
            <w:vAlign w:val="center"/>
          </w:tcPr>
          <w:p w:rsidR="00295980" w:rsidRPr="00E2771E" w:rsidRDefault="00295980" w:rsidP="00C67E3E">
            <w:pPr>
              <w:keepNext/>
              <w:rPr>
                <w:rFonts w:ascii="Arial Narrow" w:hAnsi="Arial Narrow"/>
                <w:color w:val="000000"/>
                <w:sz w:val="20"/>
                <w:szCs w:val="18"/>
              </w:rPr>
            </w:pPr>
            <w:r w:rsidRPr="00445147">
              <w:rPr>
                <w:rFonts w:ascii="Arial Narrow" w:hAnsi="Arial Narrow"/>
                <w:b/>
                <w:color w:val="000000"/>
                <w:sz w:val="20"/>
                <w:szCs w:val="18"/>
              </w:rPr>
              <w:t xml:space="preserve">Ovarian </w:t>
            </w:r>
            <w:proofErr w:type="spellStart"/>
            <w:r w:rsidRPr="00445147">
              <w:rPr>
                <w:rFonts w:ascii="Arial Narrow" w:hAnsi="Arial Narrow"/>
                <w:b/>
                <w:color w:val="000000"/>
                <w:sz w:val="20"/>
                <w:szCs w:val="18"/>
              </w:rPr>
              <w:t>hyperstimulation</w:t>
            </w:r>
            <w:proofErr w:type="spellEnd"/>
            <w:r w:rsidRPr="00445147">
              <w:rPr>
                <w:rFonts w:ascii="Arial Narrow" w:hAnsi="Arial Narrow"/>
                <w:b/>
                <w:color w:val="000000"/>
                <w:sz w:val="20"/>
                <w:szCs w:val="18"/>
              </w:rPr>
              <w:t xml:space="preserve"> (OHSS) events</w:t>
            </w:r>
          </w:p>
        </w:tc>
      </w:tr>
      <w:tr w:rsidR="00295980" w:rsidRPr="00E2771E" w:rsidTr="00C67E3E">
        <w:tc>
          <w:tcPr>
            <w:tcW w:w="666" w:type="pct"/>
            <w:shd w:val="clear" w:color="auto" w:fill="auto"/>
            <w:vAlign w:val="center"/>
          </w:tcPr>
          <w:p w:rsidR="00295980" w:rsidRPr="00E2771E" w:rsidRDefault="00295980" w:rsidP="00C67E3E">
            <w:pPr>
              <w:keepNext/>
              <w:rPr>
                <w:rFonts w:ascii="Arial Narrow" w:hAnsi="Arial Narrow"/>
                <w:color w:val="000000"/>
                <w:sz w:val="20"/>
                <w:szCs w:val="18"/>
              </w:rPr>
            </w:pPr>
            <w:r>
              <w:rPr>
                <w:rFonts w:ascii="Arial Narrow" w:hAnsi="Arial Narrow"/>
                <w:color w:val="000000"/>
                <w:sz w:val="20"/>
                <w:szCs w:val="18"/>
              </w:rPr>
              <w:t>EMEOSG 2001</w:t>
            </w:r>
          </w:p>
        </w:tc>
        <w:tc>
          <w:tcPr>
            <w:tcW w:w="930" w:type="pct"/>
            <w:vAlign w:val="center"/>
          </w:tcPr>
          <w:p w:rsidR="00295980" w:rsidRPr="00E2771E" w:rsidRDefault="00295980" w:rsidP="00C67E3E">
            <w:pPr>
              <w:keepNext/>
              <w:jc w:val="center"/>
              <w:rPr>
                <w:rFonts w:ascii="Arial Narrow" w:hAnsi="Arial Narrow"/>
                <w:color w:val="000000"/>
                <w:sz w:val="20"/>
                <w:szCs w:val="18"/>
              </w:rPr>
            </w:pPr>
            <w:r w:rsidRPr="0061458E">
              <w:rPr>
                <w:rFonts w:ascii="Arial Narrow" w:hAnsi="Arial Narrow"/>
                <w:color w:val="000000"/>
                <w:sz w:val="20"/>
                <w:szCs w:val="18"/>
              </w:rPr>
              <w:t>1/111</w:t>
            </w:r>
          </w:p>
        </w:tc>
        <w:tc>
          <w:tcPr>
            <w:tcW w:w="508" w:type="pct"/>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4/226</w:t>
            </w:r>
          </w:p>
        </w:tc>
        <w:tc>
          <w:tcPr>
            <w:tcW w:w="671" w:type="pct"/>
            <w:vAlign w:val="center"/>
          </w:tcPr>
          <w:p w:rsidR="00295980" w:rsidRPr="0061458E" w:rsidRDefault="00295980" w:rsidP="00C67E3E">
            <w:pPr>
              <w:keepNext/>
              <w:jc w:val="center"/>
              <w:rPr>
                <w:rFonts w:ascii="Arial Narrow" w:hAnsi="Arial Narrow"/>
                <w:i/>
                <w:color w:val="000000"/>
                <w:sz w:val="20"/>
                <w:szCs w:val="18"/>
              </w:rPr>
            </w:pPr>
            <w:r w:rsidRPr="0061458E">
              <w:rPr>
                <w:rFonts w:ascii="Arial Narrow" w:hAnsi="Arial Narrow"/>
                <w:i/>
                <w:color w:val="000000"/>
                <w:sz w:val="20"/>
                <w:szCs w:val="18"/>
              </w:rPr>
              <w:t xml:space="preserve">0.51 </w:t>
            </w:r>
          </w:p>
          <w:p w:rsidR="00295980" w:rsidRPr="00E2771E" w:rsidRDefault="00295980" w:rsidP="00C67E3E">
            <w:pPr>
              <w:keepNext/>
              <w:jc w:val="center"/>
              <w:rPr>
                <w:rFonts w:ascii="Arial Narrow" w:hAnsi="Arial Narrow"/>
                <w:color w:val="000000"/>
                <w:sz w:val="20"/>
                <w:szCs w:val="18"/>
              </w:rPr>
            </w:pPr>
            <w:r w:rsidRPr="0061458E">
              <w:rPr>
                <w:rFonts w:ascii="Arial Narrow" w:hAnsi="Arial Narrow"/>
                <w:i/>
                <w:color w:val="000000"/>
                <w:sz w:val="20"/>
                <w:szCs w:val="18"/>
              </w:rPr>
              <w:t>(0.06, 4.50)</w:t>
            </w:r>
          </w:p>
        </w:tc>
        <w:tc>
          <w:tcPr>
            <w:tcW w:w="915" w:type="pct"/>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0.9</w:t>
            </w:r>
          </w:p>
        </w:tc>
        <w:tc>
          <w:tcPr>
            <w:tcW w:w="515" w:type="pct"/>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1.8</w:t>
            </w:r>
          </w:p>
        </w:tc>
        <w:tc>
          <w:tcPr>
            <w:tcW w:w="795" w:type="pct"/>
            <w:vAlign w:val="center"/>
          </w:tcPr>
          <w:p w:rsidR="00295980" w:rsidRPr="0061458E" w:rsidRDefault="00295980" w:rsidP="00C67E3E">
            <w:pPr>
              <w:keepNext/>
              <w:jc w:val="center"/>
              <w:rPr>
                <w:rFonts w:ascii="Arial Narrow" w:hAnsi="Arial Narrow"/>
                <w:i/>
                <w:color w:val="000000"/>
                <w:sz w:val="20"/>
                <w:szCs w:val="18"/>
              </w:rPr>
            </w:pPr>
            <w:r w:rsidRPr="0061458E">
              <w:rPr>
                <w:rFonts w:ascii="Arial Narrow" w:hAnsi="Arial Narrow"/>
                <w:i/>
                <w:color w:val="000000"/>
                <w:sz w:val="20"/>
                <w:szCs w:val="18"/>
              </w:rPr>
              <w:t xml:space="preserve">0.9% </w:t>
            </w:r>
          </w:p>
          <w:p w:rsidR="00295980" w:rsidRPr="00E2771E" w:rsidRDefault="00295980" w:rsidP="00C67E3E">
            <w:pPr>
              <w:keepNext/>
              <w:jc w:val="center"/>
              <w:rPr>
                <w:rFonts w:ascii="Arial Narrow" w:hAnsi="Arial Narrow"/>
                <w:color w:val="000000"/>
                <w:sz w:val="20"/>
                <w:szCs w:val="18"/>
              </w:rPr>
            </w:pPr>
            <w:r w:rsidRPr="0061458E">
              <w:rPr>
                <w:rFonts w:ascii="Arial Narrow" w:hAnsi="Arial Narrow"/>
                <w:i/>
                <w:color w:val="000000"/>
                <w:sz w:val="20"/>
                <w:szCs w:val="18"/>
              </w:rPr>
              <w:t>(-3.3%, 1.6%)</w:t>
            </w:r>
          </w:p>
        </w:tc>
      </w:tr>
      <w:tr w:rsidR="00295980" w:rsidRPr="00E2771E" w:rsidTr="00C67E3E">
        <w:tc>
          <w:tcPr>
            <w:tcW w:w="666" w:type="pct"/>
            <w:shd w:val="clear" w:color="auto" w:fill="auto"/>
            <w:vAlign w:val="center"/>
          </w:tcPr>
          <w:p w:rsidR="00295980" w:rsidRPr="00E2771E" w:rsidRDefault="00295980" w:rsidP="00C67E3E">
            <w:pPr>
              <w:keepNext/>
              <w:rPr>
                <w:rFonts w:ascii="Arial Narrow" w:hAnsi="Arial Narrow"/>
                <w:color w:val="000000"/>
                <w:sz w:val="20"/>
                <w:szCs w:val="18"/>
              </w:rPr>
            </w:pPr>
            <w:proofErr w:type="spellStart"/>
            <w:r>
              <w:rPr>
                <w:rFonts w:ascii="Arial Narrow" w:hAnsi="Arial Narrow"/>
                <w:color w:val="000000"/>
                <w:sz w:val="20"/>
                <w:szCs w:val="18"/>
              </w:rPr>
              <w:t>Rombauts</w:t>
            </w:r>
            <w:proofErr w:type="spellEnd"/>
            <w:r>
              <w:rPr>
                <w:rFonts w:ascii="Arial Narrow" w:hAnsi="Arial Narrow"/>
                <w:color w:val="000000"/>
                <w:sz w:val="20"/>
                <w:szCs w:val="18"/>
              </w:rPr>
              <w:t xml:space="preserve"> 2006</w:t>
            </w:r>
          </w:p>
        </w:tc>
        <w:tc>
          <w:tcPr>
            <w:tcW w:w="930" w:type="pct"/>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6/111</w:t>
            </w:r>
          </w:p>
        </w:tc>
        <w:tc>
          <w:tcPr>
            <w:tcW w:w="508" w:type="pct"/>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2/111</w:t>
            </w:r>
          </w:p>
        </w:tc>
        <w:tc>
          <w:tcPr>
            <w:tcW w:w="671" w:type="pct"/>
            <w:vAlign w:val="center"/>
          </w:tcPr>
          <w:p w:rsidR="00295980" w:rsidRPr="0061458E" w:rsidRDefault="00295980" w:rsidP="00C67E3E">
            <w:pPr>
              <w:keepNext/>
              <w:jc w:val="center"/>
              <w:rPr>
                <w:rFonts w:ascii="Arial Narrow" w:hAnsi="Arial Narrow"/>
                <w:i/>
                <w:color w:val="000000"/>
                <w:sz w:val="20"/>
                <w:szCs w:val="18"/>
              </w:rPr>
            </w:pPr>
            <w:r w:rsidRPr="0061458E">
              <w:rPr>
                <w:rFonts w:ascii="Arial Narrow" w:hAnsi="Arial Narrow"/>
                <w:i/>
                <w:color w:val="000000"/>
                <w:sz w:val="20"/>
                <w:szCs w:val="18"/>
              </w:rPr>
              <w:t xml:space="preserve">3.00 </w:t>
            </w:r>
          </w:p>
          <w:p w:rsidR="00295980" w:rsidRPr="00E2771E" w:rsidRDefault="00295980" w:rsidP="00C67E3E">
            <w:pPr>
              <w:keepNext/>
              <w:jc w:val="center"/>
              <w:rPr>
                <w:rFonts w:ascii="Arial Narrow" w:hAnsi="Arial Narrow"/>
                <w:color w:val="000000"/>
                <w:sz w:val="20"/>
                <w:szCs w:val="18"/>
              </w:rPr>
            </w:pPr>
            <w:r w:rsidRPr="0061458E">
              <w:rPr>
                <w:rFonts w:ascii="Arial Narrow" w:hAnsi="Arial Narrow"/>
                <w:i/>
                <w:color w:val="000000"/>
                <w:sz w:val="20"/>
                <w:szCs w:val="18"/>
              </w:rPr>
              <w:t>(0.62, 14.54)</w:t>
            </w:r>
          </w:p>
        </w:tc>
        <w:tc>
          <w:tcPr>
            <w:tcW w:w="915" w:type="pct"/>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5.4</w:t>
            </w:r>
          </w:p>
        </w:tc>
        <w:tc>
          <w:tcPr>
            <w:tcW w:w="515" w:type="pct"/>
            <w:vAlign w:val="center"/>
          </w:tcPr>
          <w:p w:rsidR="00295980" w:rsidRPr="00E2771E" w:rsidRDefault="00295980" w:rsidP="00C67E3E">
            <w:pPr>
              <w:keepNext/>
              <w:jc w:val="center"/>
              <w:rPr>
                <w:rFonts w:ascii="Arial Narrow" w:hAnsi="Arial Narrow"/>
                <w:color w:val="000000"/>
                <w:sz w:val="20"/>
                <w:szCs w:val="18"/>
              </w:rPr>
            </w:pPr>
            <w:r>
              <w:rPr>
                <w:rFonts w:ascii="Arial Narrow" w:hAnsi="Arial Narrow"/>
                <w:color w:val="000000"/>
                <w:sz w:val="20"/>
                <w:szCs w:val="18"/>
              </w:rPr>
              <w:t>1.8</w:t>
            </w:r>
          </w:p>
        </w:tc>
        <w:tc>
          <w:tcPr>
            <w:tcW w:w="795" w:type="pct"/>
            <w:vAlign w:val="center"/>
          </w:tcPr>
          <w:p w:rsidR="00295980" w:rsidRPr="0061458E" w:rsidRDefault="00295980" w:rsidP="00C67E3E">
            <w:pPr>
              <w:keepNext/>
              <w:jc w:val="center"/>
              <w:rPr>
                <w:rFonts w:ascii="Arial Narrow" w:hAnsi="Arial Narrow"/>
                <w:i/>
                <w:color w:val="000000"/>
                <w:sz w:val="20"/>
                <w:szCs w:val="18"/>
              </w:rPr>
            </w:pPr>
            <w:r w:rsidRPr="0061458E">
              <w:rPr>
                <w:rFonts w:ascii="Arial Narrow" w:hAnsi="Arial Narrow"/>
                <w:i/>
                <w:color w:val="000000"/>
                <w:sz w:val="20"/>
                <w:szCs w:val="18"/>
              </w:rPr>
              <w:t xml:space="preserve">3.6% </w:t>
            </w:r>
          </w:p>
          <w:p w:rsidR="00295980" w:rsidRPr="00E2771E" w:rsidRDefault="00295980" w:rsidP="00C67E3E">
            <w:pPr>
              <w:keepNext/>
              <w:jc w:val="center"/>
              <w:rPr>
                <w:rFonts w:ascii="Arial Narrow" w:hAnsi="Arial Narrow"/>
                <w:color w:val="000000"/>
                <w:sz w:val="20"/>
                <w:szCs w:val="18"/>
              </w:rPr>
            </w:pPr>
            <w:r w:rsidRPr="0061458E">
              <w:rPr>
                <w:rFonts w:ascii="Arial Narrow" w:hAnsi="Arial Narrow"/>
                <w:i/>
                <w:color w:val="000000"/>
                <w:sz w:val="20"/>
                <w:szCs w:val="18"/>
              </w:rPr>
              <w:t>(-1.3%, 8.5%)</w:t>
            </w:r>
          </w:p>
        </w:tc>
      </w:tr>
    </w:tbl>
    <w:p w:rsidR="00295980" w:rsidRDefault="00295980" w:rsidP="00295980">
      <w:pPr>
        <w:pStyle w:val="TableFooter"/>
        <w:keepNext/>
        <w:ind w:left="720"/>
      </w:pPr>
      <w:r w:rsidRPr="0072416F">
        <w:t xml:space="preserve">Source: </w:t>
      </w:r>
      <w:r w:rsidRPr="003B5B01">
        <w:t>submission Table B-27 p73, p73, Table B-29 p75; values in italics calculated during the evaluation</w:t>
      </w:r>
    </w:p>
    <w:p w:rsidR="00295980" w:rsidRDefault="00295980" w:rsidP="00295980">
      <w:pPr>
        <w:pStyle w:val="TableFooter"/>
        <w:keepNext/>
        <w:ind w:firstLine="720"/>
      </w:pPr>
      <w:r w:rsidRPr="0072416F">
        <w:t xml:space="preserve">Abbreviations: </w:t>
      </w:r>
      <w:r>
        <w:t xml:space="preserve">OHSS = ovarian </w:t>
      </w:r>
      <w:proofErr w:type="spellStart"/>
      <w:r>
        <w:t>hyperstimulation</w:t>
      </w:r>
      <w:proofErr w:type="spellEnd"/>
      <w:r>
        <w:t xml:space="preserve"> syndrome; RR = risk difference; RR = risk ratio; SD = standard deviation.</w:t>
      </w:r>
    </w:p>
    <w:p w:rsidR="00295980" w:rsidRDefault="00295980" w:rsidP="00295980">
      <w:pPr>
        <w:pStyle w:val="TableFooter"/>
        <w:ind w:firstLine="720"/>
      </w:pPr>
      <w:r>
        <w:t xml:space="preserve">* Event rate is based on one cycle of IVF treatment. </w:t>
      </w:r>
    </w:p>
    <w:p w:rsidR="00295980" w:rsidRPr="00CF5828" w:rsidRDefault="00295980" w:rsidP="00052518">
      <w:pPr>
        <w:pStyle w:val="PBACHeading1"/>
        <w:numPr>
          <w:ilvl w:val="0"/>
          <w:numId w:val="0"/>
        </w:numPr>
        <w:ind w:left="720" w:hanging="720"/>
      </w:pPr>
    </w:p>
    <w:p w:rsidR="00D66EB6" w:rsidRDefault="00D66EB6">
      <w:pPr>
        <w:widowControl/>
        <w:jc w:val="left"/>
        <w:rPr>
          <w:b/>
          <w:i/>
        </w:rPr>
      </w:pPr>
      <w:bookmarkStart w:id="21" w:name="_Toc437239500"/>
      <w:bookmarkStart w:id="22" w:name="_Toc440884962"/>
      <w:bookmarkEnd w:id="20"/>
      <w:r>
        <w:rPr>
          <w:i/>
        </w:rPr>
        <w:br w:type="page"/>
      </w:r>
    </w:p>
    <w:p w:rsidR="00A90842" w:rsidRPr="002C2775" w:rsidRDefault="00A90842" w:rsidP="00296326">
      <w:pPr>
        <w:pStyle w:val="Heading2"/>
      </w:pPr>
      <w:r w:rsidRPr="002C2775">
        <w:lastRenderedPageBreak/>
        <w:t>Clinical claim</w:t>
      </w:r>
      <w:bookmarkEnd w:id="21"/>
      <w:bookmarkEnd w:id="22"/>
    </w:p>
    <w:p w:rsidR="00A90842" w:rsidRPr="00882085" w:rsidRDefault="00A90842" w:rsidP="00A90842">
      <w:pPr>
        <w:ind w:left="720" w:hanging="720"/>
        <w:rPr>
          <w:szCs w:val="22"/>
        </w:rPr>
      </w:pPr>
    </w:p>
    <w:p w:rsidR="006B3E0E" w:rsidRPr="0030596F" w:rsidRDefault="00A90842" w:rsidP="000403D8">
      <w:pPr>
        <w:pStyle w:val="ListParagraph"/>
        <w:numPr>
          <w:ilvl w:val="1"/>
          <w:numId w:val="1"/>
        </w:numPr>
        <w:rPr>
          <w:szCs w:val="22"/>
        </w:rPr>
      </w:pPr>
      <w:r w:rsidRPr="0030596F">
        <w:rPr>
          <w:szCs w:val="22"/>
        </w:rPr>
        <w:t xml:space="preserve">The submission described </w:t>
      </w:r>
      <w:proofErr w:type="spellStart"/>
      <w:r w:rsidRPr="0030596F">
        <w:rPr>
          <w:szCs w:val="22"/>
        </w:rPr>
        <w:t>triptorelin</w:t>
      </w:r>
      <w:proofErr w:type="spellEnd"/>
      <w:r w:rsidRPr="0030596F">
        <w:rPr>
          <w:szCs w:val="22"/>
        </w:rPr>
        <w:t xml:space="preserve"> as non-inferior in terms of comparative effectiveness and non-inferior in terms of comparative safety over the primary comparator</w:t>
      </w:r>
      <w:r w:rsidR="00BC480B" w:rsidRPr="0030596F">
        <w:rPr>
          <w:szCs w:val="22"/>
        </w:rPr>
        <w:t>,</w:t>
      </w:r>
      <w:r w:rsidRPr="0030596F">
        <w:rPr>
          <w:szCs w:val="22"/>
        </w:rPr>
        <w:t xml:space="preserve"> </w:t>
      </w:r>
      <w:proofErr w:type="spellStart"/>
      <w:r w:rsidRPr="0030596F">
        <w:rPr>
          <w:szCs w:val="22"/>
        </w:rPr>
        <w:t>nafarelin</w:t>
      </w:r>
      <w:proofErr w:type="spellEnd"/>
      <w:r w:rsidRPr="0030596F">
        <w:rPr>
          <w:szCs w:val="22"/>
        </w:rPr>
        <w:t xml:space="preserve">. </w:t>
      </w:r>
    </w:p>
    <w:p w:rsidR="006B3E0E" w:rsidRPr="0030596F" w:rsidRDefault="006B3E0E" w:rsidP="006B3E0E">
      <w:pPr>
        <w:pStyle w:val="ListParagraph"/>
        <w:rPr>
          <w:szCs w:val="22"/>
        </w:rPr>
      </w:pPr>
    </w:p>
    <w:p w:rsidR="00CB4EE1" w:rsidRPr="0030596F" w:rsidRDefault="003F43C5" w:rsidP="000403D8">
      <w:pPr>
        <w:pStyle w:val="ListParagraph"/>
        <w:numPr>
          <w:ilvl w:val="1"/>
          <w:numId w:val="1"/>
        </w:numPr>
        <w:rPr>
          <w:szCs w:val="22"/>
        </w:rPr>
      </w:pPr>
      <w:r w:rsidRPr="0030596F">
        <w:rPr>
          <w:szCs w:val="22"/>
        </w:rPr>
        <w:t>The ESC agreed that t</w:t>
      </w:r>
      <w:r w:rsidR="00184031" w:rsidRPr="0030596F">
        <w:rPr>
          <w:szCs w:val="22"/>
        </w:rPr>
        <w:t>he claim may be reasonable for the number of oocytes retrieved but not for the more clinically relevant outcome of ongoing pregnancies.</w:t>
      </w:r>
      <w:r w:rsidR="008C203D" w:rsidRPr="0030596F">
        <w:rPr>
          <w:szCs w:val="22"/>
        </w:rPr>
        <w:t xml:space="preserve"> </w:t>
      </w:r>
      <w:r w:rsidR="00A75ED6" w:rsidRPr="0030596F">
        <w:rPr>
          <w:szCs w:val="22"/>
        </w:rPr>
        <w:t xml:space="preserve">Data are not available for the number of live births. </w:t>
      </w:r>
    </w:p>
    <w:p w:rsidR="00CB4EE1" w:rsidRPr="0030596F" w:rsidRDefault="00CB4EE1" w:rsidP="00BD08D7">
      <w:pPr>
        <w:pStyle w:val="ListParagraph"/>
        <w:rPr>
          <w:szCs w:val="22"/>
        </w:rPr>
      </w:pPr>
    </w:p>
    <w:p w:rsidR="008C203D" w:rsidRPr="0030596F" w:rsidRDefault="008C203D" w:rsidP="000403D8">
      <w:pPr>
        <w:pStyle w:val="ListParagraph"/>
        <w:numPr>
          <w:ilvl w:val="1"/>
          <w:numId w:val="1"/>
        </w:numPr>
        <w:rPr>
          <w:szCs w:val="22"/>
        </w:rPr>
      </w:pPr>
      <w:r w:rsidRPr="0030596F">
        <w:rPr>
          <w:szCs w:val="22"/>
        </w:rPr>
        <w:t xml:space="preserve">Based on the </w:t>
      </w:r>
      <w:r w:rsidR="00812102" w:rsidRPr="0030596F">
        <w:rPr>
          <w:szCs w:val="22"/>
        </w:rPr>
        <w:t xml:space="preserve">safety </w:t>
      </w:r>
      <w:r w:rsidRPr="0030596F">
        <w:rPr>
          <w:szCs w:val="22"/>
        </w:rPr>
        <w:t xml:space="preserve">comparison undertaken during the evaluation, the safety of </w:t>
      </w:r>
      <w:proofErr w:type="spellStart"/>
      <w:r w:rsidRPr="0030596F">
        <w:rPr>
          <w:szCs w:val="22"/>
        </w:rPr>
        <w:t>triptorelin</w:t>
      </w:r>
      <w:proofErr w:type="spellEnd"/>
      <w:r w:rsidRPr="0030596F">
        <w:rPr>
          <w:szCs w:val="22"/>
        </w:rPr>
        <w:t xml:space="preserve"> acetate and </w:t>
      </w:r>
      <w:proofErr w:type="spellStart"/>
      <w:r w:rsidRPr="0030596F">
        <w:rPr>
          <w:szCs w:val="22"/>
        </w:rPr>
        <w:t>nafarelin</w:t>
      </w:r>
      <w:proofErr w:type="spellEnd"/>
      <w:r w:rsidRPr="0030596F">
        <w:rPr>
          <w:szCs w:val="22"/>
        </w:rPr>
        <w:t xml:space="preserve"> appears similar, however, this is based on an indirect comparison and the trials were not powered for safety outcomes. </w:t>
      </w:r>
      <w:r w:rsidR="003F43C5" w:rsidRPr="0030596F">
        <w:rPr>
          <w:szCs w:val="22"/>
        </w:rPr>
        <w:t xml:space="preserve">The ESC considered that it was likely that </w:t>
      </w:r>
      <w:proofErr w:type="spellStart"/>
      <w:r w:rsidR="003F43C5" w:rsidRPr="0030596F">
        <w:rPr>
          <w:szCs w:val="22"/>
        </w:rPr>
        <w:t>triptorelin</w:t>
      </w:r>
      <w:proofErr w:type="spellEnd"/>
      <w:r w:rsidR="003F43C5" w:rsidRPr="0030596F">
        <w:rPr>
          <w:szCs w:val="22"/>
        </w:rPr>
        <w:t xml:space="preserve"> and </w:t>
      </w:r>
      <w:proofErr w:type="spellStart"/>
      <w:r w:rsidR="003F43C5" w:rsidRPr="0030596F">
        <w:rPr>
          <w:szCs w:val="22"/>
        </w:rPr>
        <w:t>nafarelin</w:t>
      </w:r>
      <w:proofErr w:type="spellEnd"/>
      <w:r w:rsidR="003F43C5" w:rsidRPr="0030596F">
        <w:rPr>
          <w:szCs w:val="22"/>
        </w:rPr>
        <w:t xml:space="preserve"> had similar rates of serious adverse events and ovarian </w:t>
      </w:r>
      <w:proofErr w:type="spellStart"/>
      <w:r w:rsidR="003F43C5" w:rsidRPr="0030596F">
        <w:rPr>
          <w:szCs w:val="22"/>
        </w:rPr>
        <w:t>hyperstimulation</w:t>
      </w:r>
      <w:proofErr w:type="spellEnd"/>
      <w:r w:rsidR="003F43C5" w:rsidRPr="0030596F">
        <w:rPr>
          <w:szCs w:val="22"/>
        </w:rPr>
        <w:t xml:space="preserve"> events, noting however that data to </w:t>
      </w:r>
      <w:r w:rsidR="00F63C58" w:rsidRPr="0030596F">
        <w:rPr>
          <w:szCs w:val="22"/>
        </w:rPr>
        <w:t>make</w:t>
      </w:r>
      <w:r w:rsidR="003F43C5" w:rsidRPr="0030596F">
        <w:rPr>
          <w:szCs w:val="22"/>
        </w:rPr>
        <w:t xml:space="preserve"> a comparison was limited.</w:t>
      </w:r>
    </w:p>
    <w:p w:rsidR="00BA6A05" w:rsidRPr="0030596F" w:rsidRDefault="00BA6A05" w:rsidP="00BA6A05">
      <w:pPr>
        <w:pStyle w:val="ListParagraph"/>
        <w:rPr>
          <w:szCs w:val="22"/>
        </w:rPr>
      </w:pPr>
    </w:p>
    <w:p w:rsidR="00BA6A05" w:rsidRPr="00C6129A" w:rsidRDefault="00BA6A05" w:rsidP="000403D8">
      <w:pPr>
        <w:pStyle w:val="ListParagraph"/>
        <w:widowControl/>
        <w:numPr>
          <w:ilvl w:val="1"/>
          <w:numId w:val="1"/>
        </w:numPr>
        <w:rPr>
          <w:szCs w:val="22"/>
        </w:rPr>
      </w:pPr>
      <w:r w:rsidRPr="0030596F">
        <w:t>The submission describe</w:t>
      </w:r>
      <w:r w:rsidR="00BC480B" w:rsidRPr="0030596F">
        <w:t>d</w:t>
      </w:r>
      <w:r w:rsidRPr="0030596F">
        <w:t xml:space="preserve"> </w:t>
      </w:r>
      <w:proofErr w:type="spellStart"/>
      <w:r w:rsidRPr="0030596F">
        <w:t>triptorelin</w:t>
      </w:r>
      <w:proofErr w:type="spellEnd"/>
      <w:r w:rsidRPr="0030596F">
        <w:t xml:space="preserve"> as non-inferior in terms of comparative effectiveness and non-inferior in terms of comparative safety over the clinical comparator, </w:t>
      </w:r>
      <w:proofErr w:type="spellStart"/>
      <w:r w:rsidRPr="0030596F">
        <w:t>ganirelix</w:t>
      </w:r>
      <w:proofErr w:type="spellEnd"/>
      <w:r w:rsidRPr="0030596F">
        <w:t xml:space="preserve">. </w:t>
      </w:r>
      <w:r w:rsidR="00812102" w:rsidRPr="0030596F">
        <w:t>The</w:t>
      </w:r>
      <w:r w:rsidRPr="0030596F">
        <w:t xml:space="preserve"> claim for efficacy is adequately supported. The safety of </w:t>
      </w:r>
      <w:proofErr w:type="spellStart"/>
      <w:r w:rsidRPr="0030596F">
        <w:t>triptorelin</w:t>
      </w:r>
      <w:proofErr w:type="spellEnd"/>
      <w:r w:rsidRPr="0030596F">
        <w:t xml:space="preserve"> acetate and </w:t>
      </w:r>
      <w:proofErr w:type="spellStart"/>
      <w:r w:rsidRPr="0030596F">
        <w:t>ganirelix</w:t>
      </w:r>
      <w:proofErr w:type="spellEnd"/>
      <w:r w:rsidRPr="0030596F">
        <w:t xml:space="preserve"> appears </w:t>
      </w:r>
      <w:r w:rsidR="00C67E3E" w:rsidRPr="0030596F">
        <w:t>similar;</w:t>
      </w:r>
      <w:r w:rsidRPr="0030596F">
        <w:t xml:space="preserve"> however, the trial was not powered for safety outcomes. </w:t>
      </w:r>
    </w:p>
    <w:p w:rsidR="00C6129A" w:rsidRPr="00C6129A" w:rsidRDefault="00C6129A" w:rsidP="00C6129A">
      <w:pPr>
        <w:widowControl/>
        <w:rPr>
          <w:szCs w:val="22"/>
        </w:rPr>
      </w:pPr>
    </w:p>
    <w:p w:rsidR="00C6129A" w:rsidRDefault="00C6129A" w:rsidP="000403D8">
      <w:pPr>
        <w:pStyle w:val="ListParagraph"/>
        <w:widowControl/>
        <w:numPr>
          <w:ilvl w:val="1"/>
          <w:numId w:val="1"/>
        </w:numPr>
        <w:jc w:val="left"/>
        <w:rPr>
          <w:bCs/>
          <w:szCs w:val="22"/>
        </w:rPr>
      </w:pPr>
      <w:r w:rsidRPr="00BF4266">
        <w:rPr>
          <w:bCs/>
          <w:szCs w:val="22"/>
        </w:rPr>
        <w:t xml:space="preserve">The PBAC considered that the claim of </w:t>
      </w:r>
      <w:r w:rsidR="00BF4266">
        <w:rPr>
          <w:bCs/>
          <w:szCs w:val="22"/>
        </w:rPr>
        <w:t>non-inferior effectiveness may be reasonable</w:t>
      </w:r>
      <w:r w:rsidRPr="00BF4266">
        <w:rPr>
          <w:bCs/>
          <w:szCs w:val="22"/>
        </w:rPr>
        <w:t>.</w:t>
      </w:r>
    </w:p>
    <w:p w:rsidR="00BF4266" w:rsidRPr="00BF4266" w:rsidRDefault="00BF4266" w:rsidP="00BF4266">
      <w:pPr>
        <w:pStyle w:val="ListParagraph"/>
        <w:rPr>
          <w:bCs/>
          <w:szCs w:val="22"/>
        </w:rPr>
      </w:pPr>
    </w:p>
    <w:p w:rsidR="00BF4266" w:rsidRPr="00BF4266" w:rsidRDefault="00BF4266" w:rsidP="000403D8">
      <w:pPr>
        <w:pStyle w:val="ListParagraph"/>
        <w:widowControl/>
        <w:numPr>
          <w:ilvl w:val="1"/>
          <w:numId w:val="1"/>
        </w:numPr>
        <w:jc w:val="left"/>
        <w:rPr>
          <w:bCs/>
          <w:szCs w:val="22"/>
        </w:rPr>
      </w:pPr>
      <w:r w:rsidRPr="00BF4266">
        <w:rPr>
          <w:bCs/>
          <w:szCs w:val="22"/>
        </w:rPr>
        <w:t xml:space="preserve">The PBAC considered that the claim of </w:t>
      </w:r>
      <w:r>
        <w:rPr>
          <w:bCs/>
          <w:szCs w:val="22"/>
        </w:rPr>
        <w:t>non-inferior safety may be reasonable, noting that there was limited data on which to base a comparison</w:t>
      </w:r>
      <w:r w:rsidRPr="00BF4266">
        <w:rPr>
          <w:bCs/>
          <w:szCs w:val="22"/>
        </w:rPr>
        <w:t>.</w:t>
      </w:r>
    </w:p>
    <w:p w:rsidR="00C6129A" w:rsidRPr="00EE5CFA" w:rsidRDefault="00C6129A" w:rsidP="00C6129A">
      <w:pPr>
        <w:pStyle w:val="ListParagraph"/>
        <w:rPr>
          <w:bCs/>
          <w:szCs w:val="22"/>
          <w:highlight w:val="yellow"/>
        </w:rPr>
      </w:pPr>
    </w:p>
    <w:p w:rsidR="00A90842" w:rsidRPr="002C2775" w:rsidRDefault="00A90842" w:rsidP="00296326">
      <w:pPr>
        <w:pStyle w:val="Heading2"/>
      </w:pPr>
      <w:bookmarkStart w:id="23" w:name="_Toc437239501"/>
      <w:bookmarkStart w:id="24" w:name="_Toc440884963"/>
      <w:r w:rsidRPr="002C2775">
        <w:t>Economic analysis</w:t>
      </w:r>
      <w:bookmarkEnd w:id="23"/>
      <w:bookmarkEnd w:id="24"/>
      <w:r w:rsidRPr="002C2775">
        <w:t xml:space="preserve"> </w:t>
      </w:r>
    </w:p>
    <w:p w:rsidR="00A90842" w:rsidRPr="00882085" w:rsidRDefault="00A90842" w:rsidP="00A90842">
      <w:pPr>
        <w:ind w:left="720" w:hanging="720"/>
        <w:rPr>
          <w:szCs w:val="22"/>
        </w:rPr>
      </w:pPr>
    </w:p>
    <w:p w:rsidR="00A90842" w:rsidRPr="00CF5828" w:rsidRDefault="00A90842" w:rsidP="000403D8">
      <w:pPr>
        <w:pStyle w:val="ListParagraph"/>
        <w:widowControl/>
        <w:numPr>
          <w:ilvl w:val="1"/>
          <w:numId w:val="1"/>
        </w:numPr>
      </w:pPr>
      <w:r w:rsidRPr="00CF5828">
        <w:t xml:space="preserve">The </w:t>
      </w:r>
      <w:proofErr w:type="spellStart"/>
      <w:r w:rsidRPr="00CF5828">
        <w:t>equi</w:t>
      </w:r>
      <w:proofErr w:type="spellEnd"/>
      <w:r w:rsidRPr="00CF5828">
        <w:t xml:space="preserve">-effective doses are estimated as </w:t>
      </w:r>
      <w:proofErr w:type="spellStart"/>
      <w:r w:rsidRPr="00CF5828">
        <w:t>triptorelin</w:t>
      </w:r>
      <w:proofErr w:type="spellEnd"/>
      <w:r w:rsidRPr="00CF5828">
        <w:t xml:space="preserve"> acetate 100 m</w:t>
      </w:r>
      <w:r w:rsidR="00B65C9D">
        <w:t>i</w:t>
      </w:r>
      <w:r w:rsidRPr="00CF5828">
        <w:t>c</w:t>
      </w:r>
      <w:r w:rsidR="00B65C9D">
        <w:t>ro</w:t>
      </w:r>
      <w:r w:rsidRPr="00CF5828">
        <w:t>g</w:t>
      </w:r>
      <w:r w:rsidR="00B65C9D">
        <w:t>ram</w:t>
      </w:r>
      <w:r w:rsidRPr="00CF5828">
        <w:t xml:space="preserve"> </w:t>
      </w:r>
      <w:r w:rsidR="00714F2B" w:rsidRPr="00CF5828">
        <w:t xml:space="preserve">daily </w:t>
      </w:r>
      <w:r w:rsidRPr="00CF5828">
        <w:t xml:space="preserve">and </w:t>
      </w:r>
      <w:proofErr w:type="spellStart"/>
      <w:r w:rsidRPr="00CF5828">
        <w:t>nafarelin</w:t>
      </w:r>
      <w:proofErr w:type="spellEnd"/>
      <w:r w:rsidRPr="00CF5828">
        <w:t xml:space="preserve"> 800 m</w:t>
      </w:r>
      <w:r w:rsidR="00B65C9D">
        <w:t>i</w:t>
      </w:r>
      <w:r w:rsidRPr="00CF5828">
        <w:t>c</w:t>
      </w:r>
      <w:r w:rsidR="00B65C9D">
        <w:t>ro</w:t>
      </w:r>
      <w:r w:rsidRPr="00CF5828">
        <w:t>g</w:t>
      </w:r>
      <w:r w:rsidR="00B65C9D">
        <w:t>ram</w:t>
      </w:r>
      <w:r w:rsidRPr="00CF5828">
        <w:t xml:space="preserve"> daily over </w:t>
      </w:r>
      <w:r w:rsidR="00011914" w:rsidRPr="00CF5828">
        <w:t>an ART treatment cycle</w:t>
      </w:r>
      <w:r w:rsidRPr="00CF5828">
        <w:t xml:space="preserve">. The </w:t>
      </w:r>
      <w:proofErr w:type="spellStart"/>
      <w:r w:rsidRPr="00CF5828">
        <w:t>equi</w:t>
      </w:r>
      <w:proofErr w:type="spellEnd"/>
      <w:r w:rsidRPr="00CF5828">
        <w:t xml:space="preserve">-effective doses are based on the </w:t>
      </w:r>
      <w:r w:rsidR="00714F2B" w:rsidRPr="00CF5828">
        <w:t>fixed doses used in the</w:t>
      </w:r>
      <w:r w:rsidRPr="00CF5828">
        <w:t xml:space="preserve"> trials presented.</w:t>
      </w:r>
      <w:r w:rsidR="00714F2B" w:rsidRPr="00CF5828">
        <w:t xml:space="preserve"> These doses are the same as recommended in the Product Information documents.</w:t>
      </w:r>
      <w:r w:rsidRPr="00CF5828">
        <w:t xml:space="preserve"> </w:t>
      </w:r>
    </w:p>
    <w:p w:rsidR="00A90842" w:rsidRPr="00CF5828" w:rsidRDefault="00A90842" w:rsidP="00A90842">
      <w:pPr>
        <w:widowControl/>
      </w:pPr>
    </w:p>
    <w:p w:rsidR="0036411E" w:rsidRPr="00CF5828" w:rsidRDefault="0036411E" w:rsidP="000403D8">
      <w:pPr>
        <w:pStyle w:val="ListParagraph"/>
        <w:widowControl/>
        <w:numPr>
          <w:ilvl w:val="1"/>
          <w:numId w:val="1"/>
        </w:numPr>
      </w:pPr>
      <w:r w:rsidRPr="00CF5828">
        <w:t xml:space="preserve">The submission assumed the duration of treatment with </w:t>
      </w:r>
      <w:proofErr w:type="spellStart"/>
      <w:r w:rsidRPr="00CF5828">
        <w:t>triptorelin</w:t>
      </w:r>
      <w:proofErr w:type="spellEnd"/>
      <w:r w:rsidRPr="00CF5828">
        <w:t xml:space="preserve"> acetate is the same as with </w:t>
      </w:r>
      <w:proofErr w:type="spellStart"/>
      <w:r w:rsidRPr="00CF5828">
        <w:t>nafarelin</w:t>
      </w:r>
      <w:proofErr w:type="spellEnd"/>
      <w:r w:rsidRPr="00CF5828">
        <w:t>.</w:t>
      </w:r>
      <w:r w:rsidR="00714F2B" w:rsidRPr="00CF5828">
        <w:t xml:space="preserve"> This appears reasonable based on the trial data (</w:t>
      </w:r>
      <w:r w:rsidR="006B3E0E" w:rsidRPr="00CF5828">
        <w:t xml:space="preserve">median of 26 days with </w:t>
      </w:r>
      <w:proofErr w:type="spellStart"/>
      <w:r w:rsidR="009F40D5" w:rsidRPr="00CF5828">
        <w:t>triptorelin</w:t>
      </w:r>
      <w:proofErr w:type="spellEnd"/>
      <w:r w:rsidR="006B3E0E" w:rsidRPr="00CF5828">
        <w:t xml:space="preserve"> acetate and mean of 27 days with </w:t>
      </w:r>
      <w:proofErr w:type="spellStart"/>
      <w:r w:rsidR="006B3E0E" w:rsidRPr="00CF5828">
        <w:t>nafarelin</w:t>
      </w:r>
      <w:proofErr w:type="spellEnd"/>
      <w:r w:rsidR="006B3E0E" w:rsidRPr="00CF5828">
        <w:t>)</w:t>
      </w:r>
      <w:r w:rsidR="00812102" w:rsidRPr="00CF5828">
        <w:t xml:space="preserve"> </w:t>
      </w:r>
      <w:r w:rsidR="00C67E3E" w:rsidRPr="00CF5828">
        <w:t>however;</w:t>
      </w:r>
      <w:r w:rsidRPr="00CF5828">
        <w:t xml:space="preserve"> limited data </w:t>
      </w:r>
      <w:r w:rsidR="00402519">
        <w:t>were</w:t>
      </w:r>
      <w:r w:rsidR="00402519" w:rsidRPr="00CF5828">
        <w:t xml:space="preserve"> </w:t>
      </w:r>
      <w:r w:rsidRPr="00CF5828">
        <w:t>available to enable a robust comparison of the treatment duration</w:t>
      </w:r>
      <w:r w:rsidR="006B3E0E" w:rsidRPr="00CF5828">
        <w:t>s</w:t>
      </w:r>
      <w:r w:rsidRPr="00CF5828">
        <w:t>.</w:t>
      </w:r>
    </w:p>
    <w:p w:rsidR="0036411E" w:rsidRPr="00CF5828" w:rsidRDefault="0036411E" w:rsidP="0036411E">
      <w:pPr>
        <w:pStyle w:val="ListParagraph"/>
      </w:pPr>
    </w:p>
    <w:p w:rsidR="00714F2B" w:rsidRPr="00CF5828" w:rsidRDefault="00714F2B" w:rsidP="000403D8">
      <w:pPr>
        <w:pStyle w:val="ListParagraph"/>
        <w:widowControl/>
        <w:numPr>
          <w:ilvl w:val="1"/>
          <w:numId w:val="1"/>
        </w:numPr>
      </w:pPr>
      <w:r w:rsidRPr="00CF5828">
        <w:t xml:space="preserve">The submission assumed there </w:t>
      </w:r>
      <w:r w:rsidR="00402519">
        <w:t>were</w:t>
      </w:r>
      <w:r w:rsidR="00402519" w:rsidRPr="00CF5828">
        <w:t xml:space="preserve"> </w:t>
      </w:r>
      <w:r w:rsidRPr="00CF5828">
        <w:t xml:space="preserve">no material changes in the patterns of other therapies. </w:t>
      </w:r>
      <w:proofErr w:type="spellStart"/>
      <w:proofErr w:type="gramStart"/>
      <w:r w:rsidRPr="00CF5828">
        <w:t>rFSH</w:t>
      </w:r>
      <w:proofErr w:type="spellEnd"/>
      <w:proofErr w:type="gramEnd"/>
      <w:r w:rsidRPr="00CF5828">
        <w:t xml:space="preserve"> </w:t>
      </w:r>
      <w:r w:rsidR="006B3E0E" w:rsidRPr="00CF5828">
        <w:t>i</w:t>
      </w:r>
      <w:r w:rsidRPr="00CF5828">
        <w:t xml:space="preserve">s used concomitantly with </w:t>
      </w:r>
      <w:proofErr w:type="spellStart"/>
      <w:r w:rsidRPr="00CF5828">
        <w:rPr>
          <w:bCs/>
        </w:rPr>
        <w:t>triptorelin</w:t>
      </w:r>
      <w:proofErr w:type="spellEnd"/>
      <w:r w:rsidRPr="00CF5828">
        <w:rPr>
          <w:bCs/>
        </w:rPr>
        <w:t xml:space="preserve"> acetate and </w:t>
      </w:r>
      <w:proofErr w:type="spellStart"/>
      <w:r w:rsidRPr="00CF5828">
        <w:rPr>
          <w:bCs/>
        </w:rPr>
        <w:t>nafarelin</w:t>
      </w:r>
      <w:proofErr w:type="spellEnd"/>
      <w:r w:rsidRPr="00CF5828">
        <w:rPr>
          <w:bCs/>
        </w:rPr>
        <w:t xml:space="preserve">. The initial dose of </w:t>
      </w:r>
      <w:proofErr w:type="spellStart"/>
      <w:r w:rsidRPr="00CF5828">
        <w:rPr>
          <w:bCs/>
        </w:rPr>
        <w:t>rFSH</w:t>
      </w:r>
      <w:proofErr w:type="spellEnd"/>
      <w:r w:rsidRPr="00CF5828">
        <w:rPr>
          <w:bCs/>
        </w:rPr>
        <w:t xml:space="preserve"> differed across the trials (EMESOG 2001, 150 IU; </w:t>
      </w:r>
      <w:proofErr w:type="spellStart"/>
      <w:r w:rsidRPr="00CF5828">
        <w:rPr>
          <w:bCs/>
        </w:rPr>
        <w:t>Rombauts</w:t>
      </w:r>
      <w:proofErr w:type="spellEnd"/>
      <w:r w:rsidRPr="00CF5828">
        <w:rPr>
          <w:bCs/>
        </w:rPr>
        <w:t xml:space="preserve"> 2006, 200 IU). After 5-6 days the </w:t>
      </w:r>
      <w:proofErr w:type="spellStart"/>
      <w:r w:rsidRPr="00CF5828">
        <w:rPr>
          <w:bCs/>
        </w:rPr>
        <w:t>rFSH</w:t>
      </w:r>
      <w:proofErr w:type="spellEnd"/>
      <w:r w:rsidRPr="00CF5828">
        <w:rPr>
          <w:bCs/>
        </w:rPr>
        <w:t xml:space="preserve"> dose was individualised depending on the ovarian response (follicular growth) as assessed by ultrasound. The large difference across the trials in the total </w:t>
      </w:r>
      <w:proofErr w:type="spellStart"/>
      <w:r w:rsidRPr="00CF5828">
        <w:rPr>
          <w:bCs/>
        </w:rPr>
        <w:t>rFSH</w:t>
      </w:r>
      <w:proofErr w:type="spellEnd"/>
      <w:r w:rsidRPr="00CF5828">
        <w:rPr>
          <w:bCs/>
        </w:rPr>
        <w:t xml:space="preserve"> doses in the </w:t>
      </w:r>
      <w:proofErr w:type="spellStart"/>
      <w:r w:rsidRPr="00CF5828">
        <w:rPr>
          <w:bCs/>
        </w:rPr>
        <w:t>ganirelix</w:t>
      </w:r>
      <w:proofErr w:type="spellEnd"/>
      <w:r w:rsidRPr="00CF5828">
        <w:rPr>
          <w:bCs/>
        </w:rPr>
        <w:t xml:space="preserve"> arms (EMEOSG 2001: 1350 IU; </w:t>
      </w:r>
      <w:proofErr w:type="spellStart"/>
      <w:r w:rsidRPr="00CF5828">
        <w:rPr>
          <w:bCs/>
        </w:rPr>
        <w:t>Rombauts</w:t>
      </w:r>
      <w:proofErr w:type="spellEnd"/>
      <w:r w:rsidRPr="00CF5828">
        <w:rPr>
          <w:bCs/>
        </w:rPr>
        <w:t xml:space="preserve"> 2006: 1966 IU) prevent</w:t>
      </w:r>
      <w:r w:rsidR="00402519">
        <w:rPr>
          <w:bCs/>
        </w:rPr>
        <w:t>ed</w:t>
      </w:r>
      <w:r w:rsidRPr="00CF5828">
        <w:rPr>
          <w:bCs/>
        </w:rPr>
        <w:t xml:space="preserve"> a meaningful comparison of the concomitant </w:t>
      </w:r>
      <w:proofErr w:type="spellStart"/>
      <w:r w:rsidRPr="00CF5828">
        <w:rPr>
          <w:bCs/>
        </w:rPr>
        <w:t>rFSH</w:t>
      </w:r>
      <w:proofErr w:type="spellEnd"/>
      <w:r w:rsidRPr="00CF5828">
        <w:rPr>
          <w:bCs/>
        </w:rPr>
        <w:t xml:space="preserve"> dose used with </w:t>
      </w:r>
      <w:proofErr w:type="spellStart"/>
      <w:r w:rsidRPr="00CF5828">
        <w:rPr>
          <w:bCs/>
        </w:rPr>
        <w:t>triptorelin</w:t>
      </w:r>
      <w:proofErr w:type="spellEnd"/>
      <w:r w:rsidRPr="00CF5828">
        <w:rPr>
          <w:bCs/>
        </w:rPr>
        <w:t xml:space="preserve"> acetate versus </w:t>
      </w:r>
      <w:proofErr w:type="spellStart"/>
      <w:r w:rsidRPr="00CF5828">
        <w:rPr>
          <w:bCs/>
        </w:rPr>
        <w:t>nafarelin</w:t>
      </w:r>
      <w:proofErr w:type="spellEnd"/>
      <w:r w:rsidRPr="00CF5828">
        <w:rPr>
          <w:bCs/>
        </w:rPr>
        <w:t>.</w:t>
      </w:r>
    </w:p>
    <w:p w:rsidR="00714F2B" w:rsidRPr="00CF5828" w:rsidRDefault="00714F2B" w:rsidP="00714F2B">
      <w:pPr>
        <w:pStyle w:val="ListParagraph"/>
        <w:widowControl/>
      </w:pPr>
    </w:p>
    <w:p w:rsidR="00714F2B" w:rsidRPr="00CF5828" w:rsidRDefault="00714F2B" w:rsidP="000403D8">
      <w:pPr>
        <w:pStyle w:val="ListParagraph"/>
        <w:widowControl/>
        <w:numPr>
          <w:ilvl w:val="1"/>
          <w:numId w:val="1"/>
        </w:numPr>
      </w:pPr>
      <w:r w:rsidRPr="00CF5828">
        <w:t>The requested price for 28 x 100 m</w:t>
      </w:r>
      <w:r w:rsidR="00B65C9D">
        <w:t>i</w:t>
      </w:r>
      <w:r w:rsidRPr="00CF5828">
        <w:t>c</w:t>
      </w:r>
      <w:r w:rsidR="00B65C9D">
        <w:t>ro</w:t>
      </w:r>
      <w:r w:rsidRPr="00CF5828">
        <w:t>g</w:t>
      </w:r>
      <w:r w:rsidR="00B65C9D">
        <w:t>ram</w:t>
      </w:r>
      <w:r w:rsidRPr="00CF5828">
        <w:t xml:space="preserve"> syringes of </w:t>
      </w:r>
      <w:proofErr w:type="spellStart"/>
      <w:r w:rsidRPr="00CF5828">
        <w:t>triptorelin</w:t>
      </w:r>
      <w:proofErr w:type="spellEnd"/>
      <w:r w:rsidRPr="00CF5828">
        <w:t xml:space="preserve"> acetate (AEMP $212.00) is the same as for 2 x 60 x 200 m</w:t>
      </w:r>
      <w:r w:rsidR="00B65C9D">
        <w:t>i</w:t>
      </w:r>
      <w:r w:rsidRPr="00CF5828">
        <w:t>c</w:t>
      </w:r>
      <w:r w:rsidR="00B65C9D">
        <w:t>ro</w:t>
      </w:r>
      <w:r w:rsidRPr="00CF5828">
        <w:t>g</w:t>
      </w:r>
      <w:r w:rsidR="00B65C9D">
        <w:t>ram</w:t>
      </w:r>
      <w:r w:rsidRPr="00CF5828">
        <w:t xml:space="preserve"> actuations of </w:t>
      </w:r>
      <w:proofErr w:type="spellStart"/>
      <w:r w:rsidRPr="00CF5828">
        <w:t>nafarelin</w:t>
      </w:r>
      <w:proofErr w:type="spellEnd"/>
      <w:r w:rsidRPr="00CF5828">
        <w:t>.</w:t>
      </w:r>
    </w:p>
    <w:p w:rsidR="00714F2B" w:rsidRPr="00CF5828" w:rsidRDefault="00714F2B" w:rsidP="00714F2B">
      <w:pPr>
        <w:pStyle w:val="ListParagraph"/>
        <w:widowControl/>
      </w:pPr>
    </w:p>
    <w:p w:rsidR="0036411E" w:rsidRPr="00CF5828" w:rsidRDefault="0036411E" w:rsidP="000403D8">
      <w:pPr>
        <w:pStyle w:val="ListParagraph"/>
        <w:widowControl/>
        <w:numPr>
          <w:ilvl w:val="1"/>
          <w:numId w:val="1"/>
        </w:numPr>
      </w:pPr>
      <w:r w:rsidRPr="00CF5828">
        <w:lastRenderedPageBreak/>
        <w:t xml:space="preserve">The duration of treatment with </w:t>
      </w:r>
      <w:proofErr w:type="spellStart"/>
      <w:r w:rsidRPr="00CF5828">
        <w:t>triptorelin</w:t>
      </w:r>
      <w:proofErr w:type="spellEnd"/>
      <w:r w:rsidRPr="00CF5828">
        <w:t xml:space="preserve"> acetate and </w:t>
      </w:r>
      <w:proofErr w:type="spellStart"/>
      <w:r w:rsidRPr="00CF5828">
        <w:t>nafarelin</w:t>
      </w:r>
      <w:proofErr w:type="spellEnd"/>
      <w:r w:rsidRPr="00CF5828">
        <w:t xml:space="preserve"> is variable depending on response.</w:t>
      </w:r>
      <w:r w:rsidR="00843555" w:rsidRPr="00CF5828">
        <w:t xml:space="preserve"> The proposed maximum quantity for </w:t>
      </w:r>
      <w:proofErr w:type="spellStart"/>
      <w:r w:rsidR="00843555" w:rsidRPr="00CF5828">
        <w:t>triptorelin</w:t>
      </w:r>
      <w:proofErr w:type="spellEnd"/>
      <w:r w:rsidR="00843555" w:rsidRPr="00CF5828">
        <w:t xml:space="preserve"> acetate provides 28 days of treatment. The maximum quantity for </w:t>
      </w:r>
      <w:proofErr w:type="spellStart"/>
      <w:r w:rsidR="00843555" w:rsidRPr="00CF5828">
        <w:t>nafarelin</w:t>
      </w:r>
      <w:proofErr w:type="spellEnd"/>
      <w:r w:rsidR="00843555" w:rsidRPr="00CF5828">
        <w:t xml:space="preserve"> provides 30 days of treatment. </w:t>
      </w:r>
      <w:r w:rsidR="006B3E0E" w:rsidRPr="00CF5828">
        <w:t>A</w:t>
      </w:r>
      <w:r w:rsidR="00843555" w:rsidRPr="00CF5828">
        <w:t xml:space="preserve"> proportion of patients treated with </w:t>
      </w:r>
      <w:proofErr w:type="spellStart"/>
      <w:r w:rsidR="00843555" w:rsidRPr="00CF5828">
        <w:t>triptorelin</w:t>
      </w:r>
      <w:proofErr w:type="spellEnd"/>
      <w:r w:rsidR="00843555" w:rsidRPr="00CF5828">
        <w:t xml:space="preserve"> acetate or </w:t>
      </w:r>
      <w:proofErr w:type="spellStart"/>
      <w:r w:rsidR="00843555" w:rsidRPr="00CF5828">
        <w:t>nafarelin</w:t>
      </w:r>
      <w:proofErr w:type="spellEnd"/>
      <w:r w:rsidR="00843555" w:rsidRPr="00CF5828">
        <w:t xml:space="preserve"> are likely to require a second prescription. The cost of treatment with </w:t>
      </w:r>
      <w:proofErr w:type="spellStart"/>
      <w:r w:rsidR="00843555" w:rsidRPr="00CF5828">
        <w:t>triptorelin</w:t>
      </w:r>
      <w:proofErr w:type="spellEnd"/>
      <w:r w:rsidR="00843555" w:rsidRPr="00CF5828">
        <w:t xml:space="preserve"> acetate and </w:t>
      </w:r>
      <w:proofErr w:type="spellStart"/>
      <w:r w:rsidR="00843555" w:rsidRPr="00CF5828">
        <w:t>nafarelin</w:t>
      </w:r>
      <w:proofErr w:type="spellEnd"/>
      <w:r w:rsidR="00843555" w:rsidRPr="00CF5828">
        <w:t xml:space="preserve"> for different treatment durations is presented in Table </w:t>
      </w:r>
      <w:r w:rsidR="00C67E3E">
        <w:t>5</w:t>
      </w:r>
      <w:r w:rsidR="00843555" w:rsidRPr="00CF5828">
        <w:t xml:space="preserve">. The cost of </w:t>
      </w:r>
      <w:proofErr w:type="spellStart"/>
      <w:r w:rsidR="00843555" w:rsidRPr="00CF5828">
        <w:t>triptorelin</w:t>
      </w:r>
      <w:proofErr w:type="spellEnd"/>
      <w:r w:rsidR="00843555" w:rsidRPr="00CF5828">
        <w:t xml:space="preserve"> acetate per cycle is higher than the cost of </w:t>
      </w:r>
      <w:proofErr w:type="spellStart"/>
      <w:r w:rsidR="00843555" w:rsidRPr="00CF5828">
        <w:t>nafarelin</w:t>
      </w:r>
      <w:proofErr w:type="spellEnd"/>
      <w:r w:rsidR="00843555" w:rsidRPr="00CF5828">
        <w:t xml:space="preserve"> for patients treated for 29 or 30 days, and for patients treated for 31-45 days if only 1 pack of </w:t>
      </w:r>
      <w:proofErr w:type="spellStart"/>
      <w:r w:rsidR="00843555" w:rsidRPr="00CF5828">
        <w:t>nafarelin</w:t>
      </w:r>
      <w:proofErr w:type="spellEnd"/>
      <w:r w:rsidR="00843555" w:rsidRPr="00CF5828">
        <w:t xml:space="preserve"> is prescribed. The calculations assume broken packs are not dispensed to the patient.</w:t>
      </w:r>
    </w:p>
    <w:p w:rsidR="00A90842" w:rsidRDefault="00A90842" w:rsidP="00A90842">
      <w:pPr>
        <w:widowControl/>
        <w:rPr>
          <w:szCs w:val="22"/>
        </w:rPr>
      </w:pPr>
    </w:p>
    <w:p w:rsidR="0036411E" w:rsidRPr="00295980" w:rsidRDefault="0036411E" w:rsidP="0036411E">
      <w:pPr>
        <w:ind w:left="720"/>
        <w:rPr>
          <w:rFonts w:ascii="Arial Narrow" w:hAnsi="Arial Narrow"/>
          <w:b/>
          <w:sz w:val="20"/>
          <w:szCs w:val="16"/>
        </w:rPr>
      </w:pPr>
      <w:r w:rsidRPr="00295980">
        <w:rPr>
          <w:rStyle w:val="CommentReference"/>
        </w:rPr>
        <w:t xml:space="preserve">Table </w:t>
      </w:r>
      <w:r w:rsidR="00C67E3E">
        <w:rPr>
          <w:rStyle w:val="CommentReference"/>
        </w:rPr>
        <w:t>5</w:t>
      </w:r>
      <w:r w:rsidRPr="00295980">
        <w:rPr>
          <w:rStyle w:val="CommentReference"/>
        </w:rPr>
        <w:t>: Comparator pricing and cost per cycle for different treatment durations</w:t>
      </w:r>
    </w:p>
    <w:tbl>
      <w:tblPr>
        <w:tblStyle w:val="TableGrid"/>
        <w:tblW w:w="4639" w:type="pct"/>
        <w:tblInd w:w="668" w:type="dxa"/>
        <w:tblLayout w:type="fixed"/>
        <w:tblLook w:val="04A0" w:firstRow="1" w:lastRow="0" w:firstColumn="1" w:lastColumn="0" w:noHBand="0" w:noVBand="1"/>
        <w:tblCaption w:val="Table 5: Comparator pricing and cost per cycle for different treatment durations"/>
      </w:tblPr>
      <w:tblGrid>
        <w:gridCol w:w="1283"/>
        <w:gridCol w:w="991"/>
        <w:gridCol w:w="856"/>
        <w:gridCol w:w="995"/>
        <w:gridCol w:w="1113"/>
        <w:gridCol w:w="1113"/>
        <w:gridCol w:w="1113"/>
        <w:gridCol w:w="1111"/>
      </w:tblGrid>
      <w:tr w:rsidR="0036411E" w:rsidRPr="0094491A" w:rsidTr="00D70BC6">
        <w:trPr>
          <w:trHeight w:val="251"/>
          <w:tblHeader/>
        </w:trPr>
        <w:tc>
          <w:tcPr>
            <w:tcW w:w="748" w:type="pct"/>
            <w:vMerge w:val="restart"/>
            <w:vAlign w:val="bottom"/>
          </w:tcPr>
          <w:p w:rsidR="0036411E" w:rsidRPr="007201F4" w:rsidRDefault="0036411E" w:rsidP="00D25F8A">
            <w:pPr>
              <w:pStyle w:val="TableHeading"/>
              <w:jc w:val="center"/>
            </w:pPr>
          </w:p>
        </w:tc>
        <w:tc>
          <w:tcPr>
            <w:tcW w:w="578" w:type="pct"/>
            <w:vMerge w:val="restart"/>
            <w:vAlign w:val="bottom"/>
          </w:tcPr>
          <w:p w:rsidR="0036411E" w:rsidRPr="007201F4" w:rsidRDefault="0036411E" w:rsidP="00D25F8A">
            <w:pPr>
              <w:pStyle w:val="TableHeading"/>
              <w:jc w:val="center"/>
            </w:pPr>
            <w:r>
              <w:t>Maximum quantity</w:t>
            </w:r>
            <w:r w:rsidRPr="007201F4">
              <w:t xml:space="preserve"> </w:t>
            </w:r>
          </w:p>
        </w:tc>
        <w:tc>
          <w:tcPr>
            <w:tcW w:w="499" w:type="pct"/>
            <w:vMerge w:val="restart"/>
            <w:vAlign w:val="bottom"/>
          </w:tcPr>
          <w:p w:rsidR="0036411E" w:rsidRPr="007201F4" w:rsidRDefault="0036411E" w:rsidP="00D25F8A">
            <w:pPr>
              <w:pStyle w:val="TableHeading"/>
              <w:jc w:val="center"/>
            </w:pPr>
            <w:r>
              <w:t>S</w:t>
            </w:r>
            <w:r w:rsidRPr="007201F4">
              <w:t>upply</w:t>
            </w:r>
          </w:p>
        </w:tc>
        <w:tc>
          <w:tcPr>
            <w:tcW w:w="580" w:type="pct"/>
            <w:vMerge w:val="restart"/>
            <w:vAlign w:val="bottom"/>
          </w:tcPr>
          <w:p w:rsidR="0036411E" w:rsidRPr="007201F4" w:rsidRDefault="0036411E" w:rsidP="00D25F8A">
            <w:pPr>
              <w:pStyle w:val="TableHeading"/>
              <w:jc w:val="center"/>
            </w:pPr>
            <w:r>
              <w:t>AEMP</w:t>
            </w:r>
          </w:p>
        </w:tc>
        <w:tc>
          <w:tcPr>
            <w:tcW w:w="2595" w:type="pct"/>
            <w:gridSpan w:val="4"/>
            <w:vAlign w:val="bottom"/>
          </w:tcPr>
          <w:p w:rsidR="0036411E" w:rsidRPr="00B779DF" w:rsidRDefault="0036411E" w:rsidP="00D25F8A">
            <w:pPr>
              <w:pStyle w:val="TableHeading"/>
              <w:jc w:val="center"/>
            </w:pPr>
            <w:r w:rsidRPr="002F15D7">
              <w:rPr>
                <w:i/>
              </w:rPr>
              <w:t>$AEMP/</w:t>
            </w:r>
            <w:proofErr w:type="spellStart"/>
            <w:r w:rsidRPr="002F15D7">
              <w:rPr>
                <w:i/>
              </w:rPr>
              <w:t>cycle</w:t>
            </w:r>
            <w:r w:rsidRPr="00B779DF">
              <w:rPr>
                <w:vertAlign w:val="superscript"/>
              </w:rPr>
              <w:t>a</w:t>
            </w:r>
            <w:proofErr w:type="spellEnd"/>
            <w:r w:rsidRPr="002F15D7">
              <w:rPr>
                <w:i/>
              </w:rPr>
              <w:t xml:space="preserve"> </w:t>
            </w:r>
          </w:p>
        </w:tc>
      </w:tr>
      <w:tr w:rsidR="0036411E" w:rsidRPr="0094491A" w:rsidTr="00D70BC6">
        <w:trPr>
          <w:trHeight w:val="192"/>
          <w:tblHeader/>
        </w:trPr>
        <w:tc>
          <w:tcPr>
            <w:tcW w:w="748" w:type="pct"/>
            <w:vMerge/>
            <w:vAlign w:val="bottom"/>
          </w:tcPr>
          <w:p w:rsidR="0036411E" w:rsidRPr="007201F4" w:rsidRDefault="0036411E" w:rsidP="00D25F8A">
            <w:pPr>
              <w:pStyle w:val="TableHeading"/>
              <w:jc w:val="center"/>
            </w:pPr>
          </w:p>
        </w:tc>
        <w:tc>
          <w:tcPr>
            <w:tcW w:w="578" w:type="pct"/>
            <w:vMerge/>
            <w:vAlign w:val="bottom"/>
          </w:tcPr>
          <w:p w:rsidR="0036411E" w:rsidRPr="007201F4" w:rsidRDefault="0036411E" w:rsidP="00D25F8A">
            <w:pPr>
              <w:pStyle w:val="TableHeading"/>
              <w:jc w:val="center"/>
            </w:pPr>
          </w:p>
        </w:tc>
        <w:tc>
          <w:tcPr>
            <w:tcW w:w="499" w:type="pct"/>
            <w:vMerge/>
          </w:tcPr>
          <w:p w:rsidR="0036411E" w:rsidRPr="007201F4" w:rsidRDefault="0036411E" w:rsidP="00D25F8A">
            <w:pPr>
              <w:pStyle w:val="TableHeading"/>
              <w:jc w:val="center"/>
            </w:pPr>
          </w:p>
        </w:tc>
        <w:tc>
          <w:tcPr>
            <w:tcW w:w="580" w:type="pct"/>
            <w:vMerge/>
            <w:vAlign w:val="bottom"/>
          </w:tcPr>
          <w:p w:rsidR="0036411E" w:rsidRPr="007201F4" w:rsidRDefault="0036411E" w:rsidP="00D25F8A">
            <w:pPr>
              <w:pStyle w:val="TableHeading"/>
              <w:jc w:val="center"/>
            </w:pPr>
          </w:p>
        </w:tc>
        <w:tc>
          <w:tcPr>
            <w:tcW w:w="649" w:type="pct"/>
            <w:vMerge w:val="restart"/>
            <w:vAlign w:val="bottom"/>
          </w:tcPr>
          <w:p w:rsidR="0036411E" w:rsidRPr="002F15D7" w:rsidRDefault="0036411E" w:rsidP="00D25F8A">
            <w:pPr>
              <w:pStyle w:val="TableHeading"/>
              <w:ind w:left="-35" w:right="-73"/>
              <w:jc w:val="center"/>
              <w:rPr>
                <w:i/>
              </w:rPr>
            </w:pPr>
            <w:r w:rsidRPr="002F15D7">
              <w:rPr>
                <w:i/>
              </w:rPr>
              <w:t>≤ 28 days</w:t>
            </w:r>
          </w:p>
        </w:tc>
        <w:tc>
          <w:tcPr>
            <w:tcW w:w="649" w:type="pct"/>
            <w:vMerge w:val="restart"/>
            <w:vAlign w:val="bottom"/>
          </w:tcPr>
          <w:p w:rsidR="0036411E" w:rsidRPr="002F15D7" w:rsidRDefault="0036411E" w:rsidP="00D25F8A">
            <w:pPr>
              <w:pStyle w:val="TableHeading"/>
              <w:ind w:left="-35" w:right="-73"/>
              <w:jc w:val="center"/>
              <w:rPr>
                <w:i/>
              </w:rPr>
            </w:pPr>
            <w:r w:rsidRPr="002F15D7">
              <w:rPr>
                <w:i/>
              </w:rPr>
              <w:t>29 – 30 days</w:t>
            </w:r>
          </w:p>
        </w:tc>
        <w:tc>
          <w:tcPr>
            <w:tcW w:w="1297" w:type="pct"/>
            <w:gridSpan w:val="2"/>
            <w:vAlign w:val="bottom"/>
          </w:tcPr>
          <w:p w:rsidR="0036411E" w:rsidRPr="002F15D7" w:rsidRDefault="0036411E" w:rsidP="00D25F8A">
            <w:pPr>
              <w:pStyle w:val="TableHeading"/>
              <w:ind w:left="-35" w:right="-73"/>
              <w:jc w:val="center"/>
              <w:rPr>
                <w:i/>
              </w:rPr>
            </w:pPr>
            <w:r>
              <w:rPr>
                <w:i/>
              </w:rPr>
              <w:t>31-45</w:t>
            </w:r>
            <w:r w:rsidRPr="00706BF8">
              <w:rPr>
                <w:i/>
              </w:rPr>
              <w:t xml:space="preserve"> days</w:t>
            </w:r>
          </w:p>
        </w:tc>
      </w:tr>
      <w:tr w:rsidR="0036411E" w:rsidRPr="0094491A" w:rsidTr="00D70BC6">
        <w:trPr>
          <w:trHeight w:val="192"/>
          <w:tblHeader/>
        </w:trPr>
        <w:tc>
          <w:tcPr>
            <w:tcW w:w="748" w:type="pct"/>
            <w:vMerge/>
            <w:vAlign w:val="bottom"/>
          </w:tcPr>
          <w:p w:rsidR="0036411E" w:rsidRPr="007201F4" w:rsidRDefault="0036411E" w:rsidP="00D25F8A">
            <w:pPr>
              <w:pStyle w:val="TableHeading"/>
              <w:jc w:val="center"/>
            </w:pPr>
          </w:p>
        </w:tc>
        <w:tc>
          <w:tcPr>
            <w:tcW w:w="578" w:type="pct"/>
            <w:vMerge/>
            <w:vAlign w:val="bottom"/>
          </w:tcPr>
          <w:p w:rsidR="0036411E" w:rsidRPr="007201F4" w:rsidRDefault="0036411E" w:rsidP="00D25F8A">
            <w:pPr>
              <w:pStyle w:val="TableHeading"/>
              <w:jc w:val="center"/>
            </w:pPr>
          </w:p>
        </w:tc>
        <w:tc>
          <w:tcPr>
            <w:tcW w:w="499" w:type="pct"/>
            <w:vMerge/>
          </w:tcPr>
          <w:p w:rsidR="0036411E" w:rsidRPr="007201F4" w:rsidRDefault="0036411E" w:rsidP="00D25F8A">
            <w:pPr>
              <w:pStyle w:val="TableHeading"/>
              <w:jc w:val="center"/>
            </w:pPr>
          </w:p>
        </w:tc>
        <w:tc>
          <w:tcPr>
            <w:tcW w:w="580" w:type="pct"/>
            <w:vMerge/>
            <w:vAlign w:val="bottom"/>
          </w:tcPr>
          <w:p w:rsidR="0036411E" w:rsidRPr="007201F4" w:rsidRDefault="0036411E" w:rsidP="00D25F8A">
            <w:pPr>
              <w:pStyle w:val="TableHeading"/>
              <w:jc w:val="center"/>
            </w:pPr>
          </w:p>
        </w:tc>
        <w:tc>
          <w:tcPr>
            <w:tcW w:w="649" w:type="pct"/>
            <w:vMerge/>
            <w:vAlign w:val="bottom"/>
          </w:tcPr>
          <w:p w:rsidR="0036411E" w:rsidRPr="002F15D7" w:rsidRDefault="0036411E" w:rsidP="00D25F8A">
            <w:pPr>
              <w:pStyle w:val="TableHeading"/>
              <w:ind w:left="-35" w:right="-73"/>
              <w:jc w:val="center"/>
              <w:rPr>
                <w:i/>
              </w:rPr>
            </w:pPr>
          </w:p>
        </w:tc>
        <w:tc>
          <w:tcPr>
            <w:tcW w:w="649" w:type="pct"/>
            <w:vMerge/>
            <w:vAlign w:val="bottom"/>
          </w:tcPr>
          <w:p w:rsidR="0036411E" w:rsidRPr="002F15D7" w:rsidRDefault="0036411E" w:rsidP="00D25F8A">
            <w:pPr>
              <w:pStyle w:val="TableHeading"/>
              <w:ind w:left="-35" w:right="-73"/>
              <w:jc w:val="center"/>
              <w:rPr>
                <w:i/>
              </w:rPr>
            </w:pPr>
          </w:p>
        </w:tc>
        <w:tc>
          <w:tcPr>
            <w:tcW w:w="649" w:type="pct"/>
            <w:vAlign w:val="bottom"/>
          </w:tcPr>
          <w:p w:rsidR="0036411E" w:rsidRPr="002F15D7" w:rsidRDefault="0036411E" w:rsidP="00D25F8A">
            <w:pPr>
              <w:pStyle w:val="TableHeading"/>
              <w:ind w:left="-35" w:right="-73"/>
              <w:jc w:val="center"/>
              <w:rPr>
                <w:i/>
              </w:rPr>
            </w:pPr>
            <w:r>
              <w:rPr>
                <w:i/>
              </w:rPr>
              <w:t xml:space="preserve">Min </w:t>
            </w:r>
            <w:proofErr w:type="spellStart"/>
            <w:r>
              <w:rPr>
                <w:i/>
              </w:rPr>
              <w:t>disp.</w:t>
            </w:r>
            <w:r w:rsidRPr="0033304E">
              <w:rPr>
                <w:i/>
                <w:vertAlign w:val="superscript"/>
              </w:rPr>
              <w:t>b</w:t>
            </w:r>
            <w:proofErr w:type="spellEnd"/>
          </w:p>
        </w:tc>
        <w:tc>
          <w:tcPr>
            <w:tcW w:w="648" w:type="pct"/>
          </w:tcPr>
          <w:p w:rsidR="0036411E" w:rsidRPr="002F15D7" w:rsidRDefault="0036411E" w:rsidP="00D25F8A">
            <w:pPr>
              <w:pStyle w:val="TableHeading"/>
              <w:ind w:left="-35" w:right="-73"/>
              <w:jc w:val="center"/>
              <w:rPr>
                <w:i/>
              </w:rPr>
            </w:pPr>
            <w:r>
              <w:rPr>
                <w:i/>
              </w:rPr>
              <w:t xml:space="preserve">Max </w:t>
            </w:r>
            <w:proofErr w:type="spellStart"/>
            <w:r>
              <w:rPr>
                <w:i/>
              </w:rPr>
              <w:t>disp.</w:t>
            </w:r>
            <w:r w:rsidRPr="0033304E">
              <w:rPr>
                <w:i/>
                <w:vertAlign w:val="superscript"/>
              </w:rPr>
              <w:t>b</w:t>
            </w:r>
            <w:proofErr w:type="spellEnd"/>
          </w:p>
        </w:tc>
      </w:tr>
      <w:tr w:rsidR="0036411E" w:rsidRPr="0094491A" w:rsidTr="0036411E">
        <w:tc>
          <w:tcPr>
            <w:tcW w:w="748" w:type="pct"/>
            <w:vAlign w:val="center"/>
          </w:tcPr>
          <w:p w:rsidR="0036411E" w:rsidRPr="00D05B96" w:rsidRDefault="0036411E" w:rsidP="00D25F8A">
            <w:pPr>
              <w:pStyle w:val="TableText0"/>
              <w:spacing w:before="0" w:after="0"/>
            </w:pPr>
            <w:proofErr w:type="spellStart"/>
            <w:r w:rsidRPr="00D05B96">
              <w:t>Narafelin</w:t>
            </w:r>
            <w:proofErr w:type="spellEnd"/>
            <w:r w:rsidRPr="00D05B96">
              <w:t xml:space="preserve"> </w:t>
            </w:r>
            <w:r>
              <w:t>2</w:t>
            </w:r>
            <w:r w:rsidRPr="00D05B96">
              <w:t>00</w:t>
            </w:r>
            <w:r>
              <w:t xml:space="preserve"> mcg, </w:t>
            </w:r>
            <w:r>
              <w:br/>
              <w:t>60 actuations</w:t>
            </w:r>
          </w:p>
        </w:tc>
        <w:tc>
          <w:tcPr>
            <w:tcW w:w="578" w:type="pct"/>
            <w:vAlign w:val="center"/>
          </w:tcPr>
          <w:p w:rsidR="0036411E" w:rsidRPr="007201F4" w:rsidRDefault="0036411E" w:rsidP="00D25F8A">
            <w:pPr>
              <w:pStyle w:val="TableText0"/>
              <w:spacing w:before="0" w:after="0"/>
              <w:jc w:val="center"/>
              <w:rPr>
                <w:rFonts w:cs="Arial"/>
              </w:rPr>
            </w:pPr>
            <w:r>
              <w:rPr>
                <w:rFonts w:cs="Arial"/>
              </w:rPr>
              <w:t>2</w:t>
            </w:r>
            <w:r w:rsidRPr="007201F4">
              <w:rPr>
                <w:rFonts w:cs="Arial"/>
              </w:rPr>
              <w:t xml:space="preserve"> </w:t>
            </w:r>
          </w:p>
        </w:tc>
        <w:tc>
          <w:tcPr>
            <w:tcW w:w="499" w:type="pct"/>
            <w:vAlign w:val="center"/>
          </w:tcPr>
          <w:p w:rsidR="0036411E" w:rsidRPr="007201F4" w:rsidRDefault="0036411E" w:rsidP="00D25F8A">
            <w:pPr>
              <w:pStyle w:val="TableText0"/>
              <w:spacing w:before="0" w:after="0"/>
              <w:jc w:val="center"/>
              <w:rPr>
                <w:rFonts w:cs="Arial"/>
              </w:rPr>
            </w:pPr>
            <w:r w:rsidRPr="007201F4">
              <w:rPr>
                <w:rFonts w:cs="Arial"/>
              </w:rPr>
              <w:t>30 days</w:t>
            </w:r>
          </w:p>
        </w:tc>
        <w:tc>
          <w:tcPr>
            <w:tcW w:w="580" w:type="pct"/>
            <w:vAlign w:val="center"/>
          </w:tcPr>
          <w:p w:rsidR="0036411E" w:rsidRPr="007201F4" w:rsidRDefault="0036411E" w:rsidP="00D25F8A">
            <w:pPr>
              <w:pStyle w:val="TableText0"/>
              <w:spacing w:before="0" w:after="0"/>
              <w:jc w:val="center"/>
              <w:rPr>
                <w:rFonts w:cs="Arial"/>
              </w:rPr>
            </w:pPr>
            <w:r w:rsidRPr="007201F4">
              <w:rPr>
                <w:rFonts w:cs="Arial"/>
              </w:rPr>
              <w:t>$212.00</w:t>
            </w:r>
          </w:p>
        </w:tc>
        <w:tc>
          <w:tcPr>
            <w:tcW w:w="649" w:type="pct"/>
            <w:vAlign w:val="center"/>
          </w:tcPr>
          <w:p w:rsidR="0036411E" w:rsidRPr="002F15D7" w:rsidRDefault="0036411E" w:rsidP="00D25F8A">
            <w:pPr>
              <w:pStyle w:val="TableText0"/>
              <w:spacing w:before="0" w:after="0"/>
              <w:jc w:val="center"/>
              <w:rPr>
                <w:rFonts w:cs="Arial"/>
                <w:i/>
              </w:rPr>
            </w:pPr>
            <w:r>
              <w:rPr>
                <w:rFonts w:cs="Arial"/>
                <w:i/>
              </w:rPr>
              <w:t>1 script</w:t>
            </w:r>
            <w:r w:rsidR="00812102">
              <w:rPr>
                <w:rFonts w:cs="Arial"/>
                <w:i/>
              </w:rPr>
              <w:br/>
              <w:t xml:space="preserve">[2 packs] </w:t>
            </w:r>
            <w:r w:rsidR="00812102">
              <w:rPr>
                <w:rFonts w:cs="Arial"/>
                <w:i/>
              </w:rPr>
              <w:br/>
            </w:r>
            <w:r w:rsidRPr="002F15D7">
              <w:rPr>
                <w:rFonts w:cs="Arial"/>
                <w:i/>
              </w:rPr>
              <w:t>$212</w:t>
            </w:r>
          </w:p>
        </w:tc>
        <w:tc>
          <w:tcPr>
            <w:tcW w:w="649" w:type="pct"/>
            <w:vAlign w:val="center"/>
          </w:tcPr>
          <w:p w:rsidR="0036411E" w:rsidRPr="002F15D7" w:rsidRDefault="0036411E" w:rsidP="00D25F8A">
            <w:pPr>
              <w:pStyle w:val="TableText0"/>
              <w:spacing w:before="0" w:after="0"/>
              <w:jc w:val="center"/>
              <w:rPr>
                <w:rFonts w:cs="Arial"/>
                <w:i/>
              </w:rPr>
            </w:pPr>
            <w:r>
              <w:rPr>
                <w:rFonts w:cs="Arial"/>
                <w:i/>
              </w:rPr>
              <w:t>1 scrip</w:t>
            </w:r>
            <w:r w:rsidR="00812102">
              <w:rPr>
                <w:rFonts w:cs="Arial"/>
                <w:i/>
              </w:rPr>
              <w:t>t</w:t>
            </w:r>
            <w:r w:rsidR="00812102">
              <w:rPr>
                <w:rFonts w:cs="Arial"/>
                <w:i/>
              </w:rPr>
              <w:br/>
              <w:t>[2 packs]</w:t>
            </w:r>
            <w:r w:rsidRPr="002F15D7">
              <w:rPr>
                <w:rFonts w:cs="Arial"/>
                <w:i/>
              </w:rPr>
              <w:br/>
              <w:t>$212</w:t>
            </w:r>
          </w:p>
        </w:tc>
        <w:tc>
          <w:tcPr>
            <w:tcW w:w="649" w:type="pct"/>
            <w:vAlign w:val="center"/>
          </w:tcPr>
          <w:p w:rsidR="0036411E" w:rsidRPr="002F15D7" w:rsidRDefault="0036411E" w:rsidP="00D25F8A">
            <w:pPr>
              <w:pStyle w:val="TableText0"/>
              <w:spacing w:before="0" w:after="0"/>
              <w:jc w:val="center"/>
              <w:rPr>
                <w:rFonts w:cs="Arial"/>
                <w:i/>
              </w:rPr>
            </w:pPr>
            <w:r>
              <w:rPr>
                <w:rFonts w:cs="Arial"/>
                <w:i/>
              </w:rPr>
              <w:t>2 scripts</w:t>
            </w:r>
            <w:r w:rsidRPr="002F15D7">
              <w:rPr>
                <w:rFonts w:cs="Arial"/>
                <w:i/>
              </w:rPr>
              <w:br/>
            </w:r>
            <w:r w:rsidR="00812102">
              <w:rPr>
                <w:rFonts w:cs="Arial"/>
                <w:i/>
              </w:rPr>
              <w:t>[3 packs]</w:t>
            </w:r>
            <w:r w:rsidR="00812102">
              <w:rPr>
                <w:rFonts w:cs="Arial"/>
                <w:i/>
              </w:rPr>
              <w:br/>
            </w:r>
            <w:r w:rsidRPr="002F15D7">
              <w:rPr>
                <w:rFonts w:cs="Arial"/>
                <w:i/>
              </w:rPr>
              <w:t>$318</w:t>
            </w:r>
          </w:p>
        </w:tc>
        <w:tc>
          <w:tcPr>
            <w:tcW w:w="648" w:type="pct"/>
            <w:vAlign w:val="center"/>
          </w:tcPr>
          <w:p w:rsidR="0036411E" w:rsidRPr="002F15D7" w:rsidRDefault="0036411E" w:rsidP="00D25F8A">
            <w:pPr>
              <w:pStyle w:val="TableText0"/>
              <w:spacing w:before="0" w:after="0"/>
              <w:jc w:val="center"/>
              <w:rPr>
                <w:rFonts w:cs="Arial"/>
                <w:i/>
              </w:rPr>
            </w:pPr>
            <w:r>
              <w:rPr>
                <w:rFonts w:cs="Arial"/>
                <w:i/>
              </w:rPr>
              <w:t>2 scripts</w:t>
            </w:r>
            <w:r w:rsidRPr="002F15D7">
              <w:rPr>
                <w:rFonts w:cs="Arial"/>
                <w:i/>
              </w:rPr>
              <w:br/>
            </w:r>
            <w:r w:rsidR="00812102">
              <w:rPr>
                <w:rFonts w:cs="Arial"/>
                <w:i/>
              </w:rPr>
              <w:t>[4 packs]</w:t>
            </w:r>
            <w:r w:rsidR="00812102">
              <w:rPr>
                <w:rFonts w:cs="Arial"/>
                <w:i/>
              </w:rPr>
              <w:br/>
            </w:r>
            <w:r w:rsidRPr="002F15D7">
              <w:rPr>
                <w:rFonts w:cs="Arial"/>
                <w:i/>
              </w:rPr>
              <w:t>$414</w:t>
            </w:r>
          </w:p>
        </w:tc>
      </w:tr>
      <w:tr w:rsidR="0036411E" w:rsidRPr="0094491A" w:rsidTr="0036411E">
        <w:tc>
          <w:tcPr>
            <w:tcW w:w="748" w:type="pct"/>
            <w:vAlign w:val="center"/>
          </w:tcPr>
          <w:p w:rsidR="0036411E" w:rsidRPr="00D05B96" w:rsidRDefault="0036411E" w:rsidP="00D25F8A">
            <w:pPr>
              <w:pStyle w:val="TableText0"/>
              <w:spacing w:before="0" w:after="0"/>
            </w:pPr>
            <w:proofErr w:type="spellStart"/>
            <w:r w:rsidRPr="00D05B96">
              <w:t>Triptorelin</w:t>
            </w:r>
            <w:proofErr w:type="spellEnd"/>
            <w:r w:rsidRPr="00D05B96">
              <w:t xml:space="preserve"> 100</w:t>
            </w:r>
            <w:r>
              <w:t xml:space="preserve"> mcg, </w:t>
            </w:r>
            <w:r>
              <w:br/>
              <w:t>28 syringes</w:t>
            </w:r>
            <w:r w:rsidRPr="00D05B96">
              <w:t xml:space="preserve"> </w:t>
            </w:r>
          </w:p>
        </w:tc>
        <w:tc>
          <w:tcPr>
            <w:tcW w:w="578" w:type="pct"/>
            <w:vAlign w:val="center"/>
          </w:tcPr>
          <w:p w:rsidR="0036411E" w:rsidRPr="007201F4" w:rsidRDefault="0036411E" w:rsidP="00D25F8A">
            <w:pPr>
              <w:pStyle w:val="TableText0"/>
              <w:spacing w:before="0" w:after="0"/>
              <w:jc w:val="center"/>
              <w:rPr>
                <w:rFonts w:cs="Arial"/>
              </w:rPr>
            </w:pPr>
            <w:r>
              <w:rPr>
                <w:rFonts w:cs="Arial"/>
              </w:rPr>
              <w:t>1</w:t>
            </w:r>
            <w:r w:rsidRPr="007201F4">
              <w:rPr>
                <w:rFonts w:cs="Arial"/>
              </w:rPr>
              <w:t xml:space="preserve"> </w:t>
            </w:r>
          </w:p>
        </w:tc>
        <w:tc>
          <w:tcPr>
            <w:tcW w:w="499" w:type="pct"/>
            <w:vAlign w:val="center"/>
          </w:tcPr>
          <w:p w:rsidR="0036411E" w:rsidRPr="007201F4" w:rsidRDefault="0036411E" w:rsidP="00D25F8A">
            <w:pPr>
              <w:pStyle w:val="TableText0"/>
              <w:spacing w:before="0" w:after="0"/>
              <w:jc w:val="center"/>
              <w:rPr>
                <w:rFonts w:cs="Arial"/>
              </w:rPr>
            </w:pPr>
            <w:r w:rsidRPr="007201F4">
              <w:rPr>
                <w:rFonts w:cs="Arial"/>
              </w:rPr>
              <w:t>28 days</w:t>
            </w:r>
          </w:p>
        </w:tc>
        <w:tc>
          <w:tcPr>
            <w:tcW w:w="580" w:type="pct"/>
            <w:vAlign w:val="center"/>
          </w:tcPr>
          <w:p w:rsidR="0036411E" w:rsidRPr="007201F4" w:rsidRDefault="0036411E" w:rsidP="00D25F8A">
            <w:pPr>
              <w:pStyle w:val="TableText0"/>
              <w:spacing w:before="0" w:after="0"/>
              <w:jc w:val="center"/>
              <w:rPr>
                <w:rFonts w:cs="Arial"/>
              </w:rPr>
            </w:pPr>
            <w:r w:rsidRPr="007201F4">
              <w:rPr>
                <w:rFonts w:cs="Arial"/>
              </w:rPr>
              <w:t>$212.00</w:t>
            </w:r>
          </w:p>
        </w:tc>
        <w:tc>
          <w:tcPr>
            <w:tcW w:w="649" w:type="pct"/>
            <w:vAlign w:val="center"/>
          </w:tcPr>
          <w:p w:rsidR="0036411E" w:rsidRPr="002F15D7" w:rsidRDefault="0036411E" w:rsidP="00D25F8A">
            <w:pPr>
              <w:pStyle w:val="TableText0"/>
              <w:spacing w:before="0" w:after="0"/>
              <w:jc w:val="center"/>
              <w:rPr>
                <w:rFonts w:cs="Arial"/>
              </w:rPr>
            </w:pPr>
            <w:r w:rsidRPr="002F15D7">
              <w:rPr>
                <w:rFonts w:cs="Arial"/>
                <w:i/>
              </w:rPr>
              <w:t xml:space="preserve">1 </w:t>
            </w:r>
            <w:r>
              <w:rPr>
                <w:rFonts w:cs="Arial"/>
                <w:i/>
              </w:rPr>
              <w:t>script</w:t>
            </w:r>
            <w:r w:rsidR="00812102">
              <w:rPr>
                <w:rFonts w:cs="Arial"/>
                <w:i/>
              </w:rPr>
              <w:br/>
              <w:t>[1 packs]</w:t>
            </w:r>
            <w:r w:rsidRPr="002F15D7">
              <w:rPr>
                <w:rFonts w:cs="Arial"/>
                <w:i/>
              </w:rPr>
              <w:br/>
              <w:t>$212</w:t>
            </w:r>
          </w:p>
        </w:tc>
        <w:tc>
          <w:tcPr>
            <w:tcW w:w="649" w:type="pct"/>
            <w:vAlign w:val="center"/>
          </w:tcPr>
          <w:p w:rsidR="0036411E" w:rsidRPr="002F15D7" w:rsidRDefault="0036411E" w:rsidP="00D25F8A">
            <w:pPr>
              <w:pStyle w:val="TableText0"/>
              <w:spacing w:before="0" w:after="0"/>
              <w:jc w:val="center"/>
              <w:rPr>
                <w:rFonts w:cs="Arial"/>
                <w:i/>
              </w:rPr>
            </w:pPr>
            <w:r w:rsidRPr="002F15D7">
              <w:rPr>
                <w:rFonts w:cs="Arial"/>
                <w:i/>
              </w:rPr>
              <w:t xml:space="preserve">2 </w:t>
            </w:r>
            <w:r>
              <w:rPr>
                <w:rFonts w:cs="Arial"/>
                <w:i/>
              </w:rPr>
              <w:t>scripts</w:t>
            </w:r>
            <w:r w:rsidR="00812102">
              <w:rPr>
                <w:rFonts w:cs="Arial"/>
                <w:i/>
              </w:rPr>
              <w:br/>
              <w:t>[2 packs]</w:t>
            </w:r>
            <w:r w:rsidRPr="002F15D7">
              <w:rPr>
                <w:rFonts w:cs="Arial"/>
                <w:i/>
              </w:rPr>
              <w:br/>
              <w:t>$414</w:t>
            </w:r>
          </w:p>
        </w:tc>
        <w:tc>
          <w:tcPr>
            <w:tcW w:w="649" w:type="pct"/>
            <w:vAlign w:val="center"/>
          </w:tcPr>
          <w:p w:rsidR="0036411E" w:rsidRPr="002F15D7" w:rsidRDefault="0036411E" w:rsidP="00D25F8A">
            <w:pPr>
              <w:pStyle w:val="TableText0"/>
              <w:spacing w:before="0" w:after="0"/>
              <w:jc w:val="center"/>
              <w:rPr>
                <w:rFonts w:cs="Arial"/>
                <w:i/>
              </w:rPr>
            </w:pPr>
            <w:r w:rsidRPr="002F15D7">
              <w:rPr>
                <w:rFonts w:cs="Arial"/>
                <w:i/>
              </w:rPr>
              <w:t xml:space="preserve">2 </w:t>
            </w:r>
            <w:r>
              <w:rPr>
                <w:rFonts w:cs="Arial"/>
                <w:i/>
              </w:rPr>
              <w:t>scripts</w:t>
            </w:r>
            <w:r w:rsidR="00812102">
              <w:rPr>
                <w:rFonts w:cs="Arial"/>
                <w:i/>
              </w:rPr>
              <w:br/>
              <w:t>[2 packs]</w:t>
            </w:r>
            <w:r w:rsidRPr="002F15D7">
              <w:rPr>
                <w:rFonts w:cs="Arial"/>
                <w:i/>
              </w:rPr>
              <w:br/>
              <w:t>$414</w:t>
            </w:r>
          </w:p>
        </w:tc>
        <w:tc>
          <w:tcPr>
            <w:tcW w:w="648" w:type="pct"/>
            <w:vAlign w:val="center"/>
          </w:tcPr>
          <w:p w:rsidR="0036411E" w:rsidRPr="002F15D7" w:rsidRDefault="0036411E" w:rsidP="00D25F8A">
            <w:pPr>
              <w:pStyle w:val="TableText0"/>
              <w:spacing w:before="0" w:after="0"/>
              <w:jc w:val="center"/>
              <w:rPr>
                <w:rFonts w:cs="Arial"/>
                <w:i/>
              </w:rPr>
            </w:pPr>
            <w:r w:rsidRPr="002F15D7">
              <w:rPr>
                <w:rFonts w:cs="Arial"/>
                <w:i/>
              </w:rPr>
              <w:t xml:space="preserve">2 </w:t>
            </w:r>
            <w:r>
              <w:rPr>
                <w:rFonts w:cs="Arial"/>
                <w:i/>
              </w:rPr>
              <w:t>scripts</w:t>
            </w:r>
            <w:r w:rsidR="00812102">
              <w:rPr>
                <w:rFonts w:cs="Arial"/>
                <w:i/>
              </w:rPr>
              <w:br/>
              <w:t>[2 packs]</w:t>
            </w:r>
            <w:r w:rsidRPr="002F15D7">
              <w:rPr>
                <w:rFonts w:cs="Arial"/>
                <w:i/>
              </w:rPr>
              <w:br/>
              <w:t>$414</w:t>
            </w:r>
          </w:p>
        </w:tc>
      </w:tr>
    </w:tbl>
    <w:p w:rsidR="0036411E" w:rsidRDefault="0036411E" w:rsidP="0036411E">
      <w:pPr>
        <w:pStyle w:val="TableFooter"/>
        <w:ind w:firstLine="720"/>
        <w:rPr>
          <w:i/>
        </w:rPr>
      </w:pPr>
      <w:r w:rsidRPr="00CF5828">
        <w:t>Source: Table E-1 p87 and Table E-2 p 87 of the submission. Text in</w:t>
      </w:r>
      <w:r>
        <w:rPr>
          <w:i/>
        </w:rPr>
        <w:t xml:space="preserve"> italics </w:t>
      </w:r>
      <w:r w:rsidRPr="00CF5828">
        <w:t>was compiled during the evaluation</w:t>
      </w:r>
    </w:p>
    <w:p w:rsidR="0036411E" w:rsidRPr="00CF5828" w:rsidRDefault="0036411E" w:rsidP="0036411E">
      <w:pPr>
        <w:pStyle w:val="TableFooter"/>
        <w:ind w:firstLine="720"/>
      </w:pPr>
      <w:r w:rsidRPr="00CF5828">
        <w:t xml:space="preserve">Abbreviations: AEMP = approved ex-manufacturer price. </w:t>
      </w:r>
    </w:p>
    <w:p w:rsidR="0036411E" w:rsidRPr="00CF5828" w:rsidRDefault="0036411E" w:rsidP="0036411E">
      <w:pPr>
        <w:pStyle w:val="TableFooter"/>
        <w:ind w:firstLine="720"/>
      </w:pPr>
      <w:proofErr w:type="spellStart"/>
      <w:proofErr w:type="gramStart"/>
      <w:r w:rsidRPr="00CF5828">
        <w:rPr>
          <w:vertAlign w:val="superscript"/>
        </w:rPr>
        <w:t>a</w:t>
      </w:r>
      <w:proofErr w:type="spellEnd"/>
      <w:proofErr w:type="gramEnd"/>
      <w:r w:rsidRPr="00CF5828">
        <w:t xml:space="preserve"> </w:t>
      </w:r>
      <w:proofErr w:type="spellStart"/>
      <w:r w:rsidRPr="00CF5828">
        <w:t>A</w:t>
      </w:r>
      <w:proofErr w:type="spellEnd"/>
      <w:r w:rsidRPr="00CF5828">
        <w:t xml:space="preserve"> cycle is based on duration of treatment. </w:t>
      </w:r>
    </w:p>
    <w:p w:rsidR="0036411E" w:rsidRPr="00CF5828" w:rsidRDefault="0036411E" w:rsidP="005638ED">
      <w:pPr>
        <w:pStyle w:val="TableFooter"/>
        <w:ind w:left="720"/>
      </w:pPr>
      <w:proofErr w:type="gramStart"/>
      <w:r w:rsidRPr="00CF5828">
        <w:rPr>
          <w:vertAlign w:val="superscript"/>
        </w:rPr>
        <w:t>b</w:t>
      </w:r>
      <w:proofErr w:type="gramEnd"/>
      <w:r w:rsidRPr="00CF5828">
        <w:t xml:space="preserve"> The </w:t>
      </w:r>
      <w:r w:rsidR="009045CB" w:rsidRPr="00CF5828">
        <w:t>ranges presented are</w:t>
      </w:r>
      <w:r w:rsidRPr="00CF5828">
        <w:t xml:space="preserve"> based on the minimum and maximum number units dispensed to patients. The calculations assume packs are not broken. </w:t>
      </w:r>
    </w:p>
    <w:p w:rsidR="00A90842" w:rsidRDefault="00A90842" w:rsidP="00A90842">
      <w:pPr>
        <w:widowControl/>
        <w:rPr>
          <w:szCs w:val="22"/>
        </w:rPr>
      </w:pPr>
    </w:p>
    <w:p w:rsidR="00A90842" w:rsidRPr="002C2775" w:rsidRDefault="00A90842" w:rsidP="00296326">
      <w:pPr>
        <w:pStyle w:val="Heading2"/>
        <w:rPr>
          <w:szCs w:val="22"/>
        </w:rPr>
      </w:pPr>
      <w:bookmarkStart w:id="25" w:name="_Toc437239502"/>
      <w:bookmarkStart w:id="26" w:name="_Toc440884964"/>
      <w:r w:rsidRPr="002C2775">
        <w:t>Drug cost/patient/</w:t>
      </w:r>
      <w:r w:rsidR="005638ED">
        <w:t>cycle of ART: $</w:t>
      </w:r>
      <w:bookmarkEnd w:id="25"/>
      <w:bookmarkEnd w:id="26"/>
      <w:r w:rsidR="00183312">
        <w:rPr>
          <w:noProof/>
          <w:color w:val="000000"/>
          <w:highlight w:val="black"/>
        </w:rPr>
        <w:t>''''''''''''''</w:t>
      </w:r>
    </w:p>
    <w:p w:rsidR="00A90842" w:rsidRPr="00C25D9C" w:rsidRDefault="00A90842" w:rsidP="00A90842">
      <w:pPr>
        <w:widowControl/>
        <w:rPr>
          <w:szCs w:val="22"/>
        </w:rPr>
      </w:pPr>
    </w:p>
    <w:p w:rsidR="00395FAF" w:rsidRPr="00395FAF" w:rsidRDefault="006F3308" w:rsidP="000403D8">
      <w:pPr>
        <w:pStyle w:val="ListParagraph"/>
        <w:widowControl/>
        <w:numPr>
          <w:ilvl w:val="1"/>
          <w:numId w:val="1"/>
        </w:numPr>
        <w:rPr>
          <w:szCs w:val="22"/>
        </w:rPr>
      </w:pPr>
      <w:r>
        <w:t>For patients requiring ≤28 days of treatment, t</w:t>
      </w:r>
      <w:r w:rsidR="00DB06F3" w:rsidRPr="00DB06F3">
        <w:t xml:space="preserve">he </w:t>
      </w:r>
      <w:r>
        <w:t xml:space="preserve">dispensed cost </w:t>
      </w:r>
      <w:r w:rsidR="00DB06F3" w:rsidRPr="00DB06F3">
        <w:t xml:space="preserve">of </w:t>
      </w:r>
      <w:proofErr w:type="spellStart"/>
      <w:r w:rsidR="00DB06F3" w:rsidRPr="00DB06F3">
        <w:t>triptorelin</w:t>
      </w:r>
      <w:proofErr w:type="spellEnd"/>
      <w:r w:rsidR="00DB06F3" w:rsidRPr="00DB06F3">
        <w:t xml:space="preserve"> acetate is $</w:t>
      </w:r>
      <w:r w:rsidR="00183312">
        <w:rPr>
          <w:noProof/>
          <w:color w:val="000000"/>
          <w:highlight w:val="black"/>
        </w:rPr>
        <w:t>'''''''''''''''</w:t>
      </w:r>
      <w:r w:rsidR="00DB06F3" w:rsidRPr="00DB06F3">
        <w:t xml:space="preserve"> per patient per </w:t>
      </w:r>
      <w:r>
        <w:t xml:space="preserve">ART </w:t>
      </w:r>
      <w:r w:rsidR="00DB06F3" w:rsidRPr="00DB06F3">
        <w:t>cycle</w:t>
      </w:r>
      <w:r w:rsidR="00A90842" w:rsidRPr="0053410A">
        <w:t>.</w:t>
      </w:r>
      <w:r>
        <w:t xml:space="preserve"> For patients</w:t>
      </w:r>
      <w:r w:rsidR="00A90842">
        <w:rPr>
          <w:color w:val="3366FF"/>
          <w:szCs w:val="22"/>
        </w:rPr>
        <w:t xml:space="preserve"> </w:t>
      </w:r>
      <w:r>
        <w:t>requiring ≤30 days of treatment, t</w:t>
      </w:r>
      <w:r w:rsidRPr="00DB06F3">
        <w:t xml:space="preserve">he </w:t>
      </w:r>
      <w:r>
        <w:t xml:space="preserve">dispensed cost </w:t>
      </w:r>
      <w:r w:rsidRPr="00DB06F3">
        <w:t xml:space="preserve">of </w:t>
      </w:r>
      <w:proofErr w:type="spellStart"/>
      <w:r>
        <w:t>nafarelin</w:t>
      </w:r>
      <w:proofErr w:type="spellEnd"/>
      <w:r w:rsidRPr="00DB06F3">
        <w:t xml:space="preserve"> is $</w:t>
      </w:r>
      <w:r w:rsidR="00183312">
        <w:rPr>
          <w:noProof/>
          <w:color w:val="000000"/>
          <w:highlight w:val="black"/>
        </w:rPr>
        <w:t>''''''''''''''''''</w:t>
      </w:r>
      <w:r w:rsidRPr="00DB06F3">
        <w:t xml:space="preserve"> per patient per </w:t>
      </w:r>
      <w:r>
        <w:t xml:space="preserve">ART </w:t>
      </w:r>
      <w:r w:rsidRPr="00DB06F3">
        <w:t>cycle</w:t>
      </w:r>
      <w:r w:rsidR="0053410A">
        <w:rPr>
          <w:i/>
        </w:rPr>
        <w:t>.</w:t>
      </w:r>
    </w:p>
    <w:p w:rsidR="00A90842" w:rsidRPr="001E2B1E" w:rsidRDefault="00A90842" w:rsidP="00A90842">
      <w:pPr>
        <w:rPr>
          <w:szCs w:val="22"/>
        </w:rPr>
      </w:pPr>
    </w:p>
    <w:p w:rsidR="00A90842" w:rsidRPr="002C2775" w:rsidRDefault="00A90842" w:rsidP="00296326">
      <w:pPr>
        <w:pStyle w:val="Heading2"/>
      </w:pPr>
      <w:bookmarkStart w:id="27" w:name="_Toc437239503"/>
      <w:bookmarkStart w:id="28" w:name="_Toc440884965"/>
      <w:r w:rsidRPr="002C2775">
        <w:t>Estimated PBS usage &amp; financial implications</w:t>
      </w:r>
      <w:bookmarkEnd w:id="27"/>
      <w:bookmarkEnd w:id="28"/>
    </w:p>
    <w:p w:rsidR="00A90842" w:rsidRPr="00882085" w:rsidRDefault="00A90842" w:rsidP="00A90842">
      <w:pPr>
        <w:ind w:left="720" w:hanging="720"/>
        <w:rPr>
          <w:b/>
          <w:i/>
          <w:szCs w:val="22"/>
        </w:rPr>
      </w:pPr>
    </w:p>
    <w:p w:rsidR="00E90880" w:rsidRPr="006670AA" w:rsidRDefault="00A90842" w:rsidP="000403D8">
      <w:pPr>
        <w:pStyle w:val="ListParagraph"/>
        <w:widowControl/>
        <w:numPr>
          <w:ilvl w:val="1"/>
          <w:numId w:val="1"/>
        </w:numPr>
        <w:rPr>
          <w:szCs w:val="22"/>
        </w:rPr>
      </w:pPr>
      <w:r>
        <w:t xml:space="preserve">This submission </w:t>
      </w:r>
      <w:r w:rsidR="00CF5828">
        <w:t>wa</w:t>
      </w:r>
      <w:r>
        <w:t>s not considered by DUS</w:t>
      </w:r>
      <w:r w:rsidR="00B94E3C">
        <w:t>C.</w:t>
      </w:r>
      <w:r w:rsidR="006670AA">
        <w:t xml:space="preserve"> </w:t>
      </w:r>
      <w:r w:rsidR="006670AA" w:rsidRPr="00B50DB8">
        <w:rPr>
          <w:szCs w:val="22"/>
        </w:rPr>
        <w:t xml:space="preserve">A summary of the </w:t>
      </w:r>
      <w:r w:rsidR="006670AA">
        <w:rPr>
          <w:szCs w:val="22"/>
        </w:rPr>
        <w:t xml:space="preserve">estimated use and financial implications for listing </w:t>
      </w:r>
      <w:proofErr w:type="spellStart"/>
      <w:r w:rsidR="006670AA">
        <w:rPr>
          <w:szCs w:val="22"/>
        </w:rPr>
        <w:t>triptorelin</w:t>
      </w:r>
      <w:proofErr w:type="spellEnd"/>
      <w:r w:rsidR="006670AA">
        <w:rPr>
          <w:szCs w:val="22"/>
        </w:rPr>
        <w:t xml:space="preserve"> acetate</w:t>
      </w:r>
      <w:r w:rsidR="006670AA" w:rsidRPr="00B50DB8">
        <w:rPr>
          <w:szCs w:val="22"/>
        </w:rPr>
        <w:t xml:space="preserve"> </w:t>
      </w:r>
      <w:r w:rsidR="006670AA">
        <w:rPr>
          <w:szCs w:val="22"/>
        </w:rPr>
        <w:t xml:space="preserve">on the PBS </w:t>
      </w:r>
      <w:r w:rsidR="00C67E3E">
        <w:rPr>
          <w:szCs w:val="22"/>
        </w:rPr>
        <w:t xml:space="preserve">is presented in Table </w:t>
      </w:r>
      <w:r w:rsidR="000058A1">
        <w:rPr>
          <w:szCs w:val="22"/>
        </w:rPr>
        <w:t>6.</w:t>
      </w:r>
      <w:r w:rsidR="006670AA" w:rsidRPr="00B50DB8">
        <w:rPr>
          <w:szCs w:val="22"/>
        </w:rPr>
        <w:t xml:space="preserve"> </w:t>
      </w:r>
    </w:p>
    <w:p w:rsidR="00DE73B3" w:rsidRDefault="00DE73B3" w:rsidP="00A90842">
      <w:pPr>
        <w:pStyle w:val="PBACHeading1"/>
        <w:numPr>
          <w:ilvl w:val="0"/>
          <w:numId w:val="0"/>
        </w:numPr>
        <w:ind w:left="720" w:hanging="720"/>
      </w:pPr>
    </w:p>
    <w:p w:rsidR="00A90842" w:rsidRDefault="00A90842" w:rsidP="00A90842">
      <w:pPr>
        <w:ind w:firstLine="709"/>
        <w:rPr>
          <w:rStyle w:val="CommentReference"/>
        </w:rPr>
      </w:pPr>
      <w:r w:rsidRPr="001222FC">
        <w:rPr>
          <w:rStyle w:val="CommentReference"/>
        </w:rPr>
        <w:t xml:space="preserve">Table </w:t>
      </w:r>
      <w:r w:rsidR="000058A1">
        <w:rPr>
          <w:rStyle w:val="CommentReference"/>
        </w:rPr>
        <w:t>6</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0"/>
        <w:gridCol w:w="1187"/>
        <w:gridCol w:w="1187"/>
        <w:gridCol w:w="1187"/>
        <w:gridCol w:w="1187"/>
        <w:gridCol w:w="1188"/>
      </w:tblGrid>
      <w:tr w:rsidR="00A90842" w:rsidRPr="004E2ADC" w:rsidTr="00D66EB6">
        <w:trPr>
          <w:tblHeader/>
        </w:trPr>
        <w:tc>
          <w:tcPr>
            <w:tcW w:w="1444" w:type="pct"/>
            <w:shd w:val="clear" w:color="auto" w:fill="auto"/>
            <w:vAlign w:val="center"/>
          </w:tcPr>
          <w:p w:rsidR="00A90842" w:rsidRPr="004E2ADC" w:rsidRDefault="00A90842" w:rsidP="009C7BAC">
            <w:pPr>
              <w:tabs>
                <w:tab w:val="left" w:pos="142"/>
              </w:tabs>
              <w:jc w:val="left"/>
              <w:rPr>
                <w:rFonts w:ascii="Arial Narrow" w:hAnsi="Arial Narrow"/>
                <w:b/>
                <w:sz w:val="20"/>
              </w:rPr>
            </w:pPr>
          </w:p>
        </w:tc>
        <w:tc>
          <w:tcPr>
            <w:tcW w:w="711" w:type="pct"/>
            <w:shd w:val="clear" w:color="auto" w:fill="auto"/>
            <w:vAlign w:val="center"/>
          </w:tcPr>
          <w:p w:rsidR="00A90842" w:rsidRPr="004E2ADC" w:rsidRDefault="00A90842" w:rsidP="009C7BAC">
            <w:pPr>
              <w:jc w:val="center"/>
              <w:rPr>
                <w:rFonts w:ascii="Arial Narrow" w:hAnsi="Arial Narrow"/>
                <w:b/>
                <w:sz w:val="20"/>
              </w:rPr>
            </w:pPr>
            <w:r w:rsidRPr="004E2ADC">
              <w:rPr>
                <w:rFonts w:ascii="Arial Narrow" w:hAnsi="Arial Narrow"/>
                <w:b/>
                <w:sz w:val="20"/>
              </w:rPr>
              <w:t>Year 1</w:t>
            </w:r>
          </w:p>
        </w:tc>
        <w:tc>
          <w:tcPr>
            <w:tcW w:w="711" w:type="pct"/>
            <w:shd w:val="clear" w:color="auto" w:fill="auto"/>
            <w:vAlign w:val="center"/>
          </w:tcPr>
          <w:p w:rsidR="00A90842" w:rsidRPr="004E2ADC" w:rsidRDefault="00A90842" w:rsidP="009C7BAC">
            <w:pPr>
              <w:jc w:val="center"/>
              <w:rPr>
                <w:rFonts w:ascii="Arial Narrow" w:hAnsi="Arial Narrow"/>
                <w:b/>
                <w:sz w:val="20"/>
              </w:rPr>
            </w:pPr>
            <w:r w:rsidRPr="004E2ADC">
              <w:rPr>
                <w:rFonts w:ascii="Arial Narrow" w:hAnsi="Arial Narrow"/>
                <w:b/>
                <w:sz w:val="20"/>
              </w:rPr>
              <w:t>Year 2</w:t>
            </w:r>
          </w:p>
        </w:tc>
        <w:tc>
          <w:tcPr>
            <w:tcW w:w="711" w:type="pct"/>
            <w:shd w:val="clear" w:color="auto" w:fill="auto"/>
            <w:vAlign w:val="center"/>
          </w:tcPr>
          <w:p w:rsidR="00A90842" w:rsidRPr="004E2ADC" w:rsidRDefault="00A90842" w:rsidP="009C7BAC">
            <w:pPr>
              <w:jc w:val="center"/>
              <w:rPr>
                <w:rFonts w:ascii="Arial Narrow" w:hAnsi="Arial Narrow"/>
                <w:b/>
                <w:sz w:val="20"/>
              </w:rPr>
            </w:pPr>
            <w:r w:rsidRPr="004E2ADC">
              <w:rPr>
                <w:rFonts w:ascii="Arial Narrow" w:hAnsi="Arial Narrow"/>
                <w:b/>
                <w:sz w:val="20"/>
              </w:rPr>
              <w:t>Year 3</w:t>
            </w:r>
          </w:p>
        </w:tc>
        <w:tc>
          <w:tcPr>
            <w:tcW w:w="711" w:type="pct"/>
            <w:shd w:val="clear" w:color="auto" w:fill="auto"/>
            <w:vAlign w:val="center"/>
          </w:tcPr>
          <w:p w:rsidR="00A90842" w:rsidRPr="004E2ADC" w:rsidRDefault="00A90842" w:rsidP="009C7BAC">
            <w:pPr>
              <w:jc w:val="center"/>
              <w:rPr>
                <w:rFonts w:ascii="Arial Narrow" w:hAnsi="Arial Narrow"/>
                <w:b/>
                <w:sz w:val="20"/>
              </w:rPr>
            </w:pPr>
            <w:r w:rsidRPr="004E2ADC">
              <w:rPr>
                <w:rFonts w:ascii="Arial Narrow" w:hAnsi="Arial Narrow"/>
                <w:b/>
                <w:sz w:val="20"/>
              </w:rPr>
              <w:t>Year 4</w:t>
            </w:r>
          </w:p>
        </w:tc>
        <w:tc>
          <w:tcPr>
            <w:tcW w:w="712" w:type="pct"/>
            <w:shd w:val="clear" w:color="auto" w:fill="auto"/>
            <w:vAlign w:val="center"/>
          </w:tcPr>
          <w:p w:rsidR="00A90842" w:rsidRPr="004E2ADC" w:rsidRDefault="00A90842" w:rsidP="009C7BAC">
            <w:pPr>
              <w:jc w:val="center"/>
              <w:rPr>
                <w:rFonts w:ascii="Arial Narrow" w:hAnsi="Arial Narrow"/>
                <w:b/>
                <w:sz w:val="20"/>
              </w:rPr>
            </w:pPr>
            <w:r w:rsidRPr="004E2ADC">
              <w:rPr>
                <w:rFonts w:ascii="Arial Narrow" w:hAnsi="Arial Narrow"/>
                <w:b/>
                <w:sz w:val="20"/>
              </w:rPr>
              <w:t>Year 5</w:t>
            </w:r>
          </w:p>
        </w:tc>
      </w:tr>
      <w:tr w:rsidR="00A90842" w:rsidRPr="004E2ADC" w:rsidTr="009C7BAC">
        <w:tc>
          <w:tcPr>
            <w:tcW w:w="5000" w:type="pct"/>
            <w:gridSpan w:val="6"/>
            <w:shd w:val="clear" w:color="auto" w:fill="auto"/>
            <w:vAlign w:val="center"/>
          </w:tcPr>
          <w:p w:rsidR="00A90842" w:rsidRPr="004E2ADC" w:rsidRDefault="00A90842" w:rsidP="009C7BAC">
            <w:pPr>
              <w:jc w:val="left"/>
              <w:rPr>
                <w:rFonts w:ascii="Arial Narrow" w:hAnsi="Arial Narrow"/>
                <w:b/>
                <w:bCs/>
                <w:color w:val="000000"/>
                <w:sz w:val="20"/>
              </w:rPr>
            </w:pPr>
            <w:r w:rsidRPr="004E2ADC">
              <w:rPr>
                <w:rFonts w:ascii="Arial Narrow" w:hAnsi="Arial Narrow"/>
                <w:b/>
                <w:bCs/>
                <w:color w:val="000000"/>
                <w:sz w:val="20"/>
              </w:rPr>
              <w:t>Estimated extent of use</w:t>
            </w:r>
          </w:p>
        </w:tc>
      </w:tr>
      <w:tr w:rsidR="00A90842" w:rsidRPr="004E2ADC" w:rsidTr="00D66EB6">
        <w:tc>
          <w:tcPr>
            <w:tcW w:w="1444" w:type="pct"/>
            <w:shd w:val="clear" w:color="auto" w:fill="auto"/>
            <w:vAlign w:val="center"/>
          </w:tcPr>
          <w:p w:rsidR="00A90842" w:rsidRPr="004E2ADC" w:rsidRDefault="001D0CD8" w:rsidP="001D0CD8">
            <w:pPr>
              <w:tabs>
                <w:tab w:val="left" w:pos="142"/>
              </w:tabs>
              <w:jc w:val="left"/>
              <w:rPr>
                <w:rFonts w:ascii="Arial Narrow" w:hAnsi="Arial Narrow"/>
                <w:sz w:val="20"/>
              </w:rPr>
            </w:pPr>
            <w:proofErr w:type="spellStart"/>
            <w:r>
              <w:rPr>
                <w:rFonts w:ascii="Arial Narrow" w:hAnsi="Arial Narrow"/>
                <w:sz w:val="20"/>
              </w:rPr>
              <w:t>GnRH</w:t>
            </w:r>
            <w:proofErr w:type="spellEnd"/>
            <w:r>
              <w:rPr>
                <w:rFonts w:ascii="Arial Narrow" w:hAnsi="Arial Narrow"/>
                <w:sz w:val="20"/>
              </w:rPr>
              <w:t xml:space="preserve"> agonist scripts</w:t>
            </w:r>
          </w:p>
        </w:tc>
        <w:tc>
          <w:tcPr>
            <w:tcW w:w="711" w:type="pct"/>
            <w:shd w:val="clear" w:color="auto" w:fill="auto"/>
            <w:vAlign w:val="bottom"/>
          </w:tcPr>
          <w:p w:rsidR="00A90842" w:rsidRPr="00183312" w:rsidRDefault="00183312" w:rsidP="009C7BAC">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711" w:type="pct"/>
            <w:shd w:val="clear" w:color="auto" w:fill="auto"/>
            <w:vAlign w:val="bottom"/>
          </w:tcPr>
          <w:p w:rsidR="00A90842" w:rsidRPr="00183312" w:rsidRDefault="00183312" w:rsidP="009C7BAC">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711" w:type="pct"/>
            <w:shd w:val="clear" w:color="auto" w:fill="auto"/>
            <w:vAlign w:val="bottom"/>
          </w:tcPr>
          <w:p w:rsidR="00A90842" w:rsidRPr="00183312" w:rsidRDefault="00183312" w:rsidP="009C7BAC">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711" w:type="pct"/>
            <w:shd w:val="clear" w:color="auto" w:fill="auto"/>
            <w:vAlign w:val="bottom"/>
          </w:tcPr>
          <w:p w:rsidR="00A90842" w:rsidRPr="00183312" w:rsidRDefault="00183312" w:rsidP="009C7BAC">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712" w:type="pct"/>
            <w:shd w:val="clear" w:color="auto" w:fill="auto"/>
            <w:vAlign w:val="bottom"/>
          </w:tcPr>
          <w:p w:rsidR="00A90842" w:rsidRPr="00183312" w:rsidRDefault="00183312" w:rsidP="009C7BAC">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r>
      <w:tr w:rsidR="00A90842" w:rsidRPr="004E2ADC" w:rsidTr="00D66EB6">
        <w:tc>
          <w:tcPr>
            <w:tcW w:w="1444" w:type="pct"/>
            <w:shd w:val="clear" w:color="auto" w:fill="auto"/>
            <w:vAlign w:val="center"/>
          </w:tcPr>
          <w:p w:rsidR="00A90842" w:rsidRPr="004E2ADC" w:rsidRDefault="001D0CD8" w:rsidP="001D0CD8">
            <w:pPr>
              <w:tabs>
                <w:tab w:val="left" w:pos="142"/>
              </w:tabs>
              <w:jc w:val="left"/>
              <w:rPr>
                <w:rFonts w:ascii="Arial Narrow" w:hAnsi="Arial Narrow"/>
                <w:sz w:val="20"/>
              </w:rPr>
            </w:pPr>
            <w:proofErr w:type="spellStart"/>
            <w:r>
              <w:rPr>
                <w:rFonts w:ascii="Arial Narrow" w:hAnsi="Arial Narrow"/>
                <w:sz w:val="20"/>
              </w:rPr>
              <w:t>Triptorelin</w:t>
            </w:r>
            <w:proofErr w:type="spellEnd"/>
            <w:r>
              <w:rPr>
                <w:rFonts w:ascii="Arial Narrow" w:hAnsi="Arial Narrow"/>
                <w:sz w:val="20"/>
              </w:rPr>
              <w:t xml:space="preserve"> acetate m</w:t>
            </w:r>
            <w:r w:rsidR="00A90842" w:rsidRPr="004E2ADC">
              <w:rPr>
                <w:rFonts w:ascii="Arial Narrow" w:hAnsi="Arial Narrow"/>
                <w:sz w:val="20"/>
              </w:rPr>
              <w:t>arket share</w:t>
            </w:r>
          </w:p>
        </w:tc>
        <w:tc>
          <w:tcPr>
            <w:tcW w:w="711" w:type="pct"/>
            <w:shd w:val="clear" w:color="auto" w:fill="auto"/>
            <w:vAlign w:val="bottom"/>
          </w:tcPr>
          <w:p w:rsidR="00A90842" w:rsidRPr="00700047" w:rsidRDefault="00A90842" w:rsidP="009C7BAC">
            <w:pPr>
              <w:pStyle w:val="TableTextleft"/>
              <w:jc w:val="center"/>
              <w:rPr>
                <w:rFonts w:ascii="Arial Narrow" w:hAnsi="Arial Narrow"/>
                <w:iCs/>
                <w:sz w:val="20"/>
              </w:rPr>
            </w:pPr>
            <w:r w:rsidRPr="00700047">
              <w:rPr>
                <w:rFonts w:ascii="Arial Narrow" w:hAnsi="Arial Narrow"/>
                <w:iCs/>
                <w:sz w:val="20"/>
              </w:rPr>
              <w:t>9%</w:t>
            </w:r>
          </w:p>
        </w:tc>
        <w:tc>
          <w:tcPr>
            <w:tcW w:w="711" w:type="pct"/>
            <w:shd w:val="clear" w:color="auto" w:fill="auto"/>
            <w:vAlign w:val="bottom"/>
          </w:tcPr>
          <w:p w:rsidR="00A90842" w:rsidRPr="00700047" w:rsidRDefault="00A90842" w:rsidP="009C7BAC">
            <w:pPr>
              <w:pStyle w:val="TableTextleft"/>
              <w:jc w:val="center"/>
              <w:rPr>
                <w:rFonts w:ascii="Arial Narrow" w:hAnsi="Arial Narrow"/>
                <w:iCs/>
                <w:sz w:val="20"/>
              </w:rPr>
            </w:pPr>
            <w:r w:rsidRPr="00700047">
              <w:rPr>
                <w:rFonts w:ascii="Arial Narrow" w:hAnsi="Arial Narrow"/>
                <w:iCs/>
                <w:sz w:val="20"/>
              </w:rPr>
              <w:t>27%</w:t>
            </w:r>
          </w:p>
        </w:tc>
        <w:tc>
          <w:tcPr>
            <w:tcW w:w="711" w:type="pct"/>
            <w:shd w:val="clear" w:color="auto" w:fill="auto"/>
            <w:vAlign w:val="bottom"/>
          </w:tcPr>
          <w:p w:rsidR="00A90842" w:rsidRPr="00700047" w:rsidRDefault="00A90842" w:rsidP="009C7BAC">
            <w:pPr>
              <w:pStyle w:val="TableTextleft"/>
              <w:jc w:val="center"/>
              <w:rPr>
                <w:rFonts w:ascii="Arial Narrow" w:hAnsi="Arial Narrow"/>
                <w:iCs/>
                <w:sz w:val="20"/>
              </w:rPr>
            </w:pPr>
            <w:r w:rsidRPr="00700047">
              <w:rPr>
                <w:rFonts w:ascii="Arial Narrow" w:hAnsi="Arial Narrow"/>
                <w:iCs/>
                <w:sz w:val="20"/>
              </w:rPr>
              <w:t>45%</w:t>
            </w:r>
          </w:p>
        </w:tc>
        <w:tc>
          <w:tcPr>
            <w:tcW w:w="711" w:type="pct"/>
            <w:shd w:val="clear" w:color="auto" w:fill="auto"/>
            <w:vAlign w:val="bottom"/>
          </w:tcPr>
          <w:p w:rsidR="00A90842" w:rsidRPr="00700047" w:rsidRDefault="00A90842" w:rsidP="009C7BAC">
            <w:pPr>
              <w:pStyle w:val="TableTextleft"/>
              <w:jc w:val="center"/>
              <w:rPr>
                <w:rFonts w:ascii="Arial Narrow" w:hAnsi="Arial Narrow"/>
                <w:iCs/>
                <w:sz w:val="20"/>
              </w:rPr>
            </w:pPr>
            <w:r w:rsidRPr="00700047">
              <w:rPr>
                <w:rFonts w:ascii="Arial Narrow" w:hAnsi="Arial Narrow"/>
                <w:iCs/>
                <w:sz w:val="20"/>
              </w:rPr>
              <w:t>45%</w:t>
            </w:r>
          </w:p>
        </w:tc>
        <w:tc>
          <w:tcPr>
            <w:tcW w:w="712" w:type="pct"/>
            <w:shd w:val="clear" w:color="auto" w:fill="auto"/>
            <w:vAlign w:val="bottom"/>
          </w:tcPr>
          <w:p w:rsidR="00A90842" w:rsidRPr="00700047" w:rsidRDefault="00A90842" w:rsidP="009C7BAC">
            <w:pPr>
              <w:pStyle w:val="TableTextleft"/>
              <w:jc w:val="center"/>
              <w:rPr>
                <w:rFonts w:ascii="Arial Narrow" w:hAnsi="Arial Narrow"/>
                <w:iCs/>
                <w:sz w:val="20"/>
              </w:rPr>
            </w:pPr>
            <w:r w:rsidRPr="00700047">
              <w:rPr>
                <w:rFonts w:ascii="Arial Narrow" w:hAnsi="Arial Narrow"/>
                <w:iCs/>
                <w:sz w:val="20"/>
              </w:rPr>
              <w:t>45%</w:t>
            </w:r>
          </w:p>
        </w:tc>
      </w:tr>
      <w:tr w:rsidR="00A90842" w:rsidRPr="004E2ADC" w:rsidTr="00D66EB6">
        <w:tc>
          <w:tcPr>
            <w:tcW w:w="1444" w:type="pct"/>
            <w:shd w:val="clear" w:color="auto" w:fill="auto"/>
            <w:vAlign w:val="center"/>
          </w:tcPr>
          <w:p w:rsidR="00A90842" w:rsidRPr="004E2ADC" w:rsidRDefault="001D0CD8" w:rsidP="001D0CD8">
            <w:pPr>
              <w:tabs>
                <w:tab w:val="left" w:pos="142"/>
              </w:tabs>
              <w:jc w:val="left"/>
              <w:rPr>
                <w:rFonts w:ascii="Arial Narrow" w:hAnsi="Arial Narrow"/>
                <w:sz w:val="20"/>
              </w:rPr>
            </w:pPr>
            <w:proofErr w:type="spellStart"/>
            <w:r>
              <w:rPr>
                <w:rFonts w:ascii="Arial Narrow" w:hAnsi="Arial Narrow"/>
                <w:sz w:val="20"/>
              </w:rPr>
              <w:t>Triptorelin</w:t>
            </w:r>
            <w:proofErr w:type="spellEnd"/>
            <w:r>
              <w:rPr>
                <w:rFonts w:ascii="Arial Narrow" w:hAnsi="Arial Narrow"/>
                <w:sz w:val="20"/>
              </w:rPr>
              <w:t xml:space="preserve"> acetate s</w:t>
            </w:r>
            <w:r w:rsidR="00A90842" w:rsidRPr="004E2ADC">
              <w:rPr>
                <w:rFonts w:ascii="Arial Narrow" w:hAnsi="Arial Narrow"/>
                <w:sz w:val="20"/>
              </w:rPr>
              <w:t>cripts</w:t>
            </w:r>
          </w:p>
        </w:tc>
        <w:tc>
          <w:tcPr>
            <w:tcW w:w="711" w:type="pct"/>
            <w:shd w:val="clear" w:color="auto" w:fill="auto"/>
            <w:vAlign w:val="bottom"/>
          </w:tcPr>
          <w:p w:rsidR="00A90842" w:rsidRPr="00183312" w:rsidRDefault="00183312" w:rsidP="009C7BAC">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711" w:type="pct"/>
            <w:shd w:val="clear" w:color="auto" w:fill="auto"/>
            <w:vAlign w:val="bottom"/>
          </w:tcPr>
          <w:p w:rsidR="00A90842" w:rsidRPr="00183312" w:rsidRDefault="00183312" w:rsidP="009C7BAC">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711" w:type="pct"/>
            <w:shd w:val="clear" w:color="auto" w:fill="auto"/>
            <w:vAlign w:val="bottom"/>
          </w:tcPr>
          <w:p w:rsidR="00A90842" w:rsidRPr="00183312" w:rsidRDefault="00183312" w:rsidP="009C7BAC">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711" w:type="pct"/>
            <w:shd w:val="clear" w:color="auto" w:fill="auto"/>
            <w:vAlign w:val="bottom"/>
          </w:tcPr>
          <w:p w:rsidR="00A90842" w:rsidRPr="00183312" w:rsidRDefault="00183312" w:rsidP="009C7BAC">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c>
          <w:tcPr>
            <w:tcW w:w="712" w:type="pct"/>
            <w:shd w:val="clear" w:color="auto" w:fill="auto"/>
            <w:vAlign w:val="bottom"/>
          </w:tcPr>
          <w:p w:rsidR="00A90842" w:rsidRPr="00183312" w:rsidRDefault="00183312" w:rsidP="009C7BAC">
            <w:pPr>
              <w:pStyle w:val="TableTextleft"/>
              <w:jc w:val="center"/>
              <w:rPr>
                <w:rFonts w:ascii="Arial Narrow" w:hAnsi="Arial Narrow"/>
                <w:iCs/>
                <w:sz w:val="20"/>
                <w:highlight w:val="black"/>
              </w:rPr>
            </w:pPr>
            <w:r>
              <w:rPr>
                <w:rFonts w:ascii="Arial Narrow" w:hAnsi="Arial Narrow"/>
                <w:iCs/>
                <w:noProof/>
                <w:color w:val="000000"/>
                <w:sz w:val="20"/>
                <w:highlight w:val="black"/>
              </w:rPr>
              <w:t>''''''''''''</w:t>
            </w:r>
          </w:p>
        </w:tc>
      </w:tr>
      <w:tr w:rsidR="00A90842" w:rsidRPr="004E2ADC" w:rsidTr="00D66EB6">
        <w:tc>
          <w:tcPr>
            <w:tcW w:w="1444" w:type="pct"/>
            <w:tcBorders>
              <w:right w:val="nil"/>
            </w:tcBorders>
            <w:shd w:val="clear" w:color="auto" w:fill="auto"/>
            <w:vAlign w:val="center"/>
          </w:tcPr>
          <w:p w:rsidR="00A90842" w:rsidRPr="00145540" w:rsidRDefault="00A90842" w:rsidP="00286E44">
            <w:pPr>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w:t>
            </w:r>
          </w:p>
        </w:tc>
        <w:tc>
          <w:tcPr>
            <w:tcW w:w="711" w:type="pct"/>
            <w:tcBorders>
              <w:left w:val="nil"/>
              <w:right w:val="nil"/>
            </w:tcBorders>
            <w:shd w:val="clear" w:color="auto" w:fill="auto"/>
          </w:tcPr>
          <w:p w:rsidR="00A90842" w:rsidRPr="00D1633C" w:rsidRDefault="00A90842" w:rsidP="009C7BAC">
            <w:pPr>
              <w:pStyle w:val="TableTextleft"/>
              <w:jc w:val="center"/>
              <w:rPr>
                <w:rFonts w:ascii="Arial Narrow" w:hAnsi="Arial Narrow"/>
                <w:iCs/>
                <w:sz w:val="20"/>
              </w:rPr>
            </w:pPr>
          </w:p>
        </w:tc>
        <w:tc>
          <w:tcPr>
            <w:tcW w:w="711" w:type="pct"/>
            <w:tcBorders>
              <w:left w:val="nil"/>
              <w:right w:val="nil"/>
            </w:tcBorders>
            <w:shd w:val="clear" w:color="auto" w:fill="auto"/>
          </w:tcPr>
          <w:p w:rsidR="00A90842" w:rsidRPr="00D1633C" w:rsidRDefault="00A90842" w:rsidP="009C7BAC">
            <w:pPr>
              <w:pStyle w:val="TableTextleft"/>
              <w:jc w:val="center"/>
              <w:rPr>
                <w:rFonts w:ascii="Arial Narrow" w:hAnsi="Arial Narrow"/>
                <w:iCs/>
                <w:sz w:val="20"/>
              </w:rPr>
            </w:pPr>
          </w:p>
        </w:tc>
        <w:tc>
          <w:tcPr>
            <w:tcW w:w="711" w:type="pct"/>
            <w:tcBorders>
              <w:left w:val="nil"/>
              <w:right w:val="nil"/>
            </w:tcBorders>
            <w:shd w:val="clear" w:color="auto" w:fill="auto"/>
          </w:tcPr>
          <w:p w:rsidR="00A90842" w:rsidRPr="00D1633C" w:rsidRDefault="00A90842" w:rsidP="009C7BAC">
            <w:pPr>
              <w:pStyle w:val="TableTextleft"/>
              <w:jc w:val="center"/>
              <w:rPr>
                <w:rFonts w:ascii="Arial Narrow" w:hAnsi="Arial Narrow"/>
                <w:iCs/>
                <w:sz w:val="20"/>
              </w:rPr>
            </w:pPr>
          </w:p>
        </w:tc>
        <w:tc>
          <w:tcPr>
            <w:tcW w:w="711" w:type="pct"/>
            <w:tcBorders>
              <w:left w:val="nil"/>
              <w:right w:val="nil"/>
            </w:tcBorders>
            <w:shd w:val="clear" w:color="auto" w:fill="auto"/>
          </w:tcPr>
          <w:p w:rsidR="00A90842" w:rsidRPr="00D1633C" w:rsidRDefault="00A90842" w:rsidP="009C7BAC">
            <w:pPr>
              <w:pStyle w:val="TableTextleft"/>
              <w:jc w:val="center"/>
              <w:rPr>
                <w:rFonts w:ascii="Arial Narrow" w:hAnsi="Arial Narrow"/>
                <w:iCs/>
                <w:sz w:val="20"/>
              </w:rPr>
            </w:pPr>
          </w:p>
        </w:tc>
        <w:tc>
          <w:tcPr>
            <w:tcW w:w="712" w:type="pct"/>
            <w:tcBorders>
              <w:left w:val="nil"/>
            </w:tcBorders>
            <w:shd w:val="clear" w:color="auto" w:fill="auto"/>
          </w:tcPr>
          <w:p w:rsidR="00A90842" w:rsidRPr="00D1633C" w:rsidRDefault="00A90842" w:rsidP="009C7BAC">
            <w:pPr>
              <w:pStyle w:val="TableTextleft"/>
              <w:jc w:val="center"/>
              <w:rPr>
                <w:rFonts w:ascii="Arial Narrow" w:hAnsi="Arial Narrow"/>
                <w:iCs/>
                <w:sz w:val="20"/>
              </w:rPr>
            </w:pPr>
          </w:p>
        </w:tc>
      </w:tr>
      <w:tr w:rsidR="008F59DD" w:rsidRPr="004E2ADC" w:rsidTr="00D66EB6">
        <w:tc>
          <w:tcPr>
            <w:tcW w:w="1444" w:type="pct"/>
            <w:shd w:val="clear" w:color="auto" w:fill="auto"/>
          </w:tcPr>
          <w:p w:rsidR="008F59DD" w:rsidRPr="00D1633C" w:rsidRDefault="008F59DD" w:rsidP="00D25F8A">
            <w:pPr>
              <w:pStyle w:val="TableTextleft"/>
              <w:rPr>
                <w:rFonts w:ascii="Arial Narrow" w:hAnsi="Arial Narrow"/>
                <w:iCs/>
                <w:sz w:val="20"/>
              </w:rPr>
            </w:pPr>
            <w:proofErr w:type="spellStart"/>
            <w:r>
              <w:rPr>
                <w:rFonts w:ascii="Arial Narrow" w:hAnsi="Arial Narrow"/>
                <w:iCs/>
                <w:sz w:val="20"/>
              </w:rPr>
              <w:t>Triptorelin</w:t>
            </w:r>
            <w:proofErr w:type="spellEnd"/>
            <w:r w:rsidR="00286E44">
              <w:rPr>
                <w:rFonts w:ascii="Arial Narrow" w:hAnsi="Arial Narrow"/>
                <w:iCs/>
                <w:sz w:val="20"/>
              </w:rPr>
              <w:t xml:space="preserve"> acetate</w:t>
            </w:r>
          </w:p>
        </w:tc>
        <w:tc>
          <w:tcPr>
            <w:tcW w:w="711"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w:t>
            </w:r>
            <w:r w:rsidR="00183312">
              <w:rPr>
                <w:rFonts w:ascii="Arial Narrow" w:hAnsi="Arial Narrow"/>
                <w:iCs/>
                <w:noProof/>
                <w:color w:val="000000"/>
                <w:sz w:val="20"/>
                <w:highlight w:val="black"/>
              </w:rPr>
              <w:t>''''''''''''''''</w:t>
            </w:r>
          </w:p>
        </w:tc>
        <w:tc>
          <w:tcPr>
            <w:tcW w:w="711"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w:t>
            </w:r>
            <w:r w:rsidR="00183312">
              <w:rPr>
                <w:rFonts w:ascii="Arial Narrow" w:hAnsi="Arial Narrow"/>
                <w:iCs/>
                <w:noProof/>
                <w:color w:val="000000"/>
                <w:sz w:val="20"/>
                <w:highlight w:val="black"/>
              </w:rPr>
              <w:t>''''''''''''''''''''</w:t>
            </w:r>
          </w:p>
        </w:tc>
        <w:tc>
          <w:tcPr>
            <w:tcW w:w="711"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w:t>
            </w:r>
            <w:r w:rsidR="00183312">
              <w:rPr>
                <w:rFonts w:ascii="Arial Narrow" w:hAnsi="Arial Narrow"/>
                <w:iCs/>
                <w:noProof/>
                <w:color w:val="000000"/>
                <w:sz w:val="20"/>
                <w:highlight w:val="black"/>
              </w:rPr>
              <w:t>''''''''''''''''''''</w:t>
            </w:r>
          </w:p>
        </w:tc>
        <w:tc>
          <w:tcPr>
            <w:tcW w:w="711"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w:t>
            </w:r>
            <w:r w:rsidR="00183312">
              <w:rPr>
                <w:rFonts w:ascii="Arial Narrow" w:hAnsi="Arial Narrow"/>
                <w:iCs/>
                <w:noProof/>
                <w:color w:val="000000"/>
                <w:sz w:val="20"/>
                <w:highlight w:val="black"/>
              </w:rPr>
              <w:t>'''''''''''''''''''</w:t>
            </w:r>
          </w:p>
        </w:tc>
        <w:tc>
          <w:tcPr>
            <w:tcW w:w="712"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w:t>
            </w:r>
            <w:r w:rsidR="00183312">
              <w:rPr>
                <w:rFonts w:ascii="Arial Narrow" w:hAnsi="Arial Narrow"/>
                <w:iCs/>
                <w:noProof/>
                <w:color w:val="000000"/>
                <w:sz w:val="20"/>
                <w:highlight w:val="black"/>
              </w:rPr>
              <w:t>'''''''''''''''''''</w:t>
            </w:r>
          </w:p>
        </w:tc>
      </w:tr>
      <w:tr w:rsidR="008F59DD" w:rsidRPr="004E2ADC" w:rsidTr="00D66EB6">
        <w:tc>
          <w:tcPr>
            <w:tcW w:w="1444" w:type="pct"/>
            <w:shd w:val="clear" w:color="auto" w:fill="auto"/>
          </w:tcPr>
          <w:p w:rsidR="008F59DD" w:rsidRPr="00D1633C" w:rsidRDefault="008F59DD" w:rsidP="00D25F8A">
            <w:pPr>
              <w:pStyle w:val="TableTextleft"/>
              <w:rPr>
                <w:rFonts w:ascii="Arial Narrow" w:hAnsi="Arial Narrow"/>
                <w:iCs/>
                <w:sz w:val="20"/>
              </w:rPr>
            </w:pPr>
            <w:proofErr w:type="spellStart"/>
            <w:r>
              <w:rPr>
                <w:rFonts w:ascii="Arial Narrow" w:hAnsi="Arial Narrow"/>
                <w:iCs/>
                <w:sz w:val="20"/>
              </w:rPr>
              <w:t>Nafarelin</w:t>
            </w:r>
            <w:proofErr w:type="spellEnd"/>
          </w:p>
        </w:tc>
        <w:tc>
          <w:tcPr>
            <w:tcW w:w="711"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 $</w:t>
            </w:r>
            <w:r w:rsidR="00183312">
              <w:rPr>
                <w:rFonts w:ascii="Arial Narrow" w:hAnsi="Arial Narrow"/>
                <w:iCs/>
                <w:noProof/>
                <w:color w:val="000000"/>
                <w:sz w:val="20"/>
                <w:highlight w:val="black"/>
              </w:rPr>
              <w:t>'''''''''''''''''</w:t>
            </w:r>
          </w:p>
        </w:tc>
        <w:tc>
          <w:tcPr>
            <w:tcW w:w="711"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 $</w:t>
            </w:r>
            <w:r w:rsidR="00183312">
              <w:rPr>
                <w:rFonts w:ascii="Arial Narrow" w:hAnsi="Arial Narrow"/>
                <w:iCs/>
                <w:noProof/>
                <w:color w:val="000000"/>
                <w:sz w:val="20"/>
                <w:highlight w:val="black"/>
              </w:rPr>
              <w:t>'''''''''''''''''''</w:t>
            </w:r>
          </w:p>
        </w:tc>
        <w:tc>
          <w:tcPr>
            <w:tcW w:w="711"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 $</w:t>
            </w:r>
            <w:r w:rsidR="00183312">
              <w:rPr>
                <w:rFonts w:ascii="Arial Narrow" w:hAnsi="Arial Narrow"/>
                <w:iCs/>
                <w:noProof/>
                <w:color w:val="000000"/>
                <w:sz w:val="20"/>
                <w:highlight w:val="black"/>
              </w:rPr>
              <w:t>'''''''''''''''''''''</w:t>
            </w:r>
          </w:p>
        </w:tc>
        <w:tc>
          <w:tcPr>
            <w:tcW w:w="711"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 $</w:t>
            </w:r>
            <w:r w:rsidR="00183312">
              <w:rPr>
                <w:rFonts w:ascii="Arial Narrow" w:hAnsi="Arial Narrow"/>
                <w:iCs/>
                <w:noProof/>
                <w:color w:val="000000"/>
                <w:sz w:val="20"/>
                <w:highlight w:val="black"/>
              </w:rPr>
              <w:t>'''''''''''''''''''</w:t>
            </w:r>
          </w:p>
        </w:tc>
        <w:tc>
          <w:tcPr>
            <w:tcW w:w="712"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w:t>
            </w:r>
            <w:r w:rsidR="00183312">
              <w:rPr>
                <w:rFonts w:ascii="Arial Narrow" w:hAnsi="Arial Narrow"/>
                <w:iCs/>
                <w:noProof/>
                <w:color w:val="000000"/>
                <w:sz w:val="20"/>
                <w:highlight w:val="black"/>
              </w:rPr>
              <w:t>''''''''''''''''''''</w:t>
            </w:r>
          </w:p>
        </w:tc>
      </w:tr>
      <w:tr w:rsidR="008F59DD" w:rsidRPr="004E2ADC" w:rsidTr="00D66EB6">
        <w:tc>
          <w:tcPr>
            <w:tcW w:w="1444" w:type="pct"/>
            <w:shd w:val="clear" w:color="auto" w:fill="auto"/>
          </w:tcPr>
          <w:p w:rsidR="008F59DD" w:rsidRPr="00D1633C" w:rsidRDefault="008F59DD" w:rsidP="00D25F8A">
            <w:pPr>
              <w:pStyle w:val="TableTextleft"/>
              <w:rPr>
                <w:rFonts w:ascii="Arial Narrow" w:hAnsi="Arial Narrow"/>
                <w:iCs/>
                <w:sz w:val="20"/>
              </w:rPr>
            </w:pPr>
            <w:r w:rsidRPr="00D1633C">
              <w:rPr>
                <w:rFonts w:ascii="Arial Narrow" w:hAnsi="Arial Narrow"/>
                <w:iCs/>
                <w:sz w:val="20"/>
              </w:rPr>
              <w:t xml:space="preserve">Net </w:t>
            </w:r>
            <w:r w:rsidR="00286E44">
              <w:rPr>
                <w:rFonts w:ascii="Arial Narrow" w:hAnsi="Arial Narrow"/>
                <w:iCs/>
                <w:sz w:val="20"/>
              </w:rPr>
              <w:t>cost</w:t>
            </w:r>
          </w:p>
        </w:tc>
        <w:tc>
          <w:tcPr>
            <w:tcW w:w="711"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$0</w:t>
            </w:r>
          </w:p>
        </w:tc>
        <w:tc>
          <w:tcPr>
            <w:tcW w:w="711"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$0</w:t>
            </w:r>
          </w:p>
        </w:tc>
        <w:tc>
          <w:tcPr>
            <w:tcW w:w="711"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$0</w:t>
            </w:r>
          </w:p>
        </w:tc>
        <w:tc>
          <w:tcPr>
            <w:tcW w:w="711"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$0</w:t>
            </w:r>
          </w:p>
        </w:tc>
        <w:tc>
          <w:tcPr>
            <w:tcW w:w="712" w:type="pct"/>
            <w:shd w:val="clear" w:color="auto" w:fill="auto"/>
          </w:tcPr>
          <w:p w:rsidR="008F59DD" w:rsidRPr="00D1633C" w:rsidRDefault="008F59DD" w:rsidP="00D25F8A">
            <w:pPr>
              <w:pStyle w:val="TableTextleft"/>
              <w:jc w:val="center"/>
              <w:rPr>
                <w:rFonts w:ascii="Arial Narrow" w:hAnsi="Arial Narrow"/>
                <w:iCs/>
                <w:sz w:val="20"/>
              </w:rPr>
            </w:pPr>
            <w:r w:rsidRPr="00D1633C">
              <w:rPr>
                <w:rFonts w:ascii="Arial Narrow" w:hAnsi="Arial Narrow"/>
                <w:iCs/>
                <w:sz w:val="20"/>
              </w:rPr>
              <w:t>$0</w:t>
            </w:r>
          </w:p>
        </w:tc>
      </w:tr>
    </w:tbl>
    <w:p w:rsidR="00A90842" w:rsidRDefault="00A90842" w:rsidP="00A90842">
      <w:pPr>
        <w:pStyle w:val="TableFooter"/>
        <w:ind w:firstLine="720"/>
      </w:pPr>
      <w:r w:rsidRPr="001222FC">
        <w:rPr>
          <w:sz w:val="16"/>
          <w:szCs w:val="18"/>
        </w:rPr>
        <w:t>Source:</w:t>
      </w:r>
      <w:r>
        <w:rPr>
          <w:sz w:val="16"/>
          <w:szCs w:val="18"/>
        </w:rPr>
        <w:t xml:space="preserve"> </w:t>
      </w:r>
      <w:r w:rsidRPr="00353C78">
        <w:t>Table E-4 p88, Table E-5 p89, Table E-6 p89</w:t>
      </w:r>
      <w:r>
        <w:t>,</w:t>
      </w:r>
      <w:r w:rsidRPr="001222FC">
        <w:rPr>
          <w:sz w:val="16"/>
          <w:szCs w:val="18"/>
        </w:rPr>
        <w:t xml:space="preserve"> </w:t>
      </w:r>
      <w:r w:rsidRPr="005B4847">
        <w:t>Table E-11 p91 of the submission.</w:t>
      </w:r>
    </w:p>
    <w:p w:rsidR="00AC1443" w:rsidRPr="00AC1443" w:rsidRDefault="00AC1443" w:rsidP="00AC1443">
      <w:pPr>
        <w:pStyle w:val="ListParagraph"/>
        <w:widowControl/>
        <w:rPr>
          <w:szCs w:val="22"/>
        </w:rPr>
      </w:pPr>
    </w:p>
    <w:p w:rsidR="00A90842" w:rsidRPr="00B65C9D" w:rsidRDefault="00AC1443" w:rsidP="000403D8">
      <w:pPr>
        <w:pStyle w:val="ListParagraph"/>
        <w:widowControl/>
        <w:numPr>
          <w:ilvl w:val="1"/>
          <w:numId w:val="1"/>
        </w:numPr>
        <w:rPr>
          <w:szCs w:val="22"/>
        </w:rPr>
      </w:pPr>
      <w:r w:rsidRPr="0030596F">
        <w:t xml:space="preserve">The submission assumed that one script of </w:t>
      </w:r>
      <w:proofErr w:type="spellStart"/>
      <w:r w:rsidRPr="0030596F">
        <w:t>triptorelin</w:t>
      </w:r>
      <w:proofErr w:type="spellEnd"/>
      <w:r w:rsidR="00A93F67" w:rsidRPr="0030596F">
        <w:t xml:space="preserve"> acetate</w:t>
      </w:r>
      <w:r w:rsidRPr="0030596F">
        <w:t> 100 m</w:t>
      </w:r>
      <w:r w:rsidR="00B65C9D">
        <w:t>i</w:t>
      </w:r>
      <w:r w:rsidRPr="0030596F">
        <w:t>c</w:t>
      </w:r>
      <w:r w:rsidR="00B65C9D">
        <w:t>ro</w:t>
      </w:r>
      <w:r w:rsidRPr="0030596F">
        <w:t>g</w:t>
      </w:r>
      <w:r w:rsidR="00B65C9D">
        <w:t>ram</w:t>
      </w:r>
      <w:r w:rsidRPr="0030596F">
        <w:t xml:space="preserve"> x 28 will replace one script of </w:t>
      </w:r>
      <w:proofErr w:type="spellStart"/>
      <w:r w:rsidRPr="0030596F">
        <w:t>nafarelin</w:t>
      </w:r>
      <w:proofErr w:type="spellEnd"/>
      <w:r w:rsidRPr="0030596F">
        <w:t> </w:t>
      </w:r>
      <w:r w:rsidR="008B321A">
        <w:t>2</w:t>
      </w:r>
      <w:r w:rsidR="008B321A" w:rsidRPr="0030596F">
        <w:t>00 </w:t>
      </w:r>
      <w:r w:rsidRPr="0030596F">
        <w:t>m</w:t>
      </w:r>
      <w:r w:rsidR="00B65C9D">
        <w:t>i</w:t>
      </w:r>
      <w:r w:rsidRPr="0030596F">
        <w:t>c</w:t>
      </w:r>
      <w:r w:rsidR="00B65C9D">
        <w:t>rogram</w:t>
      </w:r>
      <w:r w:rsidRPr="0030596F">
        <w:t> x </w:t>
      </w:r>
      <w:r w:rsidR="00667F56">
        <w:t>6</w:t>
      </w:r>
      <w:r w:rsidR="00667F56" w:rsidRPr="0030596F">
        <w:t>0</w:t>
      </w:r>
      <w:r w:rsidR="00667F56">
        <w:t xml:space="preserve"> sprays x 2</w:t>
      </w:r>
      <w:r w:rsidRPr="0030596F">
        <w:t xml:space="preserve">. </w:t>
      </w:r>
      <w:r w:rsidR="00286E44" w:rsidRPr="0030596F">
        <w:t>P</w:t>
      </w:r>
      <w:r w:rsidRPr="0030596F">
        <w:t xml:space="preserve">atients requiring 29 or 30 days of treatment would require a second script of </w:t>
      </w:r>
      <w:proofErr w:type="spellStart"/>
      <w:r w:rsidRPr="0030596F">
        <w:t>triptorelin</w:t>
      </w:r>
      <w:proofErr w:type="spellEnd"/>
      <w:r w:rsidRPr="0030596F">
        <w:t xml:space="preserve"> acetate but not </w:t>
      </w:r>
      <w:proofErr w:type="spellStart"/>
      <w:r w:rsidRPr="0030596F">
        <w:t>nafarelin</w:t>
      </w:r>
      <w:proofErr w:type="spellEnd"/>
      <w:r w:rsidRPr="0030596F">
        <w:t xml:space="preserve">. In addition, for patients requiring 31-45 days of treatment, one pack of </w:t>
      </w:r>
      <w:proofErr w:type="spellStart"/>
      <w:r w:rsidRPr="0030596F">
        <w:lastRenderedPageBreak/>
        <w:t>nafarelin</w:t>
      </w:r>
      <w:proofErr w:type="spellEnd"/>
      <w:r w:rsidRPr="0030596F">
        <w:t xml:space="preserve"> could be pr</w:t>
      </w:r>
      <w:r w:rsidR="00A93F67" w:rsidRPr="0030596F">
        <w:t xml:space="preserve">escribed </w:t>
      </w:r>
      <w:r w:rsidR="003F3AB4" w:rsidRPr="0030596F">
        <w:t xml:space="preserve">(as opposed to the maximum quantity of two spray bottles) </w:t>
      </w:r>
      <w:r w:rsidR="00A93F67" w:rsidRPr="0030596F">
        <w:t>which would be half the</w:t>
      </w:r>
      <w:r w:rsidRPr="0030596F">
        <w:t xml:space="preserve"> cost of a pack of </w:t>
      </w:r>
      <w:proofErr w:type="spellStart"/>
      <w:r w:rsidRPr="0030596F">
        <w:t>triptorelin</w:t>
      </w:r>
      <w:proofErr w:type="spellEnd"/>
      <w:r w:rsidR="00A93F67" w:rsidRPr="0030596F">
        <w:t xml:space="preserve"> acetate</w:t>
      </w:r>
      <w:r w:rsidRPr="0030596F">
        <w:t xml:space="preserve">. </w:t>
      </w:r>
      <w:r w:rsidR="00286E44" w:rsidRPr="0030596F">
        <w:t xml:space="preserve">It is unknown how many patients would require a second script of </w:t>
      </w:r>
      <w:proofErr w:type="spellStart"/>
      <w:r w:rsidR="00286E44" w:rsidRPr="0030596F">
        <w:t>triptorelin</w:t>
      </w:r>
      <w:proofErr w:type="spellEnd"/>
      <w:r w:rsidR="00286E44" w:rsidRPr="0030596F">
        <w:t xml:space="preserve"> acetate or </w:t>
      </w:r>
      <w:proofErr w:type="spellStart"/>
      <w:r w:rsidR="00286E44" w:rsidRPr="0030596F">
        <w:t>nafarelin</w:t>
      </w:r>
      <w:proofErr w:type="spellEnd"/>
      <w:r w:rsidR="00286E44" w:rsidRPr="0030596F">
        <w:t>. Assuming 10% of patients require 29-30 days of treatment and 10% 31-45 days of treatment</w:t>
      </w:r>
      <w:r w:rsidR="00A93F67" w:rsidRPr="0030596F">
        <w:t xml:space="preserve">, the additional PBS cost would be </w:t>
      </w:r>
      <w:r w:rsidR="00286E44" w:rsidRPr="0030596F">
        <w:t xml:space="preserve">of approximately </w:t>
      </w:r>
      <w:r w:rsidR="003E403D">
        <w:t>less than $10 million</w:t>
      </w:r>
      <w:r w:rsidR="000965A2" w:rsidRPr="0030596F">
        <w:t xml:space="preserve"> in year 5</w:t>
      </w:r>
      <w:r w:rsidR="00286E44" w:rsidRPr="0030596F">
        <w:t>.</w:t>
      </w:r>
    </w:p>
    <w:p w:rsidR="00B65C9D" w:rsidRPr="0030596F" w:rsidRDefault="00B65C9D" w:rsidP="00B65C9D">
      <w:pPr>
        <w:pStyle w:val="ListParagraph"/>
        <w:widowControl/>
        <w:rPr>
          <w:szCs w:val="22"/>
        </w:rPr>
      </w:pPr>
    </w:p>
    <w:p w:rsidR="00052518" w:rsidRPr="009E29E0" w:rsidRDefault="00052518" w:rsidP="000403D8">
      <w:pPr>
        <w:pStyle w:val="ListParagraph"/>
        <w:widowControl/>
        <w:numPr>
          <w:ilvl w:val="1"/>
          <w:numId w:val="1"/>
        </w:numPr>
        <w:rPr>
          <w:i/>
          <w:szCs w:val="22"/>
        </w:rPr>
      </w:pPr>
      <w:r w:rsidRPr="0030596F">
        <w:rPr>
          <w:szCs w:val="22"/>
        </w:rPr>
        <w:t>The ESC considered there was wastage</w:t>
      </w:r>
      <w:r w:rsidR="00AC3AE2" w:rsidRPr="0030596F">
        <w:rPr>
          <w:szCs w:val="22"/>
        </w:rPr>
        <w:t xml:space="preserve"> was a risk</w:t>
      </w:r>
      <w:r w:rsidRPr="0030596F">
        <w:rPr>
          <w:szCs w:val="22"/>
        </w:rPr>
        <w:t xml:space="preserve">, with a reasonable number of patients requiring </w:t>
      </w:r>
      <w:r w:rsidR="00E17958" w:rsidRPr="0030596F">
        <w:rPr>
          <w:szCs w:val="22"/>
        </w:rPr>
        <w:t xml:space="preserve">between </w:t>
      </w:r>
      <w:r w:rsidRPr="0030596F">
        <w:rPr>
          <w:szCs w:val="22"/>
        </w:rPr>
        <w:t>29</w:t>
      </w:r>
      <w:r w:rsidR="009E29E0" w:rsidRPr="0030596F">
        <w:rPr>
          <w:szCs w:val="22"/>
        </w:rPr>
        <w:t xml:space="preserve"> </w:t>
      </w:r>
      <w:r w:rsidR="00E17958" w:rsidRPr="0030596F">
        <w:rPr>
          <w:szCs w:val="22"/>
        </w:rPr>
        <w:t>and</w:t>
      </w:r>
      <w:r w:rsidR="009E29E0" w:rsidRPr="0030596F">
        <w:rPr>
          <w:szCs w:val="22"/>
        </w:rPr>
        <w:t xml:space="preserve"> </w:t>
      </w:r>
      <w:r w:rsidRPr="0030596F">
        <w:rPr>
          <w:szCs w:val="22"/>
        </w:rPr>
        <w:t>41 days of treatment</w:t>
      </w:r>
      <w:r w:rsidR="00AC3AE2" w:rsidRPr="0030596F">
        <w:rPr>
          <w:szCs w:val="22"/>
        </w:rPr>
        <w:t xml:space="preserve"> and potential</w:t>
      </w:r>
      <w:r w:rsidRPr="0030596F">
        <w:rPr>
          <w:szCs w:val="22"/>
        </w:rPr>
        <w:t xml:space="preserve"> </w:t>
      </w:r>
      <w:r w:rsidR="00AC3AE2" w:rsidRPr="0030596F">
        <w:rPr>
          <w:szCs w:val="22"/>
        </w:rPr>
        <w:t xml:space="preserve">difficulties with the </w:t>
      </w:r>
      <w:r w:rsidRPr="0030596F">
        <w:rPr>
          <w:szCs w:val="22"/>
        </w:rPr>
        <w:t>dispensing</w:t>
      </w:r>
      <w:r w:rsidR="00AC3AE2" w:rsidRPr="0030596F">
        <w:rPr>
          <w:szCs w:val="22"/>
        </w:rPr>
        <w:t xml:space="preserve"> of</w:t>
      </w:r>
      <w:r w:rsidRPr="0030596F">
        <w:rPr>
          <w:szCs w:val="22"/>
        </w:rPr>
        <w:t xml:space="preserve"> broken packs in a community pharmacy setting.</w:t>
      </w:r>
    </w:p>
    <w:p w:rsidR="00A93F67" w:rsidRDefault="00A93F67" w:rsidP="00A90842">
      <w:pPr>
        <w:widowControl/>
        <w:rPr>
          <w:szCs w:val="22"/>
        </w:rPr>
      </w:pPr>
    </w:p>
    <w:p w:rsidR="00A90842" w:rsidRPr="002C2775" w:rsidRDefault="00A90842" w:rsidP="00296326">
      <w:pPr>
        <w:pStyle w:val="Heading2"/>
      </w:pPr>
      <w:bookmarkStart w:id="29" w:name="_Toc437239504"/>
      <w:bookmarkStart w:id="30" w:name="_Toc440884966"/>
      <w:r w:rsidRPr="002C2775">
        <w:t>Quality Use of Medicines</w:t>
      </w:r>
      <w:bookmarkEnd w:id="29"/>
      <w:bookmarkEnd w:id="30"/>
    </w:p>
    <w:p w:rsidR="00A90842" w:rsidRPr="00576972" w:rsidRDefault="00A90842" w:rsidP="00A90842">
      <w:pPr>
        <w:widowControl/>
        <w:rPr>
          <w:szCs w:val="22"/>
        </w:rPr>
      </w:pPr>
    </w:p>
    <w:p w:rsidR="00A90842" w:rsidRPr="00E22A0D" w:rsidRDefault="002326F3" w:rsidP="000403D8">
      <w:pPr>
        <w:pStyle w:val="ListParagraph"/>
        <w:widowControl/>
        <w:numPr>
          <w:ilvl w:val="1"/>
          <w:numId w:val="1"/>
        </w:numPr>
        <w:rPr>
          <w:szCs w:val="22"/>
        </w:rPr>
      </w:pPr>
      <w:r w:rsidRPr="00971317">
        <w:t xml:space="preserve">The submission </w:t>
      </w:r>
      <w:r>
        <w:t>stated</w:t>
      </w:r>
      <w:r w:rsidRPr="00971317">
        <w:t xml:space="preserve"> activities are in place to support quality use of medicines</w:t>
      </w:r>
      <w:r>
        <w:t xml:space="preserve">. </w:t>
      </w:r>
    </w:p>
    <w:p w:rsidR="005F013A" w:rsidRDefault="005F013A" w:rsidP="0030596F">
      <w:pPr>
        <w:contextualSpacing/>
        <w:rPr>
          <w:bCs/>
          <w:i/>
          <w:szCs w:val="22"/>
        </w:rPr>
      </w:pPr>
    </w:p>
    <w:p w:rsidR="0030596F" w:rsidRDefault="0030596F" w:rsidP="0036681E">
      <w:pPr>
        <w:pStyle w:val="ListParagraph"/>
        <w:ind w:left="709"/>
        <w:rPr>
          <w:i/>
          <w:szCs w:val="22"/>
        </w:rPr>
      </w:pPr>
      <w:r w:rsidRPr="00C575D9">
        <w:rPr>
          <w:i/>
          <w:szCs w:val="22"/>
        </w:rPr>
        <w:t>For more detail on PBAC’s view, see section 7 “PBAC outcome”</w:t>
      </w:r>
    </w:p>
    <w:p w:rsidR="005F013A" w:rsidRDefault="005F013A" w:rsidP="00A90842">
      <w:pPr>
        <w:widowControl/>
        <w:rPr>
          <w:szCs w:val="22"/>
        </w:rPr>
      </w:pPr>
    </w:p>
    <w:p w:rsidR="0032363F" w:rsidRDefault="0032363F" w:rsidP="0032363F">
      <w:pPr>
        <w:widowControl/>
        <w:ind w:firstLine="709"/>
        <w:rPr>
          <w:rFonts w:ascii="Arial Narrow" w:hAnsi="Arial Narrow"/>
          <w:sz w:val="18"/>
          <w:szCs w:val="18"/>
        </w:rPr>
      </w:pPr>
    </w:p>
    <w:p w:rsidR="0032363F" w:rsidRPr="00690BE2" w:rsidRDefault="0032363F" w:rsidP="000403D8">
      <w:pPr>
        <w:pStyle w:val="Heading1"/>
        <w:rPr>
          <w:rFonts w:ascii="Arial Narrow" w:hAnsi="Arial Narrow"/>
          <w:sz w:val="18"/>
          <w:szCs w:val="18"/>
        </w:rPr>
      </w:pPr>
      <w:r w:rsidRPr="00690BE2">
        <w:t>PBAC Outcome</w:t>
      </w:r>
    </w:p>
    <w:p w:rsidR="0032363F" w:rsidRPr="00690BE2" w:rsidRDefault="0032363F" w:rsidP="0032363F">
      <w:pPr>
        <w:ind w:left="720"/>
        <w:contextualSpacing/>
        <w:rPr>
          <w:bCs/>
          <w:szCs w:val="22"/>
          <w:lang w:val="en-GB"/>
        </w:rPr>
      </w:pPr>
    </w:p>
    <w:p w:rsidR="0032363F" w:rsidRPr="0006029E" w:rsidRDefault="0032363F" w:rsidP="000403D8">
      <w:pPr>
        <w:numPr>
          <w:ilvl w:val="1"/>
          <w:numId w:val="1"/>
        </w:numPr>
        <w:contextualSpacing/>
        <w:rPr>
          <w:bCs/>
          <w:szCs w:val="22"/>
          <w:lang w:val="en-GB"/>
        </w:rPr>
      </w:pPr>
      <w:r w:rsidRPr="00690BE2">
        <w:rPr>
          <w:bCs/>
          <w:szCs w:val="22"/>
          <w:lang w:val="en-GB"/>
        </w:rPr>
        <w:t xml:space="preserve">The PBAC recommended the </w:t>
      </w:r>
      <w:r w:rsidR="00CE2464">
        <w:rPr>
          <w:bCs/>
          <w:szCs w:val="22"/>
          <w:lang w:val="en-GB"/>
        </w:rPr>
        <w:t xml:space="preserve">Authority Required (STREAMLINED) </w:t>
      </w:r>
      <w:r w:rsidRPr="00690BE2">
        <w:rPr>
          <w:bCs/>
          <w:szCs w:val="22"/>
          <w:lang w:val="en-GB"/>
        </w:rPr>
        <w:t xml:space="preserve">listing of </w:t>
      </w:r>
      <w:proofErr w:type="spellStart"/>
      <w:r w:rsidR="00464D20" w:rsidRPr="00690BE2">
        <w:rPr>
          <w:bCs/>
          <w:szCs w:val="22"/>
          <w:lang w:val="en-GB"/>
        </w:rPr>
        <w:t>triptorelin</w:t>
      </w:r>
      <w:proofErr w:type="spellEnd"/>
      <w:r w:rsidR="00BE16DE">
        <w:rPr>
          <w:bCs/>
          <w:szCs w:val="22"/>
          <w:lang w:val="en-GB"/>
        </w:rPr>
        <w:t xml:space="preserve"> </w:t>
      </w:r>
      <w:r w:rsidR="008244FC">
        <w:rPr>
          <w:bCs/>
          <w:szCs w:val="22"/>
          <w:lang w:val="en-GB"/>
        </w:rPr>
        <w:t xml:space="preserve">(as acetate) </w:t>
      </w:r>
      <w:r w:rsidR="00BE16DE">
        <w:rPr>
          <w:bCs/>
          <w:szCs w:val="22"/>
          <w:lang w:val="en-GB"/>
        </w:rPr>
        <w:t>for</w:t>
      </w:r>
      <w:r w:rsidR="000035EA" w:rsidRPr="00690BE2">
        <w:rPr>
          <w:bCs/>
          <w:szCs w:val="22"/>
          <w:lang w:val="en-GB"/>
        </w:rPr>
        <w:t xml:space="preserve"> assisted reproductive technology (ART)</w:t>
      </w:r>
      <w:r w:rsidR="00CE2464">
        <w:rPr>
          <w:bCs/>
          <w:szCs w:val="22"/>
          <w:lang w:val="en-GB"/>
        </w:rPr>
        <w:t xml:space="preserve"> under</w:t>
      </w:r>
      <w:r w:rsidR="000035EA" w:rsidRPr="00690BE2">
        <w:rPr>
          <w:bCs/>
          <w:szCs w:val="22"/>
          <w:lang w:val="en-GB"/>
        </w:rPr>
        <w:t xml:space="preserve"> </w:t>
      </w:r>
      <w:r w:rsidR="00C84EF3" w:rsidRPr="00690BE2">
        <w:rPr>
          <w:bCs/>
          <w:szCs w:val="22"/>
          <w:lang w:val="en-GB"/>
        </w:rPr>
        <w:t xml:space="preserve">Section 100 </w:t>
      </w:r>
      <w:r w:rsidR="00C84EF3">
        <w:rPr>
          <w:bCs/>
          <w:szCs w:val="22"/>
          <w:lang w:val="en-GB"/>
        </w:rPr>
        <w:t>(</w:t>
      </w:r>
      <w:r w:rsidR="00C84EF3" w:rsidRPr="00690BE2">
        <w:rPr>
          <w:bCs/>
          <w:szCs w:val="22"/>
          <w:lang w:val="en-GB"/>
        </w:rPr>
        <w:t>IVF</w:t>
      </w:r>
      <w:r w:rsidR="00C84EF3">
        <w:rPr>
          <w:bCs/>
          <w:szCs w:val="22"/>
          <w:lang w:val="en-GB"/>
        </w:rPr>
        <w:t xml:space="preserve"> Program)</w:t>
      </w:r>
      <w:r w:rsidRPr="00690BE2">
        <w:rPr>
          <w:bCs/>
          <w:szCs w:val="22"/>
          <w:lang w:val="en-GB"/>
        </w:rPr>
        <w:t xml:space="preserve"> on </w:t>
      </w:r>
      <w:r w:rsidR="00E973AB" w:rsidRPr="00690BE2">
        <w:rPr>
          <w:bCs/>
          <w:szCs w:val="22"/>
          <w:lang w:val="en-GB"/>
        </w:rPr>
        <w:t xml:space="preserve">a cost-minimisation basis with </w:t>
      </w:r>
      <w:proofErr w:type="spellStart"/>
      <w:r w:rsidR="00CE2464">
        <w:rPr>
          <w:bCs/>
          <w:szCs w:val="22"/>
          <w:lang w:val="en-GB"/>
        </w:rPr>
        <w:t>nafarelin</w:t>
      </w:r>
      <w:proofErr w:type="spellEnd"/>
      <w:r w:rsidR="00CE2464">
        <w:rPr>
          <w:bCs/>
          <w:szCs w:val="22"/>
          <w:lang w:val="en-GB"/>
        </w:rPr>
        <w:t xml:space="preserve">, where </w:t>
      </w:r>
      <w:r w:rsidR="0027430B" w:rsidRPr="00690BE2">
        <w:t xml:space="preserve">the </w:t>
      </w:r>
      <w:proofErr w:type="spellStart"/>
      <w:r w:rsidR="0027430B" w:rsidRPr="00690BE2">
        <w:t>equi</w:t>
      </w:r>
      <w:proofErr w:type="spellEnd"/>
      <w:r w:rsidR="0027430B" w:rsidRPr="00690BE2">
        <w:t xml:space="preserve">-effective doses are </w:t>
      </w:r>
      <w:proofErr w:type="spellStart"/>
      <w:r w:rsidR="0027430B" w:rsidRPr="00690BE2">
        <w:t>triptorelin</w:t>
      </w:r>
      <w:proofErr w:type="spellEnd"/>
      <w:r w:rsidR="0027430B" w:rsidRPr="00690BE2">
        <w:t xml:space="preserve"> 100 m</w:t>
      </w:r>
      <w:r w:rsidR="00CE2464">
        <w:t>i</w:t>
      </w:r>
      <w:r w:rsidR="0027430B" w:rsidRPr="00690BE2">
        <w:t>c</w:t>
      </w:r>
      <w:r w:rsidR="00CE2464">
        <w:t>ro</w:t>
      </w:r>
      <w:r w:rsidR="0027430B" w:rsidRPr="00690BE2">
        <w:t>g</w:t>
      </w:r>
      <w:r w:rsidR="00CE2464">
        <w:t>rams (as acetate)</w:t>
      </w:r>
      <w:r w:rsidR="0027430B" w:rsidRPr="00690BE2">
        <w:t xml:space="preserve"> daily and </w:t>
      </w:r>
      <w:proofErr w:type="spellStart"/>
      <w:r w:rsidR="0027430B" w:rsidRPr="00690BE2">
        <w:t>nafarelin</w:t>
      </w:r>
      <w:proofErr w:type="spellEnd"/>
      <w:r w:rsidR="0027430B" w:rsidRPr="00690BE2">
        <w:t xml:space="preserve"> 800 m</w:t>
      </w:r>
      <w:r w:rsidR="00A930FF">
        <w:t>i</w:t>
      </w:r>
      <w:r w:rsidR="0027430B" w:rsidRPr="00690BE2">
        <w:t>c</w:t>
      </w:r>
      <w:r w:rsidR="00A930FF">
        <w:t>ro</w:t>
      </w:r>
      <w:r w:rsidR="0027430B" w:rsidRPr="00690BE2">
        <w:t>g</w:t>
      </w:r>
      <w:r w:rsidR="00A930FF">
        <w:t>rams</w:t>
      </w:r>
      <w:r w:rsidR="0027430B" w:rsidRPr="00690BE2">
        <w:t xml:space="preserve"> </w:t>
      </w:r>
      <w:r w:rsidR="00A930FF">
        <w:t xml:space="preserve">(base) </w:t>
      </w:r>
      <w:r w:rsidR="0027430B" w:rsidRPr="00690BE2">
        <w:t xml:space="preserve">daily over an </w:t>
      </w:r>
      <w:r w:rsidR="00E973AB" w:rsidRPr="00690BE2">
        <w:t>ART</w:t>
      </w:r>
      <w:r w:rsidR="0027430B" w:rsidRPr="00690BE2">
        <w:t xml:space="preserve"> treatment cycle.</w:t>
      </w:r>
    </w:p>
    <w:p w:rsidR="0006029E" w:rsidRPr="0006029E" w:rsidRDefault="0006029E" w:rsidP="0006029E">
      <w:pPr>
        <w:ind w:left="720"/>
        <w:contextualSpacing/>
        <w:rPr>
          <w:bCs/>
          <w:szCs w:val="22"/>
          <w:lang w:val="en-GB"/>
        </w:rPr>
      </w:pPr>
    </w:p>
    <w:p w:rsidR="0006029E" w:rsidRPr="00A930FF" w:rsidRDefault="0006029E" w:rsidP="000403D8">
      <w:pPr>
        <w:numPr>
          <w:ilvl w:val="1"/>
          <w:numId w:val="1"/>
        </w:numPr>
        <w:contextualSpacing/>
        <w:rPr>
          <w:bCs/>
          <w:szCs w:val="22"/>
          <w:lang w:val="en-GB"/>
        </w:rPr>
      </w:pPr>
      <w:r>
        <w:rPr>
          <w:bCs/>
          <w:szCs w:val="22"/>
          <w:lang w:val="en-GB"/>
        </w:rPr>
        <w:t>The PBAC considered that</w:t>
      </w:r>
      <w:r w:rsidR="002E4215">
        <w:rPr>
          <w:bCs/>
          <w:szCs w:val="22"/>
          <w:lang w:val="en-GB"/>
        </w:rPr>
        <w:t xml:space="preserve"> </w:t>
      </w:r>
      <w:r w:rsidR="001B612C">
        <w:rPr>
          <w:bCs/>
          <w:szCs w:val="22"/>
          <w:lang w:val="en-GB"/>
        </w:rPr>
        <w:t xml:space="preserve">the </w:t>
      </w:r>
      <w:r w:rsidR="002E4215">
        <w:rPr>
          <w:bCs/>
          <w:szCs w:val="22"/>
          <w:lang w:val="en-GB"/>
        </w:rPr>
        <w:t>submission’s nominated main comparator,</w:t>
      </w:r>
      <w:r>
        <w:rPr>
          <w:bCs/>
          <w:szCs w:val="22"/>
          <w:lang w:val="en-GB"/>
        </w:rPr>
        <w:t xml:space="preserve"> </w:t>
      </w:r>
      <w:proofErr w:type="spellStart"/>
      <w:r>
        <w:rPr>
          <w:bCs/>
          <w:szCs w:val="22"/>
          <w:lang w:val="en-GB"/>
        </w:rPr>
        <w:t>nafarelin</w:t>
      </w:r>
      <w:proofErr w:type="spellEnd"/>
      <w:r w:rsidR="002E4215">
        <w:rPr>
          <w:bCs/>
          <w:szCs w:val="22"/>
          <w:lang w:val="en-GB"/>
        </w:rPr>
        <w:t>,</w:t>
      </w:r>
      <w:r>
        <w:rPr>
          <w:bCs/>
          <w:szCs w:val="22"/>
          <w:lang w:val="en-GB"/>
        </w:rPr>
        <w:t xml:space="preserve"> was appropriate.</w:t>
      </w:r>
    </w:p>
    <w:p w:rsidR="0027430B" w:rsidRPr="00690BE2" w:rsidRDefault="0027430B" w:rsidP="0027430B">
      <w:pPr>
        <w:ind w:left="720"/>
        <w:contextualSpacing/>
        <w:rPr>
          <w:bCs/>
          <w:szCs w:val="22"/>
          <w:lang w:val="en-GB"/>
        </w:rPr>
      </w:pPr>
    </w:p>
    <w:p w:rsidR="0032363F" w:rsidRDefault="00756028" w:rsidP="000403D8">
      <w:pPr>
        <w:numPr>
          <w:ilvl w:val="1"/>
          <w:numId w:val="1"/>
        </w:numPr>
        <w:contextualSpacing/>
        <w:rPr>
          <w:bCs/>
          <w:szCs w:val="22"/>
          <w:lang w:val="en-GB"/>
        </w:rPr>
      </w:pPr>
      <w:r>
        <w:rPr>
          <w:bCs/>
          <w:szCs w:val="22"/>
          <w:lang w:val="en-GB"/>
        </w:rPr>
        <w:t>The PBAC considered that the</w:t>
      </w:r>
      <w:r w:rsidR="007A50F8">
        <w:rPr>
          <w:bCs/>
          <w:szCs w:val="22"/>
          <w:lang w:val="en-GB"/>
        </w:rPr>
        <w:t>re were a number of potential exchangeability issues with the</w:t>
      </w:r>
      <w:r>
        <w:rPr>
          <w:bCs/>
          <w:szCs w:val="22"/>
          <w:lang w:val="en-GB"/>
        </w:rPr>
        <w:t xml:space="preserve"> indirect comparison of </w:t>
      </w:r>
      <w:proofErr w:type="spellStart"/>
      <w:r>
        <w:rPr>
          <w:bCs/>
          <w:szCs w:val="22"/>
          <w:lang w:val="en-GB"/>
        </w:rPr>
        <w:t>triptorelin</w:t>
      </w:r>
      <w:proofErr w:type="spellEnd"/>
      <w:r>
        <w:rPr>
          <w:bCs/>
          <w:szCs w:val="22"/>
          <w:lang w:val="en-GB"/>
        </w:rPr>
        <w:t xml:space="preserve"> </w:t>
      </w:r>
      <w:r w:rsidR="009275C6">
        <w:rPr>
          <w:bCs/>
          <w:szCs w:val="22"/>
          <w:lang w:val="en-GB"/>
        </w:rPr>
        <w:t xml:space="preserve">(EMEOSG 2001) </w:t>
      </w:r>
      <w:r>
        <w:rPr>
          <w:bCs/>
          <w:szCs w:val="22"/>
          <w:lang w:val="en-GB"/>
        </w:rPr>
        <w:t xml:space="preserve">and </w:t>
      </w:r>
      <w:proofErr w:type="spellStart"/>
      <w:r>
        <w:rPr>
          <w:bCs/>
          <w:szCs w:val="22"/>
          <w:lang w:val="en-GB"/>
        </w:rPr>
        <w:t>nafarelin</w:t>
      </w:r>
      <w:proofErr w:type="spellEnd"/>
      <w:r w:rsidR="009275C6">
        <w:rPr>
          <w:bCs/>
          <w:szCs w:val="22"/>
          <w:lang w:val="en-GB"/>
        </w:rPr>
        <w:t xml:space="preserve"> (</w:t>
      </w:r>
      <w:proofErr w:type="spellStart"/>
      <w:r w:rsidR="009275C6">
        <w:rPr>
          <w:bCs/>
          <w:szCs w:val="22"/>
          <w:lang w:val="en-GB"/>
        </w:rPr>
        <w:t>Rombauts</w:t>
      </w:r>
      <w:proofErr w:type="spellEnd"/>
      <w:r w:rsidR="009275C6">
        <w:rPr>
          <w:bCs/>
          <w:szCs w:val="22"/>
          <w:lang w:val="en-GB"/>
        </w:rPr>
        <w:t xml:space="preserve"> 2006)</w:t>
      </w:r>
      <w:r>
        <w:rPr>
          <w:bCs/>
          <w:szCs w:val="22"/>
          <w:lang w:val="en-GB"/>
        </w:rPr>
        <w:t xml:space="preserve">, using </w:t>
      </w:r>
      <w:proofErr w:type="spellStart"/>
      <w:r>
        <w:rPr>
          <w:bCs/>
          <w:szCs w:val="22"/>
          <w:lang w:val="en-GB"/>
        </w:rPr>
        <w:t>ganirelix</w:t>
      </w:r>
      <w:proofErr w:type="spellEnd"/>
      <w:r>
        <w:rPr>
          <w:bCs/>
          <w:szCs w:val="22"/>
          <w:lang w:val="en-GB"/>
        </w:rPr>
        <w:t xml:space="preserve"> as the common reference, </w:t>
      </w:r>
      <w:r w:rsidR="007A50F8">
        <w:rPr>
          <w:bCs/>
          <w:szCs w:val="22"/>
          <w:lang w:val="en-GB"/>
        </w:rPr>
        <w:t>including th</w:t>
      </w:r>
      <w:r w:rsidR="00AA7290">
        <w:rPr>
          <w:bCs/>
          <w:szCs w:val="22"/>
          <w:lang w:val="en-GB"/>
        </w:rPr>
        <w:t>e</w:t>
      </w:r>
      <w:r w:rsidR="007A50F8">
        <w:rPr>
          <w:bCs/>
          <w:szCs w:val="22"/>
          <w:lang w:val="en-GB"/>
        </w:rPr>
        <w:t xml:space="preserve"> patient demographics, duration and cause of infertility, and the concomitant use of </w:t>
      </w:r>
      <w:proofErr w:type="spellStart"/>
      <w:r w:rsidR="007A50F8">
        <w:rPr>
          <w:bCs/>
          <w:szCs w:val="22"/>
          <w:lang w:val="en-GB"/>
        </w:rPr>
        <w:t>rFSH</w:t>
      </w:r>
      <w:proofErr w:type="spellEnd"/>
      <w:r w:rsidR="007A50F8">
        <w:rPr>
          <w:bCs/>
          <w:szCs w:val="22"/>
          <w:lang w:val="en-GB"/>
        </w:rPr>
        <w:t xml:space="preserve">. The PBAC noted that the patient </w:t>
      </w:r>
      <w:r w:rsidR="009275C6">
        <w:rPr>
          <w:bCs/>
          <w:szCs w:val="22"/>
          <w:lang w:val="en-GB"/>
        </w:rPr>
        <w:t>relevant</w:t>
      </w:r>
      <w:r w:rsidR="007A50F8">
        <w:rPr>
          <w:bCs/>
          <w:szCs w:val="22"/>
          <w:lang w:val="en-GB"/>
        </w:rPr>
        <w:t xml:space="preserve"> outcome of live births was not reported in the studies. </w:t>
      </w:r>
      <w:r w:rsidR="00A5240E">
        <w:rPr>
          <w:bCs/>
          <w:szCs w:val="22"/>
          <w:lang w:val="en-GB"/>
        </w:rPr>
        <w:t xml:space="preserve">The PBAC noted that for the primary outcome of number of oocytes retrieved, </w:t>
      </w:r>
      <w:proofErr w:type="spellStart"/>
      <w:r w:rsidR="00A5240E">
        <w:rPr>
          <w:bCs/>
          <w:szCs w:val="22"/>
          <w:lang w:val="en-GB"/>
        </w:rPr>
        <w:t>triptorelin</w:t>
      </w:r>
      <w:proofErr w:type="spellEnd"/>
      <w:r w:rsidR="00A5240E">
        <w:rPr>
          <w:bCs/>
          <w:szCs w:val="22"/>
          <w:lang w:val="en-GB"/>
        </w:rPr>
        <w:t xml:space="preserve"> fell within the non-inferiority margin of 3 in the indirect comparison with </w:t>
      </w:r>
      <w:proofErr w:type="spellStart"/>
      <w:r w:rsidR="00A5240E">
        <w:rPr>
          <w:bCs/>
          <w:szCs w:val="22"/>
          <w:lang w:val="en-GB"/>
        </w:rPr>
        <w:t>nafarelin</w:t>
      </w:r>
      <w:proofErr w:type="spellEnd"/>
      <w:r w:rsidR="00A5240E">
        <w:rPr>
          <w:bCs/>
          <w:szCs w:val="22"/>
          <w:lang w:val="en-GB"/>
        </w:rPr>
        <w:t xml:space="preserve">. For the outcome of ongoing pregnancy, the PBAC noted that the </w:t>
      </w:r>
      <w:r w:rsidR="00A5240E" w:rsidRPr="00A5240E">
        <w:rPr>
          <w:bCs/>
          <w:szCs w:val="22"/>
          <w:lang w:val="en-GB"/>
        </w:rPr>
        <w:t>lower confidence interval exceeds the 10% non-inferiority margin previously accepted by the PBAC</w:t>
      </w:r>
      <w:r w:rsidR="00A5240E">
        <w:rPr>
          <w:bCs/>
          <w:szCs w:val="22"/>
          <w:lang w:val="en-GB"/>
        </w:rPr>
        <w:t xml:space="preserve">, however considered that the </w:t>
      </w:r>
      <w:proofErr w:type="spellStart"/>
      <w:r w:rsidR="00A5240E">
        <w:rPr>
          <w:bCs/>
          <w:szCs w:val="22"/>
          <w:lang w:val="en-GB"/>
        </w:rPr>
        <w:t>Rombauts</w:t>
      </w:r>
      <w:proofErr w:type="spellEnd"/>
      <w:r w:rsidR="00A5240E">
        <w:rPr>
          <w:bCs/>
          <w:szCs w:val="22"/>
          <w:lang w:val="en-GB"/>
        </w:rPr>
        <w:t xml:space="preserve"> 2006 trial was not powered for the outcome of ongoing pregnancies. The PBAC </w:t>
      </w:r>
      <w:r w:rsidR="00880EF2">
        <w:rPr>
          <w:bCs/>
          <w:szCs w:val="22"/>
          <w:lang w:val="en-GB"/>
        </w:rPr>
        <w:t xml:space="preserve">further noted that in the EMEOSG 2001 trial of a direct comparison of </w:t>
      </w:r>
      <w:proofErr w:type="spellStart"/>
      <w:r w:rsidR="00880EF2">
        <w:rPr>
          <w:bCs/>
          <w:szCs w:val="22"/>
          <w:lang w:val="en-GB"/>
        </w:rPr>
        <w:t>triptorelin</w:t>
      </w:r>
      <w:proofErr w:type="spellEnd"/>
      <w:r w:rsidR="00880EF2">
        <w:rPr>
          <w:bCs/>
          <w:szCs w:val="22"/>
          <w:lang w:val="en-GB"/>
        </w:rPr>
        <w:t xml:space="preserve"> and </w:t>
      </w:r>
      <w:proofErr w:type="spellStart"/>
      <w:r w:rsidR="00880EF2">
        <w:rPr>
          <w:bCs/>
          <w:szCs w:val="22"/>
          <w:lang w:val="en-GB"/>
        </w:rPr>
        <w:t>ganirelix</w:t>
      </w:r>
      <w:proofErr w:type="spellEnd"/>
      <w:r w:rsidR="00880EF2">
        <w:rPr>
          <w:bCs/>
          <w:szCs w:val="22"/>
          <w:lang w:val="en-GB"/>
        </w:rPr>
        <w:t xml:space="preserve">, </w:t>
      </w:r>
      <w:proofErr w:type="spellStart"/>
      <w:r w:rsidR="00880EF2">
        <w:rPr>
          <w:bCs/>
          <w:szCs w:val="22"/>
          <w:lang w:val="en-GB"/>
        </w:rPr>
        <w:t>triptorelin</w:t>
      </w:r>
      <w:proofErr w:type="spellEnd"/>
      <w:r w:rsidR="00880EF2">
        <w:rPr>
          <w:bCs/>
          <w:szCs w:val="22"/>
          <w:lang w:val="en-GB"/>
        </w:rPr>
        <w:t xml:space="preserve"> fell within the 10% non-inferiority margin for the outcome of ongoing pregnancies.</w:t>
      </w:r>
      <w:r w:rsidR="004D6633">
        <w:rPr>
          <w:bCs/>
          <w:szCs w:val="22"/>
          <w:lang w:val="en-GB"/>
        </w:rPr>
        <w:t xml:space="preserve"> The PBAC recalled that </w:t>
      </w:r>
      <w:proofErr w:type="spellStart"/>
      <w:r w:rsidR="004D6633" w:rsidRPr="004D6633">
        <w:rPr>
          <w:bCs/>
          <w:szCs w:val="22"/>
          <w:lang w:val="en-GB"/>
        </w:rPr>
        <w:t>nafarelin</w:t>
      </w:r>
      <w:proofErr w:type="spellEnd"/>
      <w:r w:rsidR="004D6633" w:rsidRPr="004D6633">
        <w:rPr>
          <w:bCs/>
          <w:szCs w:val="22"/>
          <w:lang w:val="en-GB"/>
        </w:rPr>
        <w:t xml:space="preserve"> and </w:t>
      </w:r>
      <w:proofErr w:type="spellStart"/>
      <w:r w:rsidR="004D6633" w:rsidRPr="004D6633">
        <w:rPr>
          <w:bCs/>
          <w:szCs w:val="22"/>
          <w:lang w:val="en-GB"/>
        </w:rPr>
        <w:t>cetrorelix</w:t>
      </w:r>
      <w:proofErr w:type="spellEnd"/>
      <w:r w:rsidR="004D6633" w:rsidRPr="004D6633">
        <w:rPr>
          <w:bCs/>
          <w:szCs w:val="22"/>
          <w:lang w:val="en-GB"/>
        </w:rPr>
        <w:t xml:space="preserve"> were recommended for</w:t>
      </w:r>
      <w:r w:rsidR="004D6633">
        <w:rPr>
          <w:bCs/>
          <w:szCs w:val="22"/>
          <w:lang w:val="en-GB"/>
        </w:rPr>
        <w:t xml:space="preserve"> ART</w:t>
      </w:r>
      <w:r w:rsidR="004D6633" w:rsidRPr="004D6633">
        <w:rPr>
          <w:bCs/>
          <w:szCs w:val="22"/>
          <w:lang w:val="en-GB"/>
        </w:rPr>
        <w:t xml:space="preserve"> on a cost-minimisation basis compared with </w:t>
      </w:r>
      <w:proofErr w:type="spellStart"/>
      <w:r w:rsidR="004D6633" w:rsidRPr="004D6633">
        <w:rPr>
          <w:bCs/>
          <w:szCs w:val="22"/>
          <w:lang w:val="en-GB"/>
        </w:rPr>
        <w:t>ganirelix</w:t>
      </w:r>
      <w:proofErr w:type="spellEnd"/>
      <w:r w:rsidR="004D6633">
        <w:rPr>
          <w:bCs/>
          <w:szCs w:val="22"/>
          <w:lang w:val="en-GB"/>
        </w:rPr>
        <w:t>.</w:t>
      </w:r>
    </w:p>
    <w:p w:rsidR="00D77B9F" w:rsidRPr="00910514" w:rsidRDefault="00D77B9F" w:rsidP="00D77B9F">
      <w:pPr>
        <w:contextualSpacing/>
        <w:rPr>
          <w:bCs/>
          <w:szCs w:val="22"/>
          <w:lang w:val="en-GB"/>
        </w:rPr>
      </w:pPr>
    </w:p>
    <w:p w:rsidR="00D77B9F" w:rsidRPr="00C575D9" w:rsidRDefault="00D77B9F" w:rsidP="000403D8">
      <w:pPr>
        <w:pStyle w:val="ListParagraph"/>
        <w:numPr>
          <w:ilvl w:val="1"/>
          <w:numId w:val="1"/>
        </w:numPr>
        <w:rPr>
          <w:szCs w:val="22"/>
        </w:rPr>
      </w:pPr>
      <w:r w:rsidRPr="00690BE2">
        <w:rPr>
          <w:szCs w:val="22"/>
        </w:rPr>
        <w:t xml:space="preserve">The PBAC considered that it was likely that </w:t>
      </w:r>
      <w:proofErr w:type="spellStart"/>
      <w:r w:rsidRPr="00690BE2">
        <w:rPr>
          <w:szCs w:val="22"/>
        </w:rPr>
        <w:t>triptorelin</w:t>
      </w:r>
      <w:proofErr w:type="spellEnd"/>
      <w:r w:rsidRPr="00690BE2">
        <w:rPr>
          <w:szCs w:val="22"/>
        </w:rPr>
        <w:t xml:space="preserve"> and </w:t>
      </w:r>
      <w:proofErr w:type="spellStart"/>
      <w:r w:rsidRPr="00690BE2">
        <w:rPr>
          <w:szCs w:val="22"/>
        </w:rPr>
        <w:t>nafarelin</w:t>
      </w:r>
      <w:proofErr w:type="spellEnd"/>
      <w:r w:rsidRPr="00690BE2">
        <w:rPr>
          <w:szCs w:val="22"/>
        </w:rPr>
        <w:t xml:space="preserve"> had similar rates of serious adverse events and ovarian </w:t>
      </w:r>
      <w:proofErr w:type="spellStart"/>
      <w:r w:rsidRPr="00690BE2">
        <w:rPr>
          <w:szCs w:val="22"/>
        </w:rPr>
        <w:t>hyperstimulation</w:t>
      </w:r>
      <w:proofErr w:type="spellEnd"/>
      <w:r w:rsidRPr="00690BE2">
        <w:rPr>
          <w:szCs w:val="22"/>
        </w:rPr>
        <w:t xml:space="preserve"> events, noting however that data to make a comparison was limited.</w:t>
      </w:r>
    </w:p>
    <w:p w:rsidR="0032363F" w:rsidRPr="00690BE2" w:rsidRDefault="0032363F" w:rsidP="0032363F">
      <w:pPr>
        <w:ind w:left="720"/>
        <w:contextualSpacing/>
        <w:rPr>
          <w:bCs/>
          <w:szCs w:val="22"/>
          <w:lang w:val="en-GB"/>
        </w:rPr>
      </w:pPr>
    </w:p>
    <w:p w:rsidR="00462FA0" w:rsidRPr="00D3199F" w:rsidRDefault="00465B11" w:rsidP="000403D8">
      <w:pPr>
        <w:numPr>
          <w:ilvl w:val="1"/>
          <w:numId w:val="1"/>
        </w:numPr>
        <w:contextualSpacing/>
        <w:rPr>
          <w:bCs/>
          <w:szCs w:val="22"/>
          <w:lang w:val="en-GB"/>
        </w:rPr>
      </w:pPr>
      <w:r w:rsidRPr="00462FA0">
        <w:rPr>
          <w:bCs/>
          <w:szCs w:val="22"/>
          <w:lang w:val="en-GB"/>
        </w:rPr>
        <w:t xml:space="preserve">The PBAC </w:t>
      </w:r>
      <w:r w:rsidR="00462FA0">
        <w:rPr>
          <w:bCs/>
          <w:szCs w:val="22"/>
          <w:lang w:val="en-GB"/>
        </w:rPr>
        <w:t xml:space="preserve">considered that the data presented in the submission suggested that </w:t>
      </w:r>
      <w:proofErr w:type="spellStart"/>
      <w:r w:rsidR="00462FA0">
        <w:rPr>
          <w:bCs/>
          <w:szCs w:val="22"/>
          <w:lang w:val="en-GB"/>
        </w:rPr>
        <w:t>triptorelin</w:t>
      </w:r>
      <w:proofErr w:type="spellEnd"/>
      <w:r w:rsidR="00462FA0">
        <w:rPr>
          <w:bCs/>
          <w:szCs w:val="22"/>
          <w:lang w:val="en-GB"/>
        </w:rPr>
        <w:t xml:space="preserve"> is very likely to be non-inferior in terms of comparative effectiveness and safety compared to</w:t>
      </w:r>
      <w:r w:rsidR="00D77B9F">
        <w:rPr>
          <w:bCs/>
          <w:szCs w:val="22"/>
          <w:lang w:val="en-GB"/>
        </w:rPr>
        <w:t xml:space="preserve"> </w:t>
      </w:r>
      <w:proofErr w:type="spellStart"/>
      <w:r w:rsidR="00D77B9F">
        <w:rPr>
          <w:bCs/>
          <w:szCs w:val="22"/>
          <w:lang w:val="en-GB"/>
        </w:rPr>
        <w:t>nafarelin</w:t>
      </w:r>
      <w:proofErr w:type="spellEnd"/>
      <w:r w:rsidRPr="00462FA0">
        <w:rPr>
          <w:bCs/>
          <w:szCs w:val="22"/>
          <w:lang w:val="en-GB"/>
        </w:rPr>
        <w:t>.</w:t>
      </w:r>
      <w:r w:rsidR="00B231E9" w:rsidRPr="00462FA0">
        <w:rPr>
          <w:bCs/>
          <w:szCs w:val="22"/>
          <w:lang w:val="en-GB"/>
        </w:rPr>
        <w:t xml:space="preserve"> </w:t>
      </w:r>
    </w:p>
    <w:p w:rsidR="0032363F" w:rsidRPr="00690BE2" w:rsidRDefault="0032363F" w:rsidP="0032363F">
      <w:pPr>
        <w:ind w:left="720"/>
        <w:contextualSpacing/>
        <w:rPr>
          <w:bCs/>
          <w:szCs w:val="22"/>
          <w:lang w:val="en-GB"/>
        </w:rPr>
      </w:pPr>
    </w:p>
    <w:p w:rsidR="00E6384A" w:rsidRDefault="00913F11" w:rsidP="000403D8">
      <w:pPr>
        <w:numPr>
          <w:ilvl w:val="1"/>
          <w:numId w:val="1"/>
        </w:numPr>
        <w:contextualSpacing/>
        <w:rPr>
          <w:bCs/>
          <w:szCs w:val="22"/>
          <w:lang w:val="en-GB"/>
        </w:rPr>
      </w:pPr>
      <w:r w:rsidRPr="00690BE2">
        <w:rPr>
          <w:bCs/>
          <w:szCs w:val="22"/>
          <w:lang w:val="en-GB"/>
        </w:rPr>
        <w:t xml:space="preserve">The PBAC </w:t>
      </w:r>
      <w:r w:rsidR="00D77B9F">
        <w:rPr>
          <w:bCs/>
          <w:szCs w:val="22"/>
          <w:lang w:val="en-GB"/>
        </w:rPr>
        <w:t>considered</w:t>
      </w:r>
      <w:r w:rsidRPr="00690BE2">
        <w:rPr>
          <w:bCs/>
          <w:szCs w:val="22"/>
          <w:lang w:val="en-GB"/>
        </w:rPr>
        <w:t xml:space="preserve"> that wastage is a potential issue for the 28</w:t>
      </w:r>
      <w:r w:rsidR="00D77B9F">
        <w:rPr>
          <w:bCs/>
          <w:szCs w:val="22"/>
          <w:lang w:val="en-GB"/>
        </w:rPr>
        <w:t xml:space="preserve"> syringe</w:t>
      </w:r>
      <w:r w:rsidRPr="00690BE2">
        <w:rPr>
          <w:bCs/>
          <w:szCs w:val="22"/>
          <w:lang w:val="en-GB"/>
        </w:rPr>
        <w:t xml:space="preserve"> pack, and </w:t>
      </w:r>
      <w:r w:rsidR="00D77B9F">
        <w:rPr>
          <w:bCs/>
          <w:szCs w:val="22"/>
          <w:lang w:val="en-GB"/>
        </w:rPr>
        <w:t>expressed a preference for the sponsor’s proposal to list the smaller pack size of 7 with a maximum quantity of four packs</w:t>
      </w:r>
      <w:r w:rsidRPr="00690BE2">
        <w:rPr>
          <w:bCs/>
          <w:szCs w:val="22"/>
          <w:lang w:val="en-GB"/>
        </w:rPr>
        <w:t xml:space="preserve">. </w:t>
      </w:r>
    </w:p>
    <w:p w:rsidR="00E6384A" w:rsidRDefault="00E6384A" w:rsidP="00E6384A">
      <w:pPr>
        <w:ind w:left="720"/>
        <w:contextualSpacing/>
        <w:rPr>
          <w:bCs/>
          <w:szCs w:val="22"/>
          <w:lang w:val="en-GB"/>
        </w:rPr>
      </w:pPr>
    </w:p>
    <w:p w:rsidR="0032363F" w:rsidRPr="00FF27B0" w:rsidRDefault="00A930FF" w:rsidP="000403D8">
      <w:pPr>
        <w:numPr>
          <w:ilvl w:val="1"/>
          <w:numId w:val="1"/>
        </w:numPr>
        <w:contextualSpacing/>
        <w:rPr>
          <w:bCs/>
          <w:szCs w:val="22"/>
          <w:lang w:val="en-GB"/>
        </w:rPr>
      </w:pPr>
      <w:r w:rsidRPr="00690BE2">
        <w:rPr>
          <w:bCs/>
          <w:szCs w:val="22"/>
          <w:lang w:val="en-GB"/>
        </w:rPr>
        <w:t xml:space="preserve">The PBAC </w:t>
      </w:r>
      <w:r w:rsidR="00E6384A">
        <w:rPr>
          <w:bCs/>
          <w:szCs w:val="22"/>
          <w:lang w:val="en-GB"/>
        </w:rPr>
        <w:t>noted</w:t>
      </w:r>
      <w:r w:rsidRPr="00690BE2">
        <w:rPr>
          <w:bCs/>
          <w:szCs w:val="22"/>
          <w:lang w:val="en-GB"/>
        </w:rPr>
        <w:t xml:space="preserve"> that the listing</w:t>
      </w:r>
      <w:r w:rsidR="00E6384A">
        <w:rPr>
          <w:bCs/>
          <w:szCs w:val="22"/>
          <w:lang w:val="en-GB"/>
        </w:rPr>
        <w:t xml:space="preserve"> of </w:t>
      </w:r>
      <w:proofErr w:type="spellStart"/>
      <w:r w:rsidR="00E6384A">
        <w:rPr>
          <w:bCs/>
          <w:szCs w:val="22"/>
          <w:lang w:val="en-GB"/>
        </w:rPr>
        <w:t>triptorelin</w:t>
      </w:r>
      <w:proofErr w:type="spellEnd"/>
      <w:r w:rsidRPr="00690BE2">
        <w:rPr>
          <w:bCs/>
          <w:szCs w:val="22"/>
          <w:lang w:val="en-GB"/>
        </w:rPr>
        <w:t xml:space="preserve"> would </w:t>
      </w:r>
      <w:r w:rsidR="00E6384A">
        <w:rPr>
          <w:bCs/>
          <w:szCs w:val="22"/>
          <w:lang w:val="en-GB"/>
        </w:rPr>
        <w:t>be cost-neutral</w:t>
      </w:r>
      <w:r w:rsidRPr="00690BE2">
        <w:rPr>
          <w:bCs/>
          <w:szCs w:val="22"/>
          <w:lang w:val="en-GB"/>
        </w:rPr>
        <w:t xml:space="preserve"> to the PBS</w:t>
      </w:r>
      <w:r w:rsidR="00E6384A">
        <w:rPr>
          <w:bCs/>
          <w:szCs w:val="22"/>
          <w:lang w:val="en-GB"/>
        </w:rPr>
        <w:t xml:space="preserve"> as it would</w:t>
      </w:r>
      <w:r w:rsidRPr="00690BE2">
        <w:rPr>
          <w:bCs/>
          <w:szCs w:val="22"/>
          <w:lang w:val="en-GB"/>
        </w:rPr>
        <w:t xml:space="preserve"> substitute for </w:t>
      </w:r>
      <w:proofErr w:type="spellStart"/>
      <w:r w:rsidRPr="00690BE2">
        <w:rPr>
          <w:bCs/>
          <w:szCs w:val="22"/>
          <w:lang w:val="en-GB"/>
        </w:rPr>
        <w:t>nafarelin</w:t>
      </w:r>
      <w:proofErr w:type="spellEnd"/>
      <w:r w:rsidR="00E6384A">
        <w:rPr>
          <w:bCs/>
          <w:szCs w:val="22"/>
          <w:lang w:val="en-GB"/>
        </w:rPr>
        <w:t>.</w:t>
      </w:r>
    </w:p>
    <w:p w:rsidR="0032363F" w:rsidRPr="00690BE2" w:rsidRDefault="0032363F" w:rsidP="0032363F">
      <w:pPr>
        <w:ind w:left="720"/>
        <w:contextualSpacing/>
        <w:rPr>
          <w:bCs/>
          <w:szCs w:val="22"/>
          <w:lang w:val="en-GB"/>
        </w:rPr>
      </w:pPr>
    </w:p>
    <w:p w:rsidR="0032363F" w:rsidRPr="00690BE2" w:rsidRDefault="0032363F" w:rsidP="000403D8">
      <w:pPr>
        <w:numPr>
          <w:ilvl w:val="1"/>
          <w:numId w:val="1"/>
        </w:numPr>
        <w:contextualSpacing/>
        <w:rPr>
          <w:bCs/>
          <w:szCs w:val="22"/>
          <w:lang w:val="en-GB"/>
        </w:rPr>
      </w:pPr>
      <w:r w:rsidRPr="00690BE2">
        <w:rPr>
          <w:bCs/>
          <w:szCs w:val="22"/>
          <w:lang w:val="en-GB"/>
        </w:rPr>
        <w:t xml:space="preserve">The PBAC recommended that </w:t>
      </w:r>
      <w:proofErr w:type="spellStart"/>
      <w:r w:rsidR="00FF27B0">
        <w:rPr>
          <w:bCs/>
          <w:szCs w:val="22"/>
          <w:lang w:val="en-GB"/>
        </w:rPr>
        <w:t>triptorelin</w:t>
      </w:r>
      <w:proofErr w:type="spellEnd"/>
      <w:r w:rsidRPr="00690BE2">
        <w:rPr>
          <w:bCs/>
          <w:szCs w:val="22"/>
          <w:lang w:val="en-GB"/>
        </w:rPr>
        <w:t xml:space="preserve"> should </w:t>
      </w:r>
      <w:r w:rsidR="00D3199F">
        <w:rPr>
          <w:bCs/>
          <w:szCs w:val="22"/>
          <w:lang w:val="en-GB"/>
        </w:rPr>
        <w:t xml:space="preserve">not be </w:t>
      </w:r>
      <w:r w:rsidRPr="00690BE2">
        <w:rPr>
          <w:bCs/>
          <w:szCs w:val="22"/>
          <w:lang w:val="en-GB"/>
        </w:rPr>
        <w:t xml:space="preserve">treated as interchangeable </w:t>
      </w:r>
      <w:r w:rsidR="00D3199F">
        <w:rPr>
          <w:bCs/>
          <w:szCs w:val="22"/>
          <w:lang w:val="en-GB"/>
        </w:rPr>
        <w:t>on an individual patient basis with any other drugs</w:t>
      </w:r>
      <w:r w:rsidRPr="00690BE2">
        <w:rPr>
          <w:bCs/>
          <w:szCs w:val="22"/>
          <w:lang w:val="en-GB"/>
        </w:rPr>
        <w:t>.</w:t>
      </w:r>
    </w:p>
    <w:p w:rsidR="0032363F" w:rsidRPr="00690BE2" w:rsidRDefault="0032363F" w:rsidP="0032363F">
      <w:pPr>
        <w:ind w:left="720"/>
        <w:contextualSpacing/>
        <w:rPr>
          <w:bCs/>
          <w:szCs w:val="22"/>
          <w:lang w:val="en-GB"/>
        </w:rPr>
      </w:pPr>
    </w:p>
    <w:p w:rsidR="0032363F" w:rsidRPr="00690BE2" w:rsidRDefault="0032363F" w:rsidP="000403D8">
      <w:pPr>
        <w:numPr>
          <w:ilvl w:val="1"/>
          <w:numId w:val="1"/>
        </w:numPr>
        <w:contextualSpacing/>
        <w:rPr>
          <w:bCs/>
          <w:szCs w:val="22"/>
          <w:lang w:val="en-GB"/>
        </w:rPr>
      </w:pPr>
      <w:r w:rsidRPr="00690BE2">
        <w:rPr>
          <w:bCs/>
          <w:szCs w:val="22"/>
          <w:lang w:val="en-GB"/>
        </w:rPr>
        <w:t xml:space="preserve">The PBAC advised that </w:t>
      </w:r>
      <w:proofErr w:type="spellStart"/>
      <w:r w:rsidR="00232AF4" w:rsidRPr="00690BE2">
        <w:rPr>
          <w:bCs/>
          <w:szCs w:val="22"/>
          <w:lang w:val="en-GB"/>
        </w:rPr>
        <w:t>triptorelin</w:t>
      </w:r>
      <w:proofErr w:type="spellEnd"/>
      <w:r w:rsidR="00232AF4" w:rsidRPr="00690BE2">
        <w:rPr>
          <w:bCs/>
          <w:szCs w:val="22"/>
          <w:lang w:val="en-GB"/>
        </w:rPr>
        <w:t xml:space="preserve"> </w:t>
      </w:r>
      <w:r w:rsidRPr="00690BE2">
        <w:rPr>
          <w:bCs/>
          <w:szCs w:val="22"/>
          <w:lang w:val="en-GB"/>
        </w:rPr>
        <w:t>is not suitable for prescribing by nurse practitioners.</w:t>
      </w:r>
    </w:p>
    <w:p w:rsidR="0032363F" w:rsidRPr="00690BE2" w:rsidRDefault="0032363F" w:rsidP="0032363F">
      <w:pPr>
        <w:ind w:left="720"/>
        <w:contextualSpacing/>
        <w:rPr>
          <w:bCs/>
          <w:szCs w:val="22"/>
          <w:lang w:val="en-GB"/>
        </w:rPr>
      </w:pPr>
    </w:p>
    <w:p w:rsidR="0032363F" w:rsidRPr="00690BE2" w:rsidRDefault="0032363F" w:rsidP="000403D8">
      <w:pPr>
        <w:numPr>
          <w:ilvl w:val="1"/>
          <w:numId w:val="1"/>
        </w:numPr>
        <w:contextualSpacing/>
        <w:rPr>
          <w:bCs/>
          <w:szCs w:val="22"/>
          <w:lang w:val="en-GB"/>
        </w:rPr>
      </w:pPr>
      <w:r w:rsidRPr="00690BE2">
        <w:rPr>
          <w:bCs/>
          <w:szCs w:val="22"/>
          <w:lang w:val="en-GB"/>
        </w:rPr>
        <w:t xml:space="preserve">The PBAC recommended that the </w:t>
      </w:r>
      <w:r w:rsidR="00232AF4" w:rsidRPr="00690BE2">
        <w:rPr>
          <w:bCs/>
          <w:szCs w:val="22"/>
          <w:lang w:val="en-GB"/>
        </w:rPr>
        <w:t xml:space="preserve">Early Supply </w:t>
      </w:r>
      <w:r w:rsidRPr="00690BE2">
        <w:rPr>
          <w:bCs/>
          <w:szCs w:val="22"/>
          <w:lang w:val="en-GB"/>
        </w:rPr>
        <w:t xml:space="preserve">Rule </w:t>
      </w:r>
      <w:r w:rsidR="00D75F36">
        <w:rPr>
          <w:bCs/>
          <w:szCs w:val="22"/>
          <w:lang w:val="en-GB"/>
        </w:rPr>
        <w:t>should not apply.</w:t>
      </w:r>
    </w:p>
    <w:p w:rsidR="0032363F" w:rsidRPr="00690BE2" w:rsidRDefault="0032363F" w:rsidP="0032363F">
      <w:pPr>
        <w:pStyle w:val="ListParagraph"/>
        <w:rPr>
          <w:bCs/>
          <w:szCs w:val="22"/>
          <w:lang w:val="en-GB"/>
        </w:rPr>
      </w:pPr>
    </w:p>
    <w:p w:rsidR="0032363F" w:rsidRPr="00690BE2" w:rsidRDefault="0032363F" w:rsidP="0032363F">
      <w:pPr>
        <w:contextualSpacing/>
        <w:rPr>
          <w:b/>
          <w:bCs/>
          <w:szCs w:val="22"/>
          <w:lang w:val="en-GB"/>
        </w:rPr>
      </w:pPr>
    </w:p>
    <w:p w:rsidR="0032363F" w:rsidRPr="00690BE2" w:rsidRDefault="0032363F" w:rsidP="0032363F">
      <w:pPr>
        <w:rPr>
          <w:b/>
          <w:bCs/>
          <w:szCs w:val="22"/>
          <w:lang w:val="en-GB"/>
        </w:rPr>
      </w:pPr>
      <w:r w:rsidRPr="00690BE2">
        <w:rPr>
          <w:b/>
          <w:bCs/>
          <w:szCs w:val="22"/>
          <w:lang w:val="en-GB"/>
        </w:rPr>
        <w:t>Outcome:</w:t>
      </w:r>
    </w:p>
    <w:p w:rsidR="0032363F" w:rsidRPr="00690BE2" w:rsidRDefault="0032363F" w:rsidP="0032363F">
      <w:pPr>
        <w:rPr>
          <w:bCs/>
          <w:szCs w:val="22"/>
          <w:lang w:val="en-GB"/>
        </w:rPr>
      </w:pPr>
      <w:r w:rsidRPr="00690BE2">
        <w:rPr>
          <w:bCs/>
          <w:szCs w:val="22"/>
          <w:lang w:val="en-GB"/>
        </w:rPr>
        <w:t>Recommended</w:t>
      </w:r>
    </w:p>
    <w:p w:rsidR="00E6384A" w:rsidRDefault="00E6384A" w:rsidP="0032363F">
      <w:pPr>
        <w:rPr>
          <w:bCs/>
          <w:szCs w:val="22"/>
        </w:rPr>
      </w:pPr>
    </w:p>
    <w:p w:rsidR="00E6384A" w:rsidRPr="00690BE2" w:rsidRDefault="00E6384A" w:rsidP="0032363F">
      <w:pPr>
        <w:rPr>
          <w:bCs/>
          <w:szCs w:val="22"/>
        </w:rPr>
      </w:pPr>
    </w:p>
    <w:p w:rsidR="0032363F" w:rsidRPr="000403D8" w:rsidRDefault="0032363F" w:rsidP="000403D8">
      <w:pPr>
        <w:pStyle w:val="Heading1"/>
      </w:pPr>
      <w:r w:rsidRPr="000403D8">
        <w:t>Recommended listing</w:t>
      </w:r>
    </w:p>
    <w:p w:rsidR="0032363F" w:rsidRPr="00690BE2" w:rsidRDefault="0032363F" w:rsidP="0032363F">
      <w:pPr>
        <w:rPr>
          <w:b/>
          <w:bCs/>
          <w:i/>
          <w:szCs w:val="22"/>
          <w:lang w:val="en-GB"/>
        </w:rPr>
      </w:pPr>
    </w:p>
    <w:p w:rsidR="0032363F" w:rsidRPr="00690BE2" w:rsidRDefault="0032363F" w:rsidP="000403D8">
      <w:pPr>
        <w:numPr>
          <w:ilvl w:val="1"/>
          <w:numId w:val="1"/>
        </w:numPr>
        <w:contextualSpacing/>
        <w:rPr>
          <w:bCs/>
          <w:szCs w:val="22"/>
        </w:rPr>
      </w:pPr>
      <w:r w:rsidRPr="00690BE2">
        <w:rPr>
          <w:bCs/>
          <w:szCs w:val="22"/>
        </w:rPr>
        <w:t>Add new item:</w:t>
      </w:r>
    </w:p>
    <w:p w:rsidR="00A17407" w:rsidRDefault="00A17407"/>
    <w:tbl>
      <w:tblPr>
        <w:tblW w:w="8227" w:type="dxa"/>
        <w:tblInd w:w="108" w:type="dxa"/>
        <w:tblLook w:val="0000" w:firstRow="0" w:lastRow="0" w:firstColumn="0" w:lastColumn="0" w:noHBand="0" w:noVBand="0"/>
      </w:tblPr>
      <w:tblGrid>
        <w:gridCol w:w="2681"/>
        <w:gridCol w:w="385"/>
        <w:gridCol w:w="557"/>
        <w:gridCol w:w="1055"/>
        <w:gridCol w:w="425"/>
        <w:gridCol w:w="2388"/>
        <w:gridCol w:w="736"/>
      </w:tblGrid>
      <w:tr w:rsidR="00570C28" w:rsidRPr="009A5BE6" w:rsidTr="00C94DED">
        <w:trPr>
          <w:cantSplit/>
          <w:trHeight w:val="471"/>
        </w:trPr>
        <w:tc>
          <w:tcPr>
            <w:tcW w:w="3066" w:type="dxa"/>
            <w:gridSpan w:val="2"/>
            <w:tcBorders>
              <w:bottom w:val="single" w:sz="4" w:space="0" w:color="auto"/>
            </w:tcBorders>
          </w:tcPr>
          <w:p w:rsidR="00570C28" w:rsidRPr="009A5BE6" w:rsidRDefault="00570C28" w:rsidP="00232AF4">
            <w:pPr>
              <w:keepNext/>
              <w:ind w:left="-108"/>
              <w:rPr>
                <w:rFonts w:ascii="Arial Narrow" w:hAnsi="Arial Narrow"/>
                <w:sz w:val="20"/>
              </w:rPr>
            </w:pPr>
            <w:r w:rsidRPr="009A5BE6">
              <w:rPr>
                <w:rFonts w:ascii="Arial Narrow" w:hAnsi="Arial Narrow"/>
                <w:sz w:val="20"/>
              </w:rPr>
              <w:t>Name, Restriction,</w:t>
            </w:r>
          </w:p>
          <w:p w:rsidR="00570C28" w:rsidRPr="009A5BE6" w:rsidRDefault="00570C28" w:rsidP="00232AF4">
            <w:pPr>
              <w:keepNext/>
              <w:ind w:left="-108"/>
              <w:rPr>
                <w:rFonts w:ascii="Arial Narrow" w:hAnsi="Arial Narrow"/>
                <w:sz w:val="20"/>
              </w:rPr>
            </w:pPr>
            <w:r w:rsidRPr="009A5BE6">
              <w:rPr>
                <w:rFonts w:ascii="Arial Narrow" w:hAnsi="Arial Narrow"/>
                <w:sz w:val="20"/>
              </w:rPr>
              <w:t>Manner of administration and form</w:t>
            </w:r>
          </w:p>
        </w:tc>
        <w:tc>
          <w:tcPr>
            <w:tcW w:w="557" w:type="dxa"/>
            <w:tcBorders>
              <w:bottom w:val="single" w:sz="4" w:space="0" w:color="auto"/>
            </w:tcBorders>
          </w:tcPr>
          <w:p w:rsidR="00570C28" w:rsidRPr="009A5BE6" w:rsidRDefault="00570C28" w:rsidP="00232AF4">
            <w:pPr>
              <w:keepNext/>
              <w:ind w:left="-108"/>
              <w:rPr>
                <w:rFonts w:ascii="Arial Narrow" w:hAnsi="Arial Narrow"/>
                <w:sz w:val="20"/>
              </w:rPr>
            </w:pPr>
            <w:r w:rsidRPr="009A5BE6">
              <w:rPr>
                <w:rFonts w:ascii="Arial Narrow" w:hAnsi="Arial Narrow"/>
                <w:sz w:val="20"/>
              </w:rPr>
              <w:t>Max.</w:t>
            </w:r>
          </w:p>
          <w:p w:rsidR="00570C28" w:rsidRPr="009A5BE6" w:rsidRDefault="00570C28" w:rsidP="00232AF4">
            <w:pPr>
              <w:keepNext/>
              <w:ind w:left="-108"/>
              <w:rPr>
                <w:rFonts w:ascii="Arial Narrow" w:hAnsi="Arial Narrow"/>
                <w:sz w:val="20"/>
              </w:rPr>
            </w:pPr>
            <w:proofErr w:type="spellStart"/>
            <w:r w:rsidRPr="009A5BE6">
              <w:rPr>
                <w:rFonts w:ascii="Arial Narrow" w:hAnsi="Arial Narrow"/>
                <w:sz w:val="20"/>
              </w:rPr>
              <w:t>Qty</w:t>
            </w:r>
            <w:proofErr w:type="spellEnd"/>
          </w:p>
        </w:tc>
        <w:tc>
          <w:tcPr>
            <w:tcW w:w="1055" w:type="dxa"/>
            <w:tcBorders>
              <w:bottom w:val="single" w:sz="4" w:space="0" w:color="auto"/>
            </w:tcBorders>
          </w:tcPr>
          <w:p w:rsidR="00570C28" w:rsidRPr="009A5BE6" w:rsidRDefault="00570C28" w:rsidP="00232AF4">
            <w:pPr>
              <w:keepNext/>
              <w:ind w:left="-108"/>
              <w:rPr>
                <w:rFonts w:ascii="Arial Narrow" w:hAnsi="Arial Narrow"/>
                <w:sz w:val="20"/>
              </w:rPr>
            </w:pPr>
            <w:r w:rsidRPr="009A5BE6">
              <w:rPr>
                <w:rFonts w:ascii="Arial Narrow" w:hAnsi="Arial Narrow"/>
                <w:sz w:val="20"/>
              </w:rPr>
              <w:t>№.of</w:t>
            </w:r>
          </w:p>
          <w:p w:rsidR="00570C28" w:rsidRPr="009A5BE6" w:rsidRDefault="00570C28" w:rsidP="00232AF4">
            <w:pPr>
              <w:keepNext/>
              <w:ind w:left="-108"/>
              <w:rPr>
                <w:rFonts w:ascii="Arial Narrow" w:hAnsi="Arial Narrow"/>
                <w:sz w:val="20"/>
              </w:rPr>
            </w:pPr>
            <w:proofErr w:type="spellStart"/>
            <w:r w:rsidRPr="009A5BE6">
              <w:rPr>
                <w:rFonts w:ascii="Arial Narrow" w:hAnsi="Arial Narrow"/>
                <w:sz w:val="20"/>
              </w:rPr>
              <w:t>Rpts</w:t>
            </w:r>
            <w:proofErr w:type="spellEnd"/>
          </w:p>
        </w:tc>
        <w:tc>
          <w:tcPr>
            <w:tcW w:w="425" w:type="dxa"/>
            <w:tcBorders>
              <w:bottom w:val="single" w:sz="4" w:space="0" w:color="auto"/>
            </w:tcBorders>
          </w:tcPr>
          <w:p w:rsidR="00570C28" w:rsidRPr="009A5BE6" w:rsidRDefault="00570C28" w:rsidP="00232AF4">
            <w:pPr>
              <w:keepNext/>
              <w:ind w:left="-108"/>
              <w:rPr>
                <w:rFonts w:ascii="Arial Narrow" w:hAnsi="Arial Narrow"/>
                <w:sz w:val="20"/>
              </w:rPr>
            </w:pPr>
          </w:p>
        </w:tc>
        <w:tc>
          <w:tcPr>
            <w:tcW w:w="3124" w:type="dxa"/>
            <w:gridSpan w:val="2"/>
            <w:tcBorders>
              <w:bottom w:val="single" w:sz="4" w:space="0" w:color="auto"/>
            </w:tcBorders>
          </w:tcPr>
          <w:p w:rsidR="00570C28" w:rsidRPr="009A5BE6" w:rsidRDefault="00570C28" w:rsidP="00232AF4">
            <w:pPr>
              <w:keepNext/>
              <w:rPr>
                <w:rFonts w:ascii="Arial Narrow" w:hAnsi="Arial Narrow"/>
                <w:sz w:val="20"/>
                <w:lang w:val="fr-FR"/>
              </w:rPr>
            </w:pPr>
            <w:r w:rsidRPr="009A5BE6">
              <w:rPr>
                <w:rFonts w:ascii="Arial Narrow" w:hAnsi="Arial Narrow"/>
                <w:sz w:val="20"/>
              </w:rPr>
              <w:t>Proprietary Name and Manufacturer</w:t>
            </w:r>
          </w:p>
        </w:tc>
      </w:tr>
      <w:tr w:rsidR="00570C28" w:rsidRPr="009A5BE6" w:rsidTr="00C94DED">
        <w:trPr>
          <w:cantSplit/>
          <w:trHeight w:val="577"/>
        </w:trPr>
        <w:tc>
          <w:tcPr>
            <w:tcW w:w="3066" w:type="dxa"/>
            <w:gridSpan w:val="2"/>
          </w:tcPr>
          <w:p w:rsidR="00570C28" w:rsidRPr="009A5BE6" w:rsidRDefault="00570C28" w:rsidP="00232AF4">
            <w:pPr>
              <w:keepNext/>
              <w:ind w:left="-108"/>
              <w:rPr>
                <w:rFonts w:ascii="Arial Narrow" w:hAnsi="Arial Narrow"/>
                <w:sz w:val="20"/>
              </w:rPr>
            </w:pPr>
            <w:proofErr w:type="spellStart"/>
            <w:r w:rsidRPr="009A5BE6">
              <w:rPr>
                <w:rFonts w:ascii="Arial Narrow" w:hAnsi="Arial Narrow"/>
                <w:smallCaps/>
              </w:rPr>
              <w:t>triptorelin</w:t>
            </w:r>
            <w:proofErr w:type="spellEnd"/>
            <w:r w:rsidRPr="009A5BE6">
              <w:rPr>
                <w:rFonts w:ascii="Arial Narrow" w:hAnsi="Arial Narrow"/>
                <w:smallCaps/>
              </w:rPr>
              <w:t xml:space="preserve"> acetate</w:t>
            </w:r>
          </w:p>
          <w:p w:rsidR="00570C28" w:rsidRDefault="00570C28" w:rsidP="00232AF4">
            <w:pPr>
              <w:keepNext/>
              <w:ind w:left="-108"/>
              <w:rPr>
                <w:rFonts w:ascii="Arial Narrow" w:hAnsi="Arial Narrow"/>
                <w:sz w:val="20"/>
              </w:rPr>
            </w:pPr>
            <w:r w:rsidRPr="009A5BE6">
              <w:rPr>
                <w:rFonts w:ascii="Arial Narrow" w:hAnsi="Arial Narrow"/>
                <w:sz w:val="20"/>
              </w:rPr>
              <w:t xml:space="preserve">100 micrograms/1mL injection, </w:t>
            </w:r>
            <w:r w:rsidR="00C0327C">
              <w:rPr>
                <w:rFonts w:ascii="Arial Narrow" w:hAnsi="Arial Narrow"/>
                <w:sz w:val="20"/>
              </w:rPr>
              <w:t>7</w:t>
            </w:r>
            <w:r w:rsidRPr="009A5BE6">
              <w:rPr>
                <w:rFonts w:ascii="Arial Narrow" w:hAnsi="Arial Narrow"/>
                <w:sz w:val="20"/>
              </w:rPr>
              <w:t xml:space="preserve"> x 1mL pre-filled syringes </w:t>
            </w:r>
          </w:p>
          <w:p w:rsidR="00C575D9" w:rsidRPr="009A5BE6" w:rsidRDefault="00C575D9" w:rsidP="00232AF4">
            <w:pPr>
              <w:keepNext/>
              <w:ind w:left="-108"/>
              <w:rPr>
                <w:rFonts w:ascii="Arial Narrow" w:hAnsi="Arial Narrow"/>
                <w:sz w:val="20"/>
              </w:rPr>
            </w:pPr>
          </w:p>
        </w:tc>
        <w:tc>
          <w:tcPr>
            <w:tcW w:w="557" w:type="dxa"/>
          </w:tcPr>
          <w:p w:rsidR="00570C28" w:rsidRPr="009A5BE6" w:rsidRDefault="00570C28" w:rsidP="00232AF4">
            <w:pPr>
              <w:keepNext/>
              <w:ind w:left="-108"/>
              <w:rPr>
                <w:rFonts w:ascii="Arial Narrow" w:hAnsi="Arial Narrow"/>
                <w:sz w:val="20"/>
              </w:rPr>
            </w:pPr>
          </w:p>
          <w:p w:rsidR="00570C28" w:rsidRPr="009A5BE6" w:rsidRDefault="00C0327C" w:rsidP="00232AF4">
            <w:pPr>
              <w:keepNext/>
              <w:ind w:left="-108"/>
              <w:rPr>
                <w:rFonts w:ascii="Arial Narrow" w:hAnsi="Arial Narrow"/>
                <w:sz w:val="20"/>
              </w:rPr>
            </w:pPr>
            <w:r>
              <w:rPr>
                <w:rFonts w:ascii="Arial Narrow" w:hAnsi="Arial Narrow"/>
                <w:sz w:val="20"/>
              </w:rPr>
              <w:t>4</w:t>
            </w:r>
          </w:p>
        </w:tc>
        <w:tc>
          <w:tcPr>
            <w:tcW w:w="1055" w:type="dxa"/>
          </w:tcPr>
          <w:p w:rsidR="00570C28" w:rsidRPr="009A5BE6" w:rsidRDefault="00570C28" w:rsidP="00232AF4">
            <w:pPr>
              <w:keepNext/>
              <w:ind w:left="-108"/>
              <w:rPr>
                <w:rFonts w:ascii="Arial Narrow" w:hAnsi="Arial Narrow"/>
                <w:sz w:val="20"/>
              </w:rPr>
            </w:pPr>
          </w:p>
          <w:p w:rsidR="00570C28" w:rsidRPr="009A5BE6" w:rsidRDefault="00570C28" w:rsidP="00232AF4">
            <w:pPr>
              <w:keepNext/>
              <w:ind w:left="-108"/>
              <w:rPr>
                <w:rFonts w:ascii="Arial Narrow" w:hAnsi="Arial Narrow"/>
                <w:sz w:val="20"/>
              </w:rPr>
            </w:pPr>
            <w:r w:rsidRPr="009A5BE6">
              <w:rPr>
                <w:rFonts w:ascii="Arial Narrow" w:hAnsi="Arial Narrow"/>
                <w:sz w:val="20"/>
              </w:rPr>
              <w:t>0</w:t>
            </w:r>
          </w:p>
        </w:tc>
        <w:tc>
          <w:tcPr>
            <w:tcW w:w="425" w:type="dxa"/>
          </w:tcPr>
          <w:p w:rsidR="00570C28" w:rsidRPr="009A5BE6" w:rsidRDefault="00570C28" w:rsidP="00232AF4">
            <w:pPr>
              <w:keepNext/>
              <w:ind w:left="-108"/>
              <w:rPr>
                <w:rFonts w:ascii="Arial Narrow" w:hAnsi="Arial Narrow"/>
                <w:sz w:val="20"/>
              </w:rPr>
            </w:pPr>
          </w:p>
          <w:p w:rsidR="00570C28" w:rsidRPr="009A5BE6" w:rsidRDefault="00570C28" w:rsidP="00570C28">
            <w:pPr>
              <w:keepNext/>
              <w:ind w:left="-108"/>
              <w:rPr>
                <w:rFonts w:ascii="Arial Narrow" w:hAnsi="Arial Narrow"/>
                <w:sz w:val="20"/>
              </w:rPr>
            </w:pPr>
          </w:p>
        </w:tc>
        <w:tc>
          <w:tcPr>
            <w:tcW w:w="2388" w:type="dxa"/>
          </w:tcPr>
          <w:p w:rsidR="00570C28" w:rsidRPr="009A5BE6" w:rsidRDefault="00570C28" w:rsidP="00232AF4">
            <w:pPr>
              <w:keepNext/>
              <w:rPr>
                <w:rFonts w:ascii="Arial Narrow" w:hAnsi="Arial Narrow"/>
                <w:sz w:val="20"/>
              </w:rPr>
            </w:pPr>
          </w:p>
          <w:p w:rsidR="00570C28" w:rsidRPr="009A5BE6" w:rsidRDefault="00570C28" w:rsidP="00232AF4">
            <w:pPr>
              <w:keepNext/>
              <w:rPr>
                <w:rFonts w:ascii="Arial Narrow" w:hAnsi="Arial Narrow"/>
                <w:sz w:val="20"/>
              </w:rPr>
            </w:pPr>
            <w:proofErr w:type="spellStart"/>
            <w:r w:rsidRPr="009A5BE6">
              <w:rPr>
                <w:rFonts w:ascii="Arial Narrow" w:hAnsi="Arial Narrow"/>
                <w:sz w:val="20"/>
              </w:rPr>
              <w:t>Decapeptyl</w:t>
            </w:r>
            <w:proofErr w:type="spellEnd"/>
          </w:p>
        </w:tc>
        <w:tc>
          <w:tcPr>
            <w:tcW w:w="736" w:type="dxa"/>
          </w:tcPr>
          <w:p w:rsidR="00570C28" w:rsidRPr="009A5BE6" w:rsidRDefault="00570C28" w:rsidP="00232AF4">
            <w:pPr>
              <w:keepNext/>
              <w:rPr>
                <w:rFonts w:ascii="Arial Narrow" w:hAnsi="Arial Narrow"/>
                <w:sz w:val="20"/>
              </w:rPr>
            </w:pPr>
          </w:p>
          <w:p w:rsidR="00570C28" w:rsidRPr="009A5BE6" w:rsidRDefault="00570C28" w:rsidP="00232AF4">
            <w:pPr>
              <w:keepNext/>
              <w:rPr>
                <w:rFonts w:ascii="Arial Narrow" w:hAnsi="Arial Narrow"/>
                <w:sz w:val="20"/>
              </w:rPr>
            </w:pPr>
            <w:proofErr w:type="spellStart"/>
            <w:r w:rsidRPr="009A5BE6">
              <w:rPr>
                <w:rFonts w:ascii="Arial Narrow" w:hAnsi="Arial Narrow"/>
                <w:sz w:val="20"/>
              </w:rPr>
              <w:t>Ferring</w:t>
            </w:r>
            <w:proofErr w:type="spellEnd"/>
          </w:p>
        </w:tc>
      </w:tr>
      <w:tr w:rsidR="00570C28" w:rsidRPr="009A5BE6" w:rsidTr="00570C28">
        <w:trPr>
          <w:cantSplit/>
          <w:trHeight w:val="360"/>
        </w:trPr>
        <w:tc>
          <w:tcPr>
            <w:tcW w:w="2681" w:type="dxa"/>
            <w:tcBorders>
              <w:top w:val="single" w:sz="4" w:space="0" w:color="auto"/>
              <w:left w:val="single" w:sz="4" w:space="0" w:color="auto"/>
              <w:bottom w:val="single" w:sz="4" w:space="0" w:color="auto"/>
              <w:right w:val="single" w:sz="4" w:space="0" w:color="auto"/>
            </w:tcBorders>
          </w:tcPr>
          <w:p w:rsidR="00570C28" w:rsidRPr="009A5BE6" w:rsidRDefault="00570C28" w:rsidP="00232AF4">
            <w:pPr>
              <w:rPr>
                <w:rFonts w:ascii="Arial Narrow" w:hAnsi="Arial Narrow"/>
                <w:b/>
                <w:sz w:val="20"/>
              </w:rPr>
            </w:pPr>
            <w:r w:rsidRPr="009A5BE6">
              <w:rPr>
                <w:rFonts w:ascii="Arial Narrow" w:hAnsi="Arial Narrow"/>
                <w:b/>
                <w:sz w:val="20"/>
              </w:rPr>
              <w:t>Category / Program</w:t>
            </w:r>
          </w:p>
        </w:tc>
        <w:tc>
          <w:tcPr>
            <w:tcW w:w="5546" w:type="dxa"/>
            <w:gridSpan w:val="6"/>
            <w:tcBorders>
              <w:top w:val="single" w:sz="4" w:space="0" w:color="auto"/>
              <w:left w:val="single" w:sz="4" w:space="0" w:color="auto"/>
              <w:bottom w:val="single" w:sz="4" w:space="0" w:color="auto"/>
              <w:right w:val="single" w:sz="4" w:space="0" w:color="auto"/>
            </w:tcBorders>
          </w:tcPr>
          <w:p w:rsidR="00570C28" w:rsidRPr="009A5BE6" w:rsidRDefault="00570C28" w:rsidP="00232AF4">
            <w:pPr>
              <w:rPr>
                <w:rFonts w:ascii="Arial Narrow" w:hAnsi="Arial Narrow"/>
                <w:sz w:val="20"/>
              </w:rPr>
            </w:pPr>
            <w:r w:rsidRPr="009A5BE6">
              <w:rPr>
                <w:rFonts w:ascii="Arial Narrow" w:hAnsi="Arial Narrow"/>
                <w:sz w:val="20"/>
              </w:rPr>
              <w:t>Section 100 – IVF</w:t>
            </w:r>
          </w:p>
          <w:p w:rsidR="00570C28" w:rsidRPr="009A5BE6" w:rsidRDefault="00570C28" w:rsidP="00232AF4">
            <w:pPr>
              <w:rPr>
                <w:rFonts w:ascii="Arial Narrow" w:hAnsi="Arial Narrow"/>
                <w:sz w:val="20"/>
              </w:rPr>
            </w:pPr>
          </w:p>
        </w:tc>
      </w:tr>
      <w:tr w:rsidR="00570C28" w:rsidRPr="009A5BE6" w:rsidTr="00570C28">
        <w:trPr>
          <w:cantSplit/>
          <w:trHeight w:val="360"/>
        </w:trPr>
        <w:tc>
          <w:tcPr>
            <w:tcW w:w="2681" w:type="dxa"/>
            <w:tcBorders>
              <w:top w:val="single" w:sz="4" w:space="0" w:color="auto"/>
              <w:left w:val="single" w:sz="4" w:space="0" w:color="auto"/>
              <w:bottom w:val="single" w:sz="4" w:space="0" w:color="auto"/>
              <w:right w:val="single" w:sz="4" w:space="0" w:color="auto"/>
            </w:tcBorders>
          </w:tcPr>
          <w:p w:rsidR="00570C28" w:rsidRPr="009A5BE6" w:rsidRDefault="00570C28" w:rsidP="00232AF4">
            <w:pPr>
              <w:rPr>
                <w:rFonts w:ascii="Arial Narrow" w:hAnsi="Arial Narrow"/>
                <w:b/>
                <w:sz w:val="20"/>
              </w:rPr>
            </w:pPr>
            <w:r w:rsidRPr="009A5BE6">
              <w:rPr>
                <w:rFonts w:ascii="Arial Narrow" w:hAnsi="Arial Narrow"/>
                <w:b/>
                <w:sz w:val="20"/>
              </w:rPr>
              <w:t>Prescriber type:</w:t>
            </w:r>
          </w:p>
          <w:p w:rsidR="00570C28" w:rsidRPr="009A5BE6" w:rsidRDefault="00570C28" w:rsidP="00232AF4">
            <w:pPr>
              <w:rPr>
                <w:rFonts w:ascii="Arial Narrow" w:hAnsi="Arial Narrow"/>
                <w:sz w:val="20"/>
              </w:rPr>
            </w:pPr>
          </w:p>
        </w:tc>
        <w:tc>
          <w:tcPr>
            <w:tcW w:w="5546" w:type="dxa"/>
            <w:gridSpan w:val="6"/>
            <w:tcBorders>
              <w:top w:val="single" w:sz="4" w:space="0" w:color="auto"/>
              <w:left w:val="single" w:sz="4" w:space="0" w:color="auto"/>
              <w:bottom w:val="single" w:sz="4" w:space="0" w:color="auto"/>
              <w:right w:val="single" w:sz="4" w:space="0" w:color="auto"/>
            </w:tcBorders>
          </w:tcPr>
          <w:p w:rsidR="00570C28" w:rsidRPr="009A5BE6" w:rsidRDefault="00570C28" w:rsidP="00232AF4">
            <w:pPr>
              <w:rPr>
                <w:rFonts w:ascii="Arial Narrow" w:hAnsi="Arial Narrow"/>
                <w:sz w:val="20"/>
              </w:rPr>
            </w:pPr>
            <w:r w:rsidRPr="009A5BE6">
              <w:rPr>
                <w:rFonts w:ascii="Arial Narrow" w:hAnsi="Arial Narrow"/>
                <w:sz w:val="20"/>
              </w:rPr>
              <w:fldChar w:fldCharType="begin">
                <w:ffData>
                  <w:name w:val="Check1"/>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 xml:space="preserve">Dental  </w:t>
            </w:r>
            <w:r w:rsidRPr="009A5BE6">
              <w:rPr>
                <w:rFonts w:ascii="Arial Narrow" w:hAnsi="Arial Narrow"/>
                <w:sz w:val="20"/>
              </w:rPr>
              <w:fldChar w:fldCharType="begin">
                <w:ffData>
                  <w:name w:val=""/>
                  <w:enabled/>
                  <w:calcOnExit w:val="0"/>
                  <w:checkBox>
                    <w:sizeAuto/>
                    <w:default w:val="1"/>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 xml:space="preserve">Medical Practitioners  </w:t>
            </w:r>
            <w:r w:rsidRPr="009A5BE6">
              <w:rPr>
                <w:rFonts w:ascii="Arial Narrow" w:hAnsi="Arial Narrow"/>
                <w:sz w:val="20"/>
              </w:rPr>
              <w:fldChar w:fldCharType="begin">
                <w:ffData>
                  <w:name w:val="Check3"/>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 xml:space="preserve">Nurse practitioners  </w:t>
            </w:r>
            <w:r w:rsidRPr="009A5BE6">
              <w:rPr>
                <w:rFonts w:ascii="Arial Narrow" w:hAnsi="Arial Narrow"/>
                <w:sz w:val="20"/>
              </w:rPr>
              <w:fldChar w:fldCharType="begin">
                <w:ffData>
                  <w:name w:val=""/>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Optometrists</w:t>
            </w:r>
          </w:p>
          <w:p w:rsidR="00570C28" w:rsidRPr="009A5BE6" w:rsidRDefault="00570C28" w:rsidP="00232AF4">
            <w:pPr>
              <w:rPr>
                <w:rFonts w:ascii="Arial Narrow" w:hAnsi="Arial Narrow"/>
                <w:sz w:val="20"/>
              </w:rPr>
            </w:pPr>
            <w:r w:rsidRPr="009A5BE6">
              <w:rPr>
                <w:rFonts w:ascii="Arial Narrow" w:hAnsi="Arial Narrow"/>
                <w:sz w:val="20"/>
              </w:rPr>
              <w:fldChar w:fldCharType="begin">
                <w:ffData>
                  <w:name w:val="Check5"/>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Midwives</w:t>
            </w:r>
          </w:p>
        </w:tc>
      </w:tr>
      <w:tr w:rsidR="00570C28" w:rsidRPr="009A5BE6" w:rsidTr="00570C28">
        <w:trPr>
          <w:cantSplit/>
          <w:trHeight w:val="360"/>
        </w:trPr>
        <w:tc>
          <w:tcPr>
            <w:tcW w:w="2681" w:type="dxa"/>
            <w:tcBorders>
              <w:top w:val="single" w:sz="4" w:space="0" w:color="auto"/>
              <w:left w:val="single" w:sz="4" w:space="0" w:color="auto"/>
              <w:bottom w:val="single" w:sz="4" w:space="0" w:color="auto"/>
              <w:right w:val="single" w:sz="4" w:space="0" w:color="auto"/>
            </w:tcBorders>
          </w:tcPr>
          <w:p w:rsidR="00570C28" w:rsidRPr="009A5BE6" w:rsidRDefault="00570C28" w:rsidP="00232AF4">
            <w:pPr>
              <w:rPr>
                <w:rFonts w:ascii="Arial Narrow" w:hAnsi="Arial Narrow"/>
                <w:b/>
                <w:sz w:val="20"/>
              </w:rPr>
            </w:pPr>
            <w:r w:rsidRPr="009A5BE6">
              <w:rPr>
                <w:rFonts w:ascii="Arial Narrow" w:hAnsi="Arial Narrow"/>
                <w:b/>
                <w:sz w:val="20"/>
              </w:rPr>
              <w:t>PBS Indication:</w:t>
            </w:r>
          </w:p>
        </w:tc>
        <w:tc>
          <w:tcPr>
            <w:tcW w:w="5546" w:type="dxa"/>
            <w:gridSpan w:val="6"/>
            <w:tcBorders>
              <w:top w:val="single" w:sz="4" w:space="0" w:color="auto"/>
              <w:left w:val="single" w:sz="4" w:space="0" w:color="auto"/>
              <w:bottom w:val="single" w:sz="4" w:space="0" w:color="auto"/>
              <w:right w:val="single" w:sz="4" w:space="0" w:color="auto"/>
            </w:tcBorders>
          </w:tcPr>
          <w:p w:rsidR="00570C28" w:rsidRPr="009A5BE6" w:rsidRDefault="00570C28" w:rsidP="00232AF4">
            <w:pPr>
              <w:rPr>
                <w:rFonts w:ascii="Arial Narrow" w:hAnsi="Arial Narrow"/>
                <w:sz w:val="20"/>
              </w:rPr>
            </w:pPr>
            <w:r w:rsidRPr="009A5BE6">
              <w:rPr>
                <w:rFonts w:ascii="Arial Narrow" w:hAnsi="Arial Narrow"/>
                <w:sz w:val="20"/>
              </w:rPr>
              <w:t xml:space="preserve">Assisted Reproductive Technology </w:t>
            </w:r>
          </w:p>
        </w:tc>
      </w:tr>
      <w:tr w:rsidR="00570C28" w:rsidRPr="009A5BE6" w:rsidTr="00570C28">
        <w:trPr>
          <w:cantSplit/>
          <w:trHeight w:val="360"/>
        </w:trPr>
        <w:tc>
          <w:tcPr>
            <w:tcW w:w="2681" w:type="dxa"/>
            <w:tcBorders>
              <w:top w:val="single" w:sz="4" w:space="0" w:color="auto"/>
              <w:left w:val="single" w:sz="4" w:space="0" w:color="auto"/>
              <w:bottom w:val="single" w:sz="4" w:space="0" w:color="auto"/>
              <w:right w:val="single" w:sz="4" w:space="0" w:color="auto"/>
            </w:tcBorders>
          </w:tcPr>
          <w:p w:rsidR="00570C28" w:rsidRPr="009A5BE6" w:rsidRDefault="00570C28" w:rsidP="00232AF4">
            <w:pPr>
              <w:rPr>
                <w:rFonts w:ascii="Arial Narrow" w:hAnsi="Arial Narrow"/>
                <w:b/>
                <w:sz w:val="20"/>
              </w:rPr>
            </w:pPr>
            <w:r w:rsidRPr="009A5BE6">
              <w:rPr>
                <w:rFonts w:ascii="Arial Narrow" w:hAnsi="Arial Narrow"/>
                <w:b/>
                <w:sz w:val="20"/>
              </w:rPr>
              <w:t>Treatment phase:</w:t>
            </w:r>
          </w:p>
          <w:p w:rsidR="00570C28" w:rsidRPr="009A5BE6" w:rsidRDefault="00570C28" w:rsidP="00232AF4">
            <w:pPr>
              <w:rPr>
                <w:rFonts w:ascii="Arial Narrow" w:hAnsi="Arial Narrow"/>
                <w:i/>
                <w:sz w:val="20"/>
              </w:rPr>
            </w:pPr>
          </w:p>
        </w:tc>
        <w:tc>
          <w:tcPr>
            <w:tcW w:w="5546" w:type="dxa"/>
            <w:gridSpan w:val="6"/>
            <w:tcBorders>
              <w:top w:val="single" w:sz="4" w:space="0" w:color="auto"/>
              <w:left w:val="single" w:sz="4" w:space="0" w:color="auto"/>
              <w:bottom w:val="single" w:sz="4" w:space="0" w:color="auto"/>
              <w:right w:val="single" w:sz="4" w:space="0" w:color="auto"/>
            </w:tcBorders>
          </w:tcPr>
          <w:p w:rsidR="00570C28" w:rsidRPr="009A5BE6" w:rsidRDefault="00570C28" w:rsidP="00232AF4">
            <w:pPr>
              <w:rPr>
                <w:rFonts w:ascii="Arial Narrow" w:hAnsi="Arial Narrow"/>
                <w:sz w:val="20"/>
              </w:rPr>
            </w:pPr>
            <w:r w:rsidRPr="009A5BE6">
              <w:rPr>
                <w:rFonts w:ascii="Arial Narrow" w:hAnsi="Arial Narrow"/>
                <w:sz w:val="20"/>
              </w:rPr>
              <w:t>-</w:t>
            </w:r>
          </w:p>
        </w:tc>
      </w:tr>
      <w:tr w:rsidR="00570C28" w:rsidRPr="009A5BE6" w:rsidTr="00570C28">
        <w:trPr>
          <w:cantSplit/>
          <w:trHeight w:val="360"/>
        </w:trPr>
        <w:tc>
          <w:tcPr>
            <w:tcW w:w="2681" w:type="dxa"/>
            <w:tcBorders>
              <w:top w:val="single" w:sz="4" w:space="0" w:color="auto"/>
              <w:left w:val="single" w:sz="4" w:space="0" w:color="auto"/>
              <w:bottom w:val="single" w:sz="4" w:space="0" w:color="auto"/>
              <w:right w:val="single" w:sz="4" w:space="0" w:color="auto"/>
            </w:tcBorders>
          </w:tcPr>
          <w:p w:rsidR="00570C28" w:rsidRPr="009A5BE6" w:rsidRDefault="00570C28" w:rsidP="00232AF4">
            <w:pPr>
              <w:rPr>
                <w:rFonts w:ascii="Arial Narrow" w:hAnsi="Arial Narrow"/>
                <w:b/>
                <w:sz w:val="20"/>
              </w:rPr>
            </w:pPr>
            <w:r w:rsidRPr="009A5BE6">
              <w:rPr>
                <w:rFonts w:ascii="Arial Narrow" w:hAnsi="Arial Narrow"/>
                <w:b/>
                <w:sz w:val="20"/>
              </w:rPr>
              <w:t>Restriction Level / Method:</w:t>
            </w:r>
          </w:p>
          <w:p w:rsidR="00570C28" w:rsidRPr="009A5BE6" w:rsidRDefault="00570C28" w:rsidP="00232AF4">
            <w:pPr>
              <w:rPr>
                <w:rFonts w:ascii="Arial Narrow" w:hAnsi="Arial Narrow"/>
                <w:i/>
                <w:sz w:val="20"/>
                <w:highlight w:val="yellow"/>
              </w:rPr>
            </w:pPr>
          </w:p>
          <w:p w:rsidR="00570C28" w:rsidRPr="009A5BE6" w:rsidRDefault="00570C28" w:rsidP="00232AF4">
            <w:pPr>
              <w:rPr>
                <w:rFonts w:ascii="Arial Narrow" w:hAnsi="Arial Narrow"/>
                <w:i/>
                <w:sz w:val="20"/>
              </w:rPr>
            </w:pPr>
          </w:p>
        </w:tc>
        <w:tc>
          <w:tcPr>
            <w:tcW w:w="5546" w:type="dxa"/>
            <w:gridSpan w:val="6"/>
            <w:tcBorders>
              <w:top w:val="single" w:sz="4" w:space="0" w:color="auto"/>
              <w:left w:val="single" w:sz="4" w:space="0" w:color="auto"/>
              <w:bottom w:val="single" w:sz="4" w:space="0" w:color="auto"/>
              <w:right w:val="single" w:sz="4" w:space="0" w:color="auto"/>
            </w:tcBorders>
          </w:tcPr>
          <w:p w:rsidR="00570C28" w:rsidRPr="009A5BE6" w:rsidRDefault="00570C28" w:rsidP="00232AF4">
            <w:pPr>
              <w:rPr>
                <w:rFonts w:ascii="Arial Narrow" w:hAnsi="Arial Narrow"/>
                <w:sz w:val="20"/>
              </w:rPr>
            </w:pPr>
            <w:r w:rsidRPr="009A5BE6">
              <w:rPr>
                <w:rFonts w:ascii="Arial Narrow" w:hAnsi="Arial Narrow"/>
                <w:sz w:val="20"/>
              </w:rPr>
              <w:fldChar w:fldCharType="begin">
                <w:ffData>
                  <w:name w:val="Check1"/>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Restricted benefit</w:t>
            </w:r>
          </w:p>
          <w:p w:rsidR="00570C28" w:rsidRPr="009A5BE6" w:rsidRDefault="00570C28" w:rsidP="00232AF4">
            <w:pPr>
              <w:rPr>
                <w:rFonts w:ascii="Arial Narrow" w:hAnsi="Arial Narrow"/>
                <w:sz w:val="20"/>
              </w:rPr>
            </w:pPr>
            <w:r w:rsidRPr="009A5BE6">
              <w:rPr>
                <w:rFonts w:ascii="Arial Narrow" w:hAnsi="Arial Narrow"/>
                <w:sz w:val="20"/>
              </w:rPr>
              <w:fldChar w:fldCharType="begin">
                <w:ffData>
                  <w:name w:val="Check1"/>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Authority Required - In Writing</w:t>
            </w:r>
          </w:p>
          <w:p w:rsidR="00570C28" w:rsidRPr="009A5BE6" w:rsidRDefault="00570C28" w:rsidP="00232AF4">
            <w:pPr>
              <w:rPr>
                <w:rFonts w:ascii="Arial Narrow" w:hAnsi="Arial Narrow"/>
                <w:sz w:val="20"/>
              </w:rPr>
            </w:pPr>
            <w:r w:rsidRPr="009A5BE6">
              <w:rPr>
                <w:rFonts w:ascii="Arial Narrow" w:hAnsi="Arial Narrow"/>
                <w:sz w:val="20"/>
              </w:rPr>
              <w:fldChar w:fldCharType="begin">
                <w:ffData>
                  <w:name w:val="Check3"/>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Authority Required - Telephone</w:t>
            </w:r>
          </w:p>
          <w:p w:rsidR="00570C28" w:rsidRPr="009A5BE6" w:rsidRDefault="00570C28" w:rsidP="00232AF4">
            <w:pPr>
              <w:rPr>
                <w:rFonts w:ascii="Arial Narrow" w:hAnsi="Arial Narrow"/>
                <w:sz w:val="20"/>
              </w:rPr>
            </w:pPr>
            <w:r w:rsidRPr="009A5BE6">
              <w:rPr>
                <w:rFonts w:ascii="Arial Narrow" w:hAnsi="Arial Narrow"/>
                <w:sz w:val="20"/>
              </w:rPr>
              <w:fldChar w:fldCharType="begin">
                <w:ffData>
                  <w:name w:val=""/>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Authority Required – Emergency</w:t>
            </w:r>
          </w:p>
          <w:p w:rsidR="00570C28" w:rsidRPr="009A5BE6" w:rsidRDefault="00570C28" w:rsidP="00232AF4">
            <w:pPr>
              <w:rPr>
                <w:rFonts w:ascii="Arial Narrow" w:hAnsi="Arial Narrow"/>
                <w:sz w:val="20"/>
              </w:rPr>
            </w:pPr>
            <w:r w:rsidRPr="009A5BE6">
              <w:rPr>
                <w:rFonts w:ascii="Arial Narrow" w:hAnsi="Arial Narrow"/>
                <w:sz w:val="20"/>
              </w:rPr>
              <w:fldChar w:fldCharType="begin">
                <w:ffData>
                  <w:name w:val="Check5"/>
                  <w:enabled/>
                  <w:calcOnExit w:val="0"/>
                  <w:checkBox>
                    <w:sizeAuto/>
                    <w:default w:val="0"/>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Authority Required - Electronic</w:t>
            </w:r>
          </w:p>
          <w:p w:rsidR="00570C28" w:rsidRPr="009A5BE6" w:rsidRDefault="00570C28" w:rsidP="00232AF4">
            <w:pPr>
              <w:rPr>
                <w:rFonts w:ascii="Arial Narrow" w:hAnsi="Arial Narrow"/>
                <w:sz w:val="20"/>
              </w:rPr>
            </w:pPr>
            <w:r w:rsidRPr="009A5BE6">
              <w:rPr>
                <w:rFonts w:ascii="Arial Narrow" w:hAnsi="Arial Narrow"/>
                <w:sz w:val="20"/>
              </w:rPr>
              <w:fldChar w:fldCharType="begin">
                <w:ffData>
                  <w:name w:val="Check5"/>
                  <w:enabled/>
                  <w:calcOnExit w:val="0"/>
                  <w:checkBox>
                    <w:sizeAuto/>
                    <w:default w:val="1"/>
                  </w:checkBox>
                </w:ffData>
              </w:fldChar>
            </w:r>
            <w:r w:rsidRPr="009A5BE6">
              <w:rPr>
                <w:rFonts w:ascii="Arial Narrow" w:hAnsi="Arial Narrow"/>
                <w:sz w:val="20"/>
              </w:rPr>
              <w:instrText xml:space="preserve"> FORMCHECKBOX </w:instrText>
            </w:r>
            <w:r w:rsidR="00D70BC6">
              <w:rPr>
                <w:rFonts w:ascii="Arial Narrow" w:hAnsi="Arial Narrow"/>
                <w:sz w:val="20"/>
              </w:rPr>
            </w:r>
            <w:r w:rsidR="00D70BC6">
              <w:rPr>
                <w:rFonts w:ascii="Arial Narrow" w:hAnsi="Arial Narrow"/>
                <w:sz w:val="20"/>
              </w:rPr>
              <w:fldChar w:fldCharType="separate"/>
            </w:r>
            <w:r w:rsidRPr="009A5BE6">
              <w:rPr>
                <w:rFonts w:ascii="Arial Narrow" w:hAnsi="Arial Narrow"/>
                <w:sz w:val="20"/>
              </w:rPr>
              <w:fldChar w:fldCharType="end"/>
            </w:r>
            <w:r w:rsidRPr="009A5BE6">
              <w:rPr>
                <w:rFonts w:ascii="Arial Narrow" w:hAnsi="Arial Narrow"/>
                <w:sz w:val="20"/>
              </w:rPr>
              <w:t>Streamlined</w:t>
            </w:r>
          </w:p>
        </w:tc>
      </w:tr>
      <w:tr w:rsidR="00570C28" w:rsidRPr="009A5BE6" w:rsidTr="00570C28">
        <w:trPr>
          <w:cantSplit/>
          <w:trHeight w:val="360"/>
        </w:trPr>
        <w:tc>
          <w:tcPr>
            <w:tcW w:w="2681" w:type="dxa"/>
            <w:tcBorders>
              <w:top w:val="single" w:sz="4" w:space="0" w:color="auto"/>
              <w:left w:val="single" w:sz="4" w:space="0" w:color="auto"/>
              <w:bottom w:val="single" w:sz="4" w:space="0" w:color="auto"/>
              <w:right w:val="single" w:sz="4" w:space="0" w:color="auto"/>
            </w:tcBorders>
          </w:tcPr>
          <w:p w:rsidR="00570C28" w:rsidRPr="009A5BE6" w:rsidRDefault="00570C28" w:rsidP="00232AF4">
            <w:pPr>
              <w:rPr>
                <w:rFonts w:ascii="Arial Narrow" w:hAnsi="Arial Narrow"/>
                <w:b/>
                <w:sz w:val="20"/>
              </w:rPr>
            </w:pPr>
            <w:r w:rsidRPr="009A5BE6">
              <w:rPr>
                <w:rFonts w:ascii="Arial Narrow" w:hAnsi="Arial Narrow"/>
                <w:b/>
                <w:sz w:val="20"/>
              </w:rPr>
              <w:lastRenderedPageBreak/>
              <w:t>Clinical criteria:</w:t>
            </w:r>
          </w:p>
          <w:p w:rsidR="00570C28" w:rsidRPr="009A5BE6" w:rsidRDefault="00570C28" w:rsidP="00232AF4">
            <w:pPr>
              <w:rPr>
                <w:rFonts w:ascii="Arial Narrow" w:hAnsi="Arial Narrow"/>
                <w:i/>
                <w:sz w:val="20"/>
              </w:rPr>
            </w:pPr>
          </w:p>
          <w:p w:rsidR="00570C28" w:rsidRPr="009A5BE6" w:rsidRDefault="00570C28" w:rsidP="00232AF4">
            <w:pPr>
              <w:rPr>
                <w:rFonts w:ascii="Arial Narrow" w:hAnsi="Arial Narrow"/>
                <w:sz w:val="20"/>
              </w:rPr>
            </w:pPr>
          </w:p>
        </w:tc>
        <w:tc>
          <w:tcPr>
            <w:tcW w:w="5546" w:type="dxa"/>
            <w:gridSpan w:val="6"/>
            <w:tcBorders>
              <w:top w:val="single" w:sz="4" w:space="0" w:color="auto"/>
              <w:left w:val="single" w:sz="4" w:space="0" w:color="auto"/>
              <w:bottom w:val="single" w:sz="4" w:space="0" w:color="auto"/>
              <w:right w:val="single" w:sz="4" w:space="0" w:color="auto"/>
            </w:tcBorders>
          </w:tcPr>
          <w:p w:rsidR="00570C28" w:rsidRPr="009A5BE6" w:rsidRDefault="00570C28" w:rsidP="00232AF4">
            <w:pPr>
              <w:rPr>
                <w:rFonts w:ascii="Arial Narrow" w:hAnsi="Arial Narrow"/>
                <w:sz w:val="20"/>
              </w:rPr>
            </w:pPr>
            <w:r w:rsidRPr="009A5BE6">
              <w:rPr>
                <w:rFonts w:ascii="Arial Narrow" w:hAnsi="Arial Narrow"/>
                <w:sz w:val="20"/>
              </w:rPr>
              <w:t>The treatment must be for prevention of premature luteinisation and ovulation,</w:t>
            </w:r>
          </w:p>
          <w:p w:rsidR="00570C28" w:rsidRPr="009A5BE6" w:rsidRDefault="00570C28" w:rsidP="00232AF4">
            <w:pPr>
              <w:rPr>
                <w:rFonts w:ascii="Arial Narrow" w:hAnsi="Arial Narrow"/>
                <w:sz w:val="20"/>
              </w:rPr>
            </w:pPr>
          </w:p>
          <w:p w:rsidR="00570C28" w:rsidRPr="009A5BE6" w:rsidRDefault="00570C28" w:rsidP="00232AF4">
            <w:pPr>
              <w:rPr>
                <w:rFonts w:ascii="Arial Narrow" w:hAnsi="Arial Narrow"/>
                <w:sz w:val="20"/>
              </w:rPr>
            </w:pPr>
            <w:r w:rsidRPr="009A5BE6">
              <w:rPr>
                <w:rFonts w:ascii="Arial Narrow" w:hAnsi="Arial Narrow"/>
                <w:sz w:val="20"/>
              </w:rPr>
              <w:t>AND</w:t>
            </w:r>
          </w:p>
          <w:p w:rsidR="00570C28" w:rsidRPr="009A5BE6" w:rsidRDefault="00570C28" w:rsidP="00232AF4">
            <w:pPr>
              <w:rPr>
                <w:rFonts w:ascii="Arial Narrow" w:hAnsi="Arial Narrow"/>
                <w:sz w:val="20"/>
              </w:rPr>
            </w:pPr>
          </w:p>
          <w:p w:rsidR="00570C28" w:rsidRPr="009A5BE6" w:rsidRDefault="00570C28" w:rsidP="00232AF4">
            <w:pPr>
              <w:rPr>
                <w:rFonts w:ascii="Arial Narrow" w:hAnsi="Arial Narrow"/>
                <w:sz w:val="20"/>
              </w:rPr>
            </w:pPr>
            <w:r w:rsidRPr="009A5BE6">
              <w:rPr>
                <w:rFonts w:ascii="Arial Narrow" w:hAnsi="Arial Narrow"/>
                <w:sz w:val="20"/>
              </w:rPr>
              <w:t>Patient must be undergoing controlled ovarian stimulation,</w:t>
            </w:r>
          </w:p>
          <w:p w:rsidR="00570C28" w:rsidRPr="009A5BE6" w:rsidRDefault="00570C28" w:rsidP="00232AF4">
            <w:pPr>
              <w:rPr>
                <w:rFonts w:ascii="Arial Narrow" w:hAnsi="Arial Narrow"/>
                <w:sz w:val="20"/>
              </w:rPr>
            </w:pPr>
          </w:p>
          <w:p w:rsidR="00570C28" w:rsidRPr="009A5BE6" w:rsidRDefault="00570C28" w:rsidP="00232AF4">
            <w:pPr>
              <w:rPr>
                <w:rFonts w:ascii="Arial Narrow" w:hAnsi="Arial Narrow"/>
                <w:sz w:val="20"/>
              </w:rPr>
            </w:pPr>
            <w:r w:rsidRPr="009A5BE6">
              <w:rPr>
                <w:rFonts w:ascii="Arial Narrow" w:hAnsi="Arial Narrow"/>
                <w:sz w:val="20"/>
              </w:rPr>
              <w:t>AND</w:t>
            </w:r>
          </w:p>
          <w:p w:rsidR="00570C28" w:rsidRPr="009A5BE6" w:rsidRDefault="00570C28" w:rsidP="00232AF4">
            <w:pPr>
              <w:rPr>
                <w:rFonts w:ascii="Arial Narrow" w:hAnsi="Arial Narrow"/>
                <w:sz w:val="20"/>
              </w:rPr>
            </w:pPr>
          </w:p>
          <w:p w:rsidR="00570C28" w:rsidRPr="009A5BE6" w:rsidRDefault="00570C28" w:rsidP="00232AF4">
            <w:pPr>
              <w:rPr>
                <w:rFonts w:ascii="Arial Narrow" w:hAnsi="Arial Narrow"/>
                <w:sz w:val="20"/>
              </w:rPr>
            </w:pPr>
            <w:r w:rsidRPr="009A5BE6">
              <w:rPr>
                <w:rFonts w:ascii="Arial Narrow" w:hAnsi="Arial Narrow"/>
                <w:sz w:val="20"/>
              </w:rPr>
              <w:t>Patient must be receiving medical services as described in items 13200, 13201, 13202 or 13203 of the Medicare Benefits Schedule.</w:t>
            </w:r>
          </w:p>
        </w:tc>
      </w:tr>
    </w:tbl>
    <w:p w:rsidR="00C575D9" w:rsidRDefault="00C575D9" w:rsidP="0032363F">
      <w:pPr>
        <w:pStyle w:val="ListParagraph"/>
        <w:ind w:left="360"/>
        <w:rPr>
          <w:rFonts w:ascii="Calibri" w:hAnsi="Calibri" w:cs="Calibri"/>
        </w:rPr>
      </w:pPr>
    </w:p>
    <w:p w:rsidR="000403D8" w:rsidRDefault="000403D8" w:rsidP="00402946">
      <w:pPr>
        <w:pStyle w:val="Heading1"/>
      </w:pPr>
      <w:r w:rsidRPr="00402946">
        <w:t>Context for Decision</w:t>
      </w:r>
    </w:p>
    <w:p w:rsidR="000930DA" w:rsidRPr="000930DA" w:rsidRDefault="000930DA" w:rsidP="000930DA"/>
    <w:p w:rsidR="000403D8" w:rsidRDefault="000403D8" w:rsidP="000403D8">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403D8" w:rsidRPr="004304F6" w:rsidRDefault="000403D8" w:rsidP="000403D8">
      <w:pPr>
        <w:ind w:left="720"/>
      </w:pPr>
    </w:p>
    <w:p w:rsidR="000403D8" w:rsidRPr="004304F6" w:rsidRDefault="000403D8" w:rsidP="000403D8">
      <w:pPr>
        <w:pStyle w:val="Heading1"/>
        <w:spacing w:after="240"/>
        <w:contextualSpacing/>
        <w:jc w:val="both"/>
      </w:pPr>
      <w:r w:rsidRPr="004304F6">
        <w:t>Sponsor’s Comment</w:t>
      </w:r>
    </w:p>
    <w:p w:rsidR="00B854A5" w:rsidRPr="00B854A5" w:rsidRDefault="00B854A5" w:rsidP="00B854A5">
      <w:pPr>
        <w:pStyle w:val="PBACHeading1"/>
        <w:numPr>
          <w:ilvl w:val="0"/>
          <w:numId w:val="0"/>
        </w:numPr>
        <w:ind w:left="720"/>
        <w:rPr>
          <w:b w:val="0"/>
          <w:szCs w:val="20"/>
        </w:rPr>
      </w:pPr>
      <w:proofErr w:type="spellStart"/>
      <w:r w:rsidRPr="00B854A5">
        <w:rPr>
          <w:b w:val="0"/>
          <w:szCs w:val="20"/>
        </w:rPr>
        <w:t>Ferring</w:t>
      </w:r>
      <w:proofErr w:type="spellEnd"/>
      <w:r w:rsidRPr="00B854A5">
        <w:rPr>
          <w:b w:val="0"/>
          <w:szCs w:val="20"/>
        </w:rPr>
        <w:t xml:space="preserve"> welcomes the PBAC decision to recommend listing of DECAPEPTYL for use in ART under Section 100 (IVF Program).</w:t>
      </w:r>
    </w:p>
    <w:p w:rsidR="0032363F" w:rsidRDefault="0032363F" w:rsidP="00D70BC6">
      <w:pPr>
        <w:pStyle w:val="PBACHeading1"/>
        <w:numPr>
          <w:ilvl w:val="0"/>
          <w:numId w:val="0"/>
        </w:numPr>
        <w:ind w:left="720"/>
      </w:pPr>
    </w:p>
    <w:p w:rsidR="00D70BC6" w:rsidRDefault="00D70BC6" w:rsidP="00D70BC6">
      <w:pPr>
        <w:pStyle w:val="PBACHeading1"/>
        <w:numPr>
          <w:ilvl w:val="0"/>
          <w:numId w:val="0"/>
        </w:numPr>
        <w:ind w:left="720"/>
      </w:pPr>
      <w:bookmarkStart w:id="31" w:name="_GoBack"/>
      <w:bookmarkEnd w:id="31"/>
    </w:p>
    <w:sectPr w:rsidR="00D70BC6" w:rsidSect="00CF5828">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312" w:rsidRDefault="00183312" w:rsidP="00124A51">
      <w:r>
        <w:separator/>
      </w:r>
    </w:p>
  </w:endnote>
  <w:endnote w:type="continuationSeparator" w:id="0">
    <w:p w:rsidR="00183312" w:rsidRDefault="0018331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895085"/>
      <w:docPartObj>
        <w:docPartGallery w:val="Page Numbers (Bottom of Page)"/>
        <w:docPartUnique/>
      </w:docPartObj>
    </w:sdtPr>
    <w:sdtEndPr>
      <w:rPr>
        <w:noProof/>
        <w:sz w:val="20"/>
      </w:rPr>
    </w:sdtEndPr>
    <w:sdtContent>
      <w:p w:rsidR="00A71A60" w:rsidRPr="00185268" w:rsidRDefault="00A71A60" w:rsidP="0030596F">
        <w:pPr>
          <w:pStyle w:val="Footer"/>
          <w:jc w:val="center"/>
          <w:rPr>
            <w:sz w:val="20"/>
          </w:rPr>
        </w:pPr>
        <w:r w:rsidRPr="00185268">
          <w:rPr>
            <w:sz w:val="20"/>
          </w:rPr>
          <w:fldChar w:fldCharType="begin"/>
        </w:r>
        <w:r w:rsidRPr="00185268">
          <w:rPr>
            <w:sz w:val="20"/>
          </w:rPr>
          <w:instrText xml:space="preserve"> PAGE   \* MERGEFORMAT </w:instrText>
        </w:r>
        <w:r w:rsidRPr="00185268">
          <w:rPr>
            <w:sz w:val="20"/>
          </w:rPr>
          <w:fldChar w:fldCharType="separate"/>
        </w:r>
        <w:r w:rsidR="00D70BC6">
          <w:rPr>
            <w:noProof/>
            <w:sz w:val="20"/>
          </w:rPr>
          <w:t>11</w:t>
        </w:r>
        <w:r w:rsidRPr="00185268">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312" w:rsidRDefault="00183312" w:rsidP="00124A51">
      <w:r>
        <w:separator/>
      </w:r>
    </w:p>
  </w:footnote>
  <w:footnote w:type="continuationSeparator" w:id="0">
    <w:p w:rsidR="00183312" w:rsidRDefault="00183312"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A60" w:rsidRDefault="00A71A60" w:rsidP="00A71A60">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Meeting</w:t>
    </w:r>
  </w:p>
  <w:p w:rsidR="00A71A60" w:rsidRPr="0030596F" w:rsidRDefault="00A71A60" w:rsidP="0030596F">
    <w:pPr>
      <w:pStyle w:val="Header"/>
      <w:ind w:left="360"/>
      <w:jc w:val="center"/>
      <w:rPr>
        <w:i/>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04F98"/>
    <w:multiLevelType w:val="multilevel"/>
    <w:tmpl w:val="6610E1EC"/>
    <w:lvl w:ilvl="0">
      <w:start w:val="8"/>
      <w:numFmt w:val="decimal"/>
      <w:lvlText w:val="%1"/>
      <w:lvlJc w:val="left"/>
      <w:pPr>
        <w:ind w:left="720" w:hanging="720"/>
      </w:pPr>
      <w:rPr>
        <w:rFonts w:hint="default"/>
        <w:b/>
      </w:rPr>
    </w:lvl>
    <w:lvl w:ilvl="1">
      <w:start w:val="1"/>
      <w:numFmt w:val="decimal"/>
      <w:lvlRestart w:val="0"/>
      <w:lvlText w:val="8.%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784D033C"/>
    <w:multiLevelType w:val="multilevel"/>
    <w:tmpl w:val="0EC86ED4"/>
    <w:lvl w:ilvl="0">
      <w:start w:val="1"/>
      <w:numFmt w:val="decimal"/>
      <w:pStyle w:val="PBACHeading1"/>
      <w:lvlText w:val="%1"/>
      <w:lvlJc w:val="left"/>
      <w:pPr>
        <w:ind w:left="720" w:hanging="720"/>
      </w:pPr>
      <w:rPr>
        <w:rFonts w:ascii="Arial" w:hAnsi="Arial" w:cs="Arial" w:hint="default"/>
        <w:b/>
        <w:i w:val="0"/>
        <w:sz w:val="22"/>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34D"/>
    <w:rsid w:val="00000790"/>
    <w:rsid w:val="0000080A"/>
    <w:rsid w:val="0000110B"/>
    <w:rsid w:val="0000159F"/>
    <w:rsid w:val="00001BD8"/>
    <w:rsid w:val="00001CE0"/>
    <w:rsid w:val="00002BDA"/>
    <w:rsid w:val="00002FEA"/>
    <w:rsid w:val="00003499"/>
    <w:rsid w:val="00003584"/>
    <w:rsid w:val="000035EA"/>
    <w:rsid w:val="000037E6"/>
    <w:rsid w:val="00003EFD"/>
    <w:rsid w:val="00004AE4"/>
    <w:rsid w:val="000058A1"/>
    <w:rsid w:val="000066B8"/>
    <w:rsid w:val="00006C2A"/>
    <w:rsid w:val="00006F4C"/>
    <w:rsid w:val="0000704B"/>
    <w:rsid w:val="000071B2"/>
    <w:rsid w:val="0000779D"/>
    <w:rsid w:val="00010A57"/>
    <w:rsid w:val="00011914"/>
    <w:rsid w:val="00011E5E"/>
    <w:rsid w:val="0001280C"/>
    <w:rsid w:val="00012EDD"/>
    <w:rsid w:val="00013247"/>
    <w:rsid w:val="00013B0D"/>
    <w:rsid w:val="00013E55"/>
    <w:rsid w:val="00014BE7"/>
    <w:rsid w:val="00015463"/>
    <w:rsid w:val="00015886"/>
    <w:rsid w:val="00015D47"/>
    <w:rsid w:val="000162EF"/>
    <w:rsid w:val="00016782"/>
    <w:rsid w:val="00016C5D"/>
    <w:rsid w:val="0001751C"/>
    <w:rsid w:val="000203C5"/>
    <w:rsid w:val="00020D4D"/>
    <w:rsid w:val="0002179C"/>
    <w:rsid w:val="000219A8"/>
    <w:rsid w:val="00022174"/>
    <w:rsid w:val="0002225F"/>
    <w:rsid w:val="00022AC2"/>
    <w:rsid w:val="00022D86"/>
    <w:rsid w:val="00023268"/>
    <w:rsid w:val="00023763"/>
    <w:rsid w:val="00023C93"/>
    <w:rsid w:val="00024003"/>
    <w:rsid w:val="00024E34"/>
    <w:rsid w:val="00024FFB"/>
    <w:rsid w:val="00025CE9"/>
    <w:rsid w:val="00025F72"/>
    <w:rsid w:val="0002696F"/>
    <w:rsid w:val="00027EBB"/>
    <w:rsid w:val="00027F6A"/>
    <w:rsid w:val="00031CC6"/>
    <w:rsid w:val="000330D5"/>
    <w:rsid w:val="00035370"/>
    <w:rsid w:val="000354CC"/>
    <w:rsid w:val="00036ECF"/>
    <w:rsid w:val="00037350"/>
    <w:rsid w:val="00040113"/>
    <w:rsid w:val="000403D8"/>
    <w:rsid w:val="00040895"/>
    <w:rsid w:val="00042427"/>
    <w:rsid w:val="0004266F"/>
    <w:rsid w:val="0004293C"/>
    <w:rsid w:val="00043058"/>
    <w:rsid w:val="00043C37"/>
    <w:rsid w:val="00043C7C"/>
    <w:rsid w:val="00043EDB"/>
    <w:rsid w:val="00045EC4"/>
    <w:rsid w:val="000460B7"/>
    <w:rsid w:val="00046A24"/>
    <w:rsid w:val="00046A2E"/>
    <w:rsid w:val="00046EDE"/>
    <w:rsid w:val="00047398"/>
    <w:rsid w:val="0005011D"/>
    <w:rsid w:val="00051AF5"/>
    <w:rsid w:val="00052013"/>
    <w:rsid w:val="00052518"/>
    <w:rsid w:val="00054635"/>
    <w:rsid w:val="000546D7"/>
    <w:rsid w:val="0005568C"/>
    <w:rsid w:val="0005768C"/>
    <w:rsid w:val="000576DD"/>
    <w:rsid w:val="000576FD"/>
    <w:rsid w:val="000579C9"/>
    <w:rsid w:val="00057C9B"/>
    <w:rsid w:val="0006029E"/>
    <w:rsid w:val="000606D1"/>
    <w:rsid w:val="000615C8"/>
    <w:rsid w:val="00061E52"/>
    <w:rsid w:val="00062CEE"/>
    <w:rsid w:val="00062D7B"/>
    <w:rsid w:val="000658FE"/>
    <w:rsid w:val="00066836"/>
    <w:rsid w:val="00066D63"/>
    <w:rsid w:val="000674E2"/>
    <w:rsid w:val="000708C3"/>
    <w:rsid w:val="00071248"/>
    <w:rsid w:val="000720B9"/>
    <w:rsid w:val="00073228"/>
    <w:rsid w:val="000735DD"/>
    <w:rsid w:val="0007360D"/>
    <w:rsid w:val="00073C8D"/>
    <w:rsid w:val="0007514E"/>
    <w:rsid w:val="00075397"/>
    <w:rsid w:val="00076235"/>
    <w:rsid w:val="00076CFF"/>
    <w:rsid w:val="00076FF0"/>
    <w:rsid w:val="00077034"/>
    <w:rsid w:val="00077461"/>
    <w:rsid w:val="00077BA5"/>
    <w:rsid w:val="000804F1"/>
    <w:rsid w:val="00080BB2"/>
    <w:rsid w:val="000812CA"/>
    <w:rsid w:val="00081877"/>
    <w:rsid w:val="00081C1A"/>
    <w:rsid w:val="000828B8"/>
    <w:rsid w:val="00082EB2"/>
    <w:rsid w:val="00083539"/>
    <w:rsid w:val="000849A7"/>
    <w:rsid w:val="00084C2C"/>
    <w:rsid w:val="00085043"/>
    <w:rsid w:val="0008569B"/>
    <w:rsid w:val="000860D7"/>
    <w:rsid w:val="00086CA1"/>
    <w:rsid w:val="000873F1"/>
    <w:rsid w:val="00087967"/>
    <w:rsid w:val="000900C5"/>
    <w:rsid w:val="000904E3"/>
    <w:rsid w:val="000906A8"/>
    <w:rsid w:val="00090C7E"/>
    <w:rsid w:val="000915A3"/>
    <w:rsid w:val="000917AD"/>
    <w:rsid w:val="00091CED"/>
    <w:rsid w:val="000930DA"/>
    <w:rsid w:val="000933AA"/>
    <w:rsid w:val="00094BC1"/>
    <w:rsid w:val="00094D0F"/>
    <w:rsid w:val="00094FBC"/>
    <w:rsid w:val="000950C7"/>
    <w:rsid w:val="000952FB"/>
    <w:rsid w:val="00095C93"/>
    <w:rsid w:val="00095D43"/>
    <w:rsid w:val="00096389"/>
    <w:rsid w:val="000965A2"/>
    <w:rsid w:val="00096948"/>
    <w:rsid w:val="000971BE"/>
    <w:rsid w:val="000975C9"/>
    <w:rsid w:val="00097E64"/>
    <w:rsid w:val="000A0440"/>
    <w:rsid w:val="000A0441"/>
    <w:rsid w:val="000A05DF"/>
    <w:rsid w:val="000A08AB"/>
    <w:rsid w:val="000A0924"/>
    <w:rsid w:val="000A0DD8"/>
    <w:rsid w:val="000A13DD"/>
    <w:rsid w:val="000A1990"/>
    <w:rsid w:val="000A20F1"/>
    <w:rsid w:val="000A333D"/>
    <w:rsid w:val="000A3D12"/>
    <w:rsid w:val="000A3F1B"/>
    <w:rsid w:val="000A5424"/>
    <w:rsid w:val="000A5B51"/>
    <w:rsid w:val="000A6834"/>
    <w:rsid w:val="000A6CDE"/>
    <w:rsid w:val="000B0195"/>
    <w:rsid w:val="000B041D"/>
    <w:rsid w:val="000B0CF5"/>
    <w:rsid w:val="000B13CE"/>
    <w:rsid w:val="000B2640"/>
    <w:rsid w:val="000B2EF8"/>
    <w:rsid w:val="000B5227"/>
    <w:rsid w:val="000B5C6A"/>
    <w:rsid w:val="000B7739"/>
    <w:rsid w:val="000C04C7"/>
    <w:rsid w:val="000C0CD4"/>
    <w:rsid w:val="000C1FBE"/>
    <w:rsid w:val="000C2DE9"/>
    <w:rsid w:val="000C2F2E"/>
    <w:rsid w:val="000C3739"/>
    <w:rsid w:val="000C457D"/>
    <w:rsid w:val="000C5796"/>
    <w:rsid w:val="000C70BA"/>
    <w:rsid w:val="000C73C2"/>
    <w:rsid w:val="000C73E7"/>
    <w:rsid w:val="000D0CD3"/>
    <w:rsid w:val="000D0E4D"/>
    <w:rsid w:val="000D1BFC"/>
    <w:rsid w:val="000D2368"/>
    <w:rsid w:val="000D2F8A"/>
    <w:rsid w:val="000D4DC2"/>
    <w:rsid w:val="000D5B8C"/>
    <w:rsid w:val="000D6A4E"/>
    <w:rsid w:val="000D6BF1"/>
    <w:rsid w:val="000D797A"/>
    <w:rsid w:val="000D7F31"/>
    <w:rsid w:val="000E0114"/>
    <w:rsid w:val="000E08C3"/>
    <w:rsid w:val="000E14A1"/>
    <w:rsid w:val="000E221A"/>
    <w:rsid w:val="000E22B9"/>
    <w:rsid w:val="000E25AF"/>
    <w:rsid w:val="000E2876"/>
    <w:rsid w:val="000E2F12"/>
    <w:rsid w:val="000E470F"/>
    <w:rsid w:val="000E528D"/>
    <w:rsid w:val="000E5DDF"/>
    <w:rsid w:val="000E75C4"/>
    <w:rsid w:val="000E7F6C"/>
    <w:rsid w:val="000E7FB8"/>
    <w:rsid w:val="000F003A"/>
    <w:rsid w:val="000F0214"/>
    <w:rsid w:val="000F03FE"/>
    <w:rsid w:val="000F1532"/>
    <w:rsid w:val="000F29BF"/>
    <w:rsid w:val="000F32C3"/>
    <w:rsid w:val="000F4BB8"/>
    <w:rsid w:val="000F5163"/>
    <w:rsid w:val="000F5532"/>
    <w:rsid w:val="000F66A6"/>
    <w:rsid w:val="000F6F21"/>
    <w:rsid w:val="000F7127"/>
    <w:rsid w:val="00100F8A"/>
    <w:rsid w:val="00101A22"/>
    <w:rsid w:val="00102065"/>
    <w:rsid w:val="001022D2"/>
    <w:rsid w:val="0010307F"/>
    <w:rsid w:val="001031A6"/>
    <w:rsid w:val="0010342C"/>
    <w:rsid w:val="0010623C"/>
    <w:rsid w:val="001071E6"/>
    <w:rsid w:val="0011032E"/>
    <w:rsid w:val="0011348B"/>
    <w:rsid w:val="001152B1"/>
    <w:rsid w:val="0011624B"/>
    <w:rsid w:val="00116BE5"/>
    <w:rsid w:val="00116E52"/>
    <w:rsid w:val="00117321"/>
    <w:rsid w:val="00117782"/>
    <w:rsid w:val="001203D5"/>
    <w:rsid w:val="0012169C"/>
    <w:rsid w:val="00121799"/>
    <w:rsid w:val="001222FC"/>
    <w:rsid w:val="00122407"/>
    <w:rsid w:val="00122E58"/>
    <w:rsid w:val="00123C11"/>
    <w:rsid w:val="00124A51"/>
    <w:rsid w:val="00124CAB"/>
    <w:rsid w:val="00125D4C"/>
    <w:rsid w:val="00126621"/>
    <w:rsid w:val="00127A98"/>
    <w:rsid w:val="00127FB1"/>
    <w:rsid w:val="001301E9"/>
    <w:rsid w:val="001301EB"/>
    <w:rsid w:val="0013138D"/>
    <w:rsid w:val="001316AA"/>
    <w:rsid w:val="00131C0B"/>
    <w:rsid w:val="00132F2F"/>
    <w:rsid w:val="00133837"/>
    <w:rsid w:val="00133B97"/>
    <w:rsid w:val="00134E28"/>
    <w:rsid w:val="00136D8D"/>
    <w:rsid w:val="00136F7D"/>
    <w:rsid w:val="00137645"/>
    <w:rsid w:val="00137C86"/>
    <w:rsid w:val="001400D6"/>
    <w:rsid w:val="0014015A"/>
    <w:rsid w:val="00140E99"/>
    <w:rsid w:val="00140F3D"/>
    <w:rsid w:val="00142D45"/>
    <w:rsid w:val="00143661"/>
    <w:rsid w:val="0014405B"/>
    <w:rsid w:val="00144374"/>
    <w:rsid w:val="0014469A"/>
    <w:rsid w:val="00145540"/>
    <w:rsid w:val="001456B0"/>
    <w:rsid w:val="00145F31"/>
    <w:rsid w:val="00146590"/>
    <w:rsid w:val="00146B6E"/>
    <w:rsid w:val="00146E65"/>
    <w:rsid w:val="001507F0"/>
    <w:rsid w:val="00150E00"/>
    <w:rsid w:val="00150FC6"/>
    <w:rsid w:val="00151906"/>
    <w:rsid w:val="0015254F"/>
    <w:rsid w:val="00152BAE"/>
    <w:rsid w:val="00152C96"/>
    <w:rsid w:val="001538B4"/>
    <w:rsid w:val="001543EB"/>
    <w:rsid w:val="00154855"/>
    <w:rsid w:val="00154F7B"/>
    <w:rsid w:val="00156A54"/>
    <w:rsid w:val="00157130"/>
    <w:rsid w:val="001571E4"/>
    <w:rsid w:val="001573FB"/>
    <w:rsid w:val="00157BCA"/>
    <w:rsid w:val="00162913"/>
    <w:rsid w:val="00163822"/>
    <w:rsid w:val="00163A74"/>
    <w:rsid w:val="00163AAC"/>
    <w:rsid w:val="00163C47"/>
    <w:rsid w:val="00163D56"/>
    <w:rsid w:val="00163EF8"/>
    <w:rsid w:val="00163EFF"/>
    <w:rsid w:val="0016460C"/>
    <w:rsid w:val="00164BC3"/>
    <w:rsid w:val="0016613F"/>
    <w:rsid w:val="001661FB"/>
    <w:rsid w:val="0016791E"/>
    <w:rsid w:val="00170E90"/>
    <w:rsid w:val="0017144E"/>
    <w:rsid w:val="00171619"/>
    <w:rsid w:val="001724D9"/>
    <w:rsid w:val="00172A93"/>
    <w:rsid w:val="0017408A"/>
    <w:rsid w:val="00175350"/>
    <w:rsid w:val="00175674"/>
    <w:rsid w:val="00175B12"/>
    <w:rsid w:val="0017627A"/>
    <w:rsid w:val="0018020C"/>
    <w:rsid w:val="00180275"/>
    <w:rsid w:val="00180743"/>
    <w:rsid w:val="00181D56"/>
    <w:rsid w:val="00181F9E"/>
    <w:rsid w:val="00182920"/>
    <w:rsid w:val="00182AD3"/>
    <w:rsid w:val="00182EE7"/>
    <w:rsid w:val="00183312"/>
    <w:rsid w:val="001833B2"/>
    <w:rsid w:val="00183ED7"/>
    <w:rsid w:val="00184031"/>
    <w:rsid w:val="00184749"/>
    <w:rsid w:val="00185268"/>
    <w:rsid w:val="001854D2"/>
    <w:rsid w:val="00185557"/>
    <w:rsid w:val="0018752F"/>
    <w:rsid w:val="00187830"/>
    <w:rsid w:val="00187A48"/>
    <w:rsid w:val="00190605"/>
    <w:rsid w:val="0019099D"/>
    <w:rsid w:val="00190B7E"/>
    <w:rsid w:val="00190BC6"/>
    <w:rsid w:val="00191686"/>
    <w:rsid w:val="001930D7"/>
    <w:rsid w:val="00193486"/>
    <w:rsid w:val="00194CC2"/>
    <w:rsid w:val="00195222"/>
    <w:rsid w:val="00195E87"/>
    <w:rsid w:val="00196DE8"/>
    <w:rsid w:val="001975D8"/>
    <w:rsid w:val="00197C08"/>
    <w:rsid w:val="001A0C7C"/>
    <w:rsid w:val="001A17FF"/>
    <w:rsid w:val="001A219E"/>
    <w:rsid w:val="001A44BA"/>
    <w:rsid w:val="001A44DE"/>
    <w:rsid w:val="001A4D58"/>
    <w:rsid w:val="001A522C"/>
    <w:rsid w:val="001A585D"/>
    <w:rsid w:val="001A5B3B"/>
    <w:rsid w:val="001A6124"/>
    <w:rsid w:val="001A6992"/>
    <w:rsid w:val="001A7271"/>
    <w:rsid w:val="001A777B"/>
    <w:rsid w:val="001A783E"/>
    <w:rsid w:val="001A7A6F"/>
    <w:rsid w:val="001A7B05"/>
    <w:rsid w:val="001B3443"/>
    <w:rsid w:val="001B4D7D"/>
    <w:rsid w:val="001B4DD5"/>
    <w:rsid w:val="001B59B4"/>
    <w:rsid w:val="001B5C16"/>
    <w:rsid w:val="001B602A"/>
    <w:rsid w:val="001B612C"/>
    <w:rsid w:val="001B77F6"/>
    <w:rsid w:val="001B7D4F"/>
    <w:rsid w:val="001C0C3E"/>
    <w:rsid w:val="001C0E75"/>
    <w:rsid w:val="001C187D"/>
    <w:rsid w:val="001C2451"/>
    <w:rsid w:val="001C2773"/>
    <w:rsid w:val="001C28E4"/>
    <w:rsid w:val="001C3D96"/>
    <w:rsid w:val="001C4004"/>
    <w:rsid w:val="001C50E4"/>
    <w:rsid w:val="001C582B"/>
    <w:rsid w:val="001C5C58"/>
    <w:rsid w:val="001C5E04"/>
    <w:rsid w:val="001C6021"/>
    <w:rsid w:val="001C691A"/>
    <w:rsid w:val="001C6E66"/>
    <w:rsid w:val="001C7E5B"/>
    <w:rsid w:val="001D0CD8"/>
    <w:rsid w:val="001D114B"/>
    <w:rsid w:val="001D2017"/>
    <w:rsid w:val="001D3E35"/>
    <w:rsid w:val="001D4148"/>
    <w:rsid w:val="001D4AD5"/>
    <w:rsid w:val="001D52C1"/>
    <w:rsid w:val="001D54DA"/>
    <w:rsid w:val="001D5DA1"/>
    <w:rsid w:val="001E0AB8"/>
    <w:rsid w:val="001E1864"/>
    <w:rsid w:val="001E18B2"/>
    <w:rsid w:val="001E238E"/>
    <w:rsid w:val="001E24A1"/>
    <w:rsid w:val="001E254C"/>
    <w:rsid w:val="001E2B1E"/>
    <w:rsid w:val="001E2E0A"/>
    <w:rsid w:val="001E3582"/>
    <w:rsid w:val="001E52EB"/>
    <w:rsid w:val="001E55CA"/>
    <w:rsid w:val="001E56FD"/>
    <w:rsid w:val="001E6EDC"/>
    <w:rsid w:val="001E740C"/>
    <w:rsid w:val="001E799C"/>
    <w:rsid w:val="001F0177"/>
    <w:rsid w:val="001F08A0"/>
    <w:rsid w:val="001F0EAF"/>
    <w:rsid w:val="001F1235"/>
    <w:rsid w:val="001F1CB3"/>
    <w:rsid w:val="001F1D88"/>
    <w:rsid w:val="001F1DF2"/>
    <w:rsid w:val="001F1F21"/>
    <w:rsid w:val="001F383C"/>
    <w:rsid w:val="001F3B6B"/>
    <w:rsid w:val="001F3FCF"/>
    <w:rsid w:val="001F4EAE"/>
    <w:rsid w:val="001F58E8"/>
    <w:rsid w:val="001F5994"/>
    <w:rsid w:val="001F5F50"/>
    <w:rsid w:val="001F6646"/>
    <w:rsid w:val="001F6D41"/>
    <w:rsid w:val="001F7361"/>
    <w:rsid w:val="001F7B6F"/>
    <w:rsid w:val="002010B4"/>
    <w:rsid w:val="002023B3"/>
    <w:rsid w:val="00202A26"/>
    <w:rsid w:val="00202FE0"/>
    <w:rsid w:val="0020385F"/>
    <w:rsid w:val="00204078"/>
    <w:rsid w:val="00205639"/>
    <w:rsid w:val="002062EF"/>
    <w:rsid w:val="00206751"/>
    <w:rsid w:val="00207021"/>
    <w:rsid w:val="00207671"/>
    <w:rsid w:val="002077AE"/>
    <w:rsid w:val="00207D00"/>
    <w:rsid w:val="002105C1"/>
    <w:rsid w:val="00210A49"/>
    <w:rsid w:val="00211E08"/>
    <w:rsid w:val="00213410"/>
    <w:rsid w:val="00213DCA"/>
    <w:rsid w:val="00214249"/>
    <w:rsid w:val="00215216"/>
    <w:rsid w:val="002154AE"/>
    <w:rsid w:val="002154F5"/>
    <w:rsid w:val="002154FE"/>
    <w:rsid w:val="002163C9"/>
    <w:rsid w:val="00217510"/>
    <w:rsid w:val="00220814"/>
    <w:rsid w:val="00220BDC"/>
    <w:rsid w:val="00220EB0"/>
    <w:rsid w:val="00222288"/>
    <w:rsid w:val="00222BED"/>
    <w:rsid w:val="00223B49"/>
    <w:rsid w:val="0022431E"/>
    <w:rsid w:val="002247FA"/>
    <w:rsid w:val="00224DD4"/>
    <w:rsid w:val="0022595F"/>
    <w:rsid w:val="00226AA9"/>
    <w:rsid w:val="0022719F"/>
    <w:rsid w:val="00227BA6"/>
    <w:rsid w:val="00227D1B"/>
    <w:rsid w:val="002309CC"/>
    <w:rsid w:val="00231429"/>
    <w:rsid w:val="0023157A"/>
    <w:rsid w:val="00231BE6"/>
    <w:rsid w:val="00231E0F"/>
    <w:rsid w:val="002326F3"/>
    <w:rsid w:val="00232AF4"/>
    <w:rsid w:val="00232D5F"/>
    <w:rsid w:val="00232F95"/>
    <w:rsid w:val="00233553"/>
    <w:rsid w:val="00233EA2"/>
    <w:rsid w:val="00234248"/>
    <w:rsid w:val="00235433"/>
    <w:rsid w:val="00235873"/>
    <w:rsid w:val="00236437"/>
    <w:rsid w:val="00237C2F"/>
    <w:rsid w:val="0024031B"/>
    <w:rsid w:val="0024068A"/>
    <w:rsid w:val="0024087B"/>
    <w:rsid w:val="002408CF"/>
    <w:rsid w:val="0024181A"/>
    <w:rsid w:val="0024193C"/>
    <w:rsid w:val="002433E6"/>
    <w:rsid w:val="00243531"/>
    <w:rsid w:val="002435F6"/>
    <w:rsid w:val="0024406C"/>
    <w:rsid w:val="00244208"/>
    <w:rsid w:val="00244AA9"/>
    <w:rsid w:val="002456BB"/>
    <w:rsid w:val="00247816"/>
    <w:rsid w:val="0025016E"/>
    <w:rsid w:val="00251A5B"/>
    <w:rsid w:val="00251C3D"/>
    <w:rsid w:val="0025254F"/>
    <w:rsid w:val="002531AE"/>
    <w:rsid w:val="002536F6"/>
    <w:rsid w:val="00254486"/>
    <w:rsid w:val="00254DCF"/>
    <w:rsid w:val="0025534B"/>
    <w:rsid w:val="00255A51"/>
    <w:rsid w:val="00255BB7"/>
    <w:rsid w:val="00255BD9"/>
    <w:rsid w:val="00255C04"/>
    <w:rsid w:val="00255F08"/>
    <w:rsid w:val="00256B22"/>
    <w:rsid w:val="00260304"/>
    <w:rsid w:val="0026085D"/>
    <w:rsid w:val="00260AB5"/>
    <w:rsid w:val="00260B26"/>
    <w:rsid w:val="00261A3F"/>
    <w:rsid w:val="00261D35"/>
    <w:rsid w:val="00261D7E"/>
    <w:rsid w:val="0026206A"/>
    <w:rsid w:val="00262A87"/>
    <w:rsid w:val="002641DE"/>
    <w:rsid w:val="00264FFE"/>
    <w:rsid w:val="00265B8B"/>
    <w:rsid w:val="00266BB0"/>
    <w:rsid w:val="0026778A"/>
    <w:rsid w:val="00267909"/>
    <w:rsid w:val="00270AAC"/>
    <w:rsid w:val="002712A9"/>
    <w:rsid w:val="002716C0"/>
    <w:rsid w:val="002718A6"/>
    <w:rsid w:val="002719CF"/>
    <w:rsid w:val="00272159"/>
    <w:rsid w:val="002729C5"/>
    <w:rsid w:val="002731C6"/>
    <w:rsid w:val="0027430B"/>
    <w:rsid w:val="002756B3"/>
    <w:rsid w:val="00275C5A"/>
    <w:rsid w:val="00276566"/>
    <w:rsid w:val="0028047C"/>
    <w:rsid w:val="00280562"/>
    <w:rsid w:val="002808A4"/>
    <w:rsid w:val="00280A23"/>
    <w:rsid w:val="00281014"/>
    <w:rsid w:val="002827B1"/>
    <w:rsid w:val="00283D85"/>
    <w:rsid w:val="0028418C"/>
    <w:rsid w:val="00284E60"/>
    <w:rsid w:val="00285C38"/>
    <w:rsid w:val="00286473"/>
    <w:rsid w:val="002865E7"/>
    <w:rsid w:val="002867F9"/>
    <w:rsid w:val="00286CC5"/>
    <w:rsid w:val="00286E44"/>
    <w:rsid w:val="002879C8"/>
    <w:rsid w:val="00287D40"/>
    <w:rsid w:val="00287E36"/>
    <w:rsid w:val="00287F9C"/>
    <w:rsid w:val="002915AB"/>
    <w:rsid w:val="0029197A"/>
    <w:rsid w:val="00291F69"/>
    <w:rsid w:val="00292206"/>
    <w:rsid w:val="00292896"/>
    <w:rsid w:val="00292F37"/>
    <w:rsid w:val="002935FE"/>
    <w:rsid w:val="00294E62"/>
    <w:rsid w:val="002954D9"/>
    <w:rsid w:val="0029554F"/>
    <w:rsid w:val="002955C2"/>
    <w:rsid w:val="00295980"/>
    <w:rsid w:val="00296326"/>
    <w:rsid w:val="002965E3"/>
    <w:rsid w:val="00296902"/>
    <w:rsid w:val="00296FC0"/>
    <w:rsid w:val="0029706E"/>
    <w:rsid w:val="00297099"/>
    <w:rsid w:val="0029747A"/>
    <w:rsid w:val="002976C0"/>
    <w:rsid w:val="002A05BE"/>
    <w:rsid w:val="002A14AB"/>
    <w:rsid w:val="002A1569"/>
    <w:rsid w:val="002A28D7"/>
    <w:rsid w:val="002A30B4"/>
    <w:rsid w:val="002A4780"/>
    <w:rsid w:val="002A4B8A"/>
    <w:rsid w:val="002A4D99"/>
    <w:rsid w:val="002A4DD4"/>
    <w:rsid w:val="002A54B5"/>
    <w:rsid w:val="002A62E8"/>
    <w:rsid w:val="002B0D08"/>
    <w:rsid w:val="002B11A7"/>
    <w:rsid w:val="002B1C1F"/>
    <w:rsid w:val="002B1D19"/>
    <w:rsid w:val="002B2EF0"/>
    <w:rsid w:val="002B32B8"/>
    <w:rsid w:val="002B432F"/>
    <w:rsid w:val="002B4B6D"/>
    <w:rsid w:val="002B6383"/>
    <w:rsid w:val="002B6616"/>
    <w:rsid w:val="002B6CCE"/>
    <w:rsid w:val="002B6D24"/>
    <w:rsid w:val="002C0643"/>
    <w:rsid w:val="002C157D"/>
    <w:rsid w:val="002C21A4"/>
    <w:rsid w:val="002C2775"/>
    <w:rsid w:val="002C27C1"/>
    <w:rsid w:val="002C3388"/>
    <w:rsid w:val="002C345E"/>
    <w:rsid w:val="002C3A94"/>
    <w:rsid w:val="002C5A05"/>
    <w:rsid w:val="002C5F40"/>
    <w:rsid w:val="002C6BD8"/>
    <w:rsid w:val="002D0549"/>
    <w:rsid w:val="002D0D7B"/>
    <w:rsid w:val="002D18BF"/>
    <w:rsid w:val="002D2684"/>
    <w:rsid w:val="002D2E42"/>
    <w:rsid w:val="002D349F"/>
    <w:rsid w:val="002D403E"/>
    <w:rsid w:val="002D59FF"/>
    <w:rsid w:val="002D5F5C"/>
    <w:rsid w:val="002D7C47"/>
    <w:rsid w:val="002E03BF"/>
    <w:rsid w:val="002E0755"/>
    <w:rsid w:val="002E0D64"/>
    <w:rsid w:val="002E1631"/>
    <w:rsid w:val="002E3220"/>
    <w:rsid w:val="002E4215"/>
    <w:rsid w:val="002E4BC9"/>
    <w:rsid w:val="002E59D0"/>
    <w:rsid w:val="002E6473"/>
    <w:rsid w:val="002E6FF9"/>
    <w:rsid w:val="002F0BF8"/>
    <w:rsid w:val="002F14B9"/>
    <w:rsid w:val="002F1D92"/>
    <w:rsid w:val="002F1DF2"/>
    <w:rsid w:val="002F3AE3"/>
    <w:rsid w:val="002F3E8C"/>
    <w:rsid w:val="002F3FEF"/>
    <w:rsid w:val="002F4391"/>
    <w:rsid w:val="002F484E"/>
    <w:rsid w:val="002F509A"/>
    <w:rsid w:val="002F5308"/>
    <w:rsid w:val="002F5F37"/>
    <w:rsid w:val="002F64E1"/>
    <w:rsid w:val="002F761D"/>
    <w:rsid w:val="002F7C37"/>
    <w:rsid w:val="00300E23"/>
    <w:rsid w:val="00300E87"/>
    <w:rsid w:val="00301017"/>
    <w:rsid w:val="003014E2"/>
    <w:rsid w:val="003016E4"/>
    <w:rsid w:val="0030203E"/>
    <w:rsid w:val="003031C6"/>
    <w:rsid w:val="0030517E"/>
    <w:rsid w:val="0030532F"/>
    <w:rsid w:val="0030596F"/>
    <w:rsid w:val="00305B75"/>
    <w:rsid w:val="0030622B"/>
    <w:rsid w:val="00306F2B"/>
    <w:rsid w:val="0030710C"/>
    <w:rsid w:val="0030786C"/>
    <w:rsid w:val="003079C3"/>
    <w:rsid w:val="003102BB"/>
    <w:rsid w:val="0031031A"/>
    <w:rsid w:val="00310981"/>
    <w:rsid w:val="00311103"/>
    <w:rsid w:val="00312DA7"/>
    <w:rsid w:val="00313529"/>
    <w:rsid w:val="00314D23"/>
    <w:rsid w:val="00315498"/>
    <w:rsid w:val="0031585A"/>
    <w:rsid w:val="003174C7"/>
    <w:rsid w:val="0031766F"/>
    <w:rsid w:val="00320F5F"/>
    <w:rsid w:val="00323236"/>
    <w:rsid w:val="0032363F"/>
    <w:rsid w:val="0032631A"/>
    <w:rsid w:val="00326393"/>
    <w:rsid w:val="003279A7"/>
    <w:rsid w:val="00327E5E"/>
    <w:rsid w:val="00331ADA"/>
    <w:rsid w:val="00332166"/>
    <w:rsid w:val="0033304E"/>
    <w:rsid w:val="00333A7C"/>
    <w:rsid w:val="00333B83"/>
    <w:rsid w:val="0033443D"/>
    <w:rsid w:val="0033444A"/>
    <w:rsid w:val="00334A6A"/>
    <w:rsid w:val="0033524C"/>
    <w:rsid w:val="00335D3E"/>
    <w:rsid w:val="003366C9"/>
    <w:rsid w:val="003371B0"/>
    <w:rsid w:val="00337957"/>
    <w:rsid w:val="00340492"/>
    <w:rsid w:val="0034163F"/>
    <w:rsid w:val="00341C9A"/>
    <w:rsid w:val="003420C3"/>
    <w:rsid w:val="003420C5"/>
    <w:rsid w:val="003424B7"/>
    <w:rsid w:val="0034341B"/>
    <w:rsid w:val="00350718"/>
    <w:rsid w:val="00350C94"/>
    <w:rsid w:val="00352BE3"/>
    <w:rsid w:val="00352C9D"/>
    <w:rsid w:val="00353C78"/>
    <w:rsid w:val="00354015"/>
    <w:rsid w:val="0035462B"/>
    <w:rsid w:val="0035620E"/>
    <w:rsid w:val="00356707"/>
    <w:rsid w:val="00357C18"/>
    <w:rsid w:val="003607F9"/>
    <w:rsid w:val="003615E7"/>
    <w:rsid w:val="00361B4E"/>
    <w:rsid w:val="00361E26"/>
    <w:rsid w:val="00361E62"/>
    <w:rsid w:val="0036411E"/>
    <w:rsid w:val="00365210"/>
    <w:rsid w:val="00365665"/>
    <w:rsid w:val="00366027"/>
    <w:rsid w:val="003664E0"/>
    <w:rsid w:val="003665FD"/>
    <w:rsid w:val="0036681E"/>
    <w:rsid w:val="0036738B"/>
    <w:rsid w:val="003678EF"/>
    <w:rsid w:val="00367CEA"/>
    <w:rsid w:val="00372DBC"/>
    <w:rsid w:val="00373FCB"/>
    <w:rsid w:val="00373FED"/>
    <w:rsid w:val="00376756"/>
    <w:rsid w:val="003778F6"/>
    <w:rsid w:val="00377E9C"/>
    <w:rsid w:val="00380104"/>
    <w:rsid w:val="00380942"/>
    <w:rsid w:val="00380B37"/>
    <w:rsid w:val="00380F4E"/>
    <w:rsid w:val="00382045"/>
    <w:rsid w:val="00383534"/>
    <w:rsid w:val="0038365C"/>
    <w:rsid w:val="003838D6"/>
    <w:rsid w:val="00383C01"/>
    <w:rsid w:val="00385C7F"/>
    <w:rsid w:val="00385FCF"/>
    <w:rsid w:val="00386409"/>
    <w:rsid w:val="003866FF"/>
    <w:rsid w:val="00387982"/>
    <w:rsid w:val="003909A5"/>
    <w:rsid w:val="003913E8"/>
    <w:rsid w:val="0039178D"/>
    <w:rsid w:val="00391D9B"/>
    <w:rsid w:val="00391E79"/>
    <w:rsid w:val="003934A7"/>
    <w:rsid w:val="0039417A"/>
    <w:rsid w:val="003950C7"/>
    <w:rsid w:val="003955C5"/>
    <w:rsid w:val="003959FC"/>
    <w:rsid w:val="00395FAF"/>
    <w:rsid w:val="003961E1"/>
    <w:rsid w:val="00396321"/>
    <w:rsid w:val="00396A78"/>
    <w:rsid w:val="00396FD0"/>
    <w:rsid w:val="003A1354"/>
    <w:rsid w:val="003A1A7A"/>
    <w:rsid w:val="003A1DD0"/>
    <w:rsid w:val="003A2375"/>
    <w:rsid w:val="003A25D3"/>
    <w:rsid w:val="003A26E3"/>
    <w:rsid w:val="003A2F74"/>
    <w:rsid w:val="003A335E"/>
    <w:rsid w:val="003A3835"/>
    <w:rsid w:val="003A38A0"/>
    <w:rsid w:val="003A3BBD"/>
    <w:rsid w:val="003A3E21"/>
    <w:rsid w:val="003A6825"/>
    <w:rsid w:val="003A6F2C"/>
    <w:rsid w:val="003A74DB"/>
    <w:rsid w:val="003B09BD"/>
    <w:rsid w:val="003B0DA3"/>
    <w:rsid w:val="003B28C0"/>
    <w:rsid w:val="003B3719"/>
    <w:rsid w:val="003B4085"/>
    <w:rsid w:val="003B445D"/>
    <w:rsid w:val="003B572D"/>
    <w:rsid w:val="003B5B01"/>
    <w:rsid w:val="003B610F"/>
    <w:rsid w:val="003B70B5"/>
    <w:rsid w:val="003B78EB"/>
    <w:rsid w:val="003C06C5"/>
    <w:rsid w:val="003C0F1C"/>
    <w:rsid w:val="003C292D"/>
    <w:rsid w:val="003C382C"/>
    <w:rsid w:val="003C65C1"/>
    <w:rsid w:val="003C6CE1"/>
    <w:rsid w:val="003C78E9"/>
    <w:rsid w:val="003C7ADD"/>
    <w:rsid w:val="003C7E7A"/>
    <w:rsid w:val="003C7F0E"/>
    <w:rsid w:val="003D0A84"/>
    <w:rsid w:val="003D1258"/>
    <w:rsid w:val="003D1828"/>
    <w:rsid w:val="003D1B43"/>
    <w:rsid w:val="003D2422"/>
    <w:rsid w:val="003D26BF"/>
    <w:rsid w:val="003D2EF8"/>
    <w:rsid w:val="003D3082"/>
    <w:rsid w:val="003D32B9"/>
    <w:rsid w:val="003D3E55"/>
    <w:rsid w:val="003D4D94"/>
    <w:rsid w:val="003D6A2E"/>
    <w:rsid w:val="003D705D"/>
    <w:rsid w:val="003E1158"/>
    <w:rsid w:val="003E2446"/>
    <w:rsid w:val="003E24BD"/>
    <w:rsid w:val="003E28D8"/>
    <w:rsid w:val="003E28FE"/>
    <w:rsid w:val="003E3169"/>
    <w:rsid w:val="003E3622"/>
    <w:rsid w:val="003E403D"/>
    <w:rsid w:val="003E4594"/>
    <w:rsid w:val="003E5E2B"/>
    <w:rsid w:val="003F0062"/>
    <w:rsid w:val="003F2131"/>
    <w:rsid w:val="003F2668"/>
    <w:rsid w:val="003F3AB4"/>
    <w:rsid w:val="003F4156"/>
    <w:rsid w:val="003F43C5"/>
    <w:rsid w:val="003F4757"/>
    <w:rsid w:val="003F479B"/>
    <w:rsid w:val="003F57F3"/>
    <w:rsid w:val="003F5FA8"/>
    <w:rsid w:val="003F68C3"/>
    <w:rsid w:val="003F7392"/>
    <w:rsid w:val="00400499"/>
    <w:rsid w:val="0040150A"/>
    <w:rsid w:val="00402519"/>
    <w:rsid w:val="00402946"/>
    <w:rsid w:val="004032B7"/>
    <w:rsid w:val="00405155"/>
    <w:rsid w:val="00405B0F"/>
    <w:rsid w:val="004065B0"/>
    <w:rsid w:val="00406B5C"/>
    <w:rsid w:val="00407C58"/>
    <w:rsid w:val="00410553"/>
    <w:rsid w:val="00410708"/>
    <w:rsid w:val="00410EC7"/>
    <w:rsid w:val="0041113A"/>
    <w:rsid w:val="00411AF9"/>
    <w:rsid w:val="004121D1"/>
    <w:rsid w:val="00414006"/>
    <w:rsid w:val="00414476"/>
    <w:rsid w:val="004156EE"/>
    <w:rsid w:val="00417330"/>
    <w:rsid w:val="004175DD"/>
    <w:rsid w:val="00417C3F"/>
    <w:rsid w:val="004205B3"/>
    <w:rsid w:val="0042086C"/>
    <w:rsid w:val="00420AA9"/>
    <w:rsid w:val="00420B0F"/>
    <w:rsid w:val="00420B9F"/>
    <w:rsid w:val="004211CA"/>
    <w:rsid w:val="00422795"/>
    <w:rsid w:val="00424C2F"/>
    <w:rsid w:val="004256FE"/>
    <w:rsid w:val="00426445"/>
    <w:rsid w:val="00427C19"/>
    <w:rsid w:val="00427D53"/>
    <w:rsid w:val="00430381"/>
    <w:rsid w:val="004304FC"/>
    <w:rsid w:val="0043100A"/>
    <w:rsid w:val="004316FD"/>
    <w:rsid w:val="0043170D"/>
    <w:rsid w:val="004319F8"/>
    <w:rsid w:val="00431A19"/>
    <w:rsid w:val="004326C2"/>
    <w:rsid w:val="00433044"/>
    <w:rsid w:val="00433932"/>
    <w:rsid w:val="00434B9B"/>
    <w:rsid w:val="00434F36"/>
    <w:rsid w:val="0043568D"/>
    <w:rsid w:val="004356D1"/>
    <w:rsid w:val="00435D30"/>
    <w:rsid w:val="00435F6C"/>
    <w:rsid w:val="00437B40"/>
    <w:rsid w:val="0044143A"/>
    <w:rsid w:val="004443A7"/>
    <w:rsid w:val="00444B06"/>
    <w:rsid w:val="00444C48"/>
    <w:rsid w:val="00445141"/>
    <w:rsid w:val="00445147"/>
    <w:rsid w:val="00445283"/>
    <w:rsid w:val="00445BAF"/>
    <w:rsid w:val="004460D5"/>
    <w:rsid w:val="004464EB"/>
    <w:rsid w:val="00446717"/>
    <w:rsid w:val="0044714C"/>
    <w:rsid w:val="00447822"/>
    <w:rsid w:val="00447E63"/>
    <w:rsid w:val="00450182"/>
    <w:rsid w:val="004512FE"/>
    <w:rsid w:val="0045272E"/>
    <w:rsid w:val="00452FF9"/>
    <w:rsid w:val="004530AA"/>
    <w:rsid w:val="0045332C"/>
    <w:rsid w:val="004542DC"/>
    <w:rsid w:val="00454E90"/>
    <w:rsid w:val="00455165"/>
    <w:rsid w:val="00455256"/>
    <w:rsid w:val="00455D45"/>
    <w:rsid w:val="00456B36"/>
    <w:rsid w:val="00461150"/>
    <w:rsid w:val="004629A6"/>
    <w:rsid w:val="00462FA0"/>
    <w:rsid w:val="00463D58"/>
    <w:rsid w:val="00464595"/>
    <w:rsid w:val="00464D20"/>
    <w:rsid w:val="004653F9"/>
    <w:rsid w:val="00465B11"/>
    <w:rsid w:val="0046611B"/>
    <w:rsid w:val="00466122"/>
    <w:rsid w:val="0046659D"/>
    <w:rsid w:val="00466AD4"/>
    <w:rsid w:val="00467925"/>
    <w:rsid w:val="00467D0E"/>
    <w:rsid w:val="00470372"/>
    <w:rsid w:val="0047103E"/>
    <w:rsid w:val="00471351"/>
    <w:rsid w:val="00472505"/>
    <w:rsid w:val="00473EE5"/>
    <w:rsid w:val="00474E0A"/>
    <w:rsid w:val="004750BC"/>
    <w:rsid w:val="00475266"/>
    <w:rsid w:val="0047555C"/>
    <w:rsid w:val="004757E9"/>
    <w:rsid w:val="00475BFB"/>
    <w:rsid w:val="004761A1"/>
    <w:rsid w:val="004769FF"/>
    <w:rsid w:val="004770DA"/>
    <w:rsid w:val="0047766B"/>
    <w:rsid w:val="0047786D"/>
    <w:rsid w:val="0047792B"/>
    <w:rsid w:val="00477EB8"/>
    <w:rsid w:val="00480341"/>
    <w:rsid w:val="00480565"/>
    <w:rsid w:val="00480B79"/>
    <w:rsid w:val="0048173B"/>
    <w:rsid w:val="00482350"/>
    <w:rsid w:val="004827FD"/>
    <w:rsid w:val="00482A38"/>
    <w:rsid w:val="00483C49"/>
    <w:rsid w:val="00484139"/>
    <w:rsid w:val="00484B52"/>
    <w:rsid w:val="0048569B"/>
    <w:rsid w:val="00485F6E"/>
    <w:rsid w:val="00486250"/>
    <w:rsid w:val="004867E2"/>
    <w:rsid w:val="00487068"/>
    <w:rsid w:val="00487E71"/>
    <w:rsid w:val="00490545"/>
    <w:rsid w:val="00490B54"/>
    <w:rsid w:val="00490F02"/>
    <w:rsid w:val="0049116C"/>
    <w:rsid w:val="00491B3A"/>
    <w:rsid w:val="00491BCC"/>
    <w:rsid w:val="00492CFD"/>
    <w:rsid w:val="004931A4"/>
    <w:rsid w:val="00493716"/>
    <w:rsid w:val="00493B2D"/>
    <w:rsid w:val="00493FEC"/>
    <w:rsid w:val="00494413"/>
    <w:rsid w:val="004945D9"/>
    <w:rsid w:val="004952BF"/>
    <w:rsid w:val="004962D2"/>
    <w:rsid w:val="00497134"/>
    <w:rsid w:val="004972C9"/>
    <w:rsid w:val="0049741A"/>
    <w:rsid w:val="00497DAF"/>
    <w:rsid w:val="004A0DA1"/>
    <w:rsid w:val="004A2A40"/>
    <w:rsid w:val="004A2D99"/>
    <w:rsid w:val="004A301F"/>
    <w:rsid w:val="004A3ACE"/>
    <w:rsid w:val="004A3E3C"/>
    <w:rsid w:val="004A4C25"/>
    <w:rsid w:val="004A53FF"/>
    <w:rsid w:val="004A57A5"/>
    <w:rsid w:val="004A58E3"/>
    <w:rsid w:val="004A6597"/>
    <w:rsid w:val="004B00ED"/>
    <w:rsid w:val="004B042E"/>
    <w:rsid w:val="004B0467"/>
    <w:rsid w:val="004B12BA"/>
    <w:rsid w:val="004B1CB4"/>
    <w:rsid w:val="004B1EDA"/>
    <w:rsid w:val="004B2F18"/>
    <w:rsid w:val="004B37F7"/>
    <w:rsid w:val="004B3DDB"/>
    <w:rsid w:val="004B44FD"/>
    <w:rsid w:val="004B4DAB"/>
    <w:rsid w:val="004B4E75"/>
    <w:rsid w:val="004B5CFC"/>
    <w:rsid w:val="004B7B67"/>
    <w:rsid w:val="004C1B3A"/>
    <w:rsid w:val="004C26D7"/>
    <w:rsid w:val="004C2DC6"/>
    <w:rsid w:val="004C3562"/>
    <w:rsid w:val="004C3D30"/>
    <w:rsid w:val="004C3D90"/>
    <w:rsid w:val="004C4779"/>
    <w:rsid w:val="004C4AE0"/>
    <w:rsid w:val="004C4AED"/>
    <w:rsid w:val="004C51FC"/>
    <w:rsid w:val="004C5815"/>
    <w:rsid w:val="004C5916"/>
    <w:rsid w:val="004C685F"/>
    <w:rsid w:val="004C6C3A"/>
    <w:rsid w:val="004C6D85"/>
    <w:rsid w:val="004C72E3"/>
    <w:rsid w:val="004D0A5F"/>
    <w:rsid w:val="004D0FB3"/>
    <w:rsid w:val="004D1233"/>
    <w:rsid w:val="004D171B"/>
    <w:rsid w:val="004D1E29"/>
    <w:rsid w:val="004D2641"/>
    <w:rsid w:val="004D3BE4"/>
    <w:rsid w:val="004D4280"/>
    <w:rsid w:val="004D4558"/>
    <w:rsid w:val="004D5336"/>
    <w:rsid w:val="004D5F2F"/>
    <w:rsid w:val="004D6627"/>
    <w:rsid w:val="004D6633"/>
    <w:rsid w:val="004D700F"/>
    <w:rsid w:val="004D7510"/>
    <w:rsid w:val="004E05A1"/>
    <w:rsid w:val="004E0A5A"/>
    <w:rsid w:val="004E0EB8"/>
    <w:rsid w:val="004E22F0"/>
    <w:rsid w:val="004E260C"/>
    <w:rsid w:val="004E2ADC"/>
    <w:rsid w:val="004E3088"/>
    <w:rsid w:val="004E337E"/>
    <w:rsid w:val="004E3BA6"/>
    <w:rsid w:val="004E43B2"/>
    <w:rsid w:val="004E4785"/>
    <w:rsid w:val="004E478F"/>
    <w:rsid w:val="004E58B9"/>
    <w:rsid w:val="004E7551"/>
    <w:rsid w:val="004E7B7F"/>
    <w:rsid w:val="004F1799"/>
    <w:rsid w:val="004F1CC6"/>
    <w:rsid w:val="004F1D02"/>
    <w:rsid w:val="004F2679"/>
    <w:rsid w:val="004F2DB9"/>
    <w:rsid w:val="004F3576"/>
    <w:rsid w:val="004F4F2A"/>
    <w:rsid w:val="004F56A4"/>
    <w:rsid w:val="004F628D"/>
    <w:rsid w:val="004F7865"/>
    <w:rsid w:val="004F7A20"/>
    <w:rsid w:val="004F7CB9"/>
    <w:rsid w:val="00501316"/>
    <w:rsid w:val="0050147D"/>
    <w:rsid w:val="00501EE1"/>
    <w:rsid w:val="00503541"/>
    <w:rsid w:val="00503C60"/>
    <w:rsid w:val="0050502E"/>
    <w:rsid w:val="00505A59"/>
    <w:rsid w:val="00506928"/>
    <w:rsid w:val="00507515"/>
    <w:rsid w:val="00507DDC"/>
    <w:rsid w:val="00510C83"/>
    <w:rsid w:val="005113EE"/>
    <w:rsid w:val="00511CED"/>
    <w:rsid w:val="00511D46"/>
    <w:rsid w:val="00513CAB"/>
    <w:rsid w:val="00513F8F"/>
    <w:rsid w:val="0051429C"/>
    <w:rsid w:val="00514A13"/>
    <w:rsid w:val="00514E24"/>
    <w:rsid w:val="005152B5"/>
    <w:rsid w:val="005154EE"/>
    <w:rsid w:val="00515AEC"/>
    <w:rsid w:val="00516046"/>
    <w:rsid w:val="00517EC5"/>
    <w:rsid w:val="00520EA2"/>
    <w:rsid w:val="00521319"/>
    <w:rsid w:val="0052299C"/>
    <w:rsid w:val="00523107"/>
    <w:rsid w:val="00523C28"/>
    <w:rsid w:val="0052430F"/>
    <w:rsid w:val="005247F3"/>
    <w:rsid w:val="00524C2E"/>
    <w:rsid w:val="00525E37"/>
    <w:rsid w:val="00525E6D"/>
    <w:rsid w:val="005300BF"/>
    <w:rsid w:val="00530DE3"/>
    <w:rsid w:val="00531FA7"/>
    <w:rsid w:val="005327BE"/>
    <w:rsid w:val="005329C0"/>
    <w:rsid w:val="0053329D"/>
    <w:rsid w:val="0053344B"/>
    <w:rsid w:val="00533A5B"/>
    <w:rsid w:val="0053410A"/>
    <w:rsid w:val="0053474E"/>
    <w:rsid w:val="0053627E"/>
    <w:rsid w:val="00536A71"/>
    <w:rsid w:val="00536B74"/>
    <w:rsid w:val="00540EDB"/>
    <w:rsid w:val="0054117D"/>
    <w:rsid w:val="00541554"/>
    <w:rsid w:val="00542DCB"/>
    <w:rsid w:val="00543729"/>
    <w:rsid w:val="0054468E"/>
    <w:rsid w:val="00544ACE"/>
    <w:rsid w:val="00545147"/>
    <w:rsid w:val="005453D8"/>
    <w:rsid w:val="00545D7E"/>
    <w:rsid w:val="0054695D"/>
    <w:rsid w:val="00550231"/>
    <w:rsid w:val="00550C28"/>
    <w:rsid w:val="0055132B"/>
    <w:rsid w:val="00552BD3"/>
    <w:rsid w:val="00552E26"/>
    <w:rsid w:val="0055464A"/>
    <w:rsid w:val="00555109"/>
    <w:rsid w:val="00555464"/>
    <w:rsid w:val="0055548F"/>
    <w:rsid w:val="00555CA4"/>
    <w:rsid w:val="00556379"/>
    <w:rsid w:val="00557375"/>
    <w:rsid w:val="005575C7"/>
    <w:rsid w:val="00557751"/>
    <w:rsid w:val="005602BE"/>
    <w:rsid w:val="005612E3"/>
    <w:rsid w:val="00562A83"/>
    <w:rsid w:val="005638ED"/>
    <w:rsid w:val="00563D82"/>
    <w:rsid w:val="00565AB5"/>
    <w:rsid w:val="0056696F"/>
    <w:rsid w:val="00566D11"/>
    <w:rsid w:val="0056718F"/>
    <w:rsid w:val="00567415"/>
    <w:rsid w:val="00570760"/>
    <w:rsid w:val="00570C28"/>
    <w:rsid w:val="00570CCE"/>
    <w:rsid w:val="005713A8"/>
    <w:rsid w:val="00571F48"/>
    <w:rsid w:val="005738B1"/>
    <w:rsid w:val="005755CE"/>
    <w:rsid w:val="005759B2"/>
    <w:rsid w:val="00575D8D"/>
    <w:rsid w:val="00576126"/>
    <w:rsid w:val="00576972"/>
    <w:rsid w:val="0057715C"/>
    <w:rsid w:val="005800A6"/>
    <w:rsid w:val="005807D6"/>
    <w:rsid w:val="00580ADE"/>
    <w:rsid w:val="00581ACF"/>
    <w:rsid w:val="00582C04"/>
    <w:rsid w:val="00583699"/>
    <w:rsid w:val="00584EFE"/>
    <w:rsid w:val="005854EF"/>
    <w:rsid w:val="00586006"/>
    <w:rsid w:val="0058650B"/>
    <w:rsid w:val="00586A32"/>
    <w:rsid w:val="00587F87"/>
    <w:rsid w:val="00590051"/>
    <w:rsid w:val="0059044A"/>
    <w:rsid w:val="00591500"/>
    <w:rsid w:val="005921FB"/>
    <w:rsid w:val="00592F11"/>
    <w:rsid w:val="005939E4"/>
    <w:rsid w:val="00597B3D"/>
    <w:rsid w:val="005A0017"/>
    <w:rsid w:val="005A00EF"/>
    <w:rsid w:val="005A01DA"/>
    <w:rsid w:val="005A077D"/>
    <w:rsid w:val="005A205D"/>
    <w:rsid w:val="005A3096"/>
    <w:rsid w:val="005A39D0"/>
    <w:rsid w:val="005A5000"/>
    <w:rsid w:val="005A5166"/>
    <w:rsid w:val="005A5630"/>
    <w:rsid w:val="005A6B8D"/>
    <w:rsid w:val="005A755A"/>
    <w:rsid w:val="005A7B70"/>
    <w:rsid w:val="005B122F"/>
    <w:rsid w:val="005B14E8"/>
    <w:rsid w:val="005B1EEA"/>
    <w:rsid w:val="005B33E4"/>
    <w:rsid w:val="005B341A"/>
    <w:rsid w:val="005B46B7"/>
    <w:rsid w:val="005B46F9"/>
    <w:rsid w:val="005B4A4F"/>
    <w:rsid w:val="005B4AA0"/>
    <w:rsid w:val="005B4AF3"/>
    <w:rsid w:val="005B50E0"/>
    <w:rsid w:val="005B5857"/>
    <w:rsid w:val="005B6661"/>
    <w:rsid w:val="005B6936"/>
    <w:rsid w:val="005C1B83"/>
    <w:rsid w:val="005C32D0"/>
    <w:rsid w:val="005C346B"/>
    <w:rsid w:val="005C3B73"/>
    <w:rsid w:val="005C3C86"/>
    <w:rsid w:val="005C4098"/>
    <w:rsid w:val="005C4D88"/>
    <w:rsid w:val="005C5FF0"/>
    <w:rsid w:val="005C6449"/>
    <w:rsid w:val="005C793B"/>
    <w:rsid w:val="005C79FC"/>
    <w:rsid w:val="005D044D"/>
    <w:rsid w:val="005D0A8E"/>
    <w:rsid w:val="005D0CC9"/>
    <w:rsid w:val="005D18AD"/>
    <w:rsid w:val="005D2C8D"/>
    <w:rsid w:val="005D307C"/>
    <w:rsid w:val="005D31A0"/>
    <w:rsid w:val="005D46BA"/>
    <w:rsid w:val="005D5185"/>
    <w:rsid w:val="005D64FF"/>
    <w:rsid w:val="005D676B"/>
    <w:rsid w:val="005D6937"/>
    <w:rsid w:val="005D6C8C"/>
    <w:rsid w:val="005D74C6"/>
    <w:rsid w:val="005E09B8"/>
    <w:rsid w:val="005E13C8"/>
    <w:rsid w:val="005E1698"/>
    <w:rsid w:val="005E1F2D"/>
    <w:rsid w:val="005E3325"/>
    <w:rsid w:val="005E334F"/>
    <w:rsid w:val="005E3574"/>
    <w:rsid w:val="005E41A4"/>
    <w:rsid w:val="005E45A0"/>
    <w:rsid w:val="005E4CDB"/>
    <w:rsid w:val="005E4DD7"/>
    <w:rsid w:val="005E73C0"/>
    <w:rsid w:val="005E7A34"/>
    <w:rsid w:val="005E7BC4"/>
    <w:rsid w:val="005F013A"/>
    <w:rsid w:val="005F04F5"/>
    <w:rsid w:val="005F1899"/>
    <w:rsid w:val="005F240E"/>
    <w:rsid w:val="005F2706"/>
    <w:rsid w:val="005F347C"/>
    <w:rsid w:val="005F604D"/>
    <w:rsid w:val="005F6052"/>
    <w:rsid w:val="005F642D"/>
    <w:rsid w:val="005F64A0"/>
    <w:rsid w:val="005F6926"/>
    <w:rsid w:val="005F6A8F"/>
    <w:rsid w:val="005F7448"/>
    <w:rsid w:val="005F7AC2"/>
    <w:rsid w:val="0060091F"/>
    <w:rsid w:val="00601199"/>
    <w:rsid w:val="00601682"/>
    <w:rsid w:val="00602101"/>
    <w:rsid w:val="00602B37"/>
    <w:rsid w:val="006054DB"/>
    <w:rsid w:val="006065E4"/>
    <w:rsid w:val="006074A4"/>
    <w:rsid w:val="00607669"/>
    <w:rsid w:val="0061003D"/>
    <w:rsid w:val="0061113B"/>
    <w:rsid w:val="006119CB"/>
    <w:rsid w:val="00612593"/>
    <w:rsid w:val="00612BEC"/>
    <w:rsid w:val="00612F97"/>
    <w:rsid w:val="006139C2"/>
    <w:rsid w:val="0061458E"/>
    <w:rsid w:val="00614944"/>
    <w:rsid w:val="00616802"/>
    <w:rsid w:val="0061697F"/>
    <w:rsid w:val="00617216"/>
    <w:rsid w:val="00617E12"/>
    <w:rsid w:val="00621477"/>
    <w:rsid w:val="00624562"/>
    <w:rsid w:val="00625227"/>
    <w:rsid w:val="00625278"/>
    <w:rsid w:val="006252B8"/>
    <w:rsid w:val="00626D11"/>
    <w:rsid w:val="00627057"/>
    <w:rsid w:val="006302DF"/>
    <w:rsid w:val="00630BBD"/>
    <w:rsid w:val="006311C9"/>
    <w:rsid w:val="0063128D"/>
    <w:rsid w:val="00631D6B"/>
    <w:rsid w:val="00631D7A"/>
    <w:rsid w:val="00632B84"/>
    <w:rsid w:val="00633F8D"/>
    <w:rsid w:val="00634354"/>
    <w:rsid w:val="0063479F"/>
    <w:rsid w:val="00634A76"/>
    <w:rsid w:val="006364A1"/>
    <w:rsid w:val="00637670"/>
    <w:rsid w:val="00637BFD"/>
    <w:rsid w:val="006402B5"/>
    <w:rsid w:val="00640750"/>
    <w:rsid w:val="00641005"/>
    <w:rsid w:val="00641C3E"/>
    <w:rsid w:val="00641DBD"/>
    <w:rsid w:val="00642916"/>
    <w:rsid w:val="006437FE"/>
    <w:rsid w:val="0064501B"/>
    <w:rsid w:val="00645977"/>
    <w:rsid w:val="00645C1D"/>
    <w:rsid w:val="006471CC"/>
    <w:rsid w:val="00647CC4"/>
    <w:rsid w:val="006501D4"/>
    <w:rsid w:val="0065079F"/>
    <w:rsid w:val="00652547"/>
    <w:rsid w:val="00654494"/>
    <w:rsid w:val="006546CC"/>
    <w:rsid w:val="00655D82"/>
    <w:rsid w:val="00655F30"/>
    <w:rsid w:val="00657549"/>
    <w:rsid w:val="00660CDA"/>
    <w:rsid w:val="00660E7C"/>
    <w:rsid w:val="00661E94"/>
    <w:rsid w:val="00664A20"/>
    <w:rsid w:val="00665AFB"/>
    <w:rsid w:val="0066654B"/>
    <w:rsid w:val="00666CE8"/>
    <w:rsid w:val="006670AA"/>
    <w:rsid w:val="00667F56"/>
    <w:rsid w:val="00670656"/>
    <w:rsid w:val="0067136D"/>
    <w:rsid w:val="00671938"/>
    <w:rsid w:val="0067250A"/>
    <w:rsid w:val="00674835"/>
    <w:rsid w:val="00674E42"/>
    <w:rsid w:val="00674EC3"/>
    <w:rsid w:val="006750C5"/>
    <w:rsid w:val="0067686D"/>
    <w:rsid w:val="00676AF8"/>
    <w:rsid w:val="00676BF5"/>
    <w:rsid w:val="00677134"/>
    <w:rsid w:val="00677A60"/>
    <w:rsid w:val="00677CD3"/>
    <w:rsid w:val="00677ECC"/>
    <w:rsid w:val="00680413"/>
    <w:rsid w:val="006805BE"/>
    <w:rsid w:val="0068153F"/>
    <w:rsid w:val="00681E6D"/>
    <w:rsid w:val="00682112"/>
    <w:rsid w:val="00682CD3"/>
    <w:rsid w:val="0068452E"/>
    <w:rsid w:val="00684EEA"/>
    <w:rsid w:val="006856CB"/>
    <w:rsid w:val="00686427"/>
    <w:rsid w:val="00686C94"/>
    <w:rsid w:val="00686E0E"/>
    <w:rsid w:val="006872BA"/>
    <w:rsid w:val="00687A91"/>
    <w:rsid w:val="00687B93"/>
    <w:rsid w:val="00690B82"/>
    <w:rsid w:val="00690BE2"/>
    <w:rsid w:val="006917D7"/>
    <w:rsid w:val="00691EA6"/>
    <w:rsid w:val="00693518"/>
    <w:rsid w:val="00694B54"/>
    <w:rsid w:val="00694F44"/>
    <w:rsid w:val="00695D9F"/>
    <w:rsid w:val="006967EE"/>
    <w:rsid w:val="006A0A09"/>
    <w:rsid w:val="006A0CB6"/>
    <w:rsid w:val="006A0F28"/>
    <w:rsid w:val="006A1560"/>
    <w:rsid w:val="006A23AB"/>
    <w:rsid w:val="006A336E"/>
    <w:rsid w:val="006A3A84"/>
    <w:rsid w:val="006A41C9"/>
    <w:rsid w:val="006A58CA"/>
    <w:rsid w:val="006A608C"/>
    <w:rsid w:val="006A668D"/>
    <w:rsid w:val="006A7189"/>
    <w:rsid w:val="006A7225"/>
    <w:rsid w:val="006B2175"/>
    <w:rsid w:val="006B3171"/>
    <w:rsid w:val="006B3E0E"/>
    <w:rsid w:val="006B42FE"/>
    <w:rsid w:val="006B4A9A"/>
    <w:rsid w:val="006B51D2"/>
    <w:rsid w:val="006B5CD6"/>
    <w:rsid w:val="006C2044"/>
    <w:rsid w:val="006C2441"/>
    <w:rsid w:val="006C2584"/>
    <w:rsid w:val="006C28C1"/>
    <w:rsid w:val="006C2A8E"/>
    <w:rsid w:val="006C4A4C"/>
    <w:rsid w:val="006C51B6"/>
    <w:rsid w:val="006C52F7"/>
    <w:rsid w:val="006C53BB"/>
    <w:rsid w:val="006C55EA"/>
    <w:rsid w:val="006C5C43"/>
    <w:rsid w:val="006C701A"/>
    <w:rsid w:val="006D0249"/>
    <w:rsid w:val="006D1C46"/>
    <w:rsid w:val="006D21D6"/>
    <w:rsid w:val="006D2B4F"/>
    <w:rsid w:val="006D3123"/>
    <w:rsid w:val="006D3386"/>
    <w:rsid w:val="006D354C"/>
    <w:rsid w:val="006D3C7D"/>
    <w:rsid w:val="006D535F"/>
    <w:rsid w:val="006D55FA"/>
    <w:rsid w:val="006D5D5F"/>
    <w:rsid w:val="006D5DAD"/>
    <w:rsid w:val="006D6602"/>
    <w:rsid w:val="006D683A"/>
    <w:rsid w:val="006D7040"/>
    <w:rsid w:val="006E09F2"/>
    <w:rsid w:val="006E2F9E"/>
    <w:rsid w:val="006E3C81"/>
    <w:rsid w:val="006E49E2"/>
    <w:rsid w:val="006E6433"/>
    <w:rsid w:val="006E6525"/>
    <w:rsid w:val="006E6BD6"/>
    <w:rsid w:val="006E6CFB"/>
    <w:rsid w:val="006E6E59"/>
    <w:rsid w:val="006E768D"/>
    <w:rsid w:val="006F028E"/>
    <w:rsid w:val="006F1745"/>
    <w:rsid w:val="006F26ED"/>
    <w:rsid w:val="006F2C95"/>
    <w:rsid w:val="006F2CD7"/>
    <w:rsid w:val="006F2DA0"/>
    <w:rsid w:val="006F3308"/>
    <w:rsid w:val="006F4AA4"/>
    <w:rsid w:val="006F52BB"/>
    <w:rsid w:val="006F52DB"/>
    <w:rsid w:val="006F5EBA"/>
    <w:rsid w:val="006F63A5"/>
    <w:rsid w:val="006F6576"/>
    <w:rsid w:val="006F72C4"/>
    <w:rsid w:val="00701B4C"/>
    <w:rsid w:val="00701BC2"/>
    <w:rsid w:val="00701F65"/>
    <w:rsid w:val="00702165"/>
    <w:rsid w:val="0070276E"/>
    <w:rsid w:val="0070297A"/>
    <w:rsid w:val="00702F8F"/>
    <w:rsid w:val="0070354E"/>
    <w:rsid w:val="007037F1"/>
    <w:rsid w:val="007042B0"/>
    <w:rsid w:val="007049C4"/>
    <w:rsid w:val="00704EB9"/>
    <w:rsid w:val="007054D0"/>
    <w:rsid w:val="007067B6"/>
    <w:rsid w:val="00706D9B"/>
    <w:rsid w:val="0071046F"/>
    <w:rsid w:val="00711157"/>
    <w:rsid w:val="007115B7"/>
    <w:rsid w:val="00711A36"/>
    <w:rsid w:val="00711C1A"/>
    <w:rsid w:val="00712D5E"/>
    <w:rsid w:val="007132B0"/>
    <w:rsid w:val="00714D6A"/>
    <w:rsid w:val="00714F2B"/>
    <w:rsid w:val="00714FB8"/>
    <w:rsid w:val="0071529A"/>
    <w:rsid w:val="00715635"/>
    <w:rsid w:val="00715AB4"/>
    <w:rsid w:val="007164DF"/>
    <w:rsid w:val="007166A3"/>
    <w:rsid w:val="007172AD"/>
    <w:rsid w:val="00717707"/>
    <w:rsid w:val="00717FED"/>
    <w:rsid w:val="007201F4"/>
    <w:rsid w:val="00720309"/>
    <w:rsid w:val="00720893"/>
    <w:rsid w:val="00721177"/>
    <w:rsid w:val="00721871"/>
    <w:rsid w:val="007223AA"/>
    <w:rsid w:val="00722D1B"/>
    <w:rsid w:val="0072385A"/>
    <w:rsid w:val="0072416F"/>
    <w:rsid w:val="00725F76"/>
    <w:rsid w:val="0072672C"/>
    <w:rsid w:val="00726A16"/>
    <w:rsid w:val="00727AF1"/>
    <w:rsid w:val="00727E5D"/>
    <w:rsid w:val="00730A14"/>
    <w:rsid w:val="00730C53"/>
    <w:rsid w:val="00731783"/>
    <w:rsid w:val="0073190C"/>
    <w:rsid w:val="00731FE8"/>
    <w:rsid w:val="00732A4B"/>
    <w:rsid w:val="00733A8E"/>
    <w:rsid w:val="007346A2"/>
    <w:rsid w:val="00734AFD"/>
    <w:rsid w:val="00734D5A"/>
    <w:rsid w:val="00734EB2"/>
    <w:rsid w:val="00734FF4"/>
    <w:rsid w:val="00735328"/>
    <w:rsid w:val="007363ED"/>
    <w:rsid w:val="007365A4"/>
    <w:rsid w:val="0073685B"/>
    <w:rsid w:val="00736B30"/>
    <w:rsid w:val="00736B69"/>
    <w:rsid w:val="00737860"/>
    <w:rsid w:val="00737FDE"/>
    <w:rsid w:val="00741332"/>
    <w:rsid w:val="00741C6A"/>
    <w:rsid w:val="00741CBB"/>
    <w:rsid w:val="00742D14"/>
    <w:rsid w:val="007430E8"/>
    <w:rsid w:val="0074485E"/>
    <w:rsid w:val="00744963"/>
    <w:rsid w:val="007455BA"/>
    <w:rsid w:val="00746355"/>
    <w:rsid w:val="0074721B"/>
    <w:rsid w:val="0074767C"/>
    <w:rsid w:val="00747A77"/>
    <w:rsid w:val="00750163"/>
    <w:rsid w:val="007507F2"/>
    <w:rsid w:val="007518A3"/>
    <w:rsid w:val="00751A97"/>
    <w:rsid w:val="0075204B"/>
    <w:rsid w:val="007520D7"/>
    <w:rsid w:val="00752887"/>
    <w:rsid w:val="007531A1"/>
    <w:rsid w:val="0075373B"/>
    <w:rsid w:val="007537F1"/>
    <w:rsid w:val="0075397A"/>
    <w:rsid w:val="00753D0D"/>
    <w:rsid w:val="00753DD3"/>
    <w:rsid w:val="00755348"/>
    <w:rsid w:val="00755832"/>
    <w:rsid w:val="00755921"/>
    <w:rsid w:val="00755B67"/>
    <w:rsid w:val="00756028"/>
    <w:rsid w:val="00760645"/>
    <w:rsid w:val="00760C32"/>
    <w:rsid w:val="00760CDC"/>
    <w:rsid w:val="00761AE4"/>
    <w:rsid w:val="00761EB9"/>
    <w:rsid w:val="007633BD"/>
    <w:rsid w:val="0076344B"/>
    <w:rsid w:val="0076436E"/>
    <w:rsid w:val="007648FF"/>
    <w:rsid w:val="00765678"/>
    <w:rsid w:val="00766789"/>
    <w:rsid w:val="00770652"/>
    <w:rsid w:val="00770B4A"/>
    <w:rsid w:val="00771907"/>
    <w:rsid w:val="00771F4F"/>
    <w:rsid w:val="00773AA9"/>
    <w:rsid w:val="00773C0C"/>
    <w:rsid w:val="00774754"/>
    <w:rsid w:val="0077496E"/>
    <w:rsid w:val="00774D91"/>
    <w:rsid w:val="00774F61"/>
    <w:rsid w:val="00775560"/>
    <w:rsid w:val="0077694D"/>
    <w:rsid w:val="00777ACA"/>
    <w:rsid w:val="0078016D"/>
    <w:rsid w:val="0078068A"/>
    <w:rsid w:val="007900EE"/>
    <w:rsid w:val="00790BCE"/>
    <w:rsid w:val="00791C2E"/>
    <w:rsid w:val="00791F6C"/>
    <w:rsid w:val="007920E8"/>
    <w:rsid w:val="007921ED"/>
    <w:rsid w:val="00792A9E"/>
    <w:rsid w:val="007938C2"/>
    <w:rsid w:val="007954E2"/>
    <w:rsid w:val="00795C81"/>
    <w:rsid w:val="007970EC"/>
    <w:rsid w:val="00797E16"/>
    <w:rsid w:val="007A0A12"/>
    <w:rsid w:val="007A1466"/>
    <w:rsid w:val="007A3408"/>
    <w:rsid w:val="007A40F6"/>
    <w:rsid w:val="007A424D"/>
    <w:rsid w:val="007A4663"/>
    <w:rsid w:val="007A50F0"/>
    <w:rsid w:val="007A50F8"/>
    <w:rsid w:val="007B0778"/>
    <w:rsid w:val="007B1DF9"/>
    <w:rsid w:val="007B251D"/>
    <w:rsid w:val="007B3ACC"/>
    <w:rsid w:val="007B3C75"/>
    <w:rsid w:val="007B4763"/>
    <w:rsid w:val="007B5DE7"/>
    <w:rsid w:val="007B65FC"/>
    <w:rsid w:val="007B683B"/>
    <w:rsid w:val="007B77D1"/>
    <w:rsid w:val="007B7894"/>
    <w:rsid w:val="007C012D"/>
    <w:rsid w:val="007C0EB9"/>
    <w:rsid w:val="007C0F0F"/>
    <w:rsid w:val="007C15E1"/>
    <w:rsid w:val="007C20A9"/>
    <w:rsid w:val="007C2D8D"/>
    <w:rsid w:val="007C361D"/>
    <w:rsid w:val="007C42AB"/>
    <w:rsid w:val="007C651B"/>
    <w:rsid w:val="007C6D37"/>
    <w:rsid w:val="007D04D5"/>
    <w:rsid w:val="007D09E9"/>
    <w:rsid w:val="007D0B38"/>
    <w:rsid w:val="007D153E"/>
    <w:rsid w:val="007D289C"/>
    <w:rsid w:val="007D3A68"/>
    <w:rsid w:val="007D406F"/>
    <w:rsid w:val="007D40B4"/>
    <w:rsid w:val="007D49B5"/>
    <w:rsid w:val="007D7052"/>
    <w:rsid w:val="007D73F3"/>
    <w:rsid w:val="007D7D97"/>
    <w:rsid w:val="007E0823"/>
    <w:rsid w:val="007E2552"/>
    <w:rsid w:val="007E292A"/>
    <w:rsid w:val="007E2BEB"/>
    <w:rsid w:val="007E3E10"/>
    <w:rsid w:val="007E56D0"/>
    <w:rsid w:val="007E6483"/>
    <w:rsid w:val="007E6EC7"/>
    <w:rsid w:val="007E7114"/>
    <w:rsid w:val="007E7EBB"/>
    <w:rsid w:val="007F0B56"/>
    <w:rsid w:val="007F1017"/>
    <w:rsid w:val="007F1C35"/>
    <w:rsid w:val="007F3149"/>
    <w:rsid w:val="007F3713"/>
    <w:rsid w:val="007F3CA9"/>
    <w:rsid w:val="007F4A3F"/>
    <w:rsid w:val="007F72DE"/>
    <w:rsid w:val="007F78B2"/>
    <w:rsid w:val="008002B9"/>
    <w:rsid w:val="008015AB"/>
    <w:rsid w:val="008024CD"/>
    <w:rsid w:val="00804873"/>
    <w:rsid w:val="00805142"/>
    <w:rsid w:val="00805442"/>
    <w:rsid w:val="008056D3"/>
    <w:rsid w:val="00807091"/>
    <w:rsid w:val="00807A8B"/>
    <w:rsid w:val="00812102"/>
    <w:rsid w:val="00812149"/>
    <w:rsid w:val="008160F5"/>
    <w:rsid w:val="0081627F"/>
    <w:rsid w:val="008166EF"/>
    <w:rsid w:val="0081690E"/>
    <w:rsid w:val="00816D3D"/>
    <w:rsid w:val="008177C1"/>
    <w:rsid w:val="00817F67"/>
    <w:rsid w:val="0082160D"/>
    <w:rsid w:val="0082335B"/>
    <w:rsid w:val="00823375"/>
    <w:rsid w:val="008234A8"/>
    <w:rsid w:val="0082404E"/>
    <w:rsid w:val="008244FC"/>
    <w:rsid w:val="00824F6D"/>
    <w:rsid w:val="008254A4"/>
    <w:rsid w:val="0082591C"/>
    <w:rsid w:val="00825A95"/>
    <w:rsid w:val="008264EB"/>
    <w:rsid w:val="00827754"/>
    <w:rsid w:val="008279FF"/>
    <w:rsid w:val="00830049"/>
    <w:rsid w:val="0083339F"/>
    <w:rsid w:val="00833B05"/>
    <w:rsid w:val="00834B8B"/>
    <w:rsid w:val="0083650B"/>
    <w:rsid w:val="00836DE2"/>
    <w:rsid w:val="00837299"/>
    <w:rsid w:val="00837F28"/>
    <w:rsid w:val="0084002E"/>
    <w:rsid w:val="008403AA"/>
    <w:rsid w:val="00840687"/>
    <w:rsid w:val="0084079A"/>
    <w:rsid w:val="00840BA9"/>
    <w:rsid w:val="00840CA2"/>
    <w:rsid w:val="00841D7E"/>
    <w:rsid w:val="0084314C"/>
    <w:rsid w:val="00843555"/>
    <w:rsid w:val="008438C1"/>
    <w:rsid w:val="00844145"/>
    <w:rsid w:val="00844EC7"/>
    <w:rsid w:val="00845EC4"/>
    <w:rsid w:val="00847601"/>
    <w:rsid w:val="00847DEE"/>
    <w:rsid w:val="00850367"/>
    <w:rsid w:val="00851639"/>
    <w:rsid w:val="00851EB8"/>
    <w:rsid w:val="00851EF1"/>
    <w:rsid w:val="0085217E"/>
    <w:rsid w:val="00852D04"/>
    <w:rsid w:val="00853282"/>
    <w:rsid w:val="00856E9A"/>
    <w:rsid w:val="00856EB5"/>
    <w:rsid w:val="008601A4"/>
    <w:rsid w:val="00860246"/>
    <w:rsid w:val="00860538"/>
    <w:rsid w:val="00860984"/>
    <w:rsid w:val="008624C3"/>
    <w:rsid w:val="00862502"/>
    <w:rsid w:val="00864D47"/>
    <w:rsid w:val="00865065"/>
    <w:rsid w:val="008652B3"/>
    <w:rsid w:val="00865E4A"/>
    <w:rsid w:val="0086671F"/>
    <w:rsid w:val="00867BF5"/>
    <w:rsid w:val="00867F77"/>
    <w:rsid w:val="008700D9"/>
    <w:rsid w:val="00870884"/>
    <w:rsid w:val="00870EA9"/>
    <w:rsid w:val="0087125E"/>
    <w:rsid w:val="00871291"/>
    <w:rsid w:val="008712AC"/>
    <w:rsid w:val="008717F8"/>
    <w:rsid w:val="00871B4E"/>
    <w:rsid w:val="0087363A"/>
    <w:rsid w:val="00873CB1"/>
    <w:rsid w:val="00873E78"/>
    <w:rsid w:val="00874191"/>
    <w:rsid w:val="00880EF2"/>
    <w:rsid w:val="00881807"/>
    <w:rsid w:val="00881D75"/>
    <w:rsid w:val="00882874"/>
    <w:rsid w:val="00882B27"/>
    <w:rsid w:val="00883787"/>
    <w:rsid w:val="0088440D"/>
    <w:rsid w:val="00885372"/>
    <w:rsid w:val="00885FE2"/>
    <w:rsid w:val="008865A7"/>
    <w:rsid w:val="0088752F"/>
    <w:rsid w:val="00887F79"/>
    <w:rsid w:val="0089049D"/>
    <w:rsid w:val="0089357D"/>
    <w:rsid w:val="0089364E"/>
    <w:rsid w:val="0089389B"/>
    <w:rsid w:val="00894489"/>
    <w:rsid w:val="00895B96"/>
    <w:rsid w:val="008963A5"/>
    <w:rsid w:val="00896C71"/>
    <w:rsid w:val="00897CEE"/>
    <w:rsid w:val="008A0136"/>
    <w:rsid w:val="008A1537"/>
    <w:rsid w:val="008A2130"/>
    <w:rsid w:val="008A2A63"/>
    <w:rsid w:val="008A30FA"/>
    <w:rsid w:val="008A3434"/>
    <w:rsid w:val="008A3441"/>
    <w:rsid w:val="008A3C3E"/>
    <w:rsid w:val="008A53A6"/>
    <w:rsid w:val="008A6009"/>
    <w:rsid w:val="008A621C"/>
    <w:rsid w:val="008A79DE"/>
    <w:rsid w:val="008B0A04"/>
    <w:rsid w:val="008B0E82"/>
    <w:rsid w:val="008B321A"/>
    <w:rsid w:val="008B32C8"/>
    <w:rsid w:val="008B3915"/>
    <w:rsid w:val="008B3B17"/>
    <w:rsid w:val="008B486A"/>
    <w:rsid w:val="008B5080"/>
    <w:rsid w:val="008B5C44"/>
    <w:rsid w:val="008B5D49"/>
    <w:rsid w:val="008B722C"/>
    <w:rsid w:val="008B7B11"/>
    <w:rsid w:val="008B7D7E"/>
    <w:rsid w:val="008C0798"/>
    <w:rsid w:val="008C203D"/>
    <w:rsid w:val="008C2976"/>
    <w:rsid w:val="008C2D2A"/>
    <w:rsid w:val="008C35F0"/>
    <w:rsid w:val="008C372F"/>
    <w:rsid w:val="008C3B4B"/>
    <w:rsid w:val="008C4A3A"/>
    <w:rsid w:val="008C706E"/>
    <w:rsid w:val="008C7ECB"/>
    <w:rsid w:val="008D066F"/>
    <w:rsid w:val="008D07B2"/>
    <w:rsid w:val="008D08B6"/>
    <w:rsid w:val="008D135D"/>
    <w:rsid w:val="008D1BF4"/>
    <w:rsid w:val="008D4021"/>
    <w:rsid w:val="008D43CD"/>
    <w:rsid w:val="008D4EF5"/>
    <w:rsid w:val="008D564E"/>
    <w:rsid w:val="008D6EAC"/>
    <w:rsid w:val="008D6F01"/>
    <w:rsid w:val="008D7E29"/>
    <w:rsid w:val="008E02AC"/>
    <w:rsid w:val="008E078E"/>
    <w:rsid w:val="008E0A1E"/>
    <w:rsid w:val="008E109E"/>
    <w:rsid w:val="008E1229"/>
    <w:rsid w:val="008E1B9E"/>
    <w:rsid w:val="008E2908"/>
    <w:rsid w:val="008E31A5"/>
    <w:rsid w:val="008E4169"/>
    <w:rsid w:val="008E45DE"/>
    <w:rsid w:val="008E4D45"/>
    <w:rsid w:val="008E4E3C"/>
    <w:rsid w:val="008E4E9B"/>
    <w:rsid w:val="008E57E9"/>
    <w:rsid w:val="008E5B8B"/>
    <w:rsid w:val="008E7712"/>
    <w:rsid w:val="008F0762"/>
    <w:rsid w:val="008F07A4"/>
    <w:rsid w:val="008F120A"/>
    <w:rsid w:val="008F22D3"/>
    <w:rsid w:val="008F3CD9"/>
    <w:rsid w:val="008F41D4"/>
    <w:rsid w:val="008F48EB"/>
    <w:rsid w:val="008F4C15"/>
    <w:rsid w:val="008F4F0B"/>
    <w:rsid w:val="008F4FA7"/>
    <w:rsid w:val="008F5683"/>
    <w:rsid w:val="008F59DD"/>
    <w:rsid w:val="008F6088"/>
    <w:rsid w:val="008F79BC"/>
    <w:rsid w:val="008F7EAD"/>
    <w:rsid w:val="00900F61"/>
    <w:rsid w:val="009013AB"/>
    <w:rsid w:val="009014F0"/>
    <w:rsid w:val="00901E92"/>
    <w:rsid w:val="0090248D"/>
    <w:rsid w:val="0090266A"/>
    <w:rsid w:val="009027E5"/>
    <w:rsid w:val="009031F6"/>
    <w:rsid w:val="009045CB"/>
    <w:rsid w:val="009062A5"/>
    <w:rsid w:val="00906391"/>
    <w:rsid w:val="009066CB"/>
    <w:rsid w:val="00910514"/>
    <w:rsid w:val="00911167"/>
    <w:rsid w:val="00911272"/>
    <w:rsid w:val="00911EA3"/>
    <w:rsid w:val="00913F11"/>
    <w:rsid w:val="00915858"/>
    <w:rsid w:val="00915A33"/>
    <w:rsid w:val="00915D8B"/>
    <w:rsid w:val="0091703F"/>
    <w:rsid w:val="0091741A"/>
    <w:rsid w:val="00917F2C"/>
    <w:rsid w:val="009212A4"/>
    <w:rsid w:val="00923151"/>
    <w:rsid w:val="0092382F"/>
    <w:rsid w:val="0092450B"/>
    <w:rsid w:val="00924D93"/>
    <w:rsid w:val="00924F17"/>
    <w:rsid w:val="00925010"/>
    <w:rsid w:val="009275C6"/>
    <w:rsid w:val="0093025D"/>
    <w:rsid w:val="00931787"/>
    <w:rsid w:val="00932276"/>
    <w:rsid w:val="00932C13"/>
    <w:rsid w:val="00933460"/>
    <w:rsid w:val="00933E9B"/>
    <w:rsid w:val="0093439E"/>
    <w:rsid w:val="0093517F"/>
    <w:rsid w:val="009354C1"/>
    <w:rsid w:val="0093683D"/>
    <w:rsid w:val="00936C1E"/>
    <w:rsid w:val="009377C2"/>
    <w:rsid w:val="009422A4"/>
    <w:rsid w:val="00943E91"/>
    <w:rsid w:val="00944667"/>
    <w:rsid w:val="0094483B"/>
    <w:rsid w:val="0094491E"/>
    <w:rsid w:val="00945000"/>
    <w:rsid w:val="00945E06"/>
    <w:rsid w:val="00945EE0"/>
    <w:rsid w:val="00946402"/>
    <w:rsid w:val="009473EB"/>
    <w:rsid w:val="00950182"/>
    <w:rsid w:val="0095042E"/>
    <w:rsid w:val="00950DF0"/>
    <w:rsid w:val="00951168"/>
    <w:rsid w:val="0095198B"/>
    <w:rsid w:val="00952337"/>
    <w:rsid w:val="00952CBB"/>
    <w:rsid w:val="009532E6"/>
    <w:rsid w:val="00953911"/>
    <w:rsid w:val="00953CAB"/>
    <w:rsid w:val="00954A88"/>
    <w:rsid w:val="009550E5"/>
    <w:rsid w:val="00955BF8"/>
    <w:rsid w:val="00956CAA"/>
    <w:rsid w:val="00956E87"/>
    <w:rsid w:val="00956F40"/>
    <w:rsid w:val="00957330"/>
    <w:rsid w:val="0095742F"/>
    <w:rsid w:val="00957A84"/>
    <w:rsid w:val="00960DA9"/>
    <w:rsid w:val="00961074"/>
    <w:rsid w:val="0096108D"/>
    <w:rsid w:val="00961698"/>
    <w:rsid w:val="009619F1"/>
    <w:rsid w:val="00961DF2"/>
    <w:rsid w:val="00962CB9"/>
    <w:rsid w:val="00964312"/>
    <w:rsid w:val="00964E2F"/>
    <w:rsid w:val="00966114"/>
    <w:rsid w:val="00966CA1"/>
    <w:rsid w:val="009676A1"/>
    <w:rsid w:val="009705A4"/>
    <w:rsid w:val="00971052"/>
    <w:rsid w:val="0097114F"/>
    <w:rsid w:val="00971BC8"/>
    <w:rsid w:val="00971F16"/>
    <w:rsid w:val="009723D4"/>
    <w:rsid w:val="0097368C"/>
    <w:rsid w:val="009739FB"/>
    <w:rsid w:val="0097437E"/>
    <w:rsid w:val="00975749"/>
    <w:rsid w:val="0097598B"/>
    <w:rsid w:val="00976B84"/>
    <w:rsid w:val="0097726C"/>
    <w:rsid w:val="0098031E"/>
    <w:rsid w:val="00980851"/>
    <w:rsid w:val="00981CFA"/>
    <w:rsid w:val="00981DDE"/>
    <w:rsid w:val="00982BD0"/>
    <w:rsid w:val="00982DE8"/>
    <w:rsid w:val="00983124"/>
    <w:rsid w:val="00983E57"/>
    <w:rsid w:val="00984387"/>
    <w:rsid w:val="0098442C"/>
    <w:rsid w:val="009846CA"/>
    <w:rsid w:val="00985428"/>
    <w:rsid w:val="00985542"/>
    <w:rsid w:val="00985FDF"/>
    <w:rsid w:val="0098673B"/>
    <w:rsid w:val="00986BEB"/>
    <w:rsid w:val="00987E7B"/>
    <w:rsid w:val="00990FD9"/>
    <w:rsid w:val="00991A9C"/>
    <w:rsid w:val="00993E7E"/>
    <w:rsid w:val="00994490"/>
    <w:rsid w:val="00995D7E"/>
    <w:rsid w:val="00996B1A"/>
    <w:rsid w:val="009978B6"/>
    <w:rsid w:val="009978ED"/>
    <w:rsid w:val="00997CEF"/>
    <w:rsid w:val="009A0EF4"/>
    <w:rsid w:val="009A13C0"/>
    <w:rsid w:val="009A149F"/>
    <w:rsid w:val="009A2A40"/>
    <w:rsid w:val="009A3628"/>
    <w:rsid w:val="009A3822"/>
    <w:rsid w:val="009A456C"/>
    <w:rsid w:val="009A5BE8"/>
    <w:rsid w:val="009A5DCE"/>
    <w:rsid w:val="009A5E77"/>
    <w:rsid w:val="009A7E4A"/>
    <w:rsid w:val="009B0EB3"/>
    <w:rsid w:val="009B2C4C"/>
    <w:rsid w:val="009B3ACF"/>
    <w:rsid w:val="009B3E26"/>
    <w:rsid w:val="009B3F52"/>
    <w:rsid w:val="009B4867"/>
    <w:rsid w:val="009B64F3"/>
    <w:rsid w:val="009B7790"/>
    <w:rsid w:val="009B78A7"/>
    <w:rsid w:val="009B7A98"/>
    <w:rsid w:val="009C0040"/>
    <w:rsid w:val="009C0BED"/>
    <w:rsid w:val="009C0CB3"/>
    <w:rsid w:val="009C17EA"/>
    <w:rsid w:val="009C1A9D"/>
    <w:rsid w:val="009C25FC"/>
    <w:rsid w:val="009C5FC7"/>
    <w:rsid w:val="009C65D6"/>
    <w:rsid w:val="009C6BAD"/>
    <w:rsid w:val="009C6CA2"/>
    <w:rsid w:val="009C70CC"/>
    <w:rsid w:val="009C7BAC"/>
    <w:rsid w:val="009D01BC"/>
    <w:rsid w:val="009D1588"/>
    <w:rsid w:val="009D1660"/>
    <w:rsid w:val="009D1B5B"/>
    <w:rsid w:val="009D2836"/>
    <w:rsid w:val="009D3007"/>
    <w:rsid w:val="009D368D"/>
    <w:rsid w:val="009D455C"/>
    <w:rsid w:val="009D4790"/>
    <w:rsid w:val="009D4F9B"/>
    <w:rsid w:val="009D5B91"/>
    <w:rsid w:val="009D5CE3"/>
    <w:rsid w:val="009D662D"/>
    <w:rsid w:val="009D6A27"/>
    <w:rsid w:val="009D6BAD"/>
    <w:rsid w:val="009D6CCB"/>
    <w:rsid w:val="009D71F2"/>
    <w:rsid w:val="009D781E"/>
    <w:rsid w:val="009D7BDC"/>
    <w:rsid w:val="009E0171"/>
    <w:rsid w:val="009E1A07"/>
    <w:rsid w:val="009E29E0"/>
    <w:rsid w:val="009E4C07"/>
    <w:rsid w:val="009E4F2E"/>
    <w:rsid w:val="009E51C1"/>
    <w:rsid w:val="009E609F"/>
    <w:rsid w:val="009E63F0"/>
    <w:rsid w:val="009E693D"/>
    <w:rsid w:val="009E7EF4"/>
    <w:rsid w:val="009F1BE9"/>
    <w:rsid w:val="009F3AD6"/>
    <w:rsid w:val="009F3C6B"/>
    <w:rsid w:val="009F40D5"/>
    <w:rsid w:val="009F59A6"/>
    <w:rsid w:val="009F60D2"/>
    <w:rsid w:val="009F6179"/>
    <w:rsid w:val="009F71AD"/>
    <w:rsid w:val="009F7A00"/>
    <w:rsid w:val="009F7A19"/>
    <w:rsid w:val="00A00828"/>
    <w:rsid w:val="00A00E71"/>
    <w:rsid w:val="00A00FE9"/>
    <w:rsid w:val="00A015EF"/>
    <w:rsid w:val="00A031DC"/>
    <w:rsid w:val="00A03D43"/>
    <w:rsid w:val="00A04380"/>
    <w:rsid w:val="00A04995"/>
    <w:rsid w:val="00A04E1C"/>
    <w:rsid w:val="00A059B7"/>
    <w:rsid w:val="00A06097"/>
    <w:rsid w:val="00A07857"/>
    <w:rsid w:val="00A0786E"/>
    <w:rsid w:val="00A10C72"/>
    <w:rsid w:val="00A10EB0"/>
    <w:rsid w:val="00A11767"/>
    <w:rsid w:val="00A1309F"/>
    <w:rsid w:val="00A13948"/>
    <w:rsid w:val="00A14423"/>
    <w:rsid w:val="00A15216"/>
    <w:rsid w:val="00A16108"/>
    <w:rsid w:val="00A16695"/>
    <w:rsid w:val="00A17407"/>
    <w:rsid w:val="00A20FB5"/>
    <w:rsid w:val="00A222E1"/>
    <w:rsid w:val="00A23368"/>
    <w:rsid w:val="00A23BDC"/>
    <w:rsid w:val="00A25ADC"/>
    <w:rsid w:val="00A25FD4"/>
    <w:rsid w:val="00A27AEC"/>
    <w:rsid w:val="00A300AC"/>
    <w:rsid w:val="00A30875"/>
    <w:rsid w:val="00A30B29"/>
    <w:rsid w:val="00A30C2B"/>
    <w:rsid w:val="00A30C72"/>
    <w:rsid w:val="00A30DBD"/>
    <w:rsid w:val="00A31BB5"/>
    <w:rsid w:val="00A31FD5"/>
    <w:rsid w:val="00A32A00"/>
    <w:rsid w:val="00A3352E"/>
    <w:rsid w:val="00A34ECC"/>
    <w:rsid w:val="00A35D16"/>
    <w:rsid w:val="00A35E95"/>
    <w:rsid w:val="00A36635"/>
    <w:rsid w:val="00A3691D"/>
    <w:rsid w:val="00A3731A"/>
    <w:rsid w:val="00A375E0"/>
    <w:rsid w:val="00A40521"/>
    <w:rsid w:val="00A40B11"/>
    <w:rsid w:val="00A40CCE"/>
    <w:rsid w:val="00A40E22"/>
    <w:rsid w:val="00A418E8"/>
    <w:rsid w:val="00A42A4D"/>
    <w:rsid w:val="00A42A93"/>
    <w:rsid w:val="00A42F00"/>
    <w:rsid w:val="00A43C59"/>
    <w:rsid w:val="00A440B7"/>
    <w:rsid w:val="00A44362"/>
    <w:rsid w:val="00A444A0"/>
    <w:rsid w:val="00A445E2"/>
    <w:rsid w:val="00A45AC3"/>
    <w:rsid w:val="00A4673C"/>
    <w:rsid w:val="00A46830"/>
    <w:rsid w:val="00A46B56"/>
    <w:rsid w:val="00A47A68"/>
    <w:rsid w:val="00A50934"/>
    <w:rsid w:val="00A50C34"/>
    <w:rsid w:val="00A50ECD"/>
    <w:rsid w:val="00A515DA"/>
    <w:rsid w:val="00A515ED"/>
    <w:rsid w:val="00A5240E"/>
    <w:rsid w:val="00A52729"/>
    <w:rsid w:val="00A53415"/>
    <w:rsid w:val="00A53559"/>
    <w:rsid w:val="00A53675"/>
    <w:rsid w:val="00A54FEE"/>
    <w:rsid w:val="00A56B6A"/>
    <w:rsid w:val="00A56BBD"/>
    <w:rsid w:val="00A57079"/>
    <w:rsid w:val="00A57322"/>
    <w:rsid w:val="00A578DC"/>
    <w:rsid w:val="00A60CCF"/>
    <w:rsid w:val="00A617A8"/>
    <w:rsid w:val="00A62D21"/>
    <w:rsid w:val="00A63445"/>
    <w:rsid w:val="00A640A0"/>
    <w:rsid w:val="00A6441C"/>
    <w:rsid w:val="00A64BDB"/>
    <w:rsid w:val="00A651A8"/>
    <w:rsid w:val="00A65435"/>
    <w:rsid w:val="00A6725B"/>
    <w:rsid w:val="00A67370"/>
    <w:rsid w:val="00A67E39"/>
    <w:rsid w:val="00A708E6"/>
    <w:rsid w:val="00A70E30"/>
    <w:rsid w:val="00A71188"/>
    <w:rsid w:val="00A71A60"/>
    <w:rsid w:val="00A727F9"/>
    <w:rsid w:val="00A73EA4"/>
    <w:rsid w:val="00A74A6D"/>
    <w:rsid w:val="00A7535A"/>
    <w:rsid w:val="00A75ED6"/>
    <w:rsid w:val="00A76AAE"/>
    <w:rsid w:val="00A77B68"/>
    <w:rsid w:val="00A80AFD"/>
    <w:rsid w:val="00A81AC7"/>
    <w:rsid w:val="00A81B57"/>
    <w:rsid w:val="00A82F43"/>
    <w:rsid w:val="00A84731"/>
    <w:rsid w:val="00A8583B"/>
    <w:rsid w:val="00A85EFD"/>
    <w:rsid w:val="00A86029"/>
    <w:rsid w:val="00A86E8B"/>
    <w:rsid w:val="00A871C0"/>
    <w:rsid w:val="00A87D82"/>
    <w:rsid w:val="00A87F83"/>
    <w:rsid w:val="00A90328"/>
    <w:rsid w:val="00A90842"/>
    <w:rsid w:val="00A90F91"/>
    <w:rsid w:val="00A9175E"/>
    <w:rsid w:val="00A92A8D"/>
    <w:rsid w:val="00A93072"/>
    <w:rsid w:val="00A930FF"/>
    <w:rsid w:val="00A93F67"/>
    <w:rsid w:val="00A94A5D"/>
    <w:rsid w:val="00A959D8"/>
    <w:rsid w:val="00A961EA"/>
    <w:rsid w:val="00A96697"/>
    <w:rsid w:val="00A96C80"/>
    <w:rsid w:val="00A96CF0"/>
    <w:rsid w:val="00A97CBE"/>
    <w:rsid w:val="00AA042E"/>
    <w:rsid w:val="00AA0CFD"/>
    <w:rsid w:val="00AA2ED6"/>
    <w:rsid w:val="00AA371E"/>
    <w:rsid w:val="00AA416B"/>
    <w:rsid w:val="00AA4CA9"/>
    <w:rsid w:val="00AA53BE"/>
    <w:rsid w:val="00AA5BD2"/>
    <w:rsid w:val="00AA6364"/>
    <w:rsid w:val="00AA6B99"/>
    <w:rsid w:val="00AA6FC7"/>
    <w:rsid w:val="00AA7290"/>
    <w:rsid w:val="00AB0079"/>
    <w:rsid w:val="00AB042A"/>
    <w:rsid w:val="00AB0791"/>
    <w:rsid w:val="00AB0D24"/>
    <w:rsid w:val="00AB2D34"/>
    <w:rsid w:val="00AB3430"/>
    <w:rsid w:val="00AB3874"/>
    <w:rsid w:val="00AB399A"/>
    <w:rsid w:val="00AB3B32"/>
    <w:rsid w:val="00AB3CEE"/>
    <w:rsid w:val="00AB3DB2"/>
    <w:rsid w:val="00AB5055"/>
    <w:rsid w:val="00AB5ECB"/>
    <w:rsid w:val="00AB63E9"/>
    <w:rsid w:val="00AB6666"/>
    <w:rsid w:val="00AB6881"/>
    <w:rsid w:val="00AB769C"/>
    <w:rsid w:val="00AB7CFA"/>
    <w:rsid w:val="00AB7FC9"/>
    <w:rsid w:val="00AC07F4"/>
    <w:rsid w:val="00AC1443"/>
    <w:rsid w:val="00AC17E2"/>
    <w:rsid w:val="00AC18BA"/>
    <w:rsid w:val="00AC2224"/>
    <w:rsid w:val="00AC2EC4"/>
    <w:rsid w:val="00AC305B"/>
    <w:rsid w:val="00AC337C"/>
    <w:rsid w:val="00AC3AE2"/>
    <w:rsid w:val="00AC7E51"/>
    <w:rsid w:val="00AC7F50"/>
    <w:rsid w:val="00AC7FF0"/>
    <w:rsid w:val="00AD029F"/>
    <w:rsid w:val="00AD0965"/>
    <w:rsid w:val="00AD141D"/>
    <w:rsid w:val="00AD1B0F"/>
    <w:rsid w:val="00AD20BA"/>
    <w:rsid w:val="00AD2189"/>
    <w:rsid w:val="00AD2F45"/>
    <w:rsid w:val="00AD5340"/>
    <w:rsid w:val="00AD5961"/>
    <w:rsid w:val="00AD6B30"/>
    <w:rsid w:val="00AD6DE7"/>
    <w:rsid w:val="00AE214E"/>
    <w:rsid w:val="00AE377C"/>
    <w:rsid w:val="00AE45EA"/>
    <w:rsid w:val="00AE7526"/>
    <w:rsid w:val="00AF1390"/>
    <w:rsid w:val="00AF1B0A"/>
    <w:rsid w:val="00AF1C21"/>
    <w:rsid w:val="00AF2743"/>
    <w:rsid w:val="00AF2789"/>
    <w:rsid w:val="00AF40C4"/>
    <w:rsid w:val="00AF4BF3"/>
    <w:rsid w:val="00AF50F7"/>
    <w:rsid w:val="00AF5E05"/>
    <w:rsid w:val="00AF762E"/>
    <w:rsid w:val="00AF7A8E"/>
    <w:rsid w:val="00B00A6D"/>
    <w:rsid w:val="00B01A80"/>
    <w:rsid w:val="00B01BE9"/>
    <w:rsid w:val="00B01CD9"/>
    <w:rsid w:val="00B01D3C"/>
    <w:rsid w:val="00B027E3"/>
    <w:rsid w:val="00B02BF5"/>
    <w:rsid w:val="00B030C3"/>
    <w:rsid w:val="00B03ECE"/>
    <w:rsid w:val="00B048BE"/>
    <w:rsid w:val="00B04F3C"/>
    <w:rsid w:val="00B0585A"/>
    <w:rsid w:val="00B05D36"/>
    <w:rsid w:val="00B060BB"/>
    <w:rsid w:val="00B06855"/>
    <w:rsid w:val="00B06DE1"/>
    <w:rsid w:val="00B06E4A"/>
    <w:rsid w:val="00B07E33"/>
    <w:rsid w:val="00B12077"/>
    <w:rsid w:val="00B12F91"/>
    <w:rsid w:val="00B14BF6"/>
    <w:rsid w:val="00B156B4"/>
    <w:rsid w:val="00B15C53"/>
    <w:rsid w:val="00B16EBE"/>
    <w:rsid w:val="00B1770C"/>
    <w:rsid w:val="00B17BE7"/>
    <w:rsid w:val="00B17E53"/>
    <w:rsid w:val="00B17F30"/>
    <w:rsid w:val="00B20CE3"/>
    <w:rsid w:val="00B22B66"/>
    <w:rsid w:val="00B231E9"/>
    <w:rsid w:val="00B25612"/>
    <w:rsid w:val="00B267FB"/>
    <w:rsid w:val="00B26A92"/>
    <w:rsid w:val="00B273E5"/>
    <w:rsid w:val="00B273FB"/>
    <w:rsid w:val="00B27607"/>
    <w:rsid w:val="00B276E1"/>
    <w:rsid w:val="00B324AC"/>
    <w:rsid w:val="00B326EC"/>
    <w:rsid w:val="00B347D4"/>
    <w:rsid w:val="00B34AA9"/>
    <w:rsid w:val="00B34D09"/>
    <w:rsid w:val="00B34E34"/>
    <w:rsid w:val="00B352FE"/>
    <w:rsid w:val="00B353F9"/>
    <w:rsid w:val="00B37603"/>
    <w:rsid w:val="00B40874"/>
    <w:rsid w:val="00B40AAD"/>
    <w:rsid w:val="00B40BF9"/>
    <w:rsid w:val="00B42851"/>
    <w:rsid w:val="00B4353A"/>
    <w:rsid w:val="00B4379A"/>
    <w:rsid w:val="00B43E45"/>
    <w:rsid w:val="00B44357"/>
    <w:rsid w:val="00B45079"/>
    <w:rsid w:val="00B4523F"/>
    <w:rsid w:val="00B47475"/>
    <w:rsid w:val="00B47D40"/>
    <w:rsid w:val="00B47F51"/>
    <w:rsid w:val="00B50C30"/>
    <w:rsid w:val="00B50DB8"/>
    <w:rsid w:val="00B538EA"/>
    <w:rsid w:val="00B53905"/>
    <w:rsid w:val="00B53E99"/>
    <w:rsid w:val="00B54208"/>
    <w:rsid w:val="00B54B5B"/>
    <w:rsid w:val="00B5562E"/>
    <w:rsid w:val="00B56B02"/>
    <w:rsid w:val="00B57000"/>
    <w:rsid w:val="00B57281"/>
    <w:rsid w:val="00B60939"/>
    <w:rsid w:val="00B60AFD"/>
    <w:rsid w:val="00B60DD6"/>
    <w:rsid w:val="00B61314"/>
    <w:rsid w:val="00B61597"/>
    <w:rsid w:val="00B6170A"/>
    <w:rsid w:val="00B62715"/>
    <w:rsid w:val="00B63980"/>
    <w:rsid w:val="00B65170"/>
    <w:rsid w:val="00B65C0D"/>
    <w:rsid w:val="00B65C9D"/>
    <w:rsid w:val="00B660EA"/>
    <w:rsid w:val="00B6694B"/>
    <w:rsid w:val="00B72110"/>
    <w:rsid w:val="00B72114"/>
    <w:rsid w:val="00B733F4"/>
    <w:rsid w:val="00B7467D"/>
    <w:rsid w:val="00B74A85"/>
    <w:rsid w:val="00B755DC"/>
    <w:rsid w:val="00B7641D"/>
    <w:rsid w:val="00B7660D"/>
    <w:rsid w:val="00B76E39"/>
    <w:rsid w:val="00B779DF"/>
    <w:rsid w:val="00B77EA7"/>
    <w:rsid w:val="00B80E8F"/>
    <w:rsid w:val="00B814BC"/>
    <w:rsid w:val="00B818A4"/>
    <w:rsid w:val="00B8259A"/>
    <w:rsid w:val="00B8301A"/>
    <w:rsid w:val="00B830DA"/>
    <w:rsid w:val="00B83147"/>
    <w:rsid w:val="00B83F88"/>
    <w:rsid w:val="00B84307"/>
    <w:rsid w:val="00B854A5"/>
    <w:rsid w:val="00B861BD"/>
    <w:rsid w:val="00B8649C"/>
    <w:rsid w:val="00B869EE"/>
    <w:rsid w:val="00B86DA3"/>
    <w:rsid w:val="00B86F7E"/>
    <w:rsid w:val="00B87C0E"/>
    <w:rsid w:val="00B905E7"/>
    <w:rsid w:val="00B90654"/>
    <w:rsid w:val="00B90A3A"/>
    <w:rsid w:val="00B917B5"/>
    <w:rsid w:val="00B92D0B"/>
    <w:rsid w:val="00B9342C"/>
    <w:rsid w:val="00B93994"/>
    <w:rsid w:val="00B93AFD"/>
    <w:rsid w:val="00B94945"/>
    <w:rsid w:val="00B94E3C"/>
    <w:rsid w:val="00B94E42"/>
    <w:rsid w:val="00B9508E"/>
    <w:rsid w:val="00BA03B5"/>
    <w:rsid w:val="00BA1A0B"/>
    <w:rsid w:val="00BA2C16"/>
    <w:rsid w:val="00BA315B"/>
    <w:rsid w:val="00BA3389"/>
    <w:rsid w:val="00BA3CDF"/>
    <w:rsid w:val="00BA3E18"/>
    <w:rsid w:val="00BA4909"/>
    <w:rsid w:val="00BA6A05"/>
    <w:rsid w:val="00BB0E57"/>
    <w:rsid w:val="00BB1EE9"/>
    <w:rsid w:val="00BB224F"/>
    <w:rsid w:val="00BB27C1"/>
    <w:rsid w:val="00BB2849"/>
    <w:rsid w:val="00BB2FA0"/>
    <w:rsid w:val="00BB45D4"/>
    <w:rsid w:val="00BB4799"/>
    <w:rsid w:val="00BB4D7C"/>
    <w:rsid w:val="00BB4E8F"/>
    <w:rsid w:val="00BB5893"/>
    <w:rsid w:val="00BB5925"/>
    <w:rsid w:val="00BB6013"/>
    <w:rsid w:val="00BB660D"/>
    <w:rsid w:val="00BB6D98"/>
    <w:rsid w:val="00BB6EBB"/>
    <w:rsid w:val="00BB7405"/>
    <w:rsid w:val="00BB77CC"/>
    <w:rsid w:val="00BC02BB"/>
    <w:rsid w:val="00BC060B"/>
    <w:rsid w:val="00BC2152"/>
    <w:rsid w:val="00BC2D2E"/>
    <w:rsid w:val="00BC3AE0"/>
    <w:rsid w:val="00BC3CF7"/>
    <w:rsid w:val="00BC3DDC"/>
    <w:rsid w:val="00BC45C7"/>
    <w:rsid w:val="00BC480B"/>
    <w:rsid w:val="00BC4B0B"/>
    <w:rsid w:val="00BC5A64"/>
    <w:rsid w:val="00BC772F"/>
    <w:rsid w:val="00BD0762"/>
    <w:rsid w:val="00BD08D7"/>
    <w:rsid w:val="00BD1D82"/>
    <w:rsid w:val="00BD2173"/>
    <w:rsid w:val="00BD2F07"/>
    <w:rsid w:val="00BD3725"/>
    <w:rsid w:val="00BD3D0F"/>
    <w:rsid w:val="00BD45F6"/>
    <w:rsid w:val="00BD4D7E"/>
    <w:rsid w:val="00BD51E4"/>
    <w:rsid w:val="00BD5365"/>
    <w:rsid w:val="00BD54BA"/>
    <w:rsid w:val="00BD54C9"/>
    <w:rsid w:val="00BD6703"/>
    <w:rsid w:val="00BD6CF3"/>
    <w:rsid w:val="00BD75C2"/>
    <w:rsid w:val="00BE07CA"/>
    <w:rsid w:val="00BE07DE"/>
    <w:rsid w:val="00BE16DE"/>
    <w:rsid w:val="00BE20E8"/>
    <w:rsid w:val="00BE214E"/>
    <w:rsid w:val="00BE2180"/>
    <w:rsid w:val="00BE2E24"/>
    <w:rsid w:val="00BE3F79"/>
    <w:rsid w:val="00BE4275"/>
    <w:rsid w:val="00BE4BB9"/>
    <w:rsid w:val="00BE555D"/>
    <w:rsid w:val="00BE5B57"/>
    <w:rsid w:val="00BE6271"/>
    <w:rsid w:val="00BE648B"/>
    <w:rsid w:val="00BE66C2"/>
    <w:rsid w:val="00BF0ED2"/>
    <w:rsid w:val="00BF0F5E"/>
    <w:rsid w:val="00BF0FAB"/>
    <w:rsid w:val="00BF1309"/>
    <w:rsid w:val="00BF2433"/>
    <w:rsid w:val="00BF3BC7"/>
    <w:rsid w:val="00BF3E4D"/>
    <w:rsid w:val="00BF4266"/>
    <w:rsid w:val="00BF4B57"/>
    <w:rsid w:val="00BF57D9"/>
    <w:rsid w:val="00BF6028"/>
    <w:rsid w:val="00BF61C9"/>
    <w:rsid w:val="00BF61F0"/>
    <w:rsid w:val="00BF6B5E"/>
    <w:rsid w:val="00BF78C2"/>
    <w:rsid w:val="00C0007D"/>
    <w:rsid w:val="00C00E0F"/>
    <w:rsid w:val="00C010AE"/>
    <w:rsid w:val="00C0153A"/>
    <w:rsid w:val="00C0327C"/>
    <w:rsid w:val="00C03327"/>
    <w:rsid w:val="00C051B9"/>
    <w:rsid w:val="00C05BE0"/>
    <w:rsid w:val="00C06463"/>
    <w:rsid w:val="00C07382"/>
    <w:rsid w:val="00C0780C"/>
    <w:rsid w:val="00C10878"/>
    <w:rsid w:val="00C11AB4"/>
    <w:rsid w:val="00C11DC1"/>
    <w:rsid w:val="00C12417"/>
    <w:rsid w:val="00C12B49"/>
    <w:rsid w:val="00C16610"/>
    <w:rsid w:val="00C16822"/>
    <w:rsid w:val="00C1754B"/>
    <w:rsid w:val="00C175AC"/>
    <w:rsid w:val="00C20644"/>
    <w:rsid w:val="00C208D8"/>
    <w:rsid w:val="00C23964"/>
    <w:rsid w:val="00C2406C"/>
    <w:rsid w:val="00C249C1"/>
    <w:rsid w:val="00C24D55"/>
    <w:rsid w:val="00C25166"/>
    <w:rsid w:val="00C25418"/>
    <w:rsid w:val="00C2571B"/>
    <w:rsid w:val="00C25D9C"/>
    <w:rsid w:val="00C2681D"/>
    <w:rsid w:val="00C30F96"/>
    <w:rsid w:val="00C31105"/>
    <w:rsid w:val="00C31616"/>
    <w:rsid w:val="00C31649"/>
    <w:rsid w:val="00C31B4A"/>
    <w:rsid w:val="00C323B5"/>
    <w:rsid w:val="00C33CBA"/>
    <w:rsid w:val="00C34BD2"/>
    <w:rsid w:val="00C3584D"/>
    <w:rsid w:val="00C36C5E"/>
    <w:rsid w:val="00C370D7"/>
    <w:rsid w:val="00C37901"/>
    <w:rsid w:val="00C37ED8"/>
    <w:rsid w:val="00C40385"/>
    <w:rsid w:val="00C4105E"/>
    <w:rsid w:val="00C411C1"/>
    <w:rsid w:val="00C41C12"/>
    <w:rsid w:val="00C41DA5"/>
    <w:rsid w:val="00C4350C"/>
    <w:rsid w:val="00C43F4B"/>
    <w:rsid w:val="00C456E4"/>
    <w:rsid w:val="00C46239"/>
    <w:rsid w:val="00C46A03"/>
    <w:rsid w:val="00C51269"/>
    <w:rsid w:val="00C51872"/>
    <w:rsid w:val="00C51E34"/>
    <w:rsid w:val="00C523A6"/>
    <w:rsid w:val="00C53202"/>
    <w:rsid w:val="00C53D3B"/>
    <w:rsid w:val="00C54B0E"/>
    <w:rsid w:val="00C54D3C"/>
    <w:rsid w:val="00C54DF8"/>
    <w:rsid w:val="00C54E0F"/>
    <w:rsid w:val="00C55329"/>
    <w:rsid w:val="00C55534"/>
    <w:rsid w:val="00C56789"/>
    <w:rsid w:val="00C575D9"/>
    <w:rsid w:val="00C57FE7"/>
    <w:rsid w:val="00C60170"/>
    <w:rsid w:val="00C601C0"/>
    <w:rsid w:val="00C60C26"/>
    <w:rsid w:val="00C6129A"/>
    <w:rsid w:val="00C62EEB"/>
    <w:rsid w:val="00C638A1"/>
    <w:rsid w:val="00C64E5A"/>
    <w:rsid w:val="00C65576"/>
    <w:rsid w:val="00C65D09"/>
    <w:rsid w:val="00C66165"/>
    <w:rsid w:val="00C6657D"/>
    <w:rsid w:val="00C66784"/>
    <w:rsid w:val="00C673F3"/>
    <w:rsid w:val="00C67E3E"/>
    <w:rsid w:val="00C70266"/>
    <w:rsid w:val="00C70BB2"/>
    <w:rsid w:val="00C71334"/>
    <w:rsid w:val="00C72A51"/>
    <w:rsid w:val="00C72C3F"/>
    <w:rsid w:val="00C7382E"/>
    <w:rsid w:val="00C750C8"/>
    <w:rsid w:val="00C7511A"/>
    <w:rsid w:val="00C75258"/>
    <w:rsid w:val="00C756E0"/>
    <w:rsid w:val="00C75956"/>
    <w:rsid w:val="00C7717F"/>
    <w:rsid w:val="00C8213F"/>
    <w:rsid w:val="00C8279E"/>
    <w:rsid w:val="00C83474"/>
    <w:rsid w:val="00C83E47"/>
    <w:rsid w:val="00C84ED1"/>
    <w:rsid w:val="00C84EF3"/>
    <w:rsid w:val="00C86C50"/>
    <w:rsid w:val="00C87513"/>
    <w:rsid w:val="00C87585"/>
    <w:rsid w:val="00C87725"/>
    <w:rsid w:val="00C8797A"/>
    <w:rsid w:val="00C87F71"/>
    <w:rsid w:val="00C87F92"/>
    <w:rsid w:val="00C91407"/>
    <w:rsid w:val="00C91DF0"/>
    <w:rsid w:val="00C92F3A"/>
    <w:rsid w:val="00C938CF"/>
    <w:rsid w:val="00C93906"/>
    <w:rsid w:val="00C94DED"/>
    <w:rsid w:val="00C96E2E"/>
    <w:rsid w:val="00C97626"/>
    <w:rsid w:val="00CA1124"/>
    <w:rsid w:val="00CA2CC5"/>
    <w:rsid w:val="00CA3228"/>
    <w:rsid w:val="00CA5233"/>
    <w:rsid w:val="00CA5245"/>
    <w:rsid w:val="00CA52C1"/>
    <w:rsid w:val="00CA5B4D"/>
    <w:rsid w:val="00CA5EC6"/>
    <w:rsid w:val="00CA6AA0"/>
    <w:rsid w:val="00CA7B09"/>
    <w:rsid w:val="00CA7B21"/>
    <w:rsid w:val="00CB09D4"/>
    <w:rsid w:val="00CB1F9E"/>
    <w:rsid w:val="00CB4092"/>
    <w:rsid w:val="00CB4503"/>
    <w:rsid w:val="00CB498D"/>
    <w:rsid w:val="00CB4EE1"/>
    <w:rsid w:val="00CB5B1A"/>
    <w:rsid w:val="00CB5B8B"/>
    <w:rsid w:val="00CB6C0E"/>
    <w:rsid w:val="00CB725C"/>
    <w:rsid w:val="00CB7B42"/>
    <w:rsid w:val="00CC05D5"/>
    <w:rsid w:val="00CC202B"/>
    <w:rsid w:val="00CC215F"/>
    <w:rsid w:val="00CC4008"/>
    <w:rsid w:val="00CC50B3"/>
    <w:rsid w:val="00CC5136"/>
    <w:rsid w:val="00CC6791"/>
    <w:rsid w:val="00CC7439"/>
    <w:rsid w:val="00CD219F"/>
    <w:rsid w:val="00CD4121"/>
    <w:rsid w:val="00CD4851"/>
    <w:rsid w:val="00CD4A5B"/>
    <w:rsid w:val="00CD551E"/>
    <w:rsid w:val="00CD583F"/>
    <w:rsid w:val="00CD6324"/>
    <w:rsid w:val="00CD6ADC"/>
    <w:rsid w:val="00CD7C09"/>
    <w:rsid w:val="00CD7F10"/>
    <w:rsid w:val="00CE10C4"/>
    <w:rsid w:val="00CE1642"/>
    <w:rsid w:val="00CE1F29"/>
    <w:rsid w:val="00CE2464"/>
    <w:rsid w:val="00CE2B34"/>
    <w:rsid w:val="00CE37F0"/>
    <w:rsid w:val="00CE420A"/>
    <w:rsid w:val="00CE4AC6"/>
    <w:rsid w:val="00CE4CB6"/>
    <w:rsid w:val="00CE52AB"/>
    <w:rsid w:val="00CE584D"/>
    <w:rsid w:val="00CE5CAE"/>
    <w:rsid w:val="00CE6274"/>
    <w:rsid w:val="00CE6557"/>
    <w:rsid w:val="00CE6C5B"/>
    <w:rsid w:val="00CE6EEE"/>
    <w:rsid w:val="00CE73F2"/>
    <w:rsid w:val="00CF0D24"/>
    <w:rsid w:val="00CF1755"/>
    <w:rsid w:val="00CF2194"/>
    <w:rsid w:val="00CF2D90"/>
    <w:rsid w:val="00CF2D97"/>
    <w:rsid w:val="00CF3E51"/>
    <w:rsid w:val="00CF456B"/>
    <w:rsid w:val="00CF484E"/>
    <w:rsid w:val="00CF545F"/>
    <w:rsid w:val="00CF5828"/>
    <w:rsid w:val="00CF5A22"/>
    <w:rsid w:val="00CF5DD9"/>
    <w:rsid w:val="00CF5E45"/>
    <w:rsid w:val="00CF6242"/>
    <w:rsid w:val="00CF638C"/>
    <w:rsid w:val="00CF6B38"/>
    <w:rsid w:val="00CF6E60"/>
    <w:rsid w:val="00CF74E7"/>
    <w:rsid w:val="00D0015B"/>
    <w:rsid w:val="00D00515"/>
    <w:rsid w:val="00D015F6"/>
    <w:rsid w:val="00D01A8F"/>
    <w:rsid w:val="00D0262E"/>
    <w:rsid w:val="00D02D30"/>
    <w:rsid w:val="00D031FD"/>
    <w:rsid w:val="00D03C7B"/>
    <w:rsid w:val="00D04676"/>
    <w:rsid w:val="00D048DE"/>
    <w:rsid w:val="00D04CAD"/>
    <w:rsid w:val="00D05B96"/>
    <w:rsid w:val="00D06C20"/>
    <w:rsid w:val="00D07BB8"/>
    <w:rsid w:val="00D07FA2"/>
    <w:rsid w:val="00D10082"/>
    <w:rsid w:val="00D10404"/>
    <w:rsid w:val="00D110BD"/>
    <w:rsid w:val="00D1123C"/>
    <w:rsid w:val="00D11627"/>
    <w:rsid w:val="00D11CF2"/>
    <w:rsid w:val="00D11EB3"/>
    <w:rsid w:val="00D126AE"/>
    <w:rsid w:val="00D13528"/>
    <w:rsid w:val="00D14E0E"/>
    <w:rsid w:val="00D17CA2"/>
    <w:rsid w:val="00D17D6C"/>
    <w:rsid w:val="00D17DBB"/>
    <w:rsid w:val="00D23C37"/>
    <w:rsid w:val="00D2485E"/>
    <w:rsid w:val="00D24B18"/>
    <w:rsid w:val="00D24DA5"/>
    <w:rsid w:val="00D253E6"/>
    <w:rsid w:val="00D25D10"/>
    <w:rsid w:val="00D25F8A"/>
    <w:rsid w:val="00D26BA9"/>
    <w:rsid w:val="00D26E50"/>
    <w:rsid w:val="00D27A6A"/>
    <w:rsid w:val="00D30090"/>
    <w:rsid w:val="00D30F5B"/>
    <w:rsid w:val="00D3199F"/>
    <w:rsid w:val="00D325C6"/>
    <w:rsid w:val="00D3335D"/>
    <w:rsid w:val="00D335AF"/>
    <w:rsid w:val="00D33C10"/>
    <w:rsid w:val="00D3456A"/>
    <w:rsid w:val="00D34B16"/>
    <w:rsid w:val="00D34CB6"/>
    <w:rsid w:val="00D357FF"/>
    <w:rsid w:val="00D36509"/>
    <w:rsid w:val="00D42CB6"/>
    <w:rsid w:val="00D43C8A"/>
    <w:rsid w:val="00D45D53"/>
    <w:rsid w:val="00D46772"/>
    <w:rsid w:val="00D47CFC"/>
    <w:rsid w:val="00D47D66"/>
    <w:rsid w:val="00D47D9E"/>
    <w:rsid w:val="00D47DA1"/>
    <w:rsid w:val="00D505C0"/>
    <w:rsid w:val="00D506EE"/>
    <w:rsid w:val="00D5100A"/>
    <w:rsid w:val="00D51308"/>
    <w:rsid w:val="00D527EA"/>
    <w:rsid w:val="00D52BB3"/>
    <w:rsid w:val="00D53E30"/>
    <w:rsid w:val="00D54A2D"/>
    <w:rsid w:val="00D552C5"/>
    <w:rsid w:val="00D55897"/>
    <w:rsid w:val="00D56EC3"/>
    <w:rsid w:val="00D60D92"/>
    <w:rsid w:val="00D60F60"/>
    <w:rsid w:val="00D61441"/>
    <w:rsid w:val="00D615FE"/>
    <w:rsid w:val="00D63BC2"/>
    <w:rsid w:val="00D63CB7"/>
    <w:rsid w:val="00D66964"/>
    <w:rsid w:val="00D66B88"/>
    <w:rsid w:val="00D66B9F"/>
    <w:rsid w:val="00D66EB6"/>
    <w:rsid w:val="00D66F15"/>
    <w:rsid w:val="00D67077"/>
    <w:rsid w:val="00D67BCF"/>
    <w:rsid w:val="00D70BC6"/>
    <w:rsid w:val="00D7238A"/>
    <w:rsid w:val="00D73E50"/>
    <w:rsid w:val="00D755B0"/>
    <w:rsid w:val="00D75F36"/>
    <w:rsid w:val="00D76236"/>
    <w:rsid w:val="00D76A44"/>
    <w:rsid w:val="00D77438"/>
    <w:rsid w:val="00D77B9F"/>
    <w:rsid w:val="00D77BC7"/>
    <w:rsid w:val="00D77D4D"/>
    <w:rsid w:val="00D77D53"/>
    <w:rsid w:val="00D77F11"/>
    <w:rsid w:val="00D81F88"/>
    <w:rsid w:val="00D838ED"/>
    <w:rsid w:val="00D84F07"/>
    <w:rsid w:val="00D85A56"/>
    <w:rsid w:val="00D85E07"/>
    <w:rsid w:val="00D85E37"/>
    <w:rsid w:val="00D87166"/>
    <w:rsid w:val="00D87E3A"/>
    <w:rsid w:val="00D90B33"/>
    <w:rsid w:val="00D91C03"/>
    <w:rsid w:val="00D93753"/>
    <w:rsid w:val="00D9488B"/>
    <w:rsid w:val="00D94A89"/>
    <w:rsid w:val="00D94EC9"/>
    <w:rsid w:val="00D95E11"/>
    <w:rsid w:val="00D9611B"/>
    <w:rsid w:val="00D974E2"/>
    <w:rsid w:val="00D9769F"/>
    <w:rsid w:val="00D97ECB"/>
    <w:rsid w:val="00DA0012"/>
    <w:rsid w:val="00DA05D1"/>
    <w:rsid w:val="00DA07C2"/>
    <w:rsid w:val="00DA342C"/>
    <w:rsid w:val="00DA3A8C"/>
    <w:rsid w:val="00DA4A29"/>
    <w:rsid w:val="00DA533E"/>
    <w:rsid w:val="00DA53F3"/>
    <w:rsid w:val="00DA64C7"/>
    <w:rsid w:val="00DA6999"/>
    <w:rsid w:val="00DA776A"/>
    <w:rsid w:val="00DA77A5"/>
    <w:rsid w:val="00DA77C5"/>
    <w:rsid w:val="00DB06F3"/>
    <w:rsid w:val="00DB15C1"/>
    <w:rsid w:val="00DB26AE"/>
    <w:rsid w:val="00DB28C6"/>
    <w:rsid w:val="00DB2BEB"/>
    <w:rsid w:val="00DB2CF7"/>
    <w:rsid w:val="00DB2DA6"/>
    <w:rsid w:val="00DB440A"/>
    <w:rsid w:val="00DB5D9B"/>
    <w:rsid w:val="00DB64FC"/>
    <w:rsid w:val="00DB6806"/>
    <w:rsid w:val="00DB687C"/>
    <w:rsid w:val="00DB6E52"/>
    <w:rsid w:val="00DB7983"/>
    <w:rsid w:val="00DB7B5D"/>
    <w:rsid w:val="00DC01A4"/>
    <w:rsid w:val="00DC03D2"/>
    <w:rsid w:val="00DC0999"/>
    <w:rsid w:val="00DC157D"/>
    <w:rsid w:val="00DC1D82"/>
    <w:rsid w:val="00DC271E"/>
    <w:rsid w:val="00DC2A5A"/>
    <w:rsid w:val="00DC44B8"/>
    <w:rsid w:val="00DC5501"/>
    <w:rsid w:val="00DC5668"/>
    <w:rsid w:val="00DC5A03"/>
    <w:rsid w:val="00DC7449"/>
    <w:rsid w:val="00DD0026"/>
    <w:rsid w:val="00DD0115"/>
    <w:rsid w:val="00DD2518"/>
    <w:rsid w:val="00DD3274"/>
    <w:rsid w:val="00DD365E"/>
    <w:rsid w:val="00DD3AA6"/>
    <w:rsid w:val="00DD3F28"/>
    <w:rsid w:val="00DD4537"/>
    <w:rsid w:val="00DD4E15"/>
    <w:rsid w:val="00DD71AD"/>
    <w:rsid w:val="00DE061E"/>
    <w:rsid w:val="00DE15A5"/>
    <w:rsid w:val="00DE1A21"/>
    <w:rsid w:val="00DE1C9F"/>
    <w:rsid w:val="00DE1FB5"/>
    <w:rsid w:val="00DE2F56"/>
    <w:rsid w:val="00DE322E"/>
    <w:rsid w:val="00DE47E6"/>
    <w:rsid w:val="00DE4A99"/>
    <w:rsid w:val="00DE4FCB"/>
    <w:rsid w:val="00DE51DF"/>
    <w:rsid w:val="00DE5809"/>
    <w:rsid w:val="00DE5BE2"/>
    <w:rsid w:val="00DE669F"/>
    <w:rsid w:val="00DE73B3"/>
    <w:rsid w:val="00DE76E9"/>
    <w:rsid w:val="00DE7CA3"/>
    <w:rsid w:val="00DF17F5"/>
    <w:rsid w:val="00DF21FF"/>
    <w:rsid w:val="00DF2F4B"/>
    <w:rsid w:val="00DF3534"/>
    <w:rsid w:val="00DF3AB4"/>
    <w:rsid w:val="00DF5D2B"/>
    <w:rsid w:val="00DF6727"/>
    <w:rsid w:val="00DF6B0D"/>
    <w:rsid w:val="00DF7C62"/>
    <w:rsid w:val="00E002A6"/>
    <w:rsid w:val="00E00432"/>
    <w:rsid w:val="00E007C1"/>
    <w:rsid w:val="00E00A4D"/>
    <w:rsid w:val="00E00C0A"/>
    <w:rsid w:val="00E01ACC"/>
    <w:rsid w:val="00E025D6"/>
    <w:rsid w:val="00E02EE4"/>
    <w:rsid w:val="00E037FE"/>
    <w:rsid w:val="00E0416A"/>
    <w:rsid w:val="00E05AB3"/>
    <w:rsid w:val="00E063D9"/>
    <w:rsid w:val="00E0729F"/>
    <w:rsid w:val="00E0754C"/>
    <w:rsid w:val="00E076DA"/>
    <w:rsid w:val="00E10149"/>
    <w:rsid w:val="00E10C97"/>
    <w:rsid w:val="00E13221"/>
    <w:rsid w:val="00E14BBE"/>
    <w:rsid w:val="00E14BF1"/>
    <w:rsid w:val="00E15C8F"/>
    <w:rsid w:val="00E160F6"/>
    <w:rsid w:val="00E1617A"/>
    <w:rsid w:val="00E16372"/>
    <w:rsid w:val="00E169AB"/>
    <w:rsid w:val="00E1764B"/>
    <w:rsid w:val="00E17958"/>
    <w:rsid w:val="00E17FBA"/>
    <w:rsid w:val="00E20A2C"/>
    <w:rsid w:val="00E20E06"/>
    <w:rsid w:val="00E20ED6"/>
    <w:rsid w:val="00E21358"/>
    <w:rsid w:val="00E21D20"/>
    <w:rsid w:val="00E2249B"/>
    <w:rsid w:val="00E22A0D"/>
    <w:rsid w:val="00E24A69"/>
    <w:rsid w:val="00E259CB"/>
    <w:rsid w:val="00E25EC8"/>
    <w:rsid w:val="00E26D4E"/>
    <w:rsid w:val="00E2771E"/>
    <w:rsid w:val="00E27D71"/>
    <w:rsid w:val="00E27E10"/>
    <w:rsid w:val="00E30B91"/>
    <w:rsid w:val="00E30DA7"/>
    <w:rsid w:val="00E31D47"/>
    <w:rsid w:val="00E3256E"/>
    <w:rsid w:val="00E3295A"/>
    <w:rsid w:val="00E33AE2"/>
    <w:rsid w:val="00E34339"/>
    <w:rsid w:val="00E36075"/>
    <w:rsid w:val="00E36A59"/>
    <w:rsid w:val="00E37569"/>
    <w:rsid w:val="00E4016A"/>
    <w:rsid w:val="00E40C3D"/>
    <w:rsid w:val="00E41E01"/>
    <w:rsid w:val="00E41E30"/>
    <w:rsid w:val="00E4261C"/>
    <w:rsid w:val="00E431E8"/>
    <w:rsid w:val="00E43882"/>
    <w:rsid w:val="00E43D70"/>
    <w:rsid w:val="00E45918"/>
    <w:rsid w:val="00E45C42"/>
    <w:rsid w:val="00E45DD2"/>
    <w:rsid w:val="00E46D67"/>
    <w:rsid w:val="00E47B2C"/>
    <w:rsid w:val="00E50D61"/>
    <w:rsid w:val="00E50EC5"/>
    <w:rsid w:val="00E51560"/>
    <w:rsid w:val="00E5201D"/>
    <w:rsid w:val="00E523BA"/>
    <w:rsid w:val="00E524E8"/>
    <w:rsid w:val="00E528BE"/>
    <w:rsid w:val="00E53284"/>
    <w:rsid w:val="00E5531D"/>
    <w:rsid w:val="00E55424"/>
    <w:rsid w:val="00E55688"/>
    <w:rsid w:val="00E55BB5"/>
    <w:rsid w:val="00E56B6D"/>
    <w:rsid w:val="00E6066F"/>
    <w:rsid w:val="00E60CB1"/>
    <w:rsid w:val="00E6195A"/>
    <w:rsid w:val="00E61AEF"/>
    <w:rsid w:val="00E61D4D"/>
    <w:rsid w:val="00E61D63"/>
    <w:rsid w:val="00E62EE9"/>
    <w:rsid w:val="00E63135"/>
    <w:rsid w:val="00E63270"/>
    <w:rsid w:val="00E636C9"/>
    <w:rsid w:val="00E6384A"/>
    <w:rsid w:val="00E6385E"/>
    <w:rsid w:val="00E6448C"/>
    <w:rsid w:val="00E64585"/>
    <w:rsid w:val="00E64E5B"/>
    <w:rsid w:val="00E65985"/>
    <w:rsid w:val="00E65E79"/>
    <w:rsid w:val="00E66FC0"/>
    <w:rsid w:val="00E67222"/>
    <w:rsid w:val="00E67416"/>
    <w:rsid w:val="00E67631"/>
    <w:rsid w:val="00E67E30"/>
    <w:rsid w:val="00E67E53"/>
    <w:rsid w:val="00E703F4"/>
    <w:rsid w:val="00E7045E"/>
    <w:rsid w:val="00E718B6"/>
    <w:rsid w:val="00E71E05"/>
    <w:rsid w:val="00E7253A"/>
    <w:rsid w:val="00E73581"/>
    <w:rsid w:val="00E7370F"/>
    <w:rsid w:val="00E73B6C"/>
    <w:rsid w:val="00E75E9F"/>
    <w:rsid w:val="00E77DB7"/>
    <w:rsid w:val="00E80B45"/>
    <w:rsid w:val="00E80E84"/>
    <w:rsid w:val="00E81945"/>
    <w:rsid w:val="00E82C2E"/>
    <w:rsid w:val="00E831DF"/>
    <w:rsid w:val="00E83299"/>
    <w:rsid w:val="00E839C0"/>
    <w:rsid w:val="00E83BDF"/>
    <w:rsid w:val="00E83E90"/>
    <w:rsid w:val="00E858C1"/>
    <w:rsid w:val="00E86D21"/>
    <w:rsid w:val="00E90880"/>
    <w:rsid w:val="00E908A9"/>
    <w:rsid w:val="00E909C0"/>
    <w:rsid w:val="00E91A1B"/>
    <w:rsid w:val="00E92F04"/>
    <w:rsid w:val="00E93A51"/>
    <w:rsid w:val="00E9406C"/>
    <w:rsid w:val="00E948C0"/>
    <w:rsid w:val="00E95044"/>
    <w:rsid w:val="00E95E32"/>
    <w:rsid w:val="00E960A6"/>
    <w:rsid w:val="00E960D3"/>
    <w:rsid w:val="00E96265"/>
    <w:rsid w:val="00E97150"/>
    <w:rsid w:val="00E973AB"/>
    <w:rsid w:val="00EA0CCD"/>
    <w:rsid w:val="00EA21E7"/>
    <w:rsid w:val="00EA23AB"/>
    <w:rsid w:val="00EA3864"/>
    <w:rsid w:val="00EA3A63"/>
    <w:rsid w:val="00EA426C"/>
    <w:rsid w:val="00EA5D40"/>
    <w:rsid w:val="00EA6153"/>
    <w:rsid w:val="00EA66D9"/>
    <w:rsid w:val="00EB050C"/>
    <w:rsid w:val="00EB06BE"/>
    <w:rsid w:val="00EB1231"/>
    <w:rsid w:val="00EB15B6"/>
    <w:rsid w:val="00EB2479"/>
    <w:rsid w:val="00EB26E6"/>
    <w:rsid w:val="00EB379F"/>
    <w:rsid w:val="00EB4350"/>
    <w:rsid w:val="00EB4536"/>
    <w:rsid w:val="00EB4649"/>
    <w:rsid w:val="00EB4722"/>
    <w:rsid w:val="00EB4916"/>
    <w:rsid w:val="00EB55FA"/>
    <w:rsid w:val="00EB59AF"/>
    <w:rsid w:val="00EB6D9B"/>
    <w:rsid w:val="00EC00C9"/>
    <w:rsid w:val="00EC08A0"/>
    <w:rsid w:val="00EC0B6F"/>
    <w:rsid w:val="00EC1C69"/>
    <w:rsid w:val="00EC1D44"/>
    <w:rsid w:val="00EC1EF7"/>
    <w:rsid w:val="00EC33D5"/>
    <w:rsid w:val="00EC3B94"/>
    <w:rsid w:val="00EC4031"/>
    <w:rsid w:val="00EC4552"/>
    <w:rsid w:val="00EC5CAE"/>
    <w:rsid w:val="00EC70F0"/>
    <w:rsid w:val="00ED1872"/>
    <w:rsid w:val="00ED2C6D"/>
    <w:rsid w:val="00ED365C"/>
    <w:rsid w:val="00ED3AED"/>
    <w:rsid w:val="00ED3B3A"/>
    <w:rsid w:val="00ED7A41"/>
    <w:rsid w:val="00EE0502"/>
    <w:rsid w:val="00EE07D3"/>
    <w:rsid w:val="00EE0F3C"/>
    <w:rsid w:val="00EE1AB2"/>
    <w:rsid w:val="00EE2380"/>
    <w:rsid w:val="00EE321F"/>
    <w:rsid w:val="00EE32B1"/>
    <w:rsid w:val="00EE3787"/>
    <w:rsid w:val="00EE3A87"/>
    <w:rsid w:val="00EE3D67"/>
    <w:rsid w:val="00EE43D1"/>
    <w:rsid w:val="00EE50E7"/>
    <w:rsid w:val="00EE5200"/>
    <w:rsid w:val="00EE59BA"/>
    <w:rsid w:val="00EE6A69"/>
    <w:rsid w:val="00EE745D"/>
    <w:rsid w:val="00EF0F7B"/>
    <w:rsid w:val="00EF18CF"/>
    <w:rsid w:val="00EF197C"/>
    <w:rsid w:val="00EF1DFF"/>
    <w:rsid w:val="00EF2091"/>
    <w:rsid w:val="00EF2D0D"/>
    <w:rsid w:val="00EF3C1B"/>
    <w:rsid w:val="00EF6874"/>
    <w:rsid w:val="00EF7642"/>
    <w:rsid w:val="00EF7EA1"/>
    <w:rsid w:val="00F00320"/>
    <w:rsid w:val="00F00538"/>
    <w:rsid w:val="00F0064A"/>
    <w:rsid w:val="00F007D5"/>
    <w:rsid w:val="00F01751"/>
    <w:rsid w:val="00F01B6C"/>
    <w:rsid w:val="00F038C5"/>
    <w:rsid w:val="00F03944"/>
    <w:rsid w:val="00F03D5C"/>
    <w:rsid w:val="00F05956"/>
    <w:rsid w:val="00F0658D"/>
    <w:rsid w:val="00F067A2"/>
    <w:rsid w:val="00F069ED"/>
    <w:rsid w:val="00F069EF"/>
    <w:rsid w:val="00F07DC9"/>
    <w:rsid w:val="00F108FA"/>
    <w:rsid w:val="00F11B33"/>
    <w:rsid w:val="00F11CA8"/>
    <w:rsid w:val="00F12A95"/>
    <w:rsid w:val="00F12F89"/>
    <w:rsid w:val="00F130A9"/>
    <w:rsid w:val="00F149BB"/>
    <w:rsid w:val="00F14A30"/>
    <w:rsid w:val="00F152DD"/>
    <w:rsid w:val="00F15DFA"/>
    <w:rsid w:val="00F17C0D"/>
    <w:rsid w:val="00F20E78"/>
    <w:rsid w:val="00F21BCA"/>
    <w:rsid w:val="00F226BF"/>
    <w:rsid w:val="00F22BD5"/>
    <w:rsid w:val="00F24837"/>
    <w:rsid w:val="00F24C60"/>
    <w:rsid w:val="00F25711"/>
    <w:rsid w:val="00F2575F"/>
    <w:rsid w:val="00F25EAD"/>
    <w:rsid w:val="00F26AB8"/>
    <w:rsid w:val="00F26D42"/>
    <w:rsid w:val="00F26F90"/>
    <w:rsid w:val="00F26FE0"/>
    <w:rsid w:val="00F279E3"/>
    <w:rsid w:val="00F3043F"/>
    <w:rsid w:val="00F30C60"/>
    <w:rsid w:val="00F31CD5"/>
    <w:rsid w:val="00F33CA0"/>
    <w:rsid w:val="00F33DE9"/>
    <w:rsid w:val="00F35094"/>
    <w:rsid w:val="00F353EE"/>
    <w:rsid w:val="00F36008"/>
    <w:rsid w:val="00F36109"/>
    <w:rsid w:val="00F3619A"/>
    <w:rsid w:val="00F37F03"/>
    <w:rsid w:val="00F40A46"/>
    <w:rsid w:val="00F42A4A"/>
    <w:rsid w:val="00F42FE8"/>
    <w:rsid w:val="00F4359C"/>
    <w:rsid w:val="00F46300"/>
    <w:rsid w:val="00F4697E"/>
    <w:rsid w:val="00F46998"/>
    <w:rsid w:val="00F46CB6"/>
    <w:rsid w:val="00F5030C"/>
    <w:rsid w:val="00F50490"/>
    <w:rsid w:val="00F51365"/>
    <w:rsid w:val="00F51682"/>
    <w:rsid w:val="00F51F32"/>
    <w:rsid w:val="00F520E5"/>
    <w:rsid w:val="00F536FA"/>
    <w:rsid w:val="00F54A22"/>
    <w:rsid w:val="00F55C83"/>
    <w:rsid w:val="00F55E73"/>
    <w:rsid w:val="00F5796E"/>
    <w:rsid w:val="00F579D8"/>
    <w:rsid w:val="00F57CF5"/>
    <w:rsid w:val="00F60092"/>
    <w:rsid w:val="00F600E6"/>
    <w:rsid w:val="00F60438"/>
    <w:rsid w:val="00F60FFA"/>
    <w:rsid w:val="00F6114D"/>
    <w:rsid w:val="00F61D4E"/>
    <w:rsid w:val="00F63C58"/>
    <w:rsid w:val="00F6443C"/>
    <w:rsid w:val="00F66121"/>
    <w:rsid w:val="00F66433"/>
    <w:rsid w:val="00F669AF"/>
    <w:rsid w:val="00F67B88"/>
    <w:rsid w:val="00F67D97"/>
    <w:rsid w:val="00F7029D"/>
    <w:rsid w:val="00F70D14"/>
    <w:rsid w:val="00F70DBA"/>
    <w:rsid w:val="00F719BA"/>
    <w:rsid w:val="00F72214"/>
    <w:rsid w:val="00F737D9"/>
    <w:rsid w:val="00F756BC"/>
    <w:rsid w:val="00F76980"/>
    <w:rsid w:val="00F808E0"/>
    <w:rsid w:val="00F80E5D"/>
    <w:rsid w:val="00F81DFE"/>
    <w:rsid w:val="00F81FA9"/>
    <w:rsid w:val="00F839DC"/>
    <w:rsid w:val="00F851CE"/>
    <w:rsid w:val="00F85CF5"/>
    <w:rsid w:val="00F86439"/>
    <w:rsid w:val="00F868C0"/>
    <w:rsid w:val="00F86A38"/>
    <w:rsid w:val="00F871CE"/>
    <w:rsid w:val="00F90870"/>
    <w:rsid w:val="00F90EEF"/>
    <w:rsid w:val="00F924E1"/>
    <w:rsid w:val="00F930F4"/>
    <w:rsid w:val="00F939B9"/>
    <w:rsid w:val="00F93DFC"/>
    <w:rsid w:val="00F945AC"/>
    <w:rsid w:val="00F946A6"/>
    <w:rsid w:val="00F9498C"/>
    <w:rsid w:val="00F949A9"/>
    <w:rsid w:val="00F9504A"/>
    <w:rsid w:val="00F9607E"/>
    <w:rsid w:val="00F9732A"/>
    <w:rsid w:val="00F97A78"/>
    <w:rsid w:val="00FA1C64"/>
    <w:rsid w:val="00FA24E7"/>
    <w:rsid w:val="00FA2762"/>
    <w:rsid w:val="00FA4516"/>
    <w:rsid w:val="00FA4CAE"/>
    <w:rsid w:val="00FA5686"/>
    <w:rsid w:val="00FA5C10"/>
    <w:rsid w:val="00FA7E17"/>
    <w:rsid w:val="00FB03B4"/>
    <w:rsid w:val="00FB0422"/>
    <w:rsid w:val="00FB068C"/>
    <w:rsid w:val="00FB0ECF"/>
    <w:rsid w:val="00FB15FB"/>
    <w:rsid w:val="00FB25DA"/>
    <w:rsid w:val="00FB265D"/>
    <w:rsid w:val="00FB2817"/>
    <w:rsid w:val="00FB28E8"/>
    <w:rsid w:val="00FB2EBE"/>
    <w:rsid w:val="00FB2FCB"/>
    <w:rsid w:val="00FB316D"/>
    <w:rsid w:val="00FB3ED5"/>
    <w:rsid w:val="00FB4840"/>
    <w:rsid w:val="00FB5C78"/>
    <w:rsid w:val="00FB6B30"/>
    <w:rsid w:val="00FB7082"/>
    <w:rsid w:val="00FB7BE0"/>
    <w:rsid w:val="00FC0855"/>
    <w:rsid w:val="00FC1074"/>
    <w:rsid w:val="00FC1884"/>
    <w:rsid w:val="00FC1D85"/>
    <w:rsid w:val="00FC3A10"/>
    <w:rsid w:val="00FC4199"/>
    <w:rsid w:val="00FC4624"/>
    <w:rsid w:val="00FC4E5C"/>
    <w:rsid w:val="00FC5962"/>
    <w:rsid w:val="00FC5984"/>
    <w:rsid w:val="00FC5B84"/>
    <w:rsid w:val="00FC6626"/>
    <w:rsid w:val="00FC76C0"/>
    <w:rsid w:val="00FC7733"/>
    <w:rsid w:val="00FC7816"/>
    <w:rsid w:val="00FD0DEA"/>
    <w:rsid w:val="00FD1539"/>
    <w:rsid w:val="00FD2100"/>
    <w:rsid w:val="00FD3D81"/>
    <w:rsid w:val="00FD446D"/>
    <w:rsid w:val="00FD5B95"/>
    <w:rsid w:val="00FD6969"/>
    <w:rsid w:val="00FD6FCF"/>
    <w:rsid w:val="00FD7266"/>
    <w:rsid w:val="00FD7E24"/>
    <w:rsid w:val="00FE1199"/>
    <w:rsid w:val="00FE165C"/>
    <w:rsid w:val="00FE16C3"/>
    <w:rsid w:val="00FE191F"/>
    <w:rsid w:val="00FE24B8"/>
    <w:rsid w:val="00FE4969"/>
    <w:rsid w:val="00FE4E2F"/>
    <w:rsid w:val="00FE5719"/>
    <w:rsid w:val="00FE5A97"/>
    <w:rsid w:val="00FE7265"/>
    <w:rsid w:val="00FE7B10"/>
    <w:rsid w:val="00FE7EF8"/>
    <w:rsid w:val="00FF010B"/>
    <w:rsid w:val="00FF0AEA"/>
    <w:rsid w:val="00FF1FCA"/>
    <w:rsid w:val="00FF27B0"/>
    <w:rsid w:val="00FF2FE8"/>
    <w:rsid w:val="00FF31B6"/>
    <w:rsid w:val="00FF3DCF"/>
    <w:rsid w:val="00FF4506"/>
    <w:rsid w:val="00FF5AA3"/>
    <w:rsid w:val="00FF63A9"/>
    <w:rsid w:val="00FF6902"/>
    <w:rsid w:val="00FF7FF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0403D8"/>
    <w:pPr>
      <w:outlineLvl w:val="0"/>
    </w:pPr>
  </w:style>
  <w:style w:type="paragraph" w:styleId="Heading2">
    <w:name w:val="heading 2"/>
    <w:basedOn w:val="Normal"/>
    <w:next w:val="Normal"/>
    <w:link w:val="Heading2Char"/>
    <w:qFormat/>
    <w:rsid w:val="00296326"/>
    <w:pPr>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296326"/>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
    <w:link w:val="Caption"/>
    <w:rsid w:val="00124A51"/>
    <w:rPr>
      <w:b/>
      <w:bCs/>
      <w:snapToGrid w:val="0"/>
      <w:color w:val="4F81BD" w:themeColor="accent1"/>
      <w:sz w:val="18"/>
      <w:szCs w:val="18"/>
      <w:lang w:eastAsia="en-US"/>
    </w:rPr>
  </w:style>
  <w:style w:type="paragraph" w:styleId="Title">
    <w:name w:val="Title"/>
    <w:basedOn w:val="PBACHeading1"/>
    <w:next w:val="Normal"/>
    <w:link w:val="TitleChar"/>
    <w:qFormat/>
    <w:rsid w:val="000403D8"/>
    <w:pPr>
      <w:numPr>
        <w:numId w:val="0"/>
      </w:numPr>
      <w:ind w:left="720" w:hanging="720"/>
      <w:outlineLvl w:val="0"/>
    </w:pPr>
    <w:rPr>
      <w:sz w:val="28"/>
      <w:szCs w:val="28"/>
    </w:rPr>
  </w:style>
  <w:style w:type="character" w:customStyle="1" w:styleId="TitleChar">
    <w:name w:val="Title Char"/>
    <w:basedOn w:val="DefaultParagraphFont"/>
    <w:link w:val="Title"/>
    <w:rsid w:val="000403D8"/>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link w:val="TableHeadingChar"/>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NormalItalics">
    <w:name w:val="Normal Italics"/>
    <w:basedOn w:val="Normal"/>
    <w:qFormat/>
    <w:rsid w:val="008438C1"/>
    <w:rPr>
      <w:i/>
    </w:rPr>
  </w:style>
  <w:style w:type="paragraph" w:customStyle="1" w:styleId="Normalitalics0">
    <w:name w:val="Normal italics"/>
    <w:basedOn w:val="Normal"/>
    <w:next w:val="Normal"/>
    <w:qFormat/>
    <w:rsid w:val="000A3F1B"/>
    <w:rPr>
      <w:i/>
    </w:rPr>
  </w:style>
  <w:style w:type="paragraph" w:styleId="FootnoteText">
    <w:name w:val="footnote text"/>
    <w:basedOn w:val="Normal"/>
    <w:link w:val="FootnoteTextChar"/>
    <w:semiHidden/>
    <w:unhideWhenUsed/>
    <w:rsid w:val="00CC202B"/>
    <w:rPr>
      <w:sz w:val="20"/>
    </w:rPr>
  </w:style>
  <w:style w:type="character" w:customStyle="1" w:styleId="FootnoteTextChar">
    <w:name w:val="Footnote Text Char"/>
    <w:basedOn w:val="DefaultParagraphFont"/>
    <w:link w:val="FootnoteText"/>
    <w:semiHidden/>
    <w:rsid w:val="00CC202B"/>
    <w:rPr>
      <w:rFonts w:ascii="Arial" w:hAnsi="Arial" w:cs="Arial"/>
      <w:snapToGrid w:val="0"/>
      <w:lang w:eastAsia="en-US"/>
    </w:rPr>
  </w:style>
  <w:style w:type="character" w:styleId="FootnoteReference">
    <w:name w:val="footnote reference"/>
    <w:basedOn w:val="DefaultParagraphFont"/>
    <w:semiHidden/>
    <w:unhideWhenUsed/>
    <w:rsid w:val="00CC202B"/>
    <w:rPr>
      <w:vertAlign w:val="superscript"/>
    </w:rPr>
  </w:style>
  <w:style w:type="paragraph" w:customStyle="1" w:styleId="Default">
    <w:name w:val="Default"/>
    <w:rsid w:val="00AF2789"/>
    <w:pPr>
      <w:autoSpaceDE w:val="0"/>
      <w:autoSpaceDN w:val="0"/>
      <w:adjustRightInd w:val="0"/>
    </w:pPr>
    <w:rPr>
      <w:color w:val="000000"/>
      <w:sz w:val="24"/>
      <w:szCs w:val="24"/>
      <w:lang w:val="en-US" w:eastAsia="en-US"/>
    </w:rPr>
  </w:style>
  <w:style w:type="character" w:customStyle="1" w:styleId="ListParagraphChar">
    <w:name w:val="List Paragraph Char"/>
    <w:link w:val="ListParagraph"/>
    <w:uiPriority w:val="72"/>
    <w:rsid w:val="00FC4624"/>
    <w:rPr>
      <w:rFonts w:ascii="Arial" w:hAnsi="Arial" w:cs="Arial"/>
      <w:snapToGrid w:val="0"/>
      <w:sz w:val="22"/>
      <w:lang w:eastAsia="en-US"/>
    </w:rPr>
  </w:style>
  <w:style w:type="paragraph" w:customStyle="1" w:styleId="TableH1">
    <w:name w:val="Table H1"/>
    <w:basedOn w:val="BodyText"/>
    <w:uiPriority w:val="4"/>
    <w:qFormat/>
    <w:rsid w:val="00DE669F"/>
    <w:pPr>
      <w:keepNext/>
      <w:widowControl/>
      <w:tabs>
        <w:tab w:val="left" w:pos="416"/>
        <w:tab w:val="left" w:pos="582"/>
        <w:tab w:val="left" w:pos="1134"/>
      </w:tabs>
      <w:spacing w:after="240"/>
    </w:pPr>
    <w:rPr>
      <w:rFonts w:ascii="Calibri" w:hAnsi="Calibri" w:cs="Times New Roman"/>
      <w:b/>
      <w:snapToGrid/>
      <w:sz w:val="20"/>
      <w:lang w:val="en-US"/>
    </w:rPr>
  </w:style>
  <w:style w:type="character" w:customStyle="1" w:styleId="TableTextChar0">
    <w:name w:val="TableText Char"/>
    <w:link w:val="TableText0"/>
    <w:rsid w:val="00BF61F0"/>
    <w:rPr>
      <w:rFonts w:ascii="Arial Narrow" w:hAnsi="Arial Narrow" w:cs="Arial Narrow"/>
      <w:lang w:eastAsia="en-US"/>
    </w:rPr>
  </w:style>
  <w:style w:type="paragraph" w:customStyle="1" w:styleId="Tableleft">
    <w:name w:val="Table left"/>
    <w:basedOn w:val="TableText0"/>
    <w:link w:val="TableleftChar"/>
    <w:rsid w:val="00BF61F0"/>
    <w:pPr>
      <w:keepNext w:val="0"/>
    </w:pPr>
    <w:rPr>
      <w:rFonts w:ascii="Arial" w:hAnsi="Arial"/>
      <w:sz w:val="18"/>
    </w:rPr>
  </w:style>
  <w:style w:type="character" w:customStyle="1" w:styleId="TableleftChar">
    <w:name w:val="Table left Char"/>
    <w:basedOn w:val="TableTextChar0"/>
    <w:link w:val="Tableleft"/>
    <w:rsid w:val="00BF61F0"/>
    <w:rPr>
      <w:rFonts w:ascii="Arial" w:hAnsi="Arial" w:cs="Arial Narrow"/>
      <w:sz w:val="18"/>
      <w:lang w:eastAsia="en-US"/>
    </w:rPr>
  </w:style>
  <w:style w:type="paragraph" w:customStyle="1" w:styleId="TableHeadingLeft">
    <w:name w:val="Table Heading Left"/>
    <w:basedOn w:val="TableHeading"/>
    <w:link w:val="TableHeadingLeftChar"/>
    <w:rsid w:val="00BF61F0"/>
    <w:rPr>
      <w:rFonts w:ascii="Arial" w:hAnsi="Arial"/>
      <w:sz w:val="18"/>
    </w:rPr>
  </w:style>
  <w:style w:type="character" w:customStyle="1" w:styleId="TableHeadingLeftChar">
    <w:name w:val="Table Heading Left Char"/>
    <w:basedOn w:val="DefaultParagraphFont"/>
    <w:link w:val="TableHeadingLeft"/>
    <w:rsid w:val="00BF61F0"/>
    <w:rPr>
      <w:rFonts w:ascii="Arial" w:hAnsi="Arial" w:cs="Arial Narrow"/>
      <w:b/>
      <w:bCs/>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16108"/>
    <w:pPr>
      <w:widowControl/>
      <w:spacing w:after="160" w:line="240" w:lineRule="exact"/>
      <w:jc w:val="left"/>
    </w:pPr>
    <w:rPr>
      <w:rFonts w:ascii="Verdana" w:eastAsia="MS Mincho" w:hAnsi="Verdana" w:cs="Verdana"/>
      <w:snapToGrid/>
      <w:sz w:val="20"/>
      <w:lang w:val="en-US"/>
    </w:rPr>
  </w:style>
  <w:style w:type="paragraph" w:customStyle="1" w:styleId="Text">
    <w:name w:val="Text"/>
    <w:basedOn w:val="Normal"/>
    <w:link w:val="TextChar"/>
    <w:rsid w:val="009D368D"/>
    <w:pPr>
      <w:widowControl/>
      <w:spacing w:line="360" w:lineRule="auto"/>
    </w:pPr>
    <w:rPr>
      <w:rFonts w:cs="Times New Roman"/>
      <w:snapToGrid/>
      <w:szCs w:val="22"/>
      <w:lang w:eastAsia="en-AU"/>
    </w:rPr>
  </w:style>
  <w:style w:type="character" w:customStyle="1" w:styleId="TextChar">
    <w:name w:val="Text Char"/>
    <w:basedOn w:val="DefaultParagraphFont"/>
    <w:link w:val="Text"/>
    <w:rsid w:val="009D368D"/>
    <w:rPr>
      <w:rFonts w:ascii="Arial" w:hAnsi="Arial"/>
      <w:sz w:val="22"/>
      <w:szCs w:val="22"/>
    </w:rPr>
  </w:style>
  <w:style w:type="paragraph" w:customStyle="1" w:styleId="TableTextleft">
    <w:name w:val="Table Text left"/>
    <w:basedOn w:val="Normal"/>
    <w:rsid w:val="007B65FC"/>
    <w:pPr>
      <w:widowControl/>
      <w:jc w:val="left"/>
    </w:pPr>
    <w:rPr>
      <w:snapToGrid/>
      <w:sz w:val="18"/>
      <w:szCs w:val="18"/>
      <w:lang w:eastAsia="en-AU"/>
    </w:rPr>
  </w:style>
  <w:style w:type="character" w:customStyle="1" w:styleId="TableHeadingChar">
    <w:name w:val="TableHeading Char"/>
    <w:link w:val="TableHeading"/>
    <w:rsid w:val="007B65FC"/>
    <w:rPr>
      <w:rFonts w:ascii="Arial Narrow" w:hAnsi="Arial Narrow" w:cs="Arial Narrow"/>
      <w:b/>
      <w:bCs/>
      <w:lang w:eastAsia="en-US"/>
    </w:rPr>
  </w:style>
  <w:style w:type="paragraph" w:customStyle="1" w:styleId="TableHeadingRowCentred">
    <w:name w:val="TableHeadingRowCentred"/>
    <w:basedOn w:val="TableHeadingRowLeft"/>
    <w:next w:val="TableText0"/>
    <w:link w:val="TableHeadingRowCentredChar"/>
    <w:rsid w:val="007B65FC"/>
    <w:pPr>
      <w:jc w:val="center"/>
    </w:pPr>
  </w:style>
  <w:style w:type="paragraph" w:customStyle="1" w:styleId="TableHeadingRowLeft">
    <w:name w:val="TableHeadingRowLeft"/>
    <w:basedOn w:val="TableText0"/>
    <w:next w:val="TableText0"/>
    <w:link w:val="TableHeadingRowLeftChar"/>
    <w:rsid w:val="007B65FC"/>
    <w:rPr>
      <w:rFonts w:ascii="Arial" w:hAnsi="Arial"/>
      <w:b/>
      <w:bCs/>
      <w:sz w:val="18"/>
    </w:rPr>
  </w:style>
  <w:style w:type="character" w:customStyle="1" w:styleId="TableHeadingRowLeftChar">
    <w:name w:val="TableHeadingRowLeft Char"/>
    <w:link w:val="TableHeadingRowLeft"/>
    <w:rsid w:val="007B65FC"/>
    <w:rPr>
      <w:rFonts w:ascii="Arial" w:hAnsi="Arial" w:cs="Arial Narrow"/>
      <w:b/>
      <w:bCs/>
      <w:sz w:val="18"/>
      <w:lang w:eastAsia="en-US"/>
    </w:rPr>
  </w:style>
  <w:style w:type="character" w:customStyle="1" w:styleId="TableHeadingRowCentredChar">
    <w:name w:val="TableHeadingRowCentred Char"/>
    <w:basedOn w:val="TableHeadingRowLeftChar"/>
    <w:link w:val="TableHeadingRowCentred"/>
    <w:rsid w:val="007B65FC"/>
    <w:rPr>
      <w:rFonts w:ascii="Arial" w:hAnsi="Arial" w:cs="Arial Narrow"/>
      <w:b/>
      <w:bCs/>
      <w:sz w:val="18"/>
      <w:lang w:eastAsia="en-US"/>
    </w:rPr>
  </w:style>
  <w:style w:type="paragraph" w:customStyle="1" w:styleId="StyleTableTextCentered">
    <w:name w:val="Style TableText + Centered"/>
    <w:basedOn w:val="TableText0"/>
    <w:rsid w:val="007B65FC"/>
    <w:pPr>
      <w:spacing w:before="0" w:after="0"/>
      <w:ind w:right="113"/>
      <w:jc w:val="center"/>
    </w:pPr>
    <w:rPr>
      <w:rFonts w:ascii="Arial" w:hAnsi="Arial"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0403D8"/>
    <w:pPr>
      <w:outlineLvl w:val="0"/>
    </w:pPr>
  </w:style>
  <w:style w:type="paragraph" w:styleId="Heading2">
    <w:name w:val="heading 2"/>
    <w:basedOn w:val="Normal"/>
    <w:next w:val="Normal"/>
    <w:link w:val="Heading2Char"/>
    <w:qFormat/>
    <w:rsid w:val="00296326"/>
    <w:pPr>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296326"/>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
    <w:link w:val="Caption"/>
    <w:rsid w:val="00124A51"/>
    <w:rPr>
      <w:b/>
      <w:bCs/>
      <w:snapToGrid w:val="0"/>
      <w:color w:val="4F81BD" w:themeColor="accent1"/>
      <w:sz w:val="18"/>
      <w:szCs w:val="18"/>
      <w:lang w:eastAsia="en-US"/>
    </w:rPr>
  </w:style>
  <w:style w:type="paragraph" w:styleId="Title">
    <w:name w:val="Title"/>
    <w:basedOn w:val="PBACHeading1"/>
    <w:next w:val="Normal"/>
    <w:link w:val="TitleChar"/>
    <w:qFormat/>
    <w:rsid w:val="000403D8"/>
    <w:pPr>
      <w:numPr>
        <w:numId w:val="0"/>
      </w:numPr>
      <w:ind w:left="720" w:hanging="720"/>
      <w:outlineLvl w:val="0"/>
    </w:pPr>
    <w:rPr>
      <w:sz w:val="28"/>
      <w:szCs w:val="28"/>
    </w:rPr>
  </w:style>
  <w:style w:type="character" w:customStyle="1" w:styleId="TitleChar">
    <w:name w:val="Title Char"/>
    <w:basedOn w:val="DefaultParagraphFont"/>
    <w:link w:val="Title"/>
    <w:rsid w:val="000403D8"/>
    <w:rPr>
      <w:rFonts w:ascii="Arial" w:hAnsi="Arial"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link w:val="TableHeadingChar"/>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NormalItalics">
    <w:name w:val="Normal Italics"/>
    <w:basedOn w:val="Normal"/>
    <w:qFormat/>
    <w:rsid w:val="008438C1"/>
    <w:rPr>
      <w:i/>
    </w:rPr>
  </w:style>
  <w:style w:type="paragraph" w:customStyle="1" w:styleId="Normalitalics0">
    <w:name w:val="Normal italics"/>
    <w:basedOn w:val="Normal"/>
    <w:next w:val="Normal"/>
    <w:qFormat/>
    <w:rsid w:val="000A3F1B"/>
    <w:rPr>
      <w:i/>
    </w:rPr>
  </w:style>
  <w:style w:type="paragraph" w:styleId="FootnoteText">
    <w:name w:val="footnote text"/>
    <w:basedOn w:val="Normal"/>
    <w:link w:val="FootnoteTextChar"/>
    <w:semiHidden/>
    <w:unhideWhenUsed/>
    <w:rsid w:val="00CC202B"/>
    <w:rPr>
      <w:sz w:val="20"/>
    </w:rPr>
  </w:style>
  <w:style w:type="character" w:customStyle="1" w:styleId="FootnoteTextChar">
    <w:name w:val="Footnote Text Char"/>
    <w:basedOn w:val="DefaultParagraphFont"/>
    <w:link w:val="FootnoteText"/>
    <w:semiHidden/>
    <w:rsid w:val="00CC202B"/>
    <w:rPr>
      <w:rFonts w:ascii="Arial" w:hAnsi="Arial" w:cs="Arial"/>
      <w:snapToGrid w:val="0"/>
      <w:lang w:eastAsia="en-US"/>
    </w:rPr>
  </w:style>
  <w:style w:type="character" w:styleId="FootnoteReference">
    <w:name w:val="footnote reference"/>
    <w:basedOn w:val="DefaultParagraphFont"/>
    <w:semiHidden/>
    <w:unhideWhenUsed/>
    <w:rsid w:val="00CC202B"/>
    <w:rPr>
      <w:vertAlign w:val="superscript"/>
    </w:rPr>
  </w:style>
  <w:style w:type="paragraph" w:customStyle="1" w:styleId="Default">
    <w:name w:val="Default"/>
    <w:rsid w:val="00AF2789"/>
    <w:pPr>
      <w:autoSpaceDE w:val="0"/>
      <w:autoSpaceDN w:val="0"/>
      <w:adjustRightInd w:val="0"/>
    </w:pPr>
    <w:rPr>
      <w:color w:val="000000"/>
      <w:sz w:val="24"/>
      <w:szCs w:val="24"/>
      <w:lang w:val="en-US" w:eastAsia="en-US"/>
    </w:rPr>
  </w:style>
  <w:style w:type="character" w:customStyle="1" w:styleId="ListParagraphChar">
    <w:name w:val="List Paragraph Char"/>
    <w:link w:val="ListParagraph"/>
    <w:uiPriority w:val="72"/>
    <w:rsid w:val="00FC4624"/>
    <w:rPr>
      <w:rFonts w:ascii="Arial" w:hAnsi="Arial" w:cs="Arial"/>
      <w:snapToGrid w:val="0"/>
      <w:sz w:val="22"/>
      <w:lang w:eastAsia="en-US"/>
    </w:rPr>
  </w:style>
  <w:style w:type="paragraph" w:customStyle="1" w:styleId="TableH1">
    <w:name w:val="Table H1"/>
    <w:basedOn w:val="BodyText"/>
    <w:uiPriority w:val="4"/>
    <w:qFormat/>
    <w:rsid w:val="00DE669F"/>
    <w:pPr>
      <w:keepNext/>
      <w:widowControl/>
      <w:tabs>
        <w:tab w:val="left" w:pos="416"/>
        <w:tab w:val="left" w:pos="582"/>
        <w:tab w:val="left" w:pos="1134"/>
      </w:tabs>
      <w:spacing w:after="240"/>
    </w:pPr>
    <w:rPr>
      <w:rFonts w:ascii="Calibri" w:hAnsi="Calibri" w:cs="Times New Roman"/>
      <w:b/>
      <w:snapToGrid/>
      <w:sz w:val="20"/>
      <w:lang w:val="en-US"/>
    </w:rPr>
  </w:style>
  <w:style w:type="character" w:customStyle="1" w:styleId="TableTextChar0">
    <w:name w:val="TableText Char"/>
    <w:link w:val="TableText0"/>
    <w:rsid w:val="00BF61F0"/>
    <w:rPr>
      <w:rFonts w:ascii="Arial Narrow" w:hAnsi="Arial Narrow" w:cs="Arial Narrow"/>
      <w:lang w:eastAsia="en-US"/>
    </w:rPr>
  </w:style>
  <w:style w:type="paragraph" w:customStyle="1" w:styleId="Tableleft">
    <w:name w:val="Table left"/>
    <w:basedOn w:val="TableText0"/>
    <w:link w:val="TableleftChar"/>
    <w:rsid w:val="00BF61F0"/>
    <w:pPr>
      <w:keepNext w:val="0"/>
    </w:pPr>
    <w:rPr>
      <w:rFonts w:ascii="Arial" w:hAnsi="Arial"/>
      <w:sz w:val="18"/>
    </w:rPr>
  </w:style>
  <w:style w:type="character" w:customStyle="1" w:styleId="TableleftChar">
    <w:name w:val="Table left Char"/>
    <w:basedOn w:val="TableTextChar0"/>
    <w:link w:val="Tableleft"/>
    <w:rsid w:val="00BF61F0"/>
    <w:rPr>
      <w:rFonts w:ascii="Arial" w:hAnsi="Arial" w:cs="Arial Narrow"/>
      <w:sz w:val="18"/>
      <w:lang w:eastAsia="en-US"/>
    </w:rPr>
  </w:style>
  <w:style w:type="paragraph" w:customStyle="1" w:styleId="TableHeadingLeft">
    <w:name w:val="Table Heading Left"/>
    <w:basedOn w:val="TableHeading"/>
    <w:link w:val="TableHeadingLeftChar"/>
    <w:rsid w:val="00BF61F0"/>
    <w:rPr>
      <w:rFonts w:ascii="Arial" w:hAnsi="Arial"/>
      <w:sz w:val="18"/>
    </w:rPr>
  </w:style>
  <w:style w:type="character" w:customStyle="1" w:styleId="TableHeadingLeftChar">
    <w:name w:val="Table Heading Left Char"/>
    <w:basedOn w:val="DefaultParagraphFont"/>
    <w:link w:val="TableHeadingLeft"/>
    <w:rsid w:val="00BF61F0"/>
    <w:rPr>
      <w:rFonts w:ascii="Arial" w:hAnsi="Arial" w:cs="Arial Narrow"/>
      <w:b/>
      <w:bCs/>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16108"/>
    <w:pPr>
      <w:widowControl/>
      <w:spacing w:after="160" w:line="240" w:lineRule="exact"/>
      <w:jc w:val="left"/>
    </w:pPr>
    <w:rPr>
      <w:rFonts w:ascii="Verdana" w:eastAsia="MS Mincho" w:hAnsi="Verdana" w:cs="Verdana"/>
      <w:snapToGrid/>
      <w:sz w:val="20"/>
      <w:lang w:val="en-US"/>
    </w:rPr>
  </w:style>
  <w:style w:type="paragraph" w:customStyle="1" w:styleId="Text">
    <w:name w:val="Text"/>
    <w:basedOn w:val="Normal"/>
    <w:link w:val="TextChar"/>
    <w:rsid w:val="009D368D"/>
    <w:pPr>
      <w:widowControl/>
      <w:spacing w:line="360" w:lineRule="auto"/>
    </w:pPr>
    <w:rPr>
      <w:rFonts w:cs="Times New Roman"/>
      <w:snapToGrid/>
      <w:szCs w:val="22"/>
      <w:lang w:eastAsia="en-AU"/>
    </w:rPr>
  </w:style>
  <w:style w:type="character" w:customStyle="1" w:styleId="TextChar">
    <w:name w:val="Text Char"/>
    <w:basedOn w:val="DefaultParagraphFont"/>
    <w:link w:val="Text"/>
    <w:rsid w:val="009D368D"/>
    <w:rPr>
      <w:rFonts w:ascii="Arial" w:hAnsi="Arial"/>
      <w:sz w:val="22"/>
      <w:szCs w:val="22"/>
    </w:rPr>
  </w:style>
  <w:style w:type="paragraph" w:customStyle="1" w:styleId="TableTextleft">
    <w:name w:val="Table Text left"/>
    <w:basedOn w:val="Normal"/>
    <w:rsid w:val="007B65FC"/>
    <w:pPr>
      <w:widowControl/>
      <w:jc w:val="left"/>
    </w:pPr>
    <w:rPr>
      <w:snapToGrid/>
      <w:sz w:val="18"/>
      <w:szCs w:val="18"/>
      <w:lang w:eastAsia="en-AU"/>
    </w:rPr>
  </w:style>
  <w:style w:type="character" w:customStyle="1" w:styleId="TableHeadingChar">
    <w:name w:val="TableHeading Char"/>
    <w:link w:val="TableHeading"/>
    <w:rsid w:val="007B65FC"/>
    <w:rPr>
      <w:rFonts w:ascii="Arial Narrow" w:hAnsi="Arial Narrow" w:cs="Arial Narrow"/>
      <w:b/>
      <w:bCs/>
      <w:lang w:eastAsia="en-US"/>
    </w:rPr>
  </w:style>
  <w:style w:type="paragraph" w:customStyle="1" w:styleId="TableHeadingRowCentred">
    <w:name w:val="TableHeadingRowCentred"/>
    <w:basedOn w:val="TableHeadingRowLeft"/>
    <w:next w:val="TableText0"/>
    <w:link w:val="TableHeadingRowCentredChar"/>
    <w:rsid w:val="007B65FC"/>
    <w:pPr>
      <w:jc w:val="center"/>
    </w:pPr>
  </w:style>
  <w:style w:type="paragraph" w:customStyle="1" w:styleId="TableHeadingRowLeft">
    <w:name w:val="TableHeadingRowLeft"/>
    <w:basedOn w:val="TableText0"/>
    <w:next w:val="TableText0"/>
    <w:link w:val="TableHeadingRowLeftChar"/>
    <w:rsid w:val="007B65FC"/>
    <w:rPr>
      <w:rFonts w:ascii="Arial" w:hAnsi="Arial"/>
      <w:b/>
      <w:bCs/>
      <w:sz w:val="18"/>
    </w:rPr>
  </w:style>
  <w:style w:type="character" w:customStyle="1" w:styleId="TableHeadingRowLeftChar">
    <w:name w:val="TableHeadingRowLeft Char"/>
    <w:link w:val="TableHeadingRowLeft"/>
    <w:rsid w:val="007B65FC"/>
    <w:rPr>
      <w:rFonts w:ascii="Arial" w:hAnsi="Arial" w:cs="Arial Narrow"/>
      <w:b/>
      <w:bCs/>
      <w:sz w:val="18"/>
      <w:lang w:eastAsia="en-US"/>
    </w:rPr>
  </w:style>
  <w:style w:type="character" w:customStyle="1" w:styleId="TableHeadingRowCentredChar">
    <w:name w:val="TableHeadingRowCentred Char"/>
    <w:basedOn w:val="TableHeadingRowLeftChar"/>
    <w:link w:val="TableHeadingRowCentred"/>
    <w:rsid w:val="007B65FC"/>
    <w:rPr>
      <w:rFonts w:ascii="Arial" w:hAnsi="Arial" w:cs="Arial Narrow"/>
      <w:b/>
      <w:bCs/>
      <w:sz w:val="18"/>
      <w:lang w:eastAsia="en-US"/>
    </w:rPr>
  </w:style>
  <w:style w:type="paragraph" w:customStyle="1" w:styleId="StyleTableTextCentered">
    <w:name w:val="Style TableText + Centered"/>
    <w:basedOn w:val="TableText0"/>
    <w:rsid w:val="007B65FC"/>
    <w:pPr>
      <w:spacing w:before="0" w:after="0"/>
      <w:ind w:right="113"/>
      <w:jc w:val="center"/>
    </w:pPr>
    <w:rPr>
      <w:rFonts w:ascii="Arial"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979">
      <w:bodyDiv w:val="1"/>
      <w:marLeft w:val="0"/>
      <w:marRight w:val="0"/>
      <w:marTop w:val="0"/>
      <w:marBottom w:val="0"/>
      <w:divBdr>
        <w:top w:val="none" w:sz="0" w:space="0" w:color="auto"/>
        <w:left w:val="none" w:sz="0" w:space="0" w:color="auto"/>
        <w:bottom w:val="none" w:sz="0" w:space="0" w:color="auto"/>
        <w:right w:val="none" w:sz="0" w:space="0" w:color="auto"/>
      </w:divBdr>
    </w:div>
    <w:div w:id="58287677">
      <w:bodyDiv w:val="1"/>
      <w:marLeft w:val="0"/>
      <w:marRight w:val="0"/>
      <w:marTop w:val="0"/>
      <w:marBottom w:val="0"/>
      <w:divBdr>
        <w:top w:val="none" w:sz="0" w:space="0" w:color="auto"/>
        <w:left w:val="none" w:sz="0" w:space="0" w:color="auto"/>
        <w:bottom w:val="none" w:sz="0" w:space="0" w:color="auto"/>
        <w:right w:val="none" w:sz="0" w:space="0" w:color="auto"/>
      </w:divBdr>
    </w:div>
    <w:div w:id="64692831">
      <w:bodyDiv w:val="1"/>
      <w:marLeft w:val="0"/>
      <w:marRight w:val="0"/>
      <w:marTop w:val="0"/>
      <w:marBottom w:val="0"/>
      <w:divBdr>
        <w:top w:val="none" w:sz="0" w:space="0" w:color="auto"/>
        <w:left w:val="none" w:sz="0" w:space="0" w:color="auto"/>
        <w:bottom w:val="none" w:sz="0" w:space="0" w:color="auto"/>
        <w:right w:val="none" w:sz="0" w:space="0" w:color="auto"/>
      </w:divBdr>
    </w:div>
    <w:div w:id="159783901">
      <w:bodyDiv w:val="1"/>
      <w:marLeft w:val="0"/>
      <w:marRight w:val="0"/>
      <w:marTop w:val="0"/>
      <w:marBottom w:val="0"/>
      <w:divBdr>
        <w:top w:val="none" w:sz="0" w:space="0" w:color="auto"/>
        <w:left w:val="none" w:sz="0" w:space="0" w:color="auto"/>
        <w:bottom w:val="none" w:sz="0" w:space="0" w:color="auto"/>
        <w:right w:val="none" w:sz="0" w:space="0" w:color="auto"/>
      </w:divBdr>
    </w:div>
    <w:div w:id="166019704">
      <w:bodyDiv w:val="1"/>
      <w:marLeft w:val="0"/>
      <w:marRight w:val="0"/>
      <w:marTop w:val="0"/>
      <w:marBottom w:val="0"/>
      <w:divBdr>
        <w:top w:val="none" w:sz="0" w:space="0" w:color="auto"/>
        <w:left w:val="none" w:sz="0" w:space="0" w:color="auto"/>
        <w:bottom w:val="none" w:sz="0" w:space="0" w:color="auto"/>
        <w:right w:val="none" w:sz="0" w:space="0" w:color="auto"/>
      </w:divBdr>
    </w:div>
    <w:div w:id="316232108">
      <w:bodyDiv w:val="1"/>
      <w:marLeft w:val="0"/>
      <w:marRight w:val="0"/>
      <w:marTop w:val="0"/>
      <w:marBottom w:val="0"/>
      <w:divBdr>
        <w:top w:val="none" w:sz="0" w:space="0" w:color="auto"/>
        <w:left w:val="none" w:sz="0" w:space="0" w:color="auto"/>
        <w:bottom w:val="none" w:sz="0" w:space="0" w:color="auto"/>
        <w:right w:val="none" w:sz="0" w:space="0" w:color="auto"/>
      </w:divBdr>
    </w:div>
    <w:div w:id="562109637">
      <w:bodyDiv w:val="1"/>
      <w:marLeft w:val="0"/>
      <w:marRight w:val="0"/>
      <w:marTop w:val="0"/>
      <w:marBottom w:val="0"/>
      <w:divBdr>
        <w:top w:val="none" w:sz="0" w:space="0" w:color="auto"/>
        <w:left w:val="none" w:sz="0" w:space="0" w:color="auto"/>
        <w:bottom w:val="none" w:sz="0" w:space="0" w:color="auto"/>
        <w:right w:val="none" w:sz="0" w:space="0" w:color="auto"/>
      </w:divBdr>
    </w:div>
    <w:div w:id="581574441">
      <w:bodyDiv w:val="1"/>
      <w:marLeft w:val="0"/>
      <w:marRight w:val="0"/>
      <w:marTop w:val="0"/>
      <w:marBottom w:val="0"/>
      <w:divBdr>
        <w:top w:val="none" w:sz="0" w:space="0" w:color="auto"/>
        <w:left w:val="none" w:sz="0" w:space="0" w:color="auto"/>
        <w:bottom w:val="none" w:sz="0" w:space="0" w:color="auto"/>
        <w:right w:val="none" w:sz="0" w:space="0" w:color="auto"/>
      </w:divBdr>
    </w:div>
    <w:div w:id="710108278">
      <w:bodyDiv w:val="1"/>
      <w:marLeft w:val="0"/>
      <w:marRight w:val="0"/>
      <w:marTop w:val="0"/>
      <w:marBottom w:val="0"/>
      <w:divBdr>
        <w:top w:val="none" w:sz="0" w:space="0" w:color="auto"/>
        <w:left w:val="none" w:sz="0" w:space="0" w:color="auto"/>
        <w:bottom w:val="none" w:sz="0" w:space="0" w:color="auto"/>
        <w:right w:val="none" w:sz="0" w:space="0" w:color="auto"/>
      </w:divBdr>
    </w:div>
    <w:div w:id="813134336">
      <w:bodyDiv w:val="1"/>
      <w:marLeft w:val="0"/>
      <w:marRight w:val="0"/>
      <w:marTop w:val="0"/>
      <w:marBottom w:val="0"/>
      <w:divBdr>
        <w:top w:val="none" w:sz="0" w:space="0" w:color="auto"/>
        <w:left w:val="none" w:sz="0" w:space="0" w:color="auto"/>
        <w:bottom w:val="none" w:sz="0" w:space="0" w:color="auto"/>
        <w:right w:val="none" w:sz="0" w:space="0" w:color="auto"/>
      </w:divBdr>
    </w:div>
    <w:div w:id="857161062">
      <w:bodyDiv w:val="1"/>
      <w:marLeft w:val="0"/>
      <w:marRight w:val="0"/>
      <w:marTop w:val="0"/>
      <w:marBottom w:val="0"/>
      <w:divBdr>
        <w:top w:val="none" w:sz="0" w:space="0" w:color="auto"/>
        <w:left w:val="none" w:sz="0" w:space="0" w:color="auto"/>
        <w:bottom w:val="none" w:sz="0" w:space="0" w:color="auto"/>
        <w:right w:val="none" w:sz="0" w:space="0" w:color="auto"/>
      </w:divBdr>
    </w:div>
    <w:div w:id="878516602">
      <w:bodyDiv w:val="1"/>
      <w:marLeft w:val="0"/>
      <w:marRight w:val="0"/>
      <w:marTop w:val="0"/>
      <w:marBottom w:val="0"/>
      <w:divBdr>
        <w:top w:val="none" w:sz="0" w:space="0" w:color="auto"/>
        <w:left w:val="none" w:sz="0" w:space="0" w:color="auto"/>
        <w:bottom w:val="none" w:sz="0" w:space="0" w:color="auto"/>
        <w:right w:val="none" w:sz="0" w:space="0" w:color="auto"/>
      </w:divBdr>
    </w:div>
    <w:div w:id="954753484">
      <w:bodyDiv w:val="1"/>
      <w:marLeft w:val="0"/>
      <w:marRight w:val="0"/>
      <w:marTop w:val="0"/>
      <w:marBottom w:val="0"/>
      <w:divBdr>
        <w:top w:val="none" w:sz="0" w:space="0" w:color="auto"/>
        <w:left w:val="none" w:sz="0" w:space="0" w:color="auto"/>
        <w:bottom w:val="none" w:sz="0" w:space="0" w:color="auto"/>
        <w:right w:val="none" w:sz="0" w:space="0" w:color="auto"/>
      </w:divBdr>
    </w:div>
    <w:div w:id="963804190">
      <w:bodyDiv w:val="1"/>
      <w:marLeft w:val="0"/>
      <w:marRight w:val="0"/>
      <w:marTop w:val="0"/>
      <w:marBottom w:val="0"/>
      <w:divBdr>
        <w:top w:val="none" w:sz="0" w:space="0" w:color="auto"/>
        <w:left w:val="none" w:sz="0" w:space="0" w:color="auto"/>
        <w:bottom w:val="none" w:sz="0" w:space="0" w:color="auto"/>
        <w:right w:val="none" w:sz="0" w:space="0" w:color="auto"/>
      </w:divBdr>
    </w:div>
    <w:div w:id="976380143">
      <w:bodyDiv w:val="1"/>
      <w:marLeft w:val="0"/>
      <w:marRight w:val="0"/>
      <w:marTop w:val="0"/>
      <w:marBottom w:val="0"/>
      <w:divBdr>
        <w:top w:val="none" w:sz="0" w:space="0" w:color="auto"/>
        <w:left w:val="none" w:sz="0" w:space="0" w:color="auto"/>
        <w:bottom w:val="none" w:sz="0" w:space="0" w:color="auto"/>
        <w:right w:val="none" w:sz="0" w:space="0" w:color="auto"/>
      </w:divBdr>
    </w:div>
    <w:div w:id="1045832523">
      <w:bodyDiv w:val="1"/>
      <w:marLeft w:val="0"/>
      <w:marRight w:val="0"/>
      <w:marTop w:val="0"/>
      <w:marBottom w:val="0"/>
      <w:divBdr>
        <w:top w:val="none" w:sz="0" w:space="0" w:color="auto"/>
        <w:left w:val="none" w:sz="0" w:space="0" w:color="auto"/>
        <w:bottom w:val="none" w:sz="0" w:space="0" w:color="auto"/>
        <w:right w:val="none" w:sz="0" w:space="0" w:color="auto"/>
      </w:divBdr>
    </w:div>
    <w:div w:id="1083143694">
      <w:bodyDiv w:val="1"/>
      <w:marLeft w:val="0"/>
      <w:marRight w:val="0"/>
      <w:marTop w:val="0"/>
      <w:marBottom w:val="0"/>
      <w:divBdr>
        <w:top w:val="none" w:sz="0" w:space="0" w:color="auto"/>
        <w:left w:val="none" w:sz="0" w:space="0" w:color="auto"/>
        <w:bottom w:val="none" w:sz="0" w:space="0" w:color="auto"/>
        <w:right w:val="none" w:sz="0" w:space="0" w:color="auto"/>
      </w:divBdr>
    </w:div>
    <w:div w:id="1190219526">
      <w:bodyDiv w:val="1"/>
      <w:marLeft w:val="0"/>
      <w:marRight w:val="0"/>
      <w:marTop w:val="0"/>
      <w:marBottom w:val="0"/>
      <w:divBdr>
        <w:top w:val="none" w:sz="0" w:space="0" w:color="auto"/>
        <w:left w:val="none" w:sz="0" w:space="0" w:color="auto"/>
        <w:bottom w:val="none" w:sz="0" w:space="0" w:color="auto"/>
        <w:right w:val="none" w:sz="0" w:space="0" w:color="auto"/>
      </w:divBdr>
    </w:div>
    <w:div w:id="1334798427">
      <w:bodyDiv w:val="1"/>
      <w:marLeft w:val="0"/>
      <w:marRight w:val="0"/>
      <w:marTop w:val="0"/>
      <w:marBottom w:val="0"/>
      <w:divBdr>
        <w:top w:val="none" w:sz="0" w:space="0" w:color="auto"/>
        <w:left w:val="none" w:sz="0" w:space="0" w:color="auto"/>
        <w:bottom w:val="none" w:sz="0" w:space="0" w:color="auto"/>
        <w:right w:val="none" w:sz="0" w:space="0" w:color="auto"/>
      </w:divBdr>
    </w:div>
    <w:div w:id="1340808651">
      <w:bodyDiv w:val="1"/>
      <w:marLeft w:val="0"/>
      <w:marRight w:val="0"/>
      <w:marTop w:val="0"/>
      <w:marBottom w:val="0"/>
      <w:divBdr>
        <w:top w:val="none" w:sz="0" w:space="0" w:color="auto"/>
        <w:left w:val="none" w:sz="0" w:space="0" w:color="auto"/>
        <w:bottom w:val="none" w:sz="0" w:space="0" w:color="auto"/>
        <w:right w:val="none" w:sz="0" w:space="0" w:color="auto"/>
      </w:divBdr>
    </w:div>
    <w:div w:id="1359234044">
      <w:bodyDiv w:val="1"/>
      <w:marLeft w:val="0"/>
      <w:marRight w:val="0"/>
      <w:marTop w:val="0"/>
      <w:marBottom w:val="0"/>
      <w:divBdr>
        <w:top w:val="none" w:sz="0" w:space="0" w:color="auto"/>
        <w:left w:val="none" w:sz="0" w:space="0" w:color="auto"/>
        <w:bottom w:val="none" w:sz="0" w:space="0" w:color="auto"/>
        <w:right w:val="none" w:sz="0" w:space="0" w:color="auto"/>
      </w:divBdr>
    </w:div>
    <w:div w:id="1367558599">
      <w:bodyDiv w:val="1"/>
      <w:marLeft w:val="0"/>
      <w:marRight w:val="0"/>
      <w:marTop w:val="0"/>
      <w:marBottom w:val="0"/>
      <w:divBdr>
        <w:top w:val="none" w:sz="0" w:space="0" w:color="auto"/>
        <w:left w:val="none" w:sz="0" w:space="0" w:color="auto"/>
        <w:bottom w:val="none" w:sz="0" w:space="0" w:color="auto"/>
        <w:right w:val="none" w:sz="0" w:space="0" w:color="auto"/>
      </w:divBdr>
    </w:div>
    <w:div w:id="1612393859">
      <w:bodyDiv w:val="1"/>
      <w:marLeft w:val="0"/>
      <w:marRight w:val="0"/>
      <w:marTop w:val="0"/>
      <w:marBottom w:val="0"/>
      <w:divBdr>
        <w:top w:val="none" w:sz="0" w:space="0" w:color="auto"/>
        <w:left w:val="none" w:sz="0" w:space="0" w:color="auto"/>
        <w:bottom w:val="none" w:sz="0" w:space="0" w:color="auto"/>
        <w:right w:val="none" w:sz="0" w:space="0" w:color="auto"/>
      </w:divBdr>
    </w:div>
    <w:div w:id="1637946833">
      <w:bodyDiv w:val="1"/>
      <w:marLeft w:val="0"/>
      <w:marRight w:val="0"/>
      <w:marTop w:val="0"/>
      <w:marBottom w:val="0"/>
      <w:divBdr>
        <w:top w:val="none" w:sz="0" w:space="0" w:color="auto"/>
        <w:left w:val="none" w:sz="0" w:space="0" w:color="auto"/>
        <w:bottom w:val="none" w:sz="0" w:space="0" w:color="auto"/>
        <w:right w:val="none" w:sz="0" w:space="0" w:color="auto"/>
      </w:divBdr>
    </w:div>
    <w:div w:id="1674406276">
      <w:bodyDiv w:val="1"/>
      <w:marLeft w:val="0"/>
      <w:marRight w:val="0"/>
      <w:marTop w:val="0"/>
      <w:marBottom w:val="0"/>
      <w:divBdr>
        <w:top w:val="none" w:sz="0" w:space="0" w:color="auto"/>
        <w:left w:val="none" w:sz="0" w:space="0" w:color="auto"/>
        <w:bottom w:val="none" w:sz="0" w:space="0" w:color="auto"/>
        <w:right w:val="none" w:sz="0" w:space="0" w:color="auto"/>
      </w:divBdr>
    </w:div>
    <w:div w:id="1696228504">
      <w:bodyDiv w:val="1"/>
      <w:marLeft w:val="0"/>
      <w:marRight w:val="0"/>
      <w:marTop w:val="0"/>
      <w:marBottom w:val="0"/>
      <w:divBdr>
        <w:top w:val="none" w:sz="0" w:space="0" w:color="auto"/>
        <w:left w:val="none" w:sz="0" w:space="0" w:color="auto"/>
        <w:bottom w:val="none" w:sz="0" w:space="0" w:color="auto"/>
        <w:right w:val="none" w:sz="0" w:space="0" w:color="auto"/>
      </w:divBdr>
    </w:div>
    <w:div w:id="1720661978">
      <w:bodyDiv w:val="1"/>
      <w:marLeft w:val="0"/>
      <w:marRight w:val="0"/>
      <w:marTop w:val="0"/>
      <w:marBottom w:val="0"/>
      <w:divBdr>
        <w:top w:val="none" w:sz="0" w:space="0" w:color="auto"/>
        <w:left w:val="none" w:sz="0" w:space="0" w:color="auto"/>
        <w:bottom w:val="none" w:sz="0" w:space="0" w:color="auto"/>
        <w:right w:val="none" w:sz="0" w:space="0" w:color="auto"/>
      </w:divBdr>
    </w:div>
    <w:div w:id="1755853496">
      <w:bodyDiv w:val="1"/>
      <w:marLeft w:val="0"/>
      <w:marRight w:val="0"/>
      <w:marTop w:val="0"/>
      <w:marBottom w:val="0"/>
      <w:divBdr>
        <w:top w:val="none" w:sz="0" w:space="0" w:color="auto"/>
        <w:left w:val="none" w:sz="0" w:space="0" w:color="auto"/>
        <w:bottom w:val="none" w:sz="0" w:space="0" w:color="auto"/>
        <w:right w:val="none" w:sz="0" w:space="0" w:color="auto"/>
      </w:divBdr>
    </w:div>
    <w:div w:id="1943800632">
      <w:bodyDiv w:val="1"/>
      <w:marLeft w:val="0"/>
      <w:marRight w:val="0"/>
      <w:marTop w:val="0"/>
      <w:marBottom w:val="0"/>
      <w:divBdr>
        <w:top w:val="none" w:sz="0" w:space="0" w:color="auto"/>
        <w:left w:val="none" w:sz="0" w:space="0" w:color="auto"/>
        <w:bottom w:val="none" w:sz="0" w:space="0" w:color="auto"/>
        <w:right w:val="none" w:sz="0" w:space="0" w:color="auto"/>
      </w:divBdr>
    </w:div>
    <w:div w:id="1944069820">
      <w:bodyDiv w:val="1"/>
      <w:marLeft w:val="0"/>
      <w:marRight w:val="0"/>
      <w:marTop w:val="0"/>
      <w:marBottom w:val="0"/>
      <w:divBdr>
        <w:top w:val="none" w:sz="0" w:space="0" w:color="auto"/>
        <w:left w:val="none" w:sz="0" w:space="0" w:color="auto"/>
        <w:bottom w:val="none" w:sz="0" w:space="0" w:color="auto"/>
        <w:right w:val="none" w:sz="0" w:space="0" w:color="auto"/>
      </w:divBdr>
    </w:div>
    <w:div w:id="1965621644">
      <w:bodyDiv w:val="1"/>
      <w:marLeft w:val="0"/>
      <w:marRight w:val="0"/>
      <w:marTop w:val="0"/>
      <w:marBottom w:val="0"/>
      <w:divBdr>
        <w:top w:val="none" w:sz="0" w:space="0" w:color="auto"/>
        <w:left w:val="none" w:sz="0" w:space="0" w:color="auto"/>
        <w:bottom w:val="none" w:sz="0" w:space="0" w:color="auto"/>
        <w:right w:val="none" w:sz="0" w:space="0" w:color="auto"/>
      </w:divBdr>
    </w:div>
    <w:div w:id="2001303414">
      <w:bodyDiv w:val="1"/>
      <w:marLeft w:val="0"/>
      <w:marRight w:val="0"/>
      <w:marTop w:val="0"/>
      <w:marBottom w:val="0"/>
      <w:divBdr>
        <w:top w:val="none" w:sz="0" w:space="0" w:color="auto"/>
        <w:left w:val="none" w:sz="0" w:space="0" w:color="auto"/>
        <w:bottom w:val="none" w:sz="0" w:space="0" w:color="auto"/>
        <w:right w:val="none" w:sz="0" w:space="0" w:color="auto"/>
      </w:divBdr>
    </w:div>
    <w:div w:id="210734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AB062-5A8D-4C28-88B2-6451D2EE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3500</Words>
  <Characters>19845</Characters>
  <Application>Microsoft Office Word</Application>
  <DocSecurity>0</DocSecurity>
  <Lines>684</Lines>
  <Paragraphs>389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2016-06-07T04:37:00Z</dcterms:created>
  <dcterms:modified xsi:type="dcterms:W3CDTF">2016-06-21T23:46:00Z</dcterms:modified>
</cp:coreProperties>
</file>