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07D00" w:rsidRDefault="00413B59" w:rsidP="00AC0FBC">
      <w:pPr>
        <w:pStyle w:val="Title"/>
      </w:pPr>
      <w:bookmarkStart w:id="0" w:name="_Toc440892673"/>
      <w:r>
        <w:t>5</w:t>
      </w:r>
      <w:r w:rsidR="00433044">
        <w:t>.</w:t>
      </w:r>
      <w:r>
        <w:t>11</w:t>
      </w:r>
      <w:r w:rsidR="00B60939" w:rsidRPr="00207D00">
        <w:tab/>
      </w:r>
      <w:r w:rsidR="00AC0FBC">
        <w:t>SELEXIPAG</w:t>
      </w:r>
      <w:r w:rsidR="00B60939" w:rsidRPr="00207D00">
        <w:t xml:space="preserve">, </w:t>
      </w:r>
      <w:r w:rsidR="00291568">
        <w:br/>
      </w:r>
      <w:r w:rsidR="00157668" w:rsidRPr="00157668">
        <w:t>tablet</w:t>
      </w:r>
      <w:r w:rsidR="00B60939" w:rsidRPr="00157668">
        <w:t xml:space="preserve">, </w:t>
      </w:r>
      <w:r w:rsidR="00157668" w:rsidRPr="009D3EA0">
        <w:rPr>
          <w:szCs w:val="28"/>
        </w:rPr>
        <w:t xml:space="preserve">200, 400, 600, 800, 1000, 1200, 1400 and 1600 </w:t>
      </w:r>
      <w:r w:rsidR="00157668">
        <w:t>micrograms</w:t>
      </w:r>
      <w:r w:rsidR="00B60939" w:rsidRPr="00157668">
        <w:t>,</w:t>
      </w:r>
      <w:r w:rsidR="00B60939" w:rsidRPr="00207D00">
        <w:t xml:space="preserve"> </w:t>
      </w:r>
      <w:r w:rsidR="00291568">
        <w:br/>
      </w:r>
      <w:r w:rsidR="00157668">
        <w:t>Uptravi</w:t>
      </w:r>
      <w:r w:rsidR="00B60939" w:rsidRPr="00207D00">
        <w:rPr>
          <w:vertAlign w:val="superscript"/>
        </w:rPr>
        <w:t>®</w:t>
      </w:r>
      <w:r w:rsidR="00B60939" w:rsidRPr="00207D00">
        <w:t xml:space="preserve">, </w:t>
      </w:r>
      <w:r w:rsidR="00291568">
        <w:br/>
      </w:r>
      <w:r w:rsidR="00157668">
        <w:t xml:space="preserve">Actelion Pharmaceuticals </w:t>
      </w:r>
      <w:r w:rsidR="00157668" w:rsidRPr="00AC0FBC">
        <w:t>Australia</w:t>
      </w:r>
      <w:r w:rsidR="00B60939" w:rsidRPr="00207D00">
        <w:t>.</w:t>
      </w:r>
      <w:bookmarkEnd w:id="0"/>
    </w:p>
    <w:p w:rsidR="00B60939" w:rsidRDefault="00B60939" w:rsidP="00207D00"/>
    <w:p w:rsidR="006B0E7F" w:rsidRDefault="006B0E7F" w:rsidP="00207D00"/>
    <w:p w:rsidR="00B50DB8" w:rsidRPr="00407F2D" w:rsidRDefault="00B50DB8" w:rsidP="00BD6CF3">
      <w:pPr>
        <w:pStyle w:val="PBACHeading1"/>
      </w:pPr>
      <w:bookmarkStart w:id="1" w:name="_Toc440892675"/>
      <w:r w:rsidRPr="00407F2D">
        <w:t>Purpose of Application</w:t>
      </w:r>
      <w:bookmarkEnd w:id="1"/>
    </w:p>
    <w:p w:rsidR="00B60939" w:rsidRPr="00882085" w:rsidRDefault="00B60939" w:rsidP="00B60939">
      <w:pPr>
        <w:rPr>
          <w:szCs w:val="22"/>
        </w:rPr>
      </w:pPr>
    </w:p>
    <w:p w:rsidR="002C2775" w:rsidRPr="00B50DB8" w:rsidRDefault="003022BD" w:rsidP="00590A3C">
      <w:pPr>
        <w:pStyle w:val="ListParagraph"/>
        <w:widowControl/>
        <w:numPr>
          <w:ilvl w:val="1"/>
          <w:numId w:val="2"/>
        </w:numPr>
        <w:rPr>
          <w:szCs w:val="22"/>
        </w:rPr>
      </w:pPr>
      <w:r>
        <w:t xml:space="preserve">The submission requested a </w:t>
      </w:r>
      <w:r w:rsidR="00ED6189">
        <w:t xml:space="preserve">Section 100, Authority Required listing for </w:t>
      </w:r>
      <w:r w:rsidR="00ED6189" w:rsidRPr="008646A7">
        <w:t>selexipag</w:t>
      </w:r>
      <w:r w:rsidR="00ED6189">
        <w:t xml:space="preserve"> </w:t>
      </w:r>
      <w:r w:rsidR="00F90699">
        <w:t xml:space="preserve">for treatment of </w:t>
      </w:r>
      <w:r w:rsidR="00ED6189">
        <w:t>pulmonary arterial hypertension (PAH)</w:t>
      </w:r>
      <w:r>
        <w:t>.</w:t>
      </w:r>
    </w:p>
    <w:p w:rsidR="009C1CAA" w:rsidRDefault="009C1CAA" w:rsidP="004B1CB4"/>
    <w:p w:rsidR="006B0E7F" w:rsidRDefault="006B0E7F" w:rsidP="004B1CB4"/>
    <w:p w:rsidR="00B50DB8" w:rsidRPr="00407F2D" w:rsidRDefault="00B50DB8" w:rsidP="00BD6CF3">
      <w:pPr>
        <w:pStyle w:val="PBACHeading1"/>
      </w:pPr>
      <w:bookmarkStart w:id="2" w:name="_Toc440892676"/>
      <w:r w:rsidRPr="00407F2D">
        <w:t>Requested listing</w:t>
      </w:r>
      <w:bookmarkEnd w:id="2"/>
    </w:p>
    <w:p w:rsidR="00B60939" w:rsidRPr="00882085" w:rsidRDefault="00B60939" w:rsidP="004B1CB4"/>
    <w:p w:rsidR="00447C89" w:rsidRDefault="003022BD" w:rsidP="00590A3C">
      <w:pPr>
        <w:pStyle w:val="ListParagraph"/>
        <w:widowControl/>
        <w:numPr>
          <w:ilvl w:val="1"/>
          <w:numId w:val="2"/>
        </w:numPr>
        <w:rPr>
          <w:szCs w:val="22"/>
        </w:rPr>
      </w:pPr>
      <w:r>
        <w:rPr>
          <w:szCs w:val="22"/>
        </w:rPr>
        <w:t xml:space="preserve">The requested PBS listing is shown below. Suggestions </w:t>
      </w:r>
      <w:r w:rsidRPr="009E5518">
        <w:t xml:space="preserve">by the Secretariat are included with suggestions and additions in </w:t>
      </w:r>
      <w:r w:rsidRPr="009E5518">
        <w:rPr>
          <w:i/>
        </w:rPr>
        <w:t>italics</w:t>
      </w:r>
      <w:r w:rsidRPr="009E5518">
        <w:t xml:space="preserve"> and deletions in </w:t>
      </w:r>
      <w:r w:rsidRPr="009E5518">
        <w:rPr>
          <w:strike/>
        </w:rPr>
        <w:t>strikethrough</w:t>
      </w:r>
      <w:r w:rsidRPr="009E5518">
        <w:t>:</w:t>
      </w:r>
    </w:p>
    <w:p w:rsidR="00447C89" w:rsidRDefault="00447C89" w:rsidP="004B1CB4">
      <w:pPr>
        <w:rPr>
          <w:i/>
        </w:rPr>
      </w:pPr>
    </w:p>
    <w:tbl>
      <w:tblPr>
        <w:tblW w:w="4604" w:type="pct"/>
        <w:tblInd w:w="737" w:type="dxa"/>
        <w:tblCellMar>
          <w:left w:w="28" w:type="dxa"/>
          <w:right w:w="28" w:type="dxa"/>
        </w:tblCellMar>
        <w:tblLook w:val="0000" w:firstRow="0" w:lastRow="0" w:firstColumn="0" w:lastColumn="0" w:noHBand="0" w:noVBand="0"/>
      </w:tblPr>
      <w:tblGrid>
        <w:gridCol w:w="1492"/>
        <w:gridCol w:w="1766"/>
        <w:gridCol w:w="495"/>
        <w:gridCol w:w="734"/>
        <w:gridCol w:w="1774"/>
        <w:gridCol w:w="833"/>
        <w:gridCol w:w="1269"/>
      </w:tblGrid>
      <w:tr w:rsidR="00C4009B" w:rsidRPr="006B0E7F" w:rsidTr="00617A5D">
        <w:trPr>
          <w:cantSplit/>
          <w:trHeight w:val="471"/>
        </w:trPr>
        <w:tc>
          <w:tcPr>
            <w:tcW w:w="2026" w:type="pct"/>
            <w:gridSpan w:val="2"/>
            <w:tcBorders>
              <w:bottom w:val="single" w:sz="4" w:space="0" w:color="auto"/>
            </w:tcBorders>
          </w:tcPr>
          <w:p w:rsidR="00C4009B" w:rsidRPr="006B0E7F" w:rsidRDefault="00C4009B" w:rsidP="00290E94">
            <w:pPr>
              <w:keepNext/>
              <w:rPr>
                <w:rFonts w:ascii="Arial Narrow" w:hAnsi="Arial Narrow"/>
                <w:sz w:val="20"/>
              </w:rPr>
            </w:pPr>
            <w:r w:rsidRPr="006B0E7F">
              <w:rPr>
                <w:rFonts w:ascii="Arial Narrow" w:hAnsi="Arial Narrow"/>
                <w:sz w:val="20"/>
              </w:rPr>
              <w:t>Name, Restriction,</w:t>
            </w:r>
          </w:p>
          <w:p w:rsidR="00C4009B" w:rsidRPr="006B0E7F" w:rsidRDefault="00C4009B" w:rsidP="00290E94">
            <w:pPr>
              <w:keepNext/>
              <w:rPr>
                <w:rFonts w:ascii="Arial Narrow" w:hAnsi="Arial Narrow"/>
                <w:sz w:val="20"/>
              </w:rPr>
            </w:pPr>
            <w:r w:rsidRPr="006B0E7F">
              <w:rPr>
                <w:rFonts w:ascii="Arial Narrow" w:hAnsi="Arial Narrow"/>
                <w:sz w:val="20"/>
              </w:rPr>
              <w:t>Manner of administration and form</w:t>
            </w:r>
          </w:p>
        </w:tc>
        <w:tc>
          <w:tcPr>
            <w:tcW w:w="335" w:type="pct"/>
            <w:tcBorders>
              <w:bottom w:val="single" w:sz="4" w:space="0" w:color="auto"/>
            </w:tcBorders>
          </w:tcPr>
          <w:p w:rsidR="00C4009B" w:rsidRPr="006B0E7F" w:rsidRDefault="00C4009B" w:rsidP="00290E94">
            <w:pPr>
              <w:keepNext/>
              <w:jc w:val="center"/>
              <w:rPr>
                <w:rFonts w:ascii="Arial Narrow" w:hAnsi="Arial Narrow"/>
                <w:sz w:val="20"/>
              </w:rPr>
            </w:pPr>
            <w:r w:rsidRPr="006B0E7F">
              <w:rPr>
                <w:rFonts w:ascii="Arial Narrow" w:hAnsi="Arial Narrow"/>
                <w:sz w:val="20"/>
              </w:rPr>
              <w:t>Max.</w:t>
            </w:r>
          </w:p>
          <w:p w:rsidR="00C4009B" w:rsidRPr="006B0E7F" w:rsidRDefault="00C4009B" w:rsidP="00290E94">
            <w:pPr>
              <w:keepNext/>
              <w:jc w:val="center"/>
              <w:rPr>
                <w:rFonts w:ascii="Arial Narrow" w:hAnsi="Arial Narrow"/>
                <w:sz w:val="20"/>
              </w:rPr>
            </w:pPr>
            <w:r w:rsidRPr="006B0E7F">
              <w:rPr>
                <w:rFonts w:ascii="Arial Narrow" w:hAnsi="Arial Narrow"/>
                <w:sz w:val="20"/>
              </w:rPr>
              <w:t>Qty</w:t>
            </w:r>
          </w:p>
        </w:tc>
        <w:tc>
          <w:tcPr>
            <w:tcW w:w="477" w:type="pct"/>
            <w:tcBorders>
              <w:bottom w:val="single" w:sz="4" w:space="0" w:color="auto"/>
            </w:tcBorders>
          </w:tcPr>
          <w:p w:rsidR="00C4009B" w:rsidRPr="006B0E7F" w:rsidRDefault="00C4009B" w:rsidP="00290E94">
            <w:pPr>
              <w:keepNext/>
              <w:jc w:val="center"/>
              <w:rPr>
                <w:rFonts w:ascii="Arial Narrow" w:hAnsi="Arial Narrow"/>
                <w:sz w:val="20"/>
              </w:rPr>
            </w:pPr>
            <w:r w:rsidRPr="006B0E7F">
              <w:rPr>
                <w:rFonts w:ascii="Arial Narrow" w:hAnsi="Arial Narrow"/>
                <w:sz w:val="20"/>
              </w:rPr>
              <w:t>№.of</w:t>
            </w:r>
          </w:p>
          <w:p w:rsidR="00C4009B" w:rsidRPr="006B0E7F" w:rsidRDefault="00C4009B" w:rsidP="00290E94">
            <w:pPr>
              <w:keepNext/>
              <w:jc w:val="center"/>
              <w:rPr>
                <w:rFonts w:ascii="Arial Narrow" w:hAnsi="Arial Narrow"/>
                <w:sz w:val="20"/>
              </w:rPr>
            </w:pPr>
            <w:r w:rsidRPr="006B0E7F">
              <w:rPr>
                <w:rFonts w:ascii="Arial Narrow" w:hAnsi="Arial Narrow"/>
                <w:sz w:val="20"/>
              </w:rPr>
              <w:t>Rpts</w:t>
            </w:r>
          </w:p>
        </w:tc>
        <w:tc>
          <w:tcPr>
            <w:tcW w:w="1099" w:type="pct"/>
            <w:tcBorders>
              <w:bottom w:val="single" w:sz="4" w:space="0" w:color="auto"/>
            </w:tcBorders>
          </w:tcPr>
          <w:p w:rsidR="00C4009B" w:rsidRPr="006B0E7F" w:rsidRDefault="00C4009B" w:rsidP="00290E94">
            <w:pPr>
              <w:keepNext/>
              <w:jc w:val="center"/>
              <w:rPr>
                <w:rFonts w:ascii="Arial Narrow" w:hAnsi="Arial Narrow"/>
                <w:sz w:val="20"/>
              </w:rPr>
            </w:pPr>
            <w:r w:rsidRPr="006B0E7F">
              <w:rPr>
                <w:rFonts w:ascii="Arial Narrow" w:hAnsi="Arial Narrow"/>
                <w:sz w:val="20"/>
              </w:rPr>
              <w:t>Dispensed Price for Max. Qty</w:t>
            </w:r>
          </w:p>
        </w:tc>
        <w:tc>
          <w:tcPr>
            <w:tcW w:w="1062" w:type="pct"/>
            <w:gridSpan w:val="2"/>
            <w:tcBorders>
              <w:bottom w:val="single" w:sz="4" w:space="0" w:color="auto"/>
            </w:tcBorders>
          </w:tcPr>
          <w:p w:rsidR="00C4009B" w:rsidRPr="006B0E7F" w:rsidRDefault="00C4009B" w:rsidP="00290E94">
            <w:pPr>
              <w:keepNext/>
              <w:jc w:val="center"/>
              <w:rPr>
                <w:rFonts w:ascii="Arial Narrow" w:hAnsi="Arial Narrow"/>
                <w:sz w:val="20"/>
                <w:lang w:val="fr-FR"/>
              </w:rPr>
            </w:pPr>
            <w:r w:rsidRPr="006B0E7F">
              <w:rPr>
                <w:rFonts w:ascii="Arial Narrow" w:hAnsi="Arial Narrow"/>
                <w:sz w:val="20"/>
              </w:rPr>
              <w:t>Proprietary Name and Manufacturer</w:t>
            </w:r>
          </w:p>
        </w:tc>
      </w:tr>
      <w:tr w:rsidR="00C4009B" w:rsidRPr="006B0E7F" w:rsidTr="00617A5D">
        <w:trPr>
          <w:cantSplit/>
          <w:trHeight w:val="577"/>
        </w:trPr>
        <w:tc>
          <w:tcPr>
            <w:tcW w:w="2026" w:type="pct"/>
            <w:gridSpan w:val="2"/>
          </w:tcPr>
          <w:p w:rsidR="00C4009B" w:rsidRPr="006B0E7F" w:rsidRDefault="00C4009B" w:rsidP="00290E94">
            <w:pPr>
              <w:keepNext/>
              <w:rPr>
                <w:rFonts w:ascii="Arial Narrow" w:hAnsi="Arial Narrow"/>
                <w:sz w:val="20"/>
              </w:rPr>
            </w:pPr>
            <w:r w:rsidRPr="006B0E7F">
              <w:rPr>
                <w:rFonts w:ascii="Arial Narrow" w:hAnsi="Arial Narrow"/>
                <w:smallCaps/>
                <w:sz w:val="20"/>
              </w:rPr>
              <w:t>Selexipag</w:t>
            </w:r>
          </w:p>
          <w:p w:rsidR="00C4009B" w:rsidRPr="006B0E7F" w:rsidRDefault="00C4009B" w:rsidP="00290E94">
            <w:pPr>
              <w:keepNext/>
              <w:rPr>
                <w:rFonts w:ascii="Arial Narrow" w:hAnsi="Arial Narrow"/>
                <w:sz w:val="20"/>
              </w:rPr>
            </w:pPr>
            <w:r w:rsidRPr="006B0E7F">
              <w:rPr>
                <w:rFonts w:ascii="Arial Narrow" w:hAnsi="Arial Narrow"/>
                <w:sz w:val="20"/>
              </w:rPr>
              <w:t>Tablet 200 microgram, 140</w:t>
            </w:r>
          </w:p>
          <w:p w:rsidR="00C4009B" w:rsidRPr="006B0E7F" w:rsidRDefault="00C4009B" w:rsidP="00290E94">
            <w:pPr>
              <w:keepNext/>
              <w:rPr>
                <w:rFonts w:ascii="Arial Narrow" w:hAnsi="Arial Narrow"/>
                <w:sz w:val="20"/>
              </w:rPr>
            </w:pPr>
            <w:r w:rsidRPr="006B0E7F">
              <w:rPr>
                <w:rFonts w:ascii="Arial Narrow" w:hAnsi="Arial Narrow"/>
                <w:sz w:val="20"/>
              </w:rPr>
              <w:t>Tablet 800 microgram, 60</w:t>
            </w:r>
          </w:p>
          <w:p w:rsidR="00C4009B" w:rsidRPr="006B0E7F" w:rsidRDefault="00C4009B" w:rsidP="00290E94">
            <w:pPr>
              <w:keepNext/>
              <w:rPr>
                <w:rFonts w:ascii="Arial Narrow" w:hAnsi="Arial Narrow"/>
                <w:sz w:val="20"/>
              </w:rPr>
            </w:pPr>
          </w:p>
        </w:tc>
        <w:tc>
          <w:tcPr>
            <w:tcW w:w="335" w:type="pct"/>
          </w:tcPr>
          <w:p w:rsidR="00C4009B" w:rsidRPr="006B0E7F" w:rsidRDefault="00C4009B" w:rsidP="00290E94">
            <w:pPr>
              <w:keepNext/>
              <w:jc w:val="center"/>
              <w:rPr>
                <w:rFonts w:ascii="Arial Narrow" w:hAnsi="Arial Narrow"/>
                <w:sz w:val="20"/>
              </w:rPr>
            </w:pPr>
          </w:p>
          <w:p w:rsidR="00C4009B" w:rsidRPr="006B0E7F" w:rsidRDefault="00C4009B" w:rsidP="00290E94">
            <w:pPr>
              <w:keepNext/>
              <w:jc w:val="center"/>
              <w:rPr>
                <w:rFonts w:ascii="Arial Narrow" w:hAnsi="Arial Narrow"/>
                <w:sz w:val="20"/>
              </w:rPr>
            </w:pPr>
            <w:r w:rsidRPr="006B0E7F">
              <w:rPr>
                <w:rFonts w:ascii="Arial Narrow" w:hAnsi="Arial Narrow"/>
                <w:sz w:val="20"/>
              </w:rPr>
              <w:t>1</w:t>
            </w:r>
          </w:p>
          <w:p w:rsidR="00C4009B" w:rsidRPr="006B0E7F" w:rsidRDefault="00C4009B" w:rsidP="00290E94">
            <w:pPr>
              <w:keepNext/>
              <w:jc w:val="center"/>
              <w:rPr>
                <w:rFonts w:ascii="Arial Narrow" w:hAnsi="Arial Narrow"/>
                <w:sz w:val="20"/>
              </w:rPr>
            </w:pPr>
            <w:r w:rsidRPr="006B0E7F">
              <w:rPr>
                <w:rFonts w:ascii="Arial Narrow" w:hAnsi="Arial Narrow"/>
                <w:sz w:val="20"/>
              </w:rPr>
              <w:t>1</w:t>
            </w:r>
          </w:p>
        </w:tc>
        <w:tc>
          <w:tcPr>
            <w:tcW w:w="477" w:type="pct"/>
          </w:tcPr>
          <w:p w:rsidR="00C4009B" w:rsidRPr="006B0E7F" w:rsidRDefault="00C4009B" w:rsidP="00290E94">
            <w:pPr>
              <w:keepNext/>
              <w:jc w:val="center"/>
              <w:rPr>
                <w:rFonts w:ascii="Arial Narrow" w:hAnsi="Arial Narrow"/>
                <w:sz w:val="20"/>
              </w:rPr>
            </w:pPr>
          </w:p>
          <w:p w:rsidR="00C4009B" w:rsidRPr="006B0E7F" w:rsidRDefault="00C4009B" w:rsidP="00290E94">
            <w:pPr>
              <w:keepNext/>
              <w:jc w:val="center"/>
              <w:rPr>
                <w:rFonts w:ascii="Arial Narrow" w:hAnsi="Arial Narrow"/>
                <w:sz w:val="20"/>
              </w:rPr>
            </w:pPr>
            <w:r w:rsidRPr="006B0E7F">
              <w:rPr>
                <w:rFonts w:ascii="Arial Narrow" w:hAnsi="Arial Narrow"/>
                <w:sz w:val="20"/>
              </w:rPr>
              <w:t>2</w:t>
            </w:r>
          </w:p>
          <w:p w:rsidR="00C4009B" w:rsidRPr="006B0E7F" w:rsidRDefault="00C4009B" w:rsidP="00290E94">
            <w:pPr>
              <w:keepNext/>
              <w:jc w:val="center"/>
              <w:rPr>
                <w:rFonts w:ascii="Arial Narrow" w:hAnsi="Arial Narrow"/>
                <w:sz w:val="20"/>
              </w:rPr>
            </w:pPr>
            <w:r w:rsidRPr="006B0E7F">
              <w:rPr>
                <w:rFonts w:ascii="Arial Narrow" w:hAnsi="Arial Narrow"/>
                <w:sz w:val="20"/>
              </w:rPr>
              <w:t>1</w:t>
            </w:r>
          </w:p>
        </w:tc>
        <w:tc>
          <w:tcPr>
            <w:tcW w:w="1099" w:type="pct"/>
          </w:tcPr>
          <w:p w:rsidR="00C4009B" w:rsidRPr="006B0E7F" w:rsidRDefault="00C4009B" w:rsidP="00290E94">
            <w:pPr>
              <w:keepNext/>
              <w:jc w:val="center"/>
              <w:rPr>
                <w:rFonts w:ascii="Arial Narrow" w:hAnsi="Arial Narrow"/>
                <w:sz w:val="20"/>
              </w:rPr>
            </w:pPr>
          </w:p>
          <w:p w:rsidR="00C4009B" w:rsidRPr="006B0E7F" w:rsidRDefault="00C4009B" w:rsidP="00290E94">
            <w:pPr>
              <w:keepNext/>
              <w:jc w:val="center"/>
              <w:rPr>
                <w:rFonts w:ascii="Arial Narrow" w:hAnsi="Arial Narrow"/>
                <w:sz w:val="20"/>
              </w:rPr>
            </w:pPr>
            <w:r w:rsidRPr="006B0E7F">
              <w:rPr>
                <w:rFonts w:ascii="Arial Narrow" w:hAnsi="Arial Narrow"/>
                <w:sz w:val="20"/>
              </w:rPr>
              <w:t>$</w:t>
            </w:r>
            <w:r w:rsidR="00A35868">
              <w:rPr>
                <w:rFonts w:ascii="Arial Narrow" w:hAnsi="Arial Narrow"/>
                <w:noProof/>
                <w:color w:val="000000"/>
                <w:sz w:val="20"/>
                <w:highlight w:val="black"/>
              </w:rPr>
              <w:t>'''''''''''''''''''''</w:t>
            </w:r>
            <w:r w:rsidRPr="006B0E7F">
              <w:rPr>
                <w:rFonts w:ascii="Arial Narrow" w:hAnsi="Arial Narrow"/>
                <w:sz w:val="20"/>
              </w:rPr>
              <w:t xml:space="preserve"> (private)</w:t>
            </w:r>
          </w:p>
          <w:p w:rsidR="00C4009B" w:rsidRPr="006B0E7F" w:rsidRDefault="00C4009B" w:rsidP="00290E94">
            <w:pPr>
              <w:keepNext/>
              <w:jc w:val="center"/>
              <w:rPr>
                <w:rFonts w:ascii="Arial Narrow" w:hAnsi="Arial Narrow"/>
                <w:sz w:val="20"/>
              </w:rPr>
            </w:pPr>
            <w:r w:rsidRPr="006B0E7F">
              <w:rPr>
                <w:rFonts w:ascii="Arial Narrow" w:hAnsi="Arial Narrow"/>
                <w:sz w:val="20"/>
              </w:rPr>
              <w:t>$</w:t>
            </w:r>
            <w:r w:rsidR="00A35868">
              <w:rPr>
                <w:rFonts w:ascii="Arial Narrow" w:hAnsi="Arial Narrow"/>
                <w:noProof/>
                <w:color w:val="000000"/>
                <w:sz w:val="20"/>
                <w:highlight w:val="black"/>
              </w:rPr>
              <w:t>'''''''''''''''''''''</w:t>
            </w:r>
            <w:r w:rsidRPr="006B0E7F">
              <w:rPr>
                <w:rFonts w:ascii="Arial Narrow" w:hAnsi="Arial Narrow"/>
                <w:sz w:val="20"/>
              </w:rPr>
              <w:t xml:space="preserve"> (public)</w:t>
            </w:r>
          </w:p>
        </w:tc>
        <w:tc>
          <w:tcPr>
            <w:tcW w:w="536" w:type="pct"/>
          </w:tcPr>
          <w:p w:rsidR="00C4009B" w:rsidRPr="006B0E7F" w:rsidRDefault="00C4009B" w:rsidP="00290E94">
            <w:pPr>
              <w:keepNext/>
              <w:jc w:val="center"/>
              <w:rPr>
                <w:rFonts w:ascii="Arial Narrow" w:hAnsi="Arial Narrow"/>
                <w:sz w:val="20"/>
              </w:rPr>
            </w:pPr>
          </w:p>
          <w:p w:rsidR="00C4009B" w:rsidRPr="006B0E7F" w:rsidRDefault="00C4009B" w:rsidP="00290E94">
            <w:pPr>
              <w:keepNext/>
              <w:jc w:val="center"/>
              <w:rPr>
                <w:rFonts w:ascii="Arial Narrow" w:hAnsi="Arial Narrow"/>
                <w:sz w:val="20"/>
              </w:rPr>
            </w:pPr>
            <w:r w:rsidRPr="006B0E7F">
              <w:rPr>
                <w:rFonts w:ascii="Arial Narrow" w:hAnsi="Arial Narrow"/>
                <w:sz w:val="20"/>
              </w:rPr>
              <w:t>Uptravi</w:t>
            </w:r>
            <w:r w:rsidRPr="006B0E7F">
              <w:rPr>
                <w:rFonts w:ascii="Arial Narrow" w:hAnsi="Arial Narrow"/>
                <w:sz w:val="20"/>
                <w:vertAlign w:val="superscript"/>
              </w:rPr>
              <w:t>®</w:t>
            </w:r>
          </w:p>
        </w:tc>
        <w:tc>
          <w:tcPr>
            <w:tcW w:w="526" w:type="pct"/>
          </w:tcPr>
          <w:p w:rsidR="00C4009B" w:rsidRPr="006B0E7F" w:rsidRDefault="00C4009B" w:rsidP="00290E94">
            <w:pPr>
              <w:keepNext/>
              <w:jc w:val="center"/>
              <w:rPr>
                <w:rFonts w:ascii="Arial Narrow" w:hAnsi="Arial Narrow"/>
                <w:sz w:val="20"/>
              </w:rPr>
            </w:pPr>
          </w:p>
          <w:p w:rsidR="00C4009B" w:rsidRPr="006B0E7F" w:rsidRDefault="00C4009B" w:rsidP="00290E94">
            <w:pPr>
              <w:keepNext/>
              <w:jc w:val="center"/>
              <w:rPr>
                <w:rFonts w:ascii="Arial Narrow" w:hAnsi="Arial Narrow"/>
                <w:sz w:val="20"/>
              </w:rPr>
            </w:pPr>
            <w:r w:rsidRPr="006B0E7F">
              <w:rPr>
                <w:rFonts w:ascii="Arial Narrow" w:hAnsi="Arial Narrow"/>
                <w:sz w:val="20"/>
              </w:rPr>
              <w:t>Actelion Pharmaceuticals</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b/>
                <w:sz w:val="20"/>
              </w:rPr>
            </w:pPr>
            <w:r w:rsidRPr="00260CE3">
              <w:rPr>
                <w:rFonts w:ascii="Arial Narrow" w:hAnsi="Arial Narrow"/>
                <w:b/>
                <w:sz w:val="20"/>
              </w:rPr>
              <w:t xml:space="preserve">Category / </w:t>
            </w:r>
          </w:p>
          <w:p w:rsidR="00C4009B" w:rsidRPr="00260CE3" w:rsidRDefault="00C4009B" w:rsidP="00290E94">
            <w:pPr>
              <w:rPr>
                <w:rFonts w:ascii="Arial Narrow" w:hAnsi="Arial Narrow"/>
                <w:b/>
                <w:sz w:val="20"/>
              </w:rPr>
            </w:pPr>
            <w:r w:rsidRPr="00260CE3">
              <w:rPr>
                <w:rFonts w:ascii="Arial Narrow" w:hAnsi="Arial Narrow"/>
                <w:b/>
                <w:sz w:val="20"/>
              </w:rPr>
              <w:t>Program</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sidRPr="00260CE3">
              <w:rPr>
                <w:rFonts w:ascii="Arial Narrow" w:hAnsi="Arial Narrow"/>
                <w:sz w:val="20"/>
              </w:rPr>
              <w:t>Section 100 – Highly Specialised Drugs Program</w:t>
            </w:r>
          </w:p>
          <w:p w:rsidR="00C4009B" w:rsidRPr="00260CE3" w:rsidRDefault="00C4009B" w:rsidP="00290E94">
            <w:pPr>
              <w:rPr>
                <w:rFonts w:ascii="Arial Narrow" w:hAnsi="Arial Narrow"/>
                <w:sz w:val="20"/>
              </w:rPr>
            </w:pP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Default="00C4009B" w:rsidP="00290E94">
            <w:pPr>
              <w:rPr>
                <w:rFonts w:ascii="Arial Narrow" w:hAnsi="Arial Narrow"/>
                <w:b/>
                <w:sz w:val="20"/>
              </w:rPr>
            </w:pPr>
            <w:r w:rsidRPr="00260CE3">
              <w:rPr>
                <w:rFonts w:ascii="Arial Narrow" w:hAnsi="Arial Narrow"/>
                <w:b/>
                <w:sz w:val="20"/>
              </w:rPr>
              <w:t>Prescriber type:</w:t>
            </w:r>
          </w:p>
          <w:p w:rsidR="00C4009B" w:rsidRPr="00340D66" w:rsidRDefault="00C4009B" w:rsidP="00290E94">
            <w:pPr>
              <w:rPr>
                <w:rFonts w:ascii="Arial Narrow" w:hAnsi="Arial Narrow"/>
                <w:sz w:val="20"/>
              </w:rPr>
            </w:pPr>
          </w:p>
        </w:tc>
        <w:tc>
          <w:tcPr>
            <w:tcW w:w="4069" w:type="pct"/>
            <w:gridSpan w:val="6"/>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Check1"/>
                  <w:enabled/>
                  <w:calcOnExit w:val="0"/>
                  <w:checkBox>
                    <w:sizeAuto/>
                    <w:default w:val="1"/>
                  </w:checkBox>
                </w:ffData>
              </w:fldChar>
            </w:r>
            <w:r>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4009B" w:rsidRPr="00260CE3" w:rsidRDefault="00C4009B" w:rsidP="00290E9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b/>
                <w:sz w:val="20"/>
              </w:rPr>
            </w:pPr>
            <w:r w:rsidRPr="00260CE3">
              <w:rPr>
                <w:rFonts w:ascii="Arial Narrow" w:hAnsi="Arial Narrow"/>
                <w:b/>
                <w:sz w:val="20"/>
              </w:rPr>
              <w:t>Episodicity:</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Pr>
                <w:rFonts w:ascii="Arial Narrow" w:hAnsi="Arial Narrow"/>
                <w:sz w:val="20"/>
              </w:rPr>
              <w:t>-</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1C03E9">
              <w:rPr>
                <w:rFonts w:ascii="Arial Narrow" w:hAnsi="Arial Narrow"/>
                <w:b/>
                <w:sz w:val="20"/>
              </w:rPr>
              <w:t>Severity</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t>WHO Functional Class III or IV</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C4009B" w:rsidRPr="001C03E9" w:rsidRDefault="00C4009B" w:rsidP="00290E94">
            <w:pPr>
              <w:snapToGrid w:val="0"/>
              <w:spacing w:line="20" w:lineRule="atLeast"/>
              <w:rPr>
                <w:b/>
              </w:rPr>
            </w:pPr>
            <w:r w:rsidRPr="001C03E9">
              <w:rPr>
                <w:rFonts w:ascii="Arial Narrow" w:hAnsi="Arial Narrow"/>
                <w:b/>
                <w:sz w:val="20"/>
              </w:rPr>
              <w:t>Condition</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snapToGrid w:val="0"/>
              <w:spacing w:line="20" w:lineRule="atLeast"/>
              <w:rPr>
                <w:rFonts w:ascii="Arial Narrow" w:hAnsi="Arial Narrow"/>
                <w:sz w:val="20"/>
              </w:rPr>
            </w:pPr>
            <w:r w:rsidRPr="00974BA8">
              <w:rPr>
                <w:rFonts w:ascii="Arial Narrow" w:hAnsi="Arial Narrow"/>
                <w:sz w:val="20"/>
              </w:rPr>
              <w:t>Pulmonary arterial hypertension (PAH)</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1C03E9">
              <w:rPr>
                <w:rFonts w:ascii="Arial Narrow" w:hAnsi="Arial Narrow"/>
                <w:b/>
                <w:sz w:val="20"/>
              </w:rPr>
              <w:t>PBS indication</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Pr>
                <w:rFonts w:ascii="Arial Narrow" w:hAnsi="Arial Narrow"/>
                <w:sz w:val="20"/>
              </w:rPr>
              <w:t>PAH</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974BA8">
              <w:rPr>
                <w:rFonts w:ascii="Arial Narrow" w:hAnsi="Arial Narrow"/>
                <w:b/>
                <w:bCs/>
                <w:sz w:val="20"/>
              </w:rPr>
              <w:t>Treatment phase</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Pr>
                <w:rFonts w:ascii="Arial Narrow" w:hAnsi="Arial Narrow"/>
                <w:sz w:val="20"/>
              </w:rPr>
              <w:t>Initial treatment</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b/>
              </w:rPr>
            </w:pPr>
            <w:r w:rsidRPr="001C03E9">
              <w:rPr>
                <w:rFonts w:ascii="Arial Narrow" w:hAnsi="Arial Narrow"/>
                <w:b/>
                <w:sz w:val="20"/>
              </w:rPr>
              <w:t>Restriction</w:t>
            </w:r>
            <w:r>
              <w:rPr>
                <w:rFonts w:ascii="Arial Narrow" w:hAnsi="Arial Narrow"/>
                <w:b/>
                <w:sz w:val="20"/>
              </w:rPr>
              <w:t xml:space="preserve"> Level / Method</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4009B" w:rsidRPr="00106BCF" w:rsidRDefault="00C4009B" w:rsidP="00290E94">
            <w:pPr>
              <w:rPr>
                <w:rFonts w:ascii="Arial Narrow" w:hAnsi="Arial Narrow"/>
                <w:sz w:val="20"/>
              </w:rPr>
            </w:pPr>
            <w:r>
              <w:rPr>
                <w:rFonts w:ascii="Arial Narrow" w:hAnsi="Arial Narrow"/>
                <w:sz w:val="20"/>
              </w:rPr>
              <w:fldChar w:fldCharType="begin">
                <w:ffData>
                  <w:name w:val="Check1"/>
                  <w:enabled/>
                  <w:calcOnExit w:val="0"/>
                  <w:checkBox>
                    <w:sizeAuto/>
                    <w:default w:val="1"/>
                  </w:checkBox>
                </w:ffData>
              </w:fldChar>
            </w:r>
            <w:r>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4009B" w:rsidRPr="00974BA8" w:rsidRDefault="00C4009B" w:rsidP="00290E9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C4009B" w:rsidRPr="001C03E9" w:rsidRDefault="00C4009B" w:rsidP="00290E94">
            <w:pPr>
              <w:snapToGrid w:val="0"/>
              <w:spacing w:after="40" w:line="20" w:lineRule="atLeast"/>
              <w:rPr>
                <w:b/>
              </w:rPr>
            </w:pPr>
            <w:r w:rsidRPr="001C03E9">
              <w:rPr>
                <w:rFonts w:ascii="Arial Narrow" w:hAnsi="Arial Narrow"/>
                <w:b/>
                <w:sz w:val="20"/>
              </w:rPr>
              <w:t>Clinical criteria</w:t>
            </w:r>
          </w:p>
        </w:tc>
        <w:tc>
          <w:tcPr>
            <w:tcW w:w="4069" w:type="pct"/>
            <w:gridSpan w:val="6"/>
            <w:tcBorders>
              <w:top w:val="single" w:sz="4" w:space="0" w:color="auto"/>
              <w:left w:val="single" w:sz="4" w:space="0" w:color="auto"/>
              <w:bottom w:val="single" w:sz="4" w:space="0" w:color="auto"/>
              <w:right w:val="single" w:sz="4" w:space="0" w:color="auto"/>
            </w:tcBorders>
          </w:tcPr>
          <w:p w:rsidR="00C4009B" w:rsidRDefault="00C4009B" w:rsidP="00290E94">
            <w:pPr>
              <w:spacing w:after="40"/>
              <w:rPr>
                <w:rFonts w:ascii="Arial Narrow" w:hAnsi="Arial Narrow"/>
                <w:i/>
                <w:strike/>
                <w:sz w:val="20"/>
              </w:rPr>
            </w:pPr>
            <w:r w:rsidRPr="00974BA8">
              <w:rPr>
                <w:rFonts w:ascii="Arial Narrow" w:hAnsi="Arial Narrow"/>
                <w:strike/>
                <w:sz w:val="20"/>
              </w:rPr>
              <w:t>Patient must not have received prior PBS-subsidised treatment with a pulmonary arterial hypertension (PAH) agent,</w:t>
            </w:r>
            <w:r w:rsidRPr="00974BA8">
              <w:rPr>
                <w:rFonts w:ascii="Arial Narrow" w:hAnsi="Arial Narrow"/>
                <w:i/>
                <w:strike/>
                <w:sz w:val="20"/>
              </w:rPr>
              <w:t xml:space="preserve"> </w:t>
            </w:r>
          </w:p>
          <w:p w:rsidR="00C4009B" w:rsidRPr="002B2809" w:rsidRDefault="00C4009B" w:rsidP="00290E94">
            <w:pPr>
              <w:contextualSpacing/>
              <w:rPr>
                <w:rFonts w:ascii="Arial Narrow" w:hAnsi="Arial Narrow"/>
                <w:i/>
                <w:sz w:val="20"/>
              </w:rPr>
            </w:pPr>
            <w:r w:rsidRPr="00974BA8">
              <w:rPr>
                <w:rFonts w:ascii="Arial Narrow" w:hAnsi="Arial Narrow"/>
                <w:i/>
                <w:sz w:val="20"/>
              </w:rPr>
              <w:t xml:space="preserve">The patient must not have received prior PBS-subsidised treatment with </w:t>
            </w:r>
            <w:r>
              <w:rPr>
                <w:rFonts w:ascii="Arial Narrow" w:hAnsi="Arial Narrow"/>
                <w:i/>
                <w:sz w:val="20"/>
              </w:rPr>
              <w:t>this drug</w:t>
            </w:r>
          </w:p>
          <w:p w:rsidR="00C4009B" w:rsidRDefault="00C4009B" w:rsidP="00290E94">
            <w:pPr>
              <w:contextualSpacing/>
              <w:rPr>
                <w:rFonts w:ascii="Arial Narrow" w:hAnsi="Arial Narrow"/>
                <w:i/>
                <w:sz w:val="20"/>
              </w:rPr>
            </w:pPr>
          </w:p>
          <w:p w:rsidR="00C4009B" w:rsidRPr="00974BA8" w:rsidRDefault="00C4009B" w:rsidP="00290E94">
            <w:pPr>
              <w:contextualSpacing/>
              <w:rPr>
                <w:rFonts w:ascii="Arial Narrow" w:hAnsi="Arial Narrow"/>
                <w:i/>
                <w:sz w:val="20"/>
              </w:rPr>
            </w:pPr>
            <w:r w:rsidRPr="00974BA8">
              <w:rPr>
                <w:rFonts w:ascii="Arial Narrow" w:hAnsi="Arial Narrow"/>
                <w:i/>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Patient must have been assessed by a physician at a designated hospital,</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 xml:space="preserve">Patient must have WHO Functional Class III or IV idiopathic pulmonary arterial hypertension (iPAH), or drug or toxin-induced PAH or hereditable PAH, and a mean right atrial pressure of </w:t>
            </w:r>
            <w:r w:rsidRPr="00974BA8">
              <w:rPr>
                <w:rFonts w:ascii="Arial Narrow" w:hAnsi="Arial Narrow"/>
                <w:sz w:val="20"/>
              </w:rPr>
              <w:lastRenderedPageBreak/>
              <w:t>greater than 8 mmHg, as measured by right heart catheterisation (RHC); OR</w:t>
            </w:r>
          </w:p>
          <w:p w:rsidR="00C4009B" w:rsidRPr="00974BA8" w:rsidRDefault="00C4009B" w:rsidP="00290E94">
            <w:pPr>
              <w:spacing w:after="40"/>
              <w:rPr>
                <w:rFonts w:ascii="Arial Narrow" w:hAnsi="Arial Narrow"/>
                <w:sz w:val="20"/>
              </w:rPr>
            </w:pPr>
            <w:r w:rsidRPr="00974BA8">
              <w:rPr>
                <w:rFonts w:ascii="Arial Narrow" w:hAnsi="Arial Narrow"/>
                <w:sz w:val="20"/>
              </w:rPr>
              <w:t>Patient must have idiopathic pulmonary arterial hypertension (iPAH), or drug or toxin-induced PAH or hereditable PAH, with right ventricular function assessed by echocardiography (ECHO) where a RHC cannot be performed on clinical grounds;</w:t>
            </w:r>
          </w:p>
          <w:p w:rsidR="00C4009B" w:rsidRPr="00974BA8" w:rsidRDefault="00C4009B" w:rsidP="00290E94">
            <w:pPr>
              <w:spacing w:after="40"/>
              <w:rPr>
                <w:rFonts w:ascii="Arial Narrow" w:hAnsi="Arial Narrow"/>
                <w:sz w:val="20"/>
              </w:rPr>
            </w:pPr>
            <w:r w:rsidRPr="00974BA8">
              <w:rPr>
                <w:rFonts w:ascii="Arial Narrow" w:hAnsi="Arial Narrow"/>
                <w:sz w:val="20"/>
              </w:rPr>
              <w:t>OR</w:t>
            </w:r>
          </w:p>
          <w:p w:rsidR="00C4009B" w:rsidRPr="00974BA8" w:rsidRDefault="00C4009B" w:rsidP="00290E94">
            <w:pPr>
              <w:spacing w:after="40"/>
              <w:rPr>
                <w:rFonts w:ascii="Arial Narrow" w:hAnsi="Arial Narrow"/>
                <w:sz w:val="20"/>
              </w:rPr>
            </w:pPr>
            <w:r w:rsidRPr="00974BA8">
              <w:rPr>
                <w:rFonts w:ascii="Arial Narrow" w:hAnsi="Arial Narrow"/>
                <w:sz w:val="20"/>
              </w:rPr>
              <w:t>Patient must have pulmonary arterial hypertension secondary to either: connective tissue disease; congenital heart disease with systemic-to-pulmonary shunt (including Eisenmenger’s physiology); or HIV infection and a mean right atrial pressure greater than 8 mmHg, as measured by RHC;</w:t>
            </w:r>
          </w:p>
          <w:p w:rsidR="00C4009B" w:rsidRPr="00974BA8" w:rsidRDefault="00C4009B" w:rsidP="00290E94">
            <w:pPr>
              <w:spacing w:after="40"/>
              <w:rPr>
                <w:rFonts w:ascii="Arial Narrow" w:hAnsi="Arial Narrow"/>
                <w:sz w:val="20"/>
              </w:rPr>
            </w:pPr>
            <w:r w:rsidRPr="00974BA8">
              <w:rPr>
                <w:rFonts w:ascii="Arial Narrow" w:hAnsi="Arial Narrow"/>
                <w:sz w:val="20"/>
              </w:rPr>
              <w:t>OR</w:t>
            </w:r>
          </w:p>
          <w:p w:rsidR="00C4009B" w:rsidRPr="00974BA8" w:rsidRDefault="00C4009B" w:rsidP="00290E94">
            <w:pPr>
              <w:spacing w:after="40"/>
              <w:rPr>
                <w:rFonts w:ascii="Arial Narrow" w:hAnsi="Arial Narrow"/>
                <w:sz w:val="20"/>
              </w:rPr>
            </w:pPr>
            <w:r w:rsidRPr="00974BA8">
              <w:rPr>
                <w:rFonts w:ascii="Arial Narrow" w:hAnsi="Arial Narrow"/>
                <w:sz w:val="20"/>
              </w:rPr>
              <w:t>Patient must have WHO Functional Class III or IV pulmonary arterial hypertension secondary to either: connective tissue disease; congenital heart disease with simple systemic-to-pulmonary shunt at least 1 year after surgical repair; or HIV infection and with right ventricular function assessed by ECHO where a RHC cannot be performed on clinical grounds,</w:t>
            </w:r>
          </w:p>
          <w:p w:rsidR="00C4009B" w:rsidRDefault="00C4009B" w:rsidP="00290E94">
            <w:pPr>
              <w:spacing w:after="40"/>
              <w:rPr>
                <w:rFonts w:ascii="Arial Narrow" w:hAnsi="Arial Narrow"/>
                <w:sz w:val="20"/>
              </w:rPr>
            </w:pPr>
          </w:p>
          <w:p w:rsidR="00C4009B" w:rsidRPr="00974BA8" w:rsidRDefault="00C4009B" w:rsidP="00290E94">
            <w:pPr>
              <w:contextualSpacing/>
              <w:rPr>
                <w:rFonts w:ascii="Arial Narrow" w:hAnsi="Arial Narrow"/>
                <w:i/>
                <w:sz w:val="20"/>
              </w:rPr>
            </w:pPr>
            <w:r w:rsidRPr="00974BA8">
              <w:rPr>
                <w:rFonts w:ascii="Arial Narrow" w:hAnsi="Arial Narrow"/>
                <w:i/>
                <w:sz w:val="20"/>
              </w:rPr>
              <w:t>AND</w:t>
            </w:r>
          </w:p>
          <w:p w:rsidR="00C4009B" w:rsidRDefault="00C4009B" w:rsidP="00290E94">
            <w:pPr>
              <w:spacing w:after="40"/>
              <w:rPr>
                <w:rFonts w:ascii="Arial Narrow" w:hAnsi="Arial Narrow"/>
                <w:i/>
                <w:sz w:val="20"/>
              </w:rPr>
            </w:pPr>
          </w:p>
          <w:p w:rsidR="00C4009B" w:rsidRPr="00974BA8" w:rsidRDefault="00C4009B" w:rsidP="00290E94">
            <w:pPr>
              <w:spacing w:after="40"/>
              <w:rPr>
                <w:rFonts w:ascii="Arial Narrow" w:hAnsi="Arial Narrow"/>
                <w:i/>
                <w:strike/>
                <w:sz w:val="20"/>
              </w:rPr>
            </w:pPr>
            <w:r w:rsidRPr="00974BA8">
              <w:rPr>
                <w:rFonts w:ascii="Arial Narrow" w:hAnsi="Arial Narrow"/>
                <w:i/>
                <w:sz w:val="20"/>
              </w:rPr>
              <w:t>The patient must have inadequate clinical response to stabilised ERA or PDE-5 inhibitor therapy</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The treatment must be used in combination with PBS-subsidised treatment with ambrisentan OR bosentan OR macitentan OR sildenafil OR tadalafil for pulmonary arterial hypertension (PAH).</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C4009B" w:rsidRPr="00EC1826" w:rsidRDefault="00C4009B" w:rsidP="00290E94">
            <w:pPr>
              <w:snapToGrid w:val="0"/>
              <w:spacing w:line="20" w:lineRule="atLeast"/>
              <w:rPr>
                <w:rFonts w:ascii="Arial Narrow" w:hAnsi="Arial Narrow"/>
                <w:b/>
                <w:i/>
                <w:strike/>
                <w:sz w:val="20"/>
              </w:rPr>
            </w:pPr>
            <w:r w:rsidRPr="00EC1826">
              <w:rPr>
                <w:rFonts w:ascii="Arial Narrow" w:hAnsi="Arial Narrow"/>
                <w:b/>
                <w:strike/>
                <w:sz w:val="20"/>
              </w:rPr>
              <w:lastRenderedPageBreak/>
              <w:t>Prescriber instructions</w:t>
            </w:r>
            <w:r w:rsidRPr="00EC1826">
              <w:rPr>
                <w:rFonts w:ascii="Arial Narrow" w:hAnsi="Arial Narrow"/>
                <w:b/>
                <w:i/>
                <w:strike/>
                <w:sz w:val="20"/>
              </w:rPr>
              <w:t xml:space="preserve"> </w:t>
            </w:r>
          </w:p>
          <w:p w:rsidR="00C4009B" w:rsidRDefault="00C4009B" w:rsidP="00290E94">
            <w:pPr>
              <w:snapToGrid w:val="0"/>
              <w:spacing w:line="20" w:lineRule="atLeast"/>
              <w:rPr>
                <w:rFonts w:ascii="Arial Narrow" w:hAnsi="Arial Narrow"/>
                <w:b/>
                <w:i/>
                <w:sz w:val="20"/>
              </w:rPr>
            </w:pPr>
          </w:p>
          <w:p w:rsidR="00C4009B" w:rsidRPr="001C03E9" w:rsidRDefault="00C4009B" w:rsidP="00290E94">
            <w:pPr>
              <w:snapToGrid w:val="0"/>
              <w:spacing w:line="20" w:lineRule="atLeast"/>
              <w:rPr>
                <w:b/>
                <w:i/>
              </w:rPr>
            </w:pPr>
            <w:r w:rsidRPr="001C03E9">
              <w:rPr>
                <w:rFonts w:ascii="Arial Narrow" w:hAnsi="Arial Narrow"/>
                <w:b/>
                <w:i/>
                <w:sz w:val="20"/>
              </w:rPr>
              <w:t>Administrative Advice</w:t>
            </w:r>
          </w:p>
        </w:tc>
        <w:tc>
          <w:tcPr>
            <w:tcW w:w="4069"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t>Applications for authorisation must be in writing and must include:</w:t>
            </w:r>
          </w:p>
          <w:p w:rsidR="00C4009B" w:rsidRPr="00974BA8" w:rsidRDefault="00C4009B" w:rsidP="00290E94">
            <w:pPr>
              <w:rPr>
                <w:rFonts w:ascii="Arial Narrow" w:hAnsi="Arial Narrow"/>
                <w:sz w:val="20"/>
              </w:rPr>
            </w:pPr>
            <w:r w:rsidRPr="00974BA8">
              <w:rPr>
                <w:rFonts w:ascii="Arial Narrow" w:hAnsi="Arial Narrow"/>
                <w:sz w:val="20"/>
              </w:rPr>
              <w:t>(1) a completed authority prescription form; and</w:t>
            </w:r>
          </w:p>
          <w:p w:rsidR="00C4009B" w:rsidRPr="00974BA8" w:rsidRDefault="00C4009B" w:rsidP="00290E94">
            <w:pPr>
              <w:rPr>
                <w:rFonts w:ascii="Arial Narrow" w:hAnsi="Arial Narrow"/>
                <w:sz w:val="20"/>
              </w:rPr>
            </w:pPr>
            <w:r w:rsidRPr="00974BA8">
              <w:rPr>
                <w:rFonts w:ascii="Arial Narrow" w:hAnsi="Arial Narrow"/>
                <w:sz w:val="20"/>
              </w:rPr>
              <w:t>(2) a completed Pulmonary Arterial Hypertension PBS Authority Application - Supporting Information form which includes results from the three tests below, where available:</w:t>
            </w:r>
          </w:p>
          <w:p w:rsidR="00C4009B" w:rsidRPr="00974BA8" w:rsidRDefault="00C4009B" w:rsidP="00290E94">
            <w:pPr>
              <w:rPr>
                <w:rFonts w:ascii="Arial Narrow" w:hAnsi="Arial Narrow"/>
                <w:sz w:val="20"/>
              </w:rPr>
            </w:pPr>
            <w:r w:rsidRPr="00974BA8">
              <w:rPr>
                <w:rFonts w:ascii="Arial Narrow" w:hAnsi="Arial Narrow"/>
                <w:sz w:val="20"/>
              </w:rPr>
              <w:t>(i) RHC composite assessment; and</w:t>
            </w:r>
          </w:p>
          <w:p w:rsidR="00C4009B" w:rsidRPr="00974BA8" w:rsidRDefault="00C4009B" w:rsidP="00290E94">
            <w:pPr>
              <w:rPr>
                <w:rFonts w:ascii="Arial Narrow" w:hAnsi="Arial Narrow"/>
                <w:sz w:val="20"/>
              </w:rPr>
            </w:pPr>
            <w:r w:rsidRPr="00974BA8">
              <w:rPr>
                <w:rFonts w:ascii="Arial Narrow" w:hAnsi="Arial Narrow"/>
                <w:sz w:val="20"/>
              </w:rPr>
              <w:t>(ii) ECHO composite assessment; and</w:t>
            </w:r>
          </w:p>
          <w:p w:rsidR="00C4009B" w:rsidRPr="00974BA8" w:rsidRDefault="00C4009B" w:rsidP="00290E94">
            <w:pPr>
              <w:rPr>
                <w:rFonts w:ascii="Arial Narrow" w:hAnsi="Arial Narrow"/>
                <w:sz w:val="20"/>
              </w:rPr>
            </w:pPr>
            <w:r w:rsidRPr="00974BA8">
              <w:rPr>
                <w:rFonts w:ascii="Arial Narrow" w:hAnsi="Arial Narrow"/>
                <w:sz w:val="20"/>
              </w:rPr>
              <w:t>(iii) 6 Minute Walk Test (6MWT); and</w:t>
            </w:r>
          </w:p>
          <w:p w:rsidR="00C4009B" w:rsidRPr="00974BA8" w:rsidRDefault="00C4009B" w:rsidP="00290E94">
            <w:pPr>
              <w:rPr>
                <w:rFonts w:ascii="Arial Narrow" w:hAnsi="Arial Narrow"/>
                <w:sz w:val="20"/>
              </w:rPr>
            </w:pPr>
            <w:r w:rsidRPr="00974BA8">
              <w:rPr>
                <w:rFonts w:ascii="Arial Narrow" w:hAnsi="Arial Narrow"/>
                <w:sz w:val="20"/>
              </w:rPr>
              <w:t>(3) a signed patient acknowledgement.</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Idiopathic pulmonary arterial hypertension, drug or toxin-induced pulmonary arterial hypertension, hereditable pulmonary arterial hypertension, pulmonary arterial hypertension secondary to connective tissue disease including scleroderma, or pulmonary arterial hypertension associated with a congenital systemic-to-pulmonary shunt (including Eisenmenger's physiology) or HIV are defined as follows:</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(i) mean pulmonary artery pressure (mPAP) greater than 25 mmHg at rest and pulmonary artery wedge pressure (PAWP) less than 15 mmHg; or</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(ii) where a right heart catheter (RHC) cannot be performed on clinical grounds, right ventricular systolic pressure (RVSP), assessed by echocardiography (ECHO), greater than 40 mmHg, with normal left ventricular function.</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Test requirements to establish baseline for initiation of treatment are as follows:</w:t>
            </w:r>
          </w:p>
          <w:p w:rsidR="00C4009B" w:rsidRPr="00974BA8" w:rsidRDefault="00C4009B" w:rsidP="00290E94">
            <w:pPr>
              <w:rPr>
                <w:rFonts w:ascii="Arial Narrow" w:hAnsi="Arial Narrow"/>
                <w:sz w:val="20"/>
              </w:rPr>
            </w:pPr>
            <w:r w:rsidRPr="00974BA8">
              <w:rPr>
                <w:rFonts w:ascii="Arial Narrow" w:hAnsi="Arial Narrow"/>
                <w:sz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Where it is not possible to perform all 3 tests above on clinical grounds, the following list </w:t>
            </w:r>
            <w:r w:rsidRPr="00974BA8">
              <w:rPr>
                <w:rFonts w:ascii="Arial Narrow" w:hAnsi="Arial Narrow"/>
                <w:sz w:val="20"/>
              </w:rPr>
              <w:lastRenderedPageBreak/>
              <w:t>outlines the preferred test combination, in descending order, for the purposes of initiation of PBS-subsidised treatment:</w:t>
            </w:r>
          </w:p>
          <w:p w:rsidR="00C4009B" w:rsidRPr="00974BA8" w:rsidRDefault="00C4009B" w:rsidP="00290E94">
            <w:pPr>
              <w:rPr>
                <w:rFonts w:ascii="Arial Narrow" w:hAnsi="Arial Narrow"/>
                <w:sz w:val="20"/>
              </w:rPr>
            </w:pPr>
            <w:r w:rsidRPr="00974BA8">
              <w:rPr>
                <w:rFonts w:ascii="Arial Narrow" w:hAnsi="Arial Narrow"/>
                <w:sz w:val="20"/>
              </w:rPr>
              <w:t>(1) RHC plus ECHO composite assessments;</w:t>
            </w:r>
          </w:p>
          <w:p w:rsidR="00C4009B" w:rsidRPr="00974BA8" w:rsidRDefault="00C4009B" w:rsidP="00290E94">
            <w:pPr>
              <w:rPr>
                <w:rFonts w:ascii="Arial Narrow" w:hAnsi="Arial Narrow"/>
                <w:sz w:val="20"/>
              </w:rPr>
            </w:pPr>
            <w:r w:rsidRPr="00974BA8">
              <w:rPr>
                <w:rFonts w:ascii="Arial Narrow" w:hAnsi="Arial Narrow"/>
                <w:sz w:val="20"/>
              </w:rPr>
              <w:t>(2) RHC composite assessment plus 6MWT;</w:t>
            </w:r>
          </w:p>
          <w:p w:rsidR="00C4009B" w:rsidRPr="00974BA8" w:rsidRDefault="00C4009B" w:rsidP="00290E94">
            <w:pPr>
              <w:rPr>
                <w:rFonts w:ascii="Arial Narrow" w:hAnsi="Arial Narrow"/>
                <w:sz w:val="20"/>
              </w:rPr>
            </w:pPr>
            <w:r w:rsidRPr="00974BA8">
              <w:rPr>
                <w:rFonts w:ascii="Arial Narrow" w:hAnsi="Arial Narrow"/>
                <w:sz w:val="20"/>
              </w:rPr>
              <w:t>(3) RHC composite assessment only.</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In circumstances where a RHC cannot be performed on clinical grounds, applications may be submitted for consideration based on the results of the following test combinations, which are listed in descending order of preference:</w:t>
            </w:r>
          </w:p>
          <w:p w:rsidR="00C4009B" w:rsidRPr="00974BA8" w:rsidRDefault="00C4009B" w:rsidP="00290E94">
            <w:pPr>
              <w:rPr>
                <w:rFonts w:ascii="Arial Narrow" w:hAnsi="Arial Narrow"/>
                <w:sz w:val="20"/>
              </w:rPr>
            </w:pPr>
            <w:r w:rsidRPr="00974BA8">
              <w:rPr>
                <w:rFonts w:ascii="Arial Narrow" w:hAnsi="Arial Narrow"/>
                <w:sz w:val="20"/>
              </w:rPr>
              <w:t>(1) ECHO composite assessment plus 6MWT;</w:t>
            </w:r>
          </w:p>
          <w:p w:rsidR="00C4009B" w:rsidRPr="00974BA8" w:rsidRDefault="00C4009B" w:rsidP="00290E94">
            <w:pPr>
              <w:rPr>
                <w:rFonts w:ascii="Arial Narrow" w:hAnsi="Arial Narrow"/>
                <w:sz w:val="20"/>
              </w:rPr>
            </w:pPr>
            <w:r w:rsidRPr="00974BA8">
              <w:rPr>
                <w:rFonts w:ascii="Arial Narrow" w:hAnsi="Arial Narrow"/>
                <w:sz w:val="20"/>
              </w:rPr>
              <w:t>(2) ECHO composite assessment only.</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Where fewer than 3 tests are able to be performed on clinical grounds, a patient specific reason outlining why the particular test(s) could not be conducted must be provided with the authority application.</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The test results provided must not be more than 2 months old at the time of application.</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The maximum quantity authorised will be limited to provide sufficient supply for 12 weeks of treatment, based on the dosage recommendations in the TGA-approved Product Information.</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The term 'PAH agents' refers to bosentan monohydrate, iloprost trometamol, epoprostenol sodium, sildenafil citrate, ambrisentan, tadalafil, macitentan and selexipag.</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color w:val="000000"/>
                <w:sz w:val="20"/>
              </w:rPr>
            </w:pPr>
            <w:r w:rsidRPr="00974BA8">
              <w:rPr>
                <w:rFonts w:ascii="Arial Narrow" w:hAnsi="Arial Narrow"/>
                <w:sz w:val="20"/>
              </w:rPr>
              <w:t>PAH agents are not PBS-subsidised for patients with pulmonary hypertension secondary to interstitial lung disease associated with connective tissue disease, where the total lung capacity is less than 70% of predicted.</w:t>
            </w:r>
          </w:p>
        </w:tc>
      </w:tr>
    </w:tbl>
    <w:p w:rsidR="00C4009B" w:rsidRDefault="00C4009B" w:rsidP="00C4009B">
      <w:pPr>
        <w:rPr>
          <w:szCs w:val="22"/>
        </w:rPr>
      </w:pPr>
    </w:p>
    <w:tbl>
      <w:tblPr>
        <w:tblW w:w="4604" w:type="pct"/>
        <w:tblInd w:w="737" w:type="dxa"/>
        <w:tblCellMar>
          <w:left w:w="28" w:type="dxa"/>
          <w:right w:w="28" w:type="dxa"/>
        </w:tblCellMar>
        <w:tblLook w:val="0000" w:firstRow="0" w:lastRow="0" w:firstColumn="0" w:lastColumn="0" w:noHBand="0" w:noVBand="0"/>
      </w:tblPr>
      <w:tblGrid>
        <w:gridCol w:w="1495"/>
        <w:gridCol w:w="1766"/>
        <w:gridCol w:w="496"/>
        <w:gridCol w:w="802"/>
        <w:gridCol w:w="1704"/>
        <w:gridCol w:w="831"/>
        <w:gridCol w:w="1269"/>
      </w:tblGrid>
      <w:tr w:rsidR="00C4009B" w:rsidRPr="00974BA8" w:rsidTr="00617A5D">
        <w:trPr>
          <w:cantSplit/>
          <w:trHeight w:val="471"/>
        </w:trPr>
        <w:tc>
          <w:tcPr>
            <w:tcW w:w="2040" w:type="pct"/>
            <w:gridSpan w:val="2"/>
            <w:tcBorders>
              <w:bottom w:val="single" w:sz="4" w:space="0" w:color="auto"/>
            </w:tcBorders>
          </w:tcPr>
          <w:p w:rsidR="00C4009B" w:rsidRPr="00EC1826" w:rsidRDefault="00C4009B" w:rsidP="00290E94">
            <w:pPr>
              <w:keepNext/>
              <w:rPr>
                <w:rFonts w:ascii="Arial Narrow" w:hAnsi="Arial Narrow"/>
                <w:sz w:val="20"/>
              </w:rPr>
            </w:pPr>
            <w:r w:rsidRPr="00EC1826">
              <w:rPr>
                <w:rFonts w:ascii="Arial Narrow" w:hAnsi="Arial Narrow"/>
                <w:sz w:val="20"/>
              </w:rPr>
              <w:t>Name, Restriction,</w:t>
            </w:r>
          </w:p>
          <w:p w:rsidR="00C4009B" w:rsidRPr="00EC1826" w:rsidRDefault="00C4009B" w:rsidP="00290E94">
            <w:pPr>
              <w:keepNext/>
              <w:rPr>
                <w:rFonts w:ascii="Arial Narrow" w:hAnsi="Arial Narrow"/>
                <w:sz w:val="20"/>
              </w:rPr>
            </w:pPr>
            <w:r w:rsidRPr="00EC1826">
              <w:rPr>
                <w:rFonts w:ascii="Arial Narrow" w:hAnsi="Arial Narrow"/>
                <w:sz w:val="20"/>
              </w:rPr>
              <w:t>Manner of administration and form</w:t>
            </w:r>
          </w:p>
        </w:tc>
        <w:tc>
          <w:tcPr>
            <w:tcW w:w="342" w:type="pct"/>
            <w:tcBorders>
              <w:bottom w:val="single" w:sz="4" w:space="0" w:color="auto"/>
            </w:tcBorders>
          </w:tcPr>
          <w:p w:rsidR="00C4009B" w:rsidRPr="00EC1826" w:rsidRDefault="00C4009B" w:rsidP="00290E94">
            <w:pPr>
              <w:keepNext/>
              <w:jc w:val="center"/>
              <w:rPr>
                <w:rFonts w:ascii="Arial Narrow" w:hAnsi="Arial Narrow"/>
                <w:sz w:val="20"/>
              </w:rPr>
            </w:pPr>
            <w:r w:rsidRPr="00EC1826">
              <w:rPr>
                <w:rFonts w:ascii="Arial Narrow" w:hAnsi="Arial Narrow"/>
                <w:sz w:val="20"/>
              </w:rPr>
              <w:t>Max.</w:t>
            </w:r>
          </w:p>
          <w:p w:rsidR="00C4009B" w:rsidRPr="00EC1826" w:rsidRDefault="00C4009B" w:rsidP="00290E94">
            <w:pPr>
              <w:keepNext/>
              <w:jc w:val="center"/>
              <w:rPr>
                <w:rFonts w:ascii="Arial Narrow" w:hAnsi="Arial Narrow"/>
                <w:sz w:val="20"/>
              </w:rPr>
            </w:pPr>
            <w:r w:rsidRPr="00EC1826">
              <w:rPr>
                <w:rFonts w:ascii="Arial Narrow" w:hAnsi="Arial Narrow"/>
                <w:sz w:val="20"/>
              </w:rPr>
              <w:t>Qty</w:t>
            </w:r>
          </w:p>
        </w:tc>
        <w:tc>
          <w:tcPr>
            <w:tcW w:w="525" w:type="pct"/>
            <w:tcBorders>
              <w:bottom w:val="single" w:sz="4" w:space="0" w:color="auto"/>
            </w:tcBorders>
          </w:tcPr>
          <w:p w:rsidR="00C4009B" w:rsidRPr="00EC1826" w:rsidRDefault="00C4009B" w:rsidP="00290E94">
            <w:pPr>
              <w:keepNext/>
              <w:jc w:val="center"/>
              <w:rPr>
                <w:rFonts w:ascii="Arial Narrow" w:hAnsi="Arial Narrow"/>
                <w:sz w:val="20"/>
              </w:rPr>
            </w:pPr>
            <w:r w:rsidRPr="00EC1826">
              <w:rPr>
                <w:rFonts w:ascii="Arial Narrow" w:hAnsi="Arial Narrow"/>
                <w:sz w:val="20"/>
              </w:rPr>
              <w:t>№.of</w:t>
            </w:r>
          </w:p>
          <w:p w:rsidR="00C4009B" w:rsidRPr="00EC1826" w:rsidRDefault="00C4009B" w:rsidP="00290E94">
            <w:pPr>
              <w:keepNext/>
              <w:jc w:val="center"/>
              <w:rPr>
                <w:rFonts w:ascii="Arial Narrow" w:hAnsi="Arial Narrow"/>
                <w:sz w:val="20"/>
              </w:rPr>
            </w:pPr>
            <w:r w:rsidRPr="00EC1826">
              <w:rPr>
                <w:rFonts w:ascii="Arial Narrow" w:hAnsi="Arial Narrow"/>
                <w:sz w:val="20"/>
              </w:rPr>
              <w:t>Rpts</w:t>
            </w:r>
          </w:p>
        </w:tc>
        <w:tc>
          <w:tcPr>
            <w:tcW w:w="1064" w:type="pct"/>
            <w:tcBorders>
              <w:bottom w:val="single" w:sz="4" w:space="0" w:color="auto"/>
            </w:tcBorders>
          </w:tcPr>
          <w:p w:rsidR="00C4009B" w:rsidRPr="00EC1826" w:rsidRDefault="00C4009B" w:rsidP="00290E94">
            <w:pPr>
              <w:keepNext/>
              <w:jc w:val="center"/>
              <w:rPr>
                <w:rFonts w:ascii="Arial Narrow" w:hAnsi="Arial Narrow"/>
                <w:sz w:val="20"/>
              </w:rPr>
            </w:pPr>
            <w:r w:rsidRPr="00EC1826">
              <w:rPr>
                <w:rFonts w:ascii="Arial Narrow" w:hAnsi="Arial Narrow"/>
                <w:sz w:val="20"/>
              </w:rPr>
              <w:t>Dispensed Price for Max. Qty</w:t>
            </w:r>
          </w:p>
        </w:tc>
        <w:tc>
          <w:tcPr>
            <w:tcW w:w="1029" w:type="pct"/>
            <w:gridSpan w:val="2"/>
            <w:tcBorders>
              <w:bottom w:val="single" w:sz="4" w:space="0" w:color="auto"/>
            </w:tcBorders>
          </w:tcPr>
          <w:p w:rsidR="00C4009B" w:rsidRPr="00EC1826" w:rsidRDefault="00C4009B" w:rsidP="00290E94">
            <w:pPr>
              <w:keepNext/>
              <w:jc w:val="center"/>
              <w:rPr>
                <w:rFonts w:ascii="Arial Narrow" w:hAnsi="Arial Narrow"/>
                <w:sz w:val="20"/>
                <w:lang w:val="fr-FR"/>
              </w:rPr>
            </w:pPr>
            <w:r w:rsidRPr="00EC1826">
              <w:rPr>
                <w:rFonts w:ascii="Arial Narrow" w:hAnsi="Arial Narrow"/>
                <w:sz w:val="20"/>
              </w:rPr>
              <w:t>Proprietary Name and Manufacturer</w:t>
            </w:r>
          </w:p>
        </w:tc>
      </w:tr>
      <w:tr w:rsidR="00C4009B" w:rsidRPr="00974BA8" w:rsidTr="00617A5D">
        <w:trPr>
          <w:cantSplit/>
          <w:trHeight w:val="577"/>
        </w:trPr>
        <w:tc>
          <w:tcPr>
            <w:tcW w:w="2040" w:type="pct"/>
            <w:gridSpan w:val="2"/>
          </w:tcPr>
          <w:p w:rsidR="00C4009B" w:rsidRPr="00EC1826" w:rsidRDefault="00C4009B" w:rsidP="00290E94">
            <w:pPr>
              <w:keepNext/>
              <w:rPr>
                <w:rFonts w:ascii="Arial Narrow" w:hAnsi="Arial Narrow"/>
                <w:sz w:val="20"/>
              </w:rPr>
            </w:pPr>
            <w:r w:rsidRPr="00EC1826">
              <w:rPr>
                <w:rFonts w:ascii="Arial Narrow" w:hAnsi="Arial Narrow"/>
                <w:smallCaps/>
                <w:sz w:val="20"/>
              </w:rPr>
              <w:t>Selexipag</w:t>
            </w:r>
          </w:p>
          <w:p w:rsidR="00C4009B" w:rsidRPr="00EC1826" w:rsidRDefault="00C4009B" w:rsidP="00290E94">
            <w:pPr>
              <w:keepNext/>
              <w:rPr>
                <w:rFonts w:ascii="Arial Narrow" w:hAnsi="Arial Narrow"/>
                <w:sz w:val="20"/>
              </w:rPr>
            </w:pPr>
            <w:r w:rsidRPr="00EC1826">
              <w:rPr>
                <w:rFonts w:ascii="Arial Narrow" w:hAnsi="Arial Narrow"/>
                <w:sz w:val="20"/>
              </w:rPr>
              <w:t>Tablet 200 microgram, 60</w:t>
            </w:r>
          </w:p>
          <w:p w:rsidR="00C4009B" w:rsidRPr="00EC1826" w:rsidRDefault="00C4009B" w:rsidP="00290E94">
            <w:pPr>
              <w:keepNext/>
              <w:rPr>
                <w:rFonts w:ascii="Arial Narrow" w:hAnsi="Arial Narrow"/>
                <w:sz w:val="20"/>
              </w:rPr>
            </w:pPr>
            <w:r w:rsidRPr="00EC1826">
              <w:rPr>
                <w:rFonts w:ascii="Arial Narrow" w:hAnsi="Arial Narrow"/>
                <w:sz w:val="20"/>
              </w:rPr>
              <w:t>Tablet 400 microgram, 60</w:t>
            </w:r>
          </w:p>
          <w:p w:rsidR="00C4009B" w:rsidRPr="00EC1826" w:rsidRDefault="00C4009B" w:rsidP="00290E94">
            <w:pPr>
              <w:keepNext/>
              <w:rPr>
                <w:rFonts w:ascii="Arial Narrow" w:hAnsi="Arial Narrow"/>
                <w:sz w:val="20"/>
              </w:rPr>
            </w:pPr>
            <w:r w:rsidRPr="00EC1826">
              <w:rPr>
                <w:rFonts w:ascii="Arial Narrow" w:hAnsi="Arial Narrow"/>
                <w:sz w:val="20"/>
              </w:rPr>
              <w:t>Tablet 400 microgram, 60</w:t>
            </w:r>
          </w:p>
          <w:p w:rsidR="00C4009B" w:rsidRPr="00EC1826" w:rsidRDefault="00C4009B" w:rsidP="00290E94">
            <w:pPr>
              <w:keepNext/>
              <w:rPr>
                <w:rFonts w:ascii="Arial Narrow" w:hAnsi="Arial Narrow"/>
                <w:sz w:val="20"/>
              </w:rPr>
            </w:pPr>
            <w:r w:rsidRPr="00EC1826">
              <w:rPr>
                <w:rFonts w:ascii="Arial Narrow" w:hAnsi="Arial Narrow"/>
                <w:sz w:val="20"/>
              </w:rPr>
              <w:t>Tablet 800 microgram, 60</w:t>
            </w:r>
          </w:p>
          <w:p w:rsidR="00C4009B" w:rsidRPr="00EC1826" w:rsidRDefault="00C4009B" w:rsidP="00290E94">
            <w:pPr>
              <w:keepNext/>
              <w:rPr>
                <w:rFonts w:ascii="Arial Narrow" w:hAnsi="Arial Narrow"/>
                <w:sz w:val="20"/>
              </w:rPr>
            </w:pPr>
            <w:r w:rsidRPr="00EC1826">
              <w:rPr>
                <w:rFonts w:ascii="Arial Narrow" w:hAnsi="Arial Narrow"/>
                <w:sz w:val="20"/>
              </w:rPr>
              <w:t>Tablet 1,000 microgram, 60</w:t>
            </w:r>
          </w:p>
          <w:p w:rsidR="00C4009B" w:rsidRPr="00EC1826" w:rsidRDefault="00C4009B" w:rsidP="00290E94">
            <w:pPr>
              <w:keepNext/>
              <w:rPr>
                <w:rFonts w:ascii="Arial Narrow" w:hAnsi="Arial Narrow"/>
                <w:sz w:val="20"/>
              </w:rPr>
            </w:pPr>
            <w:r w:rsidRPr="00EC1826">
              <w:rPr>
                <w:rFonts w:ascii="Arial Narrow" w:hAnsi="Arial Narrow"/>
                <w:sz w:val="20"/>
              </w:rPr>
              <w:t>Tablet 1,200 microgram, 60</w:t>
            </w:r>
          </w:p>
          <w:p w:rsidR="00C4009B" w:rsidRPr="00EC1826" w:rsidRDefault="00C4009B" w:rsidP="00290E94">
            <w:pPr>
              <w:keepNext/>
              <w:rPr>
                <w:rFonts w:ascii="Arial Narrow" w:hAnsi="Arial Narrow"/>
                <w:sz w:val="20"/>
              </w:rPr>
            </w:pPr>
            <w:r w:rsidRPr="00EC1826">
              <w:rPr>
                <w:rFonts w:ascii="Arial Narrow" w:hAnsi="Arial Narrow"/>
                <w:sz w:val="20"/>
              </w:rPr>
              <w:t>Tablet 1,400 microgram, 60</w:t>
            </w:r>
          </w:p>
          <w:p w:rsidR="00C4009B" w:rsidRPr="00EC1826" w:rsidRDefault="00C4009B" w:rsidP="00290E94">
            <w:pPr>
              <w:keepNext/>
              <w:rPr>
                <w:rFonts w:ascii="Arial Narrow" w:hAnsi="Arial Narrow"/>
                <w:sz w:val="20"/>
              </w:rPr>
            </w:pPr>
            <w:r w:rsidRPr="00EC1826">
              <w:rPr>
                <w:rFonts w:ascii="Arial Narrow" w:hAnsi="Arial Narrow"/>
                <w:sz w:val="20"/>
              </w:rPr>
              <w:t>Tablet 1,600 microgram, 60</w:t>
            </w:r>
          </w:p>
        </w:tc>
        <w:tc>
          <w:tcPr>
            <w:tcW w:w="342" w:type="pct"/>
          </w:tcPr>
          <w:p w:rsidR="00C4009B" w:rsidRPr="00EC1826" w:rsidRDefault="00C4009B" w:rsidP="00290E94">
            <w:pPr>
              <w:keepNext/>
              <w:jc w:val="center"/>
              <w:rPr>
                <w:rFonts w:ascii="Arial Narrow" w:hAnsi="Arial Narrow"/>
                <w:sz w:val="20"/>
              </w:rPr>
            </w:pP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p w:rsidR="00C4009B" w:rsidRPr="00EC1826" w:rsidRDefault="00C4009B" w:rsidP="00290E94">
            <w:pPr>
              <w:keepNext/>
              <w:jc w:val="center"/>
              <w:rPr>
                <w:rFonts w:ascii="Arial Narrow" w:hAnsi="Arial Narrow"/>
                <w:sz w:val="20"/>
              </w:rPr>
            </w:pPr>
            <w:r w:rsidRPr="00EC1826">
              <w:rPr>
                <w:rFonts w:ascii="Arial Narrow" w:hAnsi="Arial Narrow"/>
                <w:sz w:val="20"/>
              </w:rPr>
              <w:t>1</w:t>
            </w:r>
          </w:p>
        </w:tc>
        <w:tc>
          <w:tcPr>
            <w:tcW w:w="525" w:type="pct"/>
          </w:tcPr>
          <w:p w:rsidR="00C4009B" w:rsidRPr="00EC1826" w:rsidRDefault="00C4009B" w:rsidP="00290E94">
            <w:pPr>
              <w:keepNext/>
              <w:jc w:val="center"/>
              <w:rPr>
                <w:rFonts w:ascii="Arial Narrow" w:hAnsi="Arial Narrow"/>
                <w:sz w:val="20"/>
              </w:rPr>
            </w:pP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p w:rsidR="00C4009B" w:rsidRPr="00EC1826" w:rsidRDefault="00C4009B" w:rsidP="00290E94">
            <w:pPr>
              <w:keepNext/>
              <w:jc w:val="center"/>
              <w:rPr>
                <w:rFonts w:ascii="Arial Narrow" w:hAnsi="Arial Narrow"/>
                <w:sz w:val="20"/>
              </w:rPr>
            </w:pPr>
            <w:r w:rsidRPr="00EC1826">
              <w:rPr>
                <w:rFonts w:ascii="Arial Narrow" w:hAnsi="Arial Narrow"/>
                <w:sz w:val="20"/>
              </w:rPr>
              <w:t>5</w:t>
            </w:r>
          </w:p>
        </w:tc>
        <w:tc>
          <w:tcPr>
            <w:tcW w:w="1064" w:type="pct"/>
          </w:tcPr>
          <w:p w:rsidR="00C4009B" w:rsidRPr="00EC1826" w:rsidRDefault="00C4009B" w:rsidP="00290E94">
            <w:pPr>
              <w:keepNext/>
              <w:jc w:val="center"/>
              <w:rPr>
                <w:rFonts w:ascii="Arial Narrow" w:hAnsi="Arial Narrow"/>
                <w:sz w:val="20"/>
              </w:rPr>
            </w:pPr>
          </w:p>
          <w:p w:rsidR="00C4009B" w:rsidRPr="00EC1826" w:rsidRDefault="00C4009B" w:rsidP="00290E94">
            <w:pPr>
              <w:keepNext/>
              <w:jc w:val="center"/>
              <w:rPr>
                <w:rFonts w:ascii="Arial Narrow" w:hAnsi="Arial Narrow"/>
                <w:sz w:val="20"/>
              </w:rPr>
            </w:pPr>
            <w:r w:rsidRPr="00EC1826">
              <w:rPr>
                <w:rFonts w:ascii="Arial Narrow" w:hAnsi="Arial Narrow"/>
                <w:sz w:val="20"/>
              </w:rPr>
              <w:t>$</w:t>
            </w:r>
            <w:r w:rsidR="00A35868">
              <w:rPr>
                <w:rFonts w:ascii="Arial Narrow" w:hAnsi="Arial Narrow"/>
                <w:noProof/>
                <w:color w:val="000000"/>
                <w:sz w:val="20"/>
                <w:highlight w:val="black"/>
              </w:rPr>
              <w:t>''''''''''''''''''''''</w:t>
            </w:r>
            <w:r w:rsidRPr="00EC1826">
              <w:rPr>
                <w:rFonts w:ascii="Arial Narrow" w:hAnsi="Arial Narrow"/>
                <w:sz w:val="20"/>
              </w:rPr>
              <w:t xml:space="preserve"> (private)</w:t>
            </w:r>
          </w:p>
          <w:p w:rsidR="00C4009B" w:rsidRPr="00EC1826" w:rsidRDefault="00C4009B" w:rsidP="00290E94">
            <w:pPr>
              <w:keepNext/>
              <w:jc w:val="center"/>
              <w:rPr>
                <w:rFonts w:ascii="Arial Narrow" w:hAnsi="Arial Narrow"/>
                <w:sz w:val="20"/>
              </w:rPr>
            </w:pPr>
            <w:r w:rsidRPr="00EC1826">
              <w:rPr>
                <w:rFonts w:ascii="Arial Narrow" w:hAnsi="Arial Narrow"/>
                <w:sz w:val="20"/>
              </w:rPr>
              <w:t>$</w:t>
            </w:r>
            <w:r w:rsidR="00A35868">
              <w:rPr>
                <w:rFonts w:ascii="Arial Narrow" w:hAnsi="Arial Narrow"/>
                <w:noProof/>
                <w:color w:val="000000"/>
                <w:sz w:val="20"/>
                <w:highlight w:val="black"/>
              </w:rPr>
              <w:t>'''''''''''''''''''''''</w:t>
            </w:r>
            <w:r w:rsidRPr="00EC1826">
              <w:rPr>
                <w:rFonts w:ascii="Arial Narrow" w:hAnsi="Arial Narrow"/>
                <w:sz w:val="20"/>
              </w:rPr>
              <w:t xml:space="preserve"> (public)</w:t>
            </w:r>
          </w:p>
        </w:tc>
        <w:tc>
          <w:tcPr>
            <w:tcW w:w="542" w:type="pct"/>
          </w:tcPr>
          <w:p w:rsidR="00C4009B" w:rsidRPr="00EC1826" w:rsidRDefault="00C4009B" w:rsidP="00290E94">
            <w:pPr>
              <w:keepNext/>
              <w:jc w:val="center"/>
              <w:rPr>
                <w:rFonts w:ascii="Arial Narrow" w:hAnsi="Arial Narrow"/>
                <w:sz w:val="20"/>
              </w:rPr>
            </w:pPr>
          </w:p>
          <w:p w:rsidR="00C4009B" w:rsidRPr="00EC1826" w:rsidRDefault="00C4009B" w:rsidP="00290E94">
            <w:pPr>
              <w:keepNext/>
              <w:jc w:val="center"/>
              <w:rPr>
                <w:rFonts w:ascii="Arial Narrow" w:hAnsi="Arial Narrow"/>
                <w:sz w:val="20"/>
              </w:rPr>
            </w:pPr>
            <w:r w:rsidRPr="00EC1826">
              <w:rPr>
                <w:rFonts w:ascii="Arial Narrow" w:hAnsi="Arial Narrow"/>
                <w:sz w:val="20"/>
              </w:rPr>
              <w:t>Uptravi</w:t>
            </w:r>
          </w:p>
        </w:tc>
        <w:tc>
          <w:tcPr>
            <w:tcW w:w="487" w:type="pct"/>
          </w:tcPr>
          <w:p w:rsidR="00C4009B" w:rsidRPr="00EC1826" w:rsidRDefault="00C4009B" w:rsidP="00290E94">
            <w:pPr>
              <w:keepNext/>
              <w:jc w:val="center"/>
              <w:rPr>
                <w:rFonts w:ascii="Arial Narrow" w:hAnsi="Arial Narrow"/>
                <w:sz w:val="20"/>
              </w:rPr>
            </w:pPr>
          </w:p>
          <w:p w:rsidR="00C4009B" w:rsidRPr="00EC1826" w:rsidRDefault="00C4009B" w:rsidP="00290E94">
            <w:pPr>
              <w:keepNext/>
              <w:jc w:val="center"/>
              <w:rPr>
                <w:rFonts w:ascii="Arial Narrow" w:hAnsi="Arial Narrow"/>
                <w:sz w:val="20"/>
              </w:rPr>
            </w:pPr>
            <w:r w:rsidRPr="00EC1826">
              <w:rPr>
                <w:rFonts w:ascii="Arial Narrow" w:hAnsi="Arial Narrow"/>
                <w:sz w:val="20"/>
              </w:rPr>
              <w:t>Actelion Pharmaceuticals</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b/>
                <w:sz w:val="20"/>
              </w:rPr>
            </w:pPr>
            <w:r w:rsidRPr="00260CE3">
              <w:rPr>
                <w:rFonts w:ascii="Arial Narrow" w:hAnsi="Arial Narrow"/>
                <w:b/>
                <w:sz w:val="20"/>
              </w:rPr>
              <w:t xml:space="preserve">Category / </w:t>
            </w:r>
          </w:p>
          <w:p w:rsidR="00C4009B" w:rsidRPr="00260CE3" w:rsidRDefault="00C4009B" w:rsidP="00290E94">
            <w:pPr>
              <w:rPr>
                <w:rFonts w:ascii="Arial Narrow" w:hAnsi="Arial Narrow"/>
                <w:b/>
                <w:sz w:val="20"/>
              </w:rPr>
            </w:pPr>
            <w:r w:rsidRPr="00260CE3">
              <w:rPr>
                <w:rFonts w:ascii="Arial Narrow" w:hAnsi="Arial Narrow"/>
                <w:b/>
                <w:sz w:val="20"/>
              </w:rPr>
              <w:t>Program</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sidRPr="00260CE3">
              <w:rPr>
                <w:rFonts w:ascii="Arial Narrow" w:hAnsi="Arial Narrow"/>
                <w:sz w:val="20"/>
              </w:rPr>
              <w:t>Section 100 – Highly Specialised Drugs Program</w:t>
            </w:r>
          </w:p>
          <w:p w:rsidR="00C4009B" w:rsidRPr="00260CE3" w:rsidRDefault="00C4009B" w:rsidP="00290E94">
            <w:pPr>
              <w:rPr>
                <w:rFonts w:ascii="Arial Narrow" w:hAnsi="Arial Narrow"/>
                <w:sz w:val="20"/>
              </w:rPr>
            </w:pP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Default="00C4009B" w:rsidP="00290E94">
            <w:pPr>
              <w:rPr>
                <w:rFonts w:ascii="Arial Narrow" w:hAnsi="Arial Narrow"/>
                <w:b/>
                <w:sz w:val="20"/>
              </w:rPr>
            </w:pPr>
            <w:r w:rsidRPr="00260CE3">
              <w:rPr>
                <w:rFonts w:ascii="Arial Narrow" w:hAnsi="Arial Narrow"/>
                <w:b/>
                <w:sz w:val="20"/>
              </w:rPr>
              <w:t>Prescriber type:</w:t>
            </w:r>
          </w:p>
          <w:p w:rsidR="00C4009B" w:rsidRPr="00340D66" w:rsidRDefault="00C4009B" w:rsidP="00290E94">
            <w:pPr>
              <w:rPr>
                <w:rFonts w:ascii="Arial Narrow" w:hAnsi="Arial Narrow"/>
                <w:sz w:val="20"/>
              </w:rPr>
            </w:pPr>
          </w:p>
        </w:tc>
        <w:tc>
          <w:tcPr>
            <w:tcW w:w="4061" w:type="pct"/>
            <w:gridSpan w:val="6"/>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Check1"/>
                  <w:enabled/>
                  <w:calcOnExit w:val="0"/>
                  <w:checkBox>
                    <w:sizeAuto/>
                    <w:default w:val="1"/>
                  </w:checkBox>
                </w:ffData>
              </w:fldChar>
            </w:r>
            <w:r>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4009B" w:rsidRPr="00260CE3" w:rsidRDefault="00C4009B" w:rsidP="00290E9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b/>
                <w:sz w:val="20"/>
              </w:rPr>
            </w:pPr>
            <w:r w:rsidRPr="00260CE3">
              <w:rPr>
                <w:rFonts w:ascii="Arial Narrow" w:hAnsi="Arial Narrow"/>
                <w:b/>
                <w:sz w:val="20"/>
              </w:rPr>
              <w:t>Episodicity:</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Pr>
                <w:rFonts w:ascii="Arial Narrow" w:hAnsi="Arial Narrow"/>
                <w:sz w:val="20"/>
              </w:rPr>
              <w:t>-</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1C03E9">
              <w:rPr>
                <w:rFonts w:ascii="Arial Narrow" w:hAnsi="Arial Narrow"/>
                <w:b/>
                <w:sz w:val="20"/>
              </w:rPr>
              <w:t>Severity</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t>WHO Functional Class III or IV</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b/>
              </w:rPr>
            </w:pPr>
            <w:r w:rsidRPr="001C03E9">
              <w:rPr>
                <w:rFonts w:ascii="Arial Narrow" w:hAnsi="Arial Narrow"/>
                <w:b/>
                <w:sz w:val="20"/>
              </w:rPr>
              <w:t>Condition</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snapToGrid w:val="0"/>
              <w:spacing w:line="20" w:lineRule="atLeast"/>
              <w:rPr>
                <w:rFonts w:ascii="Arial Narrow" w:hAnsi="Arial Narrow"/>
                <w:sz w:val="20"/>
              </w:rPr>
            </w:pPr>
            <w:r w:rsidRPr="00974BA8">
              <w:rPr>
                <w:rFonts w:ascii="Arial Narrow" w:hAnsi="Arial Narrow"/>
                <w:sz w:val="20"/>
              </w:rPr>
              <w:t>Pulmonary arterial hypertension (PAH)</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1C03E9">
              <w:rPr>
                <w:rFonts w:ascii="Arial Narrow" w:hAnsi="Arial Narrow"/>
                <w:b/>
                <w:sz w:val="20"/>
              </w:rPr>
              <w:t>PBS indication</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Pr>
                <w:rFonts w:ascii="Arial Narrow" w:hAnsi="Arial Narrow"/>
                <w:sz w:val="20"/>
              </w:rPr>
              <w:t>PAH</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974BA8">
              <w:rPr>
                <w:rFonts w:ascii="Arial Narrow" w:hAnsi="Arial Narrow"/>
                <w:b/>
                <w:bCs/>
                <w:sz w:val="20"/>
              </w:rPr>
              <w:t>Treatment phase</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Pr>
                <w:rFonts w:ascii="Arial Narrow" w:hAnsi="Arial Narrow"/>
                <w:sz w:val="20"/>
              </w:rPr>
              <w:t>Grandfathering selexipag patients</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b/>
              </w:rPr>
            </w:pPr>
            <w:r w:rsidRPr="001C03E9">
              <w:rPr>
                <w:rFonts w:ascii="Arial Narrow" w:hAnsi="Arial Narrow"/>
                <w:b/>
                <w:sz w:val="20"/>
              </w:rPr>
              <w:t>Restriction</w:t>
            </w:r>
            <w:r>
              <w:rPr>
                <w:rFonts w:ascii="Arial Narrow" w:hAnsi="Arial Narrow"/>
                <w:b/>
                <w:sz w:val="20"/>
              </w:rPr>
              <w:t xml:space="preserve"> Level / Method</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4009B" w:rsidRPr="00106BCF" w:rsidRDefault="00C4009B" w:rsidP="00290E94">
            <w:pPr>
              <w:rPr>
                <w:rFonts w:ascii="Arial Narrow" w:hAnsi="Arial Narrow"/>
                <w:sz w:val="20"/>
              </w:rPr>
            </w:pPr>
            <w:r>
              <w:rPr>
                <w:rFonts w:ascii="Arial Narrow" w:hAnsi="Arial Narrow"/>
                <w:sz w:val="20"/>
              </w:rPr>
              <w:fldChar w:fldCharType="begin">
                <w:ffData>
                  <w:name w:val="Check1"/>
                  <w:enabled/>
                  <w:calcOnExit w:val="0"/>
                  <w:checkBox>
                    <w:sizeAuto/>
                    <w:default w:val="1"/>
                  </w:checkBox>
                </w:ffData>
              </w:fldChar>
            </w:r>
            <w:r>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C4009B" w:rsidRPr="00106BCF" w:rsidRDefault="00C4009B" w:rsidP="00290E9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4009B" w:rsidRPr="00974BA8" w:rsidRDefault="00C4009B" w:rsidP="00290E9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hideMark/>
          </w:tcPr>
          <w:p w:rsidR="00C4009B" w:rsidRPr="00EC1826" w:rsidRDefault="00C4009B" w:rsidP="00290E94">
            <w:pPr>
              <w:snapToGrid w:val="0"/>
              <w:spacing w:line="20" w:lineRule="atLeast"/>
              <w:rPr>
                <w:b/>
                <w:strike/>
              </w:rPr>
            </w:pPr>
            <w:r w:rsidRPr="00EC1826">
              <w:rPr>
                <w:rFonts w:ascii="Arial Narrow" w:hAnsi="Arial Narrow"/>
                <w:b/>
                <w:strike/>
                <w:sz w:val="20"/>
              </w:rPr>
              <w:t>Clinical criteria</w:t>
            </w:r>
          </w:p>
        </w:tc>
        <w:tc>
          <w:tcPr>
            <w:tcW w:w="4061" w:type="pct"/>
            <w:gridSpan w:val="6"/>
            <w:tcBorders>
              <w:top w:val="single" w:sz="4" w:space="0" w:color="auto"/>
              <w:left w:val="single" w:sz="4" w:space="0" w:color="auto"/>
              <w:bottom w:val="single" w:sz="4" w:space="0" w:color="auto"/>
              <w:right w:val="single" w:sz="4" w:space="0" w:color="auto"/>
            </w:tcBorders>
          </w:tcPr>
          <w:p w:rsidR="00C4009B" w:rsidRDefault="00C4009B" w:rsidP="00290E94">
            <w:pPr>
              <w:spacing w:after="40"/>
              <w:rPr>
                <w:rFonts w:ascii="Arial Narrow" w:hAnsi="Arial Narrow"/>
                <w:sz w:val="20"/>
              </w:rPr>
            </w:pPr>
            <w:r w:rsidRPr="00974BA8">
              <w:rPr>
                <w:rFonts w:ascii="Arial Narrow" w:hAnsi="Arial Narrow"/>
                <w:sz w:val="20"/>
              </w:rPr>
              <w:t xml:space="preserve">Patient must have a documented history of WHO Functional Class III or IV idiopathic </w:t>
            </w:r>
            <w:r w:rsidRPr="00974BA8">
              <w:rPr>
                <w:rFonts w:ascii="Arial Narrow" w:hAnsi="Arial Narrow"/>
                <w:sz w:val="20"/>
              </w:rPr>
              <w:lastRenderedPageBreak/>
              <w:t>pulmonary arterial hypertension (iPAH), or drug or toxin-induced PAH or hereditable PAH, and a mean right atrial pressure of greater than 8 mmHg, as measured by right heart catheterisation (RHC);</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 xml:space="preserve"> OR</w:t>
            </w:r>
          </w:p>
          <w:p w:rsidR="00C4009B" w:rsidRDefault="00C4009B" w:rsidP="00290E94">
            <w:pPr>
              <w:spacing w:after="40"/>
              <w:rPr>
                <w:rFonts w:ascii="Arial Narrow" w:hAnsi="Arial Narrow"/>
                <w:sz w:val="20"/>
              </w:rPr>
            </w:pPr>
          </w:p>
          <w:p w:rsidR="00C4009B" w:rsidRDefault="00C4009B" w:rsidP="00290E94">
            <w:pPr>
              <w:spacing w:after="40"/>
              <w:rPr>
                <w:rFonts w:ascii="Arial Narrow" w:hAnsi="Arial Narrow"/>
                <w:sz w:val="20"/>
              </w:rPr>
            </w:pPr>
            <w:r w:rsidRPr="00974BA8">
              <w:rPr>
                <w:rFonts w:ascii="Arial Narrow" w:hAnsi="Arial Narrow"/>
                <w:sz w:val="20"/>
              </w:rPr>
              <w:t xml:space="preserve">Patient must have documented history of WHO Functional Class III or IV idiopathic pulmonary arterial hypertension (iPAH), or drug or toxin-induced PAH or hereditable PAH, with right ventricular function assessed by echocardiography (ECHO) where a RHC cannot be performed on clinical grounds; </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OR</w:t>
            </w:r>
          </w:p>
          <w:p w:rsidR="00C4009B" w:rsidRDefault="00C4009B" w:rsidP="00290E94">
            <w:pPr>
              <w:spacing w:after="40"/>
              <w:rPr>
                <w:rFonts w:ascii="Arial Narrow" w:hAnsi="Arial Narrow"/>
                <w:sz w:val="20"/>
              </w:rPr>
            </w:pPr>
          </w:p>
          <w:p w:rsidR="00C4009B" w:rsidRDefault="00C4009B" w:rsidP="00290E94">
            <w:pPr>
              <w:spacing w:after="40"/>
              <w:rPr>
                <w:rFonts w:ascii="Arial Narrow" w:hAnsi="Arial Narrow"/>
                <w:sz w:val="20"/>
              </w:rPr>
            </w:pPr>
            <w:r w:rsidRPr="00974BA8">
              <w:rPr>
                <w:rFonts w:ascii="Arial Narrow" w:hAnsi="Arial Narrow"/>
                <w:sz w:val="20"/>
              </w:rPr>
              <w:t xml:space="preserve">Patient must have documented history of WHO Functional Class III or IV pulmonary arterial hypertension secondary to either: connective tissue disease; congenital heart disease with systemic-to-pulmonary shunt (including Eisenmenger’s physiology); or HIV infection and a mean right atrial pressure greater than 8 mmHg, as measured by RHC; </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OR</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Patient must have documented history of WHO Functional Class III or IV pulmonary arterial hypertension secondary to either: connective tissue disease; congenital heart disease with simple systemic-to-pulmonary shunt at least 1 year after surgical repair; or HIV infection and with right ventricular function assessed by ECHO where a RHC cannot be performed on clinical grounds,</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 xml:space="preserve">Patient must have received treatment with </w:t>
            </w:r>
            <w:r w:rsidRPr="00EC1826">
              <w:rPr>
                <w:rFonts w:ascii="Arial Narrow" w:hAnsi="Arial Narrow"/>
                <w:strike/>
                <w:sz w:val="20"/>
              </w:rPr>
              <w:t xml:space="preserve">selexipag </w:t>
            </w:r>
            <w:r>
              <w:rPr>
                <w:rFonts w:ascii="Arial Narrow" w:hAnsi="Arial Narrow"/>
                <w:sz w:val="20"/>
              </w:rPr>
              <w:t xml:space="preserve"> </w:t>
            </w:r>
            <w:r>
              <w:rPr>
                <w:rFonts w:ascii="Arial Narrow" w:hAnsi="Arial Narrow"/>
                <w:i/>
                <w:sz w:val="20"/>
              </w:rPr>
              <w:t xml:space="preserve">this drug </w:t>
            </w:r>
            <w:r w:rsidRPr="00974BA8">
              <w:rPr>
                <w:rFonts w:ascii="Arial Narrow" w:hAnsi="Arial Narrow"/>
                <w:sz w:val="20"/>
              </w:rPr>
              <w:t xml:space="preserve">prior to </w:t>
            </w:r>
            <w:r w:rsidRPr="00974BA8">
              <w:rPr>
                <w:rFonts w:ascii="Arial Narrow" w:hAnsi="Arial Narrow"/>
                <w:i/>
                <w:sz w:val="20"/>
              </w:rPr>
              <w:t>[listing date]</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 xml:space="preserve">Patient must have demonstrated a response within 12 weeks of initiating treatment with this </w:t>
            </w:r>
            <w:r w:rsidRPr="00EC1826">
              <w:rPr>
                <w:rFonts w:ascii="Arial Narrow" w:hAnsi="Arial Narrow"/>
                <w:strike/>
                <w:sz w:val="20"/>
              </w:rPr>
              <w:t>agent</w:t>
            </w:r>
            <w:r>
              <w:rPr>
                <w:rFonts w:ascii="Arial Narrow" w:hAnsi="Arial Narrow"/>
                <w:sz w:val="20"/>
              </w:rPr>
              <w:t xml:space="preserve"> </w:t>
            </w:r>
            <w:r>
              <w:rPr>
                <w:rFonts w:ascii="Arial Narrow" w:hAnsi="Arial Narrow"/>
                <w:i/>
                <w:sz w:val="20"/>
              </w:rPr>
              <w:t xml:space="preserve">drug </w:t>
            </w:r>
            <w:r w:rsidRPr="00974BA8">
              <w:rPr>
                <w:rFonts w:ascii="Arial Narrow" w:hAnsi="Arial Narrow"/>
                <w:sz w:val="20"/>
              </w:rPr>
              <w:t xml:space="preserve"> (i.e., following titration phase)</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Patient must be receiving treatment with this drug for this condition at the time of application,</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 xml:space="preserve">The treatment must be used in combination with on PBS-subsidised treatment with ambrisentan OR bosentan OR macitentan OR sildenafil OR tadalafil for pulmonary arterial hypertension (PAH), </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AND</w:t>
            </w:r>
          </w:p>
          <w:p w:rsidR="00C4009B" w:rsidRDefault="00C4009B" w:rsidP="00290E94">
            <w:pPr>
              <w:spacing w:after="40"/>
              <w:rPr>
                <w:rFonts w:ascii="Arial Narrow" w:hAnsi="Arial Narrow"/>
                <w:sz w:val="20"/>
              </w:rPr>
            </w:pPr>
          </w:p>
          <w:p w:rsidR="00C4009B" w:rsidRPr="00974BA8" w:rsidRDefault="00C4009B" w:rsidP="00290E94">
            <w:pPr>
              <w:spacing w:after="40"/>
              <w:rPr>
                <w:rFonts w:ascii="Arial Narrow" w:hAnsi="Arial Narrow"/>
                <w:sz w:val="20"/>
              </w:rPr>
            </w:pPr>
            <w:r w:rsidRPr="00974BA8">
              <w:rPr>
                <w:rFonts w:ascii="Arial Narrow" w:hAnsi="Arial Narrow"/>
                <w:sz w:val="20"/>
              </w:rPr>
              <w:t>Patient must have been assessed by a physician from a designated hospital</w:t>
            </w:r>
          </w:p>
        </w:tc>
      </w:tr>
      <w:tr w:rsidR="00C4009B" w:rsidRPr="00974BA8" w:rsidTr="00617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9" w:type="pct"/>
            <w:tcBorders>
              <w:top w:val="single" w:sz="4" w:space="0" w:color="auto"/>
              <w:left w:val="single" w:sz="4" w:space="0" w:color="auto"/>
              <w:bottom w:val="single" w:sz="4" w:space="0" w:color="auto"/>
              <w:right w:val="single" w:sz="4" w:space="0" w:color="auto"/>
            </w:tcBorders>
            <w:hideMark/>
          </w:tcPr>
          <w:p w:rsidR="00C4009B" w:rsidRDefault="00C4009B" w:rsidP="00290E94">
            <w:pPr>
              <w:snapToGrid w:val="0"/>
              <w:spacing w:line="20" w:lineRule="atLeast"/>
              <w:rPr>
                <w:rFonts w:ascii="Arial Narrow" w:hAnsi="Arial Narrow"/>
                <w:b/>
                <w:strike/>
                <w:sz w:val="20"/>
              </w:rPr>
            </w:pPr>
            <w:r w:rsidRPr="00EC1826">
              <w:rPr>
                <w:rFonts w:ascii="Arial Narrow" w:hAnsi="Arial Narrow"/>
                <w:b/>
                <w:strike/>
                <w:sz w:val="20"/>
              </w:rPr>
              <w:lastRenderedPageBreak/>
              <w:t>Prescriber instructions</w:t>
            </w:r>
          </w:p>
          <w:p w:rsidR="00C4009B" w:rsidRPr="00EC1826" w:rsidRDefault="00C4009B" w:rsidP="00290E94">
            <w:pPr>
              <w:snapToGrid w:val="0"/>
              <w:spacing w:line="20" w:lineRule="atLeast"/>
              <w:rPr>
                <w:b/>
                <w:strike/>
              </w:rPr>
            </w:pPr>
            <w:r w:rsidRPr="001C03E9">
              <w:rPr>
                <w:rFonts w:ascii="Arial Narrow" w:hAnsi="Arial Narrow"/>
                <w:b/>
                <w:i/>
                <w:sz w:val="20"/>
              </w:rPr>
              <w:lastRenderedPageBreak/>
              <w:t>Administrative Advice</w:t>
            </w:r>
          </w:p>
        </w:tc>
        <w:tc>
          <w:tcPr>
            <w:tcW w:w="4061" w:type="pct"/>
            <w:gridSpan w:val="6"/>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lastRenderedPageBreak/>
              <w:t>Applications for authorisation must be in writing and must include:</w:t>
            </w:r>
          </w:p>
          <w:p w:rsidR="00C4009B" w:rsidRPr="00974BA8" w:rsidRDefault="00C4009B" w:rsidP="00290E94">
            <w:pPr>
              <w:rPr>
                <w:rFonts w:ascii="Arial Narrow" w:hAnsi="Arial Narrow"/>
                <w:sz w:val="20"/>
              </w:rPr>
            </w:pPr>
            <w:r w:rsidRPr="00974BA8">
              <w:rPr>
                <w:rFonts w:ascii="Arial Narrow" w:hAnsi="Arial Narrow"/>
                <w:sz w:val="20"/>
              </w:rPr>
              <w:t>(1) a completed authority prescription form; and</w:t>
            </w:r>
          </w:p>
          <w:p w:rsidR="00C4009B" w:rsidRPr="00974BA8" w:rsidRDefault="00C4009B" w:rsidP="00290E94">
            <w:pPr>
              <w:rPr>
                <w:rFonts w:ascii="Arial Narrow" w:hAnsi="Arial Narrow"/>
                <w:strike/>
                <w:sz w:val="20"/>
              </w:rPr>
            </w:pPr>
            <w:r w:rsidRPr="00974BA8">
              <w:rPr>
                <w:rFonts w:ascii="Arial Narrow" w:hAnsi="Arial Narrow"/>
                <w:sz w:val="20"/>
              </w:rPr>
              <w:lastRenderedPageBreak/>
              <w:t xml:space="preserve">(2) a completed Pulmonary Arterial Hypertension PBS Authority Application - Supporting Information form </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The maximum quantity authorised will be limited to provide sufficient supply for 1 month of treatment, based on the dosage recommendations in the Therapeutic Goods Administration (TGA) approved Product Information. </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A maximum of 5 repeats will be authorised.</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Applications for continuing treatment with a PAH agent should be made prior to the completion of the 6 month treatment course to ensure continuity for those patients who respond to treatment, as assessed by the treating physician. </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The term 'PAH agents' refers to bosentan monohydrate, iloprost trometamol, epoprostenol sodium, sildenafil citrate, ambrisentan, tadalafil, macitentan and selexipag.</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color w:val="000000"/>
                <w:sz w:val="20"/>
              </w:rPr>
            </w:pPr>
            <w:r w:rsidRPr="00974BA8">
              <w:rPr>
                <w:rFonts w:ascii="Arial Narrow" w:hAnsi="Arial Narrow"/>
                <w:sz w:val="20"/>
              </w:rPr>
              <w:t>PAH agents are not PBS-subsidised for patients with pulmonary hypertension secondary to interstitial lung disease associated with connective tissue disease, where the total lung capacity is less than 70% of predicted.</w:t>
            </w:r>
          </w:p>
        </w:tc>
      </w:tr>
    </w:tbl>
    <w:p w:rsidR="00C4009B" w:rsidRPr="00552722" w:rsidRDefault="00C4009B" w:rsidP="00C4009B">
      <w:pPr>
        <w:rPr>
          <w:szCs w:val="22"/>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1"/>
        <w:gridCol w:w="6792"/>
      </w:tblGrid>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b/>
                <w:sz w:val="20"/>
              </w:rPr>
            </w:pPr>
            <w:r w:rsidRPr="00260CE3">
              <w:rPr>
                <w:rFonts w:ascii="Arial Narrow" w:hAnsi="Arial Narrow"/>
                <w:b/>
                <w:sz w:val="20"/>
              </w:rPr>
              <w:t xml:space="preserve">Category / </w:t>
            </w:r>
          </w:p>
          <w:p w:rsidR="00C4009B" w:rsidRPr="00260CE3" w:rsidRDefault="00C4009B" w:rsidP="00290E94">
            <w:pPr>
              <w:rPr>
                <w:rFonts w:ascii="Arial Narrow" w:hAnsi="Arial Narrow"/>
                <w:b/>
                <w:sz w:val="20"/>
              </w:rPr>
            </w:pPr>
            <w:r w:rsidRPr="00260CE3">
              <w:rPr>
                <w:rFonts w:ascii="Arial Narrow" w:hAnsi="Arial Narrow"/>
                <w:b/>
                <w:sz w:val="20"/>
              </w:rPr>
              <w:t>Program</w:t>
            </w:r>
          </w:p>
        </w:tc>
        <w:tc>
          <w:tcPr>
            <w:tcW w:w="4061"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sidRPr="00260CE3">
              <w:rPr>
                <w:rFonts w:ascii="Arial Narrow" w:hAnsi="Arial Narrow"/>
                <w:sz w:val="20"/>
              </w:rPr>
              <w:t>Section 100 – Highly Specialised Drugs Program</w:t>
            </w:r>
          </w:p>
          <w:p w:rsidR="00C4009B" w:rsidRPr="00260CE3" w:rsidRDefault="00C4009B" w:rsidP="00290E94">
            <w:pPr>
              <w:rPr>
                <w:rFonts w:ascii="Arial Narrow" w:hAnsi="Arial Narrow"/>
                <w:sz w:val="20"/>
              </w:rPr>
            </w:pP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tcPr>
          <w:p w:rsidR="00C4009B" w:rsidRDefault="00C4009B" w:rsidP="00290E94">
            <w:pPr>
              <w:rPr>
                <w:rFonts w:ascii="Arial Narrow" w:hAnsi="Arial Narrow"/>
                <w:b/>
                <w:sz w:val="20"/>
              </w:rPr>
            </w:pPr>
            <w:r w:rsidRPr="00260CE3">
              <w:rPr>
                <w:rFonts w:ascii="Arial Narrow" w:hAnsi="Arial Narrow"/>
                <w:b/>
                <w:sz w:val="20"/>
              </w:rPr>
              <w:t>Prescriber type:</w:t>
            </w:r>
          </w:p>
          <w:p w:rsidR="00C4009B" w:rsidRPr="00340D66" w:rsidRDefault="00C4009B" w:rsidP="00290E94">
            <w:pPr>
              <w:rPr>
                <w:rFonts w:ascii="Arial Narrow" w:hAnsi="Arial Narrow"/>
                <w:sz w:val="20"/>
              </w:rPr>
            </w:pPr>
          </w:p>
        </w:tc>
        <w:tc>
          <w:tcPr>
            <w:tcW w:w="4061"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Check1"/>
                  <w:enabled/>
                  <w:calcOnExit w:val="0"/>
                  <w:checkBox>
                    <w:sizeAuto/>
                    <w:default w:val="1"/>
                  </w:checkBox>
                </w:ffData>
              </w:fldChar>
            </w:r>
            <w:r>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4009B" w:rsidRPr="00260CE3" w:rsidRDefault="00C4009B" w:rsidP="00290E9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92A49">
              <w:rPr>
                <w:rFonts w:ascii="Arial Narrow" w:hAnsi="Arial Narrow"/>
                <w:sz w:val="20"/>
              </w:rPr>
            </w:r>
            <w:r w:rsidR="00592A4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b/>
                <w:sz w:val="20"/>
              </w:rPr>
            </w:pPr>
            <w:r w:rsidRPr="00260CE3">
              <w:rPr>
                <w:rFonts w:ascii="Arial Narrow" w:hAnsi="Arial Narrow"/>
                <w:b/>
                <w:sz w:val="20"/>
              </w:rPr>
              <w:t>Episodicity:</w:t>
            </w:r>
          </w:p>
        </w:tc>
        <w:tc>
          <w:tcPr>
            <w:tcW w:w="4061" w:type="pct"/>
            <w:tcBorders>
              <w:top w:val="single" w:sz="4" w:space="0" w:color="auto"/>
              <w:left w:val="single" w:sz="4" w:space="0" w:color="auto"/>
              <w:bottom w:val="single" w:sz="4" w:space="0" w:color="auto"/>
              <w:right w:val="single" w:sz="4" w:space="0" w:color="auto"/>
            </w:tcBorders>
          </w:tcPr>
          <w:p w:rsidR="00C4009B" w:rsidRPr="00260CE3" w:rsidRDefault="00C4009B" w:rsidP="00290E94">
            <w:pPr>
              <w:rPr>
                <w:rFonts w:ascii="Arial Narrow" w:hAnsi="Arial Narrow"/>
                <w:sz w:val="20"/>
              </w:rPr>
            </w:pPr>
            <w:r>
              <w:rPr>
                <w:rFonts w:ascii="Arial Narrow" w:hAnsi="Arial Narrow"/>
                <w:sz w:val="20"/>
              </w:rPr>
              <w:t>-</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1C03E9">
              <w:rPr>
                <w:rFonts w:ascii="Arial Narrow" w:hAnsi="Arial Narrow"/>
                <w:b/>
                <w:sz w:val="20"/>
              </w:rPr>
              <w:t>Severity</w:t>
            </w:r>
          </w:p>
        </w:tc>
        <w:tc>
          <w:tcPr>
            <w:tcW w:w="4061" w:type="pct"/>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t>WHO Functional Class III or IV</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b/>
              </w:rPr>
            </w:pPr>
            <w:r w:rsidRPr="001C03E9">
              <w:rPr>
                <w:rFonts w:ascii="Arial Narrow" w:hAnsi="Arial Narrow"/>
                <w:b/>
                <w:sz w:val="20"/>
              </w:rPr>
              <w:t>Condition</w:t>
            </w:r>
          </w:p>
        </w:tc>
        <w:tc>
          <w:tcPr>
            <w:tcW w:w="4061" w:type="pct"/>
            <w:tcBorders>
              <w:top w:val="single" w:sz="4" w:space="0" w:color="auto"/>
              <w:left w:val="single" w:sz="4" w:space="0" w:color="auto"/>
              <w:bottom w:val="single" w:sz="4" w:space="0" w:color="auto"/>
              <w:right w:val="single" w:sz="4" w:space="0" w:color="auto"/>
            </w:tcBorders>
          </w:tcPr>
          <w:p w:rsidR="00C4009B" w:rsidRPr="00974BA8" w:rsidRDefault="00C4009B" w:rsidP="00290E94">
            <w:pPr>
              <w:snapToGrid w:val="0"/>
              <w:spacing w:line="20" w:lineRule="atLeast"/>
              <w:rPr>
                <w:rFonts w:ascii="Arial Narrow" w:hAnsi="Arial Narrow"/>
                <w:sz w:val="20"/>
              </w:rPr>
            </w:pPr>
            <w:r w:rsidRPr="00974BA8">
              <w:rPr>
                <w:rFonts w:ascii="Arial Narrow" w:hAnsi="Arial Narrow"/>
                <w:sz w:val="20"/>
              </w:rPr>
              <w:t>Pulmonary arterial hypertension (PAH)</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tcPr>
          <w:p w:rsidR="00C4009B" w:rsidRPr="001C03E9" w:rsidRDefault="00C4009B" w:rsidP="00290E94">
            <w:pPr>
              <w:snapToGrid w:val="0"/>
              <w:spacing w:line="20" w:lineRule="atLeast"/>
              <w:rPr>
                <w:rFonts w:ascii="Arial Narrow" w:hAnsi="Arial Narrow"/>
                <w:b/>
                <w:sz w:val="20"/>
              </w:rPr>
            </w:pPr>
            <w:r w:rsidRPr="001C03E9">
              <w:rPr>
                <w:rFonts w:ascii="Arial Narrow" w:hAnsi="Arial Narrow"/>
                <w:b/>
                <w:sz w:val="20"/>
              </w:rPr>
              <w:t>PBS indication</w:t>
            </w:r>
          </w:p>
        </w:tc>
        <w:tc>
          <w:tcPr>
            <w:tcW w:w="4061" w:type="pct"/>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Pr>
                <w:rFonts w:ascii="Arial Narrow" w:hAnsi="Arial Narrow"/>
                <w:sz w:val="20"/>
              </w:rPr>
              <w:t>PAH</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hideMark/>
          </w:tcPr>
          <w:p w:rsidR="00C4009B" w:rsidRPr="00974BA8" w:rsidRDefault="00C4009B" w:rsidP="00290E94">
            <w:pPr>
              <w:snapToGrid w:val="0"/>
              <w:spacing w:line="20" w:lineRule="atLeast"/>
            </w:pPr>
            <w:r w:rsidRPr="00974BA8">
              <w:rPr>
                <w:rFonts w:ascii="Arial Narrow" w:hAnsi="Arial Narrow"/>
                <w:b/>
                <w:bCs/>
                <w:sz w:val="20"/>
              </w:rPr>
              <w:t>Treatment phase</w:t>
            </w:r>
          </w:p>
        </w:tc>
        <w:tc>
          <w:tcPr>
            <w:tcW w:w="4061" w:type="pct"/>
            <w:tcBorders>
              <w:top w:val="single" w:sz="4" w:space="0" w:color="auto"/>
              <w:left w:val="single" w:sz="4" w:space="0" w:color="auto"/>
              <w:bottom w:val="single" w:sz="4" w:space="0" w:color="auto"/>
              <w:right w:val="single" w:sz="4" w:space="0" w:color="auto"/>
            </w:tcBorders>
          </w:tcPr>
          <w:p w:rsidR="00C4009B" w:rsidRPr="00974BA8" w:rsidRDefault="00C4009B" w:rsidP="00290E94">
            <w:pPr>
              <w:snapToGrid w:val="0"/>
              <w:spacing w:line="20" w:lineRule="atLeast"/>
              <w:rPr>
                <w:rFonts w:ascii="Arial Narrow" w:hAnsi="Arial Narrow"/>
                <w:sz w:val="20"/>
              </w:rPr>
            </w:pPr>
            <w:r>
              <w:rPr>
                <w:rFonts w:ascii="Arial Narrow" w:hAnsi="Arial Narrow"/>
                <w:sz w:val="20"/>
              </w:rPr>
              <w:t>Continuing treatment (all patients)</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hideMark/>
          </w:tcPr>
          <w:p w:rsidR="00C4009B" w:rsidRPr="00286210" w:rsidRDefault="00C4009B" w:rsidP="00290E94">
            <w:pPr>
              <w:snapToGrid w:val="0"/>
              <w:spacing w:line="20" w:lineRule="atLeast"/>
              <w:rPr>
                <w:b/>
              </w:rPr>
            </w:pPr>
            <w:r w:rsidRPr="00286210">
              <w:rPr>
                <w:rFonts w:ascii="Arial Narrow" w:hAnsi="Arial Narrow"/>
                <w:b/>
                <w:sz w:val="20"/>
              </w:rPr>
              <w:t>Clinical criteria</w:t>
            </w:r>
          </w:p>
        </w:tc>
        <w:tc>
          <w:tcPr>
            <w:tcW w:w="4061" w:type="pct"/>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t xml:space="preserve">Patient must have received approval for initial PBS-subsidised treatment with this </w:t>
            </w:r>
            <w:r w:rsidRPr="00286210">
              <w:rPr>
                <w:rFonts w:ascii="Arial Narrow" w:hAnsi="Arial Narrow"/>
                <w:strike/>
                <w:sz w:val="20"/>
              </w:rPr>
              <w:t>agent</w:t>
            </w:r>
            <w:r>
              <w:rPr>
                <w:rFonts w:ascii="Arial Narrow" w:hAnsi="Arial Narrow"/>
                <w:sz w:val="20"/>
              </w:rPr>
              <w:t xml:space="preserve"> </w:t>
            </w:r>
            <w:r>
              <w:rPr>
                <w:rFonts w:ascii="Arial Narrow" w:hAnsi="Arial Narrow"/>
                <w:i/>
                <w:sz w:val="20"/>
              </w:rPr>
              <w:t>drug</w:t>
            </w:r>
            <w:r w:rsidRPr="00974BA8">
              <w:rPr>
                <w:rFonts w:ascii="Arial Narrow" w:hAnsi="Arial Narrow"/>
                <w:sz w:val="20"/>
              </w:rPr>
              <w:t>,</w:t>
            </w:r>
          </w:p>
          <w:p w:rsidR="00C4009B"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AND</w:t>
            </w:r>
          </w:p>
          <w:p w:rsidR="00C4009B"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Patient must have demonstrated a response within 12 weeks of initiating treatment with this </w:t>
            </w:r>
            <w:r w:rsidRPr="00286210">
              <w:rPr>
                <w:rFonts w:ascii="Arial Narrow" w:hAnsi="Arial Narrow"/>
                <w:strike/>
                <w:sz w:val="20"/>
              </w:rPr>
              <w:t>agent</w:t>
            </w:r>
            <w:r>
              <w:rPr>
                <w:rFonts w:ascii="Arial Narrow" w:hAnsi="Arial Narrow"/>
                <w:sz w:val="20"/>
              </w:rPr>
              <w:t xml:space="preserve"> </w:t>
            </w:r>
            <w:r>
              <w:rPr>
                <w:rFonts w:ascii="Arial Narrow" w:hAnsi="Arial Narrow"/>
                <w:i/>
                <w:sz w:val="20"/>
              </w:rPr>
              <w:t>drug</w:t>
            </w:r>
            <w:r w:rsidRPr="00974BA8">
              <w:rPr>
                <w:rFonts w:ascii="Arial Narrow" w:hAnsi="Arial Narrow"/>
                <w:sz w:val="20"/>
              </w:rPr>
              <w:t>,</w:t>
            </w:r>
          </w:p>
          <w:p w:rsidR="00C4009B"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AND</w:t>
            </w:r>
          </w:p>
          <w:p w:rsidR="00C4009B"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The treatment must be used in combination with PBS-subsidised treatment with ambrisentan OR bosentan OR macitentan OR sildenafil OR tadalafil for pulmonary arterial hypertension (PAH), </w:t>
            </w:r>
          </w:p>
          <w:p w:rsidR="00C4009B"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AND</w:t>
            </w:r>
          </w:p>
          <w:p w:rsidR="00C4009B"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Patient must have been assessed by a physician from a designated hospital</w:t>
            </w:r>
          </w:p>
        </w:tc>
      </w:tr>
      <w:tr w:rsidR="00C4009B" w:rsidRPr="00974BA8" w:rsidTr="00617A5D">
        <w:trPr>
          <w:trHeight w:val="20"/>
        </w:trPr>
        <w:tc>
          <w:tcPr>
            <w:tcW w:w="939" w:type="pct"/>
            <w:tcBorders>
              <w:top w:val="single" w:sz="4" w:space="0" w:color="auto"/>
              <w:left w:val="single" w:sz="4" w:space="0" w:color="auto"/>
              <w:bottom w:val="single" w:sz="4" w:space="0" w:color="auto"/>
              <w:right w:val="single" w:sz="4" w:space="0" w:color="auto"/>
            </w:tcBorders>
            <w:hideMark/>
          </w:tcPr>
          <w:p w:rsidR="00C4009B" w:rsidRDefault="00C4009B" w:rsidP="00290E94">
            <w:pPr>
              <w:snapToGrid w:val="0"/>
              <w:spacing w:line="20" w:lineRule="atLeast"/>
              <w:rPr>
                <w:rFonts w:ascii="Arial Narrow" w:hAnsi="Arial Narrow"/>
                <w:b/>
                <w:strike/>
                <w:sz w:val="20"/>
              </w:rPr>
            </w:pPr>
            <w:r w:rsidRPr="00EC1826">
              <w:rPr>
                <w:rFonts w:ascii="Arial Narrow" w:hAnsi="Arial Narrow"/>
                <w:b/>
                <w:strike/>
                <w:sz w:val="20"/>
              </w:rPr>
              <w:t>Prescriber instructions</w:t>
            </w:r>
          </w:p>
          <w:p w:rsidR="00C4009B" w:rsidRPr="00974BA8" w:rsidRDefault="00C4009B" w:rsidP="00290E94">
            <w:pPr>
              <w:snapToGrid w:val="0"/>
              <w:spacing w:line="20" w:lineRule="atLeast"/>
            </w:pPr>
            <w:r w:rsidRPr="001C03E9">
              <w:rPr>
                <w:rFonts w:ascii="Arial Narrow" w:hAnsi="Arial Narrow"/>
                <w:b/>
                <w:i/>
                <w:sz w:val="20"/>
              </w:rPr>
              <w:t>Administrative Advice</w:t>
            </w:r>
          </w:p>
        </w:tc>
        <w:tc>
          <w:tcPr>
            <w:tcW w:w="4061" w:type="pct"/>
            <w:tcBorders>
              <w:top w:val="single" w:sz="4" w:space="0" w:color="auto"/>
              <w:left w:val="single" w:sz="4" w:space="0" w:color="auto"/>
              <w:bottom w:val="single" w:sz="4" w:space="0" w:color="auto"/>
              <w:right w:val="single" w:sz="4" w:space="0" w:color="auto"/>
            </w:tcBorders>
          </w:tcPr>
          <w:p w:rsidR="00C4009B" w:rsidRPr="00974BA8" w:rsidRDefault="00C4009B" w:rsidP="00290E94">
            <w:pPr>
              <w:rPr>
                <w:rFonts w:ascii="Arial Narrow" w:hAnsi="Arial Narrow"/>
                <w:sz w:val="20"/>
              </w:rPr>
            </w:pPr>
            <w:r w:rsidRPr="00974BA8">
              <w:rPr>
                <w:rFonts w:ascii="Arial Narrow" w:hAnsi="Arial Narrow"/>
                <w:sz w:val="20"/>
              </w:rPr>
              <w:t>Applications for authorisation must be in writing and must include:</w:t>
            </w:r>
          </w:p>
          <w:p w:rsidR="00C4009B" w:rsidRPr="00974BA8" w:rsidRDefault="00C4009B" w:rsidP="00290E94">
            <w:pPr>
              <w:rPr>
                <w:rFonts w:ascii="Arial Narrow" w:hAnsi="Arial Narrow"/>
                <w:sz w:val="20"/>
              </w:rPr>
            </w:pPr>
            <w:r w:rsidRPr="00974BA8">
              <w:rPr>
                <w:rFonts w:ascii="Arial Narrow" w:hAnsi="Arial Narrow"/>
                <w:sz w:val="20"/>
              </w:rPr>
              <w:t>(1) a completed authority prescription form; and</w:t>
            </w:r>
          </w:p>
          <w:p w:rsidR="00C4009B" w:rsidRPr="00974BA8" w:rsidRDefault="00C4009B" w:rsidP="00290E94">
            <w:pPr>
              <w:rPr>
                <w:rFonts w:ascii="Arial Narrow" w:hAnsi="Arial Narrow"/>
                <w:strike/>
                <w:sz w:val="20"/>
              </w:rPr>
            </w:pPr>
            <w:r w:rsidRPr="00974BA8">
              <w:rPr>
                <w:rFonts w:ascii="Arial Narrow" w:hAnsi="Arial Narrow"/>
                <w:sz w:val="20"/>
              </w:rPr>
              <w:t xml:space="preserve">(2) a completed Pulmonary Arterial Hypertension PBS Authority Application - Supporting Information form </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The maximum quantity authorised will be limited to provide sufficient supply for 1 month of treatment, based on the dosage recommendations in the Therapeutic Goods Administration (TGA) approved Product Information. </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lastRenderedPageBreak/>
              <w:t>A maximum of 5 repeats will be authorised.</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 xml:space="preserve">Applications for continuing treatment with a PAH agent should be made prior to the completion of the 6 month treatment course to ensure continuity for those patients who respond to treatment, as assessed by the treating physician. </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sz w:val="20"/>
              </w:rPr>
            </w:pPr>
            <w:r w:rsidRPr="00974BA8">
              <w:rPr>
                <w:rFonts w:ascii="Arial Narrow" w:hAnsi="Arial Narrow"/>
                <w:sz w:val="20"/>
              </w:rPr>
              <w:t>The term 'PAH agents' refers to bosentan monohydrate, iloprost trometamol, epoprostenol sodium, sildenafil citrate, ambrisentan, tadalafil, macitentan and selexipag.</w:t>
            </w:r>
          </w:p>
          <w:p w:rsidR="00C4009B" w:rsidRPr="00974BA8" w:rsidRDefault="00C4009B" w:rsidP="00290E94">
            <w:pPr>
              <w:rPr>
                <w:rFonts w:ascii="Arial Narrow" w:hAnsi="Arial Narrow"/>
                <w:sz w:val="20"/>
              </w:rPr>
            </w:pPr>
          </w:p>
          <w:p w:rsidR="00C4009B" w:rsidRPr="00974BA8" w:rsidRDefault="00C4009B" w:rsidP="00290E94">
            <w:pPr>
              <w:rPr>
                <w:rFonts w:ascii="Arial Narrow" w:hAnsi="Arial Narrow"/>
                <w:color w:val="000000"/>
                <w:sz w:val="20"/>
              </w:rPr>
            </w:pPr>
            <w:r w:rsidRPr="00974BA8">
              <w:rPr>
                <w:rFonts w:ascii="Arial Narrow" w:hAnsi="Arial Narrow"/>
                <w:sz w:val="20"/>
              </w:rPr>
              <w:t>PAH agents are not PBS-subsidised for patients with pulmonary hypertension secondary to interstitial lung disease associated with connective tissue disease, where the total lung capacity is less than 70% of predicted.</w:t>
            </w:r>
          </w:p>
        </w:tc>
      </w:tr>
    </w:tbl>
    <w:p w:rsidR="00C4009B" w:rsidRPr="00552722" w:rsidRDefault="00C4009B" w:rsidP="00C4009B"/>
    <w:p w:rsidR="00AF1A02" w:rsidRPr="00F4213A" w:rsidRDefault="00AF1A02" w:rsidP="00590A3C">
      <w:pPr>
        <w:pStyle w:val="ListParagraph"/>
        <w:widowControl/>
        <w:numPr>
          <w:ilvl w:val="1"/>
          <w:numId w:val="2"/>
        </w:numPr>
        <w:rPr>
          <w:szCs w:val="22"/>
        </w:rPr>
      </w:pPr>
      <w:r w:rsidRPr="00F4213A">
        <w:rPr>
          <w:szCs w:val="22"/>
        </w:rPr>
        <w:t xml:space="preserve">In contrast to the restrictions for all currently listed PAH agents, in which patients are only eligible for one PBS-subsidised PAH agent at any time, the proposed restriction for selexipag </w:t>
      </w:r>
      <w:r w:rsidR="00F556CB" w:rsidRPr="00F4213A">
        <w:rPr>
          <w:szCs w:val="22"/>
        </w:rPr>
        <w:t>specifi</w:t>
      </w:r>
      <w:r w:rsidRPr="00F4213A">
        <w:rPr>
          <w:szCs w:val="22"/>
        </w:rPr>
        <w:t>e</w:t>
      </w:r>
      <w:r w:rsidR="00D55BD3" w:rsidRPr="00F4213A">
        <w:rPr>
          <w:szCs w:val="22"/>
        </w:rPr>
        <w:t>d</w:t>
      </w:r>
      <w:r w:rsidRPr="00F4213A">
        <w:rPr>
          <w:szCs w:val="22"/>
        </w:rPr>
        <w:t xml:space="preserve"> that it must be used in combination with other PBS-subsidised PAH drugs (an </w:t>
      </w:r>
      <w:r w:rsidR="003A55CB" w:rsidRPr="00F4213A">
        <w:rPr>
          <w:szCs w:val="22"/>
        </w:rPr>
        <w:t>endothelin receptor agonist (</w:t>
      </w:r>
      <w:r w:rsidRPr="00F4213A">
        <w:rPr>
          <w:szCs w:val="22"/>
        </w:rPr>
        <w:t>ERA</w:t>
      </w:r>
      <w:r w:rsidR="003A55CB" w:rsidRPr="00F4213A">
        <w:rPr>
          <w:szCs w:val="22"/>
        </w:rPr>
        <w:t>)</w:t>
      </w:r>
      <w:r w:rsidRPr="00F4213A">
        <w:rPr>
          <w:szCs w:val="22"/>
        </w:rPr>
        <w:t xml:space="preserve"> and/or a </w:t>
      </w:r>
      <w:r w:rsidR="003A55CB" w:rsidRPr="00F4213A">
        <w:rPr>
          <w:szCs w:val="22"/>
        </w:rPr>
        <w:t>phosphoesterase type 5 (</w:t>
      </w:r>
      <w:r w:rsidRPr="00F4213A">
        <w:rPr>
          <w:szCs w:val="22"/>
        </w:rPr>
        <w:t>PDE-5</w:t>
      </w:r>
      <w:r w:rsidR="00C0562F">
        <w:rPr>
          <w:szCs w:val="22"/>
        </w:rPr>
        <w:t>)</w:t>
      </w:r>
      <w:r w:rsidRPr="00F4213A">
        <w:rPr>
          <w:szCs w:val="22"/>
        </w:rPr>
        <w:t xml:space="preserve"> inhibitor). </w:t>
      </w:r>
    </w:p>
    <w:p w:rsidR="00B533A9" w:rsidRPr="00F4213A" w:rsidRDefault="00B533A9" w:rsidP="00B533A9">
      <w:pPr>
        <w:pStyle w:val="ListParagraph"/>
        <w:widowControl/>
        <w:rPr>
          <w:szCs w:val="22"/>
        </w:rPr>
      </w:pPr>
    </w:p>
    <w:p w:rsidR="00E600BB" w:rsidRPr="00F4213A" w:rsidRDefault="00B533A9" w:rsidP="00590A3C">
      <w:pPr>
        <w:pStyle w:val="ListParagraph"/>
        <w:widowControl/>
        <w:numPr>
          <w:ilvl w:val="1"/>
          <w:numId w:val="2"/>
        </w:numPr>
        <w:rPr>
          <w:szCs w:val="22"/>
        </w:rPr>
      </w:pPr>
      <w:r w:rsidRPr="00F4213A">
        <w:rPr>
          <w:szCs w:val="22"/>
        </w:rPr>
        <w:t xml:space="preserve">The submission stated that selexipag was intended to be used as </w:t>
      </w:r>
      <w:r w:rsidR="007A5CD9" w:rsidRPr="00F4213A">
        <w:rPr>
          <w:szCs w:val="22"/>
        </w:rPr>
        <w:t>“</w:t>
      </w:r>
      <w:r w:rsidRPr="00F4213A">
        <w:rPr>
          <w:szCs w:val="22"/>
        </w:rPr>
        <w:t>add-on therapy in patients stabilised on background therapy with an ERA and/or a PDE-5 inhibitor</w:t>
      </w:r>
      <w:r w:rsidR="00E600BB" w:rsidRPr="00F4213A">
        <w:rPr>
          <w:lang w:eastAsia="en-AU"/>
        </w:rPr>
        <w:t xml:space="preserve"> but who have not achieved physician-directed treatment targets</w:t>
      </w:r>
      <w:r w:rsidRPr="00F4213A">
        <w:rPr>
          <w:szCs w:val="22"/>
        </w:rPr>
        <w:t>.</w:t>
      </w:r>
      <w:r w:rsidR="007A5CD9" w:rsidRPr="00F4213A">
        <w:rPr>
          <w:szCs w:val="22"/>
        </w:rPr>
        <w:t>”</w:t>
      </w:r>
      <w:r w:rsidRPr="00F4213A">
        <w:rPr>
          <w:szCs w:val="22"/>
        </w:rPr>
        <w:t xml:space="preserve"> </w:t>
      </w:r>
    </w:p>
    <w:p w:rsidR="00E600BB" w:rsidRPr="00F4213A" w:rsidRDefault="00E600BB" w:rsidP="00C4009B">
      <w:pPr>
        <w:pStyle w:val="ListParagraph"/>
        <w:widowControl/>
        <w:numPr>
          <w:ilvl w:val="0"/>
          <w:numId w:val="14"/>
        </w:numPr>
        <w:ind w:left="1134" w:hanging="283"/>
        <w:rPr>
          <w:szCs w:val="22"/>
        </w:rPr>
      </w:pPr>
      <w:r w:rsidRPr="00F4213A">
        <w:rPr>
          <w:szCs w:val="22"/>
        </w:rPr>
        <w:t>T</w:t>
      </w:r>
      <w:r w:rsidR="00B533A9" w:rsidRPr="00F4213A">
        <w:rPr>
          <w:szCs w:val="22"/>
        </w:rPr>
        <w:t xml:space="preserve">he </w:t>
      </w:r>
      <w:r w:rsidRPr="00F4213A">
        <w:rPr>
          <w:szCs w:val="22"/>
        </w:rPr>
        <w:t xml:space="preserve">proposed </w:t>
      </w:r>
      <w:r w:rsidR="00E11295" w:rsidRPr="00F4213A">
        <w:rPr>
          <w:szCs w:val="22"/>
        </w:rPr>
        <w:t xml:space="preserve">restriction for ‘Initial treatment (new patients)’ </w:t>
      </w:r>
      <w:r w:rsidR="00B533A9" w:rsidRPr="00F4213A">
        <w:rPr>
          <w:szCs w:val="22"/>
        </w:rPr>
        <w:t xml:space="preserve">would allow for a new patient </w:t>
      </w:r>
      <w:r w:rsidRPr="00F4213A">
        <w:rPr>
          <w:szCs w:val="22"/>
        </w:rPr>
        <w:t>to be commenced on dual therapy;</w:t>
      </w:r>
    </w:p>
    <w:p w:rsidR="00AB31D6" w:rsidRPr="007C3AE9" w:rsidRDefault="00E600BB" w:rsidP="00C4009B">
      <w:pPr>
        <w:pStyle w:val="ListParagraph"/>
        <w:widowControl/>
        <w:numPr>
          <w:ilvl w:val="0"/>
          <w:numId w:val="14"/>
        </w:numPr>
        <w:ind w:left="1134" w:hanging="283"/>
        <w:rPr>
          <w:szCs w:val="22"/>
        </w:rPr>
      </w:pPr>
      <w:r w:rsidRPr="00F4213A">
        <w:rPr>
          <w:lang w:eastAsia="en-AU"/>
        </w:rPr>
        <w:t xml:space="preserve">The restriction does not </w:t>
      </w:r>
      <w:r w:rsidR="00B670D8" w:rsidRPr="00F4213A">
        <w:rPr>
          <w:lang w:eastAsia="en-AU"/>
        </w:rPr>
        <w:t>specify</w:t>
      </w:r>
      <w:r w:rsidRPr="00F4213A">
        <w:rPr>
          <w:lang w:eastAsia="en-AU"/>
        </w:rPr>
        <w:t xml:space="preserve"> that patients must have had inadequa</w:t>
      </w:r>
      <w:r w:rsidR="00F56092" w:rsidRPr="00F4213A">
        <w:rPr>
          <w:lang w:eastAsia="en-AU"/>
        </w:rPr>
        <w:t xml:space="preserve">te response to stabilised ERA </w:t>
      </w:r>
      <w:r w:rsidRPr="00F4213A">
        <w:rPr>
          <w:lang w:eastAsia="en-AU"/>
        </w:rPr>
        <w:t>or PDE-5 inhibitor therapy</w:t>
      </w:r>
      <w:r w:rsidR="00B670D8" w:rsidRPr="00F4213A">
        <w:rPr>
          <w:lang w:eastAsia="en-AU"/>
        </w:rPr>
        <w:t xml:space="preserve"> to be eligible for selexipag</w:t>
      </w:r>
      <w:r w:rsidRPr="00F4213A">
        <w:rPr>
          <w:lang w:eastAsia="en-AU"/>
        </w:rPr>
        <w:t>, nor does it define what constitutes an inadequate response.</w:t>
      </w:r>
      <w:r w:rsidR="00B533A9" w:rsidRPr="00F4213A">
        <w:rPr>
          <w:szCs w:val="22"/>
        </w:rPr>
        <w:t xml:space="preserve"> </w:t>
      </w:r>
      <w:r w:rsidR="00B670D8" w:rsidRPr="00F4213A">
        <w:rPr>
          <w:szCs w:val="22"/>
        </w:rPr>
        <w:t xml:space="preserve">In the absence of such </w:t>
      </w:r>
      <w:r w:rsidR="00F56092" w:rsidRPr="00F4213A">
        <w:rPr>
          <w:szCs w:val="22"/>
        </w:rPr>
        <w:t>criteria</w:t>
      </w:r>
      <w:r w:rsidR="00B670D8" w:rsidRPr="00F4213A">
        <w:rPr>
          <w:szCs w:val="22"/>
        </w:rPr>
        <w:t xml:space="preserve">, there would be considerable potential for use </w:t>
      </w:r>
      <w:r w:rsidR="00B670D8" w:rsidRPr="007C3AE9">
        <w:rPr>
          <w:szCs w:val="22"/>
        </w:rPr>
        <w:t>outside the intended patient population.</w:t>
      </w:r>
    </w:p>
    <w:p w:rsidR="0049409B" w:rsidRPr="007C3AE9" w:rsidRDefault="0049409B" w:rsidP="0049409B">
      <w:pPr>
        <w:pStyle w:val="ListParagraph"/>
        <w:widowControl/>
        <w:rPr>
          <w:szCs w:val="22"/>
        </w:rPr>
      </w:pPr>
    </w:p>
    <w:p w:rsidR="00AB31D6" w:rsidRPr="007C3AE9" w:rsidRDefault="00AB31D6" w:rsidP="00590A3C">
      <w:pPr>
        <w:pStyle w:val="ListParagraph"/>
        <w:widowControl/>
        <w:numPr>
          <w:ilvl w:val="1"/>
          <w:numId w:val="2"/>
        </w:numPr>
        <w:rPr>
          <w:szCs w:val="22"/>
        </w:rPr>
      </w:pPr>
      <w:r w:rsidRPr="007C3AE9">
        <w:rPr>
          <w:szCs w:val="22"/>
        </w:rPr>
        <w:t xml:space="preserve">The requested restriction is not consistent with the proposed TGA indication. The TGA documents received with the PSCR indicate that selexipag </w:t>
      </w:r>
      <w:r w:rsidRPr="007C3AE9">
        <w:t xml:space="preserve">will be registered for use </w:t>
      </w:r>
      <w:r w:rsidRPr="007C3AE9">
        <w:rPr>
          <w:szCs w:val="22"/>
        </w:rPr>
        <w:t xml:space="preserve">in combination with an ERA or a PDE-5 inhibitor, or in triple combination with an ERA and a PDE-5 inhibitor, or as monotherapy. The clinical justification </w:t>
      </w:r>
      <w:r w:rsidR="00C815EC">
        <w:rPr>
          <w:szCs w:val="22"/>
        </w:rPr>
        <w:t xml:space="preserve">for </w:t>
      </w:r>
      <w:r w:rsidRPr="007C3AE9">
        <w:rPr>
          <w:szCs w:val="22"/>
        </w:rPr>
        <w:t>the PBS listing being more restrictive than the TGA registration was unclear.</w:t>
      </w:r>
      <w:r w:rsidR="00C815EC">
        <w:rPr>
          <w:szCs w:val="22"/>
        </w:rPr>
        <w:t xml:space="preserve"> The PBAC considered that the hearing was helpful in clarifying the likely use of selexipag should it be listed on the PBS.</w:t>
      </w:r>
    </w:p>
    <w:p w:rsidR="00AB31D6" w:rsidRPr="007C3AE9" w:rsidRDefault="00AB31D6" w:rsidP="00AB31D6">
      <w:pPr>
        <w:pStyle w:val="ListParagraph"/>
        <w:widowControl/>
        <w:rPr>
          <w:szCs w:val="22"/>
        </w:rPr>
      </w:pPr>
    </w:p>
    <w:p w:rsidR="002C2775" w:rsidRDefault="00FC00BE" w:rsidP="00590A3C">
      <w:pPr>
        <w:pStyle w:val="ListParagraph"/>
        <w:widowControl/>
        <w:numPr>
          <w:ilvl w:val="1"/>
          <w:numId w:val="2"/>
        </w:numPr>
        <w:rPr>
          <w:szCs w:val="22"/>
        </w:rPr>
      </w:pPr>
      <w:r w:rsidRPr="00FC00BE">
        <w:rPr>
          <w:szCs w:val="22"/>
        </w:rPr>
        <w:t xml:space="preserve">A grandfathering restriction for initial treatment was also proposed in the submission for patients currently receiving selexipag in the extension phase of a clinical trial or as part of a patient familiarisation program. </w:t>
      </w:r>
    </w:p>
    <w:p w:rsidR="0013230B" w:rsidRDefault="0013230B" w:rsidP="0013230B">
      <w:pPr>
        <w:pStyle w:val="ListParagraph"/>
        <w:widowControl/>
        <w:rPr>
          <w:szCs w:val="22"/>
        </w:rPr>
      </w:pPr>
    </w:p>
    <w:p w:rsidR="00CA1D02" w:rsidRDefault="00CA1D02" w:rsidP="0013230B">
      <w:pPr>
        <w:pStyle w:val="ListParagraph"/>
        <w:widowControl/>
        <w:rPr>
          <w:szCs w:val="22"/>
        </w:rPr>
      </w:pPr>
      <w:r w:rsidRPr="00C815EC">
        <w:rPr>
          <w:i/>
          <w:szCs w:val="22"/>
        </w:rPr>
        <w:t>For more detail on PBAC’s view, see section 7 “PBAC outcome”</w:t>
      </w:r>
    </w:p>
    <w:p w:rsidR="00754A8F" w:rsidRDefault="00754A8F" w:rsidP="0013230B">
      <w:pPr>
        <w:pStyle w:val="ListParagraph"/>
        <w:widowControl/>
        <w:rPr>
          <w:szCs w:val="22"/>
        </w:rPr>
      </w:pPr>
    </w:p>
    <w:p w:rsidR="006B0E7F" w:rsidRDefault="006B0E7F" w:rsidP="0013230B">
      <w:pPr>
        <w:pStyle w:val="ListParagraph"/>
        <w:widowControl/>
        <w:rPr>
          <w:szCs w:val="22"/>
        </w:rPr>
      </w:pPr>
    </w:p>
    <w:p w:rsidR="00B50DB8" w:rsidRPr="00AB31D6" w:rsidRDefault="00B50DB8" w:rsidP="00BD6CF3">
      <w:pPr>
        <w:pStyle w:val="PBACHeading1"/>
      </w:pPr>
      <w:bookmarkStart w:id="3" w:name="_Toc440892677"/>
      <w:r w:rsidRPr="00AB31D6">
        <w:t>Background</w:t>
      </w:r>
      <w:bookmarkEnd w:id="3"/>
    </w:p>
    <w:p w:rsidR="003A75F4" w:rsidRPr="00AB31D6" w:rsidRDefault="003A75F4" w:rsidP="003A75F4">
      <w:pPr>
        <w:pStyle w:val="ListParagraph"/>
        <w:widowControl/>
        <w:rPr>
          <w:szCs w:val="22"/>
        </w:rPr>
      </w:pPr>
    </w:p>
    <w:p w:rsidR="003056B0" w:rsidRPr="007C3AE9" w:rsidRDefault="00E15DF7" w:rsidP="00590A3C">
      <w:pPr>
        <w:pStyle w:val="ListParagraph"/>
        <w:widowControl/>
        <w:numPr>
          <w:ilvl w:val="1"/>
          <w:numId w:val="2"/>
        </w:numPr>
        <w:rPr>
          <w:szCs w:val="22"/>
        </w:rPr>
      </w:pPr>
      <w:r w:rsidRPr="00882085">
        <w:rPr>
          <w:szCs w:val="22"/>
        </w:rPr>
        <w:t xml:space="preserve">The submission was made under TGA/PBAC Parallel Process.  At the time of PBAC consideration, </w:t>
      </w:r>
      <w:r w:rsidR="00290E94">
        <w:rPr>
          <w:szCs w:val="22"/>
        </w:rPr>
        <w:t>the ACPM outcome for selexipag was available</w:t>
      </w:r>
      <w:r w:rsidR="00030463" w:rsidRPr="007C3AE9">
        <w:rPr>
          <w:szCs w:val="22"/>
        </w:rPr>
        <w:t>.</w:t>
      </w:r>
      <w:r w:rsidR="00EF2C5A" w:rsidRPr="007C3AE9">
        <w:rPr>
          <w:szCs w:val="22"/>
        </w:rPr>
        <w:t xml:space="preserve"> </w:t>
      </w:r>
    </w:p>
    <w:p w:rsidR="003056B0" w:rsidRPr="007C3AE9" w:rsidRDefault="003056B0" w:rsidP="003056B0">
      <w:pPr>
        <w:pStyle w:val="ListParagraph"/>
        <w:widowControl/>
        <w:rPr>
          <w:szCs w:val="22"/>
        </w:rPr>
      </w:pPr>
    </w:p>
    <w:p w:rsidR="00AB31D6" w:rsidRPr="007C3AE9" w:rsidRDefault="00AB31D6" w:rsidP="00AB31D6">
      <w:pPr>
        <w:pStyle w:val="ListParagraph"/>
        <w:widowControl/>
        <w:numPr>
          <w:ilvl w:val="1"/>
          <w:numId w:val="2"/>
        </w:numPr>
        <w:ind w:left="709"/>
        <w:rPr>
          <w:szCs w:val="22"/>
        </w:rPr>
      </w:pPr>
      <w:r w:rsidRPr="007C3AE9">
        <w:rPr>
          <w:bCs/>
          <w:szCs w:val="22"/>
        </w:rPr>
        <w:t xml:space="preserve">According to the draft PI, selexipag will be indicated for the treatment of: </w:t>
      </w:r>
    </w:p>
    <w:p w:rsidR="00AB31D6" w:rsidRPr="007C3AE9" w:rsidRDefault="00AB31D6" w:rsidP="00FA5AF7">
      <w:pPr>
        <w:pStyle w:val="Default"/>
        <w:ind w:left="1560" w:hanging="426"/>
        <w:rPr>
          <w:rFonts w:ascii="Arial" w:hAnsi="Arial" w:cs="Arial"/>
          <w:sz w:val="22"/>
          <w:szCs w:val="22"/>
        </w:rPr>
      </w:pPr>
      <w:r w:rsidRPr="007C3AE9">
        <w:rPr>
          <w:rFonts w:ascii="Arial" w:hAnsi="Arial" w:cs="Arial"/>
          <w:sz w:val="22"/>
          <w:szCs w:val="22"/>
        </w:rPr>
        <w:t xml:space="preserve">• </w:t>
      </w:r>
      <w:r w:rsidR="00FA5AF7" w:rsidRPr="007C3AE9">
        <w:rPr>
          <w:rFonts w:ascii="Arial" w:hAnsi="Arial" w:cs="Arial"/>
          <w:sz w:val="22"/>
          <w:szCs w:val="22"/>
        </w:rPr>
        <w:tab/>
      </w:r>
      <w:r w:rsidRPr="007C3AE9">
        <w:rPr>
          <w:rFonts w:ascii="Arial" w:hAnsi="Arial" w:cs="Arial"/>
          <w:sz w:val="22"/>
          <w:szCs w:val="22"/>
        </w:rPr>
        <w:t xml:space="preserve">idiopathic pulmonary arterial hypertension </w:t>
      </w:r>
    </w:p>
    <w:p w:rsidR="00AB31D6" w:rsidRPr="007C3AE9" w:rsidRDefault="00AB31D6" w:rsidP="00FA5AF7">
      <w:pPr>
        <w:pStyle w:val="Default"/>
        <w:ind w:left="1560" w:hanging="426"/>
        <w:rPr>
          <w:rFonts w:ascii="Arial" w:hAnsi="Arial" w:cs="Arial"/>
          <w:sz w:val="22"/>
          <w:szCs w:val="22"/>
        </w:rPr>
      </w:pPr>
      <w:r w:rsidRPr="007C3AE9">
        <w:rPr>
          <w:rFonts w:ascii="Arial" w:hAnsi="Arial" w:cs="Arial"/>
          <w:sz w:val="22"/>
          <w:szCs w:val="22"/>
        </w:rPr>
        <w:lastRenderedPageBreak/>
        <w:t xml:space="preserve">• </w:t>
      </w:r>
      <w:r w:rsidR="00FA5AF7" w:rsidRPr="007C3AE9">
        <w:rPr>
          <w:rFonts w:ascii="Arial" w:hAnsi="Arial" w:cs="Arial"/>
          <w:sz w:val="22"/>
          <w:szCs w:val="22"/>
        </w:rPr>
        <w:tab/>
      </w:r>
      <w:r w:rsidRPr="007C3AE9">
        <w:rPr>
          <w:rFonts w:ascii="Arial" w:hAnsi="Arial" w:cs="Arial"/>
          <w:sz w:val="22"/>
          <w:szCs w:val="22"/>
        </w:rPr>
        <w:t xml:space="preserve">heritable pulmonary arterial hypertension </w:t>
      </w:r>
    </w:p>
    <w:p w:rsidR="00AB31D6" w:rsidRPr="007C3AE9" w:rsidRDefault="00AB31D6" w:rsidP="00FA5AF7">
      <w:pPr>
        <w:pStyle w:val="Default"/>
        <w:ind w:left="1560" w:hanging="426"/>
        <w:jc w:val="both"/>
        <w:rPr>
          <w:rFonts w:ascii="Arial" w:hAnsi="Arial" w:cs="Arial"/>
          <w:sz w:val="22"/>
          <w:szCs w:val="22"/>
        </w:rPr>
      </w:pPr>
      <w:r w:rsidRPr="007C3AE9">
        <w:rPr>
          <w:rFonts w:ascii="Arial" w:hAnsi="Arial" w:cs="Arial"/>
          <w:sz w:val="22"/>
          <w:szCs w:val="22"/>
        </w:rPr>
        <w:t xml:space="preserve">• </w:t>
      </w:r>
      <w:r w:rsidR="00FA5AF7" w:rsidRPr="007C3AE9">
        <w:rPr>
          <w:rFonts w:ascii="Arial" w:hAnsi="Arial" w:cs="Arial"/>
          <w:sz w:val="22"/>
          <w:szCs w:val="22"/>
        </w:rPr>
        <w:tab/>
      </w:r>
      <w:r w:rsidRPr="007C3AE9">
        <w:rPr>
          <w:rFonts w:ascii="Arial" w:hAnsi="Arial" w:cs="Arial"/>
          <w:sz w:val="22"/>
          <w:szCs w:val="22"/>
        </w:rPr>
        <w:t xml:space="preserve">pulmonary arterial hypertension associated with connective tissue disease </w:t>
      </w:r>
    </w:p>
    <w:p w:rsidR="00DB65ED" w:rsidRPr="007C3AE9" w:rsidRDefault="00AB31D6" w:rsidP="00DB65ED">
      <w:pPr>
        <w:pStyle w:val="Default"/>
        <w:ind w:left="1560" w:hanging="426"/>
        <w:jc w:val="both"/>
        <w:rPr>
          <w:rFonts w:ascii="Arial" w:hAnsi="Arial" w:cs="Arial"/>
          <w:sz w:val="22"/>
          <w:szCs w:val="22"/>
        </w:rPr>
      </w:pPr>
      <w:r w:rsidRPr="007C3AE9">
        <w:rPr>
          <w:rFonts w:ascii="Arial" w:hAnsi="Arial" w:cs="Arial"/>
          <w:sz w:val="22"/>
          <w:szCs w:val="22"/>
        </w:rPr>
        <w:t xml:space="preserve">• </w:t>
      </w:r>
      <w:r w:rsidR="00FA5AF7" w:rsidRPr="007C3AE9">
        <w:rPr>
          <w:rFonts w:ascii="Arial" w:hAnsi="Arial" w:cs="Arial"/>
          <w:sz w:val="22"/>
          <w:szCs w:val="22"/>
        </w:rPr>
        <w:tab/>
      </w:r>
      <w:r w:rsidRPr="007C3AE9">
        <w:rPr>
          <w:rFonts w:ascii="Arial" w:hAnsi="Arial" w:cs="Arial"/>
          <w:sz w:val="22"/>
          <w:szCs w:val="22"/>
        </w:rPr>
        <w:t xml:space="preserve">pulmonary arterial hypertension associated with congenital heart disease with repaired shunts12/19 </w:t>
      </w:r>
    </w:p>
    <w:p w:rsidR="00AB31D6" w:rsidRPr="007C3AE9" w:rsidRDefault="00AB31D6" w:rsidP="00DB65ED">
      <w:pPr>
        <w:pStyle w:val="Default"/>
        <w:ind w:left="1560" w:hanging="426"/>
        <w:jc w:val="both"/>
        <w:rPr>
          <w:rFonts w:ascii="Arial" w:hAnsi="Arial" w:cs="Arial"/>
          <w:sz w:val="22"/>
          <w:szCs w:val="22"/>
        </w:rPr>
      </w:pPr>
      <w:r w:rsidRPr="007C3AE9">
        <w:rPr>
          <w:rFonts w:ascii="Arial" w:hAnsi="Arial" w:cs="Arial"/>
          <w:sz w:val="22"/>
          <w:szCs w:val="22"/>
        </w:rPr>
        <w:t xml:space="preserve">• </w:t>
      </w:r>
      <w:r w:rsidR="00FA5AF7" w:rsidRPr="007C3AE9">
        <w:rPr>
          <w:rFonts w:ascii="Arial" w:hAnsi="Arial" w:cs="Arial"/>
          <w:sz w:val="22"/>
          <w:szCs w:val="22"/>
        </w:rPr>
        <w:tab/>
      </w:r>
      <w:r w:rsidRPr="007C3AE9">
        <w:rPr>
          <w:rFonts w:ascii="Arial" w:hAnsi="Arial" w:cs="Arial"/>
          <w:sz w:val="22"/>
          <w:szCs w:val="22"/>
        </w:rPr>
        <w:t>pulmonary arterial hypertension associated with drugs and toxins</w:t>
      </w:r>
    </w:p>
    <w:p w:rsidR="00AB31D6" w:rsidRPr="007C3AE9" w:rsidRDefault="00291568" w:rsidP="00FA5AF7">
      <w:pPr>
        <w:pStyle w:val="Default"/>
        <w:ind w:left="1560" w:hanging="120"/>
        <w:rPr>
          <w:rFonts w:ascii="Arial" w:hAnsi="Arial" w:cs="Arial"/>
          <w:sz w:val="22"/>
          <w:szCs w:val="22"/>
        </w:rPr>
      </w:pPr>
      <w:r>
        <w:rPr>
          <w:rFonts w:ascii="Arial" w:hAnsi="Arial" w:cs="Arial"/>
          <w:sz w:val="22"/>
          <w:szCs w:val="22"/>
        </w:rPr>
        <w:t xml:space="preserve">  </w:t>
      </w:r>
      <w:r w:rsidR="00AB31D6" w:rsidRPr="007C3AE9">
        <w:rPr>
          <w:rFonts w:ascii="Arial" w:hAnsi="Arial" w:cs="Arial"/>
          <w:sz w:val="22"/>
          <w:szCs w:val="22"/>
        </w:rPr>
        <w:t xml:space="preserve">in patients with WHO functional class II, III or IV symptoms. </w:t>
      </w:r>
    </w:p>
    <w:p w:rsidR="00AB31D6" w:rsidRPr="007C3AE9" w:rsidRDefault="00AB31D6" w:rsidP="00AB31D6">
      <w:pPr>
        <w:pStyle w:val="Default"/>
        <w:rPr>
          <w:sz w:val="22"/>
          <w:szCs w:val="22"/>
        </w:rPr>
      </w:pPr>
    </w:p>
    <w:p w:rsidR="00EF2C5A" w:rsidRPr="007C3AE9" w:rsidRDefault="00AB31D6" w:rsidP="00FA5AF7">
      <w:pPr>
        <w:widowControl/>
        <w:ind w:left="709"/>
        <w:rPr>
          <w:szCs w:val="22"/>
        </w:rPr>
      </w:pPr>
      <w:r w:rsidRPr="007C3AE9">
        <w:rPr>
          <w:szCs w:val="22"/>
        </w:rPr>
        <w:t>UPTRAVI is effective in combination with an endothelin receptor antagonist (ERA) or a phosphodiesterase-5 (PDE-5) inhibitor, or in triple combination with an ERA and a PDE-</w:t>
      </w:r>
      <w:r w:rsidR="00DE38F7">
        <w:rPr>
          <w:szCs w:val="22"/>
        </w:rPr>
        <w:t>5 inhibitor, or as monotherapy.</w:t>
      </w:r>
    </w:p>
    <w:p w:rsidR="00B60939" w:rsidRPr="007C3AE9" w:rsidRDefault="00B60939" w:rsidP="00B60939">
      <w:pPr>
        <w:pStyle w:val="ListParagraph"/>
        <w:rPr>
          <w:szCs w:val="22"/>
        </w:rPr>
      </w:pPr>
    </w:p>
    <w:p w:rsidR="002C2775" w:rsidRPr="007C3AE9" w:rsidRDefault="00F74FAA" w:rsidP="00590A3C">
      <w:pPr>
        <w:pStyle w:val="ListParagraph"/>
        <w:widowControl/>
        <w:numPr>
          <w:ilvl w:val="1"/>
          <w:numId w:val="2"/>
        </w:numPr>
        <w:rPr>
          <w:szCs w:val="22"/>
        </w:rPr>
      </w:pPr>
      <w:r w:rsidRPr="007C3AE9">
        <w:rPr>
          <w:szCs w:val="22"/>
        </w:rPr>
        <w:t xml:space="preserve">This </w:t>
      </w:r>
      <w:r w:rsidR="00D55BD3" w:rsidRPr="007C3AE9">
        <w:rPr>
          <w:szCs w:val="22"/>
        </w:rPr>
        <w:t>wa</w:t>
      </w:r>
      <w:r w:rsidRPr="007C3AE9">
        <w:rPr>
          <w:szCs w:val="22"/>
        </w:rPr>
        <w:t xml:space="preserve">s the first submission to the PBAC for listing of selexipag </w:t>
      </w:r>
      <w:r w:rsidR="005160E0" w:rsidRPr="007C3AE9">
        <w:rPr>
          <w:szCs w:val="22"/>
        </w:rPr>
        <w:t xml:space="preserve">for </w:t>
      </w:r>
      <w:r w:rsidRPr="007C3AE9">
        <w:rPr>
          <w:szCs w:val="22"/>
        </w:rPr>
        <w:t>treatment of PAH</w:t>
      </w:r>
      <w:r w:rsidR="003272F4" w:rsidRPr="007C3AE9">
        <w:rPr>
          <w:szCs w:val="22"/>
        </w:rPr>
        <w:t xml:space="preserve">. </w:t>
      </w:r>
      <w:r w:rsidR="005160E0" w:rsidRPr="007C3AE9">
        <w:rPr>
          <w:szCs w:val="22"/>
        </w:rPr>
        <w:t>The submission request</w:t>
      </w:r>
      <w:r w:rsidR="00D55BD3" w:rsidRPr="007C3AE9">
        <w:rPr>
          <w:szCs w:val="22"/>
        </w:rPr>
        <w:t>ed</w:t>
      </w:r>
      <w:r w:rsidR="005160E0" w:rsidRPr="007C3AE9">
        <w:rPr>
          <w:szCs w:val="22"/>
        </w:rPr>
        <w:t xml:space="preserve"> listing of selexipag as add-on treatment in PAH patients who are already receiving a PBS-subsidised PAH agent, i.e. it reques</w:t>
      </w:r>
      <w:r w:rsidR="00D55BD3" w:rsidRPr="007C3AE9">
        <w:rPr>
          <w:szCs w:val="22"/>
        </w:rPr>
        <w:t>ted PBS-</w:t>
      </w:r>
      <w:r w:rsidR="005160E0" w:rsidRPr="007C3AE9">
        <w:rPr>
          <w:szCs w:val="22"/>
        </w:rPr>
        <w:t>subsidy for combination therapy.</w:t>
      </w:r>
    </w:p>
    <w:p w:rsidR="00FC4BE7" w:rsidRDefault="00FC4BE7" w:rsidP="00FC4BE7">
      <w:pPr>
        <w:pStyle w:val="ListParagraph"/>
        <w:widowControl/>
        <w:rPr>
          <w:szCs w:val="22"/>
        </w:rPr>
      </w:pPr>
    </w:p>
    <w:p w:rsidR="005160E0" w:rsidRPr="00F4213A" w:rsidRDefault="00FC4BE7" w:rsidP="00590A3C">
      <w:pPr>
        <w:pStyle w:val="ListParagraph"/>
        <w:widowControl/>
        <w:numPr>
          <w:ilvl w:val="1"/>
          <w:numId w:val="2"/>
        </w:numPr>
        <w:rPr>
          <w:szCs w:val="22"/>
        </w:rPr>
      </w:pPr>
      <w:r w:rsidRPr="00F4213A">
        <w:rPr>
          <w:szCs w:val="22"/>
        </w:rPr>
        <w:t xml:space="preserve">As of </w:t>
      </w:r>
      <w:r w:rsidR="00D55BD3" w:rsidRPr="00F4213A">
        <w:rPr>
          <w:szCs w:val="22"/>
        </w:rPr>
        <w:t>January 2016</w:t>
      </w:r>
      <w:r w:rsidRPr="00F4213A">
        <w:rPr>
          <w:szCs w:val="22"/>
        </w:rPr>
        <w:t xml:space="preserve">, PBS subsidy was available for the following medicines specifically for WHO FC III and/or IV PAH: bosentan, iloprost, epoprostenol, sildenafil, ambrisentan, tadalafil and macitentan. </w:t>
      </w:r>
      <w:r w:rsidR="00D55BD3" w:rsidRPr="00F4213A">
        <w:rPr>
          <w:szCs w:val="22"/>
        </w:rPr>
        <w:t>Under the current restrictions for PAH drugs</w:t>
      </w:r>
      <w:r w:rsidRPr="00F4213A">
        <w:rPr>
          <w:szCs w:val="22"/>
        </w:rPr>
        <w:t>, patients are only eligible for PBS subsidised treatment with one PAH agent at any time</w:t>
      </w:r>
      <w:r w:rsidR="0065433C">
        <w:rPr>
          <w:szCs w:val="22"/>
        </w:rPr>
        <w:t>.</w:t>
      </w:r>
    </w:p>
    <w:p w:rsidR="00654F8D" w:rsidRPr="00F4213A" w:rsidRDefault="00654F8D" w:rsidP="00654F8D">
      <w:pPr>
        <w:pStyle w:val="ListParagraph"/>
        <w:widowControl/>
        <w:rPr>
          <w:szCs w:val="22"/>
        </w:rPr>
      </w:pPr>
    </w:p>
    <w:p w:rsidR="00654F8D" w:rsidRPr="00654F8D" w:rsidRDefault="00654F8D" w:rsidP="00590A3C">
      <w:pPr>
        <w:pStyle w:val="ListParagraph"/>
        <w:widowControl/>
        <w:numPr>
          <w:ilvl w:val="1"/>
          <w:numId w:val="2"/>
        </w:numPr>
        <w:rPr>
          <w:szCs w:val="22"/>
        </w:rPr>
      </w:pPr>
      <w:r>
        <w:rPr>
          <w:szCs w:val="22"/>
        </w:rPr>
        <w:t xml:space="preserve">In February 2015 </w:t>
      </w:r>
      <w:r w:rsidR="00DE40E2">
        <w:rPr>
          <w:szCs w:val="22"/>
        </w:rPr>
        <w:t xml:space="preserve">the </w:t>
      </w:r>
      <w:r>
        <w:rPr>
          <w:szCs w:val="22"/>
        </w:rPr>
        <w:t xml:space="preserve">Drug Utilisation Sub-Committee (DUSC) </w:t>
      </w:r>
      <w:r w:rsidR="00DE40E2">
        <w:rPr>
          <w:szCs w:val="22"/>
        </w:rPr>
        <w:t xml:space="preserve">conducted a PAH medicines </w:t>
      </w:r>
      <w:r w:rsidR="00DE40E2" w:rsidRPr="00654F8D">
        <w:rPr>
          <w:szCs w:val="22"/>
        </w:rPr>
        <w:t>utilisation analysis</w:t>
      </w:r>
      <w:r w:rsidR="00DE40E2">
        <w:rPr>
          <w:szCs w:val="22"/>
        </w:rPr>
        <w:t xml:space="preserve"> (Item 7.3 DUSC February 2015). T</w:t>
      </w:r>
      <w:r w:rsidRPr="00654F8D">
        <w:rPr>
          <w:szCs w:val="22"/>
        </w:rPr>
        <w:t>he DUSC considered that t</w:t>
      </w:r>
      <w:r w:rsidRPr="00654F8D">
        <w:t xml:space="preserve">he PBS restriction for PAH agents </w:t>
      </w:r>
      <w:r w:rsidR="00D55BD3">
        <w:t>was</w:t>
      </w:r>
      <w:r w:rsidRPr="00654F8D">
        <w:t xml:space="preserve"> not consistent with current treatment guidelines in that;</w:t>
      </w:r>
    </w:p>
    <w:p w:rsidR="00654F8D" w:rsidRPr="003272F4" w:rsidRDefault="00DE40E2" w:rsidP="00590A3C">
      <w:pPr>
        <w:pStyle w:val="minutesdotpoint"/>
        <w:numPr>
          <w:ilvl w:val="0"/>
          <w:numId w:val="9"/>
        </w:numPr>
        <w:spacing w:after="0"/>
        <w:ind w:left="1418"/>
        <w:rPr>
          <w:rFonts w:ascii="Arial" w:hAnsi="Arial" w:cs="Arial"/>
        </w:rPr>
      </w:pPr>
      <w:r>
        <w:rPr>
          <w:rFonts w:ascii="Arial" w:hAnsi="Arial" w:cs="Arial"/>
        </w:rPr>
        <w:t>I</w:t>
      </w:r>
      <w:r w:rsidR="00654F8D" w:rsidRPr="00654F8D">
        <w:rPr>
          <w:rFonts w:ascii="Arial" w:hAnsi="Arial" w:cs="Arial"/>
        </w:rPr>
        <w:t>t require</w:t>
      </w:r>
      <w:r w:rsidR="00D55BD3">
        <w:rPr>
          <w:rFonts w:ascii="Arial" w:hAnsi="Arial" w:cs="Arial"/>
        </w:rPr>
        <w:t>d</w:t>
      </w:r>
      <w:r w:rsidR="00654F8D" w:rsidRPr="00654F8D">
        <w:rPr>
          <w:rFonts w:ascii="Arial" w:hAnsi="Arial" w:cs="Arial"/>
        </w:rPr>
        <w:t xml:space="preserve"> failure to respond to 6 or more weeks of appropriate vasodilator treatment for WHO </w:t>
      </w:r>
      <w:r w:rsidR="000540FF">
        <w:rPr>
          <w:rFonts w:ascii="Arial" w:hAnsi="Arial" w:cs="Arial"/>
        </w:rPr>
        <w:t>FC</w:t>
      </w:r>
      <w:r w:rsidR="00654F8D" w:rsidRPr="00654F8D">
        <w:rPr>
          <w:rFonts w:ascii="Arial" w:hAnsi="Arial" w:cs="Arial"/>
        </w:rPr>
        <w:t xml:space="preserve"> III patients with a mean right atrial pressure of 8 mmHg or less; </w:t>
      </w:r>
    </w:p>
    <w:p w:rsidR="00654F8D" w:rsidRPr="003272F4" w:rsidRDefault="00DE40E2" w:rsidP="00590A3C">
      <w:pPr>
        <w:pStyle w:val="minutesdotpoint"/>
        <w:numPr>
          <w:ilvl w:val="0"/>
          <w:numId w:val="9"/>
        </w:numPr>
        <w:spacing w:after="0"/>
        <w:ind w:left="1418"/>
        <w:rPr>
          <w:rFonts w:ascii="Arial" w:hAnsi="Arial" w:cs="Arial"/>
        </w:rPr>
      </w:pPr>
      <w:r>
        <w:rPr>
          <w:rFonts w:ascii="Arial" w:hAnsi="Arial" w:cs="Arial"/>
        </w:rPr>
        <w:t>I</w:t>
      </w:r>
      <w:r w:rsidR="00654F8D" w:rsidRPr="00654F8D">
        <w:rPr>
          <w:rFonts w:ascii="Arial" w:hAnsi="Arial" w:cs="Arial"/>
        </w:rPr>
        <w:t>t d</w:t>
      </w:r>
      <w:r w:rsidR="00D55BD3">
        <w:rPr>
          <w:rFonts w:ascii="Arial" w:hAnsi="Arial" w:cs="Arial"/>
        </w:rPr>
        <w:t>id</w:t>
      </w:r>
      <w:r w:rsidR="00654F8D" w:rsidRPr="00654F8D">
        <w:rPr>
          <w:rFonts w:ascii="Arial" w:hAnsi="Arial" w:cs="Arial"/>
        </w:rPr>
        <w:t xml:space="preserve"> not allow treatment of </w:t>
      </w:r>
      <w:r w:rsidR="005E129A">
        <w:rPr>
          <w:rFonts w:ascii="Arial" w:hAnsi="Arial" w:cs="Arial"/>
        </w:rPr>
        <w:t xml:space="preserve">WHO </w:t>
      </w:r>
      <w:r w:rsidR="00654F8D" w:rsidRPr="00654F8D">
        <w:rPr>
          <w:rFonts w:ascii="Arial" w:hAnsi="Arial" w:cs="Arial"/>
        </w:rPr>
        <w:t>FC II patients; and</w:t>
      </w:r>
    </w:p>
    <w:p w:rsidR="00654F8D" w:rsidRPr="003272F4" w:rsidRDefault="00DE40E2" w:rsidP="00590A3C">
      <w:pPr>
        <w:pStyle w:val="minutesdotpoint"/>
        <w:numPr>
          <w:ilvl w:val="0"/>
          <w:numId w:val="9"/>
        </w:numPr>
        <w:spacing w:after="0"/>
        <w:ind w:left="1418"/>
        <w:rPr>
          <w:rFonts w:ascii="Arial" w:hAnsi="Arial" w:cs="Arial"/>
        </w:rPr>
      </w:pPr>
      <w:r>
        <w:rPr>
          <w:rFonts w:ascii="Arial" w:hAnsi="Arial" w:cs="Arial"/>
        </w:rPr>
        <w:t>I</w:t>
      </w:r>
      <w:r w:rsidR="00654F8D" w:rsidRPr="00654F8D">
        <w:rPr>
          <w:rFonts w:ascii="Arial" w:hAnsi="Arial" w:cs="Arial"/>
        </w:rPr>
        <w:t>t d</w:t>
      </w:r>
      <w:r w:rsidR="00D55BD3">
        <w:rPr>
          <w:rFonts w:ascii="Arial" w:hAnsi="Arial" w:cs="Arial"/>
        </w:rPr>
        <w:t>id</w:t>
      </w:r>
      <w:r w:rsidR="00654F8D" w:rsidRPr="00654F8D">
        <w:rPr>
          <w:rFonts w:ascii="Arial" w:hAnsi="Arial" w:cs="Arial"/>
        </w:rPr>
        <w:t xml:space="preserve"> not allow combination therapy.</w:t>
      </w:r>
    </w:p>
    <w:p w:rsidR="00654F8D" w:rsidRDefault="00654F8D" w:rsidP="00654F8D">
      <w:pPr>
        <w:pStyle w:val="ListParagraph"/>
        <w:widowControl/>
        <w:rPr>
          <w:szCs w:val="22"/>
        </w:rPr>
      </w:pPr>
    </w:p>
    <w:p w:rsidR="005E129A" w:rsidRPr="005E129A" w:rsidRDefault="005E129A" w:rsidP="00590A3C">
      <w:pPr>
        <w:pStyle w:val="ListParagraph"/>
        <w:widowControl/>
        <w:numPr>
          <w:ilvl w:val="1"/>
          <w:numId w:val="2"/>
        </w:numPr>
        <w:rPr>
          <w:szCs w:val="22"/>
        </w:rPr>
      </w:pPr>
      <w:r>
        <w:rPr>
          <w:szCs w:val="22"/>
        </w:rPr>
        <w:t>The</w:t>
      </w:r>
      <w:r w:rsidRPr="005E129A">
        <w:rPr>
          <w:szCs w:val="22"/>
        </w:rPr>
        <w:t xml:space="preserve"> PBAC </w:t>
      </w:r>
      <w:r>
        <w:rPr>
          <w:szCs w:val="22"/>
        </w:rPr>
        <w:t xml:space="preserve">previously </w:t>
      </w:r>
      <w:r w:rsidRPr="005E129A">
        <w:rPr>
          <w:szCs w:val="22"/>
        </w:rPr>
        <w:t xml:space="preserve">considered that there were a number of issues around use of PAH agents that could not be assessed within the scope of the submission, including: </w:t>
      </w:r>
    </w:p>
    <w:p w:rsidR="005E129A" w:rsidRPr="00DE40E2" w:rsidRDefault="005E129A" w:rsidP="00590A3C">
      <w:pPr>
        <w:pStyle w:val="minutesdotpoint"/>
        <w:numPr>
          <w:ilvl w:val="0"/>
          <w:numId w:val="9"/>
        </w:numPr>
        <w:spacing w:after="0"/>
        <w:ind w:left="1418"/>
        <w:rPr>
          <w:rFonts w:ascii="Arial" w:hAnsi="Arial" w:cs="Arial"/>
        </w:rPr>
      </w:pPr>
      <w:r w:rsidRPr="00DE40E2">
        <w:rPr>
          <w:rFonts w:ascii="Arial" w:hAnsi="Arial" w:cs="Arial"/>
        </w:rPr>
        <w:t xml:space="preserve">The lack of evidence to support cost-effectiveness of combination therapy of PAH agents, as is claimed to occur in practice (currently only one PBS-subsidised PAH agent may be used at a time); and </w:t>
      </w:r>
    </w:p>
    <w:p w:rsidR="005E129A" w:rsidRPr="00DE40E2" w:rsidRDefault="005E129A" w:rsidP="00590A3C">
      <w:pPr>
        <w:pStyle w:val="minutesdotpoint"/>
        <w:numPr>
          <w:ilvl w:val="0"/>
          <w:numId w:val="9"/>
        </w:numPr>
        <w:spacing w:after="0"/>
        <w:ind w:left="1418"/>
        <w:rPr>
          <w:rFonts w:ascii="Arial" w:hAnsi="Arial" w:cs="Arial"/>
        </w:rPr>
      </w:pPr>
      <w:r w:rsidRPr="00DE40E2">
        <w:rPr>
          <w:rFonts w:ascii="Arial" w:hAnsi="Arial" w:cs="Arial"/>
        </w:rPr>
        <w:t>The lack of evidence to support cost-effectiveness for use in New York Heart Association Functional class (NYHA FC) II patients; and</w:t>
      </w:r>
    </w:p>
    <w:p w:rsidR="005E129A" w:rsidRPr="00DE40E2" w:rsidRDefault="005E129A" w:rsidP="00590A3C">
      <w:pPr>
        <w:pStyle w:val="minutesdotpoint"/>
        <w:numPr>
          <w:ilvl w:val="0"/>
          <w:numId w:val="9"/>
        </w:numPr>
        <w:spacing w:after="0"/>
        <w:ind w:left="1418"/>
        <w:rPr>
          <w:rFonts w:ascii="Arial" w:hAnsi="Arial" w:cs="Arial"/>
        </w:rPr>
      </w:pPr>
      <w:r w:rsidRPr="00DE40E2">
        <w:rPr>
          <w:rFonts w:ascii="Arial" w:hAnsi="Arial" w:cs="Arial"/>
        </w:rPr>
        <w:t>The difficulty in identifying the population of patients who derive the most benefit from these agents.</w:t>
      </w:r>
    </w:p>
    <w:p w:rsidR="005160E0" w:rsidRDefault="005160E0" w:rsidP="005E129A">
      <w:pPr>
        <w:widowControl/>
        <w:ind w:left="709"/>
        <w:rPr>
          <w:bCs/>
          <w:szCs w:val="22"/>
          <w:lang w:val="en-GB"/>
        </w:rPr>
      </w:pPr>
    </w:p>
    <w:p w:rsidR="005E129A" w:rsidRDefault="005E129A" w:rsidP="005E129A">
      <w:pPr>
        <w:widowControl/>
        <w:ind w:left="709"/>
        <w:rPr>
          <w:bCs/>
          <w:szCs w:val="22"/>
          <w:lang w:val="en-GB"/>
        </w:rPr>
      </w:pPr>
      <w:r w:rsidRPr="00DE40E2">
        <w:rPr>
          <w:bCs/>
          <w:szCs w:val="22"/>
          <w:lang w:val="en-GB"/>
        </w:rPr>
        <w:t>In this regard, the PBAC recommended that a Post-Market Review of the efficacy and cost</w:t>
      </w:r>
      <w:r w:rsidR="00D55BD3">
        <w:rPr>
          <w:bCs/>
          <w:szCs w:val="22"/>
          <w:lang w:val="en-GB"/>
        </w:rPr>
        <w:t>-</w:t>
      </w:r>
      <w:r w:rsidRPr="00DE40E2">
        <w:rPr>
          <w:bCs/>
          <w:szCs w:val="22"/>
          <w:lang w:val="en-GB"/>
        </w:rPr>
        <w:t>effectiveness of agents for the treatment of PAH, including the existing listing for class III and class IV patients, and the additional clinical place of these therapies recommended in international guidelines</w:t>
      </w:r>
      <w:r>
        <w:rPr>
          <w:bCs/>
          <w:szCs w:val="22"/>
          <w:lang w:val="en-GB"/>
        </w:rPr>
        <w:t xml:space="preserve"> (Item 6.8 Bosentan</w:t>
      </w:r>
      <w:r w:rsidR="00F117C1">
        <w:rPr>
          <w:bCs/>
          <w:szCs w:val="22"/>
          <w:lang w:val="en-GB"/>
        </w:rPr>
        <w:t>,</w:t>
      </w:r>
      <w:r w:rsidRPr="005E129A">
        <w:rPr>
          <w:bCs/>
          <w:szCs w:val="22"/>
          <w:lang w:val="en-GB"/>
        </w:rPr>
        <w:t xml:space="preserve"> </w:t>
      </w:r>
      <w:r>
        <w:rPr>
          <w:bCs/>
          <w:szCs w:val="22"/>
          <w:lang w:val="en-GB"/>
        </w:rPr>
        <w:t>epoprostenol and macitentan Public Summary Document (PSD), July 2015 PBAC Meeting)</w:t>
      </w:r>
      <w:r w:rsidRPr="00DE40E2">
        <w:rPr>
          <w:bCs/>
          <w:szCs w:val="22"/>
          <w:lang w:val="en-GB"/>
        </w:rPr>
        <w:t>.</w:t>
      </w:r>
    </w:p>
    <w:p w:rsidR="005E129A" w:rsidRDefault="005E129A" w:rsidP="00654F8D">
      <w:pPr>
        <w:pStyle w:val="ListParagraph"/>
        <w:widowControl/>
        <w:rPr>
          <w:szCs w:val="22"/>
        </w:rPr>
      </w:pPr>
    </w:p>
    <w:p w:rsidR="00654F8D" w:rsidRDefault="00654F8D" w:rsidP="00590A3C">
      <w:pPr>
        <w:pStyle w:val="ListParagraph"/>
        <w:widowControl/>
        <w:numPr>
          <w:ilvl w:val="1"/>
          <w:numId w:val="2"/>
        </w:numPr>
        <w:rPr>
          <w:szCs w:val="22"/>
        </w:rPr>
      </w:pPr>
      <w:r>
        <w:rPr>
          <w:szCs w:val="22"/>
        </w:rPr>
        <w:lastRenderedPageBreak/>
        <w:t xml:space="preserve">In July 2015, a minor submission to the PBAC requested changes to the current ‘continuing treatment’ restriction of </w:t>
      </w:r>
      <w:r w:rsidR="005E129A">
        <w:rPr>
          <w:szCs w:val="22"/>
        </w:rPr>
        <w:t>bosentan, epoprostenol and macitent</w:t>
      </w:r>
      <w:r w:rsidR="003272F4">
        <w:rPr>
          <w:szCs w:val="22"/>
        </w:rPr>
        <w:t>an</w:t>
      </w:r>
      <w:r>
        <w:rPr>
          <w:szCs w:val="22"/>
        </w:rPr>
        <w:t xml:space="preserve"> to remove the requirement </w:t>
      </w:r>
      <w:r w:rsidR="00DE40E2">
        <w:rPr>
          <w:szCs w:val="22"/>
        </w:rPr>
        <w:t xml:space="preserve">that: </w:t>
      </w:r>
    </w:p>
    <w:p w:rsidR="00DE40E2" w:rsidRDefault="00DE40E2" w:rsidP="00590A3C">
      <w:pPr>
        <w:pStyle w:val="ListParagraph"/>
        <w:widowControl/>
        <w:numPr>
          <w:ilvl w:val="0"/>
          <w:numId w:val="8"/>
        </w:numPr>
        <w:rPr>
          <w:szCs w:val="22"/>
        </w:rPr>
      </w:pPr>
      <w:r>
        <w:rPr>
          <w:szCs w:val="22"/>
        </w:rPr>
        <w:t xml:space="preserve">The patient must have been assessed as having achieved a response to their most recent course of treatment; and </w:t>
      </w:r>
    </w:p>
    <w:p w:rsidR="00DE40E2" w:rsidRDefault="00DE40E2" w:rsidP="00590A3C">
      <w:pPr>
        <w:pStyle w:val="ListParagraph"/>
        <w:widowControl/>
        <w:numPr>
          <w:ilvl w:val="0"/>
          <w:numId w:val="8"/>
        </w:numPr>
        <w:rPr>
          <w:szCs w:val="22"/>
        </w:rPr>
      </w:pPr>
      <w:r>
        <w:rPr>
          <w:szCs w:val="22"/>
        </w:rPr>
        <w:t>Clinicians must provide evidence that a patient has been assessed as having achieved response when wanting to prescribe continued treatment.</w:t>
      </w:r>
    </w:p>
    <w:p w:rsidR="005E129A" w:rsidRDefault="005E129A" w:rsidP="005E129A">
      <w:pPr>
        <w:ind w:left="709"/>
      </w:pPr>
    </w:p>
    <w:p w:rsidR="00DE40E2" w:rsidRDefault="00DE40E2" w:rsidP="005E129A">
      <w:pPr>
        <w:ind w:left="709"/>
        <w:rPr>
          <w:szCs w:val="22"/>
        </w:rPr>
      </w:pPr>
      <w:r w:rsidRPr="00DE40E2">
        <w:t xml:space="preserve">The PBAC noted the submission’s claim that the current PBS continuing restriction </w:t>
      </w:r>
      <w:r w:rsidR="00D55BD3">
        <w:t>was</w:t>
      </w:r>
      <w:r w:rsidRPr="00DE40E2">
        <w:t xml:space="preserve"> inconsistent with best clinical practice</w:t>
      </w:r>
      <w:r w:rsidR="003272F4">
        <w:t xml:space="preserve"> </w:t>
      </w:r>
      <w:r w:rsidR="003272F4">
        <w:rPr>
          <w:bCs/>
          <w:szCs w:val="22"/>
          <w:lang w:val="en-GB"/>
        </w:rPr>
        <w:t>(Item 6.8 Bosentan</w:t>
      </w:r>
      <w:r w:rsidR="00F117C1">
        <w:rPr>
          <w:bCs/>
          <w:szCs w:val="22"/>
          <w:lang w:val="en-GB"/>
        </w:rPr>
        <w:t>,</w:t>
      </w:r>
      <w:r w:rsidR="003272F4" w:rsidRPr="005E129A">
        <w:rPr>
          <w:bCs/>
          <w:szCs w:val="22"/>
          <w:lang w:val="en-GB"/>
        </w:rPr>
        <w:t xml:space="preserve"> </w:t>
      </w:r>
      <w:r w:rsidR="003272F4">
        <w:rPr>
          <w:bCs/>
          <w:szCs w:val="22"/>
          <w:lang w:val="en-GB"/>
        </w:rPr>
        <w:t>epoprostenol and macitentan PSD, July 2015 PBAC Meeting)</w:t>
      </w:r>
      <w:r w:rsidR="003272F4" w:rsidRPr="00DE40E2">
        <w:rPr>
          <w:bCs/>
          <w:szCs w:val="22"/>
          <w:lang w:val="en-GB"/>
        </w:rPr>
        <w:t>.</w:t>
      </w:r>
      <w:r w:rsidR="003272F4">
        <w:t xml:space="preserve"> </w:t>
      </w:r>
      <w:r w:rsidR="005E129A" w:rsidRPr="005E129A">
        <w:t>The PBAC re</w:t>
      </w:r>
      <w:r w:rsidR="005E129A">
        <w:t xml:space="preserve">commended the following amendments to the PBS </w:t>
      </w:r>
      <w:r w:rsidR="003272F4">
        <w:t xml:space="preserve">restrictions for </w:t>
      </w:r>
      <w:r w:rsidR="003272F4">
        <w:rPr>
          <w:szCs w:val="22"/>
        </w:rPr>
        <w:t>bosentan, epoprostenol and macitentan:</w:t>
      </w:r>
    </w:p>
    <w:p w:rsidR="003272F4" w:rsidRDefault="003272F4" w:rsidP="00590A3C">
      <w:pPr>
        <w:pStyle w:val="minutesdotpoint"/>
        <w:numPr>
          <w:ilvl w:val="0"/>
          <w:numId w:val="9"/>
        </w:numPr>
        <w:spacing w:after="0"/>
        <w:ind w:left="1418"/>
        <w:rPr>
          <w:rFonts w:ascii="Arial" w:hAnsi="Arial" w:cs="Arial"/>
        </w:rPr>
      </w:pPr>
      <w:r w:rsidRPr="003272F4">
        <w:rPr>
          <w:rFonts w:ascii="Arial" w:hAnsi="Arial" w:cs="Arial"/>
        </w:rPr>
        <w:t>No changes to t</w:t>
      </w:r>
      <w:r>
        <w:rPr>
          <w:rFonts w:ascii="Arial" w:hAnsi="Arial" w:cs="Arial"/>
        </w:rPr>
        <w:t>he initial treatment restriction;</w:t>
      </w:r>
    </w:p>
    <w:p w:rsidR="003272F4" w:rsidRDefault="003272F4" w:rsidP="00590A3C">
      <w:pPr>
        <w:pStyle w:val="minutesdotpoint"/>
        <w:numPr>
          <w:ilvl w:val="0"/>
          <w:numId w:val="9"/>
        </w:numPr>
        <w:spacing w:after="0"/>
        <w:ind w:left="1418"/>
        <w:rPr>
          <w:rFonts w:ascii="Arial" w:hAnsi="Arial" w:cs="Arial"/>
        </w:rPr>
      </w:pPr>
      <w:r>
        <w:rPr>
          <w:rFonts w:ascii="Arial" w:hAnsi="Arial" w:cs="Arial"/>
        </w:rPr>
        <w:t>That the current “continuing treatment (all patients)” restriction be replaced by the following:</w:t>
      </w:r>
    </w:p>
    <w:p w:rsidR="005E129A" w:rsidRDefault="003272F4" w:rsidP="00590A3C">
      <w:pPr>
        <w:pStyle w:val="ListParagraph"/>
        <w:widowControl/>
        <w:numPr>
          <w:ilvl w:val="0"/>
          <w:numId w:val="10"/>
        </w:numPr>
        <w:ind w:left="1843"/>
        <w:rPr>
          <w:bCs/>
          <w:szCs w:val="22"/>
          <w:lang w:val="en-GB"/>
        </w:rPr>
      </w:pPr>
      <w:r w:rsidRPr="003272F4">
        <w:rPr>
          <w:bCs/>
          <w:szCs w:val="22"/>
          <w:lang w:val="en-GB"/>
        </w:rPr>
        <w:t>a “continuing treatment – new patient” phase (written authority), which would retain the same criteria as the existing “continuing” treatment restriction (i.e. patient will need to demonstrate a response to the initial course of treatment); and</w:t>
      </w:r>
    </w:p>
    <w:p w:rsidR="003272F4" w:rsidRDefault="003272F4" w:rsidP="00590A3C">
      <w:pPr>
        <w:pStyle w:val="ListParagraph"/>
        <w:widowControl/>
        <w:numPr>
          <w:ilvl w:val="0"/>
          <w:numId w:val="10"/>
        </w:numPr>
        <w:ind w:left="1843"/>
        <w:rPr>
          <w:bCs/>
          <w:szCs w:val="22"/>
          <w:lang w:val="en-GB"/>
        </w:rPr>
      </w:pPr>
      <w:r>
        <w:rPr>
          <w:bCs/>
          <w:szCs w:val="22"/>
          <w:lang w:val="en-GB"/>
        </w:rPr>
        <w:t>a “continuing treatment – beyond initial 48 weeks of treatment” phase (telephone authority), which would be as requested by the submission – an amended version of the current continuing treatment restriction, removing requirements to provide evidence of a response to the most recent course of treatment with the agent.</w:t>
      </w:r>
    </w:p>
    <w:p w:rsidR="00CA1D02" w:rsidRPr="006B0E7F" w:rsidRDefault="00CA1D02" w:rsidP="006B0E7F">
      <w:pPr>
        <w:widowControl/>
        <w:rPr>
          <w:bCs/>
          <w:szCs w:val="22"/>
          <w:lang w:val="en-GB"/>
        </w:rPr>
      </w:pPr>
    </w:p>
    <w:p w:rsidR="00754A8F" w:rsidRPr="00882085" w:rsidRDefault="00754A8F" w:rsidP="004B1CB4"/>
    <w:p w:rsidR="00B50DB8" w:rsidRPr="00407F2D" w:rsidRDefault="00B50DB8" w:rsidP="00BD6CF3">
      <w:pPr>
        <w:pStyle w:val="PBACHeading1"/>
      </w:pPr>
      <w:bookmarkStart w:id="4" w:name="_Toc440892678"/>
      <w:r w:rsidRPr="00407F2D">
        <w:t>Clinical place for the proposed therapy</w:t>
      </w:r>
      <w:bookmarkEnd w:id="4"/>
    </w:p>
    <w:p w:rsidR="00B60939" w:rsidRPr="00882085" w:rsidRDefault="00B60939" w:rsidP="00B60939">
      <w:pPr>
        <w:rPr>
          <w:szCs w:val="22"/>
        </w:rPr>
      </w:pPr>
    </w:p>
    <w:p w:rsidR="0065088A" w:rsidRPr="0065088A" w:rsidRDefault="00272BFD" w:rsidP="00590A3C">
      <w:pPr>
        <w:pStyle w:val="ListParagraph"/>
        <w:widowControl/>
        <w:numPr>
          <w:ilvl w:val="1"/>
          <w:numId w:val="2"/>
        </w:numPr>
        <w:rPr>
          <w:szCs w:val="22"/>
        </w:rPr>
      </w:pPr>
      <w:r w:rsidRPr="00272BFD">
        <w:t>PAH is a rare, severe</w:t>
      </w:r>
      <w:r>
        <w:t xml:space="preserve"> </w:t>
      </w:r>
      <w:r w:rsidR="00BB2D07">
        <w:t>progressive clinical condition characterised by a sustained elevation of pulmonary vascular resistance, which ultimately leads to right heart failure and death.</w:t>
      </w:r>
      <w:r w:rsidRPr="00272BFD">
        <w:t xml:space="preserve"> </w:t>
      </w:r>
    </w:p>
    <w:p w:rsidR="0065088A" w:rsidRDefault="0065088A" w:rsidP="0065088A">
      <w:pPr>
        <w:pStyle w:val="ListParagraph"/>
        <w:widowControl/>
      </w:pPr>
    </w:p>
    <w:p w:rsidR="0065088A" w:rsidRDefault="0065088A" w:rsidP="0065088A">
      <w:pPr>
        <w:pStyle w:val="ListParagraph"/>
        <w:widowControl/>
      </w:pPr>
      <w:r>
        <w:t>There are c</w:t>
      </w:r>
      <w:r w:rsidR="00BB2D07">
        <w:t xml:space="preserve">urrently </w:t>
      </w:r>
      <w:r>
        <w:t>three classes of</w:t>
      </w:r>
      <w:r w:rsidR="00BB2D07">
        <w:t xml:space="preserve"> PAH agents </w:t>
      </w:r>
      <w:r>
        <w:t xml:space="preserve">which </w:t>
      </w:r>
      <w:r w:rsidR="00BB2D07">
        <w:t xml:space="preserve">act by means of three </w:t>
      </w:r>
      <w:r>
        <w:t xml:space="preserve">different </w:t>
      </w:r>
      <w:r w:rsidR="00BB2D07">
        <w:t xml:space="preserve">mechanisms that target the </w:t>
      </w:r>
      <w:r>
        <w:t xml:space="preserve">mediators of the </w:t>
      </w:r>
      <w:r w:rsidR="00BB2D07">
        <w:t>main biologic pathways in the pathogenesis of PAH</w:t>
      </w:r>
      <w:r>
        <w:t xml:space="preserve">: </w:t>
      </w:r>
      <w:r w:rsidR="003A55CB">
        <w:t>ERAs</w:t>
      </w:r>
      <w:r>
        <w:t xml:space="preserve">, </w:t>
      </w:r>
      <w:r w:rsidR="003A55CB">
        <w:t>PDE-5</w:t>
      </w:r>
      <w:r>
        <w:t xml:space="preserve"> inhibitors, and prostacyclin analogues. In patients who have inadequate response to monotherapy, current clinical guidelines recommend using agents targeting the different pathways in sequential combination with each other</w:t>
      </w:r>
      <w:r w:rsidR="00C70FFD">
        <w:t xml:space="preserve"> (</w:t>
      </w:r>
      <w:r w:rsidR="00FD4829">
        <w:t xml:space="preserve">i.e. </w:t>
      </w:r>
      <w:r>
        <w:t>double or triple sequential combination therapy</w:t>
      </w:r>
      <w:r w:rsidR="00C70FFD">
        <w:t>).</w:t>
      </w:r>
    </w:p>
    <w:p w:rsidR="00B93D5C" w:rsidRDefault="00B93D5C" w:rsidP="0065088A">
      <w:pPr>
        <w:pStyle w:val="ListParagraph"/>
        <w:widowControl/>
      </w:pPr>
    </w:p>
    <w:p w:rsidR="00B93D5C" w:rsidRDefault="00B93D5C" w:rsidP="00590A3C">
      <w:pPr>
        <w:pStyle w:val="ListParagraph"/>
        <w:widowControl/>
        <w:numPr>
          <w:ilvl w:val="1"/>
          <w:numId w:val="2"/>
        </w:numPr>
      </w:pPr>
      <w:r>
        <w:t>The DUSC review of PAH noted that:</w:t>
      </w:r>
    </w:p>
    <w:p w:rsidR="00B93D5C" w:rsidRPr="00B93D5C" w:rsidRDefault="00B93D5C" w:rsidP="00590A3C">
      <w:pPr>
        <w:pStyle w:val="minutesdotpoint"/>
        <w:numPr>
          <w:ilvl w:val="0"/>
          <w:numId w:val="9"/>
        </w:numPr>
        <w:spacing w:after="0"/>
        <w:ind w:left="1418"/>
        <w:rPr>
          <w:rFonts w:ascii="Arial" w:hAnsi="Arial" w:cs="Arial"/>
        </w:rPr>
      </w:pPr>
      <w:r w:rsidRPr="00B93D5C">
        <w:rPr>
          <w:rFonts w:ascii="Arial" w:hAnsi="Arial" w:cs="Arial"/>
        </w:rPr>
        <w:t>Until mid-2014, bosentan was the most frequently prescribed first PAH medicine. Macitentan has become the most common medicine for new patients since it was listed on 1 September 2014; patients rarely initiate PAH therapy on iloprost or epoprostenol;</w:t>
      </w:r>
    </w:p>
    <w:p w:rsidR="00B93D5C" w:rsidRPr="00B93D5C" w:rsidRDefault="00B93D5C" w:rsidP="00590A3C">
      <w:pPr>
        <w:pStyle w:val="minutesdotpoint"/>
        <w:numPr>
          <w:ilvl w:val="0"/>
          <w:numId w:val="9"/>
        </w:numPr>
        <w:spacing w:after="0"/>
        <w:ind w:left="1418"/>
        <w:rPr>
          <w:rFonts w:ascii="Arial" w:hAnsi="Arial" w:cs="Arial"/>
        </w:rPr>
      </w:pPr>
      <w:r w:rsidRPr="00B93D5C">
        <w:rPr>
          <w:rFonts w:ascii="Arial" w:hAnsi="Arial" w:cs="Arial"/>
        </w:rPr>
        <w:t>In practice, combination therapy is achieved by adding low cost private script sildenafil</w:t>
      </w:r>
      <w:r w:rsidR="00C53A64">
        <w:rPr>
          <w:rFonts w:ascii="Arial" w:hAnsi="Arial" w:cs="Arial"/>
        </w:rPr>
        <w:t xml:space="preserve"> (a PDE-5 inhibitor)</w:t>
      </w:r>
      <w:r w:rsidRPr="00B93D5C">
        <w:rPr>
          <w:rFonts w:ascii="Arial" w:hAnsi="Arial" w:cs="Arial"/>
        </w:rPr>
        <w:t xml:space="preserve"> to another of the PBS subsidised drug</w:t>
      </w:r>
      <w:r w:rsidR="005F387E">
        <w:rPr>
          <w:rFonts w:ascii="Arial" w:hAnsi="Arial" w:cs="Arial"/>
        </w:rPr>
        <w:t>s</w:t>
      </w:r>
      <w:r w:rsidRPr="00B93D5C">
        <w:rPr>
          <w:rFonts w:ascii="Arial" w:hAnsi="Arial" w:cs="Arial"/>
        </w:rPr>
        <w:t>.</w:t>
      </w:r>
    </w:p>
    <w:p w:rsidR="0065088A" w:rsidRPr="0065088A" w:rsidRDefault="0065088A" w:rsidP="007170EE">
      <w:pPr>
        <w:pStyle w:val="BodyText"/>
      </w:pPr>
    </w:p>
    <w:p w:rsidR="00B73D08" w:rsidRPr="00F4213A" w:rsidRDefault="00C70FFD" w:rsidP="00590A3C">
      <w:pPr>
        <w:pStyle w:val="ListParagraph"/>
        <w:widowControl/>
        <w:numPr>
          <w:ilvl w:val="1"/>
          <w:numId w:val="2"/>
        </w:numPr>
      </w:pPr>
      <w:r w:rsidRPr="00F4213A">
        <w:t>The submission proposed PBS listing of selexipag for use as add-on therapy to ERAs or PDE-5 inhibitors</w:t>
      </w:r>
      <w:r w:rsidR="000A7AF4" w:rsidRPr="00F4213A">
        <w:t xml:space="preserve">, and </w:t>
      </w:r>
      <w:r w:rsidR="000F47DE" w:rsidRPr="00F4213A">
        <w:t>anticipated</w:t>
      </w:r>
      <w:r w:rsidR="000A7AF4" w:rsidRPr="00F4213A">
        <w:t xml:space="preserve"> that</w:t>
      </w:r>
      <w:r w:rsidR="00551BB7" w:rsidRPr="00F4213A">
        <w:t xml:space="preserve"> </w:t>
      </w:r>
      <w:r w:rsidRPr="00F4213A">
        <w:t>most of the use of selexipag would be in patients already on dual combination background therapy</w:t>
      </w:r>
      <w:r w:rsidR="000F47DE" w:rsidRPr="00F4213A">
        <w:t xml:space="preserve"> with an ERA and PDE-5 inhibitor</w:t>
      </w:r>
      <w:r w:rsidR="000A7AF4" w:rsidRPr="00F4213A">
        <w:t>.</w:t>
      </w:r>
      <w:r w:rsidR="00B73D08" w:rsidRPr="00F4213A">
        <w:t xml:space="preserve"> </w:t>
      </w:r>
      <w:r w:rsidR="000A7AF4" w:rsidRPr="00F4213A">
        <w:t xml:space="preserve">The requested listing for selexipag does not restrict the use of selexipag to </w:t>
      </w:r>
      <w:r w:rsidR="000A7AF4" w:rsidRPr="00F4213A">
        <w:lastRenderedPageBreak/>
        <w:t>triple-therapy, but also allows for its use as a component of dual therapy in combination with either an ERA or a PDE-5 inhibitor.</w:t>
      </w:r>
    </w:p>
    <w:p w:rsidR="006F6784" w:rsidRPr="00F4213A" w:rsidRDefault="006F6784" w:rsidP="006F6784">
      <w:pPr>
        <w:pStyle w:val="ListParagraph"/>
        <w:widowControl/>
      </w:pPr>
    </w:p>
    <w:p w:rsidR="00B670D8" w:rsidRPr="00F4213A" w:rsidRDefault="006F6784" w:rsidP="00590A3C">
      <w:pPr>
        <w:pStyle w:val="ListParagraph"/>
        <w:widowControl/>
        <w:numPr>
          <w:ilvl w:val="1"/>
          <w:numId w:val="2"/>
        </w:numPr>
      </w:pPr>
      <w:r w:rsidRPr="00F4213A">
        <w:t xml:space="preserve">If selexipag is recommended for listing, it would be the only PAH agent PBS-subsidised for </w:t>
      </w:r>
      <w:r w:rsidR="00074B38" w:rsidRPr="00F4213A">
        <w:t>combination therapy</w:t>
      </w:r>
      <w:r w:rsidRPr="00F4213A">
        <w:t>. As such, it may replace</w:t>
      </w:r>
      <w:r w:rsidR="007D52D5" w:rsidRPr="00F4213A">
        <w:t xml:space="preserve"> </w:t>
      </w:r>
      <w:r w:rsidRPr="00F4213A">
        <w:t xml:space="preserve">the use of </w:t>
      </w:r>
      <w:r w:rsidR="00074B38" w:rsidRPr="00F4213A">
        <w:t>a PDE-5 inhibitor (non-PBS subsidised)</w:t>
      </w:r>
      <w:r w:rsidRPr="00F4213A">
        <w:t xml:space="preserve"> as add-on therapy in patients who have </w:t>
      </w:r>
      <w:r w:rsidR="007A5CD9" w:rsidRPr="00F4213A">
        <w:t xml:space="preserve">a </w:t>
      </w:r>
      <w:r w:rsidRPr="00F4213A">
        <w:t>sub-optimal response to monotherapy with a</w:t>
      </w:r>
      <w:r w:rsidR="000F47DE" w:rsidRPr="00F4213A">
        <w:t>n</w:t>
      </w:r>
      <w:r w:rsidRPr="00F4213A">
        <w:t xml:space="preserve"> ERA</w:t>
      </w:r>
      <w:r w:rsidR="00074B38" w:rsidRPr="00F4213A">
        <w:t xml:space="preserve"> (PBS-subsidised), and vice-versa</w:t>
      </w:r>
      <w:r w:rsidRPr="00F4213A">
        <w:t xml:space="preserve">. </w:t>
      </w:r>
      <w:r w:rsidR="00074B38" w:rsidRPr="00F4213A">
        <w:t xml:space="preserve">Selexipag </w:t>
      </w:r>
      <w:r w:rsidRPr="00F4213A">
        <w:t>is also likely to replace m</w:t>
      </w:r>
      <w:r w:rsidR="00C53A64" w:rsidRPr="00F4213A">
        <w:t>uch</w:t>
      </w:r>
      <w:r w:rsidRPr="00F4213A">
        <w:t xml:space="preserve"> of the current use of iloprost and epoprostenol as add-on therapies to ERAs and/or PDE-5 inhibitors, as it would be the only PAH drug acting on the prostacyclin pathway that is available in tablet form.</w:t>
      </w:r>
      <w:r w:rsidR="00F70E87" w:rsidRPr="00F4213A">
        <w:t xml:space="preserve"> </w:t>
      </w:r>
    </w:p>
    <w:p w:rsidR="00B670D8" w:rsidRPr="00F4213A" w:rsidRDefault="00B670D8" w:rsidP="00B670D8">
      <w:pPr>
        <w:pStyle w:val="ListParagraph"/>
        <w:widowControl/>
      </w:pPr>
    </w:p>
    <w:p w:rsidR="006F6784" w:rsidRPr="004D5392" w:rsidRDefault="00F70E87" w:rsidP="00B670D8">
      <w:pPr>
        <w:pStyle w:val="ListParagraph"/>
        <w:widowControl/>
      </w:pPr>
      <w:r w:rsidRPr="00F4213A">
        <w:t xml:space="preserve">The </w:t>
      </w:r>
      <w:r w:rsidR="00700488" w:rsidRPr="00F4213A">
        <w:t xml:space="preserve">submission has not addressed the comparative </w:t>
      </w:r>
      <w:r w:rsidR="009949F5" w:rsidRPr="00F4213A">
        <w:t xml:space="preserve">safety and </w:t>
      </w:r>
      <w:r w:rsidRPr="00F4213A">
        <w:t>effectiveness of selexipa</w:t>
      </w:r>
      <w:r w:rsidR="009949F5" w:rsidRPr="00F4213A">
        <w:t>g, when used as add-on therapy,</w:t>
      </w:r>
      <w:r w:rsidRPr="00F4213A">
        <w:t xml:space="preserve"> </w:t>
      </w:r>
      <w:r w:rsidR="00700488" w:rsidRPr="00F4213A">
        <w:t xml:space="preserve">versus </w:t>
      </w:r>
      <w:r w:rsidRPr="00F4213A">
        <w:t xml:space="preserve">PAH agents currently being used </w:t>
      </w:r>
      <w:r w:rsidRPr="004D5392">
        <w:t xml:space="preserve">for </w:t>
      </w:r>
      <w:r w:rsidR="00570F85" w:rsidRPr="004D5392">
        <w:t>this purpose</w:t>
      </w:r>
      <w:r w:rsidRPr="004D5392">
        <w:t xml:space="preserve"> in clinical practice.</w:t>
      </w:r>
    </w:p>
    <w:p w:rsidR="00E55BB5" w:rsidRPr="004D5392" w:rsidRDefault="00E55BB5" w:rsidP="00B60939">
      <w:pPr>
        <w:pStyle w:val="Header"/>
        <w:rPr>
          <w:szCs w:val="22"/>
        </w:rPr>
      </w:pPr>
    </w:p>
    <w:p w:rsidR="00CA1D02" w:rsidRPr="00F4213A" w:rsidRDefault="00CA1D02" w:rsidP="00617A5D">
      <w:pPr>
        <w:pStyle w:val="Header"/>
        <w:ind w:left="709"/>
        <w:rPr>
          <w:szCs w:val="22"/>
        </w:rPr>
      </w:pPr>
      <w:r w:rsidRPr="004D5392">
        <w:rPr>
          <w:i/>
          <w:szCs w:val="22"/>
        </w:rPr>
        <w:t>For more detail on PBAC’s view, see section 7 “PBAC outcome”</w:t>
      </w:r>
    </w:p>
    <w:p w:rsidR="00D82B1A" w:rsidRDefault="00D82B1A" w:rsidP="00B60939">
      <w:pPr>
        <w:pStyle w:val="Header"/>
        <w:rPr>
          <w:szCs w:val="22"/>
        </w:rPr>
      </w:pPr>
    </w:p>
    <w:p w:rsidR="006B0E7F" w:rsidRPr="00F4213A" w:rsidRDefault="006B0E7F" w:rsidP="00B60939">
      <w:pPr>
        <w:pStyle w:val="Header"/>
        <w:rPr>
          <w:szCs w:val="22"/>
        </w:rPr>
      </w:pPr>
    </w:p>
    <w:p w:rsidR="00B50DB8" w:rsidRPr="00F4213A" w:rsidRDefault="00B50DB8" w:rsidP="00C6535E">
      <w:pPr>
        <w:pStyle w:val="PBACHeading1"/>
      </w:pPr>
      <w:bookmarkStart w:id="5" w:name="_Toc440892679"/>
      <w:r w:rsidRPr="00F4213A">
        <w:t>Comparator</w:t>
      </w:r>
      <w:bookmarkEnd w:id="5"/>
    </w:p>
    <w:p w:rsidR="00B60939" w:rsidRPr="00F4213A" w:rsidRDefault="00B60939" w:rsidP="004B1CB4"/>
    <w:p w:rsidR="00731BAE" w:rsidRPr="00F4213A" w:rsidRDefault="00731BAE" w:rsidP="00590A3C">
      <w:pPr>
        <w:pStyle w:val="ListParagraph"/>
        <w:widowControl/>
        <w:numPr>
          <w:ilvl w:val="1"/>
          <w:numId w:val="2"/>
        </w:numPr>
      </w:pPr>
      <w:r w:rsidRPr="00F4213A">
        <w:t>Due to the discrepancy between the current PBS restrictions for PAH-specific drugs and current clinical practice, defining the appropriate comparator(s) is difficult.</w:t>
      </w:r>
    </w:p>
    <w:p w:rsidR="00731BAE" w:rsidRPr="00F4213A" w:rsidRDefault="00731BAE" w:rsidP="00731BAE">
      <w:pPr>
        <w:pStyle w:val="ListParagraph"/>
        <w:widowControl/>
        <w:rPr>
          <w:szCs w:val="22"/>
        </w:rPr>
      </w:pPr>
    </w:p>
    <w:p w:rsidR="00B93D5C" w:rsidRPr="00F4213A" w:rsidRDefault="000702B2" w:rsidP="00590A3C">
      <w:pPr>
        <w:pStyle w:val="ListParagraph"/>
        <w:widowControl/>
        <w:numPr>
          <w:ilvl w:val="1"/>
          <w:numId w:val="2"/>
        </w:numPr>
        <w:rPr>
          <w:szCs w:val="22"/>
        </w:rPr>
      </w:pPr>
      <w:r w:rsidRPr="00F4213A">
        <w:t>The submission nominated p</w:t>
      </w:r>
      <w:r w:rsidR="00551BB7" w:rsidRPr="00F4213A">
        <w:t>lacebo</w:t>
      </w:r>
      <w:r w:rsidRPr="00F4213A">
        <w:t xml:space="preserve"> </w:t>
      </w:r>
      <w:r w:rsidR="00C53A64" w:rsidRPr="00F4213A">
        <w:t xml:space="preserve">(as add-on to current therapy) </w:t>
      </w:r>
      <w:r w:rsidRPr="00F4213A">
        <w:t>as the comparator</w:t>
      </w:r>
      <w:r w:rsidR="00551BB7" w:rsidRPr="00F4213A">
        <w:t>.</w:t>
      </w:r>
      <w:r w:rsidR="00B93D5C" w:rsidRPr="00F4213A">
        <w:t xml:space="preserve"> </w:t>
      </w:r>
      <w:r w:rsidR="00306E70" w:rsidRPr="00F4213A">
        <w:t>The availability of PBS-subsidised add-on therapy is likely to expand the current market for combination therapy, as it is likely to increase the proportion of PAH patients receiving combination therapy and patients may commence combination therapy at an earlier stage of disease progression. Therefore, placebo is an appropriate comparator</w:t>
      </w:r>
      <w:r w:rsidR="00586886" w:rsidRPr="00F4213A">
        <w:t>.</w:t>
      </w:r>
    </w:p>
    <w:p w:rsidR="00B93D5C" w:rsidRPr="00F4213A" w:rsidRDefault="00B93D5C" w:rsidP="00B93D5C">
      <w:pPr>
        <w:pStyle w:val="ListParagraph"/>
        <w:widowControl/>
      </w:pPr>
    </w:p>
    <w:p w:rsidR="00B93D5C" w:rsidRPr="00F4213A" w:rsidRDefault="00B93D5C" w:rsidP="00590A3C">
      <w:pPr>
        <w:pStyle w:val="ListParagraph"/>
        <w:widowControl/>
        <w:numPr>
          <w:ilvl w:val="1"/>
          <w:numId w:val="2"/>
        </w:numPr>
      </w:pPr>
      <w:r w:rsidRPr="00F4213A">
        <w:t>While there is considerable uncertainty in the current extent of use of add-</w:t>
      </w:r>
      <w:r w:rsidR="00E678FE" w:rsidRPr="00F4213A">
        <w:t>on therapy in clinical practice and</w:t>
      </w:r>
      <w:r w:rsidRPr="00F4213A">
        <w:t xml:space="preserve"> </w:t>
      </w:r>
      <w:r w:rsidR="003A2F32" w:rsidRPr="00F4213A">
        <w:t xml:space="preserve">the specific drugs being used, </w:t>
      </w:r>
      <w:r w:rsidRPr="00F4213A">
        <w:t xml:space="preserve">the PBAC may wish to consider whether </w:t>
      </w:r>
      <w:r w:rsidR="00E678FE" w:rsidRPr="00F4213A">
        <w:t>non-PBS subsidi</w:t>
      </w:r>
      <w:r w:rsidR="003E55B3" w:rsidRPr="00F4213A">
        <w:t>s</w:t>
      </w:r>
      <w:r w:rsidR="00E678FE" w:rsidRPr="00F4213A">
        <w:t xml:space="preserve">ed PAH-agents currently being used for this purpose </w:t>
      </w:r>
      <w:r w:rsidRPr="00F4213A">
        <w:t>may also be relevant comparators.</w:t>
      </w:r>
    </w:p>
    <w:p w:rsidR="00B60939" w:rsidRDefault="00B60939" w:rsidP="00DF5D2B">
      <w:pPr>
        <w:rPr>
          <w:szCs w:val="22"/>
        </w:rPr>
      </w:pPr>
    </w:p>
    <w:p w:rsidR="004D5392" w:rsidRPr="00F4213A" w:rsidRDefault="00617A5D" w:rsidP="00617A5D">
      <w:pPr>
        <w:pStyle w:val="Header"/>
        <w:tabs>
          <w:tab w:val="left" w:pos="709"/>
        </w:tabs>
        <w:rPr>
          <w:szCs w:val="22"/>
        </w:rPr>
      </w:pPr>
      <w:r>
        <w:rPr>
          <w:i/>
          <w:szCs w:val="22"/>
        </w:rPr>
        <w:tab/>
      </w:r>
      <w:r w:rsidR="004D5392" w:rsidRPr="004D5392">
        <w:rPr>
          <w:i/>
          <w:szCs w:val="22"/>
        </w:rPr>
        <w:t>For more detail on PBAC’s view, see section 7 “PBAC outcome”</w:t>
      </w:r>
    </w:p>
    <w:p w:rsidR="004D5392" w:rsidRPr="00F4213A" w:rsidRDefault="004D5392" w:rsidP="00DF5D2B">
      <w:pPr>
        <w:rPr>
          <w:szCs w:val="22"/>
        </w:rPr>
      </w:pPr>
    </w:p>
    <w:p w:rsidR="00D82B1A" w:rsidRPr="00F4213A" w:rsidRDefault="00D82B1A" w:rsidP="00DF5D2B">
      <w:pPr>
        <w:rPr>
          <w:szCs w:val="22"/>
        </w:rPr>
      </w:pPr>
    </w:p>
    <w:p w:rsidR="00B50DB8" w:rsidRPr="00F4213A" w:rsidRDefault="00BD6CF3" w:rsidP="00BD6CF3">
      <w:pPr>
        <w:pStyle w:val="PBACHeading1"/>
      </w:pPr>
      <w:bookmarkStart w:id="6" w:name="_Toc440892680"/>
      <w:r w:rsidRPr="00F4213A">
        <w:t>C</w:t>
      </w:r>
      <w:r w:rsidR="00B50DB8" w:rsidRPr="00F4213A">
        <w:t>onsideration of the evidence</w:t>
      </w:r>
      <w:bookmarkEnd w:id="6"/>
    </w:p>
    <w:p w:rsidR="00B60939" w:rsidRDefault="00B60939" w:rsidP="004B1CB4"/>
    <w:p w:rsidR="00CA1D02" w:rsidRPr="007170EE" w:rsidRDefault="00CA1D02" w:rsidP="007170EE">
      <w:pPr>
        <w:pStyle w:val="Heading2"/>
      </w:pPr>
      <w:r w:rsidRPr="007170EE">
        <w:t>Sponsor hearing</w:t>
      </w:r>
    </w:p>
    <w:p w:rsidR="007170EE" w:rsidRPr="007170EE" w:rsidRDefault="007170EE" w:rsidP="007170EE"/>
    <w:p w:rsidR="00CA1D02" w:rsidRPr="00BD28FA" w:rsidRDefault="00CA1D02" w:rsidP="00CA1D02">
      <w:pPr>
        <w:numPr>
          <w:ilvl w:val="1"/>
          <w:numId w:val="2"/>
        </w:numPr>
        <w:contextualSpacing/>
        <w:rPr>
          <w:bCs/>
          <w:szCs w:val="22"/>
        </w:rPr>
      </w:pPr>
      <w:r w:rsidRPr="00C815EC">
        <w:rPr>
          <w:bCs/>
          <w:szCs w:val="22"/>
        </w:rPr>
        <w:t xml:space="preserve">The sponsor requested a hearing for this item.  The clinician discussed the </w:t>
      </w:r>
      <w:r w:rsidR="00E50D3A" w:rsidRPr="00C815EC">
        <w:rPr>
          <w:bCs/>
          <w:szCs w:val="22"/>
        </w:rPr>
        <w:t>current clinical management of patients, including use of currently subsidised treatments and how patients are assessed for clinical response in practice. The clinician also discussed</w:t>
      </w:r>
      <w:r w:rsidRPr="00C815EC">
        <w:rPr>
          <w:bCs/>
          <w:szCs w:val="22"/>
        </w:rPr>
        <w:t xml:space="preserve"> how the drug would </w:t>
      </w:r>
      <w:r w:rsidR="00E50D3A" w:rsidRPr="00C815EC">
        <w:rPr>
          <w:bCs/>
          <w:szCs w:val="22"/>
        </w:rPr>
        <w:t xml:space="preserve">likely </w:t>
      </w:r>
      <w:r w:rsidRPr="00C815EC">
        <w:rPr>
          <w:bCs/>
          <w:szCs w:val="22"/>
        </w:rPr>
        <w:t xml:space="preserve">be used in practice, </w:t>
      </w:r>
      <w:r w:rsidR="00E50D3A" w:rsidRPr="00C815EC">
        <w:rPr>
          <w:bCs/>
          <w:szCs w:val="22"/>
        </w:rPr>
        <w:t xml:space="preserve">noting that although selexipag would provide access to a class of treatment </w:t>
      </w:r>
      <w:r w:rsidR="00C815EC">
        <w:rPr>
          <w:bCs/>
          <w:szCs w:val="22"/>
        </w:rPr>
        <w:t>(</w:t>
      </w:r>
      <w:r w:rsidR="00B9755A">
        <w:rPr>
          <w:bCs/>
          <w:szCs w:val="22"/>
        </w:rPr>
        <w:t xml:space="preserve">prostacyclin analogue) </w:t>
      </w:r>
      <w:r w:rsidR="00E50D3A" w:rsidRPr="00C815EC">
        <w:rPr>
          <w:bCs/>
          <w:szCs w:val="22"/>
        </w:rPr>
        <w:t xml:space="preserve">that is </w:t>
      </w:r>
      <w:r w:rsidR="00F369A2" w:rsidRPr="00C815EC">
        <w:rPr>
          <w:bCs/>
          <w:szCs w:val="22"/>
        </w:rPr>
        <w:t xml:space="preserve">currently </w:t>
      </w:r>
      <w:r w:rsidR="00E50D3A" w:rsidRPr="00C815EC">
        <w:rPr>
          <w:bCs/>
          <w:szCs w:val="22"/>
        </w:rPr>
        <w:t xml:space="preserve">not </w:t>
      </w:r>
      <w:r w:rsidR="00F369A2" w:rsidRPr="00C815EC">
        <w:rPr>
          <w:bCs/>
          <w:szCs w:val="22"/>
        </w:rPr>
        <w:t xml:space="preserve">broadly </w:t>
      </w:r>
      <w:r w:rsidR="00E50D3A" w:rsidRPr="00C815EC">
        <w:rPr>
          <w:bCs/>
          <w:szCs w:val="22"/>
        </w:rPr>
        <w:t xml:space="preserve">used, </w:t>
      </w:r>
      <w:r w:rsidR="00F369A2" w:rsidRPr="00C815EC">
        <w:rPr>
          <w:bCs/>
          <w:szCs w:val="22"/>
        </w:rPr>
        <w:t>(</w:t>
      </w:r>
      <w:r w:rsidR="00E50D3A" w:rsidRPr="00C815EC">
        <w:rPr>
          <w:bCs/>
          <w:szCs w:val="22"/>
        </w:rPr>
        <w:t>largely due to safety/tolerability and barriers of administration</w:t>
      </w:r>
      <w:r w:rsidR="00F369A2" w:rsidRPr="00C815EC">
        <w:rPr>
          <w:bCs/>
          <w:szCs w:val="22"/>
        </w:rPr>
        <w:t>)</w:t>
      </w:r>
      <w:r w:rsidR="00E50D3A" w:rsidRPr="00C815EC">
        <w:rPr>
          <w:bCs/>
          <w:szCs w:val="22"/>
        </w:rPr>
        <w:t xml:space="preserve"> selexipag was likely to be </w:t>
      </w:r>
      <w:r w:rsidR="00C815EC" w:rsidRPr="00C815EC">
        <w:rPr>
          <w:bCs/>
          <w:szCs w:val="22"/>
        </w:rPr>
        <w:t xml:space="preserve">reserved for </w:t>
      </w:r>
      <w:r w:rsidR="00E50D3A" w:rsidRPr="00C815EC">
        <w:rPr>
          <w:bCs/>
          <w:szCs w:val="22"/>
        </w:rPr>
        <w:t xml:space="preserve">use </w:t>
      </w:r>
      <w:r w:rsidR="00C815EC" w:rsidRPr="00C815EC">
        <w:rPr>
          <w:bCs/>
          <w:szCs w:val="22"/>
        </w:rPr>
        <w:t xml:space="preserve">in third line, </w:t>
      </w:r>
      <w:r w:rsidR="00E50D3A" w:rsidRPr="00C815EC">
        <w:rPr>
          <w:bCs/>
          <w:szCs w:val="22"/>
        </w:rPr>
        <w:t xml:space="preserve">after </w:t>
      </w:r>
      <w:r w:rsidR="00C815EC" w:rsidRPr="00C815EC">
        <w:rPr>
          <w:bCs/>
          <w:szCs w:val="22"/>
        </w:rPr>
        <w:t>patients had tried treatment with ERAs and PDE-5</w:t>
      </w:r>
      <w:r w:rsidR="00EE24C0">
        <w:rPr>
          <w:bCs/>
          <w:szCs w:val="22"/>
        </w:rPr>
        <w:t xml:space="preserve"> inhibitor</w:t>
      </w:r>
      <w:r w:rsidR="00C815EC" w:rsidRPr="00C815EC">
        <w:rPr>
          <w:bCs/>
          <w:szCs w:val="22"/>
        </w:rPr>
        <w:t>s.</w:t>
      </w:r>
      <w:r w:rsidR="00E50D3A" w:rsidRPr="00C815EC">
        <w:rPr>
          <w:bCs/>
          <w:szCs w:val="22"/>
        </w:rPr>
        <w:t xml:space="preserve"> </w:t>
      </w:r>
      <w:r w:rsidR="00C815EC" w:rsidRPr="00C815EC">
        <w:rPr>
          <w:bCs/>
          <w:szCs w:val="22"/>
        </w:rPr>
        <w:t xml:space="preserve">The clinician also </w:t>
      </w:r>
      <w:r w:rsidRPr="00C815EC">
        <w:rPr>
          <w:bCs/>
          <w:szCs w:val="22"/>
        </w:rPr>
        <w:t>addressed other matters in respons</w:t>
      </w:r>
      <w:r w:rsidR="00C815EC" w:rsidRPr="00C815EC">
        <w:rPr>
          <w:bCs/>
          <w:szCs w:val="22"/>
        </w:rPr>
        <w:t>e to the Committee’s questions.</w:t>
      </w:r>
      <w:r w:rsidRPr="00C815EC">
        <w:rPr>
          <w:bCs/>
          <w:szCs w:val="22"/>
        </w:rPr>
        <w:t xml:space="preserve">  The PBAC considered that </w:t>
      </w:r>
      <w:r w:rsidRPr="00C815EC">
        <w:rPr>
          <w:bCs/>
          <w:szCs w:val="22"/>
        </w:rPr>
        <w:lastRenderedPageBreak/>
        <w:t xml:space="preserve">the </w:t>
      </w:r>
      <w:r w:rsidRPr="00BD28FA">
        <w:rPr>
          <w:bCs/>
          <w:szCs w:val="22"/>
        </w:rPr>
        <w:t xml:space="preserve">hearing was informative </w:t>
      </w:r>
      <w:r w:rsidR="00C815EC" w:rsidRPr="00BD28FA">
        <w:rPr>
          <w:bCs/>
          <w:szCs w:val="22"/>
        </w:rPr>
        <w:t xml:space="preserve">in clarifying the </w:t>
      </w:r>
      <w:r w:rsidR="00EE24C0">
        <w:rPr>
          <w:bCs/>
          <w:szCs w:val="22"/>
        </w:rPr>
        <w:t>likely use of selexipag in clinical practice</w:t>
      </w:r>
      <w:r w:rsidRPr="00BD28FA">
        <w:rPr>
          <w:bCs/>
          <w:szCs w:val="22"/>
        </w:rPr>
        <w:t>.</w:t>
      </w:r>
    </w:p>
    <w:p w:rsidR="00CA1D02" w:rsidRPr="00BD28FA" w:rsidRDefault="00CA1D02" w:rsidP="00D31803">
      <w:pPr>
        <w:contextualSpacing/>
        <w:rPr>
          <w:bCs/>
          <w:szCs w:val="22"/>
        </w:rPr>
      </w:pPr>
    </w:p>
    <w:p w:rsidR="00CA1D02" w:rsidRDefault="00CA1D02" w:rsidP="007170EE">
      <w:pPr>
        <w:pStyle w:val="Heading2"/>
      </w:pPr>
      <w:r w:rsidRPr="00BD28FA">
        <w:t>Consumer comments</w:t>
      </w:r>
    </w:p>
    <w:p w:rsidR="007170EE" w:rsidRPr="007170EE" w:rsidRDefault="007170EE" w:rsidP="007170EE"/>
    <w:p w:rsidR="00CA1D02" w:rsidRPr="00BD28FA" w:rsidRDefault="00CA1D02" w:rsidP="00CA1D02">
      <w:pPr>
        <w:numPr>
          <w:ilvl w:val="1"/>
          <w:numId w:val="2"/>
        </w:numPr>
        <w:contextualSpacing/>
        <w:rPr>
          <w:bCs/>
          <w:szCs w:val="22"/>
        </w:rPr>
      </w:pPr>
      <w:r w:rsidRPr="00BD28FA">
        <w:rPr>
          <w:bCs/>
          <w:szCs w:val="22"/>
        </w:rPr>
        <w:t>The PBAC noted and welcomed the input from individuals (</w:t>
      </w:r>
      <w:r w:rsidR="005E7F19" w:rsidRPr="00BD28FA">
        <w:rPr>
          <w:bCs/>
          <w:szCs w:val="22"/>
        </w:rPr>
        <w:t>3</w:t>
      </w:r>
      <w:r w:rsidRPr="00BD28FA">
        <w:rPr>
          <w:bCs/>
          <w:szCs w:val="22"/>
        </w:rPr>
        <w:t>), health care professionals (</w:t>
      </w:r>
      <w:r w:rsidR="005E7F19" w:rsidRPr="00BD28FA">
        <w:rPr>
          <w:bCs/>
          <w:szCs w:val="22"/>
        </w:rPr>
        <w:t>2</w:t>
      </w:r>
      <w:r w:rsidRPr="00BD28FA">
        <w:rPr>
          <w:bCs/>
          <w:szCs w:val="22"/>
        </w:rPr>
        <w:t>) and organisations (1) via the Consumer Comments facility on the PBS website.</w:t>
      </w:r>
      <w:r w:rsidRPr="00BD28FA">
        <w:rPr>
          <w:bCs/>
          <w:i/>
          <w:szCs w:val="22"/>
        </w:rPr>
        <w:t xml:space="preserve">  </w:t>
      </w:r>
      <w:r w:rsidR="00BD28FA" w:rsidRPr="00BD28FA">
        <w:rPr>
          <w:bCs/>
          <w:szCs w:val="22"/>
        </w:rPr>
        <w:t>The comments noted that subsidy for combination therapy would be in line would International treatment Guidelines, and described benefits including slowing of progression of disease and the impact this would have on patients</w:t>
      </w:r>
      <w:r w:rsidR="00EE24C0">
        <w:rPr>
          <w:bCs/>
          <w:szCs w:val="22"/>
        </w:rPr>
        <w:t>’</w:t>
      </w:r>
      <w:r w:rsidR="00BD28FA" w:rsidRPr="00BD28FA">
        <w:rPr>
          <w:bCs/>
          <w:szCs w:val="22"/>
        </w:rPr>
        <w:t xml:space="preserve"> quality of life. </w:t>
      </w:r>
    </w:p>
    <w:p w:rsidR="00CA1D02" w:rsidRPr="003A49F2" w:rsidRDefault="00CA1D02" w:rsidP="00CA1D02">
      <w:pPr>
        <w:contextualSpacing/>
        <w:rPr>
          <w:bCs/>
          <w:szCs w:val="22"/>
          <w:highlight w:val="yellow"/>
        </w:rPr>
      </w:pPr>
    </w:p>
    <w:p w:rsidR="00CA1D02" w:rsidRPr="00BD28FA" w:rsidRDefault="00CA1D02" w:rsidP="00CA1D02">
      <w:pPr>
        <w:numPr>
          <w:ilvl w:val="1"/>
          <w:numId w:val="2"/>
        </w:numPr>
        <w:contextualSpacing/>
        <w:rPr>
          <w:bCs/>
          <w:szCs w:val="22"/>
        </w:rPr>
      </w:pPr>
      <w:r w:rsidRPr="00BD28FA">
        <w:rPr>
          <w:bCs/>
          <w:szCs w:val="22"/>
        </w:rPr>
        <w:t xml:space="preserve">The PBAC noted the </w:t>
      </w:r>
      <w:r w:rsidR="00BD28FA">
        <w:rPr>
          <w:bCs/>
          <w:szCs w:val="22"/>
        </w:rPr>
        <w:t>input</w:t>
      </w:r>
      <w:r w:rsidRPr="00BD28FA">
        <w:rPr>
          <w:bCs/>
          <w:szCs w:val="22"/>
        </w:rPr>
        <w:t xml:space="preserve"> received from </w:t>
      </w:r>
      <w:r w:rsidR="00595C59" w:rsidRPr="00BD28FA">
        <w:rPr>
          <w:bCs/>
          <w:szCs w:val="22"/>
        </w:rPr>
        <w:t>the Pulmonary Hypertension Society of Australia and New Zealand (PHSANZ)</w:t>
      </w:r>
      <w:r w:rsidRPr="00BD28FA">
        <w:rPr>
          <w:bCs/>
          <w:szCs w:val="22"/>
        </w:rPr>
        <w:t xml:space="preserve"> clarifying the likely use of </w:t>
      </w:r>
      <w:r w:rsidR="00691913" w:rsidRPr="00BD28FA">
        <w:rPr>
          <w:bCs/>
          <w:szCs w:val="22"/>
        </w:rPr>
        <w:t>selexipag</w:t>
      </w:r>
      <w:r w:rsidRPr="00BD28FA">
        <w:rPr>
          <w:bCs/>
          <w:szCs w:val="22"/>
        </w:rPr>
        <w:t xml:space="preserve"> in clinical practice.  The PBAC specifically noted the advice that </w:t>
      </w:r>
      <w:r w:rsidR="00691913" w:rsidRPr="00BD28FA">
        <w:rPr>
          <w:bCs/>
          <w:szCs w:val="22"/>
        </w:rPr>
        <w:t xml:space="preserve">PHSANZ would support </w:t>
      </w:r>
      <w:r w:rsidRPr="00BD28FA">
        <w:rPr>
          <w:bCs/>
          <w:szCs w:val="22"/>
        </w:rPr>
        <w:t xml:space="preserve">the use </w:t>
      </w:r>
      <w:r w:rsidR="00691913" w:rsidRPr="00BD28FA">
        <w:rPr>
          <w:bCs/>
          <w:szCs w:val="22"/>
        </w:rPr>
        <w:t>of selexipag as additional therapy in patients already on at least monotherapy or already receiving combination therapy</w:t>
      </w:r>
      <w:r w:rsidR="00BD28FA" w:rsidRPr="00BD28FA">
        <w:rPr>
          <w:bCs/>
          <w:szCs w:val="22"/>
        </w:rPr>
        <w:t>, but did not think use as monotherapy would be appropriate. The advice from PHSANZ also noted the issues associated with combination therapy not being funded by the PBS, including inequality of access to therapy.</w:t>
      </w:r>
      <w:r w:rsidR="00691913" w:rsidRPr="00BD28FA">
        <w:rPr>
          <w:bCs/>
          <w:szCs w:val="22"/>
        </w:rPr>
        <w:t xml:space="preserve"> </w:t>
      </w:r>
    </w:p>
    <w:p w:rsidR="00CA1D02" w:rsidRPr="003A49F2" w:rsidRDefault="00CA1D02" w:rsidP="00CA1D02">
      <w:pPr>
        <w:contextualSpacing/>
        <w:rPr>
          <w:bCs/>
          <w:szCs w:val="22"/>
          <w:highlight w:val="yellow"/>
        </w:rPr>
      </w:pPr>
    </w:p>
    <w:p w:rsidR="00B60939" w:rsidRPr="00F4213A" w:rsidRDefault="00B60939" w:rsidP="007170EE">
      <w:pPr>
        <w:pStyle w:val="Heading2"/>
      </w:pPr>
      <w:bookmarkStart w:id="7" w:name="_Toc440892681"/>
      <w:r w:rsidRPr="00F4213A">
        <w:t>Clinical trials</w:t>
      </w:r>
      <w:bookmarkEnd w:id="7"/>
    </w:p>
    <w:p w:rsidR="00B60939" w:rsidRPr="00882085" w:rsidRDefault="00B60939" w:rsidP="00B60939">
      <w:pPr>
        <w:rPr>
          <w:szCs w:val="22"/>
        </w:rPr>
      </w:pPr>
    </w:p>
    <w:p w:rsidR="007F1017" w:rsidRPr="00B50DB8" w:rsidRDefault="00862502" w:rsidP="00590A3C">
      <w:pPr>
        <w:pStyle w:val="ListParagraph"/>
        <w:widowControl/>
        <w:numPr>
          <w:ilvl w:val="1"/>
          <w:numId w:val="2"/>
        </w:numPr>
        <w:rPr>
          <w:szCs w:val="22"/>
        </w:rPr>
      </w:pPr>
      <w:r w:rsidRPr="00862502">
        <w:t xml:space="preserve">The submission </w:t>
      </w:r>
      <w:r w:rsidR="00072A35">
        <w:t>was</w:t>
      </w:r>
      <w:r w:rsidRPr="00862502">
        <w:t xml:space="preserve"> based on one head-to-head trial comparing </w:t>
      </w:r>
      <w:r w:rsidR="0054697B" w:rsidRPr="008646A7">
        <w:t>selexipag</w:t>
      </w:r>
      <w:r w:rsidR="0054697B">
        <w:t xml:space="preserve">, with or without background </w:t>
      </w:r>
      <w:r w:rsidR="007A5CD9">
        <w:t xml:space="preserve">PAH-specific </w:t>
      </w:r>
      <w:r w:rsidR="0054697B">
        <w:t>therapy (</w:t>
      </w:r>
      <w:r w:rsidR="007A5CD9">
        <w:t>either an ERA or a PDE-5 inhibitor</w:t>
      </w:r>
      <w:r w:rsidR="0054697B">
        <w:t xml:space="preserve">), </w:t>
      </w:r>
      <w:r w:rsidRPr="00862502">
        <w:t xml:space="preserve">to </w:t>
      </w:r>
      <w:r w:rsidR="0054697B">
        <w:t xml:space="preserve">placebo, with or without </w:t>
      </w:r>
      <w:r w:rsidR="007A5CD9">
        <w:t>background PAH-specific therapy (referred to as</w:t>
      </w:r>
      <w:r w:rsidR="0065433C">
        <w:t xml:space="preserve"> BGT</w:t>
      </w:r>
      <w:r w:rsidR="007A5CD9">
        <w:t>)</w:t>
      </w:r>
      <w:r w:rsidR="0054697B">
        <w:t>, (n</w:t>
      </w:r>
      <w:r w:rsidR="003D6BF3">
        <w:t>=</w:t>
      </w:r>
      <w:r w:rsidR="0054697B">
        <w:t>1,156</w:t>
      </w:r>
      <w:r w:rsidRPr="00862502">
        <w:t>).</w:t>
      </w:r>
    </w:p>
    <w:p w:rsidR="00862502" w:rsidRPr="00862502" w:rsidRDefault="00862502" w:rsidP="00862502">
      <w:pPr>
        <w:widowControl/>
        <w:rPr>
          <w:szCs w:val="22"/>
        </w:rPr>
      </w:pPr>
    </w:p>
    <w:p w:rsidR="00862502" w:rsidRPr="00B50DB8" w:rsidRDefault="00862502" w:rsidP="00590A3C">
      <w:pPr>
        <w:pStyle w:val="ListParagraph"/>
        <w:widowControl/>
        <w:numPr>
          <w:ilvl w:val="1"/>
          <w:numId w:val="2"/>
        </w:numPr>
        <w:rPr>
          <w:szCs w:val="22"/>
        </w:rPr>
      </w:pPr>
      <w:r w:rsidRPr="00B50DB8">
        <w:rPr>
          <w:szCs w:val="22"/>
        </w:rPr>
        <w:t>Details of the trials presented in the submission ar</w:t>
      </w:r>
      <w:r w:rsidR="003D6BF3">
        <w:rPr>
          <w:szCs w:val="22"/>
        </w:rPr>
        <w:t xml:space="preserve">e provided in the table below. </w:t>
      </w:r>
    </w:p>
    <w:p w:rsidR="00862502" w:rsidRPr="00862502" w:rsidRDefault="00862502" w:rsidP="00862502">
      <w:pPr>
        <w:widowControl/>
        <w:rPr>
          <w:szCs w:val="22"/>
        </w:rPr>
      </w:pPr>
    </w:p>
    <w:p w:rsidR="008F120A" w:rsidRPr="005C7F65" w:rsidRDefault="00E22BEC" w:rsidP="00874261">
      <w:pPr>
        <w:pStyle w:val="Caption"/>
        <w:ind w:left="709"/>
      </w:pPr>
      <w:bookmarkStart w:id="8" w:name="_Ref440187181"/>
      <w:r>
        <w:t xml:space="preserve">Table </w:t>
      </w:r>
      <w:r w:rsidR="002D1BF1">
        <w:rPr>
          <w:noProof/>
        </w:rPr>
        <w:t>1</w:t>
      </w:r>
      <w:bookmarkEnd w:id="8"/>
      <w:r w:rsidR="00A972DC">
        <w:t>: Trials</w:t>
      </w:r>
      <w:r w:rsidR="008F120A" w:rsidRPr="005C7F65">
        <w:t xml:space="preserve">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8F120A" w:rsidRPr="007C3AE9" w:rsidTr="00E22A0D">
        <w:tc>
          <w:tcPr>
            <w:tcW w:w="1019" w:type="pct"/>
          </w:tcPr>
          <w:p w:rsidR="008F120A" w:rsidRPr="007C3AE9" w:rsidRDefault="008F120A" w:rsidP="00A972DC">
            <w:pPr>
              <w:jc w:val="left"/>
              <w:rPr>
                <w:rFonts w:ascii="Arial Narrow" w:hAnsi="Arial Narrow"/>
                <w:b/>
                <w:sz w:val="20"/>
              </w:rPr>
            </w:pPr>
            <w:r w:rsidRPr="007C3AE9">
              <w:rPr>
                <w:rFonts w:ascii="Arial Narrow" w:hAnsi="Arial Narrow"/>
                <w:b/>
                <w:sz w:val="20"/>
              </w:rPr>
              <w:t>Trial ID</w:t>
            </w:r>
          </w:p>
        </w:tc>
        <w:tc>
          <w:tcPr>
            <w:tcW w:w="2804" w:type="pct"/>
          </w:tcPr>
          <w:p w:rsidR="008F120A" w:rsidRPr="007C3AE9" w:rsidRDefault="008F120A" w:rsidP="0018752F">
            <w:pPr>
              <w:jc w:val="center"/>
              <w:rPr>
                <w:rFonts w:ascii="Arial Narrow" w:hAnsi="Arial Narrow"/>
                <w:b/>
                <w:sz w:val="20"/>
              </w:rPr>
            </w:pPr>
            <w:r w:rsidRPr="007C3AE9">
              <w:rPr>
                <w:rFonts w:ascii="Arial Narrow" w:hAnsi="Arial Narrow"/>
                <w:b/>
                <w:sz w:val="20"/>
              </w:rPr>
              <w:t>Protocol title/ Publication title</w:t>
            </w:r>
          </w:p>
        </w:tc>
        <w:tc>
          <w:tcPr>
            <w:tcW w:w="1177" w:type="pct"/>
          </w:tcPr>
          <w:p w:rsidR="008F120A" w:rsidRPr="007C3AE9" w:rsidRDefault="008F120A" w:rsidP="0018752F">
            <w:pPr>
              <w:jc w:val="center"/>
              <w:rPr>
                <w:rFonts w:ascii="Arial Narrow" w:hAnsi="Arial Narrow"/>
                <w:b/>
                <w:sz w:val="20"/>
              </w:rPr>
            </w:pPr>
            <w:r w:rsidRPr="007C3AE9">
              <w:rPr>
                <w:rFonts w:ascii="Arial Narrow" w:hAnsi="Arial Narrow"/>
                <w:b/>
                <w:sz w:val="20"/>
              </w:rPr>
              <w:t>Publication citation</w:t>
            </w:r>
          </w:p>
        </w:tc>
      </w:tr>
      <w:tr w:rsidR="008F120A" w:rsidRPr="007C3AE9" w:rsidTr="00F21EED">
        <w:tc>
          <w:tcPr>
            <w:tcW w:w="5000" w:type="pct"/>
            <w:gridSpan w:val="3"/>
            <w:tcBorders>
              <w:bottom w:val="single" w:sz="4" w:space="0" w:color="auto"/>
            </w:tcBorders>
          </w:tcPr>
          <w:p w:rsidR="008F120A" w:rsidRPr="007C3AE9" w:rsidRDefault="008F120A" w:rsidP="0018752F">
            <w:pPr>
              <w:jc w:val="left"/>
              <w:rPr>
                <w:rFonts w:ascii="Arial Narrow" w:hAnsi="Arial Narrow"/>
                <w:b/>
                <w:sz w:val="20"/>
              </w:rPr>
            </w:pPr>
            <w:r w:rsidRPr="007C3AE9">
              <w:rPr>
                <w:rFonts w:ascii="Arial Narrow" w:hAnsi="Arial Narrow"/>
                <w:b/>
                <w:sz w:val="20"/>
              </w:rPr>
              <w:t>Direct randomised tria</w:t>
            </w:r>
            <w:r w:rsidR="00A972DC" w:rsidRPr="007C3AE9">
              <w:rPr>
                <w:rFonts w:ascii="Arial Narrow" w:hAnsi="Arial Narrow"/>
                <w:b/>
                <w:sz w:val="20"/>
              </w:rPr>
              <w:t>l</w:t>
            </w:r>
          </w:p>
        </w:tc>
      </w:tr>
      <w:tr w:rsidR="008F120A" w:rsidRPr="007C3AE9" w:rsidTr="00F21EED">
        <w:tc>
          <w:tcPr>
            <w:tcW w:w="1019" w:type="pct"/>
            <w:tcBorders>
              <w:bottom w:val="nil"/>
            </w:tcBorders>
          </w:tcPr>
          <w:p w:rsidR="008F120A" w:rsidRPr="007C3AE9" w:rsidRDefault="00A972DC" w:rsidP="0018752F">
            <w:pPr>
              <w:jc w:val="left"/>
              <w:rPr>
                <w:rFonts w:ascii="Arial Narrow" w:hAnsi="Arial Narrow"/>
                <w:sz w:val="20"/>
              </w:rPr>
            </w:pPr>
            <w:r w:rsidRPr="007C3AE9">
              <w:rPr>
                <w:rFonts w:ascii="Arial Narrow" w:hAnsi="Arial Narrow"/>
                <w:sz w:val="20"/>
              </w:rPr>
              <w:t>GRIPHON</w:t>
            </w:r>
          </w:p>
        </w:tc>
        <w:tc>
          <w:tcPr>
            <w:tcW w:w="2804" w:type="pct"/>
            <w:tcBorders>
              <w:bottom w:val="nil"/>
            </w:tcBorders>
          </w:tcPr>
          <w:p w:rsidR="008F120A" w:rsidRPr="007C3AE9" w:rsidRDefault="00A972DC" w:rsidP="00F21EED">
            <w:pPr>
              <w:spacing w:after="60"/>
              <w:jc w:val="left"/>
              <w:rPr>
                <w:rFonts w:ascii="Arial Narrow" w:hAnsi="Arial Narrow"/>
                <w:b/>
                <w:sz w:val="20"/>
              </w:rPr>
            </w:pPr>
            <w:r w:rsidRPr="007C3AE9">
              <w:rPr>
                <w:rFonts w:ascii="Arial Narrow" w:hAnsi="Arial Narrow"/>
                <w:sz w:val="20"/>
              </w:rPr>
              <w:t xml:space="preserve">GRIHON Clinical study </w:t>
            </w:r>
            <w:r w:rsidRPr="007C3AE9">
              <w:rPr>
                <w:rStyle w:val="TableTextChar0"/>
                <w:sz w:val="20"/>
              </w:rPr>
              <w:t>report AC-065A302: Prostacyclin (PGI2) receptor agonist in pulmonary arterial hypertension: A multicenter, double-blind, placebo-controlled Phase 3 study assessing the efficacy and safety of selexipag (ACT-293987) on morbidity and mortality in patients with pulmonary arterial hypertension (PAH) (including data from AC-065A303/GRIPHON OL up to 10 March 2014).</w:t>
            </w:r>
          </w:p>
        </w:tc>
        <w:tc>
          <w:tcPr>
            <w:tcW w:w="1177" w:type="pct"/>
            <w:tcBorders>
              <w:bottom w:val="nil"/>
            </w:tcBorders>
          </w:tcPr>
          <w:p w:rsidR="008F120A" w:rsidRPr="007C3AE9" w:rsidRDefault="00A972DC" w:rsidP="0018752F">
            <w:pPr>
              <w:jc w:val="left"/>
              <w:rPr>
                <w:rFonts w:ascii="Arial Narrow" w:hAnsi="Arial Narrow"/>
                <w:sz w:val="20"/>
              </w:rPr>
            </w:pPr>
            <w:r w:rsidRPr="007C3AE9">
              <w:rPr>
                <w:rFonts w:ascii="Arial Narrow" w:hAnsi="Arial Narrow"/>
                <w:sz w:val="20"/>
              </w:rPr>
              <w:t>March 2014</w:t>
            </w:r>
          </w:p>
        </w:tc>
      </w:tr>
      <w:tr w:rsidR="00F21EED" w:rsidRPr="007C3AE9" w:rsidTr="00F21EED">
        <w:tc>
          <w:tcPr>
            <w:tcW w:w="1019" w:type="pct"/>
            <w:tcBorders>
              <w:top w:val="nil"/>
            </w:tcBorders>
          </w:tcPr>
          <w:p w:rsidR="00F21EED" w:rsidRPr="007C3AE9" w:rsidRDefault="00F21EED" w:rsidP="0018752F">
            <w:pPr>
              <w:jc w:val="left"/>
              <w:rPr>
                <w:rFonts w:ascii="Arial Narrow" w:hAnsi="Arial Narrow"/>
                <w:sz w:val="20"/>
              </w:rPr>
            </w:pPr>
          </w:p>
        </w:tc>
        <w:tc>
          <w:tcPr>
            <w:tcW w:w="2804" w:type="pct"/>
            <w:tcBorders>
              <w:top w:val="nil"/>
            </w:tcBorders>
          </w:tcPr>
          <w:p w:rsidR="00F21EED" w:rsidRPr="007C3AE9" w:rsidRDefault="00F21EED" w:rsidP="0018752F">
            <w:pPr>
              <w:jc w:val="left"/>
              <w:rPr>
                <w:rFonts w:ascii="Arial Narrow" w:hAnsi="Arial Narrow"/>
                <w:sz w:val="20"/>
              </w:rPr>
            </w:pPr>
            <w:r w:rsidRPr="007C3AE9">
              <w:rPr>
                <w:rFonts w:ascii="Arial Narrow" w:hAnsi="Arial Narrow"/>
                <w:sz w:val="20"/>
              </w:rPr>
              <w:t>Sitbon O, Channick R, et al. Selexipag for the treatment of pulmonary arterial hypertension.</w:t>
            </w:r>
          </w:p>
        </w:tc>
        <w:tc>
          <w:tcPr>
            <w:tcW w:w="1177" w:type="pct"/>
            <w:tcBorders>
              <w:top w:val="nil"/>
            </w:tcBorders>
          </w:tcPr>
          <w:p w:rsidR="00F21EED" w:rsidRPr="007C3AE9" w:rsidRDefault="00F21EED" w:rsidP="0018752F">
            <w:pPr>
              <w:jc w:val="left"/>
              <w:rPr>
                <w:rFonts w:ascii="Arial Narrow" w:hAnsi="Arial Narrow"/>
                <w:sz w:val="20"/>
              </w:rPr>
            </w:pPr>
            <w:r w:rsidRPr="007C3AE9">
              <w:rPr>
                <w:rFonts w:ascii="Arial Narrow" w:hAnsi="Arial Narrow"/>
                <w:sz w:val="20"/>
              </w:rPr>
              <w:t>New England Journal of Medicine 2015; 373 (26):2522-2533</w:t>
            </w:r>
          </w:p>
        </w:tc>
      </w:tr>
    </w:tbl>
    <w:p w:rsidR="00862502" w:rsidRDefault="008F120A" w:rsidP="00A972DC">
      <w:pPr>
        <w:pStyle w:val="TableFooter"/>
        <w:ind w:left="709"/>
      </w:pPr>
      <w:r w:rsidRPr="00D13A3E">
        <w:t xml:space="preserve">Source: </w:t>
      </w:r>
      <w:r w:rsidR="00A972DC">
        <w:t>Table B.2-2, p63 of the submission</w:t>
      </w:r>
    </w:p>
    <w:p w:rsidR="00291568" w:rsidRDefault="00291568">
      <w:pPr>
        <w:widowControl/>
        <w:jc w:val="left"/>
      </w:pPr>
      <w:r>
        <w:br w:type="page"/>
      </w:r>
    </w:p>
    <w:p w:rsidR="00A972DC" w:rsidRPr="00A972DC" w:rsidRDefault="00A972DC" w:rsidP="00A972DC"/>
    <w:p w:rsidR="00862502" w:rsidRPr="00B50DB8" w:rsidRDefault="008F120A" w:rsidP="00590A3C">
      <w:pPr>
        <w:pStyle w:val="ListParagraph"/>
        <w:widowControl/>
        <w:numPr>
          <w:ilvl w:val="1"/>
          <w:numId w:val="2"/>
        </w:numPr>
        <w:rPr>
          <w:szCs w:val="22"/>
        </w:rPr>
      </w:pPr>
      <w:r w:rsidRPr="00B50DB8">
        <w:rPr>
          <w:szCs w:val="22"/>
        </w:rPr>
        <w:t>The key features o</w:t>
      </w:r>
      <w:r w:rsidR="00A972DC">
        <w:rPr>
          <w:szCs w:val="22"/>
        </w:rPr>
        <w:t>f the direct randomised trial</w:t>
      </w:r>
      <w:r w:rsidRPr="00B50DB8">
        <w:rPr>
          <w:szCs w:val="22"/>
        </w:rPr>
        <w:t xml:space="preserve"> are summarised in the table below.</w:t>
      </w:r>
    </w:p>
    <w:p w:rsidR="00453361" w:rsidRDefault="00453361" w:rsidP="00617A5D">
      <w:pPr>
        <w:pStyle w:val="Caption"/>
      </w:pPr>
    </w:p>
    <w:p w:rsidR="007F1017" w:rsidRPr="005C7F65" w:rsidRDefault="00E22BEC" w:rsidP="00E22BEC">
      <w:pPr>
        <w:pStyle w:val="Caption"/>
        <w:ind w:left="709"/>
      </w:pPr>
      <w:r>
        <w:t xml:space="preserve">Table </w:t>
      </w:r>
      <w:r w:rsidR="002D1BF1">
        <w:rPr>
          <w:noProof/>
        </w:rPr>
        <w:t>2</w:t>
      </w:r>
      <w:r w:rsidR="007F1017" w:rsidRPr="005C7F65">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711"/>
        <w:gridCol w:w="1557"/>
        <w:gridCol w:w="994"/>
        <w:gridCol w:w="1561"/>
        <w:gridCol w:w="1276"/>
        <w:gridCol w:w="1275"/>
      </w:tblGrid>
      <w:tr w:rsidR="00B4411F" w:rsidRPr="00E2771E" w:rsidTr="00B4411F">
        <w:tc>
          <w:tcPr>
            <w:tcW w:w="592" w:type="pct"/>
            <w:shd w:val="clear" w:color="auto" w:fill="auto"/>
            <w:vAlign w:val="center"/>
          </w:tcPr>
          <w:p w:rsidR="007F1017" w:rsidRPr="00E2771E" w:rsidRDefault="007F1017" w:rsidP="007F1017">
            <w:pPr>
              <w:jc w:val="left"/>
              <w:rPr>
                <w:rFonts w:ascii="Arial Narrow" w:hAnsi="Arial Narrow"/>
                <w:b/>
                <w:sz w:val="20"/>
                <w:lang w:val="en-US"/>
              </w:rPr>
            </w:pPr>
            <w:r w:rsidRPr="00E2771E">
              <w:rPr>
                <w:rFonts w:ascii="Arial Narrow" w:hAnsi="Arial Narrow"/>
                <w:b/>
                <w:sz w:val="20"/>
                <w:lang w:val="en-US"/>
              </w:rPr>
              <w:t>Trial</w:t>
            </w:r>
          </w:p>
        </w:tc>
        <w:tc>
          <w:tcPr>
            <w:tcW w:w="425"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N</w:t>
            </w:r>
          </w:p>
        </w:tc>
        <w:tc>
          <w:tcPr>
            <w:tcW w:w="931"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Design/ duration</w:t>
            </w:r>
          </w:p>
        </w:tc>
        <w:tc>
          <w:tcPr>
            <w:tcW w:w="594"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Risk of bias</w:t>
            </w:r>
          </w:p>
        </w:tc>
        <w:tc>
          <w:tcPr>
            <w:tcW w:w="933"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Patient population</w:t>
            </w:r>
          </w:p>
        </w:tc>
        <w:tc>
          <w:tcPr>
            <w:tcW w:w="763"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Outc</w:t>
            </w:r>
            <w:r w:rsidR="00B4411F">
              <w:rPr>
                <w:rFonts w:ascii="Arial Narrow" w:hAnsi="Arial Narrow"/>
                <w:b/>
                <w:sz w:val="20"/>
                <w:lang w:val="en-US"/>
              </w:rPr>
              <w:t>ome</w:t>
            </w:r>
          </w:p>
        </w:tc>
        <w:tc>
          <w:tcPr>
            <w:tcW w:w="761" w:type="pct"/>
            <w:shd w:val="clear" w:color="auto" w:fill="auto"/>
            <w:vAlign w:val="center"/>
          </w:tcPr>
          <w:p w:rsidR="007F1017" w:rsidRPr="00E2771E" w:rsidRDefault="007F1017" w:rsidP="00B4411F">
            <w:pPr>
              <w:jc w:val="center"/>
              <w:rPr>
                <w:rFonts w:ascii="Arial Narrow" w:hAnsi="Arial Narrow"/>
                <w:b/>
                <w:sz w:val="20"/>
                <w:lang w:val="en-US"/>
              </w:rPr>
            </w:pPr>
            <w:r w:rsidRPr="00E2771E">
              <w:rPr>
                <w:rFonts w:ascii="Arial Narrow" w:hAnsi="Arial Narrow"/>
                <w:b/>
                <w:sz w:val="20"/>
                <w:lang w:val="en-US"/>
              </w:rPr>
              <w:t xml:space="preserve">Use in </w:t>
            </w:r>
            <w:r w:rsidR="00B4411F">
              <w:rPr>
                <w:rFonts w:ascii="Arial Narrow" w:hAnsi="Arial Narrow"/>
                <w:b/>
                <w:sz w:val="20"/>
                <w:lang w:val="en-US"/>
              </w:rPr>
              <w:t xml:space="preserve">economic </w:t>
            </w:r>
            <w:r w:rsidRPr="00E2771E">
              <w:rPr>
                <w:rFonts w:ascii="Arial Narrow" w:hAnsi="Arial Narrow"/>
                <w:b/>
                <w:sz w:val="20"/>
                <w:lang w:val="en-US"/>
              </w:rPr>
              <w:t>evaluation</w:t>
            </w:r>
          </w:p>
        </w:tc>
      </w:tr>
      <w:tr w:rsidR="007F1017" w:rsidRPr="00E2771E" w:rsidTr="00B4411F">
        <w:tc>
          <w:tcPr>
            <w:tcW w:w="5000" w:type="pct"/>
            <w:gridSpan w:val="7"/>
            <w:shd w:val="clear" w:color="auto" w:fill="auto"/>
            <w:vAlign w:val="center"/>
          </w:tcPr>
          <w:p w:rsidR="007F1017" w:rsidRPr="00E2771E" w:rsidRDefault="006D4C18" w:rsidP="007F1017">
            <w:pPr>
              <w:jc w:val="left"/>
              <w:rPr>
                <w:rFonts w:ascii="Arial Narrow" w:hAnsi="Arial Narrow"/>
                <w:b/>
                <w:sz w:val="20"/>
                <w:lang w:val="en-US"/>
              </w:rPr>
            </w:pPr>
            <w:r w:rsidRPr="006D4C18">
              <w:rPr>
                <w:rFonts w:ascii="Arial Narrow" w:hAnsi="Arial Narrow"/>
                <w:b/>
                <w:sz w:val="20"/>
                <w:lang w:val="en-US"/>
              </w:rPr>
              <w:t>Selexipag</w:t>
            </w:r>
            <w:r>
              <w:rPr>
                <w:rFonts w:ascii="Arial Narrow" w:hAnsi="Arial Narrow"/>
                <w:b/>
                <w:sz w:val="20"/>
                <w:lang w:val="en-US"/>
              </w:rPr>
              <w:t xml:space="preserve"> ± BGT</w:t>
            </w:r>
            <w:r w:rsidR="007F1017" w:rsidRPr="00E2771E">
              <w:rPr>
                <w:rFonts w:ascii="Arial Narrow" w:hAnsi="Arial Narrow"/>
                <w:b/>
                <w:sz w:val="20"/>
                <w:lang w:val="en-US"/>
              </w:rPr>
              <w:t xml:space="preserve"> vs. </w:t>
            </w:r>
            <w:r>
              <w:rPr>
                <w:rFonts w:ascii="Arial Narrow" w:hAnsi="Arial Narrow"/>
                <w:b/>
                <w:sz w:val="20"/>
                <w:lang w:val="en-US"/>
              </w:rPr>
              <w:t>placebo ± BGT</w:t>
            </w:r>
          </w:p>
        </w:tc>
      </w:tr>
      <w:tr w:rsidR="00B4411F" w:rsidRPr="00E2771E" w:rsidTr="00B4411F">
        <w:tc>
          <w:tcPr>
            <w:tcW w:w="592" w:type="pct"/>
            <w:shd w:val="clear" w:color="auto" w:fill="auto"/>
            <w:vAlign w:val="center"/>
          </w:tcPr>
          <w:p w:rsidR="007F1017" w:rsidRPr="00E2771E" w:rsidRDefault="006D4C18" w:rsidP="006D4C18">
            <w:pPr>
              <w:jc w:val="left"/>
              <w:rPr>
                <w:rFonts w:ascii="Arial Narrow" w:hAnsi="Arial Narrow"/>
                <w:sz w:val="20"/>
                <w:lang w:val="en-US"/>
              </w:rPr>
            </w:pPr>
            <w:r>
              <w:rPr>
                <w:rFonts w:ascii="Arial Narrow" w:hAnsi="Arial Narrow"/>
                <w:sz w:val="20"/>
                <w:lang w:val="en-US"/>
              </w:rPr>
              <w:t>GRIPHON</w:t>
            </w:r>
          </w:p>
        </w:tc>
        <w:tc>
          <w:tcPr>
            <w:tcW w:w="425" w:type="pct"/>
            <w:shd w:val="clear" w:color="auto" w:fill="auto"/>
            <w:vAlign w:val="center"/>
          </w:tcPr>
          <w:p w:rsidR="007F1017" w:rsidRPr="00E2771E" w:rsidRDefault="006D4C18" w:rsidP="007F1017">
            <w:pPr>
              <w:jc w:val="center"/>
              <w:rPr>
                <w:rFonts w:ascii="Arial Narrow" w:hAnsi="Arial Narrow"/>
                <w:sz w:val="20"/>
                <w:lang w:val="en-US"/>
              </w:rPr>
            </w:pPr>
            <w:r>
              <w:rPr>
                <w:rFonts w:ascii="Arial Narrow" w:hAnsi="Arial Narrow"/>
                <w:sz w:val="20"/>
                <w:lang w:val="en-US"/>
              </w:rPr>
              <w:t>1,156</w:t>
            </w:r>
          </w:p>
        </w:tc>
        <w:tc>
          <w:tcPr>
            <w:tcW w:w="931" w:type="pct"/>
            <w:shd w:val="clear" w:color="auto" w:fill="auto"/>
            <w:vAlign w:val="center"/>
          </w:tcPr>
          <w:p w:rsidR="007F1017" w:rsidRPr="00E2771E" w:rsidRDefault="006D4C18" w:rsidP="007F1017">
            <w:pPr>
              <w:jc w:val="center"/>
              <w:rPr>
                <w:rFonts w:ascii="Arial Narrow" w:hAnsi="Arial Narrow"/>
                <w:sz w:val="20"/>
                <w:lang w:val="en-US"/>
              </w:rPr>
            </w:pPr>
            <w:r>
              <w:rPr>
                <w:rFonts w:ascii="Arial Narrow" w:hAnsi="Arial Narrow"/>
                <w:sz w:val="20"/>
                <w:lang w:val="en-US"/>
              </w:rPr>
              <w:t xml:space="preserve">MC, </w:t>
            </w:r>
            <w:r w:rsidR="007F1017" w:rsidRPr="00E2771E">
              <w:rPr>
                <w:rFonts w:ascii="Arial Narrow" w:hAnsi="Arial Narrow"/>
                <w:sz w:val="20"/>
                <w:lang w:val="en-US"/>
              </w:rPr>
              <w:t>R, DB</w:t>
            </w:r>
          </w:p>
          <w:p w:rsidR="007F1017" w:rsidRPr="006D4C18" w:rsidRDefault="006D4C18" w:rsidP="007F1017">
            <w:pPr>
              <w:jc w:val="center"/>
              <w:rPr>
                <w:rFonts w:ascii="Arial Narrow" w:hAnsi="Arial Narrow"/>
                <w:sz w:val="20"/>
                <w:vertAlign w:val="superscript"/>
                <w:lang w:val="en-US"/>
              </w:rPr>
            </w:pPr>
            <w:r>
              <w:rPr>
                <w:rFonts w:ascii="Arial Narrow" w:hAnsi="Arial Narrow"/>
                <w:sz w:val="20"/>
                <w:lang w:val="en-US"/>
              </w:rPr>
              <w:t>71/64 weeks</w:t>
            </w:r>
            <w:r>
              <w:rPr>
                <w:rFonts w:ascii="Arial Narrow" w:hAnsi="Arial Narrow"/>
                <w:sz w:val="20"/>
                <w:vertAlign w:val="superscript"/>
                <w:lang w:val="en-US"/>
              </w:rPr>
              <w:t>a</w:t>
            </w:r>
          </w:p>
        </w:tc>
        <w:tc>
          <w:tcPr>
            <w:tcW w:w="594" w:type="pct"/>
            <w:shd w:val="clear" w:color="auto" w:fill="auto"/>
            <w:vAlign w:val="center"/>
          </w:tcPr>
          <w:p w:rsidR="007F1017" w:rsidRPr="00CC3258" w:rsidRDefault="003E55B3" w:rsidP="007F1017">
            <w:pPr>
              <w:jc w:val="center"/>
              <w:rPr>
                <w:rFonts w:ascii="Arial Narrow" w:hAnsi="Arial Narrow"/>
                <w:sz w:val="20"/>
                <w:vertAlign w:val="superscript"/>
                <w:lang w:val="en-US"/>
              </w:rPr>
            </w:pPr>
            <w:r>
              <w:rPr>
                <w:rFonts w:ascii="Arial Narrow" w:hAnsi="Arial Narrow"/>
                <w:sz w:val="20"/>
                <w:lang w:val="en-US"/>
              </w:rPr>
              <w:t>Low</w:t>
            </w:r>
            <w:r w:rsidR="00CC3258" w:rsidRPr="00980B09">
              <w:rPr>
                <w:rFonts w:ascii="Arial Narrow" w:hAnsi="Arial Narrow"/>
                <w:sz w:val="20"/>
                <w:vertAlign w:val="superscript"/>
                <w:lang w:val="en-US"/>
              </w:rPr>
              <w:t>b</w:t>
            </w:r>
          </w:p>
        </w:tc>
        <w:tc>
          <w:tcPr>
            <w:tcW w:w="933" w:type="pct"/>
            <w:shd w:val="clear" w:color="auto" w:fill="auto"/>
            <w:vAlign w:val="center"/>
          </w:tcPr>
          <w:p w:rsidR="007F1017" w:rsidRDefault="00B4411F" w:rsidP="007F1017">
            <w:pPr>
              <w:jc w:val="center"/>
              <w:rPr>
                <w:rFonts w:ascii="Arial Narrow" w:hAnsi="Arial Narrow"/>
                <w:sz w:val="20"/>
                <w:lang w:val="en-US"/>
              </w:rPr>
            </w:pPr>
            <w:r>
              <w:rPr>
                <w:rFonts w:ascii="Arial Narrow" w:hAnsi="Arial Narrow"/>
                <w:sz w:val="20"/>
                <w:lang w:val="en-US"/>
              </w:rPr>
              <w:t>WHO FC I-IV</w:t>
            </w:r>
          </w:p>
          <w:p w:rsidR="00B4411F" w:rsidRPr="00E2771E" w:rsidRDefault="00B4411F" w:rsidP="007F1017">
            <w:pPr>
              <w:jc w:val="center"/>
              <w:rPr>
                <w:rFonts w:ascii="Arial Narrow" w:hAnsi="Arial Narrow"/>
                <w:sz w:val="20"/>
                <w:lang w:val="en-US"/>
              </w:rPr>
            </w:pPr>
            <w:r>
              <w:rPr>
                <w:rFonts w:ascii="Arial Narrow" w:hAnsi="Arial Narrow"/>
                <w:sz w:val="20"/>
                <w:lang w:val="en-US"/>
              </w:rPr>
              <w:t>Treatment naive or receiving other PAH specific treatment</w:t>
            </w:r>
          </w:p>
        </w:tc>
        <w:tc>
          <w:tcPr>
            <w:tcW w:w="763" w:type="pct"/>
            <w:shd w:val="clear" w:color="auto" w:fill="auto"/>
            <w:vAlign w:val="center"/>
          </w:tcPr>
          <w:p w:rsidR="007F1017" w:rsidRPr="00B4411F" w:rsidRDefault="00B4411F" w:rsidP="00B4411F">
            <w:pPr>
              <w:jc w:val="center"/>
              <w:rPr>
                <w:rFonts w:ascii="Arial Narrow" w:hAnsi="Arial Narrow"/>
                <w:sz w:val="20"/>
                <w:vertAlign w:val="superscript"/>
                <w:lang w:val="en-US"/>
              </w:rPr>
            </w:pPr>
            <w:r>
              <w:rPr>
                <w:rFonts w:ascii="Arial Narrow" w:hAnsi="Arial Narrow"/>
                <w:sz w:val="20"/>
                <w:lang w:val="en-US"/>
              </w:rPr>
              <w:t xml:space="preserve">Time to first morbidity or mortality </w:t>
            </w:r>
            <w:r w:rsidR="008C5637">
              <w:rPr>
                <w:rFonts w:ascii="Arial Narrow" w:hAnsi="Arial Narrow"/>
                <w:sz w:val="20"/>
                <w:lang w:val="en-US"/>
              </w:rPr>
              <w:t xml:space="preserve">(MM) </w:t>
            </w:r>
            <w:r>
              <w:rPr>
                <w:rFonts w:ascii="Arial Narrow" w:hAnsi="Arial Narrow"/>
                <w:sz w:val="20"/>
                <w:lang w:val="en-US"/>
              </w:rPr>
              <w:t>event</w:t>
            </w:r>
            <w:r w:rsidR="00CC3258">
              <w:rPr>
                <w:rFonts w:ascii="Arial Narrow" w:hAnsi="Arial Narrow"/>
                <w:sz w:val="20"/>
                <w:vertAlign w:val="superscript"/>
                <w:lang w:val="en-US"/>
              </w:rPr>
              <w:t>c</w:t>
            </w:r>
          </w:p>
        </w:tc>
        <w:tc>
          <w:tcPr>
            <w:tcW w:w="761" w:type="pct"/>
            <w:shd w:val="clear" w:color="auto" w:fill="auto"/>
            <w:vAlign w:val="center"/>
          </w:tcPr>
          <w:p w:rsidR="007F1017" w:rsidRPr="00E2771E" w:rsidRDefault="006F4576" w:rsidP="00B4411F">
            <w:pPr>
              <w:jc w:val="center"/>
              <w:rPr>
                <w:rFonts w:ascii="Arial Narrow" w:hAnsi="Arial Narrow"/>
                <w:sz w:val="20"/>
                <w:lang w:val="en-US"/>
              </w:rPr>
            </w:pPr>
            <w:r>
              <w:rPr>
                <w:rFonts w:ascii="Arial Narrow" w:hAnsi="Arial Narrow"/>
                <w:sz w:val="20"/>
                <w:lang w:val="en-US"/>
              </w:rPr>
              <w:t xml:space="preserve">First </w:t>
            </w:r>
            <w:r w:rsidR="00B4411F">
              <w:rPr>
                <w:rFonts w:ascii="Arial Narrow" w:hAnsi="Arial Narrow"/>
                <w:sz w:val="20"/>
                <w:lang w:val="en-US"/>
              </w:rPr>
              <w:t>MM event rate</w:t>
            </w:r>
          </w:p>
        </w:tc>
      </w:tr>
    </w:tbl>
    <w:p w:rsidR="007F1017" w:rsidRDefault="00CF4C9C" w:rsidP="006D4C18">
      <w:pPr>
        <w:pStyle w:val="TableFooter"/>
        <w:ind w:left="709"/>
      </w:pPr>
      <w:r>
        <w:t xml:space="preserve">BGT = background therapy; </w:t>
      </w:r>
      <w:r w:rsidR="007F1017" w:rsidRPr="0072416F">
        <w:t>DB=double blind; MC=multi-centre;</w:t>
      </w:r>
      <w:r w:rsidR="008C5637">
        <w:t xml:space="preserve"> MM = morbidity or mortality;</w:t>
      </w:r>
      <w:r w:rsidR="00261234">
        <w:t xml:space="preserve"> PAH = pulmonary arterial hypertension;</w:t>
      </w:r>
      <w:r w:rsidR="007F1017" w:rsidRPr="0072416F">
        <w:t xml:space="preserve"> R=randomised</w:t>
      </w:r>
      <w:r w:rsidR="00FC7889">
        <w:t>; WHO FC = World Health Organisation Functional class</w:t>
      </w:r>
      <w:r w:rsidR="007F1017" w:rsidRPr="0072416F">
        <w:t>.</w:t>
      </w:r>
    </w:p>
    <w:p w:rsidR="00B4411F" w:rsidRDefault="00B4411F" w:rsidP="00B6382A">
      <w:pPr>
        <w:pStyle w:val="TableFooter"/>
        <w:ind w:left="851" w:hanging="142"/>
      </w:pPr>
      <w:r>
        <w:rPr>
          <w:vertAlign w:val="superscript"/>
        </w:rPr>
        <w:t>a</w:t>
      </w:r>
      <w:r>
        <w:t xml:space="preserve"> Median duration of study treatment in the </w:t>
      </w:r>
      <w:r w:rsidRPr="008646A7">
        <w:t>selexipag</w:t>
      </w:r>
      <w:r>
        <w:t>/placebo treatment arms.</w:t>
      </w:r>
    </w:p>
    <w:p w:rsidR="00CC3258" w:rsidRPr="00CC3258" w:rsidRDefault="00B6382A" w:rsidP="00B6382A">
      <w:pPr>
        <w:pStyle w:val="TableFooter"/>
        <w:ind w:left="851" w:hanging="142"/>
      </w:pPr>
      <w:r w:rsidRPr="003671A0">
        <w:rPr>
          <w:vertAlign w:val="superscript"/>
        </w:rPr>
        <w:t>b</w:t>
      </w:r>
      <w:r w:rsidRPr="003671A0">
        <w:t xml:space="preserve"> </w:t>
      </w:r>
      <w:r w:rsidR="00D141C3">
        <w:t>While d</w:t>
      </w:r>
      <w:r w:rsidR="003671A0" w:rsidRPr="0053466A">
        <w:t xml:space="preserve">ifferent rates of censoring between </w:t>
      </w:r>
      <w:r w:rsidR="00261234" w:rsidRPr="0053466A">
        <w:t xml:space="preserve">the </w:t>
      </w:r>
      <w:r w:rsidR="003671A0" w:rsidRPr="0053466A">
        <w:t>randomised groups biased the results of the primary outcome</w:t>
      </w:r>
      <w:r w:rsidR="00B10265">
        <w:t>,</w:t>
      </w:r>
      <w:r w:rsidR="003671A0" w:rsidRPr="0053466A">
        <w:t xml:space="preserve"> favouring selexipag</w:t>
      </w:r>
      <w:r w:rsidR="00D141C3">
        <w:t xml:space="preserve">, sensitivity analyses indicated that the conclusion of superiority for </w:t>
      </w:r>
      <w:r w:rsidR="00D141C3" w:rsidRPr="008646A7">
        <w:t>selexipag</w:t>
      </w:r>
      <w:r w:rsidR="00B10265">
        <w:t xml:space="preserve"> ± BGT</w:t>
      </w:r>
      <w:r w:rsidR="00D141C3">
        <w:t xml:space="preserve"> </w:t>
      </w:r>
      <w:r w:rsidR="00B10265">
        <w:t>over</w:t>
      </w:r>
      <w:r w:rsidR="00D141C3">
        <w:t xml:space="preserve"> placebo</w:t>
      </w:r>
      <w:r w:rsidR="00B10265">
        <w:t xml:space="preserve"> ± BGT</w:t>
      </w:r>
      <w:r w:rsidR="00D141C3">
        <w:t xml:space="preserve"> was robust</w:t>
      </w:r>
      <w:r w:rsidR="003671A0" w:rsidRPr="0053466A">
        <w:t>.</w:t>
      </w:r>
    </w:p>
    <w:p w:rsidR="00B6382A" w:rsidRPr="00B6382A" w:rsidRDefault="00CC3258" w:rsidP="00B6382A">
      <w:pPr>
        <w:pStyle w:val="TableFooter"/>
        <w:ind w:left="851" w:hanging="142"/>
      </w:pPr>
      <w:r>
        <w:rPr>
          <w:vertAlign w:val="superscript"/>
        </w:rPr>
        <w:t xml:space="preserve">c </w:t>
      </w:r>
      <w:r w:rsidR="00B6382A" w:rsidRPr="00CC3258">
        <w:t>Composite</w:t>
      </w:r>
      <w:r w:rsidR="00B6382A">
        <w:t xml:space="preserve"> outcome including (see below)</w:t>
      </w:r>
    </w:p>
    <w:p w:rsidR="007F1017" w:rsidRPr="0072416F" w:rsidRDefault="007F1017" w:rsidP="006D4C18">
      <w:pPr>
        <w:pStyle w:val="TableFooter"/>
        <w:ind w:left="709"/>
      </w:pPr>
      <w:r w:rsidRPr="0072416F">
        <w:t>Source: compiled during the evaluation</w:t>
      </w:r>
    </w:p>
    <w:p w:rsidR="007F1017" w:rsidRDefault="007F1017" w:rsidP="00B6382A">
      <w:pPr>
        <w:ind w:left="709"/>
      </w:pPr>
    </w:p>
    <w:p w:rsidR="00FD56F8" w:rsidRPr="00F4213A" w:rsidRDefault="00FD56F8" w:rsidP="00590A3C">
      <w:pPr>
        <w:pStyle w:val="ListParagraph"/>
        <w:widowControl/>
        <w:numPr>
          <w:ilvl w:val="1"/>
          <w:numId w:val="2"/>
        </w:numPr>
        <w:rPr>
          <w:szCs w:val="22"/>
        </w:rPr>
      </w:pPr>
      <w:r w:rsidRPr="00F4213A">
        <w:rPr>
          <w:szCs w:val="22"/>
        </w:rPr>
        <w:t>In the key randomised controlled trial (GRIPHON):</w:t>
      </w:r>
    </w:p>
    <w:p w:rsidR="00FD56F8" w:rsidRPr="00F4213A" w:rsidRDefault="00FD56F8" w:rsidP="00590A3C">
      <w:pPr>
        <w:pStyle w:val="ListParagraph"/>
        <w:numPr>
          <w:ilvl w:val="0"/>
          <w:numId w:val="11"/>
        </w:numPr>
      </w:pPr>
      <w:r w:rsidRPr="00F4213A">
        <w:t xml:space="preserve">46% of patients had WHO FC I or II PAH, and 20% were not receiving any PAH-specific medications at baseline (i.e. they received selexipag monotherapy in the trial). The trial ITT population </w:t>
      </w:r>
      <w:r w:rsidR="00185722" w:rsidRPr="00F4213A">
        <w:t>wa</w:t>
      </w:r>
      <w:r w:rsidRPr="00F4213A">
        <w:t>s</w:t>
      </w:r>
      <w:r w:rsidR="00044D4B" w:rsidRPr="00F4213A">
        <w:t>,</w:t>
      </w:r>
      <w:r w:rsidRPr="00F4213A">
        <w:t xml:space="preserve"> therefore</w:t>
      </w:r>
      <w:r w:rsidR="00044D4B" w:rsidRPr="00F4213A">
        <w:t>,</w:t>
      </w:r>
      <w:r w:rsidRPr="00F4213A">
        <w:t xml:space="preserve"> not representative of the eligible population under the requested listing; and</w:t>
      </w:r>
    </w:p>
    <w:p w:rsidR="00FD56F8" w:rsidRPr="00F4213A" w:rsidRDefault="00FD56F8" w:rsidP="00590A3C">
      <w:pPr>
        <w:pStyle w:val="ListParagraph"/>
        <w:numPr>
          <w:ilvl w:val="0"/>
          <w:numId w:val="11"/>
        </w:numPr>
      </w:pPr>
      <w:r w:rsidRPr="00F4213A">
        <w:t>Less than 1% of patients (N = 11) had WHO FC IV PAH.</w:t>
      </w:r>
    </w:p>
    <w:p w:rsidR="00FD56F8" w:rsidRPr="00F4213A" w:rsidRDefault="00FD56F8" w:rsidP="00FD56F8">
      <w:pPr>
        <w:pStyle w:val="ListParagraph"/>
        <w:widowControl/>
        <w:rPr>
          <w:szCs w:val="22"/>
        </w:rPr>
      </w:pPr>
    </w:p>
    <w:p w:rsidR="00B6382A" w:rsidRPr="00F4213A" w:rsidRDefault="00B6382A" w:rsidP="00590A3C">
      <w:pPr>
        <w:pStyle w:val="ListParagraph"/>
        <w:widowControl/>
        <w:numPr>
          <w:ilvl w:val="1"/>
          <w:numId w:val="2"/>
        </w:numPr>
        <w:rPr>
          <w:szCs w:val="22"/>
        </w:rPr>
      </w:pPr>
      <w:r w:rsidRPr="00F4213A">
        <w:rPr>
          <w:szCs w:val="22"/>
        </w:rPr>
        <w:t>The primary outcome in the GRIPHON trial was time to first Critical Event Committee (CEC)-confirmed morbidity or mortality (MM) event up to end-of-treatment (EOT) plus 7 days. This composite outcome included the following component end-points:</w:t>
      </w:r>
    </w:p>
    <w:p w:rsidR="00B6382A" w:rsidRPr="00F4213A" w:rsidRDefault="00B6382A" w:rsidP="00590A3C">
      <w:pPr>
        <w:pStyle w:val="ListParagraph"/>
        <w:numPr>
          <w:ilvl w:val="0"/>
          <w:numId w:val="11"/>
        </w:numPr>
      </w:pPr>
      <w:r w:rsidRPr="00F4213A">
        <w:t>All-cause mortality;</w:t>
      </w:r>
    </w:p>
    <w:p w:rsidR="00B6382A" w:rsidRPr="00F4213A" w:rsidRDefault="00B6382A" w:rsidP="00590A3C">
      <w:pPr>
        <w:pStyle w:val="ListParagraph"/>
        <w:numPr>
          <w:ilvl w:val="0"/>
          <w:numId w:val="11"/>
        </w:numPr>
      </w:pPr>
      <w:r w:rsidRPr="00F4213A">
        <w:t>Hospitalisation for worsening PAH;</w:t>
      </w:r>
    </w:p>
    <w:p w:rsidR="00B6382A" w:rsidRPr="00F4213A" w:rsidRDefault="00B6382A" w:rsidP="00590A3C">
      <w:pPr>
        <w:pStyle w:val="ListParagraph"/>
        <w:numPr>
          <w:ilvl w:val="0"/>
          <w:numId w:val="11"/>
        </w:numPr>
      </w:pPr>
      <w:r w:rsidRPr="00F4213A">
        <w:t>Worsening of PAH resulting in need for lung transplantation or balloon atrial septostomy;</w:t>
      </w:r>
    </w:p>
    <w:p w:rsidR="00B6382A" w:rsidRPr="00F4213A" w:rsidRDefault="00B6382A" w:rsidP="00590A3C">
      <w:pPr>
        <w:pStyle w:val="ListParagraph"/>
        <w:numPr>
          <w:ilvl w:val="0"/>
          <w:numId w:val="11"/>
        </w:numPr>
      </w:pPr>
      <w:r w:rsidRPr="00F4213A">
        <w:t xml:space="preserve">Initiation of parenteral prostanoid therapy or chronic oxygen therapy due </w:t>
      </w:r>
      <w:r w:rsidR="003A55CB" w:rsidRPr="00F4213A">
        <w:t>to</w:t>
      </w:r>
      <w:r w:rsidRPr="00F4213A">
        <w:t xml:space="preserve"> worsening PAH; and </w:t>
      </w:r>
    </w:p>
    <w:p w:rsidR="000540FF" w:rsidRPr="00F4213A" w:rsidRDefault="00B6382A" w:rsidP="00590A3C">
      <w:pPr>
        <w:pStyle w:val="ListParagraph"/>
        <w:numPr>
          <w:ilvl w:val="0"/>
          <w:numId w:val="11"/>
        </w:numPr>
      </w:pPr>
      <w:r w:rsidRPr="00F4213A">
        <w:t>Disease progression</w:t>
      </w:r>
      <w:r w:rsidR="00FC7889" w:rsidRPr="00F4213A">
        <w:t>,</w:t>
      </w:r>
      <w:r w:rsidR="000540FF" w:rsidRPr="00F4213A">
        <w:t xml:space="preserve"> confirmed by decrease in 6 minute walk distance (6MWD) from baseline of at least 15%, and either worsening of WHO FC </w:t>
      </w:r>
      <w:r w:rsidR="008C5637" w:rsidRPr="00F4213A">
        <w:t>or need for additional PAH specific therapy</w:t>
      </w:r>
      <w:r w:rsidR="0058410F" w:rsidRPr="00F4213A">
        <w:t xml:space="preserve"> (depending on WHO FC at baseline)</w:t>
      </w:r>
      <w:r w:rsidR="008C5637" w:rsidRPr="00F4213A">
        <w:t>.</w:t>
      </w:r>
      <w:r w:rsidR="000540FF" w:rsidRPr="00F4213A">
        <w:t xml:space="preserve"> </w:t>
      </w:r>
    </w:p>
    <w:p w:rsidR="000540FF" w:rsidRPr="00F4213A" w:rsidRDefault="000540FF" w:rsidP="000540FF">
      <w:pPr>
        <w:ind w:left="709"/>
      </w:pPr>
    </w:p>
    <w:p w:rsidR="000540FF" w:rsidRPr="00F4213A" w:rsidRDefault="009F4C80" w:rsidP="000540FF">
      <w:pPr>
        <w:ind w:left="709"/>
      </w:pPr>
      <w:r w:rsidRPr="00F4213A">
        <w:t xml:space="preserve">The PBAC previously considered the time to first MM event a more patient relevant outcome than the 6MWD (Macitentan PSD, March 2014 PBAC meeting). </w:t>
      </w:r>
    </w:p>
    <w:p w:rsidR="00775B75" w:rsidRPr="00F4213A" w:rsidRDefault="00775B75" w:rsidP="000540FF">
      <w:pPr>
        <w:ind w:left="709"/>
      </w:pPr>
    </w:p>
    <w:p w:rsidR="007D52D5" w:rsidRPr="00F4213A" w:rsidRDefault="007D52D5" w:rsidP="00590A3C">
      <w:pPr>
        <w:pStyle w:val="ListParagraph"/>
        <w:widowControl/>
        <w:numPr>
          <w:ilvl w:val="1"/>
          <w:numId w:val="2"/>
        </w:numPr>
        <w:rPr>
          <w:szCs w:val="22"/>
        </w:rPr>
      </w:pPr>
      <w:r w:rsidRPr="00F4213A">
        <w:rPr>
          <w:szCs w:val="22"/>
        </w:rPr>
        <w:t>The outcomes of the key trial were subject to the following limitations:</w:t>
      </w:r>
    </w:p>
    <w:p w:rsidR="007D52D5" w:rsidRPr="00F4213A" w:rsidRDefault="007D52D5" w:rsidP="00590A3C">
      <w:pPr>
        <w:pStyle w:val="ListParagraph"/>
        <w:numPr>
          <w:ilvl w:val="0"/>
          <w:numId w:val="13"/>
        </w:numPr>
        <w:ind w:left="1418"/>
      </w:pPr>
      <w:r w:rsidRPr="00F4213A">
        <w:t xml:space="preserve">Patients who experienced a non-fatal primary endpoint event were permitted to discontinue double-blind treatment and were eligible to receive treatment with open-label selexipag. </w:t>
      </w:r>
      <w:r w:rsidR="00A921E4" w:rsidRPr="00F4213A">
        <w:t xml:space="preserve">Patients were not followed for subsequent morbidity events. </w:t>
      </w:r>
      <w:r w:rsidRPr="00F4213A">
        <w:t xml:space="preserve">Consequently, survival data for each </w:t>
      </w:r>
      <w:r w:rsidR="00EF7E73" w:rsidRPr="00F4213A">
        <w:t xml:space="preserve">morbidity </w:t>
      </w:r>
      <w:r w:rsidRPr="00F4213A">
        <w:t>component of the primary outcome are not available and the second</w:t>
      </w:r>
      <w:r w:rsidR="0092776E" w:rsidRPr="00F4213A">
        <w:t xml:space="preserve">ary outcome of overall survival up to study closure </w:t>
      </w:r>
      <w:r w:rsidR="005B1434" w:rsidRPr="00F4213A">
        <w:t>was</w:t>
      </w:r>
      <w:r w:rsidRPr="00F4213A">
        <w:t xml:space="preserve"> confounded</w:t>
      </w:r>
      <w:r w:rsidR="005B1434" w:rsidRPr="00F4213A">
        <w:t xml:space="preserve"> by patients switching from placebo to selexipag</w:t>
      </w:r>
      <w:r w:rsidRPr="00F4213A">
        <w:t>; and</w:t>
      </w:r>
    </w:p>
    <w:p w:rsidR="007D52D5" w:rsidRPr="00F4213A" w:rsidRDefault="007D52D5" w:rsidP="00590A3C">
      <w:pPr>
        <w:pStyle w:val="ListParagraph"/>
        <w:numPr>
          <w:ilvl w:val="0"/>
          <w:numId w:val="13"/>
        </w:numPr>
        <w:ind w:left="1418"/>
      </w:pPr>
      <w:r w:rsidRPr="00F4213A">
        <w:t xml:space="preserve">Patients who discontinued treatment early (before study closure) without a </w:t>
      </w:r>
      <w:r w:rsidRPr="00F4213A">
        <w:lastRenderedPageBreak/>
        <w:t>primary outcome event, including for reasons such as discontinuation due to adverse events (AEs), were censored at this time point, rather than being followed to the end of the study. In the intention-to-treat (ITT) population, 22.6% of patients in the selexipag</w:t>
      </w:r>
      <w:r w:rsidR="00A3136A" w:rsidRPr="00F4213A">
        <w:t xml:space="preserve"> ± BGT</w:t>
      </w:r>
      <w:r w:rsidRPr="00F4213A">
        <w:t xml:space="preserve"> treatment group and 15.1% in the placebo </w:t>
      </w:r>
      <w:r w:rsidR="00A3136A" w:rsidRPr="00F4213A">
        <w:t xml:space="preserve">± BGT </w:t>
      </w:r>
      <w:r w:rsidRPr="00F4213A">
        <w:t>group were censored early</w:t>
      </w:r>
      <w:r w:rsidR="00A3136A" w:rsidRPr="00F4213A">
        <w:t xml:space="preserve">. This </w:t>
      </w:r>
      <w:r w:rsidR="00FE2302" w:rsidRPr="00F4213A">
        <w:t xml:space="preserve">differential </w:t>
      </w:r>
      <w:r w:rsidR="00A3136A" w:rsidRPr="00F4213A">
        <w:t>censoring biased the treatment effect estimates in favour of selexipag.</w:t>
      </w:r>
    </w:p>
    <w:p w:rsidR="00B60939" w:rsidRPr="00882085" w:rsidRDefault="00B60939" w:rsidP="00B60939">
      <w:pPr>
        <w:rPr>
          <w:szCs w:val="22"/>
        </w:rPr>
      </w:pPr>
    </w:p>
    <w:p w:rsidR="00B60939" w:rsidRPr="00F4213A" w:rsidRDefault="00B60939" w:rsidP="007170EE">
      <w:pPr>
        <w:pStyle w:val="Heading2"/>
      </w:pPr>
      <w:bookmarkStart w:id="9" w:name="_Toc440892682"/>
      <w:r w:rsidRPr="00F4213A">
        <w:t>Comparative effectiveness</w:t>
      </w:r>
      <w:bookmarkEnd w:id="9"/>
    </w:p>
    <w:p w:rsidR="00B60939" w:rsidRPr="006B0E7F" w:rsidRDefault="00B60939" w:rsidP="00B60939"/>
    <w:p w:rsidR="002C2775" w:rsidRPr="006B0E7F" w:rsidRDefault="002D1BF1" w:rsidP="00590A3C">
      <w:pPr>
        <w:pStyle w:val="ListParagraph"/>
        <w:widowControl/>
        <w:numPr>
          <w:ilvl w:val="1"/>
          <w:numId w:val="2"/>
        </w:numPr>
      </w:pPr>
      <w:r w:rsidRPr="007C3AE9">
        <w:t>Table 3</w:t>
      </w:r>
      <w:r w:rsidR="00E22BEC" w:rsidRPr="006B0E7F">
        <w:t xml:space="preserve"> </w:t>
      </w:r>
      <w:r w:rsidR="00737474" w:rsidRPr="007C3AE9">
        <w:t xml:space="preserve">summarises the results for </w:t>
      </w:r>
      <w:r w:rsidR="00072A35" w:rsidRPr="007C3AE9">
        <w:t xml:space="preserve">ITT </w:t>
      </w:r>
      <w:r w:rsidR="00E440FA" w:rsidRPr="007C3AE9">
        <w:t xml:space="preserve">analysis of time to </w:t>
      </w:r>
      <w:r w:rsidR="00737474" w:rsidRPr="007C3AE9">
        <w:t>first CEC-confirmed MM event</w:t>
      </w:r>
      <w:r w:rsidR="00DF0071" w:rsidRPr="007C3AE9">
        <w:t xml:space="preserve"> up to EOT plus 7 days</w:t>
      </w:r>
      <w:r w:rsidR="00737474" w:rsidRPr="007C3AE9">
        <w:t>.</w:t>
      </w:r>
      <w:r w:rsidR="00544B4B" w:rsidRPr="007C3AE9">
        <w:t xml:space="preserve"> Overall, the ESC considered that the composite outcome was diffi</w:t>
      </w:r>
      <w:r w:rsidR="00FA5AF7" w:rsidRPr="007C3AE9">
        <w:t>cult to interpret. In particular, the ESC questioned</w:t>
      </w:r>
      <w:r w:rsidR="00544B4B" w:rsidRPr="007C3AE9">
        <w:t>:</w:t>
      </w:r>
    </w:p>
    <w:p w:rsidR="00544B4B" w:rsidRPr="007C3AE9" w:rsidRDefault="00544B4B" w:rsidP="00590A3C">
      <w:pPr>
        <w:pStyle w:val="ListParagraph"/>
        <w:widowControl/>
        <w:numPr>
          <w:ilvl w:val="0"/>
          <w:numId w:val="15"/>
        </w:numPr>
        <w:rPr>
          <w:szCs w:val="22"/>
        </w:rPr>
      </w:pPr>
      <w:r w:rsidRPr="007C3AE9">
        <w:rPr>
          <w:szCs w:val="22"/>
        </w:rPr>
        <w:t xml:space="preserve">The difference between some of the MM events. </w:t>
      </w:r>
    </w:p>
    <w:p w:rsidR="00544B4B" w:rsidRPr="007C3AE9" w:rsidRDefault="00544B4B" w:rsidP="00590A3C">
      <w:pPr>
        <w:pStyle w:val="ListParagraph"/>
        <w:widowControl/>
        <w:numPr>
          <w:ilvl w:val="0"/>
          <w:numId w:val="15"/>
        </w:numPr>
        <w:rPr>
          <w:szCs w:val="22"/>
        </w:rPr>
      </w:pPr>
      <w:r w:rsidRPr="007C3AE9">
        <w:rPr>
          <w:szCs w:val="22"/>
        </w:rPr>
        <w:t>Whether patients could have more than one ‘first’ MM event</w:t>
      </w:r>
      <w:r w:rsidR="00640B2A" w:rsidRPr="007C3AE9">
        <w:rPr>
          <w:szCs w:val="22"/>
        </w:rPr>
        <w:t>, and in this case, how the decision was made to assign patients to a particular event.</w:t>
      </w:r>
    </w:p>
    <w:p w:rsidR="00BD28FA" w:rsidRDefault="00BD28FA" w:rsidP="00FA5AF7">
      <w:pPr>
        <w:widowControl/>
        <w:ind w:left="709"/>
        <w:rPr>
          <w:szCs w:val="22"/>
        </w:rPr>
      </w:pPr>
    </w:p>
    <w:p w:rsidR="00CE303D" w:rsidRDefault="00CE303D" w:rsidP="006B0E7F">
      <w:pPr>
        <w:pStyle w:val="ListParagraph"/>
        <w:widowControl/>
        <w:numPr>
          <w:ilvl w:val="1"/>
          <w:numId w:val="2"/>
        </w:numPr>
        <w:rPr>
          <w:szCs w:val="22"/>
        </w:rPr>
      </w:pPr>
      <w:r w:rsidRPr="006B0E7F">
        <w:t xml:space="preserve">The Pre-PBAC Response </w:t>
      </w:r>
      <w:r w:rsidR="00E03A34" w:rsidRPr="006B0E7F">
        <w:t xml:space="preserve">clarified that </w:t>
      </w:r>
      <w:r w:rsidR="001144DF" w:rsidRPr="006B0E7F">
        <w:t>only the first occurring event was counted,</w:t>
      </w:r>
      <w:r w:rsidR="001144DF">
        <w:rPr>
          <w:szCs w:val="22"/>
        </w:rPr>
        <w:t xml:space="preserve"> and that if a patient experienced more than one event concurrently, the patient was classified to the most severe event type. The order of severity of </w:t>
      </w:r>
      <w:r w:rsidR="001144DF">
        <w:t>events from most severe to least severe was death (any cause); hospitalisation for worsening of PAH; worsening of PAH resulting in need for lung transplantation or balloon atrial septostomy; initiation of parenteral prostanoid therapy or chronic oxygen therapy due to worsening of PAH; disease progression.</w:t>
      </w:r>
    </w:p>
    <w:p w:rsidR="00CE303D" w:rsidRDefault="00CE303D" w:rsidP="00FA5AF7">
      <w:pPr>
        <w:widowControl/>
        <w:ind w:left="709"/>
        <w:rPr>
          <w:szCs w:val="22"/>
        </w:rPr>
      </w:pPr>
    </w:p>
    <w:p w:rsidR="00030463" w:rsidRPr="007C3AE9" w:rsidRDefault="00FA5AF7" w:rsidP="00FA5AF7">
      <w:pPr>
        <w:widowControl/>
        <w:ind w:left="709"/>
        <w:rPr>
          <w:szCs w:val="22"/>
        </w:rPr>
      </w:pPr>
      <w:r w:rsidRPr="007C3AE9">
        <w:rPr>
          <w:szCs w:val="22"/>
        </w:rPr>
        <w:t>Overall, the ESC considered that t</w:t>
      </w:r>
      <w:r w:rsidR="00030463" w:rsidRPr="007C3AE9">
        <w:rPr>
          <w:szCs w:val="22"/>
        </w:rPr>
        <w:t xml:space="preserve">he use of a composite where death has the same </w:t>
      </w:r>
      <w:r w:rsidRPr="007C3AE9">
        <w:rPr>
          <w:szCs w:val="22"/>
        </w:rPr>
        <w:t xml:space="preserve">clinical relevance </w:t>
      </w:r>
      <w:r w:rsidR="00030463" w:rsidRPr="007C3AE9">
        <w:rPr>
          <w:szCs w:val="22"/>
        </w:rPr>
        <w:t>as hospitalisation is not informative.</w:t>
      </w:r>
    </w:p>
    <w:p w:rsidR="007F1017" w:rsidRPr="007C3AE9" w:rsidRDefault="007F1017" w:rsidP="007F1017">
      <w:pPr>
        <w:widowControl/>
        <w:rPr>
          <w:szCs w:val="22"/>
        </w:rPr>
      </w:pPr>
    </w:p>
    <w:p w:rsidR="00617A5D" w:rsidRDefault="00617A5D">
      <w:pPr>
        <w:widowControl/>
        <w:jc w:val="left"/>
        <w:rPr>
          <w:rFonts w:ascii="Arial Narrow" w:hAnsi="Arial Narrow"/>
          <w:b/>
          <w:bCs/>
          <w:sz w:val="20"/>
          <w:szCs w:val="18"/>
        </w:rPr>
      </w:pPr>
      <w:bookmarkStart w:id="10" w:name="_Ref438454791"/>
      <w:r>
        <w:br w:type="page"/>
      </w:r>
    </w:p>
    <w:p w:rsidR="0058410F" w:rsidRDefault="00E22BEC" w:rsidP="00A50B22">
      <w:pPr>
        <w:pStyle w:val="Caption"/>
        <w:keepNext/>
        <w:keepLines/>
        <w:ind w:left="709"/>
      </w:pPr>
      <w:r>
        <w:lastRenderedPageBreak/>
        <w:t xml:space="preserve">Table </w:t>
      </w:r>
      <w:r w:rsidR="002D1BF1">
        <w:rPr>
          <w:noProof/>
        </w:rPr>
        <w:t>3</w:t>
      </w:r>
      <w:bookmarkEnd w:id="10"/>
      <w:r w:rsidR="00737474">
        <w:t>: F</w:t>
      </w:r>
      <w:r w:rsidR="0058410F">
        <w:t>irst CEC-confirmed MM event up to EOT plus 7 days in the GRIPHON trial (ITT)</w:t>
      </w:r>
    </w:p>
    <w:tbl>
      <w:tblPr>
        <w:tblStyle w:val="TableGrid"/>
        <w:tblW w:w="4507" w:type="pct"/>
        <w:tblInd w:w="817" w:type="dxa"/>
        <w:tblLook w:val="04A0" w:firstRow="1" w:lastRow="0" w:firstColumn="1" w:lastColumn="0" w:noHBand="0" w:noVBand="1"/>
        <w:tblCaption w:val="Table 3: First CEC-confirmed MM event up to EOT plus 7 days in the GRIPHON trial (ITT)"/>
      </w:tblPr>
      <w:tblGrid>
        <w:gridCol w:w="4960"/>
        <w:gridCol w:w="1685"/>
        <w:gridCol w:w="1686"/>
      </w:tblGrid>
      <w:tr w:rsidR="0058410F" w:rsidRPr="005853B8" w:rsidTr="00DE38F7">
        <w:trPr>
          <w:tblHeader/>
        </w:trPr>
        <w:tc>
          <w:tcPr>
            <w:tcW w:w="2977" w:type="pct"/>
          </w:tcPr>
          <w:p w:rsidR="0058410F" w:rsidRPr="005853B8" w:rsidRDefault="0058410F" w:rsidP="00A50B22">
            <w:pPr>
              <w:pStyle w:val="Tabletext"/>
              <w:keepNext/>
              <w:keepLines/>
              <w:rPr>
                <w:b/>
              </w:rPr>
            </w:pPr>
          </w:p>
        </w:tc>
        <w:tc>
          <w:tcPr>
            <w:tcW w:w="1011" w:type="pct"/>
          </w:tcPr>
          <w:p w:rsidR="0058410F" w:rsidRDefault="0058410F" w:rsidP="00A50B22">
            <w:pPr>
              <w:pStyle w:val="Tabletext"/>
              <w:keepNext/>
              <w:keepLines/>
              <w:jc w:val="center"/>
              <w:rPr>
                <w:b/>
              </w:rPr>
            </w:pPr>
            <w:r>
              <w:rPr>
                <w:b/>
              </w:rPr>
              <w:t>Selexipag ± BGT</w:t>
            </w:r>
          </w:p>
          <w:p w:rsidR="0058410F" w:rsidRDefault="0058410F" w:rsidP="00A50B22">
            <w:pPr>
              <w:pStyle w:val="Tabletext"/>
              <w:keepNext/>
              <w:keepLines/>
              <w:jc w:val="center"/>
              <w:rPr>
                <w:b/>
              </w:rPr>
            </w:pPr>
            <w:r>
              <w:rPr>
                <w:b/>
              </w:rPr>
              <w:t>N=574</w:t>
            </w:r>
          </w:p>
          <w:p w:rsidR="0058410F" w:rsidRPr="005853B8" w:rsidRDefault="0058410F" w:rsidP="00A50B22">
            <w:pPr>
              <w:pStyle w:val="Tabletext"/>
              <w:keepNext/>
              <w:keepLines/>
              <w:jc w:val="center"/>
              <w:rPr>
                <w:b/>
              </w:rPr>
            </w:pPr>
            <w:r>
              <w:rPr>
                <w:b/>
              </w:rPr>
              <w:t>n (%)</w:t>
            </w:r>
          </w:p>
        </w:tc>
        <w:tc>
          <w:tcPr>
            <w:tcW w:w="1012" w:type="pct"/>
          </w:tcPr>
          <w:p w:rsidR="0058410F" w:rsidRDefault="0058410F" w:rsidP="00A50B22">
            <w:pPr>
              <w:pStyle w:val="Tabletext"/>
              <w:keepNext/>
              <w:keepLines/>
              <w:jc w:val="center"/>
              <w:rPr>
                <w:b/>
              </w:rPr>
            </w:pPr>
            <w:r>
              <w:rPr>
                <w:b/>
              </w:rPr>
              <w:t>Placebo ± BGT</w:t>
            </w:r>
          </w:p>
          <w:p w:rsidR="0058410F" w:rsidRDefault="0058410F" w:rsidP="00A50B22">
            <w:pPr>
              <w:pStyle w:val="Tabletext"/>
              <w:keepNext/>
              <w:keepLines/>
              <w:jc w:val="center"/>
              <w:rPr>
                <w:b/>
              </w:rPr>
            </w:pPr>
            <w:r>
              <w:rPr>
                <w:b/>
              </w:rPr>
              <w:t>N=582</w:t>
            </w:r>
          </w:p>
          <w:p w:rsidR="0058410F" w:rsidRPr="005853B8" w:rsidRDefault="0058410F" w:rsidP="00A50B22">
            <w:pPr>
              <w:pStyle w:val="Tabletext"/>
              <w:keepNext/>
              <w:keepLines/>
              <w:jc w:val="center"/>
              <w:rPr>
                <w:b/>
              </w:rPr>
            </w:pPr>
            <w:r>
              <w:rPr>
                <w:b/>
              </w:rPr>
              <w:t>n (%)</w:t>
            </w:r>
          </w:p>
        </w:tc>
      </w:tr>
      <w:tr w:rsidR="00D81506" w:rsidRPr="00D81506" w:rsidTr="003022BD">
        <w:tc>
          <w:tcPr>
            <w:tcW w:w="2977" w:type="pct"/>
          </w:tcPr>
          <w:p w:rsidR="00D81506" w:rsidRPr="00D81506" w:rsidRDefault="00D81506" w:rsidP="0058410F">
            <w:pPr>
              <w:pStyle w:val="Tabletext"/>
              <w:rPr>
                <w:vertAlign w:val="superscript"/>
              </w:rPr>
            </w:pPr>
            <w:r>
              <w:t>Median duration of follow-up, weeks (IQR)</w:t>
            </w:r>
            <w:r>
              <w:rPr>
                <w:vertAlign w:val="superscript"/>
              </w:rPr>
              <w:t>a</w:t>
            </w:r>
          </w:p>
        </w:tc>
        <w:tc>
          <w:tcPr>
            <w:tcW w:w="1011" w:type="pct"/>
          </w:tcPr>
          <w:p w:rsidR="00D81506" w:rsidRPr="00D81506" w:rsidRDefault="00D81506" w:rsidP="0058410F">
            <w:pPr>
              <w:pStyle w:val="Tabletext"/>
              <w:jc w:val="center"/>
            </w:pPr>
            <w:r>
              <w:t>70.7 (32.0, 117.1)</w:t>
            </w:r>
          </w:p>
        </w:tc>
        <w:tc>
          <w:tcPr>
            <w:tcW w:w="1012" w:type="pct"/>
          </w:tcPr>
          <w:p w:rsidR="00D81506" w:rsidRPr="00D81506" w:rsidRDefault="00D81506" w:rsidP="0058410F">
            <w:pPr>
              <w:pStyle w:val="Tabletext"/>
              <w:jc w:val="center"/>
            </w:pPr>
            <w:r>
              <w:t>63.7 (28.6, 107.1)</w:t>
            </w:r>
          </w:p>
        </w:tc>
      </w:tr>
      <w:tr w:rsidR="0058410F" w:rsidTr="003022BD">
        <w:tc>
          <w:tcPr>
            <w:tcW w:w="2977" w:type="pct"/>
          </w:tcPr>
          <w:p w:rsidR="0058410F" w:rsidRPr="00416DA8" w:rsidRDefault="0058410F" w:rsidP="0058410F">
            <w:pPr>
              <w:pStyle w:val="Tabletext"/>
              <w:rPr>
                <w:b/>
              </w:rPr>
            </w:pPr>
            <w:r w:rsidRPr="00416DA8">
              <w:rPr>
                <w:b/>
              </w:rPr>
              <w:t xml:space="preserve">Patients with CEC-confirmed </w:t>
            </w:r>
            <w:r w:rsidR="008070BA">
              <w:rPr>
                <w:b/>
              </w:rPr>
              <w:t xml:space="preserve">first </w:t>
            </w:r>
            <w:r w:rsidRPr="00416DA8">
              <w:rPr>
                <w:b/>
              </w:rPr>
              <w:t>MM event</w:t>
            </w:r>
            <w:r w:rsidR="008070BA">
              <w:rPr>
                <w:b/>
              </w:rPr>
              <w:t xml:space="preserve"> to EOT+7 days</w:t>
            </w:r>
          </w:p>
        </w:tc>
        <w:tc>
          <w:tcPr>
            <w:tcW w:w="1011" w:type="pct"/>
          </w:tcPr>
          <w:p w:rsidR="0058410F" w:rsidRDefault="0058410F" w:rsidP="0058410F">
            <w:pPr>
              <w:pStyle w:val="Tabletext"/>
              <w:jc w:val="center"/>
            </w:pPr>
            <w:r>
              <w:t>155 (27.0%)</w:t>
            </w:r>
          </w:p>
        </w:tc>
        <w:tc>
          <w:tcPr>
            <w:tcW w:w="1012" w:type="pct"/>
          </w:tcPr>
          <w:p w:rsidR="0058410F" w:rsidRDefault="0058410F" w:rsidP="0058410F">
            <w:pPr>
              <w:pStyle w:val="Tabletext"/>
              <w:jc w:val="center"/>
            </w:pPr>
            <w:r>
              <w:t>242 (41.6%)</w:t>
            </w:r>
          </w:p>
        </w:tc>
      </w:tr>
      <w:tr w:rsidR="0058410F" w:rsidTr="003022BD">
        <w:tc>
          <w:tcPr>
            <w:tcW w:w="2977" w:type="pct"/>
          </w:tcPr>
          <w:p w:rsidR="0058410F" w:rsidRPr="004576A1" w:rsidRDefault="0058410F" w:rsidP="0058410F">
            <w:pPr>
              <w:pStyle w:val="Tabletext"/>
              <w:rPr>
                <w:vertAlign w:val="superscript"/>
              </w:rPr>
            </w:pPr>
            <w:r w:rsidRPr="0005253A">
              <w:t>Hazard ratio</w:t>
            </w:r>
            <w:r>
              <w:t xml:space="preserve"> (99% CI)</w:t>
            </w:r>
            <w:r w:rsidRPr="0005253A">
              <w:t xml:space="preserve">; </w:t>
            </w:r>
            <w:r>
              <w:br/>
            </w:r>
            <w:r w:rsidRPr="0005253A">
              <w:t>1-sided stratified log-rank p-value</w:t>
            </w:r>
            <w:r w:rsidR="004576A1">
              <w:rPr>
                <w:vertAlign w:val="superscript"/>
              </w:rPr>
              <w:t>b</w:t>
            </w:r>
          </w:p>
        </w:tc>
        <w:tc>
          <w:tcPr>
            <w:tcW w:w="2023" w:type="pct"/>
            <w:gridSpan w:val="2"/>
          </w:tcPr>
          <w:p w:rsidR="0058410F" w:rsidRDefault="0058410F" w:rsidP="0058410F">
            <w:pPr>
              <w:pStyle w:val="Tabletext"/>
              <w:jc w:val="center"/>
            </w:pPr>
            <w:r>
              <w:t>0.60 (0.46, 0.78)</w:t>
            </w:r>
          </w:p>
          <w:p w:rsidR="0058410F" w:rsidRDefault="0058410F" w:rsidP="0058410F">
            <w:pPr>
              <w:pStyle w:val="Tabletext"/>
              <w:jc w:val="center"/>
            </w:pPr>
            <w:r>
              <w:t>&lt;0.0001</w:t>
            </w:r>
          </w:p>
        </w:tc>
      </w:tr>
      <w:tr w:rsidR="0058410F" w:rsidRPr="00F4213A" w:rsidTr="0058410F">
        <w:tc>
          <w:tcPr>
            <w:tcW w:w="5000" w:type="pct"/>
            <w:gridSpan w:val="3"/>
          </w:tcPr>
          <w:p w:rsidR="0058410F" w:rsidRPr="00F4213A" w:rsidRDefault="0058410F" w:rsidP="0058410F">
            <w:pPr>
              <w:pStyle w:val="Tabletext"/>
              <w:rPr>
                <w:vertAlign w:val="superscript"/>
              </w:rPr>
            </w:pPr>
            <w:r w:rsidRPr="00F4213A">
              <w:t>Component outcomes</w:t>
            </w:r>
            <w:r w:rsidR="008070BA" w:rsidRPr="00F4213A">
              <w:rPr>
                <w:vertAlign w:val="superscript"/>
              </w:rPr>
              <w:t>c</w:t>
            </w:r>
          </w:p>
        </w:tc>
      </w:tr>
      <w:tr w:rsidR="0058410F" w:rsidRPr="00F4213A" w:rsidTr="003022BD">
        <w:tc>
          <w:tcPr>
            <w:tcW w:w="2977" w:type="pct"/>
          </w:tcPr>
          <w:p w:rsidR="0058410F" w:rsidRPr="00F4213A" w:rsidRDefault="0058410F" w:rsidP="0058410F">
            <w:pPr>
              <w:pStyle w:val="Tabletext"/>
              <w:ind w:left="142"/>
            </w:pPr>
            <w:r w:rsidRPr="00F4213A">
              <w:t>Death all causes</w:t>
            </w:r>
          </w:p>
        </w:tc>
        <w:tc>
          <w:tcPr>
            <w:tcW w:w="1011" w:type="pct"/>
          </w:tcPr>
          <w:p w:rsidR="0058410F" w:rsidRPr="00F4213A" w:rsidRDefault="0058410F" w:rsidP="0058410F">
            <w:pPr>
              <w:pStyle w:val="Tabletext"/>
              <w:jc w:val="center"/>
            </w:pPr>
            <w:r w:rsidRPr="00F4213A">
              <w:t>28 (4.9%)</w:t>
            </w:r>
          </w:p>
        </w:tc>
        <w:tc>
          <w:tcPr>
            <w:tcW w:w="1012" w:type="pct"/>
          </w:tcPr>
          <w:p w:rsidR="0058410F" w:rsidRPr="00F4213A" w:rsidRDefault="0058410F" w:rsidP="0058410F">
            <w:pPr>
              <w:pStyle w:val="Tabletext"/>
              <w:jc w:val="center"/>
            </w:pPr>
            <w:r w:rsidRPr="00F4213A">
              <w:t>18 (3.1%)</w:t>
            </w:r>
          </w:p>
        </w:tc>
      </w:tr>
      <w:tr w:rsidR="0058410F" w:rsidRPr="00F4213A" w:rsidTr="003022BD">
        <w:tc>
          <w:tcPr>
            <w:tcW w:w="2977" w:type="pct"/>
          </w:tcPr>
          <w:p w:rsidR="0058410F" w:rsidRPr="00F4213A" w:rsidRDefault="0058410F" w:rsidP="0058410F">
            <w:pPr>
              <w:pStyle w:val="Tabletext"/>
              <w:ind w:left="142"/>
            </w:pPr>
            <w:r w:rsidRPr="00F4213A">
              <w:t>Hospitalisation for PAH worsening</w:t>
            </w:r>
          </w:p>
        </w:tc>
        <w:tc>
          <w:tcPr>
            <w:tcW w:w="1011" w:type="pct"/>
          </w:tcPr>
          <w:p w:rsidR="0058410F" w:rsidRPr="00F4213A" w:rsidRDefault="0058410F" w:rsidP="0058410F">
            <w:pPr>
              <w:pStyle w:val="Tabletext"/>
              <w:jc w:val="center"/>
            </w:pPr>
            <w:r w:rsidRPr="00F4213A">
              <w:t>78 (13.6%)</w:t>
            </w:r>
          </w:p>
        </w:tc>
        <w:tc>
          <w:tcPr>
            <w:tcW w:w="1012" w:type="pct"/>
          </w:tcPr>
          <w:p w:rsidR="0058410F" w:rsidRPr="00F4213A" w:rsidRDefault="0058410F" w:rsidP="0058410F">
            <w:pPr>
              <w:pStyle w:val="Tabletext"/>
              <w:jc w:val="center"/>
            </w:pPr>
            <w:r w:rsidRPr="00F4213A">
              <w:t>109 (18.7%)</w:t>
            </w:r>
          </w:p>
        </w:tc>
      </w:tr>
      <w:tr w:rsidR="0058410F" w:rsidRPr="00F4213A" w:rsidTr="003022BD">
        <w:tc>
          <w:tcPr>
            <w:tcW w:w="2977" w:type="pct"/>
          </w:tcPr>
          <w:p w:rsidR="0058410F" w:rsidRPr="00F4213A" w:rsidRDefault="0058410F" w:rsidP="0058410F">
            <w:pPr>
              <w:pStyle w:val="Tabletext"/>
              <w:ind w:left="142"/>
            </w:pPr>
            <w:r w:rsidRPr="00F4213A">
              <w:t>Parenteral prostanoid or chronic oxygen therapy</w:t>
            </w:r>
          </w:p>
        </w:tc>
        <w:tc>
          <w:tcPr>
            <w:tcW w:w="1011" w:type="pct"/>
          </w:tcPr>
          <w:p w:rsidR="0058410F" w:rsidRPr="00F4213A" w:rsidRDefault="0058410F" w:rsidP="0058410F">
            <w:pPr>
              <w:pStyle w:val="Tabletext"/>
              <w:jc w:val="center"/>
            </w:pPr>
            <w:r w:rsidRPr="00F4213A">
              <w:t>10 (1.7%)</w:t>
            </w:r>
          </w:p>
        </w:tc>
        <w:tc>
          <w:tcPr>
            <w:tcW w:w="1012" w:type="pct"/>
          </w:tcPr>
          <w:p w:rsidR="0058410F" w:rsidRPr="00F4213A" w:rsidRDefault="0058410F" w:rsidP="0058410F">
            <w:pPr>
              <w:pStyle w:val="Tabletext"/>
              <w:jc w:val="center"/>
            </w:pPr>
            <w:r w:rsidRPr="00F4213A">
              <w:t>13 (2.2%)</w:t>
            </w:r>
          </w:p>
        </w:tc>
      </w:tr>
      <w:tr w:rsidR="0058410F" w:rsidRPr="00F4213A" w:rsidTr="003022BD">
        <w:tc>
          <w:tcPr>
            <w:tcW w:w="2977" w:type="pct"/>
          </w:tcPr>
          <w:p w:rsidR="0058410F" w:rsidRPr="00F4213A" w:rsidRDefault="0058410F" w:rsidP="0058410F">
            <w:pPr>
              <w:pStyle w:val="Tabletext"/>
              <w:ind w:left="142"/>
            </w:pPr>
            <w:r w:rsidRPr="00F4213A">
              <w:t>Lung transplantation or balloon atrial septostomy</w:t>
            </w:r>
          </w:p>
        </w:tc>
        <w:tc>
          <w:tcPr>
            <w:tcW w:w="1011" w:type="pct"/>
          </w:tcPr>
          <w:p w:rsidR="0058410F" w:rsidRPr="00F4213A" w:rsidRDefault="0058410F" w:rsidP="0058410F">
            <w:pPr>
              <w:pStyle w:val="Tabletext"/>
              <w:jc w:val="center"/>
            </w:pPr>
            <w:r w:rsidRPr="00F4213A">
              <w:t>1 (0.2%)</w:t>
            </w:r>
          </w:p>
        </w:tc>
        <w:tc>
          <w:tcPr>
            <w:tcW w:w="1012" w:type="pct"/>
          </w:tcPr>
          <w:p w:rsidR="0058410F" w:rsidRPr="00F4213A" w:rsidRDefault="0058410F" w:rsidP="0058410F">
            <w:pPr>
              <w:pStyle w:val="Tabletext"/>
              <w:jc w:val="center"/>
            </w:pPr>
            <w:r w:rsidRPr="00F4213A">
              <w:t>2 (0.3%)</w:t>
            </w:r>
          </w:p>
        </w:tc>
      </w:tr>
      <w:tr w:rsidR="0058410F" w:rsidRPr="00F4213A" w:rsidTr="003022BD">
        <w:tc>
          <w:tcPr>
            <w:tcW w:w="2977" w:type="pct"/>
          </w:tcPr>
          <w:p w:rsidR="0058410F" w:rsidRPr="00F4213A" w:rsidRDefault="00D81506" w:rsidP="004576A1">
            <w:pPr>
              <w:pStyle w:val="Tabletext"/>
              <w:ind w:left="142"/>
              <w:rPr>
                <w:vertAlign w:val="superscript"/>
              </w:rPr>
            </w:pPr>
            <w:r w:rsidRPr="00F4213A">
              <w:t xml:space="preserve">Disease </w:t>
            </w:r>
            <w:r w:rsidR="004576A1" w:rsidRPr="00F4213A">
              <w:t>progression</w:t>
            </w:r>
            <w:r w:rsidR="008070BA" w:rsidRPr="00F4213A">
              <w:rPr>
                <w:vertAlign w:val="superscript"/>
              </w:rPr>
              <w:t>d</w:t>
            </w:r>
          </w:p>
        </w:tc>
        <w:tc>
          <w:tcPr>
            <w:tcW w:w="1011" w:type="pct"/>
          </w:tcPr>
          <w:p w:rsidR="0058410F" w:rsidRPr="00F4213A" w:rsidRDefault="0058410F" w:rsidP="0058410F">
            <w:pPr>
              <w:pStyle w:val="Tabletext"/>
              <w:jc w:val="center"/>
            </w:pPr>
            <w:r w:rsidRPr="00F4213A">
              <w:t>38 (6.6%)</w:t>
            </w:r>
          </w:p>
        </w:tc>
        <w:tc>
          <w:tcPr>
            <w:tcW w:w="1012" w:type="pct"/>
          </w:tcPr>
          <w:p w:rsidR="0058410F" w:rsidRPr="00F4213A" w:rsidRDefault="0058410F" w:rsidP="0058410F">
            <w:pPr>
              <w:pStyle w:val="Tabletext"/>
              <w:jc w:val="center"/>
            </w:pPr>
            <w:r w:rsidRPr="00F4213A">
              <w:t>100 (17.2%)</w:t>
            </w:r>
          </w:p>
        </w:tc>
      </w:tr>
    </w:tbl>
    <w:p w:rsidR="0058410F" w:rsidRPr="00F4213A" w:rsidRDefault="0058410F" w:rsidP="0058410F">
      <w:pPr>
        <w:pStyle w:val="TableFooter"/>
        <w:ind w:left="709"/>
      </w:pPr>
      <w:r w:rsidRPr="00F4213A">
        <w:t>BGT = background therapy; CEC = Critical Event Committee; CI = confidence i</w:t>
      </w:r>
      <w:r w:rsidR="00F117C1" w:rsidRPr="00F4213A">
        <w:t>nterval; EOT = end-of-</w:t>
      </w:r>
      <w:r w:rsidRPr="00F4213A">
        <w:t xml:space="preserve">treatment; </w:t>
      </w:r>
      <w:r w:rsidR="00D81506" w:rsidRPr="00F4213A">
        <w:t xml:space="preserve">IQR = interquartile range; </w:t>
      </w:r>
      <w:r w:rsidRPr="00F4213A">
        <w:t>ITT = intention-to-treat; MM = morbidity or mortality; PAH = pulmonary arterial hypertension</w:t>
      </w:r>
    </w:p>
    <w:p w:rsidR="00D81506" w:rsidRPr="00F4213A" w:rsidRDefault="00D81506" w:rsidP="0058410F">
      <w:pPr>
        <w:pStyle w:val="TableFooter"/>
        <w:ind w:left="709"/>
      </w:pPr>
      <w:r w:rsidRPr="00F4213A">
        <w:rPr>
          <w:vertAlign w:val="superscript"/>
        </w:rPr>
        <w:t>a</w:t>
      </w:r>
      <w:r w:rsidRPr="00F4213A">
        <w:t xml:space="preserve"> Safety analysis set</w:t>
      </w:r>
    </w:p>
    <w:p w:rsidR="002F73F6" w:rsidRPr="00F4213A" w:rsidRDefault="004576A1" w:rsidP="002F73F6">
      <w:pPr>
        <w:pStyle w:val="TableFooter"/>
        <w:ind w:left="709"/>
      </w:pPr>
      <w:r w:rsidRPr="00F4213A">
        <w:rPr>
          <w:vertAlign w:val="superscript"/>
        </w:rPr>
        <w:t>b</w:t>
      </w:r>
      <w:r w:rsidRPr="00F4213A">
        <w:t xml:space="preserve"> </w:t>
      </w:r>
      <w:r w:rsidR="002F73F6" w:rsidRPr="00F4213A">
        <w:t>Group sequential efficacy boundary for the primary analysis: one-sided p-value ≤0.00499.</w:t>
      </w:r>
    </w:p>
    <w:p w:rsidR="008070BA" w:rsidRPr="00F4213A" w:rsidRDefault="008070BA" w:rsidP="002F73F6">
      <w:pPr>
        <w:pStyle w:val="TableFooter"/>
        <w:ind w:left="709"/>
      </w:pPr>
      <w:r w:rsidRPr="00F4213A">
        <w:rPr>
          <w:vertAlign w:val="superscript"/>
        </w:rPr>
        <w:t>c</w:t>
      </w:r>
      <w:r w:rsidRPr="00F4213A">
        <w:t xml:space="preserve"> Survival data for component outcomes were not available</w:t>
      </w:r>
      <w:r w:rsidR="00A921E4" w:rsidRPr="00F4213A">
        <w:t xml:space="preserve"> as patients were only followed up to 7 days afte</w:t>
      </w:r>
      <w:r w:rsidR="009037A3" w:rsidRPr="00F4213A">
        <w:t>r end of treatment</w:t>
      </w:r>
      <w:r w:rsidRPr="00F4213A">
        <w:t>.</w:t>
      </w:r>
    </w:p>
    <w:p w:rsidR="0058410F" w:rsidRPr="00F4213A" w:rsidRDefault="008070BA" w:rsidP="00CF4C9C">
      <w:pPr>
        <w:pStyle w:val="TableFooter"/>
        <w:ind w:left="851" w:hanging="142"/>
      </w:pPr>
      <w:r w:rsidRPr="00F4213A">
        <w:rPr>
          <w:vertAlign w:val="superscript"/>
        </w:rPr>
        <w:t>d</w:t>
      </w:r>
      <w:r w:rsidR="004576A1" w:rsidRPr="00F4213A">
        <w:t xml:space="preserve"> </w:t>
      </w:r>
      <w:r w:rsidR="00CF4C9C" w:rsidRPr="00F4213A">
        <w:t>The submission did not provide a</w:t>
      </w:r>
      <w:r w:rsidR="0058410F" w:rsidRPr="00F4213A">
        <w:t xml:space="preserve"> breakdown of disease progression events and </w:t>
      </w:r>
      <w:r w:rsidR="00CF4C9C" w:rsidRPr="00F4213A">
        <w:t xml:space="preserve">this information </w:t>
      </w:r>
      <w:r w:rsidR="0058410F" w:rsidRPr="00F4213A">
        <w:t xml:space="preserve">could not </w:t>
      </w:r>
      <w:r w:rsidR="004B5F09" w:rsidRPr="00F4213A">
        <w:t>b</w:t>
      </w:r>
      <w:r w:rsidR="0058410F" w:rsidRPr="00F4213A">
        <w:t>e located in the GRIPHON CSR.</w:t>
      </w:r>
    </w:p>
    <w:p w:rsidR="0058410F" w:rsidRPr="00F4213A" w:rsidRDefault="0058410F" w:rsidP="0058410F">
      <w:pPr>
        <w:pStyle w:val="TableFooter"/>
        <w:ind w:left="709"/>
      </w:pPr>
      <w:r w:rsidRPr="00F4213A">
        <w:t>Source: Table B.6-1, p 84 of the submission</w:t>
      </w:r>
    </w:p>
    <w:p w:rsidR="00B60939" w:rsidRDefault="00B60939" w:rsidP="00B60939">
      <w:pPr>
        <w:rPr>
          <w:szCs w:val="22"/>
        </w:rPr>
      </w:pPr>
    </w:p>
    <w:p w:rsidR="0058410F" w:rsidRPr="00F4213A" w:rsidRDefault="009518D9" w:rsidP="006B0E7F">
      <w:pPr>
        <w:pStyle w:val="ListParagraph"/>
        <w:widowControl/>
        <w:numPr>
          <w:ilvl w:val="1"/>
          <w:numId w:val="2"/>
        </w:numPr>
      </w:pPr>
      <w:r w:rsidRPr="00F4213A">
        <w:t xml:space="preserve">The beneficial effect of selexipag ± BGT over placebo ± BGT was due to both a difference in disease progression (decrease in 6MWD from baseline plus either worsening of WHO FC or need for additional PAH specific therapy), and a lower rate of hospitalisation for worsening of PAH in the selexipag ± BGT arm compared to the placebo ± BGT arm. </w:t>
      </w:r>
      <w:r w:rsidR="00FE2302" w:rsidRPr="00F4213A">
        <w:t>There was no evidence that selexipag had a statistically significant effect on overall survival.</w:t>
      </w:r>
    </w:p>
    <w:p w:rsidR="001144DF" w:rsidRDefault="001144DF" w:rsidP="001144DF">
      <w:pPr>
        <w:widowControl/>
        <w:jc w:val="left"/>
        <w:rPr>
          <w:rFonts w:ascii="Arial Narrow" w:hAnsi="Arial Narrow"/>
          <w:b/>
          <w:i/>
          <w:sz w:val="20"/>
        </w:rPr>
      </w:pPr>
    </w:p>
    <w:p w:rsidR="0036345D" w:rsidRPr="006B0E7F" w:rsidRDefault="00F80119" w:rsidP="006B0E7F">
      <w:pPr>
        <w:widowControl/>
        <w:ind w:firstLine="709"/>
        <w:jc w:val="left"/>
        <w:rPr>
          <w:rFonts w:ascii="Arial Narrow" w:hAnsi="Arial Narrow"/>
          <w:b/>
          <w:sz w:val="20"/>
        </w:rPr>
      </w:pPr>
      <w:r w:rsidRPr="006B0E7F">
        <w:rPr>
          <w:rFonts w:ascii="Arial Narrow" w:hAnsi="Arial Narrow"/>
          <w:b/>
          <w:sz w:val="20"/>
        </w:rPr>
        <w:t>Figure 1: Time to first MM event</w:t>
      </w:r>
    </w:p>
    <w:p w:rsidR="00544B4B" w:rsidRDefault="00544B4B" w:rsidP="00544B4B">
      <w:pPr>
        <w:ind w:left="709"/>
        <w:rPr>
          <w:i/>
        </w:rPr>
      </w:pPr>
      <w:r w:rsidRPr="00833243">
        <w:rPr>
          <w:i/>
          <w:noProof/>
          <w:lang w:eastAsia="en-AU"/>
        </w:rPr>
        <w:drawing>
          <wp:inline distT="0" distB="0" distL="0" distR="0" wp14:anchorId="284FA26F" wp14:editId="121748E7">
            <wp:extent cx="3832529" cy="2985284"/>
            <wp:effectExtent l="0" t="0" r="0" b="5715"/>
            <wp:docPr id="1" name="Picture 1" title="Figure 1: Time to first MM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001" cy="2991104"/>
                    </a:xfrm>
                    <a:prstGeom prst="rect">
                      <a:avLst/>
                    </a:prstGeom>
                    <a:noFill/>
                    <a:ln>
                      <a:noFill/>
                    </a:ln>
                  </pic:spPr>
                </pic:pic>
              </a:graphicData>
            </a:graphic>
          </wp:inline>
        </w:drawing>
      </w:r>
    </w:p>
    <w:p w:rsidR="00F80119" w:rsidRDefault="00F80119" w:rsidP="00F80119">
      <w:pPr>
        <w:pStyle w:val="CommentText"/>
        <w:rPr>
          <w:rFonts w:ascii="Arial Narrow" w:hAnsi="Arial Narrow"/>
          <w:i/>
        </w:rPr>
      </w:pPr>
    </w:p>
    <w:p w:rsidR="00544B4B" w:rsidRPr="007C3AE9" w:rsidRDefault="00F80119" w:rsidP="006B0E7F">
      <w:pPr>
        <w:pStyle w:val="CommentText"/>
        <w:ind w:firstLine="709"/>
        <w:rPr>
          <w:rFonts w:ascii="Arial Narrow" w:hAnsi="Arial Narrow"/>
        </w:rPr>
      </w:pPr>
      <w:r w:rsidRPr="007C3AE9">
        <w:rPr>
          <w:rFonts w:ascii="Arial Narrow" w:hAnsi="Arial Narrow"/>
        </w:rPr>
        <w:t>Source: N Engl J Med 2015;373:2522-33. DOI: 10.1056/NEJMoa1503184</w:t>
      </w:r>
    </w:p>
    <w:p w:rsidR="00544B4B" w:rsidRPr="00F80119" w:rsidRDefault="00544B4B" w:rsidP="009518D9">
      <w:pPr>
        <w:ind w:left="709"/>
        <w:rPr>
          <w:rFonts w:ascii="Arial Narrow" w:hAnsi="Arial Narrow"/>
          <w:i/>
        </w:rPr>
      </w:pPr>
    </w:p>
    <w:p w:rsidR="0033160F" w:rsidRPr="00F4213A" w:rsidRDefault="0033160F" w:rsidP="00590A3C">
      <w:pPr>
        <w:pStyle w:val="ListParagraph"/>
        <w:widowControl/>
        <w:numPr>
          <w:ilvl w:val="1"/>
          <w:numId w:val="2"/>
        </w:numPr>
        <w:rPr>
          <w:szCs w:val="22"/>
        </w:rPr>
      </w:pPr>
      <w:r w:rsidRPr="00F4213A">
        <w:rPr>
          <w:szCs w:val="22"/>
        </w:rPr>
        <w:lastRenderedPageBreak/>
        <w:t>Death from any cause, up to study closure, occurred in 17.4% and 18.0% of patients in the selexipag ± BGT and the placebo ± BGT arms, respectively (HR 0.97; 95%CI: 0.74, 1.28). This outcome was potentially confounded in favour of placebo, as 27% of patients from the placebo group swapped to selexipag treatment after experiencing a non-fatal first MM event.</w:t>
      </w:r>
      <w:r w:rsidR="00D83745" w:rsidRPr="00F4213A">
        <w:rPr>
          <w:szCs w:val="22"/>
        </w:rPr>
        <w:t xml:space="preserve"> </w:t>
      </w:r>
      <w:r w:rsidR="00D83745" w:rsidRPr="00F4213A">
        <w:t>The results of a sensitivity analysis in which patients with missing survival status data (4.4% and 5.2% of patients in the selexipag and placebo groups, respectively) were assumed to have died, were consistent with the main analysis (HR 0.95; 95% CI 0.74, 1.21).</w:t>
      </w:r>
    </w:p>
    <w:p w:rsidR="0058410F" w:rsidRDefault="0058410F" w:rsidP="00B60939">
      <w:pPr>
        <w:rPr>
          <w:szCs w:val="22"/>
        </w:rPr>
      </w:pPr>
    </w:p>
    <w:p w:rsidR="008A0CD0" w:rsidRDefault="008A0CD0" w:rsidP="00590A3C">
      <w:pPr>
        <w:pStyle w:val="ListParagraph"/>
        <w:widowControl/>
        <w:numPr>
          <w:ilvl w:val="1"/>
          <w:numId w:val="2"/>
        </w:numPr>
        <w:rPr>
          <w:szCs w:val="22"/>
        </w:rPr>
      </w:pPr>
      <w:r w:rsidRPr="008A0CD0">
        <w:rPr>
          <w:szCs w:val="22"/>
        </w:rPr>
        <w:t xml:space="preserve">The submission </w:t>
      </w:r>
      <w:r w:rsidR="00072A35">
        <w:rPr>
          <w:szCs w:val="22"/>
        </w:rPr>
        <w:t>only requested</w:t>
      </w:r>
      <w:r w:rsidRPr="008A0CD0">
        <w:rPr>
          <w:szCs w:val="22"/>
        </w:rPr>
        <w:t xml:space="preserve"> listing of selexipag for patients with WHO FC III or IV PAH. In addition, the restriction preclude</w:t>
      </w:r>
      <w:r w:rsidR="00072A35">
        <w:rPr>
          <w:szCs w:val="22"/>
        </w:rPr>
        <w:t>d</w:t>
      </w:r>
      <w:r w:rsidRPr="008A0CD0">
        <w:rPr>
          <w:szCs w:val="22"/>
        </w:rPr>
        <w:t xml:space="preserve"> the use of selexipag as monotherapy. The </w:t>
      </w:r>
      <w:r>
        <w:rPr>
          <w:szCs w:val="22"/>
        </w:rPr>
        <w:t xml:space="preserve">forest plot for the </w:t>
      </w:r>
      <w:r w:rsidRPr="008A0CD0">
        <w:rPr>
          <w:szCs w:val="22"/>
        </w:rPr>
        <w:t>subgroup analyses for the primary outcome</w:t>
      </w:r>
      <w:r>
        <w:rPr>
          <w:szCs w:val="22"/>
        </w:rPr>
        <w:t xml:space="preserve"> in the GRIPHON trial</w:t>
      </w:r>
      <w:r w:rsidRPr="008A0CD0">
        <w:rPr>
          <w:szCs w:val="22"/>
        </w:rPr>
        <w:t xml:space="preserve"> are </w:t>
      </w:r>
      <w:r>
        <w:rPr>
          <w:szCs w:val="22"/>
        </w:rPr>
        <w:t xml:space="preserve">presented in Figure </w:t>
      </w:r>
      <w:r w:rsidR="00F80119">
        <w:rPr>
          <w:szCs w:val="22"/>
        </w:rPr>
        <w:t>2</w:t>
      </w:r>
      <w:r>
        <w:rPr>
          <w:szCs w:val="22"/>
        </w:rPr>
        <w:t xml:space="preserve">. </w:t>
      </w:r>
    </w:p>
    <w:p w:rsidR="00D82B1A" w:rsidRPr="00D82B1A" w:rsidRDefault="00D82B1A" w:rsidP="00D82B1A">
      <w:pPr>
        <w:pStyle w:val="ListParagraph"/>
        <w:rPr>
          <w:szCs w:val="22"/>
        </w:rPr>
      </w:pPr>
    </w:p>
    <w:p w:rsidR="008A0CD0" w:rsidRDefault="008A0CD0" w:rsidP="00F33C6A">
      <w:pPr>
        <w:pStyle w:val="Caption"/>
        <w:keepNext/>
        <w:keepLines/>
        <w:ind w:left="709"/>
      </w:pPr>
      <w:r>
        <w:lastRenderedPageBreak/>
        <w:t xml:space="preserve">Figure </w:t>
      </w:r>
      <w:r w:rsidR="00F80119">
        <w:t>2</w:t>
      </w:r>
      <w:r>
        <w:t>: Time to first CEC-confirmed MM event up to EOT + 7 days, forest plot for subgroups</w:t>
      </w:r>
    </w:p>
    <w:p w:rsidR="0058410F" w:rsidRDefault="00F06428" w:rsidP="00F33C6A">
      <w:pPr>
        <w:keepNext/>
        <w:keepLines/>
        <w:tabs>
          <w:tab w:val="left" w:pos="709"/>
        </w:tabs>
        <w:ind w:left="465"/>
        <w:rPr>
          <w:szCs w:val="22"/>
        </w:rPr>
      </w:pPr>
      <w:r>
        <w:rPr>
          <w:noProof/>
          <w:snapToGrid/>
          <w:szCs w:val="22"/>
          <w:lang w:eastAsia="en-AU"/>
        </w:rPr>
        <w:drawing>
          <wp:inline distT="0" distB="0" distL="0" distR="0" wp14:anchorId="2BA8C14A" wp14:editId="32C11D89">
            <wp:extent cx="5478780" cy="5524500"/>
            <wp:effectExtent l="0" t="0" r="7620" b="0"/>
            <wp:docPr id="8" name="Picture 8" title="Figure 2: Time to first CEC-confirmed MM event up to EOT + 7 days, forest plot for sub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780" cy="5524500"/>
                    </a:xfrm>
                    <a:prstGeom prst="rect">
                      <a:avLst/>
                    </a:prstGeom>
                    <a:noFill/>
                  </pic:spPr>
                </pic:pic>
              </a:graphicData>
            </a:graphic>
          </wp:inline>
        </w:drawing>
      </w:r>
    </w:p>
    <w:p w:rsidR="002606A5" w:rsidRDefault="0045040D" w:rsidP="00F33C6A">
      <w:pPr>
        <w:pStyle w:val="TableFooter"/>
        <w:keepNext/>
        <w:keepLines/>
        <w:ind w:left="709"/>
      </w:pPr>
      <w:r>
        <w:t xml:space="preserve">CEC = Critical Event Committee; </w:t>
      </w:r>
      <w:r w:rsidR="00CF4C9C">
        <w:t xml:space="preserve">EOT = end-of-treatment; </w:t>
      </w:r>
      <w:r w:rsidR="002606A5">
        <w:t>ERA = endothelin receptor antagonist; HIV = human immunodeficiency virus; HPAH = heritable pulmonary arterial hypertension; IPAH = idiopathic pulmonary arterial hypertension; PAH = pulmonary arterial hypertension; PDE5 = phosphodiesterase type 5; WHO = World Health Organisation</w:t>
      </w:r>
    </w:p>
    <w:p w:rsidR="002606A5" w:rsidRDefault="002606A5" w:rsidP="00F33C6A">
      <w:pPr>
        <w:pStyle w:val="TableFooter"/>
        <w:keepNext/>
        <w:keepLines/>
        <w:ind w:left="709"/>
      </w:pPr>
      <w:r>
        <w:t>Source: Figure B.6-6, p88 of the submission</w:t>
      </w:r>
    </w:p>
    <w:p w:rsidR="0058410F" w:rsidRDefault="0058410F" w:rsidP="0058410F">
      <w:pPr>
        <w:ind w:left="709"/>
        <w:rPr>
          <w:szCs w:val="22"/>
        </w:rPr>
      </w:pPr>
    </w:p>
    <w:p w:rsidR="00D82B1A" w:rsidRPr="007C3AE9" w:rsidRDefault="000A52C0" w:rsidP="00590A3C">
      <w:pPr>
        <w:pStyle w:val="ListParagraph"/>
        <w:widowControl/>
        <w:numPr>
          <w:ilvl w:val="1"/>
          <w:numId w:val="2"/>
        </w:numPr>
        <w:rPr>
          <w:szCs w:val="22"/>
        </w:rPr>
      </w:pPr>
      <w:r w:rsidRPr="007C3AE9">
        <w:t xml:space="preserve">Results for the subgroup of PAH patients for whom listing of selexipag </w:t>
      </w:r>
      <w:r w:rsidR="00072A35" w:rsidRPr="007C3AE9">
        <w:t>was</w:t>
      </w:r>
      <w:r w:rsidRPr="007C3AE9">
        <w:t xml:space="preserve"> requested, namely patients with WHO FC III/IV patients who were receiving PAH-specific therapy at baseline, were not provided. </w:t>
      </w:r>
      <w:r w:rsidR="00544B4B" w:rsidRPr="007C3AE9">
        <w:t xml:space="preserve">However, individually the WHO FC and background therapy </w:t>
      </w:r>
      <w:r w:rsidR="00FA5AF7" w:rsidRPr="007C3AE9">
        <w:t>did</w:t>
      </w:r>
      <w:r w:rsidR="00544B4B" w:rsidRPr="007C3AE9">
        <w:t xml:space="preserve"> not appear to significantly affect the HR for the primary outcome.</w:t>
      </w:r>
    </w:p>
    <w:p w:rsidR="00D82B1A" w:rsidRPr="007C3AE9" w:rsidRDefault="00D82B1A" w:rsidP="00D82B1A">
      <w:pPr>
        <w:pStyle w:val="ListParagraph"/>
      </w:pPr>
    </w:p>
    <w:p w:rsidR="00D82B1A" w:rsidRPr="00F4213A" w:rsidRDefault="000A52C0" w:rsidP="00590A3C">
      <w:pPr>
        <w:pStyle w:val="ListParagraph"/>
        <w:widowControl/>
        <w:numPr>
          <w:ilvl w:val="1"/>
          <w:numId w:val="2"/>
        </w:numPr>
        <w:rPr>
          <w:szCs w:val="22"/>
        </w:rPr>
      </w:pPr>
      <w:r w:rsidRPr="00F4213A">
        <w:t>The interpretation of the subgroup analyses</w:t>
      </w:r>
      <w:r w:rsidR="00072A35" w:rsidRPr="00F4213A">
        <w:t xml:space="preserve"> was</w:t>
      </w:r>
      <w:r w:rsidRPr="00F4213A">
        <w:t xml:space="preserve"> complicated by the fact </w:t>
      </w:r>
      <w:r w:rsidR="00072A35" w:rsidRPr="00F4213A">
        <w:t xml:space="preserve">the </w:t>
      </w:r>
      <w:r w:rsidRPr="00F4213A">
        <w:t xml:space="preserve">composite </w:t>
      </w:r>
      <w:r w:rsidR="00072A35" w:rsidRPr="00F4213A">
        <w:t xml:space="preserve">outcome included </w:t>
      </w:r>
      <w:r w:rsidRPr="00F4213A">
        <w:t xml:space="preserve">components of varying clinical relevance. The relative contribution of each component </w:t>
      </w:r>
      <w:r w:rsidR="00072A35" w:rsidRPr="00F4213A">
        <w:t xml:space="preserve">endpoint </w:t>
      </w:r>
      <w:r w:rsidRPr="00F4213A">
        <w:t xml:space="preserve">may </w:t>
      </w:r>
      <w:r w:rsidR="00414F46" w:rsidRPr="00F4213A">
        <w:t xml:space="preserve">have </w:t>
      </w:r>
      <w:r w:rsidRPr="00F4213A">
        <w:t>differ</w:t>
      </w:r>
      <w:r w:rsidR="00414F46" w:rsidRPr="00F4213A">
        <w:t>ed</w:t>
      </w:r>
      <w:r w:rsidRPr="00F4213A">
        <w:t xml:space="preserve"> between subgroups. </w:t>
      </w:r>
    </w:p>
    <w:p w:rsidR="00D82B1A" w:rsidRPr="00D82B1A" w:rsidRDefault="00D82B1A" w:rsidP="00D82B1A">
      <w:pPr>
        <w:pStyle w:val="ListParagraph"/>
        <w:rPr>
          <w:i/>
        </w:rPr>
      </w:pPr>
    </w:p>
    <w:p w:rsidR="000A52C0" w:rsidRPr="0065707F" w:rsidRDefault="000A52C0" w:rsidP="00590A3C">
      <w:pPr>
        <w:pStyle w:val="ListParagraph"/>
        <w:widowControl/>
        <w:numPr>
          <w:ilvl w:val="1"/>
          <w:numId w:val="2"/>
        </w:numPr>
        <w:rPr>
          <w:szCs w:val="22"/>
        </w:rPr>
      </w:pPr>
      <w:r w:rsidRPr="00F4213A">
        <w:lastRenderedPageBreak/>
        <w:t xml:space="preserve">Comparative outcomes for MM component events experienced subsequent to the first outcome event </w:t>
      </w:r>
      <w:r w:rsidR="00414F46" w:rsidRPr="00F4213A">
        <w:t>were not available</w:t>
      </w:r>
      <w:r w:rsidRPr="00F4213A">
        <w:t>, as patients who experienced a non-fatal primary endpoint event were permitted to discontinue double-blind treatment and were eligible to receive treatment with open-label selexipag.</w:t>
      </w:r>
    </w:p>
    <w:p w:rsidR="0065707F" w:rsidRPr="0065707F" w:rsidRDefault="0065707F" w:rsidP="0065707F">
      <w:pPr>
        <w:widowControl/>
        <w:rPr>
          <w:szCs w:val="22"/>
        </w:rPr>
      </w:pPr>
    </w:p>
    <w:p w:rsidR="0065707F" w:rsidRPr="00F4213A" w:rsidRDefault="0065707F" w:rsidP="00590A3C">
      <w:pPr>
        <w:pStyle w:val="ListParagraph"/>
        <w:widowControl/>
        <w:numPr>
          <w:ilvl w:val="1"/>
          <w:numId w:val="2"/>
        </w:numPr>
        <w:rPr>
          <w:szCs w:val="22"/>
        </w:rPr>
      </w:pPr>
      <w:r>
        <w:rPr>
          <w:szCs w:val="22"/>
        </w:rPr>
        <w:t>The effect of selexipag on the individual components of the composite end point appeared to vary, with the benefit largely driven by hospitalisations and increased treatment, rather than changes in disease progression or death. Given the side effect profile of selexipag and the potential for unblinding, combined with the subjective nature of some of these outcomes, some of the differences observed may be explainable due to (outcome) measurement bias.</w:t>
      </w:r>
    </w:p>
    <w:p w:rsidR="000A52C0" w:rsidRPr="00F4213A" w:rsidRDefault="000A52C0" w:rsidP="0058410F">
      <w:pPr>
        <w:ind w:left="709"/>
        <w:rPr>
          <w:szCs w:val="22"/>
        </w:rPr>
      </w:pPr>
    </w:p>
    <w:p w:rsidR="00B60939" w:rsidRPr="00F4213A" w:rsidRDefault="00B60939" w:rsidP="007170EE">
      <w:pPr>
        <w:pStyle w:val="Heading2"/>
      </w:pPr>
      <w:bookmarkStart w:id="11" w:name="_Toc440892683"/>
      <w:r w:rsidRPr="00F4213A">
        <w:t>Comparative harms</w:t>
      </w:r>
      <w:bookmarkEnd w:id="11"/>
    </w:p>
    <w:p w:rsidR="00B60939" w:rsidRPr="00F4213A" w:rsidRDefault="00B60939" w:rsidP="00B60939">
      <w:pPr>
        <w:ind w:left="720" w:hanging="720"/>
        <w:rPr>
          <w:szCs w:val="22"/>
        </w:rPr>
      </w:pPr>
    </w:p>
    <w:p w:rsidR="00D82B1A" w:rsidRPr="00F4213A" w:rsidRDefault="003F2135" w:rsidP="00590A3C">
      <w:pPr>
        <w:pStyle w:val="ListParagraph"/>
        <w:widowControl/>
        <w:numPr>
          <w:ilvl w:val="1"/>
          <w:numId w:val="2"/>
        </w:numPr>
        <w:rPr>
          <w:szCs w:val="22"/>
        </w:rPr>
      </w:pPr>
      <w:r w:rsidRPr="00F4213A">
        <w:t xml:space="preserve">The interpretation of the number of patients experiencing AEs </w:t>
      </w:r>
      <w:r w:rsidR="00414F46" w:rsidRPr="00F4213A">
        <w:t>wa</w:t>
      </w:r>
      <w:r w:rsidRPr="00F4213A">
        <w:t>s complicated by the fact the some of the AEs reported during the trial were likely to be indicators of disease progression, rather than drug-related effects.</w:t>
      </w:r>
    </w:p>
    <w:p w:rsidR="00D82B1A" w:rsidRPr="00F4213A" w:rsidRDefault="00D82B1A" w:rsidP="00D82B1A">
      <w:pPr>
        <w:pStyle w:val="ListParagraph"/>
        <w:widowControl/>
        <w:rPr>
          <w:szCs w:val="22"/>
        </w:rPr>
      </w:pPr>
    </w:p>
    <w:p w:rsidR="00E22BEC" w:rsidRPr="007C3AE9" w:rsidRDefault="00E22BEC" w:rsidP="00590A3C">
      <w:pPr>
        <w:pStyle w:val="ListParagraph"/>
        <w:widowControl/>
        <w:numPr>
          <w:ilvl w:val="1"/>
          <w:numId w:val="2"/>
        </w:numPr>
        <w:rPr>
          <w:szCs w:val="22"/>
        </w:rPr>
      </w:pPr>
      <w:r w:rsidRPr="007C3AE9">
        <w:t>The most frequently reported AEs were typical of those generally associated with prostacyclins (headache, diarrhoea, nausea, pain in jaw, myalgia, pain in extremity, vomiting and flushing), all of which occurred with greater frequency in the selexipag ± BGT group compared to the placebo ± BGT group</w:t>
      </w:r>
      <w:r w:rsidR="0074534C" w:rsidRPr="007C3AE9">
        <w:t xml:space="preserve"> (</w:t>
      </w:r>
      <w:r w:rsidR="002D1BF1" w:rsidRPr="007C3AE9">
        <w:t xml:space="preserve">Table </w:t>
      </w:r>
      <w:r w:rsidR="002D1BF1" w:rsidRPr="007C3AE9">
        <w:rPr>
          <w:noProof/>
        </w:rPr>
        <w:t>4</w:t>
      </w:r>
      <w:r w:rsidR="0074534C" w:rsidRPr="007C3AE9">
        <w:t>)</w:t>
      </w:r>
      <w:r w:rsidRPr="007C3AE9">
        <w:t xml:space="preserve">. Prostacyclin-associated AEs (including headache, diarrhoea, nausea, pain in extremity, myalgia, dizziness and vomiting) led to discontinuation of study drug in 10.3% and 1.9% of patients randomised to selexipag ± BGT and placebo ± BGT, respectively (Table 12-10, p 273 GRIPHON </w:t>
      </w:r>
      <w:r w:rsidR="006035A8" w:rsidRPr="007C3AE9">
        <w:t>Clinical Study report (</w:t>
      </w:r>
      <w:r w:rsidRPr="007C3AE9">
        <w:t>CSR</w:t>
      </w:r>
      <w:r w:rsidR="006035A8" w:rsidRPr="007C3AE9">
        <w:t>)</w:t>
      </w:r>
      <w:r w:rsidRPr="007C3AE9">
        <w:t>).</w:t>
      </w:r>
      <w:r w:rsidR="00030463" w:rsidRPr="007C3AE9">
        <w:t xml:space="preserve"> The ESC noted from the PSCR (p4) that the maintenance dose of study drug for each patient was determined by up-titrating patients to the point a</w:t>
      </w:r>
      <w:r w:rsidR="00765054">
        <w:t>t which the patient experienced</w:t>
      </w:r>
      <w:r w:rsidR="00030463" w:rsidRPr="007C3AE9">
        <w:t xml:space="preserve"> adverse effects and then back-titrating one step. </w:t>
      </w:r>
      <w:r w:rsidR="009D3C7F" w:rsidRPr="007C3AE9">
        <w:t>Overall, the ESC noted that the pattern of AEs was similar in the titration and maintenance phases</w:t>
      </w:r>
    </w:p>
    <w:p w:rsidR="00E22BEC" w:rsidRPr="007C3AE9" w:rsidRDefault="00E22BEC" w:rsidP="00E22BEC">
      <w:pPr>
        <w:pStyle w:val="ListParagraph"/>
        <w:widowControl/>
      </w:pPr>
    </w:p>
    <w:p w:rsidR="006B0E7F" w:rsidRDefault="006B0E7F" w:rsidP="0074534C">
      <w:pPr>
        <w:pStyle w:val="Caption"/>
        <w:ind w:left="1418" w:hanging="709"/>
      </w:pPr>
      <w:bookmarkStart w:id="12" w:name="_Ref438551100"/>
      <w:r>
        <w:br w:type="page"/>
      </w:r>
    </w:p>
    <w:p w:rsidR="0074534C" w:rsidRDefault="0074534C" w:rsidP="006B0E7F">
      <w:pPr>
        <w:pStyle w:val="Caption"/>
        <w:ind w:left="709"/>
      </w:pPr>
      <w:r>
        <w:lastRenderedPageBreak/>
        <w:t xml:space="preserve">Table </w:t>
      </w:r>
      <w:r w:rsidR="002D1BF1">
        <w:rPr>
          <w:noProof/>
        </w:rPr>
        <w:t>4</w:t>
      </w:r>
      <w:bookmarkEnd w:id="12"/>
      <w:r>
        <w:t xml:space="preserve">: Summary of treatment-emergent AEs occurring in </w:t>
      </w:r>
      <w:r w:rsidRPr="00754B50">
        <w:t>≥</w:t>
      </w:r>
      <w:r>
        <w:t xml:space="preserve">5% of patients in at least one arm of the GRIPHON trial, sorted by difference in incidence between </w:t>
      </w:r>
      <w:r w:rsidRPr="008646A7">
        <w:t>selexipag</w:t>
      </w:r>
      <w:r>
        <w:t xml:space="preserve"> and placebo (SAF)</w:t>
      </w:r>
    </w:p>
    <w:tbl>
      <w:tblPr>
        <w:tblStyle w:val="TableGrid"/>
        <w:tblW w:w="4539" w:type="pct"/>
        <w:tblInd w:w="817" w:type="dxa"/>
        <w:tblLook w:val="04A0" w:firstRow="1" w:lastRow="0" w:firstColumn="1" w:lastColumn="0" w:noHBand="0" w:noVBand="1"/>
        <w:tblCaption w:val="Table 4: Summary of treatment-emergent AEs occurring in ≥5% of patients in at least one arm of the GRIPHON trial, sorted by difference in incidence between selexipag and placebo (SAF)"/>
      </w:tblPr>
      <w:tblGrid>
        <w:gridCol w:w="2836"/>
        <w:gridCol w:w="1757"/>
        <w:gridCol w:w="1757"/>
        <w:gridCol w:w="2040"/>
      </w:tblGrid>
      <w:tr w:rsidR="0074534C" w:rsidRPr="00A42DA1" w:rsidTr="00DE38F7">
        <w:trPr>
          <w:tblHeader/>
        </w:trPr>
        <w:tc>
          <w:tcPr>
            <w:tcW w:w="1690" w:type="pct"/>
          </w:tcPr>
          <w:p w:rsidR="0074534C" w:rsidRPr="00A42DA1" w:rsidRDefault="0074534C" w:rsidP="005379B3">
            <w:pPr>
              <w:pStyle w:val="Tabletext"/>
              <w:keepNext/>
              <w:keepLines/>
              <w:rPr>
                <w:b/>
              </w:rPr>
            </w:pPr>
          </w:p>
        </w:tc>
        <w:tc>
          <w:tcPr>
            <w:tcW w:w="1047" w:type="pct"/>
          </w:tcPr>
          <w:p w:rsidR="0074534C" w:rsidRDefault="0074534C" w:rsidP="005379B3">
            <w:pPr>
              <w:pStyle w:val="Tabletext"/>
              <w:keepNext/>
              <w:keepLines/>
              <w:jc w:val="center"/>
              <w:rPr>
                <w:b/>
              </w:rPr>
            </w:pPr>
            <w:r>
              <w:rPr>
                <w:b/>
              </w:rPr>
              <w:t>Selexipag ± BGT</w:t>
            </w:r>
          </w:p>
          <w:p w:rsidR="0074534C" w:rsidRPr="00A42DA1" w:rsidRDefault="0074534C" w:rsidP="005379B3">
            <w:pPr>
              <w:pStyle w:val="Tabletext"/>
              <w:keepNext/>
              <w:keepLines/>
              <w:jc w:val="center"/>
              <w:rPr>
                <w:b/>
              </w:rPr>
            </w:pPr>
            <w:r>
              <w:rPr>
                <w:b/>
              </w:rPr>
              <w:t>N=575</w:t>
            </w:r>
          </w:p>
        </w:tc>
        <w:tc>
          <w:tcPr>
            <w:tcW w:w="1047" w:type="pct"/>
          </w:tcPr>
          <w:p w:rsidR="0074534C" w:rsidRDefault="0074534C" w:rsidP="005379B3">
            <w:pPr>
              <w:pStyle w:val="Tabletext"/>
              <w:keepNext/>
              <w:keepLines/>
              <w:jc w:val="center"/>
              <w:rPr>
                <w:b/>
              </w:rPr>
            </w:pPr>
            <w:r>
              <w:rPr>
                <w:b/>
              </w:rPr>
              <w:t>Placebo ± BGT</w:t>
            </w:r>
          </w:p>
          <w:p w:rsidR="0074534C" w:rsidRPr="00A42DA1" w:rsidRDefault="0074534C" w:rsidP="005379B3">
            <w:pPr>
              <w:pStyle w:val="Tabletext"/>
              <w:keepNext/>
              <w:keepLines/>
              <w:jc w:val="center"/>
              <w:rPr>
                <w:b/>
              </w:rPr>
            </w:pPr>
            <w:r>
              <w:rPr>
                <w:b/>
              </w:rPr>
              <w:t>N=577</w:t>
            </w:r>
          </w:p>
        </w:tc>
        <w:tc>
          <w:tcPr>
            <w:tcW w:w="1216" w:type="pct"/>
          </w:tcPr>
          <w:p w:rsidR="0074534C" w:rsidRPr="004845CB" w:rsidRDefault="0074534C" w:rsidP="005379B3">
            <w:pPr>
              <w:pStyle w:val="Tabletext"/>
              <w:keepNext/>
              <w:keepLines/>
              <w:jc w:val="center"/>
              <w:rPr>
                <w:b/>
              </w:rPr>
            </w:pPr>
            <w:r w:rsidRPr="004845CB">
              <w:rPr>
                <w:b/>
              </w:rPr>
              <w:t>Absolute difference</w:t>
            </w:r>
          </w:p>
          <w:p w:rsidR="0074534C" w:rsidRPr="004845CB" w:rsidRDefault="0074534C" w:rsidP="005379B3">
            <w:pPr>
              <w:pStyle w:val="Tabletext"/>
              <w:keepNext/>
              <w:keepLines/>
              <w:jc w:val="center"/>
              <w:rPr>
                <w:b/>
              </w:rPr>
            </w:pPr>
            <w:r w:rsidRPr="004845CB">
              <w:rPr>
                <w:b/>
              </w:rPr>
              <w:t>(95%CI)</w:t>
            </w:r>
          </w:p>
        </w:tc>
      </w:tr>
      <w:tr w:rsidR="0074534C" w:rsidRPr="00F4213A" w:rsidTr="0074534C">
        <w:tc>
          <w:tcPr>
            <w:tcW w:w="1690" w:type="pct"/>
          </w:tcPr>
          <w:p w:rsidR="0074534C" w:rsidRPr="00F4213A" w:rsidRDefault="0074534C" w:rsidP="005379B3">
            <w:pPr>
              <w:pStyle w:val="Tabletext"/>
            </w:pPr>
            <w:r w:rsidRPr="00F4213A">
              <w:t>Duration of study treatment (weeks)</w:t>
            </w:r>
          </w:p>
          <w:p w:rsidR="0074534C" w:rsidRPr="00F4213A" w:rsidRDefault="0074534C" w:rsidP="005379B3">
            <w:pPr>
              <w:pStyle w:val="Tabletext"/>
              <w:ind w:left="142"/>
            </w:pPr>
            <w:r w:rsidRPr="00F4213A">
              <w:t>Median (range)</w:t>
            </w:r>
          </w:p>
        </w:tc>
        <w:tc>
          <w:tcPr>
            <w:tcW w:w="1047" w:type="pct"/>
            <w:vAlign w:val="center"/>
          </w:tcPr>
          <w:p w:rsidR="0074534C" w:rsidRPr="00F4213A" w:rsidRDefault="0074534C" w:rsidP="005379B3">
            <w:pPr>
              <w:pStyle w:val="Tabletext"/>
              <w:jc w:val="center"/>
            </w:pPr>
            <w:r w:rsidRPr="00F4213A">
              <w:t>70.7</w:t>
            </w:r>
          </w:p>
          <w:p w:rsidR="0074534C" w:rsidRPr="00F4213A" w:rsidRDefault="0074534C" w:rsidP="005379B3">
            <w:pPr>
              <w:pStyle w:val="Tabletext"/>
              <w:jc w:val="center"/>
            </w:pPr>
            <w:r w:rsidRPr="00F4213A">
              <w:t>(0.3 - 216.7)</w:t>
            </w:r>
          </w:p>
        </w:tc>
        <w:tc>
          <w:tcPr>
            <w:tcW w:w="1047" w:type="pct"/>
            <w:vAlign w:val="center"/>
          </w:tcPr>
          <w:p w:rsidR="0074534C" w:rsidRPr="00F4213A" w:rsidRDefault="0074534C" w:rsidP="005379B3">
            <w:pPr>
              <w:pStyle w:val="Tabletext"/>
              <w:jc w:val="center"/>
            </w:pPr>
            <w:r w:rsidRPr="00F4213A">
              <w:t>63.7</w:t>
            </w:r>
          </w:p>
          <w:p w:rsidR="0074534C" w:rsidRPr="00F4213A" w:rsidRDefault="0074534C" w:rsidP="005379B3">
            <w:pPr>
              <w:pStyle w:val="Tabletext"/>
              <w:jc w:val="center"/>
            </w:pPr>
            <w:r w:rsidRPr="00F4213A">
              <w:t>(0.7 - 192.0)</w:t>
            </w:r>
          </w:p>
        </w:tc>
        <w:tc>
          <w:tcPr>
            <w:tcW w:w="1216" w:type="pct"/>
          </w:tcPr>
          <w:p w:rsidR="0074534C" w:rsidRPr="00F4213A" w:rsidRDefault="0074534C" w:rsidP="005379B3">
            <w:pPr>
              <w:pStyle w:val="Tabletext"/>
              <w:jc w:val="center"/>
            </w:pPr>
          </w:p>
        </w:tc>
      </w:tr>
      <w:tr w:rsidR="0074534C" w:rsidRPr="00F4213A" w:rsidTr="0074534C">
        <w:tc>
          <w:tcPr>
            <w:tcW w:w="1690" w:type="pct"/>
          </w:tcPr>
          <w:p w:rsidR="0074534C" w:rsidRPr="00F4213A" w:rsidRDefault="0074534C" w:rsidP="005379B3">
            <w:pPr>
              <w:pStyle w:val="Tabletext"/>
            </w:pPr>
            <w:r w:rsidRPr="00F4213A">
              <w:t>Headache*</w:t>
            </w:r>
          </w:p>
        </w:tc>
        <w:tc>
          <w:tcPr>
            <w:tcW w:w="1047" w:type="pct"/>
            <w:vAlign w:val="center"/>
          </w:tcPr>
          <w:p w:rsidR="0074534C" w:rsidRPr="00F4213A" w:rsidRDefault="0074534C" w:rsidP="005379B3">
            <w:pPr>
              <w:pStyle w:val="Tabletext"/>
              <w:jc w:val="center"/>
            </w:pPr>
            <w:r w:rsidRPr="00F4213A">
              <w:t>375 (65.2%)</w:t>
            </w:r>
          </w:p>
        </w:tc>
        <w:tc>
          <w:tcPr>
            <w:tcW w:w="1047" w:type="pct"/>
            <w:vAlign w:val="center"/>
          </w:tcPr>
          <w:p w:rsidR="0074534C" w:rsidRPr="00F4213A" w:rsidRDefault="0074534C" w:rsidP="005379B3">
            <w:pPr>
              <w:pStyle w:val="Tabletext"/>
              <w:jc w:val="center"/>
            </w:pPr>
            <w:r w:rsidRPr="00F4213A">
              <w:t>189 (32.8%)</w:t>
            </w:r>
          </w:p>
        </w:tc>
        <w:tc>
          <w:tcPr>
            <w:tcW w:w="1216" w:type="pct"/>
          </w:tcPr>
          <w:p w:rsidR="0074534C" w:rsidRPr="00F4213A" w:rsidRDefault="0074534C" w:rsidP="005379B3">
            <w:pPr>
              <w:pStyle w:val="Tabletext"/>
              <w:jc w:val="center"/>
            </w:pPr>
            <w:r w:rsidRPr="00F4213A">
              <w:t>32.5% (27.0%, 37.9%)</w:t>
            </w:r>
          </w:p>
        </w:tc>
      </w:tr>
      <w:tr w:rsidR="0074534C" w:rsidRPr="00F4213A" w:rsidTr="0074534C">
        <w:tc>
          <w:tcPr>
            <w:tcW w:w="1690" w:type="pct"/>
          </w:tcPr>
          <w:p w:rsidR="0074534C" w:rsidRPr="00F4213A" w:rsidRDefault="0074534C" w:rsidP="005379B3">
            <w:pPr>
              <w:pStyle w:val="Tabletext"/>
            </w:pPr>
            <w:r w:rsidRPr="00F4213A">
              <w:t>Diarrhoea*</w:t>
            </w:r>
          </w:p>
        </w:tc>
        <w:tc>
          <w:tcPr>
            <w:tcW w:w="1047" w:type="pct"/>
            <w:vAlign w:val="center"/>
          </w:tcPr>
          <w:p w:rsidR="0074534C" w:rsidRPr="00F4213A" w:rsidRDefault="0074534C" w:rsidP="005379B3">
            <w:pPr>
              <w:pStyle w:val="Tabletext"/>
              <w:jc w:val="center"/>
            </w:pPr>
            <w:r w:rsidRPr="00F4213A">
              <w:t>244 (42.4%)</w:t>
            </w:r>
          </w:p>
        </w:tc>
        <w:tc>
          <w:tcPr>
            <w:tcW w:w="1047" w:type="pct"/>
            <w:vAlign w:val="center"/>
          </w:tcPr>
          <w:p w:rsidR="0074534C" w:rsidRPr="00F4213A" w:rsidRDefault="0074534C" w:rsidP="005379B3">
            <w:pPr>
              <w:pStyle w:val="Tabletext"/>
              <w:jc w:val="center"/>
            </w:pPr>
            <w:r w:rsidRPr="00F4213A">
              <w:t>110 (19.1%)</w:t>
            </w:r>
          </w:p>
        </w:tc>
        <w:tc>
          <w:tcPr>
            <w:tcW w:w="1216" w:type="pct"/>
          </w:tcPr>
          <w:p w:rsidR="0074534C" w:rsidRPr="00F4213A" w:rsidRDefault="0074534C" w:rsidP="005379B3">
            <w:pPr>
              <w:pStyle w:val="Tabletext"/>
              <w:jc w:val="center"/>
            </w:pPr>
            <w:r w:rsidRPr="00F4213A">
              <w:t>23.4% (18.2%, 28.5%)</w:t>
            </w:r>
          </w:p>
        </w:tc>
      </w:tr>
      <w:tr w:rsidR="0074534C" w:rsidRPr="00F4213A" w:rsidTr="0074534C">
        <w:tc>
          <w:tcPr>
            <w:tcW w:w="1690" w:type="pct"/>
          </w:tcPr>
          <w:p w:rsidR="0074534C" w:rsidRPr="00F4213A" w:rsidRDefault="0074534C" w:rsidP="005379B3">
            <w:pPr>
              <w:pStyle w:val="Tabletext"/>
            </w:pPr>
            <w:r w:rsidRPr="00F4213A">
              <w:t>Pain in jaw*</w:t>
            </w:r>
          </w:p>
        </w:tc>
        <w:tc>
          <w:tcPr>
            <w:tcW w:w="1047" w:type="pct"/>
            <w:vAlign w:val="center"/>
          </w:tcPr>
          <w:p w:rsidR="0074534C" w:rsidRPr="00F4213A" w:rsidRDefault="0074534C" w:rsidP="005379B3">
            <w:pPr>
              <w:pStyle w:val="Tabletext"/>
              <w:jc w:val="center"/>
            </w:pPr>
            <w:r w:rsidRPr="00F4213A">
              <w:t>148 (25.7%)</w:t>
            </w:r>
          </w:p>
        </w:tc>
        <w:tc>
          <w:tcPr>
            <w:tcW w:w="1047" w:type="pct"/>
            <w:vAlign w:val="center"/>
          </w:tcPr>
          <w:p w:rsidR="0074534C" w:rsidRPr="00F4213A" w:rsidRDefault="0074534C" w:rsidP="005379B3">
            <w:pPr>
              <w:pStyle w:val="Tabletext"/>
              <w:jc w:val="center"/>
            </w:pPr>
            <w:r w:rsidRPr="00F4213A">
              <w:t>36 (6.2%)</w:t>
            </w:r>
          </w:p>
        </w:tc>
        <w:tc>
          <w:tcPr>
            <w:tcW w:w="1216" w:type="pct"/>
          </w:tcPr>
          <w:p w:rsidR="0074534C" w:rsidRPr="00F4213A" w:rsidRDefault="0074534C" w:rsidP="005379B3">
            <w:pPr>
              <w:pStyle w:val="Tabletext"/>
              <w:jc w:val="center"/>
            </w:pPr>
            <w:r w:rsidRPr="00F4213A">
              <w:t xml:space="preserve">19.5% </w:t>
            </w:r>
            <w:r w:rsidR="00755A2B" w:rsidRPr="00F4213A">
              <w:t>(</w:t>
            </w:r>
            <w:r w:rsidRPr="00F4213A">
              <w:t>15.4%, 23.6%)</w:t>
            </w:r>
          </w:p>
        </w:tc>
      </w:tr>
      <w:tr w:rsidR="0074534C" w:rsidRPr="00F4213A" w:rsidTr="0074534C">
        <w:tc>
          <w:tcPr>
            <w:tcW w:w="1690" w:type="pct"/>
          </w:tcPr>
          <w:p w:rsidR="0074534C" w:rsidRPr="00F4213A" w:rsidRDefault="0074534C" w:rsidP="005379B3">
            <w:pPr>
              <w:pStyle w:val="Tabletext"/>
            </w:pPr>
            <w:r w:rsidRPr="00F4213A">
              <w:t>Nausea*</w:t>
            </w:r>
          </w:p>
        </w:tc>
        <w:tc>
          <w:tcPr>
            <w:tcW w:w="1047" w:type="pct"/>
            <w:vAlign w:val="center"/>
          </w:tcPr>
          <w:p w:rsidR="0074534C" w:rsidRPr="00F4213A" w:rsidRDefault="0074534C" w:rsidP="005379B3">
            <w:pPr>
              <w:pStyle w:val="Tabletext"/>
              <w:jc w:val="center"/>
            </w:pPr>
            <w:r w:rsidRPr="00F4213A">
              <w:t>193 (33.6%)</w:t>
            </w:r>
          </w:p>
        </w:tc>
        <w:tc>
          <w:tcPr>
            <w:tcW w:w="1047" w:type="pct"/>
            <w:vAlign w:val="center"/>
          </w:tcPr>
          <w:p w:rsidR="0074534C" w:rsidRPr="00F4213A" w:rsidRDefault="0074534C" w:rsidP="005379B3">
            <w:pPr>
              <w:pStyle w:val="Tabletext"/>
              <w:jc w:val="center"/>
            </w:pPr>
            <w:r w:rsidRPr="00F4213A">
              <w:t>107 (18.5%)</w:t>
            </w:r>
          </w:p>
        </w:tc>
        <w:tc>
          <w:tcPr>
            <w:tcW w:w="1216" w:type="pct"/>
          </w:tcPr>
          <w:p w:rsidR="0074534C" w:rsidRPr="00F4213A" w:rsidRDefault="0074534C" w:rsidP="005379B3">
            <w:pPr>
              <w:pStyle w:val="Tabletext"/>
              <w:jc w:val="center"/>
            </w:pPr>
            <w:r w:rsidRPr="00F4213A">
              <w:t>15.0% (10.0%, 20.0%)</w:t>
            </w:r>
          </w:p>
        </w:tc>
      </w:tr>
      <w:tr w:rsidR="0074534C" w:rsidRPr="00F4213A" w:rsidTr="0074534C">
        <w:tc>
          <w:tcPr>
            <w:tcW w:w="1690" w:type="pct"/>
          </w:tcPr>
          <w:p w:rsidR="0074534C" w:rsidRPr="00F4213A" w:rsidRDefault="0074534C" w:rsidP="005379B3">
            <w:pPr>
              <w:pStyle w:val="Tabletext"/>
            </w:pPr>
            <w:r w:rsidRPr="00F4213A">
              <w:t>Myalgia*</w:t>
            </w:r>
          </w:p>
        </w:tc>
        <w:tc>
          <w:tcPr>
            <w:tcW w:w="1047" w:type="pct"/>
            <w:vAlign w:val="center"/>
          </w:tcPr>
          <w:p w:rsidR="0074534C" w:rsidRPr="00F4213A" w:rsidRDefault="0074534C" w:rsidP="005379B3">
            <w:pPr>
              <w:pStyle w:val="Tabletext"/>
              <w:jc w:val="center"/>
            </w:pPr>
            <w:r w:rsidRPr="00F4213A">
              <w:t>92 (16.0%)</w:t>
            </w:r>
          </w:p>
        </w:tc>
        <w:tc>
          <w:tcPr>
            <w:tcW w:w="1047" w:type="pct"/>
            <w:vAlign w:val="center"/>
          </w:tcPr>
          <w:p w:rsidR="0074534C" w:rsidRPr="00F4213A" w:rsidRDefault="0074534C" w:rsidP="005379B3">
            <w:pPr>
              <w:pStyle w:val="Tabletext"/>
              <w:jc w:val="center"/>
            </w:pPr>
            <w:r w:rsidRPr="00F4213A">
              <w:t>34 (5.9%)</w:t>
            </w:r>
          </w:p>
        </w:tc>
        <w:tc>
          <w:tcPr>
            <w:tcW w:w="1216" w:type="pct"/>
          </w:tcPr>
          <w:p w:rsidR="0074534C" w:rsidRPr="00F4213A" w:rsidRDefault="0074534C" w:rsidP="005379B3">
            <w:pPr>
              <w:pStyle w:val="Tabletext"/>
              <w:jc w:val="center"/>
            </w:pPr>
            <w:r w:rsidRPr="00F4213A">
              <w:t>10.1% (6.5%, 13.7%)</w:t>
            </w:r>
          </w:p>
        </w:tc>
      </w:tr>
      <w:tr w:rsidR="0074534C" w:rsidRPr="00F4213A" w:rsidTr="0074534C">
        <w:tc>
          <w:tcPr>
            <w:tcW w:w="1690" w:type="pct"/>
          </w:tcPr>
          <w:p w:rsidR="0074534C" w:rsidRPr="00F4213A" w:rsidRDefault="0074534C" w:rsidP="005379B3">
            <w:pPr>
              <w:pStyle w:val="Tabletext"/>
            </w:pPr>
            <w:r w:rsidRPr="00F4213A">
              <w:t>Vomiting*</w:t>
            </w:r>
          </w:p>
        </w:tc>
        <w:tc>
          <w:tcPr>
            <w:tcW w:w="1047" w:type="pct"/>
            <w:vAlign w:val="center"/>
          </w:tcPr>
          <w:p w:rsidR="0074534C" w:rsidRPr="00F4213A" w:rsidRDefault="0074534C" w:rsidP="005379B3">
            <w:pPr>
              <w:pStyle w:val="Tabletext"/>
              <w:jc w:val="center"/>
            </w:pPr>
            <w:r w:rsidRPr="00F4213A">
              <w:t>104 (18.1%)</w:t>
            </w:r>
          </w:p>
        </w:tc>
        <w:tc>
          <w:tcPr>
            <w:tcW w:w="1047" w:type="pct"/>
            <w:vAlign w:val="center"/>
          </w:tcPr>
          <w:p w:rsidR="0074534C" w:rsidRPr="00F4213A" w:rsidRDefault="0074534C" w:rsidP="005379B3">
            <w:pPr>
              <w:pStyle w:val="Tabletext"/>
              <w:jc w:val="center"/>
            </w:pPr>
            <w:r w:rsidRPr="00F4213A">
              <w:t>49 (8.5%)</w:t>
            </w:r>
          </w:p>
        </w:tc>
        <w:tc>
          <w:tcPr>
            <w:tcW w:w="1216" w:type="pct"/>
          </w:tcPr>
          <w:p w:rsidR="0074534C" w:rsidRPr="00F4213A" w:rsidRDefault="0074534C" w:rsidP="005379B3">
            <w:pPr>
              <w:pStyle w:val="Tabletext"/>
              <w:jc w:val="center"/>
            </w:pPr>
            <w:r w:rsidRPr="00F4213A">
              <w:t>9.6% (5.7%, 13.5%)</w:t>
            </w:r>
          </w:p>
        </w:tc>
      </w:tr>
      <w:tr w:rsidR="0074534C" w:rsidRPr="00F4213A" w:rsidTr="0074534C">
        <w:tc>
          <w:tcPr>
            <w:tcW w:w="1690" w:type="pct"/>
          </w:tcPr>
          <w:p w:rsidR="0074534C" w:rsidRPr="00F4213A" w:rsidRDefault="0074534C" w:rsidP="005379B3">
            <w:pPr>
              <w:pStyle w:val="Tabletext"/>
            </w:pPr>
            <w:r w:rsidRPr="00F4213A">
              <w:t>Pain in extremity*</w:t>
            </w:r>
          </w:p>
        </w:tc>
        <w:tc>
          <w:tcPr>
            <w:tcW w:w="1047" w:type="pct"/>
            <w:vAlign w:val="center"/>
          </w:tcPr>
          <w:p w:rsidR="0074534C" w:rsidRPr="00F4213A" w:rsidRDefault="0074534C" w:rsidP="005379B3">
            <w:pPr>
              <w:pStyle w:val="Tabletext"/>
              <w:jc w:val="center"/>
            </w:pPr>
            <w:r w:rsidRPr="00F4213A">
              <w:t>97 (16.9%)</w:t>
            </w:r>
          </w:p>
        </w:tc>
        <w:tc>
          <w:tcPr>
            <w:tcW w:w="1047" w:type="pct"/>
            <w:vAlign w:val="center"/>
          </w:tcPr>
          <w:p w:rsidR="0074534C" w:rsidRPr="00F4213A" w:rsidRDefault="0074534C" w:rsidP="005379B3">
            <w:pPr>
              <w:pStyle w:val="Tabletext"/>
              <w:jc w:val="center"/>
            </w:pPr>
            <w:r w:rsidRPr="00F4213A">
              <w:t>46 (8.0%)</w:t>
            </w:r>
          </w:p>
        </w:tc>
        <w:tc>
          <w:tcPr>
            <w:tcW w:w="1216" w:type="pct"/>
          </w:tcPr>
          <w:p w:rsidR="0074534C" w:rsidRPr="00F4213A" w:rsidRDefault="0074534C" w:rsidP="005379B3">
            <w:pPr>
              <w:pStyle w:val="Tabletext"/>
              <w:jc w:val="center"/>
            </w:pPr>
            <w:r w:rsidRPr="00F4213A">
              <w:t>8.9% (5.1%, 12.7%)</w:t>
            </w:r>
          </w:p>
        </w:tc>
      </w:tr>
      <w:tr w:rsidR="0074534C" w:rsidRPr="00F4213A" w:rsidTr="0074534C">
        <w:tc>
          <w:tcPr>
            <w:tcW w:w="1690" w:type="pct"/>
          </w:tcPr>
          <w:p w:rsidR="0074534C" w:rsidRPr="00F4213A" w:rsidRDefault="0074534C" w:rsidP="005379B3">
            <w:pPr>
              <w:pStyle w:val="Tabletext"/>
            </w:pPr>
            <w:r w:rsidRPr="00F4213A">
              <w:t>Flushing*</w:t>
            </w:r>
          </w:p>
        </w:tc>
        <w:tc>
          <w:tcPr>
            <w:tcW w:w="1047" w:type="pct"/>
            <w:vAlign w:val="center"/>
          </w:tcPr>
          <w:p w:rsidR="0074534C" w:rsidRPr="00F4213A" w:rsidRDefault="0074534C" w:rsidP="005379B3">
            <w:pPr>
              <w:pStyle w:val="Tabletext"/>
              <w:jc w:val="center"/>
            </w:pPr>
            <w:r w:rsidRPr="00F4213A">
              <w:t>70 (12.2%)</w:t>
            </w:r>
          </w:p>
        </w:tc>
        <w:tc>
          <w:tcPr>
            <w:tcW w:w="1047" w:type="pct"/>
            <w:vAlign w:val="center"/>
          </w:tcPr>
          <w:p w:rsidR="0074534C" w:rsidRPr="00F4213A" w:rsidRDefault="0074534C" w:rsidP="005379B3">
            <w:pPr>
              <w:pStyle w:val="Tabletext"/>
              <w:jc w:val="center"/>
            </w:pPr>
            <w:r w:rsidRPr="00F4213A">
              <w:t>29 (5.0%)</w:t>
            </w:r>
          </w:p>
        </w:tc>
        <w:tc>
          <w:tcPr>
            <w:tcW w:w="1216" w:type="pct"/>
          </w:tcPr>
          <w:p w:rsidR="0074534C" w:rsidRPr="00F4213A" w:rsidRDefault="0074534C" w:rsidP="005379B3">
            <w:pPr>
              <w:pStyle w:val="Tabletext"/>
              <w:jc w:val="center"/>
            </w:pPr>
            <w:r w:rsidRPr="00F4213A">
              <w:t>7.1% (3.9%, 10.4%)</w:t>
            </w:r>
          </w:p>
        </w:tc>
      </w:tr>
      <w:tr w:rsidR="0074534C" w:rsidRPr="00F4213A" w:rsidTr="0074534C">
        <w:tc>
          <w:tcPr>
            <w:tcW w:w="1690" w:type="pct"/>
          </w:tcPr>
          <w:p w:rsidR="0074534C" w:rsidRPr="00F4213A" w:rsidRDefault="0074534C" w:rsidP="005379B3">
            <w:pPr>
              <w:pStyle w:val="Tabletext"/>
            </w:pPr>
            <w:r w:rsidRPr="00F4213A">
              <w:t>Arthralgia*</w:t>
            </w:r>
          </w:p>
        </w:tc>
        <w:tc>
          <w:tcPr>
            <w:tcW w:w="1047" w:type="pct"/>
            <w:vAlign w:val="center"/>
          </w:tcPr>
          <w:p w:rsidR="0074534C" w:rsidRPr="00F4213A" w:rsidRDefault="0074534C" w:rsidP="005379B3">
            <w:pPr>
              <w:pStyle w:val="Tabletext"/>
              <w:jc w:val="center"/>
            </w:pPr>
            <w:r w:rsidRPr="00F4213A">
              <w:t>62 (10.8%)</w:t>
            </w:r>
          </w:p>
        </w:tc>
        <w:tc>
          <w:tcPr>
            <w:tcW w:w="1047" w:type="pct"/>
            <w:vAlign w:val="center"/>
          </w:tcPr>
          <w:p w:rsidR="0074534C" w:rsidRPr="00F4213A" w:rsidRDefault="0074534C" w:rsidP="005379B3">
            <w:pPr>
              <w:pStyle w:val="Tabletext"/>
              <w:jc w:val="center"/>
            </w:pPr>
            <w:r w:rsidRPr="00F4213A">
              <w:t>44 (7.6%)</w:t>
            </w:r>
          </w:p>
        </w:tc>
        <w:tc>
          <w:tcPr>
            <w:tcW w:w="1216" w:type="pct"/>
          </w:tcPr>
          <w:p w:rsidR="0074534C" w:rsidRPr="00F4213A" w:rsidRDefault="0074534C" w:rsidP="005379B3">
            <w:pPr>
              <w:pStyle w:val="Tabletext"/>
              <w:jc w:val="center"/>
            </w:pPr>
            <w:r w:rsidRPr="00F4213A">
              <w:t>3.2% (-0.2%, 6.5%)</w:t>
            </w:r>
          </w:p>
        </w:tc>
      </w:tr>
      <w:tr w:rsidR="0074534C" w:rsidRPr="00F4213A" w:rsidTr="0074534C">
        <w:tc>
          <w:tcPr>
            <w:tcW w:w="1690" w:type="pct"/>
          </w:tcPr>
          <w:p w:rsidR="0074534C" w:rsidRPr="00F4213A" w:rsidRDefault="0074534C" w:rsidP="005379B3">
            <w:pPr>
              <w:pStyle w:val="Tabletext"/>
            </w:pPr>
            <w:r w:rsidRPr="00F4213A">
              <w:t>Anaemia</w:t>
            </w:r>
          </w:p>
        </w:tc>
        <w:tc>
          <w:tcPr>
            <w:tcW w:w="1047" w:type="pct"/>
            <w:vAlign w:val="center"/>
          </w:tcPr>
          <w:p w:rsidR="0074534C" w:rsidRPr="00F4213A" w:rsidRDefault="0074534C" w:rsidP="005379B3">
            <w:pPr>
              <w:pStyle w:val="Tabletext"/>
              <w:jc w:val="center"/>
            </w:pPr>
            <w:r w:rsidRPr="00F4213A">
              <w:t>48 (8.3%)</w:t>
            </w:r>
          </w:p>
        </w:tc>
        <w:tc>
          <w:tcPr>
            <w:tcW w:w="1047" w:type="pct"/>
            <w:vAlign w:val="center"/>
          </w:tcPr>
          <w:p w:rsidR="0074534C" w:rsidRPr="00F4213A" w:rsidRDefault="0074534C" w:rsidP="005379B3">
            <w:pPr>
              <w:pStyle w:val="Tabletext"/>
              <w:jc w:val="center"/>
            </w:pPr>
            <w:r w:rsidRPr="00F4213A">
              <w:t>31 (5.4%)</w:t>
            </w:r>
          </w:p>
        </w:tc>
        <w:tc>
          <w:tcPr>
            <w:tcW w:w="1216" w:type="pct"/>
          </w:tcPr>
          <w:p w:rsidR="0074534C" w:rsidRPr="00F4213A" w:rsidRDefault="0074534C" w:rsidP="005379B3">
            <w:pPr>
              <w:pStyle w:val="Tabletext"/>
              <w:jc w:val="center"/>
            </w:pPr>
            <w:r w:rsidRPr="00F4213A">
              <w:t>3.0% (0.1%, 5.9%)</w:t>
            </w:r>
          </w:p>
        </w:tc>
      </w:tr>
      <w:tr w:rsidR="0074534C" w:rsidRPr="00F4213A" w:rsidTr="0074534C">
        <w:tc>
          <w:tcPr>
            <w:tcW w:w="1690" w:type="pct"/>
          </w:tcPr>
          <w:p w:rsidR="0074534C" w:rsidRPr="00F4213A" w:rsidRDefault="0074534C" w:rsidP="005379B3">
            <w:pPr>
              <w:pStyle w:val="Tabletext"/>
            </w:pPr>
            <w:r w:rsidRPr="00F4213A">
              <w:t>Abdominal pain</w:t>
            </w:r>
          </w:p>
        </w:tc>
        <w:tc>
          <w:tcPr>
            <w:tcW w:w="1047" w:type="pct"/>
            <w:vAlign w:val="center"/>
          </w:tcPr>
          <w:p w:rsidR="0074534C" w:rsidRPr="00F4213A" w:rsidRDefault="0074534C" w:rsidP="005379B3">
            <w:pPr>
              <w:pStyle w:val="Tabletext"/>
              <w:jc w:val="center"/>
            </w:pPr>
            <w:r w:rsidRPr="00F4213A">
              <w:t>48 (8.3%)</w:t>
            </w:r>
          </w:p>
        </w:tc>
        <w:tc>
          <w:tcPr>
            <w:tcW w:w="1047" w:type="pct"/>
            <w:vAlign w:val="center"/>
          </w:tcPr>
          <w:p w:rsidR="0074534C" w:rsidRPr="00F4213A" w:rsidRDefault="0074534C" w:rsidP="005379B3">
            <w:pPr>
              <w:pStyle w:val="Tabletext"/>
              <w:jc w:val="center"/>
            </w:pPr>
            <w:r w:rsidRPr="00F4213A">
              <w:t>33 (5.7%)</w:t>
            </w:r>
          </w:p>
        </w:tc>
        <w:tc>
          <w:tcPr>
            <w:tcW w:w="1216" w:type="pct"/>
          </w:tcPr>
          <w:p w:rsidR="0074534C" w:rsidRPr="00F4213A" w:rsidRDefault="0074534C" w:rsidP="005379B3">
            <w:pPr>
              <w:pStyle w:val="Tabletext"/>
              <w:jc w:val="center"/>
            </w:pPr>
            <w:r w:rsidRPr="00F4213A">
              <w:t>2.6% (-0.3%, 5.6%)</w:t>
            </w:r>
          </w:p>
        </w:tc>
      </w:tr>
      <w:tr w:rsidR="0074534C" w:rsidRPr="00F4213A" w:rsidTr="0074534C">
        <w:tc>
          <w:tcPr>
            <w:tcW w:w="1690" w:type="pct"/>
          </w:tcPr>
          <w:p w:rsidR="0074534C" w:rsidRPr="00F4213A" w:rsidRDefault="0074534C" w:rsidP="005379B3">
            <w:pPr>
              <w:pStyle w:val="Tabletext"/>
            </w:pPr>
            <w:r w:rsidRPr="00F4213A">
              <w:t>Decrease appetite</w:t>
            </w:r>
          </w:p>
        </w:tc>
        <w:tc>
          <w:tcPr>
            <w:tcW w:w="1047" w:type="pct"/>
            <w:vAlign w:val="center"/>
          </w:tcPr>
          <w:p w:rsidR="0074534C" w:rsidRPr="00F4213A" w:rsidRDefault="0074534C" w:rsidP="005379B3">
            <w:pPr>
              <w:pStyle w:val="Tabletext"/>
              <w:jc w:val="center"/>
            </w:pPr>
            <w:r w:rsidRPr="00F4213A">
              <w:t>34 (5.9%)</w:t>
            </w:r>
          </w:p>
        </w:tc>
        <w:tc>
          <w:tcPr>
            <w:tcW w:w="1047" w:type="pct"/>
            <w:vAlign w:val="center"/>
          </w:tcPr>
          <w:p w:rsidR="0074534C" w:rsidRPr="00F4213A" w:rsidRDefault="0074534C" w:rsidP="005379B3">
            <w:pPr>
              <w:pStyle w:val="Tabletext"/>
              <w:jc w:val="center"/>
            </w:pPr>
            <w:r w:rsidRPr="00F4213A">
              <w:t>19 (3.3%)</w:t>
            </w:r>
          </w:p>
        </w:tc>
        <w:tc>
          <w:tcPr>
            <w:tcW w:w="1216" w:type="pct"/>
          </w:tcPr>
          <w:p w:rsidR="0074534C" w:rsidRPr="00F4213A" w:rsidRDefault="0074534C" w:rsidP="005379B3">
            <w:pPr>
              <w:pStyle w:val="Tabletext"/>
              <w:jc w:val="center"/>
            </w:pPr>
            <w:r w:rsidRPr="00F4213A">
              <w:t>2.6% (0.2%, 5.0%)</w:t>
            </w:r>
          </w:p>
        </w:tc>
      </w:tr>
      <w:tr w:rsidR="0074534C" w:rsidRPr="00F4213A" w:rsidTr="0074534C">
        <w:tc>
          <w:tcPr>
            <w:tcW w:w="1690" w:type="pct"/>
          </w:tcPr>
          <w:p w:rsidR="0074534C" w:rsidRPr="00F4213A" w:rsidRDefault="0074534C" w:rsidP="005379B3">
            <w:pPr>
              <w:pStyle w:val="Tabletext"/>
            </w:pPr>
            <w:r w:rsidRPr="00F4213A">
              <w:t>Nasopharyngitis</w:t>
            </w:r>
          </w:p>
        </w:tc>
        <w:tc>
          <w:tcPr>
            <w:tcW w:w="1047" w:type="pct"/>
            <w:vAlign w:val="center"/>
          </w:tcPr>
          <w:p w:rsidR="0074534C" w:rsidRPr="00F4213A" w:rsidRDefault="0074534C" w:rsidP="005379B3">
            <w:pPr>
              <w:pStyle w:val="Tabletext"/>
              <w:jc w:val="center"/>
            </w:pPr>
            <w:r w:rsidRPr="00F4213A">
              <w:t>75 (13.0%)</w:t>
            </w:r>
          </w:p>
        </w:tc>
        <w:tc>
          <w:tcPr>
            <w:tcW w:w="1047" w:type="pct"/>
            <w:vAlign w:val="center"/>
          </w:tcPr>
          <w:p w:rsidR="0074534C" w:rsidRPr="00F4213A" w:rsidRDefault="0074534C" w:rsidP="005379B3">
            <w:pPr>
              <w:pStyle w:val="Tabletext"/>
              <w:jc w:val="center"/>
            </w:pPr>
            <w:r w:rsidRPr="00F4213A">
              <w:t>63 (10.9%)</w:t>
            </w:r>
          </w:p>
        </w:tc>
        <w:tc>
          <w:tcPr>
            <w:tcW w:w="1216" w:type="pct"/>
          </w:tcPr>
          <w:p w:rsidR="0074534C" w:rsidRPr="00F4213A" w:rsidRDefault="0074534C" w:rsidP="005379B3">
            <w:pPr>
              <w:pStyle w:val="Tabletext"/>
              <w:jc w:val="center"/>
            </w:pPr>
            <w:r w:rsidRPr="00F4213A">
              <w:t>2.1% (-1.6%, 5.9%)</w:t>
            </w:r>
          </w:p>
        </w:tc>
      </w:tr>
      <w:tr w:rsidR="0074534C" w:rsidRPr="00F4213A" w:rsidTr="0074534C">
        <w:tc>
          <w:tcPr>
            <w:tcW w:w="1690" w:type="pct"/>
          </w:tcPr>
          <w:p w:rsidR="0074534C" w:rsidRPr="00F4213A" w:rsidRDefault="0074534C" w:rsidP="005379B3">
            <w:pPr>
              <w:pStyle w:val="Tabletext"/>
            </w:pPr>
            <w:r w:rsidRPr="00F4213A">
              <w:t>Hypotension</w:t>
            </w:r>
          </w:p>
        </w:tc>
        <w:tc>
          <w:tcPr>
            <w:tcW w:w="1047" w:type="pct"/>
            <w:vAlign w:val="center"/>
          </w:tcPr>
          <w:p w:rsidR="0074534C" w:rsidRPr="00F4213A" w:rsidRDefault="0074534C" w:rsidP="005379B3">
            <w:pPr>
              <w:pStyle w:val="Tabletext"/>
              <w:jc w:val="center"/>
            </w:pPr>
            <w:r w:rsidRPr="00F4213A">
              <w:t>29 (5.0%)</w:t>
            </w:r>
          </w:p>
        </w:tc>
        <w:tc>
          <w:tcPr>
            <w:tcW w:w="1047" w:type="pct"/>
            <w:vAlign w:val="center"/>
          </w:tcPr>
          <w:p w:rsidR="0074534C" w:rsidRPr="00F4213A" w:rsidRDefault="0074534C" w:rsidP="005379B3">
            <w:pPr>
              <w:pStyle w:val="Tabletext"/>
              <w:jc w:val="center"/>
            </w:pPr>
            <w:r w:rsidRPr="00F4213A">
              <w:t>18 (3.1%)</w:t>
            </w:r>
          </w:p>
        </w:tc>
        <w:tc>
          <w:tcPr>
            <w:tcW w:w="1216" w:type="pct"/>
          </w:tcPr>
          <w:p w:rsidR="0074534C" w:rsidRPr="00F4213A" w:rsidRDefault="0074534C" w:rsidP="005379B3">
            <w:pPr>
              <w:pStyle w:val="Tabletext"/>
              <w:jc w:val="center"/>
            </w:pPr>
            <w:r w:rsidRPr="00F4213A">
              <w:t>1.9% (-0.4%, 4.2%)</w:t>
            </w:r>
          </w:p>
        </w:tc>
      </w:tr>
      <w:tr w:rsidR="0074534C" w:rsidRPr="00F4213A" w:rsidTr="0074534C">
        <w:tc>
          <w:tcPr>
            <w:tcW w:w="1690" w:type="pct"/>
          </w:tcPr>
          <w:p w:rsidR="0074534C" w:rsidRPr="00F4213A" w:rsidRDefault="0074534C" w:rsidP="005379B3">
            <w:pPr>
              <w:pStyle w:val="Tabletext"/>
            </w:pPr>
            <w:r w:rsidRPr="00F4213A">
              <w:t>Asthenia</w:t>
            </w:r>
          </w:p>
        </w:tc>
        <w:tc>
          <w:tcPr>
            <w:tcW w:w="1047" w:type="pct"/>
            <w:vAlign w:val="center"/>
          </w:tcPr>
          <w:p w:rsidR="0074534C" w:rsidRPr="00F4213A" w:rsidRDefault="0074534C" w:rsidP="005379B3">
            <w:pPr>
              <w:pStyle w:val="Tabletext"/>
              <w:jc w:val="center"/>
            </w:pPr>
            <w:r w:rsidRPr="00F4213A">
              <w:t>31 (5.4%)</w:t>
            </w:r>
          </w:p>
        </w:tc>
        <w:tc>
          <w:tcPr>
            <w:tcW w:w="1047" w:type="pct"/>
            <w:vAlign w:val="center"/>
          </w:tcPr>
          <w:p w:rsidR="0074534C" w:rsidRPr="00F4213A" w:rsidRDefault="0074534C" w:rsidP="005379B3">
            <w:pPr>
              <w:pStyle w:val="Tabletext"/>
              <w:jc w:val="center"/>
            </w:pPr>
            <w:r w:rsidRPr="00F4213A">
              <w:t>24 (4.2%)</w:t>
            </w:r>
          </w:p>
        </w:tc>
        <w:tc>
          <w:tcPr>
            <w:tcW w:w="1216" w:type="pct"/>
          </w:tcPr>
          <w:p w:rsidR="0074534C" w:rsidRPr="00F4213A" w:rsidRDefault="0074534C" w:rsidP="005379B3">
            <w:pPr>
              <w:pStyle w:val="Tabletext"/>
              <w:jc w:val="center"/>
            </w:pPr>
            <w:r w:rsidRPr="00F4213A">
              <w:t>1.2% (-1.2%, 3.7%)</w:t>
            </w:r>
          </w:p>
        </w:tc>
      </w:tr>
    </w:tbl>
    <w:p w:rsidR="0074534C" w:rsidRPr="00F4213A" w:rsidRDefault="0074534C" w:rsidP="0074534C">
      <w:pPr>
        <w:pStyle w:val="TableFooter"/>
        <w:ind w:left="709"/>
      </w:pPr>
      <w:r w:rsidRPr="00F4213A">
        <w:t>AE = adverse event; BGT = background therapy; CI = confidence interval; SAF = safety analysis set</w:t>
      </w:r>
    </w:p>
    <w:p w:rsidR="0074534C" w:rsidRPr="00F4213A" w:rsidRDefault="0074534C" w:rsidP="0074534C">
      <w:pPr>
        <w:pStyle w:val="TableFooter"/>
        <w:ind w:left="709"/>
      </w:pPr>
      <w:r w:rsidRPr="00F4213A">
        <w:t>* AEs associated with prostacyclins</w:t>
      </w:r>
    </w:p>
    <w:p w:rsidR="0074534C" w:rsidRPr="00F4213A" w:rsidRDefault="0074534C" w:rsidP="0074534C">
      <w:pPr>
        <w:pStyle w:val="TableFooter"/>
        <w:ind w:left="709"/>
      </w:pPr>
      <w:r w:rsidRPr="00F4213A">
        <w:t>95% confidence intervals were calculated during the evaluation</w:t>
      </w:r>
    </w:p>
    <w:p w:rsidR="0074534C" w:rsidRPr="00F4213A" w:rsidRDefault="0074534C" w:rsidP="0074534C">
      <w:pPr>
        <w:pStyle w:val="TableFooter"/>
        <w:ind w:left="709"/>
      </w:pPr>
      <w:r w:rsidRPr="00F4213A">
        <w:t>Source: Table 12-1, p255 and Table 12-4, p261 of the submission.</w:t>
      </w:r>
    </w:p>
    <w:p w:rsidR="0074534C" w:rsidRPr="00F4213A" w:rsidRDefault="0074534C" w:rsidP="00E22BEC">
      <w:pPr>
        <w:pStyle w:val="ListParagraph"/>
        <w:widowControl/>
      </w:pPr>
    </w:p>
    <w:p w:rsidR="00E22BEC" w:rsidRPr="00F4213A" w:rsidRDefault="00E22BEC" w:rsidP="00590A3C">
      <w:pPr>
        <w:pStyle w:val="ListParagraph"/>
        <w:widowControl/>
        <w:numPr>
          <w:ilvl w:val="1"/>
          <w:numId w:val="2"/>
        </w:numPr>
        <w:rPr>
          <w:szCs w:val="22"/>
        </w:rPr>
      </w:pPr>
      <w:r w:rsidRPr="00F4213A">
        <w:t xml:space="preserve">Deaths up to EOT </w:t>
      </w:r>
      <w:r w:rsidR="00414F46" w:rsidRPr="00F4213A">
        <w:t>plus</w:t>
      </w:r>
      <w:r w:rsidRPr="00F4213A">
        <w:t xml:space="preserve"> 7 days</w:t>
      </w:r>
      <w:r w:rsidR="00414F46" w:rsidRPr="00F4213A">
        <w:t xml:space="preserve"> that were</w:t>
      </w:r>
      <w:r w:rsidRPr="00F4213A">
        <w:t xml:space="preserve"> adjudicate</w:t>
      </w:r>
      <w:r w:rsidR="00414F46" w:rsidRPr="00F4213A">
        <w:t>d as not PAH-related by the CEC</w:t>
      </w:r>
      <w:r w:rsidRPr="00F4213A">
        <w:t xml:space="preserve"> occurred in 2.3% and 1.7% of patients in the selexipag ± BGT and placebo ± BGT groups, respectively. In the safety analysis set (SAF), a total of 49 (8.5%) and 41 (7.1%) patients in the selexipag ± BGT and placebo ± BGT groups, respectively, experienced at least 1 serious AE (SAE) up to EOT </w:t>
      </w:r>
      <w:r w:rsidR="00E067C4" w:rsidRPr="00F4213A">
        <w:t>plus</w:t>
      </w:r>
      <w:r w:rsidRPr="00F4213A">
        <w:t xml:space="preserve"> 7 days with subsequent fatal outcome. There was no association between the number of SAEs with fatal outcome and the selexipag dose (p266 GRIPHON CSR). The most frequently reported SAEs with fatal outcome were worsening of PAH and right ventricular failure; other causes included sudden death, cardiopulmonary failure and cardiac arrest. </w:t>
      </w:r>
    </w:p>
    <w:p w:rsidR="00B60939" w:rsidRDefault="00B60939" w:rsidP="007F1017">
      <w:pPr>
        <w:pStyle w:val="ListParagraph"/>
        <w:ind w:left="0"/>
        <w:rPr>
          <w:szCs w:val="22"/>
        </w:rPr>
      </w:pPr>
    </w:p>
    <w:p w:rsidR="007F1017" w:rsidRPr="002C2775" w:rsidRDefault="007F1017" w:rsidP="007170EE">
      <w:pPr>
        <w:pStyle w:val="Heading2"/>
        <w:rPr>
          <w:szCs w:val="22"/>
        </w:rPr>
      </w:pPr>
      <w:bookmarkStart w:id="13" w:name="_Toc440892684"/>
      <w:r w:rsidRPr="002C2775">
        <w:t>Benefits/harms</w:t>
      </w:r>
      <w:bookmarkEnd w:id="13"/>
    </w:p>
    <w:p w:rsidR="007F1017" w:rsidRPr="007F1017" w:rsidRDefault="007F1017" w:rsidP="007F1017">
      <w:pPr>
        <w:pStyle w:val="ListParagraph"/>
        <w:ind w:left="0"/>
        <w:rPr>
          <w:szCs w:val="22"/>
        </w:rPr>
      </w:pPr>
    </w:p>
    <w:p w:rsidR="00EC00C9" w:rsidRPr="00B50DB8" w:rsidRDefault="00EC00C9" w:rsidP="00590A3C">
      <w:pPr>
        <w:pStyle w:val="ListParagraph"/>
        <w:widowControl/>
        <w:numPr>
          <w:ilvl w:val="1"/>
          <w:numId w:val="2"/>
        </w:numPr>
        <w:rPr>
          <w:szCs w:val="22"/>
        </w:rPr>
      </w:pPr>
      <w:r w:rsidRPr="00B50DB8">
        <w:rPr>
          <w:szCs w:val="22"/>
        </w:rPr>
        <w:t xml:space="preserve">A summary of the comparative benefits and harms for </w:t>
      </w:r>
      <w:r w:rsidR="00912D16" w:rsidRPr="00912D16">
        <w:rPr>
          <w:szCs w:val="22"/>
        </w:rPr>
        <w:t>selexipag</w:t>
      </w:r>
      <w:r w:rsidR="00912D16">
        <w:rPr>
          <w:szCs w:val="22"/>
        </w:rPr>
        <w:t xml:space="preserve"> ± BGT </w:t>
      </w:r>
      <w:r w:rsidRPr="00B50DB8">
        <w:rPr>
          <w:szCs w:val="22"/>
        </w:rPr>
        <w:t xml:space="preserve">versus </w:t>
      </w:r>
      <w:r w:rsidR="00912D16">
        <w:rPr>
          <w:szCs w:val="22"/>
        </w:rPr>
        <w:t>placebo ± BGT</w:t>
      </w:r>
      <w:r w:rsidRPr="00B50DB8">
        <w:rPr>
          <w:szCs w:val="22"/>
        </w:rPr>
        <w:t xml:space="preserve"> is presented in the table below.</w:t>
      </w:r>
      <w:r w:rsidR="00410708" w:rsidRPr="00B50DB8">
        <w:rPr>
          <w:szCs w:val="22"/>
        </w:rPr>
        <w:t xml:space="preserve"> </w:t>
      </w:r>
    </w:p>
    <w:p w:rsidR="006B0E7F" w:rsidRDefault="006B0E7F" w:rsidP="004B1CB4">
      <w:r>
        <w:br w:type="page"/>
      </w:r>
    </w:p>
    <w:p w:rsidR="00B62715" w:rsidRPr="005C7F65" w:rsidRDefault="00E22BEC" w:rsidP="006B0E7F">
      <w:pPr>
        <w:pStyle w:val="Caption"/>
        <w:ind w:left="709"/>
      </w:pPr>
      <w:r>
        <w:lastRenderedPageBreak/>
        <w:t xml:space="preserve">Table </w:t>
      </w:r>
      <w:r w:rsidR="002D1BF1">
        <w:rPr>
          <w:noProof/>
        </w:rPr>
        <w:t>5</w:t>
      </w:r>
      <w:r w:rsidR="00B62715" w:rsidRPr="005C7F65">
        <w:t xml:space="preserve">: Summary of comparative benefits and harms for </w:t>
      </w:r>
      <w:r w:rsidRPr="008646A7">
        <w:t>selexipag</w:t>
      </w:r>
      <w:r w:rsidR="00874261">
        <w:t xml:space="preserve"> ± BGT</w:t>
      </w:r>
      <w:r w:rsidR="00B62715" w:rsidRPr="005C7F65">
        <w:t xml:space="preserve"> and </w:t>
      </w:r>
      <w:r>
        <w:t>placebo</w:t>
      </w:r>
      <w:r w:rsidR="00874261">
        <w:t xml:space="preserve"> ± BGT</w:t>
      </w:r>
      <w:r w:rsidR="002D6A23">
        <w:t xml:space="preserve"> in the GRIPHON trial</w:t>
      </w:r>
    </w:p>
    <w:tbl>
      <w:tblPr>
        <w:tblStyle w:val="TableGrid"/>
        <w:tblW w:w="4682" w:type="pct"/>
        <w:tblInd w:w="737" w:type="dxa"/>
        <w:tblLayout w:type="fixed"/>
        <w:tblCellMar>
          <w:left w:w="28" w:type="dxa"/>
          <w:right w:w="28" w:type="dxa"/>
        </w:tblCellMar>
        <w:tblLook w:val="04A0" w:firstRow="1" w:lastRow="0" w:firstColumn="1" w:lastColumn="0" w:noHBand="0" w:noVBand="1"/>
        <w:tblCaption w:val="Table 5: Summary of comparative benefits and harms for selexipag ± BGT and placebo ± BGT in the GRIPHON trial"/>
      </w:tblPr>
      <w:tblGrid>
        <w:gridCol w:w="1169"/>
        <w:gridCol w:w="12"/>
        <w:gridCol w:w="1128"/>
        <w:gridCol w:w="12"/>
        <w:gridCol w:w="231"/>
        <w:gridCol w:w="1056"/>
        <w:gridCol w:w="784"/>
        <w:gridCol w:w="614"/>
        <w:gridCol w:w="1141"/>
        <w:gridCol w:w="139"/>
        <w:gridCol w:w="946"/>
        <w:gridCol w:w="1272"/>
      </w:tblGrid>
      <w:tr w:rsidR="00B62715" w:rsidRPr="00E2771E" w:rsidTr="00DE38F7">
        <w:trPr>
          <w:tblHeader/>
        </w:trPr>
        <w:tc>
          <w:tcPr>
            <w:tcW w:w="5000" w:type="pct"/>
            <w:gridSpan w:val="12"/>
            <w:shd w:val="clear" w:color="auto" w:fill="auto"/>
            <w:vAlign w:val="center"/>
          </w:tcPr>
          <w:p w:rsidR="00B62715" w:rsidRPr="00E2771E" w:rsidRDefault="00B62715" w:rsidP="00EC00C9">
            <w:pPr>
              <w:rPr>
                <w:rFonts w:ascii="Arial Narrow" w:hAnsi="Arial Narrow"/>
                <w:b/>
                <w:color w:val="000000"/>
                <w:sz w:val="20"/>
                <w:szCs w:val="18"/>
              </w:rPr>
            </w:pPr>
            <w:r w:rsidRPr="00E2771E">
              <w:rPr>
                <w:rFonts w:ascii="Arial Narrow" w:hAnsi="Arial Narrow"/>
                <w:b/>
                <w:color w:val="000000"/>
                <w:sz w:val="20"/>
                <w:szCs w:val="18"/>
              </w:rPr>
              <w:t>Benefits</w:t>
            </w:r>
          </w:p>
        </w:tc>
      </w:tr>
      <w:tr w:rsidR="00B62715" w:rsidRPr="00E2771E" w:rsidTr="001C3E4A">
        <w:tc>
          <w:tcPr>
            <w:tcW w:w="5000" w:type="pct"/>
            <w:gridSpan w:val="12"/>
            <w:shd w:val="clear" w:color="auto" w:fill="auto"/>
            <w:vAlign w:val="center"/>
          </w:tcPr>
          <w:p w:rsidR="00B62715" w:rsidRPr="00E2771E" w:rsidRDefault="00BD0A20" w:rsidP="00BD0A20">
            <w:pPr>
              <w:rPr>
                <w:rFonts w:ascii="Arial Narrow" w:hAnsi="Arial Narrow"/>
                <w:b/>
                <w:color w:val="000000"/>
                <w:sz w:val="20"/>
                <w:szCs w:val="18"/>
              </w:rPr>
            </w:pPr>
            <w:r>
              <w:rPr>
                <w:rFonts w:ascii="Arial Narrow" w:hAnsi="Arial Narrow"/>
                <w:b/>
                <w:color w:val="000000"/>
                <w:sz w:val="20"/>
                <w:szCs w:val="18"/>
              </w:rPr>
              <w:t>Time to first CEC-confirmed MM event</w:t>
            </w:r>
            <w:r w:rsidR="00B62715" w:rsidRPr="00E2771E">
              <w:rPr>
                <w:rFonts w:ascii="Arial Narrow" w:hAnsi="Arial Narrow"/>
                <w:b/>
                <w:color w:val="000000"/>
                <w:sz w:val="20"/>
                <w:szCs w:val="18"/>
              </w:rPr>
              <w:t xml:space="preserve">: </w:t>
            </w:r>
            <w:r>
              <w:rPr>
                <w:rFonts w:ascii="Arial Narrow" w:hAnsi="Arial Narrow"/>
                <w:b/>
                <w:color w:val="000000"/>
                <w:sz w:val="20"/>
                <w:szCs w:val="18"/>
              </w:rPr>
              <w:t>GRIPHON</w:t>
            </w:r>
          </w:p>
        </w:tc>
      </w:tr>
      <w:tr w:rsidR="000E4111" w:rsidRPr="00E2771E" w:rsidTr="001C3E4A">
        <w:tc>
          <w:tcPr>
            <w:tcW w:w="1500" w:type="pct"/>
            <w:gridSpan w:val="5"/>
            <w:shd w:val="clear" w:color="auto" w:fill="auto"/>
            <w:vAlign w:val="center"/>
          </w:tcPr>
          <w:p w:rsidR="000E4111" w:rsidRPr="00E2771E" w:rsidRDefault="000E4111" w:rsidP="00EC00C9">
            <w:pPr>
              <w:jc w:val="center"/>
              <w:rPr>
                <w:rFonts w:ascii="Arial Narrow" w:hAnsi="Arial Narrow"/>
                <w:color w:val="000000"/>
                <w:sz w:val="20"/>
                <w:szCs w:val="18"/>
              </w:rPr>
            </w:pPr>
          </w:p>
        </w:tc>
        <w:tc>
          <w:tcPr>
            <w:tcW w:w="1082" w:type="pct"/>
            <w:gridSpan w:val="2"/>
            <w:vAlign w:val="center"/>
          </w:tcPr>
          <w:p w:rsidR="000E4111" w:rsidRPr="00E2771E" w:rsidRDefault="000E4111" w:rsidP="00EC00C9">
            <w:pPr>
              <w:jc w:val="center"/>
              <w:rPr>
                <w:rFonts w:ascii="Arial Narrow" w:hAnsi="Arial Narrow"/>
                <w:b/>
                <w:color w:val="000000"/>
                <w:sz w:val="20"/>
                <w:szCs w:val="18"/>
              </w:rPr>
            </w:pPr>
            <w:r>
              <w:rPr>
                <w:rFonts w:ascii="Arial Narrow" w:hAnsi="Arial Narrow"/>
                <w:b/>
                <w:color w:val="000000"/>
                <w:sz w:val="20"/>
                <w:szCs w:val="18"/>
              </w:rPr>
              <w:t>Selexipag ± BGT</w:t>
            </w:r>
          </w:p>
        </w:tc>
        <w:tc>
          <w:tcPr>
            <w:tcW w:w="1114" w:type="pct"/>
            <w:gridSpan w:val="3"/>
            <w:vAlign w:val="center"/>
          </w:tcPr>
          <w:p w:rsidR="000E4111" w:rsidRPr="00E2771E" w:rsidRDefault="000E4111" w:rsidP="00EC00C9">
            <w:pPr>
              <w:jc w:val="center"/>
              <w:rPr>
                <w:rFonts w:ascii="Arial Narrow" w:hAnsi="Arial Narrow"/>
                <w:b/>
                <w:color w:val="000000"/>
                <w:sz w:val="20"/>
                <w:szCs w:val="18"/>
              </w:rPr>
            </w:pPr>
            <w:r>
              <w:rPr>
                <w:rFonts w:ascii="Arial Narrow" w:hAnsi="Arial Narrow"/>
                <w:b/>
                <w:color w:val="000000"/>
                <w:sz w:val="20"/>
                <w:szCs w:val="18"/>
              </w:rPr>
              <w:t>Placebo ± BGT</w:t>
            </w:r>
          </w:p>
        </w:tc>
        <w:tc>
          <w:tcPr>
            <w:tcW w:w="1304" w:type="pct"/>
            <w:gridSpan w:val="2"/>
            <w:vAlign w:val="center"/>
          </w:tcPr>
          <w:p w:rsidR="000E4111" w:rsidRPr="008351BF" w:rsidRDefault="000E4111" w:rsidP="00BD0A20">
            <w:pPr>
              <w:jc w:val="center"/>
              <w:rPr>
                <w:rFonts w:ascii="Arial Narrow" w:hAnsi="Arial Narrow"/>
                <w:b/>
                <w:color w:val="000000"/>
                <w:sz w:val="20"/>
                <w:szCs w:val="18"/>
              </w:rPr>
            </w:pPr>
            <w:r w:rsidRPr="00E2771E">
              <w:rPr>
                <w:rFonts w:ascii="Arial Narrow" w:hAnsi="Arial Narrow"/>
                <w:b/>
                <w:color w:val="000000"/>
                <w:sz w:val="20"/>
                <w:szCs w:val="18"/>
              </w:rPr>
              <w:t>HR (9</w:t>
            </w:r>
            <w:r>
              <w:rPr>
                <w:rFonts w:ascii="Arial Narrow" w:hAnsi="Arial Narrow"/>
                <w:b/>
                <w:color w:val="000000"/>
                <w:sz w:val="20"/>
                <w:szCs w:val="18"/>
              </w:rPr>
              <w:t>9</w:t>
            </w:r>
            <w:r w:rsidRPr="00E2771E">
              <w:rPr>
                <w:rFonts w:ascii="Arial Narrow" w:hAnsi="Arial Narrow"/>
                <w:b/>
                <w:color w:val="000000"/>
                <w:sz w:val="20"/>
                <w:szCs w:val="18"/>
              </w:rPr>
              <w:t>% CI)</w:t>
            </w:r>
            <w:r w:rsidR="008351BF">
              <w:rPr>
                <w:rFonts w:ascii="Arial Narrow" w:hAnsi="Arial Narrow"/>
                <w:b/>
                <w:color w:val="000000"/>
                <w:sz w:val="20"/>
                <w:szCs w:val="18"/>
              </w:rPr>
              <w:t>*</w:t>
            </w:r>
          </w:p>
        </w:tc>
      </w:tr>
      <w:tr w:rsidR="001C3E4A" w:rsidRPr="00E2771E" w:rsidTr="001C3E4A">
        <w:tc>
          <w:tcPr>
            <w:tcW w:w="5000" w:type="pct"/>
            <w:gridSpan w:val="12"/>
            <w:shd w:val="clear" w:color="auto" w:fill="auto"/>
            <w:vAlign w:val="center"/>
          </w:tcPr>
          <w:p w:rsidR="001C3E4A" w:rsidRPr="00E2771E" w:rsidRDefault="001C3E4A" w:rsidP="001C3E4A">
            <w:pPr>
              <w:jc w:val="left"/>
              <w:rPr>
                <w:rFonts w:ascii="Arial Narrow" w:hAnsi="Arial Narrow"/>
                <w:b/>
                <w:color w:val="000000"/>
                <w:sz w:val="20"/>
                <w:szCs w:val="18"/>
              </w:rPr>
            </w:pPr>
            <w:r>
              <w:rPr>
                <w:rFonts w:ascii="Arial Narrow" w:hAnsi="Arial Narrow"/>
                <w:b/>
                <w:color w:val="000000"/>
                <w:sz w:val="20"/>
                <w:szCs w:val="18"/>
              </w:rPr>
              <w:t>ITT analysis</w:t>
            </w:r>
          </w:p>
        </w:tc>
      </w:tr>
      <w:tr w:rsidR="000E4111" w:rsidRPr="00E2771E" w:rsidTr="001C3E4A">
        <w:tc>
          <w:tcPr>
            <w:tcW w:w="1500" w:type="pct"/>
            <w:gridSpan w:val="5"/>
            <w:shd w:val="clear" w:color="auto" w:fill="auto"/>
            <w:vAlign w:val="center"/>
          </w:tcPr>
          <w:p w:rsidR="000E4111" w:rsidRPr="00E2771E" w:rsidRDefault="0087623C" w:rsidP="00EC00C9">
            <w:pPr>
              <w:rPr>
                <w:rFonts w:ascii="Arial Narrow" w:hAnsi="Arial Narrow"/>
                <w:color w:val="000000"/>
                <w:sz w:val="20"/>
                <w:szCs w:val="18"/>
              </w:rPr>
            </w:pPr>
            <w:r>
              <w:rPr>
                <w:rFonts w:ascii="Arial Narrow" w:hAnsi="Arial Narrow"/>
                <w:color w:val="000000"/>
                <w:sz w:val="20"/>
                <w:szCs w:val="18"/>
              </w:rPr>
              <w:t>Patients with event</w:t>
            </w:r>
            <w:r w:rsidR="000E4111" w:rsidRPr="00E2771E">
              <w:rPr>
                <w:rFonts w:ascii="Arial Narrow" w:hAnsi="Arial Narrow"/>
                <w:color w:val="000000"/>
                <w:sz w:val="20"/>
                <w:szCs w:val="18"/>
              </w:rPr>
              <w:t>*</w:t>
            </w:r>
            <w:r w:rsidR="0045040D">
              <w:rPr>
                <w:rFonts w:ascii="Arial Narrow" w:hAnsi="Arial Narrow"/>
                <w:color w:val="000000"/>
                <w:sz w:val="20"/>
                <w:szCs w:val="18"/>
              </w:rPr>
              <w:t>*</w:t>
            </w:r>
          </w:p>
        </w:tc>
        <w:tc>
          <w:tcPr>
            <w:tcW w:w="1082" w:type="pct"/>
            <w:gridSpan w:val="2"/>
          </w:tcPr>
          <w:p w:rsidR="000E4111" w:rsidRPr="00E2771E" w:rsidRDefault="0087623C" w:rsidP="00EC00C9">
            <w:pPr>
              <w:jc w:val="center"/>
              <w:rPr>
                <w:rFonts w:ascii="Arial Narrow" w:hAnsi="Arial Narrow"/>
                <w:sz w:val="20"/>
              </w:rPr>
            </w:pPr>
            <w:r>
              <w:rPr>
                <w:rFonts w:ascii="Arial Narrow" w:hAnsi="Arial Narrow"/>
                <w:sz w:val="20"/>
              </w:rPr>
              <w:t>155/574</w:t>
            </w:r>
          </w:p>
        </w:tc>
        <w:tc>
          <w:tcPr>
            <w:tcW w:w="1114" w:type="pct"/>
            <w:gridSpan w:val="3"/>
          </w:tcPr>
          <w:p w:rsidR="000E4111" w:rsidRPr="00E2771E" w:rsidRDefault="0087623C" w:rsidP="00EC00C9">
            <w:pPr>
              <w:jc w:val="center"/>
              <w:rPr>
                <w:rFonts w:ascii="Arial Narrow" w:hAnsi="Arial Narrow"/>
                <w:sz w:val="20"/>
              </w:rPr>
            </w:pPr>
            <w:r>
              <w:rPr>
                <w:rFonts w:ascii="Arial Narrow" w:hAnsi="Arial Narrow"/>
                <w:sz w:val="20"/>
              </w:rPr>
              <w:t>242/582</w:t>
            </w:r>
            <w:r w:rsidR="000E4111" w:rsidRPr="00E2771E">
              <w:rPr>
                <w:rFonts w:ascii="Arial Narrow" w:hAnsi="Arial Narrow"/>
                <w:sz w:val="20"/>
              </w:rPr>
              <w:t xml:space="preserve"> </w:t>
            </w:r>
          </w:p>
        </w:tc>
        <w:tc>
          <w:tcPr>
            <w:tcW w:w="1304" w:type="pct"/>
            <w:gridSpan w:val="2"/>
            <w:vAlign w:val="center"/>
          </w:tcPr>
          <w:p w:rsidR="000E4111" w:rsidRPr="00674179" w:rsidRDefault="000E4111" w:rsidP="00EC00C9">
            <w:pPr>
              <w:jc w:val="center"/>
              <w:rPr>
                <w:rFonts w:ascii="Arial Narrow" w:hAnsi="Arial Narrow"/>
                <w:color w:val="000000"/>
                <w:sz w:val="20"/>
                <w:szCs w:val="18"/>
                <w:vertAlign w:val="superscript"/>
              </w:rPr>
            </w:pPr>
            <w:r>
              <w:rPr>
                <w:rFonts w:ascii="Arial Narrow" w:hAnsi="Arial Narrow"/>
                <w:sz w:val="20"/>
              </w:rPr>
              <w:t>0.60 (0.46, 0.78)</w:t>
            </w:r>
          </w:p>
        </w:tc>
      </w:tr>
      <w:tr w:rsidR="0087623C" w:rsidRPr="00E2771E" w:rsidTr="001C3E4A">
        <w:tc>
          <w:tcPr>
            <w:tcW w:w="1500" w:type="pct"/>
            <w:gridSpan w:val="5"/>
            <w:shd w:val="clear" w:color="auto" w:fill="auto"/>
            <w:vAlign w:val="center"/>
          </w:tcPr>
          <w:p w:rsidR="0087623C" w:rsidRPr="00E2771E" w:rsidRDefault="0087623C" w:rsidP="00EC00C9">
            <w:pPr>
              <w:rPr>
                <w:rFonts w:ascii="Arial Narrow" w:hAnsi="Arial Narrow"/>
                <w:color w:val="000000"/>
                <w:sz w:val="20"/>
                <w:szCs w:val="18"/>
              </w:rPr>
            </w:pPr>
            <w:r>
              <w:rPr>
                <w:rFonts w:ascii="Arial Narrow" w:hAnsi="Arial Narrow"/>
                <w:color w:val="000000"/>
                <w:sz w:val="20"/>
                <w:szCs w:val="18"/>
              </w:rPr>
              <w:t>Median time to first MM event</w:t>
            </w:r>
          </w:p>
        </w:tc>
        <w:tc>
          <w:tcPr>
            <w:tcW w:w="1082" w:type="pct"/>
            <w:gridSpan w:val="2"/>
          </w:tcPr>
          <w:p w:rsidR="0087623C" w:rsidRPr="0087623C" w:rsidRDefault="0087623C" w:rsidP="00EC00C9">
            <w:pPr>
              <w:jc w:val="center"/>
              <w:rPr>
                <w:rFonts w:ascii="Arial Narrow" w:hAnsi="Arial Narrow"/>
                <w:sz w:val="20"/>
                <w:vertAlign w:val="superscript"/>
              </w:rPr>
            </w:pPr>
            <w:r>
              <w:rPr>
                <w:rFonts w:ascii="Arial Narrow" w:hAnsi="Arial Narrow"/>
                <w:sz w:val="20"/>
              </w:rPr>
              <w:t>NA</w:t>
            </w:r>
            <w:r>
              <w:rPr>
                <w:rFonts w:ascii="Arial Narrow" w:hAnsi="Arial Narrow"/>
                <w:sz w:val="20"/>
                <w:vertAlign w:val="superscript"/>
              </w:rPr>
              <w:t>a</w:t>
            </w:r>
          </w:p>
        </w:tc>
        <w:tc>
          <w:tcPr>
            <w:tcW w:w="1114" w:type="pct"/>
            <w:gridSpan w:val="3"/>
          </w:tcPr>
          <w:p w:rsidR="0087623C" w:rsidRPr="00E2771E" w:rsidRDefault="0087623C" w:rsidP="00EC00C9">
            <w:pPr>
              <w:jc w:val="center"/>
              <w:rPr>
                <w:rFonts w:ascii="Arial Narrow" w:hAnsi="Arial Narrow"/>
                <w:sz w:val="20"/>
              </w:rPr>
            </w:pPr>
            <w:r>
              <w:rPr>
                <w:rFonts w:ascii="Arial Narrow" w:hAnsi="Arial Narrow"/>
                <w:sz w:val="20"/>
              </w:rPr>
              <w:t>NR</w:t>
            </w:r>
          </w:p>
        </w:tc>
        <w:tc>
          <w:tcPr>
            <w:tcW w:w="1304" w:type="pct"/>
            <w:gridSpan w:val="2"/>
            <w:vAlign w:val="center"/>
          </w:tcPr>
          <w:p w:rsidR="0087623C" w:rsidRDefault="0087623C" w:rsidP="00EC00C9">
            <w:pPr>
              <w:jc w:val="center"/>
              <w:rPr>
                <w:rFonts w:ascii="Arial Narrow" w:hAnsi="Arial Narrow"/>
                <w:sz w:val="20"/>
              </w:rPr>
            </w:pPr>
          </w:p>
        </w:tc>
      </w:tr>
      <w:tr w:rsidR="001C3E4A" w:rsidRPr="00E2771E" w:rsidTr="001C3E4A">
        <w:tc>
          <w:tcPr>
            <w:tcW w:w="5000" w:type="pct"/>
            <w:gridSpan w:val="12"/>
            <w:shd w:val="clear" w:color="auto" w:fill="auto"/>
            <w:vAlign w:val="center"/>
          </w:tcPr>
          <w:p w:rsidR="001C3E4A" w:rsidRPr="00E2771E" w:rsidRDefault="001C3E4A" w:rsidP="001C3E4A">
            <w:pPr>
              <w:jc w:val="left"/>
              <w:rPr>
                <w:rFonts w:ascii="Arial Narrow" w:hAnsi="Arial Narrow"/>
                <w:color w:val="000000"/>
                <w:sz w:val="20"/>
                <w:szCs w:val="18"/>
              </w:rPr>
            </w:pPr>
            <w:r>
              <w:rPr>
                <w:rFonts w:ascii="Arial Narrow" w:hAnsi="Arial Narrow"/>
                <w:b/>
                <w:color w:val="000000"/>
                <w:sz w:val="20"/>
                <w:szCs w:val="18"/>
              </w:rPr>
              <w:t>Subgroup analyses</w:t>
            </w:r>
          </w:p>
        </w:tc>
      </w:tr>
      <w:tr w:rsidR="000E4111" w:rsidRPr="00E2771E" w:rsidTr="001C3E4A">
        <w:tc>
          <w:tcPr>
            <w:tcW w:w="1500" w:type="pct"/>
            <w:gridSpan w:val="5"/>
            <w:shd w:val="clear" w:color="auto" w:fill="auto"/>
            <w:vAlign w:val="center"/>
          </w:tcPr>
          <w:p w:rsidR="000E4111" w:rsidRDefault="000E4111" w:rsidP="004B5F09">
            <w:pPr>
              <w:rPr>
                <w:rFonts w:ascii="Arial Narrow" w:hAnsi="Arial Narrow"/>
                <w:color w:val="000000"/>
                <w:sz w:val="20"/>
                <w:szCs w:val="18"/>
              </w:rPr>
            </w:pPr>
            <w:r w:rsidRPr="004B5F09">
              <w:rPr>
                <w:rFonts w:ascii="Arial Narrow" w:hAnsi="Arial Narrow"/>
                <w:color w:val="000000"/>
                <w:sz w:val="20"/>
                <w:szCs w:val="18"/>
              </w:rPr>
              <w:t xml:space="preserve">WHO </w:t>
            </w:r>
            <w:r>
              <w:rPr>
                <w:rFonts w:ascii="Arial Narrow" w:hAnsi="Arial Narrow"/>
                <w:color w:val="000000"/>
                <w:sz w:val="20"/>
                <w:szCs w:val="18"/>
              </w:rPr>
              <w:t>functional class</w:t>
            </w:r>
            <w:r w:rsidRPr="004B5F09">
              <w:rPr>
                <w:rFonts w:ascii="Arial Narrow" w:hAnsi="Arial Narrow"/>
                <w:color w:val="000000"/>
                <w:sz w:val="20"/>
                <w:szCs w:val="18"/>
              </w:rPr>
              <w:t xml:space="preserve"> </w:t>
            </w:r>
          </w:p>
          <w:p w:rsidR="000E4111" w:rsidRDefault="000E4111" w:rsidP="004B5F09">
            <w:pPr>
              <w:ind w:left="295"/>
              <w:rPr>
                <w:rFonts w:ascii="Arial Narrow" w:hAnsi="Arial Narrow"/>
                <w:color w:val="000000"/>
                <w:sz w:val="20"/>
                <w:szCs w:val="18"/>
              </w:rPr>
            </w:pPr>
            <w:r>
              <w:rPr>
                <w:rFonts w:ascii="Arial Narrow" w:hAnsi="Arial Narrow"/>
                <w:color w:val="000000"/>
                <w:sz w:val="20"/>
                <w:szCs w:val="18"/>
              </w:rPr>
              <w:t>I/II</w:t>
            </w:r>
          </w:p>
          <w:p w:rsidR="000E4111" w:rsidRPr="004B5F09" w:rsidRDefault="000E4111" w:rsidP="004B5F09">
            <w:pPr>
              <w:ind w:left="295"/>
              <w:rPr>
                <w:rFonts w:ascii="Arial Narrow" w:hAnsi="Arial Narrow"/>
                <w:color w:val="000000"/>
                <w:sz w:val="20"/>
                <w:szCs w:val="18"/>
              </w:rPr>
            </w:pPr>
            <w:r>
              <w:rPr>
                <w:rFonts w:ascii="Arial Narrow" w:hAnsi="Arial Narrow"/>
                <w:color w:val="000000"/>
                <w:sz w:val="20"/>
                <w:szCs w:val="18"/>
              </w:rPr>
              <w:t>III/IV</w:t>
            </w:r>
          </w:p>
        </w:tc>
        <w:tc>
          <w:tcPr>
            <w:tcW w:w="1082" w:type="pct"/>
            <w:gridSpan w:val="2"/>
          </w:tcPr>
          <w:p w:rsidR="000E4111" w:rsidRPr="004B5F09" w:rsidRDefault="000E4111" w:rsidP="00757C1B">
            <w:pPr>
              <w:pStyle w:val="Tabletext"/>
              <w:jc w:val="center"/>
            </w:pPr>
          </w:p>
          <w:p w:rsidR="000E4111" w:rsidRPr="004B5F09" w:rsidRDefault="000E4111" w:rsidP="00757C1B">
            <w:pPr>
              <w:pStyle w:val="Tabletext"/>
              <w:jc w:val="center"/>
            </w:pPr>
            <w:r w:rsidRPr="004B5F09">
              <w:t>52/278 (18.7%)</w:t>
            </w:r>
          </w:p>
          <w:p w:rsidR="000E4111" w:rsidRPr="004B5F09" w:rsidRDefault="000E4111" w:rsidP="00EC00C9">
            <w:pPr>
              <w:jc w:val="center"/>
              <w:rPr>
                <w:rFonts w:ascii="Arial Narrow" w:hAnsi="Arial Narrow"/>
                <w:sz w:val="20"/>
              </w:rPr>
            </w:pPr>
            <w:r w:rsidRPr="004B5F09">
              <w:rPr>
                <w:rFonts w:ascii="Arial Narrow" w:hAnsi="Arial Narrow"/>
                <w:sz w:val="20"/>
              </w:rPr>
              <w:t>103/296 (34.8%)</w:t>
            </w:r>
          </w:p>
        </w:tc>
        <w:tc>
          <w:tcPr>
            <w:tcW w:w="1114" w:type="pct"/>
            <w:gridSpan w:val="3"/>
          </w:tcPr>
          <w:p w:rsidR="000E4111" w:rsidRPr="004B5F09" w:rsidRDefault="000E4111" w:rsidP="00757C1B">
            <w:pPr>
              <w:pStyle w:val="Tabletext"/>
              <w:jc w:val="center"/>
            </w:pPr>
          </w:p>
          <w:p w:rsidR="000E4111" w:rsidRPr="004B5F09" w:rsidRDefault="000E4111" w:rsidP="00757C1B">
            <w:pPr>
              <w:pStyle w:val="Tabletext"/>
              <w:jc w:val="center"/>
            </w:pPr>
            <w:r w:rsidRPr="004B5F09">
              <w:t>74/260 (28.5%)</w:t>
            </w:r>
          </w:p>
          <w:p w:rsidR="000E4111" w:rsidRPr="004B5F09" w:rsidRDefault="000E4111" w:rsidP="00EC00C9">
            <w:pPr>
              <w:jc w:val="center"/>
              <w:rPr>
                <w:rFonts w:ascii="Arial Narrow" w:hAnsi="Arial Narrow"/>
                <w:sz w:val="20"/>
              </w:rPr>
            </w:pPr>
            <w:r w:rsidRPr="004B5F09">
              <w:rPr>
                <w:rFonts w:ascii="Arial Narrow" w:hAnsi="Arial Narrow"/>
                <w:sz w:val="20"/>
              </w:rPr>
              <w:t>168/322 (52.2%)</w:t>
            </w:r>
          </w:p>
        </w:tc>
        <w:tc>
          <w:tcPr>
            <w:tcW w:w="1304" w:type="pct"/>
            <w:gridSpan w:val="2"/>
            <w:vAlign w:val="center"/>
          </w:tcPr>
          <w:p w:rsidR="000E4111" w:rsidRDefault="000E4111" w:rsidP="004B5F09">
            <w:pPr>
              <w:pStyle w:val="Tabletext"/>
              <w:jc w:val="center"/>
            </w:pPr>
          </w:p>
          <w:p w:rsidR="000E4111" w:rsidRPr="004B5F09" w:rsidRDefault="000E4111" w:rsidP="004B5F09">
            <w:pPr>
              <w:pStyle w:val="Tabletext"/>
              <w:jc w:val="center"/>
            </w:pPr>
            <w:r w:rsidRPr="004B5F09">
              <w:t>0.63 (0.40, 1.00)</w:t>
            </w:r>
          </w:p>
          <w:p w:rsidR="000E4111" w:rsidRPr="00E2771E" w:rsidRDefault="000E4111" w:rsidP="004B5F09">
            <w:pPr>
              <w:jc w:val="center"/>
              <w:rPr>
                <w:rFonts w:ascii="Arial Narrow" w:hAnsi="Arial Narrow"/>
                <w:color w:val="000000"/>
                <w:sz w:val="20"/>
                <w:szCs w:val="18"/>
              </w:rPr>
            </w:pPr>
            <w:r w:rsidRPr="004B5F09">
              <w:rPr>
                <w:rFonts w:ascii="Arial Narrow" w:hAnsi="Arial Narrow"/>
                <w:sz w:val="20"/>
              </w:rPr>
              <w:t>0.60 (0.43, 0.83)</w:t>
            </w:r>
          </w:p>
        </w:tc>
      </w:tr>
      <w:tr w:rsidR="000E4111" w:rsidRPr="00E2771E" w:rsidTr="001C3E4A">
        <w:tc>
          <w:tcPr>
            <w:tcW w:w="1500" w:type="pct"/>
            <w:gridSpan w:val="5"/>
            <w:shd w:val="clear" w:color="auto" w:fill="auto"/>
            <w:vAlign w:val="center"/>
          </w:tcPr>
          <w:p w:rsidR="000E4111" w:rsidRDefault="000E4111" w:rsidP="000F7097">
            <w:pPr>
              <w:pStyle w:val="Tabletext"/>
            </w:pPr>
            <w:r>
              <w:t>PAH therapy at baseline</w:t>
            </w:r>
          </w:p>
          <w:p w:rsidR="000E4111" w:rsidRDefault="000E4111" w:rsidP="000F7097">
            <w:pPr>
              <w:pStyle w:val="Tabletext"/>
              <w:ind w:left="284"/>
            </w:pPr>
            <w:r>
              <w:t>ERA monotherapy</w:t>
            </w:r>
          </w:p>
          <w:p w:rsidR="000E4111" w:rsidRDefault="000E4111" w:rsidP="000F7097">
            <w:pPr>
              <w:pStyle w:val="Tabletext"/>
              <w:ind w:left="284"/>
            </w:pPr>
            <w:r>
              <w:t>PDE-5i monotherapy</w:t>
            </w:r>
          </w:p>
          <w:p w:rsidR="000E4111" w:rsidRDefault="000E4111" w:rsidP="000F7097">
            <w:pPr>
              <w:pStyle w:val="Tabletext"/>
              <w:ind w:left="284"/>
            </w:pPr>
            <w:r>
              <w:t>ERA+PDE-5i</w:t>
            </w:r>
          </w:p>
          <w:p w:rsidR="000E4111" w:rsidRPr="000F7097" w:rsidRDefault="000E4111" w:rsidP="000F7097">
            <w:pPr>
              <w:pStyle w:val="Tabletext"/>
              <w:ind w:left="284"/>
            </w:pPr>
            <w:r>
              <w:t>No PAH therapy</w:t>
            </w:r>
          </w:p>
        </w:tc>
        <w:tc>
          <w:tcPr>
            <w:tcW w:w="1082" w:type="pct"/>
            <w:gridSpan w:val="2"/>
          </w:tcPr>
          <w:p w:rsidR="000E4111" w:rsidRPr="000F7097" w:rsidRDefault="000E4111" w:rsidP="00757C1B">
            <w:pPr>
              <w:pStyle w:val="Tabletext"/>
              <w:jc w:val="center"/>
            </w:pPr>
          </w:p>
          <w:p w:rsidR="000E4111" w:rsidRPr="000F7097" w:rsidRDefault="000E4111" w:rsidP="00757C1B">
            <w:pPr>
              <w:pStyle w:val="Tabletext"/>
              <w:jc w:val="center"/>
            </w:pPr>
            <w:r w:rsidRPr="000F7097">
              <w:t>23/94 (24.5%)</w:t>
            </w:r>
          </w:p>
          <w:p w:rsidR="000E4111" w:rsidRPr="000F7097" w:rsidRDefault="000E4111" w:rsidP="00757C1B">
            <w:pPr>
              <w:pStyle w:val="Tabletext"/>
              <w:jc w:val="center"/>
            </w:pPr>
            <w:r w:rsidRPr="000F7097">
              <w:t>54/189 (28.6%)</w:t>
            </w:r>
          </w:p>
          <w:p w:rsidR="000E4111" w:rsidRPr="000F7097" w:rsidRDefault="000E4111" w:rsidP="00757C1B">
            <w:pPr>
              <w:pStyle w:val="Tabletext"/>
              <w:jc w:val="center"/>
            </w:pPr>
            <w:r w:rsidRPr="000F7097">
              <w:t>47/179 (26.3%)</w:t>
            </w:r>
          </w:p>
          <w:p w:rsidR="000E4111" w:rsidRPr="000F7097" w:rsidRDefault="000E4111" w:rsidP="00EC00C9">
            <w:pPr>
              <w:jc w:val="center"/>
              <w:rPr>
                <w:rFonts w:ascii="Arial Narrow" w:hAnsi="Arial Narrow"/>
                <w:sz w:val="20"/>
              </w:rPr>
            </w:pPr>
            <w:r w:rsidRPr="000F7097">
              <w:rPr>
                <w:rFonts w:ascii="Arial Narrow" w:hAnsi="Arial Narrow"/>
                <w:sz w:val="20"/>
              </w:rPr>
              <w:t>31/112 (27.7%)</w:t>
            </w:r>
          </w:p>
        </w:tc>
        <w:tc>
          <w:tcPr>
            <w:tcW w:w="1114" w:type="pct"/>
            <w:gridSpan w:val="3"/>
          </w:tcPr>
          <w:p w:rsidR="000E4111" w:rsidRPr="000F7097" w:rsidRDefault="000E4111" w:rsidP="00757C1B">
            <w:pPr>
              <w:pStyle w:val="Tabletext"/>
              <w:jc w:val="center"/>
            </w:pPr>
          </w:p>
          <w:p w:rsidR="000E4111" w:rsidRPr="000F7097" w:rsidRDefault="000E4111" w:rsidP="00757C1B">
            <w:pPr>
              <w:pStyle w:val="Tabletext"/>
              <w:jc w:val="center"/>
            </w:pPr>
            <w:r w:rsidRPr="000F7097">
              <w:t>29/76 (38.2%)</w:t>
            </w:r>
          </w:p>
          <w:p w:rsidR="000E4111" w:rsidRPr="000F7097" w:rsidRDefault="000E4111" w:rsidP="00757C1B">
            <w:pPr>
              <w:pStyle w:val="Tabletext"/>
              <w:jc w:val="center"/>
            </w:pPr>
            <w:r w:rsidRPr="000F7097">
              <w:t>84/185 (45.4%)</w:t>
            </w:r>
          </w:p>
          <w:p w:rsidR="000E4111" w:rsidRPr="000F7097" w:rsidRDefault="000E4111" w:rsidP="00757C1B">
            <w:pPr>
              <w:pStyle w:val="Tabletext"/>
              <w:jc w:val="center"/>
            </w:pPr>
            <w:r w:rsidRPr="000F7097">
              <w:t>80/197 (40.6%)</w:t>
            </w:r>
          </w:p>
          <w:p w:rsidR="000E4111" w:rsidRPr="000F7097" w:rsidRDefault="000E4111" w:rsidP="00EC00C9">
            <w:pPr>
              <w:jc w:val="center"/>
              <w:rPr>
                <w:rFonts w:ascii="Arial Narrow" w:hAnsi="Arial Narrow"/>
                <w:sz w:val="20"/>
              </w:rPr>
            </w:pPr>
            <w:r w:rsidRPr="000F7097">
              <w:rPr>
                <w:rFonts w:ascii="Arial Narrow" w:hAnsi="Arial Narrow"/>
                <w:sz w:val="20"/>
              </w:rPr>
              <w:t>49/124 (39.5%)</w:t>
            </w:r>
          </w:p>
        </w:tc>
        <w:tc>
          <w:tcPr>
            <w:tcW w:w="1304" w:type="pct"/>
            <w:gridSpan w:val="2"/>
            <w:vAlign w:val="center"/>
          </w:tcPr>
          <w:p w:rsidR="000E4111" w:rsidRDefault="000E4111" w:rsidP="000F7097">
            <w:pPr>
              <w:pStyle w:val="Tabletext"/>
              <w:jc w:val="center"/>
            </w:pPr>
          </w:p>
          <w:p w:rsidR="000E4111" w:rsidRPr="000F7097" w:rsidRDefault="000E4111" w:rsidP="000F7097">
            <w:pPr>
              <w:pStyle w:val="Tabletext"/>
              <w:jc w:val="center"/>
            </w:pPr>
            <w:r w:rsidRPr="000F7097">
              <w:t>0.66 (0.32, 1.35)</w:t>
            </w:r>
          </w:p>
          <w:p w:rsidR="000E4111" w:rsidRPr="000F7097" w:rsidRDefault="000E4111" w:rsidP="000F7097">
            <w:pPr>
              <w:pStyle w:val="Tabletext"/>
              <w:jc w:val="center"/>
            </w:pPr>
            <w:r w:rsidRPr="000F7097">
              <w:t>0.58 (0.37, 0.91)</w:t>
            </w:r>
          </w:p>
          <w:p w:rsidR="000E4111" w:rsidRPr="00784D0A" w:rsidRDefault="000E4111" w:rsidP="000F7097">
            <w:pPr>
              <w:pStyle w:val="Tabletext"/>
              <w:jc w:val="center"/>
              <w:rPr>
                <w:vertAlign w:val="superscript"/>
              </w:rPr>
            </w:pPr>
            <w:r w:rsidRPr="000F7097">
              <w:t>0.63 (0.39, 1.01)</w:t>
            </w:r>
          </w:p>
          <w:p w:rsidR="000E4111" w:rsidRPr="00E2771E" w:rsidRDefault="000E4111" w:rsidP="000F7097">
            <w:pPr>
              <w:jc w:val="center"/>
              <w:rPr>
                <w:rFonts w:ascii="Arial Narrow" w:hAnsi="Arial Narrow"/>
                <w:color w:val="000000"/>
                <w:sz w:val="20"/>
                <w:szCs w:val="18"/>
              </w:rPr>
            </w:pPr>
            <w:r w:rsidRPr="000F7097">
              <w:rPr>
                <w:rFonts w:ascii="Arial Narrow" w:hAnsi="Arial Narrow"/>
                <w:sz w:val="20"/>
              </w:rPr>
              <w:t>0.57 (0.32, 1.03)</w:t>
            </w:r>
          </w:p>
        </w:tc>
      </w:tr>
      <w:tr w:rsidR="00B62715" w:rsidRPr="00E2771E" w:rsidTr="001C3E4A">
        <w:tc>
          <w:tcPr>
            <w:tcW w:w="5000" w:type="pct"/>
            <w:gridSpan w:val="12"/>
            <w:tcBorders>
              <w:top w:val="double" w:sz="4" w:space="0" w:color="auto"/>
            </w:tcBorders>
            <w:shd w:val="clear" w:color="auto" w:fill="auto"/>
            <w:vAlign w:val="center"/>
          </w:tcPr>
          <w:p w:rsidR="00B62715" w:rsidRPr="00E2771E" w:rsidRDefault="00B62715" w:rsidP="00EC00C9">
            <w:pPr>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0E4111" w:rsidRPr="00E2771E" w:rsidTr="001C3E4A">
        <w:trPr>
          <w:trHeight w:val="70"/>
        </w:trPr>
        <w:tc>
          <w:tcPr>
            <w:tcW w:w="687" w:type="pct"/>
            <w:vMerge w:val="restart"/>
            <w:shd w:val="clear" w:color="auto" w:fill="auto"/>
            <w:vAlign w:val="center"/>
          </w:tcPr>
          <w:p w:rsidR="00B62715" w:rsidRPr="00E2771E" w:rsidRDefault="00B62715" w:rsidP="00EC00C9">
            <w:pPr>
              <w:rPr>
                <w:rFonts w:ascii="Arial Narrow" w:hAnsi="Arial Narrow"/>
                <w:b/>
                <w:color w:val="000000"/>
                <w:sz w:val="20"/>
                <w:szCs w:val="18"/>
              </w:rPr>
            </w:pPr>
          </w:p>
        </w:tc>
        <w:tc>
          <w:tcPr>
            <w:tcW w:w="670" w:type="pct"/>
            <w:gridSpan w:val="2"/>
            <w:vMerge w:val="restart"/>
            <w:vAlign w:val="center"/>
          </w:tcPr>
          <w:p w:rsidR="00B62715" w:rsidRPr="00E2771E" w:rsidRDefault="00F22179" w:rsidP="00EC00C9">
            <w:pPr>
              <w:jc w:val="center"/>
              <w:rPr>
                <w:rFonts w:ascii="Arial Narrow" w:hAnsi="Arial Narrow"/>
                <w:b/>
                <w:color w:val="000000"/>
                <w:sz w:val="20"/>
                <w:szCs w:val="18"/>
              </w:rPr>
            </w:pPr>
            <w:r>
              <w:rPr>
                <w:rFonts w:ascii="Arial Narrow" w:hAnsi="Arial Narrow"/>
                <w:b/>
                <w:color w:val="000000"/>
                <w:sz w:val="20"/>
                <w:szCs w:val="18"/>
              </w:rPr>
              <w:t xml:space="preserve">Selexipag </w:t>
            </w:r>
            <w:r>
              <w:rPr>
                <w:rFonts w:ascii="Arial Narrow" w:hAnsi="Arial Narrow"/>
                <w:b/>
                <w:color w:val="000000"/>
                <w:sz w:val="20"/>
                <w:szCs w:val="18"/>
              </w:rPr>
              <w:br/>
              <w:t>± BGT</w:t>
            </w:r>
          </w:p>
        </w:tc>
        <w:tc>
          <w:tcPr>
            <w:tcW w:w="764" w:type="pct"/>
            <w:gridSpan w:val="3"/>
            <w:vMerge w:val="restart"/>
            <w:vAlign w:val="center"/>
          </w:tcPr>
          <w:p w:rsidR="00B62715" w:rsidRPr="00E2771E" w:rsidRDefault="00F22179" w:rsidP="00EC00C9">
            <w:pPr>
              <w:jc w:val="center"/>
              <w:rPr>
                <w:rFonts w:ascii="Arial Narrow" w:hAnsi="Arial Narrow"/>
                <w:b/>
                <w:color w:val="000000"/>
                <w:sz w:val="20"/>
                <w:szCs w:val="18"/>
              </w:rPr>
            </w:pPr>
            <w:r>
              <w:rPr>
                <w:rFonts w:ascii="Arial Narrow" w:hAnsi="Arial Narrow"/>
                <w:b/>
                <w:color w:val="000000"/>
                <w:sz w:val="20"/>
                <w:szCs w:val="18"/>
              </w:rPr>
              <w:t xml:space="preserve">Placebo </w:t>
            </w:r>
            <w:r>
              <w:rPr>
                <w:rFonts w:ascii="Arial Narrow" w:hAnsi="Arial Narrow"/>
                <w:b/>
                <w:color w:val="000000"/>
                <w:sz w:val="20"/>
                <w:szCs w:val="18"/>
              </w:rPr>
              <w:br/>
              <w:t>± BGT</w:t>
            </w:r>
          </w:p>
        </w:tc>
        <w:tc>
          <w:tcPr>
            <w:tcW w:w="822" w:type="pct"/>
            <w:gridSpan w:val="2"/>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RR</w:t>
            </w:r>
          </w:p>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9" w:type="pct"/>
            <w:gridSpan w:val="3"/>
            <w:vAlign w:val="center"/>
          </w:tcPr>
          <w:p w:rsidR="00B62715" w:rsidRPr="00E2771E" w:rsidRDefault="0045040D" w:rsidP="00EC00C9">
            <w:pPr>
              <w:jc w:val="center"/>
              <w:rPr>
                <w:rFonts w:ascii="Arial Narrow" w:hAnsi="Arial Narrow"/>
                <w:b/>
                <w:color w:val="000000"/>
                <w:sz w:val="20"/>
                <w:szCs w:val="18"/>
              </w:rPr>
            </w:pPr>
            <w:r>
              <w:rPr>
                <w:rFonts w:ascii="Arial Narrow" w:hAnsi="Arial Narrow"/>
                <w:b/>
                <w:color w:val="000000"/>
                <w:sz w:val="20"/>
                <w:szCs w:val="18"/>
              </w:rPr>
              <w:t>Event rate/100 patients**</w:t>
            </w:r>
          </w:p>
        </w:tc>
        <w:tc>
          <w:tcPr>
            <w:tcW w:w="748"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RD</w:t>
            </w:r>
          </w:p>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E4111" w:rsidRPr="00E2771E" w:rsidTr="001C3E4A">
        <w:trPr>
          <w:trHeight w:val="390"/>
        </w:trPr>
        <w:tc>
          <w:tcPr>
            <w:tcW w:w="687" w:type="pct"/>
            <w:vMerge/>
            <w:shd w:val="clear" w:color="auto" w:fill="auto"/>
            <w:vAlign w:val="center"/>
          </w:tcPr>
          <w:p w:rsidR="00B62715" w:rsidRPr="00E2771E" w:rsidRDefault="00B62715" w:rsidP="00EC00C9">
            <w:pPr>
              <w:rPr>
                <w:rFonts w:ascii="Arial Narrow" w:hAnsi="Arial Narrow"/>
                <w:b/>
                <w:color w:val="000000"/>
                <w:sz w:val="20"/>
                <w:szCs w:val="18"/>
              </w:rPr>
            </w:pPr>
          </w:p>
        </w:tc>
        <w:tc>
          <w:tcPr>
            <w:tcW w:w="670" w:type="pct"/>
            <w:gridSpan w:val="2"/>
            <w:vMerge/>
            <w:vAlign w:val="center"/>
          </w:tcPr>
          <w:p w:rsidR="00B62715" w:rsidRPr="00E2771E" w:rsidRDefault="00B62715" w:rsidP="00EC00C9">
            <w:pPr>
              <w:jc w:val="center"/>
              <w:rPr>
                <w:rFonts w:ascii="Arial Narrow" w:hAnsi="Arial Narrow"/>
                <w:b/>
                <w:color w:val="000000"/>
                <w:sz w:val="20"/>
                <w:szCs w:val="18"/>
              </w:rPr>
            </w:pPr>
          </w:p>
        </w:tc>
        <w:tc>
          <w:tcPr>
            <w:tcW w:w="764" w:type="pct"/>
            <w:gridSpan w:val="3"/>
            <w:vMerge/>
            <w:vAlign w:val="center"/>
          </w:tcPr>
          <w:p w:rsidR="00B62715" w:rsidRPr="00E2771E" w:rsidRDefault="00B62715" w:rsidP="00EC00C9">
            <w:pPr>
              <w:jc w:val="center"/>
              <w:rPr>
                <w:rFonts w:ascii="Arial Narrow" w:hAnsi="Arial Narrow"/>
                <w:b/>
                <w:color w:val="000000"/>
                <w:sz w:val="20"/>
                <w:szCs w:val="18"/>
              </w:rPr>
            </w:pPr>
          </w:p>
        </w:tc>
        <w:tc>
          <w:tcPr>
            <w:tcW w:w="822" w:type="pct"/>
            <w:gridSpan w:val="2"/>
            <w:vMerge/>
            <w:vAlign w:val="center"/>
          </w:tcPr>
          <w:p w:rsidR="00B62715" w:rsidRPr="00E2771E" w:rsidRDefault="00B62715" w:rsidP="00EC00C9">
            <w:pPr>
              <w:jc w:val="center"/>
              <w:rPr>
                <w:rFonts w:ascii="Arial Narrow" w:hAnsi="Arial Narrow"/>
                <w:b/>
                <w:color w:val="000000"/>
                <w:sz w:val="20"/>
                <w:szCs w:val="18"/>
              </w:rPr>
            </w:pPr>
          </w:p>
        </w:tc>
        <w:tc>
          <w:tcPr>
            <w:tcW w:w="671" w:type="pct"/>
            <w:vAlign w:val="center"/>
          </w:tcPr>
          <w:p w:rsidR="00B62715" w:rsidRPr="00E2771E" w:rsidRDefault="002D6A23" w:rsidP="00EC00C9">
            <w:pPr>
              <w:jc w:val="center"/>
              <w:rPr>
                <w:rFonts w:ascii="Arial Narrow" w:hAnsi="Arial Narrow"/>
                <w:b/>
                <w:color w:val="000000"/>
                <w:sz w:val="20"/>
                <w:szCs w:val="18"/>
              </w:rPr>
            </w:pPr>
            <w:r w:rsidRPr="002D6A23">
              <w:rPr>
                <w:rFonts w:ascii="Arial Narrow" w:hAnsi="Arial Narrow"/>
                <w:b/>
                <w:color w:val="000000"/>
                <w:sz w:val="20"/>
                <w:szCs w:val="18"/>
              </w:rPr>
              <w:t>Selexipag</w:t>
            </w:r>
            <w:r>
              <w:rPr>
                <w:rFonts w:ascii="Arial Narrow" w:hAnsi="Arial Narrow"/>
                <w:b/>
                <w:color w:val="000000"/>
                <w:sz w:val="20"/>
                <w:szCs w:val="18"/>
              </w:rPr>
              <w:t xml:space="preserve"> ± BGT</w:t>
            </w:r>
          </w:p>
        </w:tc>
        <w:tc>
          <w:tcPr>
            <w:tcW w:w="638" w:type="pct"/>
            <w:gridSpan w:val="2"/>
            <w:vAlign w:val="center"/>
          </w:tcPr>
          <w:p w:rsidR="00B62715" w:rsidRPr="00E2771E" w:rsidRDefault="002D6A23" w:rsidP="00EC00C9">
            <w:pPr>
              <w:jc w:val="center"/>
              <w:rPr>
                <w:rFonts w:ascii="Arial Narrow" w:hAnsi="Arial Narrow"/>
                <w:b/>
                <w:color w:val="000000"/>
                <w:sz w:val="20"/>
                <w:szCs w:val="18"/>
              </w:rPr>
            </w:pPr>
            <w:r>
              <w:rPr>
                <w:rFonts w:ascii="Arial Narrow" w:hAnsi="Arial Narrow"/>
                <w:b/>
                <w:color w:val="000000"/>
                <w:sz w:val="20"/>
                <w:szCs w:val="18"/>
              </w:rPr>
              <w:t>Placebo ± BGT</w:t>
            </w:r>
          </w:p>
        </w:tc>
        <w:tc>
          <w:tcPr>
            <w:tcW w:w="748" w:type="pct"/>
            <w:vMerge/>
            <w:vAlign w:val="center"/>
          </w:tcPr>
          <w:p w:rsidR="00B62715" w:rsidRPr="00E2771E" w:rsidRDefault="00B62715" w:rsidP="00EC00C9">
            <w:pPr>
              <w:jc w:val="center"/>
              <w:rPr>
                <w:rFonts w:ascii="Arial Narrow" w:hAnsi="Arial Narrow"/>
                <w:b/>
                <w:color w:val="000000"/>
                <w:sz w:val="20"/>
                <w:szCs w:val="18"/>
              </w:rPr>
            </w:pPr>
          </w:p>
        </w:tc>
      </w:tr>
      <w:tr w:rsidR="00EC11D5" w:rsidRPr="00E2771E" w:rsidTr="001C3E4A">
        <w:tc>
          <w:tcPr>
            <w:tcW w:w="5000" w:type="pct"/>
            <w:gridSpan w:val="12"/>
            <w:shd w:val="clear" w:color="auto" w:fill="auto"/>
            <w:vAlign w:val="center"/>
          </w:tcPr>
          <w:p w:rsidR="00EC11D5" w:rsidRDefault="00EC11D5" w:rsidP="00EC11D5">
            <w:pPr>
              <w:jc w:val="left"/>
              <w:rPr>
                <w:rFonts w:ascii="Arial Narrow" w:hAnsi="Arial Narrow"/>
                <w:color w:val="000000"/>
                <w:sz w:val="20"/>
                <w:szCs w:val="18"/>
              </w:rPr>
            </w:pPr>
            <w:r>
              <w:rPr>
                <w:rFonts w:ascii="Arial Narrow" w:hAnsi="Arial Narrow"/>
                <w:b/>
                <w:color w:val="000000"/>
                <w:sz w:val="20"/>
                <w:szCs w:val="18"/>
              </w:rPr>
              <w:t>Death up to EOT + 7 days (not due to PAH)</w:t>
            </w:r>
          </w:p>
        </w:tc>
      </w:tr>
      <w:tr w:rsidR="001C3E4A" w:rsidRPr="00E2771E" w:rsidTr="001C3E4A">
        <w:tc>
          <w:tcPr>
            <w:tcW w:w="694" w:type="pct"/>
            <w:gridSpan w:val="2"/>
            <w:shd w:val="clear" w:color="auto" w:fill="auto"/>
            <w:vAlign w:val="center"/>
          </w:tcPr>
          <w:p w:rsidR="00B62715" w:rsidRPr="00E2771E" w:rsidRDefault="002D6A23" w:rsidP="00EC00C9">
            <w:pPr>
              <w:rPr>
                <w:rFonts w:ascii="Arial Narrow" w:hAnsi="Arial Narrow"/>
                <w:color w:val="000000"/>
                <w:sz w:val="20"/>
                <w:szCs w:val="18"/>
              </w:rPr>
            </w:pPr>
            <w:r>
              <w:rPr>
                <w:rFonts w:ascii="Arial Narrow" w:hAnsi="Arial Narrow"/>
                <w:color w:val="000000"/>
                <w:sz w:val="20"/>
                <w:szCs w:val="18"/>
              </w:rPr>
              <w:t>GRIPHON</w:t>
            </w:r>
          </w:p>
        </w:tc>
        <w:tc>
          <w:tcPr>
            <w:tcW w:w="670" w:type="pct"/>
            <w:gridSpan w:val="2"/>
            <w:vAlign w:val="center"/>
          </w:tcPr>
          <w:p w:rsidR="00B62715" w:rsidRPr="00E2771E" w:rsidRDefault="002D6A23" w:rsidP="00EC00C9">
            <w:pPr>
              <w:jc w:val="center"/>
              <w:rPr>
                <w:rFonts w:ascii="Arial Narrow" w:hAnsi="Arial Narrow"/>
                <w:color w:val="000000"/>
                <w:sz w:val="20"/>
                <w:szCs w:val="18"/>
              </w:rPr>
            </w:pPr>
            <w:r>
              <w:rPr>
                <w:rFonts w:ascii="Arial Narrow" w:hAnsi="Arial Narrow"/>
                <w:color w:val="000000"/>
                <w:sz w:val="20"/>
                <w:szCs w:val="18"/>
              </w:rPr>
              <w:t>13/575</w:t>
            </w:r>
          </w:p>
        </w:tc>
        <w:tc>
          <w:tcPr>
            <w:tcW w:w="757" w:type="pct"/>
            <w:gridSpan w:val="2"/>
            <w:vAlign w:val="center"/>
          </w:tcPr>
          <w:p w:rsidR="00B62715" w:rsidRPr="00E2771E" w:rsidRDefault="002D6A23" w:rsidP="00EC00C9">
            <w:pPr>
              <w:jc w:val="center"/>
              <w:rPr>
                <w:rFonts w:ascii="Arial Narrow" w:hAnsi="Arial Narrow"/>
                <w:color w:val="000000"/>
                <w:sz w:val="20"/>
                <w:szCs w:val="18"/>
              </w:rPr>
            </w:pPr>
            <w:r>
              <w:rPr>
                <w:rFonts w:ascii="Arial Narrow" w:hAnsi="Arial Narrow"/>
                <w:color w:val="000000"/>
                <w:sz w:val="20"/>
                <w:szCs w:val="18"/>
              </w:rPr>
              <w:t>10/577</w:t>
            </w:r>
          </w:p>
        </w:tc>
        <w:tc>
          <w:tcPr>
            <w:tcW w:w="822" w:type="pct"/>
            <w:gridSpan w:val="2"/>
            <w:vAlign w:val="center"/>
          </w:tcPr>
          <w:p w:rsidR="00B62715" w:rsidRDefault="002D6A23" w:rsidP="00EC00C9">
            <w:pPr>
              <w:jc w:val="center"/>
              <w:rPr>
                <w:rFonts w:ascii="Arial Narrow" w:hAnsi="Arial Narrow"/>
                <w:color w:val="000000"/>
                <w:sz w:val="20"/>
                <w:szCs w:val="18"/>
              </w:rPr>
            </w:pPr>
            <w:r>
              <w:rPr>
                <w:rFonts w:ascii="Arial Narrow" w:hAnsi="Arial Narrow"/>
                <w:color w:val="000000"/>
                <w:sz w:val="20"/>
                <w:szCs w:val="18"/>
              </w:rPr>
              <w:t>1.30</w:t>
            </w:r>
          </w:p>
          <w:p w:rsidR="002D6A23" w:rsidRPr="00E2771E" w:rsidRDefault="002D6A23" w:rsidP="00EC00C9">
            <w:pPr>
              <w:jc w:val="center"/>
              <w:rPr>
                <w:rFonts w:ascii="Arial Narrow" w:hAnsi="Arial Narrow"/>
                <w:color w:val="000000"/>
                <w:sz w:val="20"/>
                <w:szCs w:val="18"/>
              </w:rPr>
            </w:pPr>
            <w:r>
              <w:rPr>
                <w:rFonts w:ascii="Arial Narrow" w:hAnsi="Arial Narrow"/>
                <w:color w:val="000000"/>
                <w:sz w:val="20"/>
                <w:szCs w:val="18"/>
              </w:rPr>
              <w:t>(0.58, 2.95)</w:t>
            </w:r>
          </w:p>
        </w:tc>
        <w:tc>
          <w:tcPr>
            <w:tcW w:w="671" w:type="pct"/>
            <w:vAlign w:val="center"/>
          </w:tcPr>
          <w:p w:rsidR="00B62715" w:rsidRPr="00E2771E" w:rsidRDefault="009C0770" w:rsidP="00EC00C9">
            <w:pPr>
              <w:jc w:val="center"/>
              <w:rPr>
                <w:rFonts w:ascii="Arial Narrow" w:hAnsi="Arial Narrow"/>
                <w:color w:val="000000"/>
                <w:sz w:val="20"/>
                <w:szCs w:val="18"/>
              </w:rPr>
            </w:pPr>
            <w:r>
              <w:rPr>
                <w:rFonts w:ascii="Arial Narrow" w:hAnsi="Arial Narrow"/>
                <w:color w:val="000000"/>
                <w:sz w:val="20"/>
                <w:szCs w:val="18"/>
              </w:rPr>
              <w:t>2.3</w:t>
            </w:r>
          </w:p>
        </w:tc>
        <w:tc>
          <w:tcPr>
            <w:tcW w:w="638" w:type="pct"/>
            <w:gridSpan w:val="2"/>
            <w:vAlign w:val="center"/>
          </w:tcPr>
          <w:p w:rsidR="00B62715" w:rsidRPr="00E2771E" w:rsidRDefault="00DF7403" w:rsidP="00EC00C9">
            <w:pPr>
              <w:jc w:val="center"/>
              <w:rPr>
                <w:rFonts w:ascii="Arial Narrow" w:hAnsi="Arial Narrow"/>
                <w:color w:val="000000"/>
                <w:sz w:val="20"/>
                <w:szCs w:val="18"/>
              </w:rPr>
            </w:pPr>
            <w:r>
              <w:rPr>
                <w:rFonts w:ascii="Arial Narrow" w:hAnsi="Arial Narrow"/>
                <w:color w:val="000000"/>
                <w:sz w:val="20"/>
                <w:szCs w:val="18"/>
              </w:rPr>
              <w:t>1.7</w:t>
            </w:r>
          </w:p>
        </w:tc>
        <w:tc>
          <w:tcPr>
            <w:tcW w:w="748" w:type="pct"/>
            <w:vAlign w:val="center"/>
          </w:tcPr>
          <w:p w:rsidR="00B62715" w:rsidRDefault="0030532F" w:rsidP="00EC00C9">
            <w:pPr>
              <w:jc w:val="center"/>
              <w:rPr>
                <w:rFonts w:ascii="Arial Narrow" w:hAnsi="Arial Narrow"/>
                <w:color w:val="000000"/>
                <w:sz w:val="20"/>
                <w:szCs w:val="18"/>
              </w:rPr>
            </w:pPr>
            <w:r>
              <w:rPr>
                <w:rFonts w:ascii="Arial Narrow" w:hAnsi="Arial Narrow"/>
                <w:color w:val="000000"/>
                <w:sz w:val="20"/>
                <w:szCs w:val="18"/>
              </w:rPr>
              <w:t>0.5%</w:t>
            </w:r>
          </w:p>
          <w:p w:rsidR="0030532F" w:rsidRPr="00E2771E" w:rsidRDefault="0030532F" w:rsidP="00EC00C9">
            <w:pPr>
              <w:jc w:val="center"/>
              <w:rPr>
                <w:rFonts w:ascii="Arial Narrow" w:hAnsi="Arial Narrow"/>
                <w:color w:val="000000"/>
                <w:sz w:val="20"/>
                <w:szCs w:val="18"/>
              </w:rPr>
            </w:pPr>
            <w:r>
              <w:rPr>
                <w:rFonts w:ascii="Arial Narrow" w:hAnsi="Arial Narrow"/>
                <w:color w:val="000000"/>
                <w:sz w:val="20"/>
                <w:szCs w:val="18"/>
              </w:rPr>
              <w:t>(-1.1%, 2.1%)</w:t>
            </w:r>
          </w:p>
        </w:tc>
      </w:tr>
      <w:tr w:rsidR="00EC11D5" w:rsidRPr="00E2771E" w:rsidTr="001C3E4A">
        <w:tc>
          <w:tcPr>
            <w:tcW w:w="5000" w:type="pct"/>
            <w:gridSpan w:val="12"/>
            <w:shd w:val="clear" w:color="auto" w:fill="auto"/>
            <w:vAlign w:val="center"/>
          </w:tcPr>
          <w:p w:rsidR="00EC11D5" w:rsidRDefault="00EC11D5" w:rsidP="008351BF">
            <w:pPr>
              <w:jc w:val="left"/>
              <w:rPr>
                <w:rFonts w:ascii="Arial Narrow" w:hAnsi="Arial Narrow"/>
                <w:color w:val="000000"/>
                <w:sz w:val="20"/>
                <w:szCs w:val="18"/>
              </w:rPr>
            </w:pPr>
            <w:r>
              <w:rPr>
                <w:rFonts w:ascii="Arial Narrow" w:hAnsi="Arial Narrow"/>
                <w:b/>
                <w:color w:val="000000"/>
                <w:sz w:val="20"/>
                <w:szCs w:val="18"/>
              </w:rPr>
              <w:t xml:space="preserve">Discontinuation due to AE without a primary outcome </w:t>
            </w:r>
            <w:r w:rsidR="00784D0A">
              <w:rPr>
                <w:rFonts w:ascii="Arial Narrow" w:hAnsi="Arial Narrow"/>
                <w:b/>
                <w:color w:val="000000"/>
                <w:sz w:val="20"/>
                <w:szCs w:val="18"/>
              </w:rPr>
              <w:t>event</w:t>
            </w:r>
            <w:r w:rsidR="008351BF">
              <w:rPr>
                <w:rFonts w:ascii="Arial Narrow" w:hAnsi="Arial Narrow"/>
                <w:b/>
                <w:color w:val="000000"/>
                <w:sz w:val="20"/>
                <w:szCs w:val="18"/>
                <w:vertAlign w:val="superscript"/>
              </w:rPr>
              <w:t>b</w:t>
            </w:r>
          </w:p>
        </w:tc>
      </w:tr>
      <w:tr w:rsidR="001C3E4A" w:rsidRPr="00E2771E" w:rsidTr="001C3E4A">
        <w:tc>
          <w:tcPr>
            <w:tcW w:w="694" w:type="pct"/>
            <w:gridSpan w:val="2"/>
            <w:shd w:val="clear" w:color="auto" w:fill="auto"/>
            <w:vAlign w:val="center"/>
          </w:tcPr>
          <w:p w:rsidR="00B62715" w:rsidRPr="00E2771E" w:rsidRDefault="002D6A23" w:rsidP="00EC00C9">
            <w:pPr>
              <w:rPr>
                <w:rFonts w:ascii="Arial Narrow" w:hAnsi="Arial Narrow"/>
                <w:color w:val="000000"/>
                <w:sz w:val="20"/>
                <w:szCs w:val="18"/>
              </w:rPr>
            </w:pPr>
            <w:r>
              <w:rPr>
                <w:rFonts w:ascii="Arial Narrow" w:hAnsi="Arial Narrow"/>
                <w:color w:val="000000"/>
                <w:sz w:val="20"/>
                <w:szCs w:val="18"/>
              </w:rPr>
              <w:t>GRIPHON</w:t>
            </w:r>
          </w:p>
        </w:tc>
        <w:tc>
          <w:tcPr>
            <w:tcW w:w="670" w:type="pct"/>
            <w:gridSpan w:val="2"/>
            <w:vAlign w:val="center"/>
          </w:tcPr>
          <w:p w:rsidR="00B62715" w:rsidRPr="00E2771E" w:rsidRDefault="002D6A23" w:rsidP="00EC00C9">
            <w:pPr>
              <w:jc w:val="center"/>
              <w:rPr>
                <w:rFonts w:ascii="Arial Narrow" w:hAnsi="Arial Narrow"/>
                <w:color w:val="000000"/>
                <w:sz w:val="20"/>
                <w:szCs w:val="18"/>
              </w:rPr>
            </w:pPr>
            <w:r>
              <w:rPr>
                <w:rFonts w:ascii="Arial Narrow" w:hAnsi="Arial Narrow"/>
                <w:color w:val="000000"/>
                <w:sz w:val="20"/>
                <w:szCs w:val="18"/>
              </w:rPr>
              <w:t>82/575</w:t>
            </w:r>
          </w:p>
        </w:tc>
        <w:tc>
          <w:tcPr>
            <w:tcW w:w="757" w:type="pct"/>
            <w:gridSpan w:val="2"/>
            <w:vAlign w:val="center"/>
          </w:tcPr>
          <w:p w:rsidR="00B62715" w:rsidRPr="00E2771E" w:rsidRDefault="002D6A23" w:rsidP="00EC00C9">
            <w:pPr>
              <w:jc w:val="center"/>
              <w:rPr>
                <w:rFonts w:ascii="Arial Narrow" w:hAnsi="Arial Narrow"/>
                <w:color w:val="000000"/>
                <w:sz w:val="20"/>
                <w:szCs w:val="18"/>
              </w:rPr>
            </w:pPr>
            <w:r>
              <w:rPr>
                <w:rFonts w:ascii="Arial Narrow" w:hAnsi="Arial Narrow"/>
                <w:color w:val="000000"/>
                <w:sz w:val="20"/>
                <w:szCs w:val="18"/>
              </w:rPr>
              <w:t>41/577</w:t>
            </w:r>
          </w:p>
        </w:tc>
        <w:tc>
          <w:tcPr>
            <w:tcW w:w="822" w:type="pct"/>
            <w:gridSpan w:val="2"/>
            <w:vAlign w:val="center"/>
          </w:tcPr>
          <w:p w:rsidR="00B62715" w:rsidRDefault="002D6A23" w:rsidP="00EC00C9">
            <w:pPr>
              <w:jc w:val="center"/>
              <w:rPr>
                <w:rFonts w:ascii="Arial Narrow" w:hAnsi="Arial Narrow"/>
                <w:color w:val="000000"/>
                <w:sz w:val="20"/>
                <w:szCs w:val="18"/>
              </w:rPr>
            </w:pPr>
            <w:r>
              <w:rPr>
                <w:rFonts w:ascii="Arial Narrow" w:hAnsi="Arial Narrow"/>
                <w:color w:val="000000"/>
                <w:sz w:val="20"/>
                <w:szCs w:val="18"/>
              </w:rPr>
              <w:t>2.00</w:t>
            </w:r>
          </w:p>
          <w:p w:rsidR="002D6A23" w:rsidRPr="00E2771E" w:rsidRDefault="002D6A23" w:rsidP="00EC00C9">
            <w:pPr>
              <w:jc w:val="center"/>
              <w:rPr>
                <w:rFonts w:ascii="Arial Narrow" w:hAnsi="Arial Narrow"/>
                <w:color w:val="000000"/>
                <w:sz w:val="20"/>
                <w:szCs w:val="18"/>
              </w:rPr>
            </w:pPr>
            <w:r>
              <w:rPr>
                <w:rFonts w:ascii="Arial Narrow" w:hAnsi="Arial Narrow"/>
                <w:color w:val="000000"/>
                <w:sz w:val="20"/>
                <w:szCs w:val="18"/>
              </w:rPr>
              <w:t>(1.40, 2.87)</w:t>
            </w:r>
          </w:p>
        </w:tc>
        <w:tc>
          <w:tcPr>
            <w:tcW w:w="671" w:type="pct"/>
            <w:vAlign w:val="center"/>
          </w:tcPr>
          <w:p w:rsidR="00B62715" w:rsidRPr="00E2771E" w:rsidRDefault="0030532F" w:rsidP="00EC00C9">
            <w:pPr>
              <w:jc w:val="center"/>
              <w:rPr>
                <w:rFonts w:ascii="Arial Narrow" w:hAnsi="Arial Narrow"/>
                <w:color w:val="000000"/>
                <w:sz w:val="20"/>
                <w:szCs w:val="18"/>
              </w:rPr>
            </w:pPr>
            <w:r>
              <w:rPr>
                <w:rFonts w:ascii="Arial Narrow" w:hAnsi="Arial Narrow"/>
                <w:color w:val="000000"/>
                <w:sz w:val="20"/>
                <w:szCs w:val="18"/>
              </w:rPr>
              <w:t>14.3</w:t>
            </w:r>
          </w:p>
        </w:tc>
        <w:tc>
          <w:tcPr>
            <w:tcW w:w="638" w:type="pct"/>
            <w:gridSpan w:val="2"/>
            <w:vAlign w:val="center"/>
          </w:tcPr>
          <w:p w:rsidR="00B62715" w:rsidRPr="00E2771E" w:rsidRDefault="0030532F" w:rsidP="00EC00C9">
            <w:pPr>
              <w:jc w:val="center"/>
              <w:rPr>
                <w:rFonts w:ascii="Arial Narrow" w:hAnsi="Arial Narrow"/>
                <w:color w:val="000000"/>
                <w:sz w:val="20"/>
                <w:szCs w:val="18"/>
              </w:rPr>
            </w:pPr>
            <w:r>
              <w:rPr>
                <w:rFonts w:ascii="Arial Narrow" w:hAnsi="Arial Narrow"/>
                <w:color w:val="000000"/>
                <w:sz w:val="20"/>
                <w:szCs w:val="18"/>
              </w:rPr>
              <w:t>7.1</w:t>
            </w:r>
          </w:p>
        </w:tc>
        <w:tc>
          <w:tcPr>
            <w:tcW w:w="748" w:type="pct"/>
            <w:vAlign w:val="center"/>
          </w:tcPr>
          <w:p w:rsidR="00B62715" w:rsidRDefault="0030532F" w:rsidP="00EC00C9">
            <w:pPr>
              <w:jc w:val="center"/>
              <w:rPr>
                <w:rFonts w:ascii="Arial Narrow" w:hAnsi="Arial Narrow"/>
                <w:color w:val="000000"/>
                <w:sz w:val="20"/>
                <w:szCs w:val="18"/>
              </w:rPr>
            </w:pPr>
            <w:r>
              <w:rPr>
                <w:rFonts w:ascii="Arial Narrow" w:hAnsi="Arial Narrow"/>
                <w:color w:val="000000"/>
                <w:sz w:val="20"/>
                <w:szCs w:val="18"/>
              </w:rPr>
              <w:t>7.2%</w:t>
            </w:r>
          </w:p>
          <w:p w:rsidR="0030532F" w:rsidRPr="00E2771E" w:rsidRDefault="0030532F" w:rsidP="00EC00C9">
            <w:pPr>
              <w:jc w:val="center"/>
              <w:rPr>
                <w:rFonts w:ascii="Arial Narrow" w:hAnsi="Arial Narrow"/>
                <w:color w:val="000000"/>
                <w:sz w:val="20"/>
                <w:szCs w:val="18"/>
              </w:rPr>
            </w:pPr>
            <w:r>
              <w:rPr>
                <w:rFonts w:ascii="Arial Narrow" w:hAnsi="Arial Narrow"/>
                <w:color w:val="000000"/>
                <w:sz w:val="20"/>
                <w:szCs w:val="18"/>
              </w:rPr>
              <w:t>(3.6%, 10.7%)</w:t>
            </w:r>
          </w:p>
        </w:tc>
      </w:tr>
      <w:tr w:rsidR="00EC11D5" w:rsidRPr="00E2771E" w:rsidTr="001C3E4A">
        <w:tc>
          <w:tcPr>
            <w:tcW w:w="5000" w:type="pct"/>
            <w:gridSpan w:val="12"/>
            <w:shd w:val="clear" w:color="auto" w:fill="auto"/>
            <w:vAlign w:val="center"/>
          </w:tcPr>
          <w:p w:rsidR="00EC11D5" w:rsidRDefault="00EC11D5" w:rsidP="00EC11D5">
            <w:pPr>
              <w:jc w:val="left"/>
              <w:rPr>
                <w:rFonts w:ascii="Arial Narrow" w:hAnsi="Arial Narrow"/>
                <w:color w:val="000000"/>
                <w:sz w:val="20"/>
              </w:rPr>
            </w:pPr>
            <w:r>
              <w:rPr>
                <w:rFonts w:ascii="Arial Narrow" w:hAnsi="Arial Narrow"/>
                <w:b/>
                <w:color w:val="000000"/>
                <w:sz w:val="20"/>
                <w:szCs w:val="18"/>
              </w:rPr>
              <w:t>Prostacyclin-associated AEs leading to discontinuation</w:t>
            </w:r>
          </w:p>
        </w:tc>
      </w:tr>
      <w:tr w:rsidR="000E4111" w:rsidRPr="00E2771E" w:rsidTr="001C3E4A">
        <w:tc>
          <w:tcPr>
            <w:tcW w:w="687" w:type="pct"/>
            <w:shd w:val="clear" w:color="auto" w:fill="auto"/>
            <w:vAlign w:val="center"/>
          </w:tcPr>
          <w:p w:rsidR="00B62715" w:rsidRPr="00E2771E" w:rsidRDefault="002D6A23" w:rsidP="00EC00C9">
            <w:pPr>
              <w:rPr>
                <w:rFonts w:ascii="Arial Narrow" w:hAnsi="Arial Narrow"/>
                <w:color w:val="000000"/>
                <w:sz w:val="20"/>
                <w:szCs w:val="18"/>
              </w:rPr>
            </w:pPr>
            <w:r>
              <w:rPr>
                <w:rFonts w:ascii="Arial Narrow" w:hAnsi="Arial Narrow"/>
                <w:color w:val="000000"/>
                <w:sz w:val="20"/>
                <w:szCs w:val="18"/>
              </w:rPr>
              <w:t>GRIPHON</w:t>
            </w:r>
          </w:p>
        </w:tc>
        <w:tc>
          <w:tcPr>
            <w:tcW w:w="677" w:type="pct"/>
            <w:gridSpan w:val="3"/>
            <w:vAlign w:val="center"/>
          </w:tcPr>
          <w:p w:rsidR="00B62715" w:rsidRPr="00E2771E" w:rsidRDefault="002D6A23" w:rsidP="00EC00C9">
            <w:pPr>
              <w:jc w:val="center"/>
              <w:rPr>
                <w:rFonts w:ascii="Arial Narrow" w:hAnsi="Arial Narrow"/>
                <w:color w:val="000000"/>
                <w:sz w:val="20"/>
                <w:szCs w:val="18"/>
              </w:rPr>
            </w:pPr>
            <w:r>
              <w:rPr>
                <w:rFonts w:ascii="Arial Narrow" w:hAnsi="Arial Narrow"/>
                <w:color w:val="000000"/>
                <w:sz w:val="20"/>
              </w:rPr>
              <w:t>59/575</w:t>
            </w:r>
          </w:p>
        </w:tc>
        <w:tc>
          <w:tcPr>
            <w:tcW w:w="757" w:type="pct"/>
            <w:gridSpan w:val="2"/>
            <w:vAlign w:val="center"/>
          </w:tcPr>
          <w:p w:rsidR="00B62715" w:rsidRPr="00E2771E" w:rsidRDefault="002D6A23" w:rsidP="00EC00C9">
            <w:pPr>
              <w:jc w:val="center"/>
              <w:rPr>
                <w:rFonts w:ascii="Arial Narrow" w:hAnsi="Arial Narrow"/>
                <w:color w:val="000000"/>
                <w:sz w:val="20"/>
                <w:szCs w:val="18"/>
              </w:rPr>
            </w:pPr>
            <w:r>
              <w:rPr>
                <w:rFonts w:ascii="Arial Narrow" w:hAnsi="Arial Narrow"/>
                <w:color w:val="000000"/>
                <w:sz w:val="20"/>
              </w:rPr>
              <w:t>11/577</w:t>
            </w:r>
          </w:p>
        </w:tc>
        <w:tc>
          <w:tcPr>
            <w:tcW w:w="822" w:type="pct"/>
            <w:gridSpan w:val="2"/>
            <w:vAlign w:val="center"/>
          </w:tcPr>
          <w:p w:rsidR="00B62715" w:rsidRDefault="002D6A23" w:rsidP="00EC00C9">
            <w:pPr>
              <w:jc w:val="center"/>
              <w:rPr>
                <w:rFonts w:ascii="Arial Narrow" w:hAnsi="Arial Narrow"/>
                <w:color w:val="000000"/>
                <w:sz w:val="20"/>
              </w:rPr>
            </w:pPr>
            <w:r>
              <w:rPr>
                <w:rFonts w:ascii="Arial Narrow" w:hAnsi="Arial Narrow"/>
                <w:color w:val="000000"/>
                <w:sz w:val="20"/>
              </w:rPr>
              <w:t>5.38</w:t>
            </w:r>
          </w:p>
          <w:p w:rsidR="002D6A23" w:rsidRPr="00E2771E" w:rsidRDefault="002D6A23" w:rsidP="00EC00C9">
            <w:pPr>
              <w:jc w:val="center"/>
              <w:rPr>
                <w:rFonts w:ascii="Arial Narrow" w:hAnsi="Arial Narrow"/>
                <w:color w:val="000000"/>
                <w:sz w:val="20"/>
                <w:szCs w:val="18"/>
              </w:rPr>
            </w:pPr>
            <w:r>
              <w:rPr>
                <w:rFonts w:ascii="Arial Narrow" w:hAnsi="Arial Narrow"/>
                <w:color w:val="000000"/>
                <w:sz w:val="20"/>
              </w:rPr>
              <w:t>(2.86, 10.14)</w:t>
            </w:r>
          </w:p>
        </w:tc>
        <w:tc>
          <w:tcPr>
            <w:tcW w:w="671" w:type="pct"/>
            <w:vAlign w:val="center"/>
          </w:tcPr>
          <w:p w:rsidR="00B62715" w:rsidRPr="00E2771E" w:rsidRDefault="0030532F" w:rsidP="00EC00C9">
            <w:pPr>
              <w:jc w:val="center"/>
              <w:rPr>
                <w:rFonts w:ascii="Arial Narrow" w:hAnsi="Arial Narrow"/>
                <w:color w:val="000000"/>
                <w:sz w:val="20"/>
                <w:szCs w:val="18"/>
              </w:rPr>
            </w:pPr>
            <w:r>
              <w:rPr>
                <w:rFonts w:ascii="Arial Narrow" w:hAnsi="Arial Narrow"/>
                <w:color w:val="000000"/>
                <w:sz w:val="20"/>
                <w:szCs w:val="18"/>
              </w:rPr>
              <w:t>10.3</w:t>
            </w:r>
          </w:p>
        </w:tc>
        <w:tc>
          <w:tcPr>
            <w:tcW w:w="638" w:type="pct"/>
            <w:gridSpan w:val="2"/>
            <w:vAlign w:val="center"/>
          </w:tcPr>
          <w:p w:rsidR="00B62715" w:rsidRPr="00E2771E" w:rsidRDefault="0030532F" w:rsidP="00EC00C9">
            <w:pPr>
              <w:jc w:val="center"/>
              <w:rPr>
                <w:rFonts w:ascii="Arial Narrow" w:hAnsi="Arial Narrow"/>
                <w:color w:val="000000"/>
                <w:sz w:val="20"/>
                <w:szCs w:val="18"/>
              </w:rPr>
            </w:pPr>
            <w:r>
              <w:rPr>
                <w:rFonts w:ascii="Arial Narrow" w:hAnsi="Arial Narrow"/>
                <w:color w:val="000000"/>
                <w:sz w:val="20"/>
                <w:szCs w:val="18"/>
              </w:rPr>
              <w:t>1.9</w:t>
            </w:r>
          </w:p>
        </w:tc>
        <w:tc>
          <w:tcPr>
            <w:tcW w:w="748" w:type="pct"/>
            <w:vAlign w:val="center"/>
          </w:tcPr>
          <w:p w:rsidR="00B62715" w:rsidRDefault="0030532F" w:rsidP="00EC00C9">
            <w:pPr>
              <w:jc w:val="center"/>
              <w:rPr>
                <w:rFonts w:ascii="Arial Narrow" w:hAnsi="Arial Narrow"/>
                <w:color w:val="000000"/>
                <w:sz w:val="20"/>
              </w:rPr>
            </w:pPr>
            <w:r>
              <w:rPr>
                <w:rFonts w:ascii="Arial Narrow" w:hAnsi="Arial Narrow"/>
                <w:color w:val="000000"/>
                <w:sz w:val="20"/>
              </w:rPr>
              <w:t>8.4%</w:t>
            </w:r>
          </w:p>
          <w:p w:rsidR="0030532F" w:rsidRPr="00E2771E" w:rsidRDefault="0030532F" w:rsidP="00EC00C9">
            <w:pPr>
              <w:jc w:val="center"/>
              <w:rPr>
                <w:rFonts w:ascii="Arial Narrow" w:hAnsi="Arial Narrow"/>
                <w:color w:val="000000"/>
                <w:sz w:val="20"/>
                <w:szCs w:val="18"/>
              </w:rPr>
            </w:pPr>
            <w:r>
              <w:rPr>
                <w:rFonts w:ascii="Arial Narrow" w:hAnsi="Arial Narrow"/>
                <w:color w:val="000000"/>
                <w:sz w:val="20"/>
              </w:rPr>
              <w:t>(5.6%, 11.1%)</w:t>
            </w:r>
          </w:p>
        </w:tc>
      </w:tr>
    </w:tbl>
    <w:p w:rsidR="003A7379" w:rsidRDefault="00F22179" w:rsidP="003A7379">
      <w:pPr>
        <w:pStyle w:val="TableFooter"/>
        <w:ind w:left="709"/>
      </w:pPr>
      <w:r>
        <w:t xml:space="preserve">AE = adverse event; </w:t>
      </w:r>
      <w:r w:rsidR="003A7379">
        <w:t>BGT = background therapy</w:t>
      </w:r>
      <w:r>
        <w:t>;</w:t>
      </w:r>
      <w:r w:rsidR="001C459A">
        <w:t xml:space="preserve"> CEC = Critical Event committee;</w:t>
      </w:r>
      <w:r>
        <w:t xml:space="preserve"> </w:t>
      </w:r>
      <w:r w:rsidR="00A62B58">
        <w:t xml:space="preserve">CI = confidence interval; </w:t>
      </w:r>
      <w:r w:rsidR="00894154">
        <w:t>ERA = endothelin receptor antagonist;</w:t>
      </w:r>
      <w:r w:rsidR="001C459A">
        <w:t xml:space="preserve"> HR = hazard ratio; ITT = intention-to-treat; MM = morbidity or mortality; NA = not available; NR = not reported;</w:t>
      </w:r>
      <w:r w:rsidR="00894154">
        <w:t xml:space="preserve"> PAH = pulmonary arterial hypertension; PDE-5i = phosphodiesterase type 5 inhibitor; </w:t>
      </w:r>
      <w:r w:rsidR="003A7379" w:rsidRPr="0072416F">
        <w:t>RD = risk difference; RR = risk ratio</w:t>
      </w:r>
    </w:p>
    <w:p w:rsidR="0045040D" w:rsidRPr="0001178C" w:rsidRDefault="0045040D" w:rsidP="0045040D">
      <w:pPr>
        <w:pStyle w:val="TableFooter"/>
        <w:ind w:left="709"/>
      </w:pPr>
      <w:r>
        <w:t>* Group sequential efficacy boundary</w:t>
      </w:r>
      <w:r w:rsidRPr="00E87C5F">
        <w:t xml:space="preserve"> </w:t>
      </w:r>
      <w:r>
        <w:t xml:space="preserve">for the primary analysis: one-sided p-value </w:t>
      </w:r>
      <w:r w:rsidRPr="005B2702">
        <w:t>≤</w:t>
      </w:r>
      <w:r>
        <w:t>0.00499.</w:t>
      </w:r>
    </w:p>
    <w:p w:rsidR="00B62715" w:rsidRDefault="0045040D" w:rsidP="002B703B">
      <w:pPr>
        <w:pStyle w:val="TableFooter"/>
        <w:ind w:left="709"/>
      </w:pPr>
      <w:r>
        <w:t xml:space="preserve">** </w:t>
      </w:r>
      <w:r w:rsidR="000E4111">
        <w:t xml:space="preserve">Median </w:t>
      </w:r>
      <w:r w:rsidR="00B62715" w:rsidRPr="0072416F">
        <w:t xml:space="preserve">duration of exposure: </w:t>
      </w:r>
      <w:r w:rsidR="000E4111">
        <w:t xml:space="preserve">70.7 weeks in the </w:t>
      </w:r>
      <w:r w:rsidR="000E4111" w:rsidRPr="008646A7">
        <w:t>selexipag</w:t>
      </w:r>
      <w:r w:rsidR="000E4111">
        <w:t xml:space="preserve"> arm and 63.7 weeks in the placebo arm </w:t>
      </w:r>
    </w:p>
    <w:p w:rsidR="005F2B5B" w:rsidRPr="00674179" w:rsidRDefault="00674179" w:rsidP="005F2B5B">
      <w:pPr>
        <w:pStyle w:val="TableFooter"/>
        <w:ind w:left="709"/>
      </w:pPr>
      <w:r>
        <w:rPr>
          <w:vertAlign w:val="superscript"/>
        </w:rPr>
        <w:t>a</w:t>
      </w:r>
      <w:r>
        <w:t xml:space="preserve"> </w:t>
      </w:r>
      <w:r w:rsidR="005F2B5B">
        <w:t xml:space="preserve">The median time to first event was not available for the </w:t>
      </w:r>
      <w:r w:rsidR="005F2B5B" w:rsidRPr="008646A7">
        <w:t>selexipag</w:t>
      </w:r>
      <w:r w:rsidR="005F2B5B">
        <w:t xml:space="preserve"> ± BGT treatment arm which was not yet mature. </w:t>
      </w:r>
    </w:p>
    <w:p w:rsidR="009C0770" w:rsidRPr="009C0770" w:rsidRDefault="008351BF" w:rsidP="009C0770">
      <w:pPr>
        <w:pStyle w:val="TableFooter"/>
        <w:ind w:left="851" w:hanging="142"/>
      </w:pPr>
      <w:r>
        <w:rPr>
          <w:vertAlign w:val="superscript"/>
        </w:rPr>
        <w:t>b</w:t>
      </w:r>
      <w:r w:rsidR="00784D0A">
        <w:t xml:space="preserve"> </w:t>
      </w:r>
      <w:r w:rsidR="009C0770">
        <w:t>This analysis included patients who discontinued study drug prior to Study closure who did not have a CEC-confirmed MM event with an onset date prior to or on the date of study drug discontinuation</w:t>
      </w:r>
      <w:r w:rsidR="00243780">
        <w:t xml:space="preserve"> i.e. AE not classified as PAH progression.</w:t>
      </w:r>
    </w:p>
    <w:p w:rsidR="00B62715" w:rsidRPr="00F4213A" w:rsidRDefault="00B62715" w:rsidP="002B703B">
      <w:pPr>
        <w:pStyle w:val="TableFooter"/>
        <w:ind w:left="709"/>
      </w:pPr>
      <w:r w:rsidRPr="00F4213A">
        <w:t>Source: C</w:t>
      </w:r>
      <w:r w:rsidR="001C260D" w:rsidRPr="00F4213A">
        <w:t>ompiled during the evaluation</w:t>
      </w:r>
    </w:p>
    <w:p w:rsidR="00B60939" w:rsidRPr="00882085" w:rsidRDefault="00B60939" w:rsidP="004B1CB4"/>
    <w:p w:rsidR="00FC1884" w:rsidRPr="00B50DB8" w:rsidRDefault="0087623C" w:rsidP="00590A3C">
      <w:pPr>
        <w:pStyle w:val="ListParagraph"/>
        <w:widowControl/>
        <w:numPr>
          <w:ilvl w:val="1"/>
          <w:numId w:val="2"/>
        </w:numPr>
        <w:rPr>
          <w:szCs w:val="22"/>
        </w:rPr>
      </w:pPr>
      <w:r>
        <w:t>On the basis of direct</w:t>
      </w:r>
      <w:r w:rsidR="00EC00C9" w:rsidRPr="00CF6EE4">
        <w:t xml:space="preserve"> evidence presented by the submission, for every 100 patients treated with </w:t>
      </w:r>
      <w:r>
        <w:t>selexipag ± BGT</w:t>
      </w:r>
      <w:r w:rsidR="00EC00C9" w:rsidRPr="00CF6EE4">
        <w:t xml:space="preserve"> in com</w:t>
      </w:r>
      <w:r>
        <w:t>parison to placebo ± BGT</w:t>
      </w:r>
      <w:r w:rsidR="00EC00C9" w:rsidRPr="00CF6EE4">
        <w:t>;</w:t>
      </w:r>
    </w:p>
    <w:p w:rsidR="005F2B5B" w:rsidRDefault="00510D92" w:rsidP="00590A3C">
      <w:pPr>
        <w:pStyle w:val="ListParagraph"/>
        <w:widowControl/>
        <w:numPr>
          <w:ilvl w:val="0"/>
          <w:numId w:val="1"/>
        </w:numPr>
        <w:ind w:left="993" w:hanging="284"/>
      </w:pPr>
      <w:r>
        <w:t>Approximately 15 less patients would have experienced a MM event in the first 64 weeks of treatment</w:t>
      </w:r>
      <w:r w:rsidR="005F2B5B">
        <w:t>;</w:t>
      </w:r>
    </w:p>
    <w:p w:rsidR="00243780" w:rsidRPr="00CF6EE4" w:rsidRDefault="00243780" w:rsidP="00590A3C">
      <w:pPr>
        <w:pStyle w:val="ListParagraph"/>
        <w:widowControl/>
        <w:numPr>
          <w:ilvl w:val="0"/>
          <w:numId w:val="1"/>
        </w:numPr>
        <w:ind w:left="993" w:hanging="284"/>
      </w:pPr>
      <w:r w:rsidRPr="00CF6EE4">
        <w:t xml:space="preserve">Approximately </w:t>
      </w:r>
      <w:r>
        <w:t>7</w:t>
      </w:r>
      <w:r w:rsidRPr="00CF6EE4">
        <w:t xml:space="preserve"> additional </w:t>
      </w:r>
      <w:r>
        <w:t>patients would discontinue treatment due to an AE not classified as PAH progression over a median</w:t>
      </w:r>
      <w:r w:rsidRPr="00CF6EE4">
        <w:t xml:space="preserve"> duration of exposure of </w:t>
      </w:r>
      <w:r>
        <w:t>64 - 71 weeks;</w:t>
      </w:r>
    </w:p>
    <w:p w:rsidR="00243780" w:rsidRPr="00F4213A" w:rsidRDefault="00243780" w:rsidP="00590A3C">
      <w:pPr>
        <w:pStyle w:val="ListParagraph"/>
        <w:widowControl/>
        <w:numPr>
          <w:ilvl w:val="0"/>
          <w:numId w:val="1"/>
        </w:numPr>
        <w:ind w:left="993" w:hanging="284"/>
      </w:pPr>
      <w:r w:rsidRPr="00CF6EE4">
        <w:t>Approximately</w:t>
      </w:r>
      <w:r>
        <w:t xml:space="preserve"> 8</w:t>
      </w:r>
      <w:r w:rsidRPr="00CF6EE4">
        <w:t xml:space="preserve"> additional </w:t>
      </w:r>
      <w:r>
        <w:t xml:space="preserve">patients would discontinue treatment due to a </w:t>
      </w:r>
      <w:r w:rsidRPr="00F4213A">
        <w:t>prostacyclin-associated AE over a median duration of exposure of 64 - 71 weeks;</w:t>
      </w:r>
    </w:p>
    <w:p w:rsidR="006B0E7F" w:rsidRDefault="006B0E7F" w:rsidP="00FC1884">
      <w:r>
        <w:br w:type="page"/>
      </w:r>
    </w:p>
    <w:p w:rsidR="00B60939" w:rsidRPr="00F4213A" w:rsidRDefault="00B60939" w:rsidP="007170EE">
      <w:pPr>
        <w:pStyle w:val="Heading2"/>
      </w:pPr>
      <w:bookmarkStart w:id="14" w:name="_Toc440892685"/>
      <w:r w:rsidRPr="00F4213A">
        <w:lastRenderedPageBreak/>
        <w:t>Clinical claim</w:t>
      </w:r>
      <w:bookmarkEnd w:id="14"/>
    </w:p>
    <w:p w:rsidR="00B60939" w:rsidRPr="00F4213A" w:rsidRDefault="00B60939" w:rsidP="00B60939">
      <w:pPr>
        <w:ind w:left="720" w:hanging="720"/>
        <w:rPr>
          <w:szCs w:val="22"/>
        </w:rPr>
      </w:pPr>
    </w:p>
    <w:p w:rsidR="00665F9A" w:rsidRPr="00F4213A" w:rsidRDefault="00665F9A" w:rsidP="00590A3C">
      <w:pPr>
        <w:pStyle w:val="ListParagraph"/>
        <w:widowControl/>
        <w:numPr>
          <w:ilvl w:val="1"/>
          <w:numId w:val="2"/>
        </w:numPr>
      </w:pPr>
      <w:r w:rsidRPr="00F4213A">
        <w:t>The submission describe</w:t>
      </w:r>
      <w:r w:rsidR="00E067C4" w:rsidRPr="00F4213A">
        <w:t>d</w:t>
      </w:r>
      <w:r w:rsidRPr="00F4213A">
        <w:t xml:space="preserve"> selexipag as superior to placebo in terms of comparative effectiveness and inferior in terms of comparative safety over placebo, as add-on therapy for the treatment of patients with WHO FC III or IV PAH. </w:t>
      </w:r>
    </w:p>
    <w:p w:rsidR="00665F9A" w:rsidRPr="00F4213A" w:rsidRDefault="00665F9A" w:rsidP="00665F9A">
      <w:pPr>
        <w:pStyle w:val="ListParagraph"/>
        <w:widowControl/>
      </w:pPr>
    </w:p>
    <w:p w:rsidR="00665F9A" w:rsidRPr="00F4213A" w:rsidRDefault="00665F9A" w:rsidP="00590A3C">
      <w:pPr>
        <w:pStyle w:val="ListParagraph"/>
        <w:widowControl/>
        <w:numPr>
          <w:ilvl w:val="1"/>
          <w:numId w:val="2"/>
        </w:numPr>
      </w:pPr>
      <w:r w:rsidRPr="00F4213A">
        <w:t xml:space="preserve">This claim </w:t>
      </w:r>
      <w:r w:rsidR="00E067C4" w:rsidRPr="00F4213A">
        <w:t>was</w:t>
      </w:r>
      <w:r w:rsidRPr="00F4213A">
        <w:t xml:space="preserve"> reasonable in terms of comparative safety.</w:t>
      </w:r>
    </w:p>
    <w:p w:rsidR="00665F9A" w:rsidRPr="00F4213A" w:rsidRDefault="00665F9A" w:rsidP="00665F9A">
      <w:pPr>
        <w:pStyle w:val="ListParagraph"/>
        <w:widowControl/>
      </w:pPr>
    </w:p>
    <w:p w:rsidR="002C0EDD" w:rsidRPr="00F4213A" w:rsidRDefault="002C0EDD" w:rsidP="00590A3C">
      <w:pPr>
        <w:pStyle w:val="ListParagraph"/>
        <w:widowControl/>
        <w:numPr>
          <w:ilvl w:val="1"/>
          <w:numId w:val="2"/>
        </w:numPr>
      </w:pPr>
      <w:r w:rsidRPr="00F4213A">
        <w:t>Selexipag ± BGT was statistically significantly superior to placebo ± BGT in terms of the composite primary outcome in patients with WHO FC I-IV PAH, who are either naïve to or receiving PAH-specific treatment at baseline (the ITT population).  However, this population does not match the proposed listing.</w:t>
      </w:r>
    </w:p>
    <w:p w:rsidR="002C0EDD" w:rsidRPr="00F4213A" w:rsidRDefault="002C0EDD" w:rsidP="002C0EDD">
      <w:pPr>
        <w:pStyle w:val="ListParagraph"/>
        <w:widowControl/>
      </w:pPr>
    </w:p>
    <w:p w:rsidR="000F3AD9" w:rsidRPr="00F4213A" w:rsidRDefault="002C0EDD" w:rsidP="000F3AD9">
      <w:pPr>
        <w:pStyle w:val="ListParagraph"/>
        <w:widowControl/>
        <w:numPr>
          <w:ilvl w:val="1"/>
          <w:numId w:val="2"/>
        </w:numPr>
      </w:pPr>
      <w:r w:rsidRPr="00F4213A">
        <w:t xml:space="preserve">In terms of evidence supporting superior effectiveness compared to placebo for the proposed PBS population there were the following concerns: </w:t>
      </w:r>
    </w:p>
    <w:p w:rsidR="002C0EDD" w:rsidRDefault="002C0EDD" w:rsidP="00590A3C">
      <w:pPr>
        <w:pStyle w:val="ListParagraph"/>
        <w:widowControl/>
        <w:numPr>
          <w:ilvl w:val="0"/>
          <w:numId w:val="1"/>
        </w:numPr>
        <w:ind w:left="1418" w:hanging="284"/>
      </w:pPr>
      <w:r w:rsidRPr="00F4213A">
        <w:t>No results for patients with WHO FC III/IV who are also receiving PAH-specific therapy at baseline were provided;</w:t>
      </w:r>
    </w:p>
    <w:p w:rsidR="000F3AD9" w:rsidRPr="00F4213A" w:rsidRDefault="000F3AD9" w:rsidP="00590A3C">
      <w:pPr>
        <w:pStyle w:val="ListParagraph"/>
        <w:widowControl/>
        <w:numPr>
          <w:ilvl w:val="0"/>
          <w:numId w:val="1"/>
        </w:numPr>
        <w:ind w:left="1418" w:hanging="284"/>
      </w:pPr>
      <w:r>
        <w:t>Very sparse data for FC IV (1% of participants)</w:t>
      </w:r>
    </w:p>
    <w:p w:rsidR="002C0EDD" w:rsidRPr="00F4213A" w:rsidRDefault="002C0EDD" w:rsidP="00590A3C">
      <w:pPr>
        <w:pStyle w:val="ListParagraph"/>
        <w:widowControl/>
        <w:numPr>
          <w:ilvl w:val="0"/>
          <w:numId w:val="1"/>
        </w:numPr>
        <w:ind w:left="1418" w:hanging="284"/>
      </w:pPr>
      <w:r w:rsidRPr="00F4213A">
        <w:t xml:space="preserve">There was no difference in the primary outcome for patients on ERA monotherapy at baseline (although this may </w:t>
      </w:r>
      <w:r w:rsidR="005F2B5B" w:rsidRPr="00F4213A">
        <w:t>have been</w:t>
      </w:r>
      <w:r w:rsidRPr="00F4213A">
        <w:t xml:space="preserve"> due to lack of statistical power);</w:t>
      </w:r>
    </w:p>
    <w:p w:rsidR="00570F85" w:rsidRPr="00F4213A" w:rsidRDefault="00570F85" w:rsidP="00590A3C">
      <w:pPr>
        <w:pStyle w:val="ListParagraph"/>
        <w:widowControl/>
        <w:numPr>
          <w:ilvl w:val="0"/>
          <w:numId w:val="1"/>
        </w:numPr>
        <w:ind w:left="1418" w:hanging="284"/>
      </w:pPr>
      <w:r w:rsidRPr="00F4213A">
        <w:t xml:space="preserve">The beneficial effect of selexipag ± BGT compared to placebo ± BGT was driven by the lower rates of disease progression </w:t>
      </w:r>
      <w:r w:rsidR="000F3AD9">
        <w:t xml:space="preserve">(primarily due to add on therapy) </w:t>
      </w:r>
      <w:r w:rsidRPr="00F4213A">
        <w:t>and hospitalisation for worsening of PAH. There was no evidence that selexipag ± BGT had an effect on overall survival;</w:t>
      </w:r>
    </w:p>
    <w:p w:rsidR="002C0EDD" w:rsidRPr="00F4213A" w:rsidRDefault="002C0EDD" w:rsidP="00590A3C">
      <w:pPr>
        <w:pStyle w:val="ListParagraph"/>
        <w:widowControl/>
        <w:numPr>
          <w:ilvl w:val="0"/>
          <w:numId w:val="1"/>
        </w:numPr>
        <w:ind w:left="1418" w:hanging="284"/>
      </w:pPr>
      <w:r w:rsidRPr="00F4213A">
        <w:t>There was minimal evidence for the comparative effectiveness of selexipag</w:t>
      </w:r>
      <w:r w:rsidR="00570F85" w:rsidRPr="00F4213A">
        <w:t xml:space="preserve"> ± BGT</w:t>
      </w:r>
      <w:r w:rsidRPr="00F4213A">
        <w:t xml:space="preserve"> in patients with WHO FC IV (n=11); and</w:t>
      </w:r>
    </w:p>
    <w:p w:rsidR="002C0EDD" w:rsidRPr="00F4213A" w:rsidRDefault="002C0EDD" w:rsidP="00590A3C">
      <w:pPr>
        <w:pStyle w:val="ListParagraph"/>
        <w:widowControl/>
        <w:numPr>
          <w:ilvl w:val="0"/>
          <w:numId w:val="1"/>
        </w:numPr>
        <w:ind w:left="1418" w:hanging="284"/>
      </w:pPr>
      <w:r w:rsidRPr="00F4213A">
        <w:t xml:space="preserve">Sensitivity analyses indicated that censoring of patients who discontinued treatment prematurely biased the treatment effect estimates in favour of selexipag. </w:t>
      </w:r>
    </w:p>
    <w:p w:rsidR="00665F9A" w:rsidRPr="00F4213A" w:rsidRDefault="00665F9A" w:rsidP="002C0EDD">
      <w:pPr>
        <w:pStyle w:val="ListParagraph"/>
        <w:widowControl/>
        <w:ind w:left="1418"/>
      </w:pPr>
    </w:p>
    <w:p w:rsidR="002C0EDD" w:rsidRPr="00F4213A" w:rsidRDefault="006B75D9" w:rsidP="00590A3C">
      <w:pPr>
        <w:pStyle w:val="ListParagraph"/>
        <w:widowControl/>
        <w:numPr>
          <w:ilvl w:val="1"/>
          <w:numId w:val="2"/>
        </w:numPr>
      </w:pPr>
      <w:r w:rsidRPr="00F4213A">
        <w:t>In support of the claim, t</w:t>
      </w:r>
      <w:r w:rsidR="00D74C09" w:rsidRPr="00F4213A">
        <w:t xml:space="preserve">he </w:t>
      </w:r>
      <w:r w:rsidR="002C0EDD" w:rsidRPr="00F4213A">
        <w:t>observed treatment effect for the primary outcome appeared reasonably consistent across the majority of subgroups examined in the trial</w:t>
      </w:r>
      <w:r w:rsidR="00D74C09" w:rsidRPr="00F4213A">
        <w:t>.</w:t>
      </w:r>
    </w:p>
    <w:p w:rsidR="00570F85" w:rsidRPr="00F4213A" w:rsidRDefault="00570F85" w:rsidP="00570F85">
      <w:pPr>
        <w:pStyle w:val="ListParagraph"/>
        <w:widowControl/>
      </w:pPr>
    </w:p>
    <w:p w:rsidR="00570F85" w:rsidRDefault="00570F85" w:rsidP="00590A3C">
      <w:pPr>
        <w:pStyle w:val="ListParagraph"/>
        <w:widowControl/>
        <w:numPr>
          <w:ilvl w:val="1"/>
          <w:numId w:val="2"/>
        </w:numPr>
      </w:pPr>
      <w:r w:rsidRPr="00F4213A">
        <w:t xml:space="preserve">The submission did not present any evidence for the comparative effectiveness and safety of selexipag, when used as add-on therapy, </w:t>
      </w:r>
      <w:r w:rsidR="000509C9" w:rsidRPr="00F4213A">
        <w:t>versus</w:t>
      </w:r>
      <w:r w:rsidRPr="00F4213A">
        <w:t xml:space="preserve"> other PAH-agents (non-PBS subsidised) that are currently being used for this purpose in clinical practice.</w:t>
      </w:r>
    </w:p>
    <w:p w:rsidR="00CA1D02" w:rsidRDefault="00CA1D02" w:rsidP="00CA1D02">
      <w:pPr>
        <w:pStyle w:val="ListParagraph"/>
      </w:pPr>
    </w:p>
    <w:p w:rsidR="00CA1D02" w:rsidRPr="00510D92" w:rsidRDefault="00CA1D02" w:rsidP="00CA1D02">
      <w:pPr>
        <w:pStyle w:val="ListParagraph"/>
        <w:widowControl/>
        <w:numPr>
          <w:ilvl w:val="1"/>
          <w:numId w:val="2"/>
        </w:numPr>
        <w:jc w:val="left"/>
        <w:rPr>
          <w:bCs/>
          <w:szCs w:val="22"/>
        </w:rPr>
      </w:pPr>
      <w:r w:rsidRPr="00510D92">
        <w:rPr>
          <w:bCs/>
          <w:szCs w:val="22"/>
        </w:rPr>
        <w:t xml:space="preserve">The PBAC considered that the claim </w:t>
      </w:r>
      <w:r w:rsidR="00D14A8E" w:rsidRPr="00510D92">
        <w:rPr>
          <w:bCs/>
          <w:szCs w:val="22"/>
        </w:rPr>
        <w:t xml:space="preserve">of </w:t>
      </w:r>
      <w:r w:rsidR="00510D92" w:rsidRPr="00510D92">
        <w:rPr>
          <w:bCs/>
          <w:szCs w:val="22"/>
        </w:rPr>
        <w:t>superior</w:t>
      </w:r>
      <w:r w:rsidRPr="00510D92">
        <w:rPr>
          <w:bCs/>
          <w:szCs w:val="22"/>
        </w:rPr>
        <w:t xml:space="preserve"> effectiveness </w:t>
      </w:r>
      <w:r w:rsidR="00510D92" w:rsidRPr="00510D92">
        <w:rPr>
          <w:bCs/>
          <w:szCs w:val="22"/>
        </w:rPr>
        <w:t xml:space="preserve">over placebo (as add-on to current therapy) </w:t>
      </w:r>
      <w:r w:rsidRPr="00510D92">
        <w:rPr>
          <w:bCs/>
          <w:szCs w:val="22"/>
        </w:rPr>
        <w:t xml:space="preserve">was </w:t>
      </w:r>
      <w:r w:rsidR="00D14A8E" w:rsidRPr="00510D92">
        <w:rPr>
          <w:bCs/>
          <w:szCs w:val="22"/>
        </w:rPr>
        <w:t xml:space="preserve">probably </w:t>
      </w:r>
      <w:r w:rsidRPr="00510D92">
        <w:rPr>
          <w:bCs/>
          <w:szCs w:val="22"/>
        </w:rPr>
        <w:t>reasonable</w:t>
      </w:r>
      <w:r w:rsidR="00D14A8E" w:rsidRPr="00510D92">
        <w:rPr>
          <w:bCs/>
          <w:szCs w:val="22"/>
        </w:rPr>
        <w:t>. However, the magnitude of benefit, and the clinical significance of this benefit, remained unclear</w:t>
      </w:r>
      <w:r w:rsidRPr="00510D92">
        <w:rPr>
          <w:bCs/>
          <w:szCs w:val="22"/>
        </w:rPr>
        <w:t>.</w:t>
      </w:r>
    </w:p>
    <w:p w:rsidR="00B60939" w:rsidRPr="00F4213A" w:rsidRDefault="00B60939" w:rsidP="009060B0">
      <w:pPr>
        <w:rPr>
          <w:szCs w:val="22"/>
        </w:rPr>
      </w:pPr>
    </w:p>
    <w:p w:rsidR="00B60939" w:rsidRPr="00F4213A" w:rsidRDefault="00B60939" w:rsidP="007170EE">
      <w:pPr>
        <w:pStyle w:val="Heading2"/>
      </w:pPr>
      <w:bookmarkStart w:id="15" w:name="_Toc440892686"/>
      <w:r w:rsidRPr="00F4213A">
        <w:t>Economic analysis</w:t>
      </w:r>
      <w:bookmarkEnd w:id="15"/>
      <w:r w:rsidR="00491B3A" w:rsidRPr="00F4213A">
        <w:t xml:space="preserve"> </w:t>
      </w:r>
    </w:p>
    <w:p w:rsidR="00B60939" w:rsidRPr="00F4213A" w:rsidRDefault="00B60939" w:rsidP="00B60939">
      <w:pPr>
        <w:ind w:left="720" w:hanging="720"/>
        <w:rPr>
          <w:szCs w:val="22"/>
        </w:rPr>
      </w:pPr>
    </w:p>
    <w:p w:rsidR="000B4885" w:rsidRPr="00056E09" w:rsidRDefault="000B4885" w:rsidP="00590A3C">
      <w:pPr>
        <w:pStyle w:val="ListParagraph"/>
        <w:widowControl/>
        <w:numPr>
          <w:ilvl w:val="1"/>
          <w:numId w:val="2"/>
        </w:numPr>
        <w:rPr>
          <w:szCs w:val="22"/>
        </w:rPr>
      </w:pPr>
      <w:r w:rsidRPr="00056E09">
        <w:t>The submission present</w:t>
      </w:r>
      <w:r w:rsidR="00345BC9" w:rsidRPr="00056E09">
        <w:t>ed</w:t>
      </w:r>
      <w:r w:rsidRPr="00056E09">
        <w:t xml:space="preserve"> a trial-based cost-effectiveness analysis, in which the incremental effectiveness </w:t>
      </w:r>
      <w:r w:rsidR="00345BC9" w:rsidRPr="00056E09">
        <w:t>wa</w:t>
      </w:r>
      <w:r w:rsidRPr="00056E09">
        <w:t xml:space="preserve">s measured in terms of the reduction in the </w:t>
      </w:r>
      <w:r w:rsidR="008970CE" w:rsidRPr="00056E09">
        <w:t xml:space="preserve">number of </w:t>
      </w:r>
      <w:r w:rsidR="00AA36DA" w:rsidRPr="00056E09">
        <w:t xml:space="preserve">first MM </w:t>
      </w:r>
      <w:r w:rsidR="008970CE" w:rsidRPr="00056E09">
        <w:t>events</w:t>
      </w:r>
      <w:r w:rsidR="007A56CA" w:rsidRPr="00056E09">
        <w:rPr>
          <w:rStyle w:val="FootnoteReference"/>
        </w:rPr>
        <w:footnoteReference w:id="1"/>
      </w:r>
      <w:r w:rsidR="008970CE" w:rsidRPr="00056E09">
        <w:t xml:space="preserve"> per </w:t>
      </w:r>
      <w:r w:rsidR="006C722C" w:rsidRPr="00056E09">
        <w:t>person-year</w:t>
      </w:r>
      <w:r w:rsidR="008970CE" w:rsidRPr="00056E09">
        <w:t xml:space="preserve"> over the duration of the trial (referred to in the </w:t>
      </w:r>
      <w:r w:rsidR="008970CE" w:rsidRPr="00056E09">
        <w:lastRenderedPageBreak/>
        <w:t xml:space="preserve">submission as the MM event rate per </w:t>
      </w:r>
      <w:r w:rsidR="006C722C" w:rsidRPr="00056E09">
        <w:t>person-year</w:t>
      </w:r>
      <w:r w:rsidR="008970CE" w:rsidRPr="00056E09">
        <w:t>),</w:t>
      </w:r>
      <w:r w:rsidR="00A11AF6" w:rsidRPr="00056E09">
        <w:t xml:space="preserve"> i</w:t>
      </w:r>
      <w:r w:rsidRPr="00056E09">
        <w:t xml:space="preserve">.e. the incremental cost-effectiveness ratio (ICER) </w:t>
      </w:r>
      <w:r w:rsidR="00345BC9" w:rsidRPr="00056E09">
        <w:t>wa</w:t>
      </w:r>
      <w:r w:rsidRPr="00056E09">
        <w:t xml:space="preserve">s the incremental cost per unit reduction in the number of first MM events per </w:t>
      </w:r>
      <w:r w:rsidR="006C722C" w:rsidRPr="00056E09">
        <w:t>person-year</w:t>
      </w:r>
      <w:r w:rsidRPr="00056E09">
        <w:t>.</w:t>
      </w:r>
      <w:r w:rsidR="00A11AF6" w:rsidRPr="00056E09">
        <w:t xml:space="preserve"> </w:t>
      </w:r>
    </w:p>
    <w:p w:rsidR="00933A90" w:rsidRPr="00056E09" w:rsidRDefault="00933A90" w:rsidP="00933A90">
      <w:pPr>
        <w:pStyle w:val="ListParagraph"/>
        <w:widowControl/>
        <w:rPr>
          <w:szCs w:val="22"/>
        </w:rPr>
      </w:pPr>
    </w:p>
    <w:p w:rsidR="00A11AF6" w:rsidRPr="00F4213A" w:rsidRDefault="00A11AF6" w:rsidP="00590A3C">
      <w:pPr>
        <w:pStyle w:val="ListParagraph"/>
        <w:widowControl/>
        <w:numPr>
          <w:ilvl w:val="1"/>
          <w:numId w:val="2"/>
        </w:numPr>
      </w:pPr>
      <w:r w:rsidRPr="00F4213A">
        <w:t>The submission did not extrapolate either costs or health outcomes beyond the duration of the trial. As PAH is a chronic condition, the time horizon over which the outcomes were determined d</w:t>
      </w:r>
      <w:r w:rsidR="00E067C4" w:rsidRPr="00F4213A">
        <w:t>id</w:t>
      </w:r>
      <w:r w:rsidRPr="00F4213A">
        <w:t xml:space="preserve"> not capture the long-term effectiveness </w:t>
      </w:r>
      <w:r w:rsidR="005F2B5B" w:rsidRPr="00F4213A">
        <w:t xml:space="preserve">or costs </w:t>
      </w:r>
      <w:r w:rsidRPr="00F4213A">
        <w:t xml:space="preserve">of treatment. The </w:t>
      </w:r>
      <w:r w:rsidR="0086402D" w:rsidRPr="00F4213A">
        <w:t xml:space="preserve">health </w:t>
      </w:r>
      <w:r w:rsidRPr="00F4213A">
        <w:t>outcome used in the economic evaluation also d</w:t>
      </w:r>
      <w:r w:rsidR="005F23BA" w:rsidRPr="00F4213A">
        <w:t>id</w:t>
      </w:r>
      <w:r w:rsidRPr="00F4213A">
        <w:t xml:space="preserve"> not capture subsequent MM events in patients experiencing non-fatal first MM events.</w:t>
      </w:r>
    </w:p>
    <w:p w:rsidR="00A11AF6" w:rsidRPr="00F4213A" w:rsidRDefault="00A11AF6" w:rsidP="00A11AF6">
      <w:pPr>
        <w:pStyle w:val="ListParagraph"/>
        <w:widowControl/>
      </w:pPr>
    </w:p>
    <w:p w:rsidR="00345BC9" w:rsidRPr="00F4213A" w:rsidRDefault="00345BC9" w:rsidP="00590A3C">
      <w:pPr>
        <w:pStyle w:val="ListParagraph"/>
        <w:widowControl/>
        <w:numPr>
          <w:ilvl w:val="1"/>
          <w:numId w:val="2"/>
        </w:numPr>
      </w:pPr>
      <w:r w:rsidRPr="00F4213A">
        <w:t xml:space="preserve">The population used in the economic evaluation </w:t>
      </w:r>
      <w:r w:rsidR="005F23BA" w:rsidRPr="00F4213A">
        <w:t>was</w:t>
      </w:r>
      <w:r w:rsidRPr="00F4213A">
        <w:t xml:space="preserve"> the subgroup of patients with WHO FC </w:t>
      </w:r>
      <w:r w:rsidR="0065433C">
        <w:t>III/IV PAH in the GRIPHON trial</w:t>
      </w:r>
      <w:r w:rsidRPr="00F4213A">
        <w:t xml:space="preserve">. The population in the model </w:t>
      </w:r>
      <w:r w:rsidR="005F23BA" w:rsidRPr="00F4213A">
        <w:t>was</w:t>
      </w:r>
      <w:r w:rsidRPr="00F4213A">
        <w:t xml:space="preserve"> not representative of the population for whom PBS listing is sought</w:t>
      </w:r>
      <w:r w:rsidR="003A55CB" w:rsidRPr="00F4213A">
        <w:t>, in that 14% of the WHO FC</w:t>
      </w:r>
      <w:r w:rsidRPr="00F4213A">
        <w:t xml:space="preserve"> III/IV subgroup were not r</w:t>
      </w:r>
      <w:r w:rsidR="002D7012" w:rsidRPr="00F4213A">
        <w:t>eceiving background PAH therapy. In addition</w:t>
      </w:r>
      <w:r w:rsidRPr="00F4213A">
        <w:t xml:space="preserve"> patients were on average younger than the PBS population.</w:t>
      </w:r>
    </w:p>
    <w:p w:rsidR="00345BC9" w:rsidRPr="00F4213A" w:rsidRDefault="00345BC9" w:rsidP="00345BC9">
      <w:pPr>
        <w:pStyle w:val="ListParagraph"/>
        <w:widowControl/>
        <w:rPr>
          <w:szCs w:val="22"/>
        </w:rPr>
      </w:pPr>
    </w:p>
    <w:p w:rsidR="00FD3D94" w:rsidRPr="007170EE" w:rsidRDefault="00FD3D94" w:rsidP="007170EE">
      <w:pPr>
        <w:pStyle w:val="Heading3"/>
      </w:pPr>
      <w:r w:rsidRPr="007170EE">
        <w:t>Healthcare costs</w:t>
      </w:r>
    </w:p>
    <w:p w:rsidR="00FD3D94" w:rsidRPr="00F4213A" w:rsidRDefault="00FD3D94" w:rsidP="00345BC9">
      <w:pPr>
        <w:pStyle w:val="ListParagraph"/>
        <w:widowControl/>
        <w:rPr>
          <w:szCs w:val="22"/>
        </w:rPr>
      </w:pPr>
    </w:p>
    <w:p w:rsidR="00FD3D94" w:rsidRPr="00F4213A" w:rsidRDefault="00FD3D94" w:rsidP="00590A3C">
      <w:pPr>
        <w:pStyle w:val="ListParagraph"/>
        <w:widowControl/>
        <w:numPr>
          <w:ilvl w:val="1"/>
          <w:numId w:val="2"/>
        </w:numPr>
        <w:rPr>
          <w:szCs w:val="22"/>
        </w:rPr>
      </w:pPr>
      <w:r w:rsidRPr="00F4213A">
        <w:rPr>
          <w:szCs w:val="22"/>
        </w:rPr>
        <w:t xml:space="preserve">The only </w:t>
      </w:r>
      <w:r w:rsidR="000B6A37" w:rsidRPr="00F4213A">
        <w:rPr>
          <w:szCs w:val="22"/>
        </w:rPr>
        <w:t xml:space="preserve">healthcare </w:t>
      </w:r>
      <w:r w:rsidRPr="00F4213A">
        <w:rPr>
          <w:szCs w:val="22"/>
        </w:rPr>
        <w:t xml:space="preserve">cost considered in the economic evaluation </w:t>
      </w:r>
      <w:r w:rsidR="000B6A37" w:rsidRPr="00F4213A">
        <w:rPr>
          <w:szCs w:val="22"/>
        </w:rPr>
        <w:t xml:space="preserve">was </w:t>
      </w:r>
      <w:r w:rsidRPr="00F4213A">
        <w:rPr>
          <w:szCs w:val="22"/>
        </w:rPr>
        <w:t>the cost</w:t>
      </w:r>
      <w:r w:rsidR="000B6A37" w:rsidRPr="00F4213A">
        <w:rPr>
          <w:szCs w:val="22"/>
        </w:rPr>
        <w:t xml:space="preserve"> of selexipag</w:t>
      </w:r>
      <w:r w:rsidRPr="00F4213A">
        <w:rPr>
          <w:szCs w:val="22"/>
        </w:rPr>
        <w:t xml:space="preserve">. </w:t>
      </w:r>
      <w:r w:rsidR="005379B3" w:rsidRPr="00F4213A">
        <w:rPr>
          <w:szCs w:val="22"/>
        </w:rPr>
        <w:t xml:space="preserve">The economic evaluation was based on the proposed effective price for selexipag. </w:t>
      </w:r>
    </w:p>
    <w:p w:rsidR="00AF2404" w:rsidRPr="00F4213A" w:rsidRDefault="00AF2404" w:rsidP="00AF2404">
      <w:pPr>
        <w:pStyle w:val="ListParagraph"/>
        <w:widowControl/>
        <w:rPr>
          <w:szCs w:val="22"/>
        </w:rPr>
      </w:pPr>
    </w:p>
    <w:p w:rsidR="00FD3D94" w:rsidRPr="00F4213A" w:rsidRDefault="00FD3D94" w:rsidP="007170EE">
      <w:pPr>
        <w:pStyle w:val="Heading3"/>
      </w:pPr>
      <w:r w:rsidRPr="00F4213A">
        <w:t>Health outcomes</w:t>
      </w:r>
    </w:p>
    <w:p w:rsidR="00345BC9" w:rsidRPr="00F4213A" w:rsidRDefault="00345BC9" w:rsidP="00345BC9">
      <w:pPr>
        <w:pStyle w:val="ListParagraph"/>
        <w:widowControl/>
        <w:rPr>
          <w:szCs w:val="22"/>
        </w:rPr>
      </w:pPr>
    </w:p>
    <w:p w:rsidR="00345BC9" w:rsidRPr="00F4213A" w:rsidRDefault="00EC525E" w:rsidP="00590A3C">
      <w:pPr>
        <w:pStyle w:val="ListParagraph"/>
        <w:widowControl/>
        <w:numPr>
          <w:ilvl w:val="1"/>
          <w:numId w:val="2"/>
        </w:numPr>
        <w:rPr>
          <w:szCs w:val="22"/>
        </w:rPr>
      </w:pPr>
      <w:r w:rsidRPr="00F4213A">
        <w:rPr>
          <w:szCs w:val="22"/>
        </w:rPr>
        <w:t>The</w:t>
      </w:r>
      <w:r w:rsidR="00345BC9" w:rsidRPr="00F4213A">
        <w:rPr>
          <w:szCs w:val="22"/>
        </w:rPr>
        <w:t xml:space="preserve"> submission estimated the </w:t>
      </w:r>
      <w:r w:rsidR="00916AFC" w:rsidRPr="00F4213A">
        <w:rPr>
          <w:szCs w:val="22"/>
        </w:rPr>
        <w:t>incremental</w:t>
      </w:r>
      <w:r w:rsidR="00345BC9" w:rsidRPr="00F4213A">
        <w:rPr>
          <w:szCs w:val="22"/>
        </w:rPr>
        <w:t xml:space="preserve"> treatment effect</w:t>
      </w:r>
      <w:r w:rsidR="00FD3D94" w:rsidRPr="00F4213A">
        <w:rPr>
          <w:szCs w:val="22"/>
        </w:rPr>
        <w:t xml:space="preserve"> </w:t>
      </w:r>
      <w:r w:rsidRPr="00F4213A">
        <w:rPr>
          <w:szCs w:val="22"/>
        </w:rPr>
        <w:t xml:space="preserve">of selexipag </w:t>
      </w:r>
      <w:r w:rsidR="00FD3D94" w:rsidRPr="00F4213A">
        <w:rPr>
          <w:szCs w:val="22"/>
        </w:rPr>
        <w:t>compared to placebo</w:t>
      </w:r>
      <w:r w:rsidR="00345BC9" w:rsidRPr="00F4213A">
        <w:rPr>
          <w:szCs w:val="22"/>
        </w:rPr>
        <w:t>, in terms of the reduction in the number of first MM events</w:t>
      </w:r>
      <w:r w:rsidR="008970CE" w:rsidRPr="00F4213A">
        <w:rPr>
          <w:szCs w:val="22"/>
        </w:rPr>
        <w:t xml:space="preserve"> per </w:t>
      </w:r>
      <w:r w:rsidR="006C722C" w:rsidRPr="00F4213A">
        <w:rPr>
          <w:szCs w:val="22"/>
        </w:rPr>
        <w:t>person-year</w:t>
      </w:r>
      <w:r w:rsidR="008970CE" w:rsidRPr="00F4213A">
        <w:rPr>
          <w:szCs w:val="22"/>
        </w:rPr>
        <w:t xml:space="preserve"> </w:t>
      </w:r>
      <w:r w:rsidR="00345BC9" w:rsidRPr="00F4213A">
        <w:rPr>
          <w:szCs w:val="22"/>
        </w:rPr>
        <w:t xml:space="preserve">over the duration </w:t>
      </w:r>
      <w:r w:rsidR="00050EE2" w:rsidRPr="00F4213A">
        <w:rPr>
          <w:szCs w:val="22"/>
        </w:rPr>
        <w:t>of the trial, based on the HR for the ITT population and the baseline event rate for the subgroup of patients with WHO FC III/IV PAH</w:t>
      </w:r>
      <w:r w:rsidR="00FD3D94" w:rsidRPr="00F4213A">
        <w:rPr>
          <w:szCs w:val="22"/>
        </w:rPr>
        <w:t xml:space="preserve"> (</w:t>
      </w:r>
      <w:r w:rsidR="005379B3" w:rsidRPr="00F4213A">
        <w:rPr>
          <w:szCs w:val="22"/>
        </w:rPr>
        <w:t xml:space="preserve">i.e. </w:t>
      </w:r>
      <w:r w:rsidR="00FD3D94" w:rsidRPr="00F4213A">
        <w:rPr>
          <w:szCs w:val="22"/>
        </w:rPr>
        <w:t xml:space="preserve">the number of events per </w:t>
      </w:r>
      <w:r w:rsidR="006C722C" w:rsidRPr="00F4213A">
        <w:rPr>
          <w:szCs w:val="22"/>
        </w:rPr>
        <w:t>person-year</w:t>
      </w:r>
      <w:r w:rsidR="00FD3D94" w:rsidRPr="00F4213A">
        <w:rPr>
          <w:szCs w:val="22"/>
        </w:rPr>
        <w:t xml:space="preserve"> in the placebo arm)</w:t>
      </w:r>
      <w:r w:rsidR="00050EE2" w:rsidRPr="00F4213A">
        <w:rPr>
          <w:szCs w:val="22"/>
        </w:rPr>
        <w:t>.</w:t>
      </w:r>
      <w:r w:rsidR="00831092" w:rsidRPr="00F4213A">
        <w:rPr>
          <w:szCs w:val="22"/>
        </w:rPr>
        <w:t xml:space="preserve"> The results are summarised in </w:t>
      </w:r>
      <w:r w:rsidR="002D1BF1" w:rsidRPr="00F4213A">
        <w:t xml:space="preserve">Table </w:t>
      </w:r>
      <w:r w:rsidR="002D1BF1" w:rsidRPr="00F4213A">
        <w:rPr>
          <w:noProof/>
        </w:rPr>
        <w:t>6</w:t>
      </w:r>
      <w:r w:rsidR="00FD3D94" w:rsidRPr="00F4213A">
        <w:rPr>
          <w:szCs w:val="22"/>
        </w:rPr>
        <w:t>.</w:t>
      </w:r>
    </w:p>
    <w:p w:rsidR="007F24EB" w:rsidRPr="00F4213A" w:rsidRDefault="007F24EB" w:rsidP="007F24EB">
      <w:pPr>
        <w:pStyle w:val="ListParagraph"/>
        <w:widowControl/>
      </w:pPr>
    </w:p>
    <w:p w:rsidR="00FD3D94" w:rsidRPr="00F4213A" w:rsidRDefault="00FD3D94" w:rsidP="00874261">
      <w:pPr>
        <w:pStyle w:val="Caption"/>
        <w:keepNext/>
        <w:keepLines/>
        <w:ind w:left="709"/>
      </w:pPr>
      <w:bookmarkStart w:id="16" w:name="_Ref438471538"/>
      <w:r w:rsidRPr="00F4213A">
        <w:t xml:space="preserve">Table </w:t>
      </w:r>
      <w:r w:rsidR="002D1BF1" w:rsidRPr="00F4213A">
        <w:rPr>
          <w:noProof/>
        </w:rPr>
        <w:t>6</w:t>
      </w:r>
      <w:bookmarkEnd w:id="16"/>
      <w:r w:rsidRPr="00F4213A">
        <w:t xml:space="preserve">: </w:t>
      </w:r>
      <w:r w:rsidR="00E64A73" w:rsidRPr="00F4213A">
        <w:t>Incremental health outcome</w:t>
      </w:r>
      <w:r w:rsidRPr="00F4213A">
        <w:t xml:space="preserve"> obtained in the economic evaluation (WHO FC III/IV subgroup)</w:t>
      </w:r>
    </w:p>
    <w:tbl>
      <w:tblPr>
        <w:tblW w:w="4575"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05"/>
        <w:gridCol w:w="1524"/>
        <w:gridCol w:w="1559"/>
        <w:gridCol w:w="1275"/>
      </w:tblGrid>
      <w:tr w:rsidR="00E64A73" w:rsidRPr="00F4213A" w:rsidTr="00E64A73">
        <w:trPr>
          <w:cantSplit/>
        </w:trPr>
        <w:tc>
          <w:tcPr>
            <w:tcW w:w="239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4A73" w:rsidRPr="00F4213A" w:rsidRDefault="00E64A73" w:rsidP="00874261">
            <w:pPr>
              <w:keepNext/>
              <w:keepLines/>
              <w:jc w:val="left"/>
              <w:rPr>
                <w:rFonts w:ascii="Arial Narrow" w:hAnsi="Arial Narrow"/>
                <w:b/>
                <w:sz w:val="20"/>
              </w:rPr>
            </w:pPr>
          </w:p>
        </w:tc>
        <w:tc>
          <w:tcPr>
            <w:tcW w:w="9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4A73" w:rsidRPr="00F4213A" w:rsidRDefault="00E64A73" w:rsidP="00E64A73">
            <w:pPr>
              <w:jc w:val="center"/>
              <w:rPr>
                <w:rFonts w:ascii="Arial Narrow" w:hAnsi="Arial Narrow"/>
                <w:b/>
                <w:sz w:val="20"/>
              </w:rPr>
            </w:pPr>
            <w:r w:rsidRPr="00F4213A">
              <w:rPr>
                <w:rFonts w:ascii="Arial Narrow" w:hAnsi="Arial Narrow"/>
                <w:b/>
                <w:sz w:val="20"/>
              </w:rPr>
              <w:t>Selexipag ± BGT</w:t>
            </w:r>
          </w:p>
        </w:tc>
        <w:tc>
          <w:tcPr>
            <w:tcW w:w="93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4A73" w:rsidRPr="00F4213A" w:rsidRDefault="00E64A73" w:rsidP="00E64A73">
            <w:pPr>
              <w:jc w:val="center"/>
              <w:rPr>
                <w:rFonts w:ascii="Arial Narrow" w:hAnsi="Arial Narrow"/>
                <w:b/>
                <w:sz w:val="20"/>
              </w:rPr>
            </w:pPr>
            <w:r w:rsidRPr="00F4213A">
              <w:rPr>
                <w:rFonts w:ascii="Arial Narrow" w:hAnsi="Arial Narrow"/>
                <w:b/>
                <w:sz w:val="20"/>
              </w:rPr>
              <w:t>Placebo ± BGT</w:t>
            </w:r>
          </w:p>
        </w:tc>
        <w:tc>
          <w:tcPr>
            <w:tcW w:w="7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4A73" w:rsidRPr="00F4213A" w:rsidRDefault="00E64A73" w:rsidP="00874261">
            <w:pPr>
              <w:keepNext/>
              <w:keepLines/>
              <w:jc w:val="center"/>
              <w:rPr>
                <w:rFonts w:ascii="Arial Narrow" w:hAnsi="Arial Narrow"/>
                <w:b/>
                <w:sz w:val="20"/>
              </w:rPr>
            </w:pPr>
            <w:r w:rsidRPr="00F4213A">
              <w:rPr>
                <w:rFonts w:ascii="Arial Narrow" w:hAnsi="Arial Narrow"/>
                <w:b/>
                <w:sz w:val="20"/>
              </w:rPr>
              <w:t>Incremental outcome**</w:t>
            </w:r>
          </w:p>
        </w:tc>
      </w:tr>
      <w:tr w:rsidR="00FD3D94" w:rsidRPr="00F4213A" w:rsidTr="00E64A73">
        <w:trPr>
          <w:cantSplit/>
        </w:trPr>
        <w:tc>
          <w:tcPr>
            <w:tcW w:w="239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D3D94" w:rsidRPr="00F4213A" w:rsidRDefault="002009FB" w:rsidP="00DE0EAD">
            <w:pPr>
              <w:jc w:val="left"/>
              <w:rPr>
                <w:rFonts w:ascii="Arial Narrow" w:hAnsi="Arial Narrow"/>
                <w:sz w:val="20"/>
              </w:rPr>
            </w:pPr>
            <w:r w:rsidRPr="00F4213A">
              <w:rPr>
                <w:rFonts w:ascii="Arial Narrow" w:hAnsi="Arial Narrow"/>
                <w:sz w:val="20"/>
              </w:rPr>
              <w:t>N</w:t>
            </w:r>
            <w:r w:rsidR="00FD3D94" w:rsidRPr="00F4213A">
              <w:rPr>
                <w:rFonts w:ascii="Arial Narrow" w:hAnsi="Arial Narrow"/>
                <w:sz w:val="20"/>
              </w:rPr>
              <w:t xml:space="preserve">umber of first MM events per </w:t>
            </w:r>
            <w:r w:rsidR="006C722C" w:rsidRPr="00F4213A">
              <w:rPr>
                <w:rFonts w:ascii="Arial Narrow" w:hAnsi="Arial Narrow"/>
                <w:sz w:val="20"/>
              </w:rPr>
              <w:t>person-year</w:t>
            </w:r>
            <w:r w:rsidR="00E64A73" w:rsidRPr="00F4213A">
              <w:rPr>
                <w:rFonts w:ascii="Arial Narrow" w:hAnsi="Arial Narrow"/>
                <w:sz w:val="20"/>
              </w:rPr>
              <w:t>*</w:t>
            </w:r>
          </w:p>
        </w:tc>
        <w:tc>
          <w:tcPr>
            <w:tcW w:w="9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D3D94" w:rsidRPr="00A35868" w:rsidRDefault="00A35868" w:rsidP="00DE0EAD">
            <w:pPr>
              <w:jc w:val="center"/>
              <w:rPr>
                <w:rFonts w:ascii="Arial Narrow" w:hAnsi="Arial Narrow"/>
                <w:sz w:val="20"/>
                <w:highlight w:val="black"/>
              </w:rPr>
            </w:pPr>
            <w:r>
              <w:rPr>
                <w:rFonts w:ascii="Arial Narrow" w:hAnsi="Arial Narrow"/>
                <w:noProof/>
                <w:color w:val="000000"/>
                <w:sz w:val="20"/>
                <w:highlight w:val="black"/>
              </w:rPr>
              <w:t>''''''''''''''''</w:t>
            </w:r>
          </w:p>
        </w:tc>
        <w:tc>
          <w:tcPr>
            <w:tcW w:w="932" w:type="pct"/>
            <w:tcBorders>
              <w:top w:val="single" w:sz="4" w:space="0" w:color="auto"/>
              <w:left w:val="single" w:sz="4" w:space="0" w:color="auto"/>
              <w:bottom w:val="single" w:sz="4" w:space="0" w:color="auto"/>
              <w:right w:val="single" w:sz="4" w:space="0" w:color="auto"/>
            </w:tcBorders>
            <w:tcMar>
              <w:left w:w="57" w:type="dxa"/>
              <w:right w:w="57" w:type="dxa"/>
            </w:tcMar>
          </w:tcPr>
          <w:p w:rsidR="00FD3D94" w:rsidRPr="00A35868" w:rsidRDefault="00A35868" w:rsidP="00DE0EAD">
            <w:pPr>
              <w:pStyle w:val="Tabletext"/>
              <w:jc w:val="center"/>
              <w:rPr>
                <w:highlight w:val="black"/>
              </w:rPr>
            </w:pPr>
            <w:r>
              <w:rPr>
                <w:noProof/>
                <w:color w:val="000000"/>
                <w:highlight w:val="black"/>
              </w:rPr>
              <w:t>'''''''''''''''</w:t>
            </w:r>
          </w:p>
        </w:tc>
        <w:tc>
          <w:tcPr>
            <w:tcW w:w="762" w:type="pct"/>
            <w:tcBorders>
              <w:top w:val="single" w:sz="4" w:space="0" w:color="auto"/>
              <w:left w:val="single" w:sz="4" w:space="0" w:color="auto"/>
              <w:bottom w:val="single" w:sz="4" w:space="0" w:color="auto"/>
              <w:right w:val="single" w:sz="4" w:space="0" w:color="auto"/>
            </w:tcBorders>
            <w:tcMar>
              <w:left w:w="57" w:type="dxa"/>
              <w:right w:w="57" w:type="dxa"/>
            </w:tcMar>
          </w:tcPr>
          <w:p w:rsidR="00FD3D94" w:rsidRPr="00F4213A" w:rsidRDefault="00FD3D94" w:rsidP="00DE0EAD">
            <w:pPr>
              <w:pStyle w:val="Tabletext"/>
              <w:jc w:val="center"/>
            </w:pPr>
            <w:r w:rsidRPr="00F4213A">
              <w:t>-</w:t>
            </w:r>
            <w:r w:rsidR="00A35868">
              <w:rPr>
                <w:noProof/>
                <w:color w:val="000000"/>
                <w:highlight w:val="black"/>
              </w:rPr>
              <w:t>''''''''''''''''</w:t>
            </w:r>
          </w:p>
        </w:tc>
      </w:tr>
    </w:tbl>
    <w:p w:rsidR="00FD3D94" w:rsidRPr="00F4213A" w:rsidRDefault="00FD3D94" w:rsidP="00FD3D94">
      <w:pPr>
        <w:pStyle w:val="TableFooter"/>
        <w:ind w:left="709"/>
      </w:pPr>
      <w:r w:rsidRPr="00F4213A">
        <w:t>BGT = background therapy; MM = morbidity or mortality</w:t>
      </w:r>
      <w:r w:rsidR="001C459A" w:rsidRPr="00F4213A">
        <w:t>; WHO FC = World Health Organisation Functional class</w:t>
      </w:r>
    </w:p>
    <w:p w:rsidR="00FD3D94" w:rsidRPr="00F4213A" w:rsidRDefault="009037A3" w:rsidP="00FD3D94">
      <w:pPr>
        <w:pStyle w:val="TableFooter"/>
        <w:ind w:left="709"/>
      </w:pPr>
      <w:r w:rsidRPr="00F4213A">
        <w:t>* Over the duration of the GRIPHON trial</w:t>
      </w:r>
    </w:p>
    <w:p w:rsidR="00FD3D94" w:rsidRPr="00F4213A" w:rsidRDefault="00FD3D94" w:rsidP="00FD3D94">
      <w:pPr>
        <w:pStyle w:val="TableFooter"/>
        <w:ind w:left="709"/>
      </w:pPr>
      <w:r w:rsidRPr="00F4213A">
        <w:t>*</w:t>
      </w:r>
      <w:r w:rsidR="00E64A73" w:rsidRPr="00F4213A">
        <w:t>*</w:t>
      </w:r>
      <w:r w:rsidRPr="00F4213A">
        <w:t xml:space="preserve"> Incremental change in number of first MM events per </w:t>
      </w:r>
      <w:r w:rsidR="006C722C" w:rsidRPr="00F4213A">
        <w:t>person-year</w:t>
      </w:r>
      <w:r w:rsidRPr="00F4213A">
        <w:t xml:space="preserve"> over the duration of the trial.</w:t>
      </w:r>
    </w:p>
    <w:p w:rsidR="00FD3D94" w:rsidRPr="00F4213A" w:rsidRDefault="00FD3D94" w:rsidP="00FD3D94">
      <w:pPr>
        <w:pStyle w:val="TableFooter"/>
        <w:ind w:left="709"/>
      </w:pPr>
      <w:r w:rsidRPr="00F4213A">
        <w:t xml:space="preserve">Source: </w:t>
      </w:r>
      <w:r w:rsidR="00E64A73" w:rsidRPr="00F4213A">
        <w:t xml:space="preserve">Table D.1-3, p96 </w:t>
      </w:r>
      <w:r w:rsidRPr="00F4213A">
        <w:t>of the submission.</w:t>
      </w:r>
    </w:p>
    <w:p w:rsidR="00FD3D94" w:rsidRPr="00F4213A" w:rsidRDefault="00FD3D94" w:rsidP="007F24EB">
      <w:pPr>
        <w:pStyle w:val="ListParagraph"/>
        <w:widowControl/>
      </w:pPr>
    </w:p>
    <w:p w:rsidR="00B2738B" w:rsidRPr="00F4213A" w:rsidRDefault="00B2738B" w:rsidP="00590A3C">
      <w:pPr>
        <w:pStyle w:val="ListParagraph"/>
        <w:widowControl/>
        <w:numPr>
          <w:ilvl w:val="1"/>
          <w:numId w:val="2"/>
        </w:numPr>
        <w:rPr>
          <w:szCs w:val="22"/>
        </w:rPr>
      </w:pPr>
      <w:r w:rsidRPr="00F4213A">
        <w:rPr>
          <w:szCs w:val="22"/>
        </w:rPr>
        <w:t>The following factors are likely to have resulted in an overestimate of the difference in first MM event rates per person-year for selexipag versus placebo compared with what is likely to be observed in the Australian clinical setting:</w:t>
      </w:r>
    </w:p>
    <w:p w:rsidR="00B2738B" w:rsidRPr="00F4213A" w:rsidRDefault="00933A90" w:rsidP="00590A3C">
      <w:pPr>
        <w:pStyle w:val="ListParagraph"/>
        <w:widowControl/>
        <w:numPr>
          <w:ilvl w:val="0"/>
          <w:numId w:val="12"/>
        </w:numPr>
        <w:rPr>
          <w:szCs w:val="22"/>
        </w:rPr>
      </w:pPr>
      <w:r w:rsidRPr="00F4213A">
        <w:rPr>
          <w:szCs w:val="22"/>
        </w:rPr>
        <w:t>Data presented in the trial CSR indicated a</w:t>
      </w:r>
      <w:r w:rsidR="00B2738B" w:rsidRPr="00F4213A">
        <w:rPr>
          <w:szCs w:val="22"/>
        </w:rPr>
        <w:t xml:space="preserve"> declining difference in the </w:t>
      </w:r>
      <w:r w:rsidRPr="00F4213A">
        <w:rPr>
          <w:szCs w:val="22"/>
        </w:rPr>
        <w:t xml:space="preserve">first MM </w:t>
      </w:r>
      <w:r w:rsidR="00B2738B" w:rsidRPr="00F4213A">
        <w:rPr>
          <w:szCs w:val="22"/>
        </w:rPr>
        <w:t>event rate between the treatment arms following the first 6 months of treatment;</w:t>
      </w:r>
    </w:p>
    <w:p w:rsidR="00B2738B" w:rsidRPr="00F4213A" w:rsidRDefault="00B2738B" w:rsidP="00590A3C">
      <w:pPr>
        <w:pStyle w:val="ListParagraph"/>
        <w:widowControl/>
        <w:numPr>
          <w:ilvl w:val="0"/>
          <w:numId w:val="12"/>
        </w:numPr>
        <w:rPr>
          <w:szCs w:val="22"/>
        </w:rPr>
      </w:pPr>
      <w:r w:rsidRPr="00F4213A">
        <w:rPr>
          <w:szCs w:val="22"/>
        </w:rPr>
        <w:t xml:space="preserve">The inclusion of patients who were not receiving background PAH therapy, and who would </w:t>
      </w:r>
      <w:r w:rsidR="00D5779F" w:rsidRPr="00F4213A">
        <w:rPr>
          <w:szCs w:val="22"/>
        </w:rPr>
        <w:t xml:space="preserve">thus </w:t>
      </w:r>
      <w:r w:rsidRPr="00F4213A">
        <w:rPr>
          <w:szCs w:val="22"/>
        </w:rPr>
        <w:t>not be eligible for treatment according to the proposed listing; and,</w:t>
      </w:r>
    </w:p>
    <w:p w:rsidR="00B2738B" w:rsidRPr="00F4213A" w:rsidRDefault="00B2738B" w:rsidP="00590A3C">
      <w:pPr>
        <w:pStyle w:val="ListParagraph"/>
        <w:widowControl/>
        <w:numPr>
          <w:ilvl w:val="0"/>
          <w:numId w:val="12"/>
        </w:numPr>
        <w:rPr>
          <w:szCs w:val="22"/>
        </w:rPr>
      </w:pPr>
      <w:r w:rsidRPr="00F4213A">
        <w:rPr>
          <w:szCs w:val="22"/>
        </w:rPr>
        <w:t xml:space="preserve">The difference in the rate of </w:t>
      </w:r>
      <w:r w:rsidR="000B058A" w:rsidRPr="00F4213A">
        <w:rPr>
          <w:szCs w:val="22"/>
        </w:rPr>
        <w:t xml:space="preserve">premature </w:t>
      </w:r>
      <w:r w:rsidRPr="00F4213A">
        <w:rPr>
          <w:szCs w:val="22"/>
        </w:rPr>
        <w:t>censoring across the treatment arms biased the estimated treatment effect in favour of selexipag.</w:t>
      </w:r>
    </w:p>
    <w:p w:rsidR="00B2738B" w:rsidRPr="00F4213A" w:rsidRDefault="00B2738B" w:rsidP="00345BC9">
      <w:pPr>
        <w:pStyle w:val="ListParagraph"/>
        <w:widowControl/>
        <w:rPr>
          <w:szCs w:val="22"/>
        </w:rPr>
      </w:pPr>
    </w:p>
    <w:p w:rsidR="00453361" w:rsidRDefault="00453361" w:rsidP="007170EE">
      <w:pPr>
        <w:pStyle w:val="Heading3"/>
      </w:pPr>
      <w:r>
        <w:br w:type="page"/>
      </w:r>
    </w:p>
    <w:p w:rsidR="00F666E2" w:rsidRPr="00410EC7" w:rsidRDefault="00F666E2" w:rsidP="007170EE">
      <w:pPr>
        <w:pStyle w:val="Heading3"/>
      </w:pPr>
      <w:r w:rsidRPr="00410EC7">
        <w:lastRenderedPageBreak/>
        <w:t>Incremental costs and effectiveness</w:t>
      </w:r>
    </w:p>
    <w:p w:rsidR="00F666E2" w:rsidRPr="00345BC9" w:rsidRDefault="00F666E2" w:rsidP="00345BC9">
      <w:pPr>
        <w:pStyle w:val="ListParagraph"/>
        <w:widowControl/>
        <w:rPr>
          <w:szCs w:val="22"/>
        </w:rPr>
      </w:pPr>
    </w:p>
    <w:p w:rsidR="007B5E30" w:rsidRDefault="007B5E30" w:rsidP="00590A3C">
      <w:pPr>
        <w:pStyle w:val="ListParagraph"/>
        <w:widowControl/>
        <w:numPr>
          <w:ilvl w:val="1"/>
          <w:numId w:val="2"/>
        </w:numPr>
      </w:pPr>
      <w:r w:rsidRPr="00F666E2">
        <w:t xml:space="preserve">The results of the economic evaluation for selexipag compared to placebo are summarised in </w:t>
      </w:r>
      <w:r w:rsidR="002D1BF1">
        <w:t>Table 7</w:t>
      </w:r>
      <w:r w:rsidRPr="00F666E2">
        <w:t>.</w:t>
      </w:r>
      <w:r w:rsidRPr="007B5E30">
        <w:t xml:space="preserve"> </w:t>
      </w:r>
    </w:p>
    <w:p w:rsidR="007B5E30" w:rsidRDefault="007B5E30" w:rsidP="007B5E30">
      <w:pPr>
        <w:ind w:left="709"/>
      </w:pPr>
    </w:p>
    <w:p w:rsidR="007B5E30" w:rsidRPr="005C7F65" w:rsidRDefault="007B5E30" w:rsidP="006B0E7F">
      <w:pPr>
        <w:pStyle w:val="Caption"/>
        <w:keepNext/>
        <w:keepLines/>
        <w:ind w:left="709"/>
      </w:pPr>
      <w:bookmarkStart w:id="17" w:name="_Ref438473283"/>
      <w:r>
        <w:t xml:space="preserve">Table </w:t>
      </w:r>
      <w:r w:rsidR="002D1BF1">
        <w:rPr>
          <w:noProof/>
        </w:rPr>
        <w:t>7</w:t>
      </w:r>
      <w:bookmarkEnd w:id="17"/>
      <w:r>
        <w:t xml:space="preserve">: </w:t>
      </w:r>
      <w:r w:rsidRPr="005C7F65">
        <w:t>Results of the economic evaluation</w:t>
      </w:r>
      <w:r>
        <w:t xml:space="preserve"> for </w:t>
      </w:r>
      <w:r w:rsidRPr="008646A7">
        <w:t>selexipag</w:t>
      </w:r>
      <w:r>
        <w:t xml:space="preserve"> versus placebo as add-on therapy in patients with WHO FC III/IV PAH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9"/>
        <w:gridCol w:w="1984"/>
        <w:gridCol w:w="1984"/>
        <w:gridCol w:w="2126"/>
      </w:tblGrid>
      <w:tr w:rsidR="007B5E30" w:rsidRPr="00F4213A" w:rsidTr="007B5E30">
        <w:tc>
          <w:tcPr>
            <w:tcW w:w="1357" w:type="pct"/>
          </w:tcPr>
          <w:p w:rsidR="007B5E30" w:rsidRPr="00F4213A" w:rsidRDefault="007B5E30" w:rsidP="003A55CB">
            <w:pPr>
              <w:keepNext/>
              <w:keepLines/>
              <w:rPr>
                <w:rFonts w:ascii="Arial Narrow" w:hAnsi="Arial Narrow"/>
                <w:b/>
                <w:sz w:val="20"/>
              </w:rPr>
            </w:pPr>
            <w:r w:rsidRPr="00F4213A">
              <w:rPr>
                <w:rFonts w:ascii="Arial Narrow" w:hAnsi="Arial Narrow"/>
                <w:b/>
                <w:sz w:val="20"/>
              </w:rPr>
              <w:t>Component</w:t>
            </w:r>
          </w:p>
        </w:tc>
        <w:tc>
          <w:tcPr>
            <w:tcW w:w="1186" w:type="pct"/>
          </w:tcPr>
          <w:p w:rsidR="007B5E30" w:rsidRPr="00F4213A" w:rsidRDefault="007B5E30" w:rsidP="003A55CB">
            <w:pPr>
              <w:keepNext/>
              <w:keepLines/>
              <w:jc w:val="center"/>
              <w:rPr>
                <w:rFonts w:ascii="Arial Narrow" w:hAnsi="Arial Narrow"/>
                <w:b/>
                <w:sz w:val="20"/>
              </w:rPr>
            </w:pPr>
            <w:r w:rsidRPr="00F4213A">
              <w:rPr>
                <w:rFonts w:ascii="Arial Narrow" w:hAnsi="Arial Narrow"/>
                <w:b/>
                <w:sz w:val="20"/>
              </w:rPr>
              <w:t xml:space="preserve">Selexipag </w:t>
            </w:r>
          </w:p>
        </w:tc>
        <w:tc>
          <w:tcPr>
            <w:tcW w:w="1186" w:type="pct"/>
          </w:tcPr>
          <w:p w:rsidR="007B5E30" w:rsidRPr="00F4213A" w:rsidRDefault="007B5E30" w:rsidP="003A55CB">
            <w:pPr>
              <w:keepNext/>
              <w:keepLines/>
              <w:jc w:val="center"/>
              <w:rPr>
                <w:rFonts w:ascii="Arial Narrow" w:hAnsi="Arial Narrow"/>
                <w:b/>
                <w:sz w:val="20"/>
              </w:rPr>
            </w:pPr>
            <w:r w:rsidRPr="00F4213A">
              <w:rPr>
                <w:rFonts w:ascii="Arial Narrow" w:hAnsi="Arial Narrow"/>
                <w:b/>
                <w:sz w:val="20"/>
              </w:rPr>
              <w:t xml:space="preserve">Placebo </w:t>
            </w:r>
          </w:p>
        </w:tc>
        <w:tc>
          <w:tcPr>
            <w:tcW w:w="1271" w:type="pct"/>
          </w:tcPr>
          <w:p w:rsidR="007B5E30" w:rsidRPr="00F4213A" w:rsidRDefault="007B5E30" w:rsidP="003A55CB">
            <w:pPr>
              <w:keepNext/>
              <w:keepLines/>
              <w:jc w:val="center"/>
              <w:rPr>
                <w:rFonts w:ascii="Arial Narrow" w:hAnsi="Arial Narrow"/>
                <w:b/>
                <w:sz w:val="20"/>
              </w:rPr>
            </w:pPr>
            <w:r w:rsidRPr="00F4213A">
              <w:rPr>
                <w:rFonts w:ascii="Arial Narrow" w:hAnsi="Arial Narrow"/>
                <w:b/>
                <w:sz w:val="20"/>
              </w:rPr>
              <w:t>Increment</w:t>
            </w:r>
          </w:p>
        </w:tc>
      </w:tr>
      <w:tr w:rsidR="007B5E30" w:rsidRPr="00F4213A" w:rsidTr="007B5E30">
        <w:tc>
          <w:tcPr>
            <w:tcW w:w="1357" w:type="pct"/>
          </w:tcPr>
          <w:p w:rsidR="007B5E30" w:rsidRPr="00F4213A" w:rsidRDefault="007B5E30" w:rsidP="007B5E30">
            <w:pPr>
              <w:rPr>
                <w:rFonts w:ascii="Arial Narrow" w:hAnsi="Arial Narrow"/>
                <w:sz w:val="20"/>
                <w:vertAlign w:val="superscript"/>
              </w:rPr>
            </w:pPr>
            <w:r w:rsidRPr="00F4213A">
              <w:rPr>
                <w:rFonts w:ascii="Arial Narrow" w:hAnsi="Arial Narrow"/>
                <w:sz w:val="20"/>
              </w:rPr>
              <w:t>Costs</w:t>
            </w:r>
            <w:r w:rsidRPr="00F4213A">
              <w:rPr>
                <w:rFonts w:ascii="Arial Narrow" w:hAnsi="Arial Narrow"/>
                <w:sz w:val="20"/>
                <w:vertAlign w:val="superscript"/>
              </w:rPr>
              <w:t>a</w:t>
            </w:r>
          </w:p>
          <w:p w:rsidR="007B5E30" w:rsidRPr="00F4213A" w:rsidRDefault="007B5E30" w:rsidP="007B5E30">
            <w:pPr>
              <w:rPr>
                <w:rFonts w:ascii="Arial Narrow" w:hAnsi="Arial Narrow"/>
                <w:sz w:val="20"/>
                <w:vertAlign w:val="superscript"/>
              </w:rPr>
            </w:pPr>
            <w:r w:rsidRPr="00F4213A">
              <w:rPr>
                <w:rFonts w:ascii="Arial Narrow" w:hAnsi="Arial Narrow"/>
                <w:sz w:val="20"/>
              </w:rPr>
              <w:t>Proposed effective price</w:t>
            </w:r>
            <w:r w:rsidR="00AF2404" w:rsidRPr="00F4213A">
              <w:rPr>
                <w:rFonts w:ascii="Arial Narrow" w:hAnsi="Arial Narrow"/>
                <w:sz w:val="20"/>
                <w:vertAlign w:val="superscript"/>
              </w:rPr>
              <w:t>b</w:t>
            </w:r>
          </w:p>
        </w:tc>
        <w:tc>
          <w:tcPr>
            <w:tcW w:w="1186" w:type="pct"/>
          </w:tcPr>
          <w:p w:rsidR="007B5E30" w:rsidRPr="00F4213A" w:rsidRDefault="007B5E30" w:rsidP="007B5E30">
            <w:pPr>
              <w:jc w:val="center"/>
              <w:rPr>
                <w:rFonts w:ascii="Arial Narrow" w:hAnsi="Arial Narrow" w:cs="Times New Roman"/>
                <w:sz w:val="20"/>
              </w:rPr>
            </w:pPr>
          </w:p>
          <w:p w:rsidR="007B5E30" w:rsidRPr="00F4213A" w:rsidRDefault="007B5E30" w:rsidP="007B5E30">
            <w:pPr>
              <w:jc w:val="center"/>
              <w:rPr>
                <w:rFonts w:ascii="Arial Narrow" w:hAnsi="Arial Narrow"/>
                <w:sz w:val="20"/>
              </w:rPr>
            </w:pPr>
            <w:r w:rsidRPr="00F4213A">
              <w:rPr>
                <w:rFonts w:ascii="Arial Narrow" w:hAnsi="Arial Narrow" w:cs="Times New Roman"/>
                <w:sz w:val="20"/>
              </w:rPr>
              <w:t>$</w:t>
            </w:r>
            <w:r w:rsidR="00A35868">
              <w:rPr>
                <w:rFonts w:ascii="Arial Narrow" w:hAnsi="Arial Narrow" w:cs="Times New Roman"/>
                <w:noProof/>
                <w:color w:val="000000"/>
                <w:sz w:val="20"/>
                <w:highlight w:val="black"/>
              </w:rPr>
              <w:t>''''''''''''''''</w:t>
            </w:r>
          </w:p>
        </w:tc>
        <w:tc>
          <w:tcPr>
            <w:tcW w:w="1186" w:type="pct"/>
          </w:tcPr>
          <w:p w:rsidR="007B5E30" w:rsidRPr="00F4213A" w:rsidRDefault="007B5E30" w:rsidP="007B5E30">
            <w:pPr>
              <w:jc w:val="center"/>
              <w:rPr>
                <w:rFonts w:ascii="Arial Narrow" w:hAnsi="Arial Narrow"/>
                <w:sz w:val="20"/>
              </w:rPr>
            </w:pPr>
          </w:p>
          <w:p w:rsidR="007B5E30" w:rsidRPr="00F4213A" w:rsidRDefault="007B5E30" w:rsidP="007B5E30">
            <w:pPr>
              <w:jc w:val="center"/>
              <w:rPr>
                <w:rFonts w:ascii="Arial Narrow" w:hAnsi="Arial Narrow"/>
                <w:sz w:val="20"/>
              </w:rPr>
            </w:pPr>
            <w:r w:rsidRPr="00F4213A">
              <w:rPr>
                <w:rFonts w:ascii="Arial Narrow" w:hAnsi="Arial Narrow"/>
                <w:sz w:val="20"/>
              </w:rPr>
              <w:t>$0</w:t>
            </w:r>
          </w:p>
        </w:tc>
        <w:tc>
          <w:tcPr>
            <w:tcW w:w="1271" w:type="pct"/>
          </w:tcPr>
          <w:p w:rsidR="007B5E30" w:rsidRPr="00F4213A" w:rsidRDefault="007B5E30" w:rsidP="007B5E30">
            <w:pPr>
              <w:jc w:val="center"/>
              <w:rPr>
                <w:rFonts w:ascii="Arial Narrow" w:hAnsi="Arial Narrow" w:cs="Times New Roman"/>
                <w:sz w:val="20"/>
              </w:rPr>
            </w:pPr>
          </w:p>
          <w:p w:rsidR="007B5E30" w:rsidRPr="00F4213A" w:rsidRDefault="007B5E30" w:rsidP="007B5E30">
            <w:pPr>
              <w:jc w:val="center"/>
              <w:rPr>
                <w:rFonts w:ascii="Arial Narrow" w:hAnsi="Arial Narrow" w:cs="Times New Roman"/>
                <w:sz w:val="20"/>
              </w:rPr>
            </w:pPr>
            <w:r w:rsidRPr="00F4213A">
              <w:rPr>
                <w:rFonts w:ascii="Arial Narrow" w:hAnsi="Arial Narrow" w:cs="Times New Roman"/>
                <w:sz w:val="20"/>
              </w:rPr>
              <w:t>$</w:t>
            </w:r>
            <w:r w:rsidR="00A35868">
              <w:rPr>
                <w:rFonts w:ascii="Arial Narrow" w:hAnsi="Arial Narrow" w:cs="Times New Roman"/>
                <w:noProof/>
                <w:color w:val="000000"/>
                <w:sz w:val="20"/>
                <w:highlight w:val="black"/>
              </w:rPr>
              <w:t>''''''''''''''''''</w:t>
            </w:r>
          </w:p>
        </w:tc>
      </w:tr>
      <w:tr w:rsidR="007B5E30" w:rsidRPr="00F4213A" w:rsidTr="007B5E30">
        <w:tc>
          <w:tcPr>
            <w:tcW w:w="1357" w:type="pct"/>
          </w:tcPr>
          <w:p w:rsidR="007B5E30" w:rsidRPr="00F4213A" w:rsidRDefault="002009FB" w:rsidP="007B5E30">
            <w:pPr>
              <w:jc w:val="left"/>
              <w:rPr>
                <w:rFonts w:ascii="Arial Narrow" w:hAnsi="Arial Narrow"/>
                <w:sz w:val="20"/>
              </w:rPr>
            </w:pPr>
            <w:r w:rsidRPr="00F4213A">
              <w:rPr>
                <w:rFonts w:ascii="Arial Narrow" w:hAnsi="Arial Narrow"/>
                <w:sz w:val="20"/>
              </w:rPr>
              <w:t>N</w:t>
            </w:r>
            <w:r w:rsidR="007B5E30" w:rsidRPr="00F4213A">
              <w:rPr>
                <w:rFonts w:ascii="Arial Narrow" w:hAnsi="Arial Narrow"/>
                <w:sz w:val="20"/>
              </w:rPr>
              <w:t xml:space="preserve">umber of first MM events per </w:t>
            </w:r>
            <w:r w:rsidR="006C722C" w:rsidRPr="00F4213A">
              <w:rPr>
                <w:rFonts w:ascii="Arial Narrow" w:hAnsi="Arial Narrow"/>
                <w:sz w:val="20"/>
              </w:rPr>
              <w:t>person-year</w:t>
            </w:r>
          </w:p>
        </w:tc>
        <w:tc>
          <w:tcPr>
            <w:tcW w:w="1186" w:type="pct"/>
            <w:vAlign w:val="center"/>
          </w:tcPr>
          <w:p w:rsidR="007B5E30" w:rsidRPr="00A35868" w:rsidRDefault="00A35868" w:rsidP="007B5E30">
            <w:pPr>
              <w:pStyle w:val="Tabletext"/>
              <w:jc w:val="center"/>
              <w:rPr>
                <w:highlight w:val="black"/>
              </w:rPr>
            </w:pPr>
            <w:r>
              <w:rPr>
                <w:noProof/>
                <w:color w:val="000000"/>
                <w:highlight w:val="black"/>
              </w:rPr>
              <w:t>'''''''''''''''</w:t>
            </w:r>
          </w:p>
        </w:tc>
        <w:tc>
          <w:tcPr>
            <w:tcW w:w="1186" w:type="pct"/>
            <w:vAlign w:val="center"/>
          </w:tcPr>
          <w:p w:rsidR="007B5E30" w:rsidRPr="00A35868" w:rsidRDefault="00A35868" w:rsidP="007B5E30">
            <w:pPr>
              <w:pStyle w:val="Tabletext"/>
              <w:jc w:val="center"/>
              <w:rPr>
                <w:highlight w:val="black"/>
              </w:rPr>
            </w:pPr>
            <w:r>
              <w:rPr>
                <w:noProof/>
                <w:color w:val="000000"/>
                <w:highlight w:val="black"/>
              </w:rPr>
              <w:t>''''''''''''''''</w:t>
            </w:r>
          </w:p>
        </w:tc>
        <w:tc>
          <w:tcPr>
            <w:tcW w:w="1271" w:type="pct"/>
            <w:vAlign w:val="center"/>
          </w:tcPr>
          <w:p w:rsidR="007B5E30" w:rsidRPr="00F4213A" w:rsidRDefault="007B5E30" w:rsidP="007B5E30">
            <w:pPr>
              <w:pStyle w:val="Tabletext"/>
              <w:jc w:val="center"/>
            </w:pPr>
            <w:r w:rsidRPr="00F4213A">
              <w:t>-</w:t>
            </w:r>
            <w:r w:rsidR="00A35868">
              <w:rPr>
                <w:noProof/>
                <w:color w:val="000000"/>
                <w:highlight w:val="black"/>
              </w:rPr>
              <w:t>'''''''''''''''''</w:t>
            </w:r>
          </w:p>
        </w:tc>
      </w:tr>
      <w:tr w:rsidR="007B5E30" w:rsidRPr="00F4213A" w:rsidTr="007B5E30">
        <w:tc>
          <w:tcPr>
            <w:tcW w:w="3729" w:type="pct"/>
            <w:gridSpan w:val="3"/>
          </w:tcPr>
          <w:p w:rsidR="007B5E30" w:rsidRPr="00F4213A" w:rsidRDefault="007B5E30" w:rsidP="004A15DD">
            <w:pPr>
              <w:rPr>
                <w:rFonts w:ascii="Arial Narrow" w:hAnsi="Arial Narrow"/>
                <w:b/>
                <w:sz w:val="20"/>
              </w:rPr>
            </w:pPr>
            <w:r w:rsidRPr="00F4213A">
              <w:rPr>
                <w:rFonts w:ascii="Arial Narrow" w:hAnsi="Arial Narrow"/>
                <w:b/>
                <w:sz w:val="20"/>
              </w:rPr>
              <w:t xml:space="preserve">Incremental cost/first MM event per </w:t>
            </w:r>
            <w:r w:rsidR="006C722C" w:rsidRPr="00F4213A">
              <w:rPr>
                <w:rFonts w:ascii="Arial Narrow" w:hAnsi="Arial Narrow"/>
                <w:b/>
                <w:sz w:val="20"/>
              </w:rPr>
              <w:t>person-year</w:t>
            </w:r>
            <w:r w:rsidRPr="00F4213A">
              <w:rPr>
                <w:rFonts w:ascii="Arial Narrow" w:hAnsi="Arial Narrow"/>
                <w:b/>
                <w:sz w:val="20"/>
              </w:rPr>
              <w:t xml:space="preserve"> prevented*</w:t>
            </w:r>
          </w:p>
        </w:tc>
        <w:tc>
          <w:tcPr>
            <w:tcW w:w="1271" w:type="pct"/>
          </w:tcPr>
          <w:p w:rsidR="007B5E30" w:rsidRPr="00F4213A" w:rsidRDefault="007B5E30" w:rsidP="007B5E30">
            <w:pPr>
              <w:jc w:val="center"/>
              <w:rPr>
                <w:rFonts w:ascii="Arial Narrow" w:hAnsi="Arial Narrow"/>
                <w:b/>
                <w:sz w:val="20"/>
              </w:rPr>
            </w:pPr>
            <w:r w:rsidRPr="00F4213A">
              <w:rPr>
                <w:rFonts w:ascii="Arial Narrow" w:hAnsi="Arial Narrow"/>
                <w:b/>
                <w:sz w:val="20"/>
              </w:rPr>
              <w:t>$</w:t>
            </w:r>
            <w:r w:rsidR="00A35868">
              <w:rPr>
                <w:rFonts w:ascii="Arial Narrow" w:hAnsi="Arial Narrow"/>
                <w:b/>
                <w:noProof/>
                <w:color w:val="000000"/>
                <w:sz w:val="20"/>
                <w:highlight w:val="black"/>
              </w:rPr>
              <w:t>'''''''''''''''</w:t>
            </w:r>
          </w:p>
        </w:tc>
      </w:tr>
    </w:tbl>
    <w:p w:rsidR="007B5E30" w:rsidRPr="00F4213A" w:rsidRDefault="007B5E30" w:rsidP="007B5E30">
      <w:pPr>
        <w:pStyle w:val="TableFooter"/>
        <w:ind w:left="709"/>
      </w:pPr>
      <w:r w:rsidRPr="00F4213A">
        <w:t>DPMQ = dispensed price for maximum quantity; MM = morbidity or mortality; PAH = pulmonary arterial hypertension; WHO FC = World Health Organisation Functional class</w:t>
      </w:r>
    </w:p>
    <w:p w:rsidR="00AF2404" w:rsidRPr="00F4213A" w:rsidRDefault="007B5E30" w:rsidP="00AC2CB0">
      <w:pPr>
        <w:pStyle w:val="TableFooter"/>
        <w:ind w:left="709"/>
      </w:pPr>
      <w:r w:rsidRPr="00F4213A">
        <w:rPr>
          <w:vertAlign w:val="superscript"/>
        </w:rPr>
        <w:t>a</w:t>
      </w:r>
      <w:r w:rsidRPr="00F4213A">
        <w:t xml:space="preserve"> Weighted cost based on 23% private and 77% public</w:t>
      </w:r>
      <w:r w:rsidR="00AC2CB0">
        <w:t xml:space="preserve">. </w:t>
      </w:r>
      <w:r w:rsidR="00AF2404" w:rsidRPr="00F4213A">
        <w:rPr>
          <w:vertAlign w:val="superscript"/>
        </w:rPr>
        <w:t>b</w:t>
      </w:r>
      <w:r w:rsidR="00AF2404" w:rsidRPr="00F4213A">
        <w:t xml:space="preserve"> The submission proposed a Special Pricing Arrangement in which the sponsor would provide a rebate of $</w:t>
      </w:r>
      <w:r w:rsidR="00A35868">
        <w:rPr>
          <w:noProof/>
          <w:color w:val="000000"/>
          <w:highlight w:val="black"/>
        </w:rPr>
        <w:t>''''''''''''''</w:t>
      </w:r>
      <w:r w:rsidR="00AF2404" w:rsidRPr="00F4213A">
        <w:t xml:space="preserve"> per prescription of selexipag.</w:t>
      </w:r>
    </w:p>
    <w:p w:rsidR="007B5E30" w:rsidRPr="00F4213A" w:rsidRDefault="007B5E30" w:rsidP="007B5E30">
      <w:pPr>
        <w:pStyle w:val="TableFooter"/>
        <w:ind w:left="709"/>
      </w:pPr>
      <w:r w:rsidRPr="00F4213A">
        <w:t>* Over the duration of the trial</w:t>
      </w:r>
    </w:p>
    <w:p w:rsidR="00A5358D" w:rsidRPr="00F4213A" w:rsidRDefault="007B5E30" w:rsidP="00A5358D">
      <w:pPr>
        <w:pStyle w:val="TableFooter"/>
        <w:ind w:left="709"/>
      </w:pPr>
      <w:r w:rsidRPr="00F4213A">
        <w:t xml:space="preserve">Source: </w:t>
      </w:r>
      <w:r w:rsidR="00A5358D" w:rsidRPr="00F4213A">
        <w:t xml:space="preserve">Table D.1-3, p96 of the submission; </w:t>
      </w:r>
      <w:r w:rsidR="00F4213A" w:rsidRPr="00F4213A">
        <w:t>costs were re</w:t>
      </w:r>
      <w:r w:rsidR="00A5358D" w:rsidRPr="00F4213A">
        <w:t>calculated during the evaluation.</w:t>
      </w:r>
    </w:p>
    <w:p w:rsidR="003F58FF" w:rsidRDefault="003F58FF" w:rsidP="007B5E30">
      <w:pPr>
        <w:ind w:left="709"/>
      </w:pPr>
    </w:p>
    <w:p w:rsidR="009100CE" w:rsidRDefault="00FA5AF7" w:rsidP="00FA5AF7">
      <w:pPr>
        <w:pStyle w:val="ListParagraph"/>
        <w:widowControl/>
        <w:numPr>
          <w:ilvl w:val="1"/>
          <w:numId w:val="2"/>
        </w:numPr>
      </w:pPr>
      <w:r w:rsidRPr="00056E09">
        <w:t>To assist in the interpretation of this ICER, the submission provided a frame of reference for the acceptability of the ICER obtained for selexipag over placebo, by providing the incremental cost per incremental reduction in the rate of first MM events for macitentan when used as monotherapy in the population for whom macitentan is PBS listed, i.e. the population in which the PBAC considered that the cost-effectiveness of macitentan was acceptable.</w:t>
      </w:r>
      <w:r w:rsidRPr="00FA5AF7">
        <w:rPr>
          <w:i/>
        </w:rPr>
        <w:t xml:space="preserve"> </w:t>
      </w:r>
      <w:r>
        <w:t xml:space="preserve">The data for this analysis were sourced from the SERAPHIN trial, which was included as the key trial in the March 2014 macitentan submission to the PBAC. </w:t>
      </w:r>
    </w:p>
    <w:p w:rsidR="009100CE" w:rsidRDefault="009100CE" w:rsidP="009100CE">
      <w:pPr>
        <w:pStyle w:val="ListParagraph"/>
        <w:widowControl/>
      </w:pPr>
    </w:p>
    <w:p w:rsidR="00933A90" w:rsidRPr="007C3AE9" w:rsidRDefault="009100CE" w:rsidP="00590A3C">
      <w:pPr>
        <w:pStyle w:val="ListParagraph"/>
        <w:widowControl/>
        <w:numPr>
          <w:ilvl w:val="1"/>
          <w:numId w:val="2"/>
        </w:numPr>
      </w:pPr>
      <w:r w:rsidRPr="007C3AE9">
        <w:t>The ESC acknowledged that the ‘frame of reference’ was provided to give context to the ICER, and agreed that in some cases this approach would assist in the interpretation of the economic evaluation, in particular where results were not able to be presented in terms of survival or quality of life However, in this case the ESC considered that the comparison of the selexipag ICER with the ‘corresponding’ macitentan ICER was not appropriate or informative.</w:t>
      </w:r>
    </w:p>
    <w:p w:rsidR="00933A90" w:rsidRPr="007C3AE9" w:rsidRDefault="00933A90" w:rsidP="00590A3C">
      <w:pPr>
        <w:pStyle w:val="ListParagraph"/>
        <w:widowControl/>
        <w:numPr>
          <w:ilvl w:val="0"/>
          <w:numId w:val="12"/>
        </w:numPr>
        <w:rPr>
          <w:szCs w:val="22"/>
        </w:rPr>
      </w:pPr>
      <w:r w:rsidRPr="007C3AE9">
        <w:rPr>
          <w:szCs w:val="22"/>
        </w:rPr>
        <w:t xml:space="preserve">Macitentan was recommended for listing for use as monotherapy in patients with WHO FC III/IV PAH on the basis of non-inferiority to bosentan for the outcome of 6MWD (Macitentan PSD, March 2014 PBAC meeting). </w:t>
      </w:r>
      <w:r w:rsidR="009100CE" w:rsidRPr="007C3AE9">
        <w:t>The requested restriction for selexipag is not consistent with macitentan’s current restriction. Cost effectiveness in this setting can not necessarily be generalised to use in combination</w:t>
      </w:r>
    </w:p>
    <w:p w:rsidR="00933A90" w:rsidRPr="007C3AE9" w:rsidRDefault="00933A90" w:rsidP="00590A3C">
      <w:pPr>
        <w:pStyle w:val="ListParagraph"/>
        <w:widowControl/>
        <w:numPr>
          <w:ilvl w:val="0"/>
          <w:numId w:val="12"/>
        </w:numPr>
        <w:rPr>
          <w:szCs w:val="22"/>
        </w:rPr>
      </w:pPr>
      <w:r w:rsidRPr="007C3AE9">
        <w:rPr>
          <w:szCs w:val="22"/>
        </w:rPr>
        <w:t xml:space="preserve">No information was provided as to how well the incremental cost per incremental reduction in the number of </w:t>
      </w:r>
      <w:r w:rsidR="000C7A54" w:rsidRPr="007C3AE9">
        <w:rPr>
          <w:szCs w:val="22"/>
        </w:rPr>
        <w:t xml:space="preserve">first </w:t>
      </w:r>
      <w:r w:rsidRPr="007C3AE9">
        <w:rPr>
          <w:szCs w:val="22"/>
        </w:rPr>
        <w:t xml:space="preserve">MM events per person-year would map to the incremental cost per </w:t>
      </w:r>
      <w:r w:rsidR="00C279A3" w:rsidRPr="007C3AE9">
        <w:rPr>
          <w:szCs w:val="22"/>
        </w:rPr>
        <w:t>quality-adjusted life-year (</w:t>
      </w:r>
      <w:r w:rsidRPr="007C3AE9">
        <w:rPr>
          <w:szCs w:val="22"/>
        </w:rPr>
        <w:t>QALY</w:t>
      </w:r>
      <w:r w:rsidR="00C279A3" w:rsidRPr="007C3AE9">
        <w:rPr>
          <w:szCs w:val="22"/>
        </w:rPr>
        <w:t>)</w:t>
      </w:r>
      <w:r w:rsidRPr="007C3AE9">
        <w:rPr>
          <w:szCs w:val="22"/>
        </w:rPr>
        <w:t xml:space="preserve"> gained; and</w:t>
      </w:r>
    </w:p>
    <w:p w:rsidR="00933A90" w:rsidRPr="007C3AE9" w:rsidRDefault="00933A90" w:rsidP="00590A3C">
      <w:pPr>
        <w:pStyle w:val="ListParagraph"/>
        <w:widowControl/>
        <w:numPr>
          <w:ilvl w:val="0"/>
          <w:numId w:val="12"/>
        </w:numPr>
        <w:rPr>
          <w:szCs w:val="22"/>
        </w:rPr>
      </w:pPr>
      <w:r w:rsidRPr="007C3AE9">
        <w:rPr>
          <w:szCs w:val="22"/>
        </w:rPr>
        <w:t>The incremental effectiveness, in terms of the difference in the number of first MM events per person-year, may vary over time. Therefore, unless the incremental effectiveness is determined over the likely duration of treatment in the target population, it is both difficult to interpret, and of limited external applicability. Given the chronic nature of PAH, treatment is likely to be life-long.</w:t>
      </w:r>
    </w:p>
    <w:p w:rsidR="00187074" w:rsidRPr="00187074" w:rsidRDefault="00187074" w:rsidP="00187074">
      <w:pPr>
        <w:pStyle w:val="ListParagraph"/>
        <w:widowControl/>
        <w:rPr>
          <w:szCs w:val="22"/>
        </w:rPr>
      </w:pPr>
    </w:p>
    <w:p w:rsidR="00E5624C" w:rsidRPr="004A15DD" w:rsidRDefault="00933A90" w:rsidP="004A15DD">
      <w:pPr>
        <w:pStyle w:val="ListParagraph"/>
        <w:widowControl/>
        <w:numPr>
          <w:ilvl w:val="1"/>
          <w:numId w:val="2"/>
        </w:numPr>
        <w:rPr>
          <w:szCs w:val="22"/>
        </w:rPr>
      </w:pPr>
      <w:r w:rsidRPr="00F4213A">
        <w:lastRenderedPageBreak/>
        <w:t xml:space="preserve">The approach taken to estimate the incremental treatment effect of macitentan compared to placebo was the same as that used for selexipag. </w:t>
      </w:r>
      <w:r w:rsidR="002D7012" w:rsidRPr="00F4213A">
        <w:t xml:space="preserve">Consistent with that presented for </w:t>
      </w:r>
      <w:r w:rsidRPr="00F4213A">
        <w:t xml:space="preserve">selexipag, data presented in the SERAPHIN CSR indicated that the </w:t>
      </w:r>
      <w:r w:rsidRPr="007C3AE9">
        <w:t xml:space="preserve">difference in the number of first MM events per person-year between the treatment arms decreased after the first 6 months of </w:t>
      </w:r>
      <w:r w:rsidR="009F4FA3" w:rsidRPr="007C3AE9">
        <w:t>treatment</w:t>
      </w:r>
      <w:r w:rsidRPr="007C3AE9">
        <w:t>.</w:t>
      </w:r>
      <w:r w:rsidR="00B54978" w:rsidRPr="007C3AE9">
        <w:t xml:space="preserve"> </w:t>
      </w:r>
    </w:p>
    <w:p w:rsidR="009100CE" w:rsidRPr="007C3AE9" w:rsidRDefault="009100CE" w:rsidP="009100CE">
      <w:pPr>
        <w:pStyle w:val="ListParagraph"/>
        <w:widowControl/>
        <w:rPr>
          <w:szCs w:val="22"/>
        </w:rPr>
      </w:pPr>
    </w:p>
    <w:p w:rsidR="009100CE" w:rsidRPr="007C3AE9" w:rsidRDefault="009100CE" w:rsidP="00187074">
      <w:pPr>
        <w:pStyle w:val="ListParagraph"/>
        <w:widowControl/>
        <w:numPr>
          <w:ilvl w:val="1"/>
          <w:numId w:val="2"/>
        </w:numPr>
      </w:pPr>
      <w:r w:rsidRPr="007C3AE9">
        <w:t xml:space="preserve">The following table compares the results for time to first MM event in the GRIPHON (selexipag) and SERAPHIN (macitentan) studies. </w:t>
      </w:r>
      <w:r w:rsidR="004A15DD" w:rsidRPr="007C3AE9">
        <w:t xml:space="preserve">The </w:t>
      </w:r>
      <w:r w:rsidR="004A15DD">
        <w:t xml:space="preserve">ESC noted that the </w:t>
      </w:r>
      <w:r w:rsidR="004A15DD" w:rsidRPr="007C3AE9">
        <w:t xml:space="preserve">definitions of the MM events </w:t>
      </w:r>
      <w:r w:rsidR="004A15DD">
        <w:t>were not entirely consistent</w:t>
      </w:r>
      <w:r w:rsidR="004A15DD" w:rsidRPr="007C3AE9">
        <w:t xml:space="preserve"> between the selexipag and macitentan studies.</w:t>
      </w:r>
    </w:p>
    <w:p w:rsidR="009100CE" w:rsidRPr="007C3AE9" w:rsidRDefault="009100CE" w:rsidP="00E5624C"/>
    <w:p w:rsidR="00E5624C" w:rsidRPr="009C2864" w:rsidRDefault="00AC2CB0" w:rsidP="00AC2CB0">
      <w:pPr>
        <w:pStyle w:val="Caption"/>
        <w:ind w:left="720"/>
      </w:pPr>
      <w:r>
        <w:t xml:space="preserve">Table 8: </w:t>
      </w:r>
      <w:r w:rsidR="00E5624C">
        <w:t>Comparison of results for time to first CEC-confirmed MM event in the GRIPHON and SERAPHIN trials, ITT analysis.</w:t>
      </w:r>
    </w:p>
    <w:tbl>
      <w:tblPr>
        <w:tblStyle w:val="TableGrid"/>
        <w:tblW w:w="4558" w:type="pct"/>
        <w:tblInd w:w="817" w:type="dxa"/>
        <w:tblLook w:val="04A0" w:firstRow="1" w:lastRow="0" w:firstColumn="1" w:lastColumn="0" w:noHBand="0" w:noVBand="1"/>
        <w:tblCaption w:val="Table 8: Comparison of results for time to first CEC-confirmed MM event in the GRIPHON and SERAPHIN trials, ITT analysis."/>
      </w:tblPr>
      <w:tblGrid>
        <w:gridCol w:w="2126"/>
        <w:gridCol w:w="1560"/>
        <w:gridCol w:w="1560"/>
        <w:gridCol w:w="1700"/>
        <w:gridCol w:w="1479"/>
      </w:tblGrid>
      <w:tr w:rsidR="00E5624C" w:rsidRPr="005853B8" w:rsidTr="00DE38F7">
        <w:trPr>
          <w:tblHeader/>
        </w:trPr>
        <w:tc>
          <w:tcPr>
            <w:tcW w:w="1261" w:type="pct"/>
          </w:tcPr>
          <w:p w:rsidR="00E5624C" w:rsidRPr="005853B8" w:rsidRDefault="00E5624C" w:rsidP="00C60933">
            <w:pPr>
              <w:pStyle w:val="Tabletext"/>
              <w:rPr>
                <w:b/>
              </w:rPr>
            </w:pPr>
          </w:p>
        </w:tc>
        <w:tc>
          <w:tcPr>
            <w:tcW w:w="1852" w:type="pct"/>
            <w:gridSpan w:val="2"/>
          </w:tcPr>
          <w:p w:rsidR="00E5624C" w:rsidRDefault="00E5624C" w:rsidP="00C60933">
            <w:pPr>
              <w:pStyle w:val="Tabletext"/>
              <w:jc w:val="center"/>
              <w:rPr>
                <w:b/>
              </w:rPr>
            </w:pPr>
            <w:r>
              <w:rPr>
                <w:b/>
              </w:rPr>
              <w:t>GRIPHON</w:t>
            </w:r>
          </w:p>
        </w:tc>
        <w:tc>
          <w:tcPr>
            <w:tcW w:w="1887" w:type="pct"/>
            <w:gridSpan w:val="2"/>
          </w:tcPr>
          <w:p w:rsidR="00E5624C" w:rsidRDefault="00E5624C" w:rsidP="00C60933">
            <w:pPr>
              <w:pStyle w:val="Tabletext"/>
              <w:jc w:val="center"/>
              <w:rPr>
                <w:b/>
              </w:rPr>
            </w:pPr>
            <w:r>
              <w:rPr>
                <w:b/>
              </w:rPr>
              <w:t>SERAPHIN</w:t>
            </w:r>
          </w:p>
        </w:tc>
      </w:tr>
      <w:tr w:rsidR="00E5624C" w:rsidRPr="005853B8" w:rsidTr="00AC2CB0">
        <w:tc>
          <w:tcPr>
            <w:tcW w:w="1261" w:type="pct"/>
            <w:tcBorders>
              <w:bottom w:val="single" w:sz="4" w:space="0" w:color="auto"/>
            </w:tcBorders>
          </w:tcPr>
          <w:p w:rsidR="00E5624C" w:rsidRPr="005853B8" w:rsidRDefault="00E5624C" w:rsidP="00C60933">
            <w:pPr>
              <w:pStyle w:val="Tabletext"/>
              <w:rPr>
                <w:b/>
              </w:rPr>
            </w:pPr>
          </w:p>
        </w:tc>
        <w:tc>
          <w:tcPr>
            <w:tcW w:w="926" w:type="pct"/>
            <w:tcBorders>
              <w:bottom w:val="single" w:sz="4" w:space="0" w:color="auto"/>
            </w:tcBorders>
          </w:tcPr>
          <w:p w:rsidR="00E5624C" w:rsidRDefault="00E5624C" w:rsidP="00C60933">
            <w:pPr>
              <w:pStyle w:val="Tabletext"/>
              <w:jc w:val="center"/>
              <w:rPr>
                <w:b/>
              </w:rPr>
            </w:pPr>
            <w:r>
              <w:rPr>
                <w:b/>
              </w:rPr>
              <w:t>Selexipag ± BGT</w:t>
            </w:r>
          </w:p>
          <w:p w:rsidR="00E5624C" w:rsidRDefault="00E5624C" w:rsidP="00C60933">
            <w:pPr>
              <w:pStyle w:val="Tabletext"/>
              <w:jc w:val="center"/>
              <w:rPr>
                <w:b/>
              </w:rPr>
            </w:pPr>
            <w:r>
              <w:rPr>
                <w:b/>
              </w:rPr>
              <w:t>N=574</w:t>
            </w:r>
          </w:p>
          <w:p w:rsidR="00E5624C" w:rsidRPr="005853B8" w:rsidRDefault="00E5624C" w:rsidP="00C60933">
            <w:pPr>
              <w:pStyle w:val="Tabletext"/>
              <w:jc w:val="center"/>
              <w:rPr>
                <w:b/>
              </w:rPr>
            </w:pPr>
            <w:r>
              <w:rPr>
                <w:b/>
              </w:rPr>
              <w:t>n (%)</w:t>
            </w:r>
          </w:p>
        </w:tc>
        <w:tc>
          <w:tcPr>
            <w:tcW w:w="926" w:type="pct"/>
            <w:tcBorders>
              <w:bottom w:val="single" w:sz="4" w:space="0" w:color="auto"/>
            </w:tcBorders>
          </w:tcPr>
          <w:p w:rsidR="00E5624C" w:rsidRDefault="00E5624C" w:rsidP="00C60933">
            <w:pPr>
              <w:pStyle w:val="Tabletext"/>
              <w:jc w:val="center"/>
              <w:rPr>
                <w:b/>
              </w:rPr>
            </w:pPr>
            <w:r>
              <w:rPr>
                <w:b/>
              </w:rPr>
              <w:t>Placebo ± BGT</w:t>
            </w:r>
          </w:p>
          <w:p w:rsidR="00E5624C" w:rsidRDefault="00E5624C" w:rsidP="00C60933">
            <w:pPr>
              <w:pStyle w:val="Tabletext"/>
              <w:jc w:val="center"/>
              <w:rPr>
                <w:b/>
              </w:rPr>
            </w:pPr>
            <w:r>
              <w:rPr>
                <w:b/>
              </w:rPr>
              <w:t>N=582</w:t>
            </w:r>
          </w:p>
          <w:p w:rsidR="00E5624C" w:rsidRPr="005853B8" w:rsidRDefault="00E5624C" w:rsidP="00C60933">
            <w:pPr>
              <w:pStyle w:val="Tabletext"/>
              <w:jc w:val="center"/>
              <w:rPr>
                <w:b/>
              </w:rPr>
            </w:pPr>
            <w:r>
              <w:rPr>
                <w:b/>
              </w:rPr>
              <w:t>n (%)</w:t>
            </w:r>
          </w:p>
        </w:tc>
        <w:tc>
          <w:tcPr>
            <w:tcW w:w="1009" w:type="pct"/>
            <w:tcBorders>
              <w:bottom w:val="single" w:sz="4" w:space="0" w:color="auto"/>
            </w:tcBorders>
          </w:tcPr>
          <w:p w:rsidR="00E5624C" w:rsidRDefault="00E5624C" w:rsidP="00C60933">
            <w:pPr>
              <w:pStyle w:val="Tabletext"/>
              <w:jc w:val="center"/>
              <w:rPr>
                <w:b/>
              </w:rPr>
            </w:pPr>
            <w:r>
              <w:rPr>
                <w:b/>
              </w:rPr>
              <w:t>Macitentan ± BGT</w:t>
            </w:r>
          </w:p>
          <w:p w:rsidR="00E5624C" w:rsidRDefault="00E5624C" w:rsidP="00C60933">
            <w:pPr>
              <w:pStyle w:val="Tabletext"/>
              <w:jc w:val="center"/>
              <w:rPr>
                <w:b/>
              </w:rPr>
            </w:pPr>
            <w:r>
              <w:rPr>
                <w:b/>
              </w:rPr>
              <w:t>N=242</w:t>
            </w:r>
          </w:p>
          <w:p w:rsidR="00E5624C" w:rsidRDefault="00E5624C" w:rsidP="00C60933">
            <w:pPr>
              <w:pStyle w:val="Tabletext"/>
              <w:jc w:val="center"/>
              <w:rPr>
                <w:b/>
              </w:rPr>
            </w:pPr>
            <w:r>
              <w:rPr>
                <w:b/>
              </w:rPr>
              <w:t>n (%)</w:t>
            </w:r>
          </w:p>
        </w:tc>
        <w:tc>
          <w:tcPr>
            <w:tcW w:w="878" w:type="pct"/>
            <w:tcBorders>
              <w:bottom w:val="single" w:sz="4" w:space="0" w:color="auto"/>
            </w:tcBorders>
          </w:tcPr>
          <w:p w:rsidR="00E5624C" w:rsidRDefault="00E5624C" w:rsidP="00C60933">
            <w:pPr>
              <w:pStyle w:val="Tabletext"/>
              <w:jc w:val="center"/>
              <w:rPr>
                <w:b/>
              </w:rPr>
            </w:pPr>
            <w:r>
              <w:rPr>
                <w:b/>
              </w:rPr>
              <w:t>Placebo ± BGT</w:t>
            </w:r>
          </w:p>
          <w:p w:rsidR="00E5624C" w:rsidRDefault="00E5624C" w:rsidP="00C60933">
            <w:pPr>
              <w:pStyle w:val="Tabletext"/>
              <w:jc w:val="center"/>
              <w:rPr>
                <w:b/>
              </w:rPr>
            </w:pPr>
            <w:r>
              <w:rPr>
                <w:b/>
              </w:rPr>
              <w:t>N=250</w:t>
            </w:r>
          </w:p>
          <w:p w:rsidR="00E5624C" w:rsidRDefault="00E5624C" w:rsidP="00C60933">
            <w:pPr>
              <w:pStyle w:val="Tabletext"/>
              <w:jc w:val="center"/>
              <w:rPr>
                <w:b/>
              </w:rPr>
            </w:pPr>
            <w:r>
              <w:rPr>
                <w:b/>
              </w:rPr>
              <w:t>n (%)</w:t>
            </w:r>
          </w:p>
        </w:tc>
      </w:tr>
      <w:tr w:rsidR="00E5624C" w:rsidRPr="00802039" w:rsidTr="00AC2CB0">
        <w:tc>
          <w:tcPr>
            <w:tcW w:w="1261" w:type="pct"/>
            <w:tcBorders>
              <w:bottom w:val="double" w:sz="4" w:space="0" w:color="auto"/>
            </w:tcBorders>
          </w:tcPr>
          <w:p w:rsidR="00E5624C" w:rsidRDefault="00E5624C" w:rsidP="00AC2CB0">
            <w:pPr>
              <w:pStyle w:val="Tabletext"/>
            </w:pPr>
            <w:r>
              <w:t>Duration of follow-up (weeks)</w:t>
            </w:r>
          </w:p>
          <w:p w:rsidR="00E5624C" w:rsidRPr="00802039" w:rsidRDefault="00E5624C" w:rsidP="00AC2CB0">
            <w:pPr>
              <w:pStyle w:val="Tabletext"/>
            </w:pPr>
            <w:r>
              <w:t xml:space="preserve">Median (interquartile range) </w:t>
            </w:r>
          </w:p>
        </w:tc>
        <w:tc>
          <w:tcPr>
            <w:tcW w:w="926" w:type="pct"/>
            <w:tcBorders>
              <w:bottom w:val="double" w:sz="4" w:space="0" w:color="auto"/>
            </w:tcBorders>
          </w:tcPr>
          <w:p w:rsidR="00AC2CB0" w:rsidRDefault="00AC2CB0" w:rsidP="00AC2CB0">
            <w:pPr>
              <w:jc w:val="center"/>
              <w:rPr>
                <w:rFonts w:ascii="Arial Narrow" w:hAnsi="Arial Narrow"/>
                <w:sz w:val="20"/>
              </w:rPr>
            </w:pPr>
          </w:p>
          <w:p w:rsidR="00E5624C" w:rsidRDefault="00E5624C" w:rsidP="00AC2CB0">
            <w:pPr>
              <w:jc w:val="center"/>
              <w:rPr>
                <w:rFonts w:ascii="Arial Narrow" w:hAnsi="Arial Narrow"/>
                <w:sz w:val="20"/>
              </w:rPr>
            </w:pPr>
            <w:r>
              <w:rPr>
                <w:rFonts w:ascii="Arial Narrow" w:hAnsi="Arial Narrow"/>
                <w:sz w:val="20"/>
              </w:rPr>
              <w:t>70.7</w:t>
            </w:r>
          </w:p>
          <w:p w:rsidR="00E5624C" w:rsidRPr="00802039" w:rsidRDefault="00E5624C" w:rsidP="00AC2CB0">
            <w:pPr>
              <w:pStyle w:val="Tabletext"/>
              <w:tabs>
                <w:tab w:val="left" w:pos="1245"/>
              </w:tabs>
              <w:jc w:val="center"/>
            </w:pPr>
            <w:r>
              <w:t>(32.0, 117.1)</w:t>
            </w:r>
          </w:p>
        </w:tc>
        <w:tc>
          <w:tcPr>
            <w:tcW w:w="926" w:type="pct"/>
            <w:tcBorders>
              <w:bottom w:val="double" w:sz="4" w:space="0" w:color="auto"/>
            </w:tcBorders>
          </w:tcPr>
          <w:p w:rsidR="00AC2CB0" w:rsidRDefault="00AC2CB0" w:rsidP="00AC2CB0">
            <w:pPr>
              <w:jc w:val="center"/>
              <w:rPr>
                <w:rFonts w:ascii="Arial Narrow" w:hAnsi="Arial Narrow"/>
                <w:sz w:val="20"/>
              </w:rPr>
            </w:pPr>
          </w:p>
          <w:p w:rsidR="00AC2CB0" w:rsidRPr="00AC2CB0" w:rsidRDefault="00E5624C" w:rsidP="00AC2CB0">
            <w:pPr>
              <w:jc w:val="center"/>
              <w:rPr>
                <w:rFonts w:ascii="Arial Narrow" w:hAnsi="Arial Narrow"/>
                <w:sz w:val="20"/>
              </w:rPr>
            </w:pPr>
            <w:r>
              <w:rPr>
                <w:rFonts w:ascii="Arial Narrow" w:hAnsi="Arial Narrow"/>
                <w:sz w:val="20"/>
              </w:rPr>
              <w:t>63.7</w:t>
            </w:r>
          </w:p>
          <w:p w:rsidR="00E5624C" w:rsidRPr="00802039" w:rsidRDefault="00E5624C" w:rsidP="00AC2CB0">
            <w:pPr>
              <w:pStyle w:val="Tabletext"/>
              <w:jc w:val="center"/>
            </w:pPr>
            <w:r>
              <w:t>(28.6, 107.1)</w:t>
            </w:r>
          </w:p>
        </w:tc>
        <w:tc>
          <w:tcPr>
            <w:tcW w:w="1009" w:type="pct"/>
            <w:tcBorders>
              <w:bottom w:val="double" w:sz="4" w:space="0" w:color="auto"/>
            </w:tcBorders>
          </w:tcPr>
          <w:p w:rsidR="00AC2CB0" w:rsidRDefault="00AC2CB0" w:rsidP="00AC2CB0">
            <w:pPr>
              <w:jc w:val="center"/>
              <w:rPr>
                <w:rFonts w:ascii="Arial Narrow" w:hAnsi="Arial Narrow"/>
                <w:sz w:val="20"/>
              </w:rPr>
            </w:pPr>
          </w:p>
          <w:p w:rsidR="00E5624C" w:rsidRDefault="00E5624C" w:rsidP="00AC2CB0">
            <w:pPr>
              <w:jc w:val="center"/>
              <w:rPr>
                <w:rFonts w:ascii="Arial Narrow" w:hAnsi="Arial Narrow"/>
                <w:sz w:val="20"/>
              </w:rPr>
            </w:pPr>
            <w:r>
              <w:rPr>
                <w:rFonts w:ascii="Arial Narrow" w:hAnsi="Arial Narrow"/>
                <w:sz w:val="20"/>
              </w:rPr>
              <w:t>118.4</w:t>
            </w:r>
          </w:p>
          <w:p w:rsidR="00E5624C" w:rsidRPr="00802039" w:rsidRDefault="00E5624C" w:rsidP="00AC2CB0">
            <w:pPr>
              <w:pStyle w:val="Tabletext"/>
              <w:jc w:val="center"/>
            </w:pPr>
            <w:r>
              <w:t>(60.0, 144.0)</w:t>
            </w:r>
          </w:p>
        </w:tc>
        <w:tc>
          <w:tcPr>
            <w:tcW w:w="878" w:type="pct"/>
            <w:tcBorders>
              <w:bottom w:val="double" w:sz="4" w:space="0" w:color="auto"/>
            </w:tcBorders>
          </w:tcPr>
          <w:p w:rsidR="00AC2CB0" w:rsidRDefault="00AC2CB0" w:rsidP="00AC2CB0">
            <w:pPr>
              <w:jc w:val="center"/>
              <w:rPr>
                <w:rFonts w:ascii="Arial Narrow" w:hAnsi="Arial Narrow"/>
                <w:sz w:val="20"/>
              </w:rPr>
            </w:pPr>
          </w:p>
          <w:p w:rsidR="00E5624C" w:rsidRDefault="00E5624C" w:rsidP="00AC2CB0">
            <w:pPr>
              <w:jc w:val="center"/>
              <w:rPr>
                <w:rFonts w:ascii="Arial Narrow" w:hAnsi="Arial Narrow"/>
                <w:sz w:val="20"/>
              </w:rPr>
            </w:pPr>
            <w:r>
              <w:rPr>
                <w:rFonts w:ascii="Arial Narrow" w:hAnsi="Arial Narrow"/>
                <w:sz w:val="20"/>
              </w:rPr>
              <w:t>101.3</w:t>
            </w:r>
          </w:p>
          <w:p w:rsidR="00E5624C" w:rsidRPr="00802039" w:rsidRDefault="00E5624C" w:rsidP="00AC2CB0">
            <w:pPr>
              <w:pStyle w:val="Tabletext"/>
              <w:jc w:val="center"/>
            </w:pPr>
            <w:r>
              <w:t>(30.0, 128.9)</w:t>
            </w:r>
          </w:p>
        </w:tc>
      </w:tr>
      <w:tr w:rsidR="00E5624C" w:rsidTr="00AC2CB0">
        <w:tc>
          <w:tcPr>
            <w:tcW w:w="1261" w:type="pct"/>
            <w:tcBorders>
              <w:top w:val="double" w:sz="4" w:space="0" w:color="auto"/>
              <w:bottom w:val="single" w:sz="4" w:space="0" w:color="auto"/>
            </w:tcBorders>
          </w:tcPr>
          <w:p w:rsidR="00E5624C" w:rsidRPr="00416DA8" w:rsidRDefault="00E5624C" w:rsidP="00AC2CB0">
            <w:pPr>
              <w:pStyle w:val="Tabletext"/>
              <w:rPr>
                <w:b/>
              </w:rPr>
            </w:pPr>
            <w:r w:rsidRPr="00416DA8">
              <w:rPr>
                <w:b/>
              </w:rPr>
              <w:t>Patients with CEC-confirmed MM event</w:t>
            </w:r>
          </w:p>
        </w:tc>
        <w:tc>
          <w:tcPr>
            <w:tcW w:w="926" w:type="pct"/>
            <w:tcBorders>
              <w:top w:val="double" w:sz="4" w:space="0" w:color="auto"/>
              <w:bottom w:val="single" w:sz="4" w:space="0" w:color="auto"/>
            </w:tcBorders>
          </w:tcPr>
          <w:p w:rsidR="00E5624C" w:rsidRDefault="00E5624C" w:rsidP="00C60933">
            <w:pPr>
              <w:pStyle w:val="Tabletext"/>
              <w:jc w:val="center"/>
            </w:pPr>
            <w:r>
              <w:t>155 (27.0%)</w:t>
            </w:r>
          </w:p>
        </w:tc>
        <w:tc>
          <w:tcPr>
            <w:tcW w:w="926" w:type="pct"/>
            <w:tcBorders>
              <w:top w:val="double" w:sz="4" w:space="0" w:color="auto"/>
              <w:bottom w:val="single" w:sz="4" w:space="0" w:color="auto"/>
            </w:tcBorders>
          </w:tcPr>
          <w:p w:rsidR="00E5624C" w:rsidRDefault="00E5624C" w:rsidP="00C60933">
            <w:pPr>
              <w:pStyle w:val="Tabletext"/>
              <w:jc w:val="center"/>
            </w:pPr>
            <w:r>
              <w:t>242 (41.6%)</w:t>
            </w:r>
          </w:p>
        </w:tc>
        <w:tc>
          <w:tcPr>
            <w:tcW w:w="1009" w:type="pct"/>
            <w:tcBorders>
              <w:top w:val="double" w:sz="4" w:space="0" w:color="auto"/>
              <w:bottom w:val="single" w:sz="4" w:space="0" w:color="auto"/>
            </w:tcBorders>
          </w:tcPr>
          <w:p w:rsidR="00E5624C" w:rsidRDefault="00E5624C" w:rsidP="00C60933">
            <w:pPr>
              <w:pStyle w:val="Tabletext"/>
              <w:jc w:val="center"/>
            </w:pPr>
            <w:r>
              <w:t>76 (31.4%)</w:t>
            </w:r>
          </w:p>
        </w:tc>
        <w:tc>
          <w:tcPr>
            <w:tcW w:w="878" w:type="pct"/>
            <w:tcBorders>
              <w:top w:val="double" w:sz="4" w:space="0" w:color="auto"/>
              <w:bottom w:val="single" w:sz="4" w:space="0" w:color="auto"/>
            </w:tcBorders>
          </w:tcPr>
          <w:p w:rsidR="00E5624C" w:rsidRDefault="00E5624C" w:rsidP="00C60933">
            <w:pPr>
              <w:pStyle w:val="Tabletext"/>
              <w:jc w:val="center"/>
            </w:pPr>
            <w:r>
              <w:t>116 (46.4%)</w:t>
            </w:r>
          </w:p>
        </w:tc>
      </w:tr>
      <w:tr w:rsidR="00E5624C" w:rsidTr="00AC2CB0">
        <w:tc>
          <w:tcPr>
            <w:tcW w:w="1261" w:type="pct"/>
            <w:tcBorders>
              <w:top w:val="single" w:sz="4" w:space="0" w:color="auto"/>
              <w:bottom w:val="single" w:sz="4" w:space="0" w:color="auto"/>
            </w:tcBorders>
          </w:tcPr>
          <w:p w:rsidR="00E5624C" w:rsidRPr="00402EA5" w:rsidRDefault="00E5624C" w:rsidP="00AC2CB0">
            <w:pPr>
              <w:pStyle w:val="Tabletext"/>
            </w:pPr>
            <w:r w:rsidRPr="00402EA5">
              <w:t xml:space="preserve">Hazard ratio </w:t>
            </w:r>
          </w:p>
          <w:p w:rsidR="00E5624C" w:rsidRPr="00416DA8" w:rsidRDefault="00E5624C" w:rsidP="00AC2CB0">
            <w:pPr>
              <w:pStyle w:val="Tabletext"/>
              <w:rPr>
                <w:b/>
              </w:rPr>
            </w:pPr>
            <w:r w:rsidRPr="00402EA5">
              <w:t>Log-rank p-value</w:t>
            </w:r>
          </w:p>
        </w:tc>
        <w:tc>
          <w:tcPr>
            <w:tcW w:w="1852" w:type="pct"/>
            <w:gridSpan w:val="2"/>
            <w:tcBorders>
              <w:top w:val="single" w:sz="4" w:space="0" w:color="auto"/>
              <w:bottom w:val="single" w:sz="4" w:space="0" w:color="auto"/>
            </w:tcBorders>
          </w:tcPr>
          <w:p w:rsidR="00E5624C" w:rsidRDefault="00E5624C" w:rsidP="00C60933">
            <w:pPr>
              <w:pStyle w:val="Tabletext"/>
              <w:jc w:val="center"/>
            </w:pPr>
            <w:r>
              <w:t>0.60 (99% CI: 0.46, 0.78)</w:t>
            </w:r>
          </w:p>
          <w:p w:rsidR="00E5624C" w:rsidRDefault="00E5624C" w:rsidP="00C60933">
            <w:pPr>
              <w:pStyle w:val="Tabletext"/>
              <w:jc w:val="center"/>
            </w:pPr>
            <w:r>
              <w:t>p&lt;0.0001</w:t>
            </w:r>
          </w:p>
        </w:tc>
        <w:tc>
          <w:tcPr>
            <w:tcW w:w="1887" w:type="pct"/>
            <w:gridSpan w:val="2"/>
            <w:tcBorders>
              <w:top w:val="single" w:sz="4" w:space="0" w:color="auto"/>
              <w:bottom w:val="single" w:sz="4" w:space="0" w:color="auto"/>
            </w:tcBorders>
          </w:tcPr>
          <w:p w:rsidR="00E5624C" w:rsidRDefault="00E5624C" w:rsidP="00C60933">
            <w:pPr>
              <w:pStyle w:val="Tabletext"/>
              <w:jc w:val="center"/>
            </w:pPr>
            <w:r>
              <w:t>0.55 (97.5% CI: 0.39, 0.76)</w:t>
            </w:r>
          </w:p>
          <w:p w:rsidR="00E5624C" w:rsidRDefault="00E5624C" w:rsidP="00C60933">
            <w:pPr>
              <w:pStyle w:val="Tabletext"/>
              <w:jc w:val="center"/>
            </w:pPr>
            <w:r>
              <w:t>p&lt;0.0001</w:t>
            </w:r>
          </w:p>
        </w:tc>
      </w:tr>
      <w:tr w:rsidR="00E5624C" w:rsidTr="00AC2CB0">
        <w:tc>
          <w:tcPr>
            <w:tcW w:w="5000" w:type="pct"/>
            <w:gridSpan w:val="5"/>
            <w:tcBorders>
              <w:top w:val="single" w:sz="4" w:space="0" w:color="auto"/>
            </w:tcBorders>
          </w:tcPr>
          <w:p w:rsidR="00E5624C" w:rsidRDefault="00E5624C" w:rsidP="00AC2CB0">
            <w:pPr>
              <w:pStyle w:val="Tabletext"/>
            </w:pPr>
            <w:r>
              <w:rPr>
                <w:b/>
              </w:rPr>
              <w:t>Component outcomes</w:t>
            </w:r>
            <w:r>
              <w:rPr>
                <w:b/>
                <w:vertAlign w:val="superscript"/>
              </w:rPr>
              <w:t>a</w:t>
            </w:r>
          </w:p>
        </w:tc>
      </w:tr>
      <w:tr w:rsidR="00E5624C" w:rsidTr="00AC2CB0">
        <w:tc>
          <w:tcPr>
            <w:tcW w:w="1261" w:type="pct"/>
          </w:tcPr>
          <w:p w:rsidR="00E5624C" w:rsidRPr="00AB1C94" w:rsidRDefault="00E5624C" w:rsidP="00AC2CB0">
            <w:pPr>
              <w:pStyle w:val="Tabletext"/>
              <w:rPr>
                <w:vertAlign w:val="superscript"/>
              </w:rPr>
            </w:pPr>
            <w:r>
              <w:t>Death all causes</w:t>
            </w:r>
            <w:r>
              <w:rPr>
                <w:vertAlign w:val="superscript"/>
              </w:rPr>
              <w:t>b</w:t>
            </w:r>
          </w:p>
        </w:tc>
        <w:tc>
          <w:tcPr>
            <w:tcW w:w="926" w:type="pct"/>
          </w:tcPr>
          <w:p w:rsidR="00E5624C" w:rsidRDefault="00E5624C" w:rsidP="00C60933">
            <w:pPr>
              <w:pStyle w:val="Tabletext"/>
              <w:jc w:val="center"/>
            </w:pPr>
            <w:r>
              <w:t>28 (4.9%)</w:t>
            </w:r>
          </w:p>
        </w:tc>
        <w:tc>
          <w:tcPr>
            <w:tcW w:w="926" w:type="pct"/>
          </w:tcPr>
          <w:p w:rsidR="00E5624C" w:rsidRDefault="00E5624C" w:rsidP="00C60933">
            <w:pPr>
              <w:pStyle w:val="Tabletext"/>
              <w:jc w:val="center"/>
            </w:pPr>
            <w:r>
              <w:t>18 (3.1%)</w:t>
            </w:r>
          </w:p>
        </w:tc>
        <w:tc>
          <w:tcPr>
            <w:tcW w:w="1009" w:type="pct"/>
          </w:tcPr>
          <w:p w:rsidR="00E5624C" w:rsidRDefault="00E5624C" w:rsidP="00C60933">
            <w:pPr>
              <w:pStyle w:val="Tabletext"/>
              <w:jc w:val="center"/>
            </w:pPr>
            <w:r>
              <w:t>16 (6.6%)</w:t>
            </w:r>
          </w:p>
        </w:tc>
        <w:tc>
          <w:tcPr>
            <w:tcW w:w="878" w:type="pct"/>
          </w:tcPr>
          <w:p w:rsidR="00E5624C" w:rsidRDefault="00E5624C" w:rsidP="00C60933">
            <w:pPr>
              <w:pStyle w:val="Tabletext"/>
              <w:jc w:val="center"/>
            </w:pPr>
            <w:r>
              <w:t>17 (6.8%)</w:t>
            </w:r>
          </w:p>
        </w:tc>
      </w:tr>
      <w:tr w:rsidR="00E5624C" w:rsidTr="00AC2CB0">
        <w:tc>
          <w:tcPr>
            <w:tcW w:w="1261" w:type="pct"/>
          </w:tcPr>
          <w:p w:rsidR="00E5624C" w:rsidRDefault="00E5624C" w:rsidP="00AC2CB0">
            <w:pPr>
              <w:pStyle w:val="Tabletext"/>
            </w:pPr>
            <w:r>
              <w:t>Hospitalisation for PAH worsening</w:t>
            </w:r>
          </w:p>
        </w:tc>
        <w:tc>
          <w:tcPr>
            <w:tcW w:w="926" w:type="pct"/>
          </w:tcPr>
          <w:p w:rsidR="00E5624C" w:rsidRDefault="00E5624C" w:rsidP="00C60933">
            <w:pPr>
              <w:pStyle w:val="Tabletext"/>
              <w:jc w:val="center"/>
            </w:pPr>
            <w:r>
              <w:t>78 (13.6%)</w:t>
            </w:r>
          </w:p>
        </w:tc>
        <w:tc>
          <w:tcPr>
            <w:tcW w:w="926" w:type="pct"/>
          </w:tcPr>
          <w:p w:rsidR="00E5624C" w:rsidRDefault="00E5624C" w:rsidP="00C60933">
            <w:pPr>
              <w:pStyle w:val="Tabletext"/>
              <w:jc w:val="center"/>
            </w:pPr>
            <w:r>
              <w:t>109 (18.7%)</w:t>
            </w:r>
          </w:p>
        </w:tc>
        <w:tc>
          <w:tcPr>
            <w:tcW w:w="1887" w:type="pct"/>
            <w:gridSpan w:val="2"/>
          </w:tcPr>
          <w:p w:rsidR="00E5624C" w:rsidRDefault="00E5624C" w:rsidP="00C60933">
            <w:pPr>
              <w:pStyle w:val="Tabletext"/>
              <w:jc w:val="center"/>
            </w:pPr>
            <w:r>
              <w:t>Not included as separate component</w:t>
            </w:r>
          </w:p>
        </w:tc>
      </w:tr>
      <w:tr w:rsidR="00E5624C" w:rsidTr="00AC2CB0">
        <w:tc>
          <w:tcPr>
            <w:tcW w:w="1261" w:type="pct"/>
          </w:tcPr>
          <w:p w:rsidR="00E5624C" w:rsidRDefault="00E5624C" w:rsidP="00AC2CB0">
            <w:pPr>
              <w:pStyle w:val="Tabletext"/>
            </w:pPr>
            <w:r>
              <w:t>Parenteral prostanoid or chronic oxygen therapy /</w:t>
            </w:r>
          </w:p>
          <w:p w:rsidR="00E5624C" w:rsidRPr="00B951DB" w:rsidRDefault="00E5624C" w:rsidP="00AC2CB0">
            <w:pPr>
              <w:pStyle w:val="Tabletext"/>
              <w:rPr>
                <w:vertAlign w:val="superscript"/>
              </w:rPr>
            </w:pPr>
            <w:r>
              <w:t>IV or SC prostanoids</w:t>
            </w:r>
            <w:r>
              <w:rPr>
                <w:vertAlign w:val="superscript"/>
              </w:rPr>
              <w:t>c</w:t>
            </w:r>
          </w:p>
        </w:tc>
        <w:tc>
          <w:tcPr>
            <w:tcW w:w="926" w:type="pct"/>
          </w:tcPr>
          <w:p w:rsidR="00E5624C" w:rsidRDefault="00E5624C" w:rsidP="00C60933">
            <w:pPr>
              <w:pStyle w:val="Tabletext"/>
              <w:jc w:val="center"/>
            </w:pPr>
            <w:r>
              <w:t>10 (1.7%)</w:t>
            </w:r>
          </w:p>
        </w:tc>
        <w:tc>
          <w:tcPr>
            <w:tcW w:w="926" w:type="pct"/>
          </w:tcPr>
          <w:p w:rsidR="00E5624C" w:rsidRDefault="00E5624C" w:rsidP="00C60933">
            <w:pPr>
              <w:pStyle w:val="Tabletext"/>
              <w:jc w:val="center"/>
            </w:pPr>
            <w:r>
              <w:t>13 (2.2%)</w:t>
            </w:r>
          </w:p>
        </w:tc>
        <w:tc>
          <w:tcPr>
            <w:tcW w:w="1009" w:type="pct"/>
          </w:tcPr>
          <w:p w:rsidR="00E5624C" w:rsidRDefault="00E5624C" w:rsidP="00C60933">
            <w:pPr>
              <w:pStyle w:val="Tabletext"/>
              <w:jc w:val="center"/>
            </w:pPr>
            <w:r>
              <w:t>1 (0.4%)</w:t>
            </w:r>
          </w:p>
        </w:tc>
        <w:tc>
          <w:tcPr>
            <w:tcW w:w="878" w:type="pct"/>
          </w:tcPr>
          <w:p w:rsidR="00E5624C" w:rsidRDefault="00E5624C" w:rsidP="00C60933">
            <w:pPr>
              <w:pStyle w:val="Tabletext"/>
              <w:jc w:val="center"/>
            </w:pPr>
            <w:r>
              <w:t>6 (2.4%)</w:t>
            </w:r>
          </w:p>
        </w:tc>
      </w:tr>
      <w:tr w:rsidR="00E5624C" w:rsidTr="00AC2CB0">
        <w:tc>
          <w:tcPr>
            <w:tcW w:w="1261" w:type="pct"/>
          </w:tcPr>
          <w:p w:rsidR="00E5624C" w:rsidRPr="00B951DB" w:rsidRDefault="00E5624C" w:rsidP="00AC2CB0">
            <w:pPr>
              <w:pStyle w:val="Tabletext"/>
              <w:rPr>
                <w:vertAlign w:val="superscript"/>
              </w:rPr>
            </w:pPr>
            <w:r>
              <w:t>Lung transplantation or balloon atrial septostomy</w:t>
            </w:r>
            <w:r>
              <w:rPr>
                <w:vertAlign w:val="superscript"/>
              </w:rPr>
              <w:t>c</w:t>
            </w:r>
          </w:p>
        </w:tc>
        <w:tc>
          <w:tcPr>
            <w:tcW w:w="926" w:type="pct"/>
          </w:tcPr>
          <w:p w:rsidR="00E5624C" w:rsidRDefault="00E5624C" w:rsidP="00C60933">
            <w:pPr>
              <w:pStyle w:val="Tabletext"/>
              <w:jc w:val="center"/>
            </w:pPr>
            <w:r>
              <w:t>1 (0.2%)</w:t>
            </w:r>
          </w:p>
        </w:tc>
        <w:tc>
          <w:tcPr>
            <w:tcW w:w="926" w:type="pct"/>
          </w:tcPr>
          <w:p w:rsidR="00E5624C" w:rsidRDefault="00E5624C" w:rsidP="00C60933">
            <w:pPr>
              <w:pStyle w:val="Tabletext"/>
              <w:jc w:val="center"/>
            </w:pPr>
            <w:r>
              <w:t>2 (0.3%)</w:t>
            </w:r>
          </w:p>
        </w:tc>
        <w:tc>
          <w:tcPr>
            <w:tcW w:w="1009" w:type="pct"/>
          </w:tcPr>
          <w:p w:rsidR="00E5624C" w:rsidRDefault="00E5624C" w:rsidP="00C60933">
            <w:pPr>
              <w:pStyle w:val="Tabletext"/>
              <w:jc w:val="center"/>
            </w:pPr>
            <w:r>
              <w:t>-</w:t>
            </w:r>
          </w:p>
        </w:tc>
        <w:tc>
          <w:tcPr>
            <w:tcW w:w="878" w:type="pct"/>
          </w:tcPr>
          <w:p w:rsidR="00E5624C" w:rsidRDefault="00E5624C" w:rsidP="00C60933">
            <w:pPr>
              <w:pStyle w:val="Tabletext"/>
              <w:jc w:val="center"/>
            </w:pPr>
            <w:r>
              <w:t>-</w:t>
            </w:r>
          </w:p>
        </w:tc>
      </w:tr>
      <w:tr w:rsidR="00E5624C" w:rsidTr="00AC2CB0">
        <w:tc>
          <w:tcPr>
            <w:tcW w:w="1261" w:type="pct"/>
          </w:tcPr>
          <w:p w:rsidR="00E5624C" w:rsidRDefault="00E5624C" w:rsidP="00AC2CB0">
            <w:pPr>
              <w:pStyle w:val="Tabletext"/>
            </w:pPr>
            <w:r>
              <w:t>Disease progression /</w:t>
            </w:r>
          </w:p>
          <w:p w:rsidR="00E5624C" w:rsidRDefault="00E5624C" w:rsidP="00AC2CB0">
            <w:pPr>
              <w:pStyle w:val="Tabletext"/>
            </w:pPr>
            <w:r>
              <w:t>Other worsening of PAH</w:t>
            </w:r>
          </w:p>
        </w:tc>
        <w:tc>
          <w:tcPr>
            <w:tcW w:w="926" w:type="pct"/>
          </w:tcPr>
          <w:p w:rsidR="00E5624C" w:rsidRDefault="00E5624C" w:rsidP="00C60933">
            <w:pPr>
              <w:pStyle w:val="Tabletext"/>
              <w:jc w:val="center"/>
            </w:pPr>
            <w:r>
              <w:t>38 (6.6%)</w:t>
            </w:r>
          </w:p>
        </w:tc>
        <w:tc>
          <w:tcPr>
            <w:tcW w:w="926" w:type="pct"/>
          </w:tcPr>
          <w:p w:rsidR="00E5624C" w:rsidRDefault="00E5624C" w:rsidP="00C60933">
            <w:pPr>
              <w:pStyle w:val="Tabletext"/>
              <w:jc w:val="center"/>
            </w:pPr>
            <w:r>
              <w:t>100 (17.2%)</w:t>
            </w:r>
          </w:p>
        </w:tc>
        <w:tc>
          <w:tcPr>
            <w:tcW w:w="1009" w:type="pct"/>
          </w:tcPr>
          <w:p w:rsidR="00E5624C" w:rsidRDefault="00E5624C" w:rsidP="00C60933">
            <w:pPr>
              <w:pStyle w:val="Tabletext"/>
              <w:jc w:val="center"/>
            </w:pPr>
            <w:r>
              <w:t>59 (24.4%)</w:t>
            </w:r>
          </w:p>
        </w:tc>
        <w:tc>
          <w:tcPr>
            <w:tcW w:w="878" w:type="pct"/>
          </w:tcPr>
          <w:p w:rsidR="00E5624C" w:rsidRDefault="00E5624C" w:rsidP="00C60933">
            <w:pPr>
              <w:pStyle w:val="Tabletext"/>
              <w:jc w:val="center"/>
            </w:pPr>
            <w:r>
              <w:t>93 (37.2%)</w:t>
            </w:r>
          </w:p>
        </w:tc>
      </w:tr>
    </w:tbl>
    <w:p w:rsidR="007C3AE9" w:rsidRDefault="007C3AE9" w:rsidP="00AC2CB0">
      <w:pPr>
        <w:pStyle w:val="TableFooter"/>
        <w:ind w:left="720"/>
      </w:pPr>
      <w:r>
        <w:t>Source: Table B.6-1, p 84 of the submission; Table 12-1, p 255 GRIPHON CSR; p 129, Table 20, p 132, and Table 38, p181 SERAPHIN CSR.</w:t>
      </w:r>
    </w:p>
    <w:p w:rsidR="00E5624C" w:rsidRDefault="00E5624C" w:rsidP="00AC2CB0">
      <w:pPr>
        <w:pStyle w:val="TableFooter"/>
        <w:ind w:left="720"/>
      </w:pPr>
      <w:r>
        <w:t>BGT = background therapy; CEC = Critical Event Committee; CI = confidence interval; ITT = intention-to-treat; IV = intravenous; MM = morbidity or mortality; PAH = pulmonary arterial hypertension; SC = subcutaneous</w:t>
      </w:r>
    </w:p>
    <w:p w:rsidR="00E5624C" w:rsidRDefault="00E5624C" w:rsidP="00AC2CB0">
      <w:pPr>
        <w:pStyle w:val="TableFooter"/>
        <w:ind w:left="720"/>
      </w:pPr>
      <w:r>
        <w:rPr>
          <w:vertAlign w:val="superscript"/>
        </w:rPr>
        <w:t>a</w:t>
      </w:r>
      <w:r>
        <w:t xml:space="preserve"> See Table C.1.2.6 for definitions</w:t>
      </w:r>
    </w:p>
    <w:p w:rsidR="00E5624C" w:rsidRDefault="00E5624C" w:rsidP="00AC2CB0">
      <w:pPr>
        <w:pStyle w:val="TableFooter"/>
        <w:ind w:left="720"/>
      </w:pPr>
      <w:r>
        <w:rPr>
          <w:vertAlign w:val="superscript"/>
        </w:rPr>
        <w:t xml:space="preserve">b </w:t>
      </w:r>
      <w:r>
        <w:t>GRIPHON: death up to end-of-treatment + 7 days; SERAPHIN: death or onset of a treatment emergent AE with a fatal outcome within 4 weeks of end-of-treatment.</w:t>
      </w:r>
    </w:p>
    <w:p w:rsidR="00E5624C" w:rsidRPr="00B951DB" w:rsidRDefault="00E5624C" w:rsidP="00AC2CB0">
      <w:pPr>
        <w:pStyle w:val="TableFooter"/>
        <w:ind w:left="720"/>
      </w:pPr>
      <w:r>
        <w:rPr>
          <w:vertAlign w:val="superscript"/>
        </w:rPr>
        <w:t>c</w:t>
      </w:r>
      <w:r>
        <w:t xml:space="preserve"> Including hospitalisation for event</w:t>
      </w:r>
    </w:p>
    <w:p w:rsidR="00291568" w:rsidRDefault="00DB65ED" w:rsidP="00DB65ED">
      <w:r>
        <w:tab/>
      </w:r>
    </w:p>
    <w:p w:rsidR="00291568" w:rsidRDefault="00291568">
      <w:pPr>
        <w:widowControl/>
        <w:jc w:val="left"/>
      </w:pPr>
      <w:r>
        <w:br w:type="page"/>
      </w:r>
    </w:p>
    <w:p w:rsidR="00187074" w:rsidRPr="00DB65ED" w:rsidRDefault="00187074" w:rsidP="00DB65ED">
      <w:pPr>
        <w:rPr>
          <w:i/>
        </w:rPr>
      </w:pPr>
    </w:p>
    <w:p w:rsidR="00933A90" w:rsidRPr="00F4213A" w:rsidRDefault="00933A90" w:rsidP="00590A3C">
      <w:pPr>
        <w:pStyle w:val="ListParagraph"/>
        <w:widowControl/>
        <w:numPr>
          <w:ilvl w:val="1"/>
          <w:numId w:val="2"/>
        </w:numPr>
      </w:pPr>
      <w:r w:rsidRPr="00F4213A">
        <w:t xml:space="preserve">The results of the estimated ICER for macitentan compared to placebo are summarised </w:t>
      </w:r>
      <w:r w:rsidR="009037A3" w:rsidRPr="00F4213A">
        <w:t>in</w:t>
      </w:r>
      <w:r w:rsidR="00F3243C" w:rsidRPr="00F4213A">
        <w:t xml:space="preserve"> </w:t>
      </w:r>
      <w:r w:rsidR="002D1BF1" w:rsidRPr="00F4213A">
        <w:t xml:space="preserve">Table </w:t>
      </w:r>
      <w:r w:rsidR="00AC2CB0">
        <w:rPr>
          <w:noProof/>
        </w:rPr>
        <w:t>9</w:t>
      </w:r>
      <w:r w:rsidRPr="00F4213A">
        <w:t xml:space="preserve">. </w:t>
      </w:r>
    </w:p>
    <w:p w:rsidR="00933A90" w:rsidRPr="00F4213A" w:rsidRDefault="00933A90" w:rsidP="00933A90">
      <w:pPr>
        <w:pStyle w:val="ListParagraph"/>
        <w:widowControl/>
        <w:rPr>
          <w:szCs w:val="22"/>
        </w:rPr>
      </w:pPr>
    </w:p>
    <w:p w:rsidR="003F58FF" w:rsidRPr="00F4213A" w:rsidRDefault="00874261" w:rsidP="00AC2CB0">
      <w:pPr>
        <w:pStyle w:val="Caption"/>
        <w:ind w:left="709"/>
      </w:pPr>
      <w:bookmarkStart w:id="18" w:name="_Ref440187192"/>
      <w:r w:rsidRPr="00F4213A">
        <w:t xml:space="preserve">Table </w:t>
      </w:r>
      <w:bookmarkEnd w:id="18"/>
      <w:r w:rsidR="00AC2CB0">
        <w:t>9</w:t>
      </w:r>
      <w:r w:rsidR="003F58FF" w:rsidRPr="00F4213A">
        <w:t>: Results of the economic evaluation for macitentan versus placebo as monotherapy in patients with WHO FC III/IV PAH</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0"/>
        <w:gridCol w:w="1980"/>
        <w:gridCol w:w="1987"/>
        <w:gridCol w:w="2126"/>
      </w:tblGrid>
      <w:tr w:rsidR="003F58FF" w:rsidRPr="00F4213A" w:rsidTr="00DD256F">
        <w:tc>
          <w:tcPr>
            <w:tcW w:w="1357" w:type="pct"/>
          </w:tcPr>
          <w:p w:rsidR="003F58FF" w:rsidRPr="00F4213A" w:rsidRDefault="003F58FF" w:rsidP="00DD256F">
            <w:pPr>
              <w:rPr>
                <w:rFonts w:ascii="Arial Narrow" w:hAnsi="Arial Narrow"/>
                <w:b/>
                <w:sz w:val="20"/>
              </w:rPr>
            </w:pPr>
            <w:r w:rsidRPr="00F4213A">
              <w:rPr>
                <w:rFonts w:ascii="Arial Narrow" w:hAnsi="Arial Narrow"/>
                <w:b/>
                <w:sz w:val="20"/>
              </w:rPr>
              <w:t>Component</w:t>
            </w:r>
          </w:p>
        </w:tc>
        <w:tc>
          <w:tcPr>
            <w:tcW w:w="1184" w:type="pct"/>
          </w:tcPr>
          <w:p w:rsidR="003F58FF" w:rsidRPr="00F4213A" w:rsidRDefault="003F58FF" w:rsidP="00DD256F">
            <w:pPr>
              <w:jc w:val="center"/>
              <w:rPr>
                <w:rFonts w:ascii="Arial Narrow" w:hAnsi="Arial Narrow"/>
                <w:b/>
                <w:sz w:val="20"/>
              </w:rPr>
            </w:pPr>
            <w:r w:rsidRPr="00F4213A">
              <w:rPr>
                <w:rFonts w:ascii="Arial Narrow" w:hAnsi="Arial Narrow"/>
                <w:b/>
                <w:sz w:val="20"/>
              </w:rPr>
              <w:t>Macitentan</w:t>
            </w:r>
          </w:p>
        </w:tc>
        <w:tc>
          <w:tcPr>
            <w:tcW w:w="1187" w:type="pct"/>
          </w:tcPr>
          <w:p w:rsidR="003F58FF" w:rsidRPr="00F4213A" w:rsidRDefault="003F58FF" w:rsidP="00DD256F">
            <w:pPr>
              <w:jc w:val="center"/>
              <w:rPr>
                <w:rFonts w:ascii="Arial Narrow" w:hAnsi="Arial Narrow"/>
                <w:b/>
                <w:sz w:val="20"/>
              </w:rPr>
            </w:pPr>
            <w:r w:rsidRPr="00F4213A">
              <w:rPr>
                <w:rFonts w:ascii="Arial Narrow" w:hAnsi="Arial Narrow"/>
                <w:b/>
                <w:sz w:val="20"/>
              </w:rPr>
              <w:t xml:space="preserve">Placebo </w:t>
            </w:r>
          </w:p>
        </w:tc>
        <w:tc>
          <w:tcPr>
            <w:tcW w:w="1271" w:type="pct"/>
          </w:tcPr>
          <w:p w:rsidR="003F58FF" w:rsidRPr="00F4213A" w:rsidRDefault="003F58FF" w:rsidP="00DD256F">
            <w:pPr>
              <w:jc w:val="center"/>
              <w:rPr>
                <w:rFonts w:ascii="Arial Narrow" w:hAnsi="Arial Narrow"/>
                <w:b/>
                <w:sz w:val="20"/>
              </w:rPr>
            </w:pPr>
            <w:r w:rsidRPr="00F4213A">
              <w:rPr>
                <w:rFonts w:ascii="Arial Narrow" w:hAnsi="Arial Narrow"/>
                <w:b/>
                <w:sz w:val="20"/>
              </w:rPr>
              <w:t>Increment</w:t>
            </w:r>
          </w:p>
        </w:tc>
      </w:tr>
      <w:tr w:rsidR="003F58FF" w:rsidRPr="00F4213A" w:rsidTr="00DD256F">
        <w:tc>
          <w:tcPr>
            <w:tcW w:w="1357" w:type="pct"/>
          </w:tcPr>
          <w:p w:rsidR="003F58FF" w:rsidRPr="00F4213A" w:rsidRDefault="003F58FF" w:rsidP="00DD256F">
            <w:pPr>
              <w:rPr>
                <w:rFonts w:ascii="Arial Narrow" w:hAnsi="Arial Narrow"/>
                <w:sz w:val="20"/>
                <w:vertAlign w:val="superscript"/>
              </w:rPr>
            </w:pPr>
            <w:r w:rsidRPr="00F4213A">
              <w:rPr>
                <w:rFonts w:ascii="Arial Narrow" w:hAnsi="Arial Narrow"/>
                <w:sz w:val="20"/>
              </w:rPr>
              <w:t>Costs</w:t>
            </w:r>
            <w:r w:rsidRPr="00F4213A">
              <w:rPr>
                <w:rFonts w:ascii="Arial Narrow" w:hAnsi="Arial Narrow"/>
                <w:sz w:val="20"/>
                <w:vertAlign w:val="superscript"/>
              </w:rPr>
              <w:t>a</w:t>
            </w:r>
          </w:p>
        </w:tc>
        <w:tc>
          <w:tcPr>
            <w:tcW w:w="1184" w:type="pct"/>
            <w:vAlign w:val="center"/>
          </w:tcPr>
          <w:p w:rsidR="003F58FF" w:rsidRPr="00F4213A" w:rsidRDefault="003F58FF" w:rsidP="00DD256F">
            <w:pPr>
              <w:jc w:val="center"/>
              <w:rPr>
                <w:rFonts w:ascii="Arial Narrow" w:hAnsi="Arial Narrow"/>
                <w:sz w:val="20"/>
              </w:rPr>
            </w:pPr>
            <w:r w:rsidRPr="00F4213A">
              <w:rPr>
                <w:rFonts w:ascii="Arial Narrow" w:hAnsi="Arial Narrow" w:cs="Times New Roman"/>
                <w:sz w:val="20"/>
              </w:rPr>
              <w:t>$</w:t>
            </w:r>
            <w:r w:rsidRPr="008F2296">
              <w:rPr>
                <w:rFonts w:ascii="Arial Narrow" w:hAnsi="Arial Narrow" w:cs="Times New Roman"/>
                <w:sz w:val="20"/>
              </w:rPr>
              <w:t>35,131</w:t>
            </w:r>
          </w:p>
        </w:tc>
        <w:tc>
          <w:tcPr>
            <w:tcW w:w="1187" w:type="pct"/>
            <w:vAlign w:val="center"/>
          </w:tcPr>
          <w:p w:rsidR="003F58FF" w:rsidRPr="00F4213A" w:rsidRDefault="003F58FF" w:rsidP="00DD256F">
            <w:pPr>
              <w:jc w:val="center"/>
              <w:rPr>
                <w:rFonts w:ascii="Arial Narrow" w:hAnsi="Arial Narrow"/>
                <w:sz w:val="20"/>
              </w:rPr>
            </w:pPr>
            <w:r w:rsidRPr="00F4213A">
              <w:rPr>
                <w:rFonts w:ascii="Arial Narrow" w:hAnsi="Arial Narrow"/>
                <w:sz w:val="20"/>
              </w:rPr>
              <w:t>$0</w:t>
            </w:r>
          </w:p>
        </w:tc>
        <w:tc>
          <w:tcPr>
            <w:tcW w:w="1271" w:type="pct"/>
            <w:vAlign w:val="center"/>
          </w:tcPr>
          <w:p w:rsidR="003F58FF" w:rsidRPr="00F4213A" w:rsidRDefault="003F58FF" w:rsidP="00DD256F">
            <w:pPr>
              <w:jc w:val="center"/>
              <w:rPr>
                <w:rFonts w:ascii="Arial Narrow" w:hAnsi="Arial Narrow" w:cs="Times New Roman"/>
                <w:sz w:val="20"/>
              </w:rPr>
            </w:pPr>
            <w:r w:rsidRPr="00F4213A">
              <w:rPr>
                <w:rFonts w:ascii="Arial Narrow" w:hAnsi="Arial Narrow" w:cs="Times New Roman"/>
                <w:sz w:val="20"/>
              </w:rPr>
              <w:t>$</w:t>
            </w:r>
            <w:r w:rsidRPr="008F2296">
              <w:rPr>
                <w:rFonts w:ascii="Arial Narrow" w:hAnsi="Arial Narrow" w:cs="Times New Roman"/>
                <w:sz w:val="20"/>
              </w:rPr>
              <w:t>35,131</w:t>
            </w:r>
          </w:p>
        </w:tc>
      </w:tr>
      <w:tr w:rsidR="003F58FF" w:rsidRPr="00F4213A" w:rsidTr="00DD256F">
        <w:tc>
          <w:tcPr>
            <w:tcW w:w="1357" w:type="pct"/>
          </w:tcPr>
          <w:p w:rsidR="003F58FF" w:rsidRPr="00F4213A" w:rsidRDefault="003F58FF" w:rsidP="00DD256F">
            <w:pPr>
              <w:jc w:val="left"/>
              <w:rPr>
                <w:rFonts w:ascii="Arial Narrow" w:hAnsi="Arial Narrow"/>
                <w:sz w:val="20"/>
              </w:rPr>
            </w:pPr>
            <w:r w:rsidRPr="00F4213A">
              <w:rPr>
                <w:rFonts w:ascii="Arial Narrow" w:hAnsi="Arial Narrow"/>
                <w:sz w:val="20"/>
              </w:rPr>
              <w:t>Number of first MM events per person-year</w:t>
            </w:r>
            <w:r w:rsidR="00A5358D" w:rsidRPr="00F4213A">
              <w:rPr>
                <w:rFonts w:ascii="Arial Narrow" w:hAnsi="Arial Narrow"/>
                <w:sz w:val="20"/>
              </w:rPr>
              <w:t>*</w:t>
            </w:r>
          </w:p>
        </w:tc>
        <w:tc>
          <w:tcPr>
            <w:tcW w:w="1184" w:type="pct"/>
            <w:vAlign w:val="center"/>
          </w:tcPr>
          <w:p w:rsidR="003F58FF" w:rsidRPr="00A35868" w:rsidRDefault="00A35868" w:rsidP="00DD256F">
            <w:pPr>
              <w:pStyle w:val="Tabletext"/>
              <w:jc w:val="center"/>
              <w:rPr>
                <w:highlight w:val="black"/>
              </w:rPr>
            </w:pPr>
            <w:r>
              <w:rPr>
                <w:noProof/>
                <w:color w:val="000000"/>
                <w:highlight w:val="black"/>
              </w:rPr>
              <w:t>''''''''''''''''</w:t>
            </w:r>
          </w:p>
        </w:tc>
        <w:tc>
          <w:tcPr>
            <w:tcW w:w="1187" w:type="pct"/>
            <w:vAlign w:val="center"/>
          </w:tcPr>
          <w:p w:rsidR="003F58FF" w:rsidRPr="00A35868" w:rsidRDefault="00A35868" w:rsidP="00DD256F">
            <w:pPr>
              <w:pStyle w:val="Tabletext"/>
              <w:jc w:val="center"/>
              <w:rPr>
                <w:highlight w:val="black"/>
              </w:rPr>
            </w:pPr>
            <w:r>
              <w:rPr>
                <w:noProof/>
                <w:color w:val="000000"/>
                <w:highlight w:val="black"/>
              </w:rPr>
              <w:t>'''''''''''''''''</w:t>
            </w:r>
          </w:p>
        </w:tc>
        <w:tc>
          <w:tcPr>
            <w:tcW w:w="1271" w:type="pct"/>
            <w:vAlign w:val="center"/>
          </w:tcPr>
          <w:p w:rsidR="003F58FF" w:rsidRPr="00F4213A" w:rsidRDefault="003F58FF" w:rsidP="00DD256F">
            <w:pPr>
              <w:pStyle w:val="Tabletext"/>
              <w:jc w:val="center"/>
            </w:pPr>
            <w:r w:rsidRPr="00F4213A">
              <w:t>-</w:t>
            </w:r>
            <w:r w:rsidR="00A35868">
              <w:rPr>
                <w:noProof/>
                <w:color w:val="000000"/>
                <w:highlight w:val="black"/>
              </w:rPr>
              <w:t>''''''''''''''''''</w:t>
            </w:r>
          </w:p>
        </w:tc>
      </w:tr>
      <w:tr w:rsidR="003F58FF" w:rsidRPr="00F4213A" w:rsidTr="00DD256F">
        <w:tc>
          <w:tcPr>
            <w:tcW w:w="3729" w:type="pct"/>
            <w:gridSpan w:val="3"/>
          </w:tcPr>
          <w:p w:rsidR="003F58FF" w:rsidRPr="00F4213A" w:rsidRDefault="003F58FF" w:rsidP="00DD256F">
            <w:pPr>
              <w:rPr>
                <w:rFonts w:ascii="Arial Narrow" w:hAnsi="Arial Narrow"/>
                <w:b/>
                <w:sz w:val="20"/>
              </w:rPr>
            </w:pPr>
            <w:r w:rsidRPr="00F4213A">
              <w:rPr>
                <w:rFonts w:ascii="Arial Narrow" w:hAnsi="Arial Narrow"/>
                <w:b/>
                <w:sz w:val="20"/>
              </w:rPr>
              <w:t>Incremental cost/first MM event per person-year prevented*</w:t>
            </w:r>
          </w:p>
        </w:tc>
        <w:tc>
          <w:tcPr>
            <w:tcW w:w="1271" w:type="pct"/>
          </w:tcPr>
          <w:p w:rsidR="003F58FF" w:rsidRPr="00F4213A" w:rsidRDefault="003F58FF" w:rsidP="00DD256F">
            <w:pPr>
              <w:jc w:val="center"/>
              <w:rPr>
                <w:rFonts w:ascii="Arial Narrow" w:hAnsi="Arial Narrow"/>
                <w:b/>
                <w:sz w:val="20"/>
              </w:rPr>
            </w:pPr>
            <w:r w:rsidRPr="00F4213A">
              <w:rPr>
                <w:rFonts w:ascii="Arial Narrow" w:hAnsi="Arial Narrow"/>
                <w:b/>
                <w:sz w:val="20"/>
              </w:rPr>
              <w:t>$</w:t>
            </w:r>
            <w:r w:rsidR="00A35868">
              <w:rPr>
                <w:rFonts w:ascii="Arial Narrow" w:hAnsi="Arial Narrow"/>
                <w:b/>
                <w:noProof/>
                <w:color w:val="000000"/>
                <w:sz w:val="20"/>
                <w:highlight w:val="black"/>
              </w:rPr>
              <w:t>''''''''''''''''</w:t>
            </w:r>
          </w:p>
        </w:tc>
      </w:tr>
    </w:tbl>
    <w:p w:rsidR="003F58FF" w:rsidRPr="00F4213A" w:rsidRDefault="003F58FF" w:rsidP="003F58FF">
      <w:pPr>
        <w:pStyle w:val="TableFooter"/>
        <w:ind w:left="709"/>
      </w:pPr>
      <w:r w:rsidRPr="00F4213A">
        <w:t>MM = morbidity or mortality; PAH = pulmonary arterial hypertension; WHO FC = World Health Organisation Functional class</w:t>
      </w:r>
    </w:p>
    <w:p w:rsidR="003F58FF" w:rsidRPr="00F4213A" w:rsidRDefault="003F58FF" w:rsidP="003F58FF">
      <w:pPr>
        <w:pStyle w:val="TableFooter"/>
        <w:ind w:left="709"/>
      </w:pPr>
      <w:r w:rsidRPr="00F4213A">
        <w:rPr>
          <w:vertAlign w:val="superscript"/>
        </w:rPr>
        <w:t>a</w:t>
      </w:r>
      <w:r w:rsidRPr="00F4213A">
        <w:t xml:space="preserve"> Weighted cost based on 23% private and 77% public</w:t>
      </w:r>
    </w:p>
    <w:p w:rsidR="003F58FF" w:rsidRPr="00F12C4F" w:rsidRDefault="003F58FF" w:rsidP="003F58FF">
      <w:pPr>
        <w:pStyle w:val="TableFooter"/>
        <w:ind w:left="709"/>
      </w:pPr>
      <w:r>
        <w:t>* Over the duration of the trial</w:t>
      </w:r>
    </w:p>
    <w:p w:rsidR="00816619" w:rsidRPr="00A5358D" w:rsidRDefault="003F58FF" w:rsidP="00816619">
      <w:pPr>
        <w:pStyle w:val="TableFooter"/>
        <w:ind w:left="709"/>
        <w:rPr>
          <w:i/>
        </w:rPr>
      </w:pPr>
      <w:r w:rsidRPr="00D13A3E">
        <w:t>Source</w:t>
      </w:r>
      <w:r>
        <w:t xml:space="preserve">: </w:t>
      </w:r>
      <w:r w:rsidR="00816619" w:rsidRPr="00D13A3E">
        <w:t>Source</w:t>
      </w:r>
      <w:r w:rsidR="00816619">
        <w:t>: Table D.2-3, p99 of the submission;</w:t>
      </w:r>
      <w:r w:rsidR="00816619" w:rsidRPr="00F4213A">
        <w:t xml:space="preserve"> </w:t>
      </w:r>
      <w:r w:rsidR="00F4213A" w:rsidRPr="00F4213A">
        <w:t xml:space="preserve">Costs of </w:t>
      </w:r>
      <w:r w:rsidR="00765054" w:rsidRPr="00F4213A">
        <w:t>macitentan</w:t>
      </w:r>
      <w:r w:rsidR="00F4213A" w:rsidRPr="00F4213A">
        <w:t xml:space="preserve"> were recalculated</w:t>
      </w:r>
      <w:r w:rsidR="00816619" w:rsidRPr="00F4213A">
        <w:t xml:space="preserve"> during the evaluation.</w:t>
      </w:r>
    </w:p>
    <w:p w:rsidR="003F58FF" w:rsidRPr="007C3AE9" w:rsidRDefault="003F58FF" w:rsidP="003F58FF">
      <w:pPr>
        <w:ind w:left="709"/>
      </w:pPr>
    </w:p>
    <w:p w:rsidR="00187074" w:rsidRPr="007C3AE9" w:rsidRDefault="00187074" w:rsidP="00187074">
      <w:pPr>
        <w:pStyle w:val="ListParagraph"/>
        <w:widowControl/>
        <w:numPr>
          <w:ilvl w:val="1"/>
          <w:numId w:val="2"/>
        </w:numPr>
      </w:pPr>
      <w:r w:rsidRPr="007C3AE9">
        <w:t>The following make the interpretation of the results difficult:</w:t>
      </w:r>
    </w:p>
    <w:p w:rsidR="00187074" w:rsidRPr="007C3AE9" w:rsidRDefault="00187074" w:rsidP="007C3AE9">
      <w:pPr>
        <w:pStyle w:val="ListParagraph"/>
        <w:numPr>
          <w:ilvl w:val="0"/>
          <w:numId w:val="7"/>
        </w:numPr>
        <w:ind w:left="1134"/>
      </w:pPr>
      <w:r w:rsidRPr="007C3AE9">
        <w:t>The definition of the composite primary outcome, time to first MM event, differed between the trials:</w:t>
      </w:r>
    </w:p>
    <w:p w:rsidR="00187074" w:rsidRPr="007C3AE9" w:rsidRDefault="00187074" w:rsidP="004A15DD">
      <w:pPr>
        <w:pStyle w:val="ListParagraph"/>
        <w:numPr>
          <w:ilvl w:val="1"/>
          <w:numId w:val="7"/>
        </w:numPr>
        <w:ind w:left="1701"/>
      </w:pPr>
      <w:r w:rsidRPr="007C3AE9">
        <w:t xml:space="preserve">The components included in the composite outcome </w:t>
      </w:r>
      <w:r w:rsidR="004A15DD">
        <w:t>differed</w:t>
      </w:r>
    </w:p>
    <w:p w:rsidR="00187074" w:rsidRPr="007C3AE9" w:rsidRDefault="00187074" w:rsidP="004A15DD">
      <w:pPr>
        <w:pStyle w:val="ListParagraph"/>
        <w:numPr>
          <w:ilvl w:val="1"/>
          <w:numId w:val="7"/>
        </w:numPr>
        <w:ind w:left="1701"/>
      </w:pPr>
      <w:r w:rsidRPr="007C3AE9">
        <w:t>The definition and duration of fol</w:t>
      </w:r>
      <w:r w:rsidR="007C3AE9">
        <w:t>low-up of death events differed;</w:t>
      </w:r>
    </w:p>
    <w:p w:rsidR="00187074" w:rsidRPr="007C3AE9" w:rsidRDefault="00187074" w:rsidP="007C3AE9">
      <w:pPr>
        <w:pStyle w:val="ListParagraph"/>
        <w:numPr>
          <w:ilvl w:val="0"/>
          <w:numId w:val="7"/>
        </w:numPr>
        <w:ind w:left="1134"/>
      </w:pPr>
      <w:r w:rsidRPr="007C3AE9">
        <w:t>The potential difference in the relative contribution of component MM events, of varying clinical relevance, to the composite outcome between the trials;</w:t>
      </w:r>
    </w:p>
    <w:p w:rsidR="00187074" w:rsidRPr="007C3AE9" w:rsidRDefault="00187074" w:rsidP="007C3AE9">
      <w:pPr>
        <w:pStyle w:val="ListParagraph"/>
        <w:numPr>
          <w:ilvl w:val="0"/>
          <w:numId w:val="7"/>
        </w:numPr>
        <w:ind w:left="1134"/>
      </w:pPr>
      <w:r w:rsidRPr="007C3AE9">
        <w:t>MM events subsequent to the first primary outcome event have not been compared; given the difference in the circumstances of use of the drugs (combination therapy versus monotherapy) the rate of subsequent events may differ.</w:t>
      </w:r>
    </w:p>
    <w:p w:rsidR="003633D5" w:rsidRDefault="003633D5" w:rsidP="003633D5">
      <w:pPr>
        <w:pStyle w:val="ListParagraph"/>
        <w:widowControl/>
        <w:rPr>
          <w:szCs w:val="22"/>
        </w:rPr>
      </w:pPr>
    </w:p>
    <w:p w:rsidR="003633D5" w:rsidRPr="00056E09" w:rsidRDefault="003633D5" w:rsidP="00590A3C">
      <w:pPr>
        <w:pStyle w:val="ListParagraph"/>
        <w:widowControl/>
        <w:numPr>
          <w:ilvl w:val="1"/>
          <w:numId w:val="2"/>
        </w:numPr>
      </w:pPr>
      <w:r w:rsidRPr="00056E09">
        <w:t xml:space="preserve">The estimated ICER for selexipag when used as add-on therapy in patients with WHO FC III/IV PAH was approximately </w:t>
      </w:r>
      <w:r w:rsidR="00291568">
        <w:t xml:space="preserve">$105,000 - $200,000 </w:t>
      </w:r>
      <w:r w:rsidRPr="00056E09">
        <w:t xml:space="preserve">per </w:t>
      </w:r>
      <w:r w:rsidR="000C7A54" w:rsidRPr="00056E09">
        <w:t xml:space="preserve">first </w:t>
      </w:r>
      <w:r w:rsidRPr="00056E09">
        <w:t xml:space="preserve">MM event per person-year avoided, based on the proposed effective price. In comparison, the ICER for macitentan when used as monotherapy in this population was approximately </w:t>
      </w:r>
      <w:r w:rsidR="00291568">
        <w:t xml:space="preserve">$105,000 - $200,000 </w:t>
      </w:r>
      <w:r w:rsidRPr="00056E09">
        <w:t xml:space="preserve">per </w:t>
      </w:r>
      <w:r w:rsidR="000C7A54" w:rsidRPr="00056E09">
        <w:t xml:space="preserve">first </w:t>
      </w:r>
      <w:r w:rsidRPr="00056E09">
        <w:t>MM event per person-year avoided.</w:t>
      </w:r>
    </w:p>
    <w:p w:rsidR="003633D5" w:rsidRPr="00F4213A" w:rsidRDefault="003633D5" w:rsidP="003633D5">
      <w:pPr>
        <w:pStyle w:val="ListParagraph"/>
        <w:widowControl/>
      </w:pPr>
    </w:p>
    <w:p w:rsidR="001F0574" w:rsidRPr="00F4213A" w:rsidRDefault="001F0574" w:rsidP="00590A3C">
      <w:pPr>
        <w:pStyle w:val="ListParagraph"/>
        <w:widowControl/>
        <w:numPr>
          <w:ilvl w:val="1"/>
          <w:numId w:val="2"/>
        </w:numPr>
      </w:pPr>
      <w:r w:rsidRPr="00F4213A">
        <w:t xml:space="preserve">A formal cost-utility analysis </w:t>
      </w:r>
      <w:r w:rsidR="004A15DD">
        <w:t>was not presented in the submission</w:t>
      </w:r>
      <w:r w:rsidRPr="00F4213A">
        <w:t xml:space="preserve">. </w:t>
      </w:r>
      <w:r w:rsidR="004A15DD">
        <w:t>The ESC considered that t</w:t>
      </w:r>
      <w:r w:rsidRPr="00F4213A">
        <w:t xml:space="preserve">he translation of first MM events prevented to life-years gained or </w:t>
      </w:r>
      <w:r w:rsidR="006B4A3F" w:rsidRPr="00F4213A">
        <w:t>QALYs</w:t>
      </w:r>
      <w:r w:rsidRPr="00F4213A">
        <w:t xml:space="preserve"> gained </w:t>
      </w:r>
      <w:r w:rsidR="004A15DD">
        <w:t>may</w:t>
      </w:r>
      <w:r w:rsidRPr="00F4213A">
        <w:t xml:space="preserve"> have been informative for the PBAC in comparing ICERs across drugs for the same disease. </w:t>
      </w:r>
    </w:p>
    <w:p w:rsidR="001F0574" w:rsidRPr="00F4213A" w:rsidRDefault="001F0574" w:rsidP="001F0574">
      <w:pPr>
        <w:pStyle w:val="ListParagraph"/>
        <w:widowControl/>
      </w:pPr>
    </w:p>
    <w:p w:rsidR="001F0574" w:rsidRPr="00F4213A" w:rsidRDefault="001F0574" w:rsidP="00590A3C">
      <w:pPr>
        <w:pStyle w:val="ListParagraph"/>
        <w:widowControl/>
        <w:numPr>
          <w:ilvl w:val="1"/>
          <w:numId w:val="2"/>
        </w:numPr>
      </w:pPr>
      <w:r w:rsidRPr="00F4213A">
        <w:t xml:space="preserve">The cost-effectiveness of selexipag compared to other potentially relevant active comparators, including sildenafil, </w:t>
      </w:r>
      <w:r w:rsidR="0050086A" w:rsidRPr="00F4213A">
        <w:t>iloprost</w:t>
      </w:r>
      <w:r w:rsidRPr="00F4213A">
        <w:t xml:space="preserve"> and epoprostenol, when used as add-on therapy in the relevant population, is not known.</w:t>
      </w:r>
    </w:p>
    <w:p w:rsidR="00275C5A" w:rsidRPr="00F4213A" w:rsidRDefault="00275C5A" w:rsidP="00275C5A">
      <w:pPr>
        <w:widowControl/>
        <w:rPr>
          <w:szCs w:val="22"/>
        </w:rPr>
      </w:pPr>
    </w:p>
    <w:p w:rsidR="00E22845" w:rsidRDefault="00C25D9C" w:rsidP="007170EE">
      <w:pPr>
        <w:pStyle w:val="Heading2"/>
      </w:pPr>
      <w:bookmarkStart w:id="19" w:name="_Toc440892687"/>
      <w:r w:rsidRPr="00F4213A">
        <w:t>Drug c</w:t>
      </w:r>
      <w:r w:rsidR="00980AA5" w:rsidRPr="00F4213A">
        <w:t>ost/patient/year</w:t>
      </w:r>
      <w:r w:rsidR="00A35784" w:rsidRPr="00F4213A">
        <w:t xml:space="preserve">: </w:t>
      </w:r>
      <w:r w:rsidR="00980AA5" w:rsidRPr="00F4213A">
        <w:t>$</w:t>
      </w:r>
      <w:r w:rsidR="00A35868">
        <w:rPr>
          <w:noProof/>
          <w:color w:val="000000"/>
          <w:highlight w:val="black"/>
        </w:rPr>
        <w:t>'''''''''''''''</w:t>
      </w:r>
      <w:r w:rsidR="00A35784" w:rsidRPr="00F4213A">
        <w:t xml:space="preserve"> (public), </w:t>
      </w:r>
      <w:r w:rsidR="00980AA5" w:rsidRPr="00F4213A">
        <w:t>$</w:t>
      </w:r>
      <w:r w:rsidR="00A35868">
        <w:rPr>
          <w:noProof/>
          <w:color w:val="000000"/>
          <w:highlight w:val="black"/>
        </w:rPr>
        <w:t>'''''''''''''</w:t>
      </w:r>
      <w:r w:rsidR="00980AA5" w:rsidRPr="00F4213A">
        <w:t xml:space="preserve"> (private)</w:t>
      </w:r>
      <w:bookmarkEnd w:id="19"/>
    </w:p>
    <w:p w:rsidR="007C3AE9" w:rsidRPr="007C3AE9" w:rsidRDefault="007C3AE9" w:rsidP="007C3AE9"/>
    <w:p w:rsidR="00C25D9C" w:rsidRPr="00F4213A" w:rsidRDefault="00E22845" w:rsidP="00590A3C">
      <w:pPr>
        <w:pStyle w:val="ListParagraph"/>
        <w:widowControl/>
        <w:numPr>
          <w:ilvl w:val="1"/>
          <w:numId w:val="2"/>
        </w:numPr>
        <w:rPr>
          <w:szCs w:val="22"/>
        </w:rPr>
      </w:pPr>
      <w:r w:rsidRPr="00F4213A">
        <w:rPr>
          <w:szCs w:val="22"/>
        </w:rPr>
        <w:t xml:space="preserve">This cost </w:t>
      </w:r>
      <w:r w:rsidR="00C32DBA" w:rsidRPr="00F4213A">
        <w:rPr>
          <w:szCs w:val="22"/>
        </w:rPr>
        <w:t>wa</w:t>
      </w:r>
      <w:r w:rsidRPr="00F4213A">
        <w:rPr>
          <w:szCs w:val="22"/>
        </w:rPr>
        <w:t xml:space="preserve">s </w:t>
      </w:r>
      <w:r w:rsidR="00A35784" w:rsidRPr="00F4213A">
        <w:rPr>
          <w:szCs w:val="22"/>
        </w:rPr>
        <w:t>based on the proposed dispensed price per maximum quantity (DPMQ)</w:t>
      </w:r>
      <w:r w:rsidRPr="00F4213A">
        <w:rPr>
          <w:szCs w:val="22"/>
        </w:rPr>
        <w:t>,</w:t>
      </w:r>
      <w:r w:rsidR="00A35784" w:rsidRPr="00F4213A">
        <w:rPr>
          <w:szCs w:val="22"/>
        </w:rPr>
        <w:t xml:space="preserve"> assuming </w:t>
      </w:r>
      <w:r w:rsidRPr="00F4213A">
        <w:rPr>
          <w:szCs w:val="22"/>
        </w:rPr>
        <w:t xml:space="preserve">that </w:t>
      </w:r>
      <w:r w:rsidR="00A35784" w:rsidRPr="00F4213A">
        <w:rPr>
          <w:szCs w:val="22"/>
        </w:rPr>
        <w:t>patients receive 12.2 scripts per year.</w:t>
      </w:r>
    </w:p>
    <w:p w:rsidR="00C25D9C" w:rsidRPr="00F4213A" w:rsidRDefault="00C25D9C" w:rsidP="00C25D9C">
      <w:pPr>
        <w:widowControl/>
        <w:rPr>
          <w:szCs w:val="22"/>
        </w:rPr>
      </w:pPr>
    </w:p>
    <w:p w:rsidR="00894154" w:rsidRPr="00F4213A" w:rsidRDefault="00FC0E53" w:rsidP="00590A3C">
      <w:pPr>
        <w:pStyle w:val="ListParagraph"/>
        <w:widowControl/>
        <w:numPr>
          <w:ilvl w:val="1"/>
          <w:numId w:val="2"/>
        </w:numPr>
        <w:rPr>
          <w:szCs w:val="22"/>
        </w:rPr>
      </w:pPr>
      <w:r w:rsidRPr="00F4213A">
        <w:rPr>
          <w:szCs w:val="22"/>
        </w:rPr>
        <w:t xml:space="preserve">The </w:t>
      </w:r>
      <w:r w:rsidR="00C32DBA" w:rsidRPr="00F4213A">
        <w:rPr>
          <w:szCs w:val="22"/>
        </w:rPr>
        <w:t>proposed DPMQ</w:t>
      </w:r>
      <w:r w:rsidRPr="00F4213A">
        <w:rPr>
          <w:szCs w:val="22"/>
        </w:rPr>
        <w:t xml:space="preserve"> for pa</w:t>
      </w:r>
      <w:r w:rsidR="00C32DBA" w:rsidRPr="00F4213A">
        <w:rPr>
          <w:szCs w:val="22"/>
        </w:rPr>
        <w:t>tients on continuing treatment wa</w:t>
      </w:r>
      <w:r w:rsidRPr="00F4213A">
        <w:rPr>
          <w:szCs w:val="22"/>
        </w:rPr>
        <w:t>s $</w:t>
      </w:r>
      <w:r w:rsidR="00A35868">
        <w:rPr>
          <w:noProof/>
          <w:color w:val="000000"/>
          <w:szCs w:val="22"/>
          <w:highlight w:val="black"/>
        </w:rPr>
        <w:t>''''''''''''''''''''''</w:t>
      </w:r>
      <w:r w:rsidRPr="00F4213A">
        <w:rPr>
          <w:szCs w:val="22"/>
        </w:rPr>
        <w:t xml:space="preserve"> (public) and $</w:t>
      </w:r>
      <w:r w:rsidR="00A35868">
        <w:rPr>
          <w:noProof/>
          <w:color w:val="000000"/>
          <w:szCs w:val="22"/>
          <w:highlight w:val="black"/>
        </w:rPr>
        <w:t>''''''''''''''''''''</w:t>
      </w:r>
      <w:r w:rsidRPr="00F4213A">
        <w:rPr>
          <w:szCs w:val="22"/>
        </w:rPr>
        <w:t xml:space="preserve"> (private). </w:t>
      </w:r>
      <w:r w:rsidR="00894154" w:rsidRPr="00F4213A">
        <w:rPr>
          <w:szCs w:val="22"/>
        </w:rPr>
        <w:t xml:space="preserve">As PAH is a chronic disease, treatment is intended to be ongoing. </w:t>
      </w:r>
    </w:p>
    <w:p w:rsidR="00894154" w:rsidRPr="00F4213A" w:rsidRDefault="00894154" w:rsidP="00894154">
      <w:pPr>
        <w:pStyle w:val="ListParagraph"/>
        <w:widowControl/>
        <w:rPr>
          <w:szCs w:val="22"/>
        </w:rPr>
      </w:pPr>
    </w:p>
    <w:p w:rsidR="00A86E8B" w:rsidRPr="00F4213A" w:rsidRDefault="00894154" w:rsidP="00590A3C">
      <w:pPr>
        <w:pStyle w:val="ListParagraph"/>
        <w:widowControl/>
        <w:numPr>
          <w:ilvl w:val="1"/>
          <w:numId w:val="2"/>
        </w:numPr>
        <w:rPr>
          <w:szCs w:val="22"/>
        </w:rPr>
      </w:pPr>
      <w:r w:rsidRPr="00F4213A">
        <w:rPr>
          <w:szCs w:val="22"/>
        </w:rPr>
        <w:lastRenderedPageBreak/>
        <w:t>The submission propose</w:t>
      </w:r>
      <w:r w:rsidR="00C32DBA" w:rsidRPr="00F4213A">
        <w:rPr>
          <w:szCs w:val="22"/>
        </w:rPr>
        <w:t>d</w:t>
      </w:r>
      <w:r w:rsidRPr="00F4213A">
        <w:rPr>
          <w:szCs w:val="22"/>
        </w:rPr>
        <w:t xml:space="preserve"> a Special Pricing Arrangement (see below).</w:t>
      </w:r>
    </w:p>
    <w:p w:rsidR="00B60939" w:rsidRPr="00F4213A" w:rsidRDefault="00B60939" w:rsidP="001456B0">
      <w:pPr>
        <w:rPr>
          <w:szCs w:val="22"/>
        </w:rPr>
      </w:pPr>
    </w:p>
    <w:p w:rsidR="00B60939" w:rsidRPr="00F4213A" w:rsidRDefault="00B60939" w:rsidP="007170EE">
      <w:pPr>
        <w:pStyle w:val="Heading2"/>
      </w:pPr>
      <w:bookmarkStart w:id="20" w:name="_Toc440892688"/>
      <w:r w:rsidRPr="00F4213A">
        <w:t>Estimated PBS usage &amp; financial implications</w:t>
      </w:r>
      <w:bookmarkEnd w:id="20"/>
    </w:p>
    <w:p w:rsidR="00B60939" w:rsidRPr="00F4213A" w:rsidRDefault="00B60939" w:rsidP="00B60939">
      <w:pPr>
        <w:ind w:left="720" w:hanging="720"/>
        <w:rPr>
          <w:b/>
          <w:szCs w:val="22"/>
        </w:rPr>
      </w:pPr>
    </w:p>
    <w:p w:rsidR="00AA0F3F" w:rsidRDefault="00AA0F3F" w:rsidP="00AA0F3F">
      <w:pPr>
        <w:pStyle w:val="ListParagraph"/>
        <w:widowControl/>
        <w:numPr>
          <w:ilvl w:val="1"/>
          <w:numId w:val="2"/>
        </w:numPr>
        <w:rPr>
          <w:szCs w:val="22"/>
        </w:rPr>
      </w:pPr>
      <w:r w:rsidRPr="006C537E">
        <w:rPr>
          <w:szCs w:val="22"/>
        </w:rPr>
        <w:t xml:space="preserve">This submission </w:t>
      </w:r>
      <w:r>
        <w:rPr>
          <w:szCs w:val="22"/>
        </w:rPr>
        <w:t>was</w:t>
      </w:r>
      <w:r w:rsidRPr="006C537E">
        <w:rPr>
          <w:szCs w:val="22"/>
        </w:rPr>
        <w:t xml:space="preserve"> not considered by DUSC.</w:t>
      </w:r>
    </w:p>
    <w:p w:rsidR="00AA0F3F" w:rsidRPr="00AA0F3F" w:rsidRDefault="00AA0F3F" w:rsidP="00AA0F3F">
      <w:pPr>
        <w:pStyle w:val="ListParagraph"/>
        <w:widowControl/>
        <w:rPr>
          <w:szCs w:val="22"/>
        </w:rPr>
      </w:pPr>
    </w:p>
    <w:p w:rsidR="00AA0F3F" w:rsidRPr="00AA0F3F" w:rsidRDefault="00AA0F3F" w:rsidP="00AA0F3F">
      <w:pPr>
        <w:pStyle w:val="ListParagraph"/>
        <w:widowControl/>
        <w:numPr>
          <w:ilvl w:val="1"/>
          <w:numId w:val="2"/>
        </w:numPr>
        <w:rPr>
          <w:szCs w:val="22"/>
        </w:rPr>
      </w:pPr>
      <w:r w:rsidRPr="00AA0F3F">
        <w:rPr>
          <w:szCs w:val="22"/>
        </w:rPr>
        <w:t>The submission used a market-share approach to estimate the extent of use and financial implications associated with the listing of selexipag, based on the estimated uptake of selexipag in patients currently accessing first-line PAH agents on the PBS. This approach was reasonable.</w:t>
      </w:r>
    </w:p>
    <w:p w:rsidR="00AA0F3F" w:rsidRPr="006C537E" w:rsidRDefault="00AA0F3F" w:rsidP="00AA0F3F">
      <w:pPr>
        <w:pStyle w:val="ListParagraph"/>
        <w:widowControl/>
        <w:rPr>
          <w:szCs w:val="22"/>
        </w:rPr>
      </w:pPr>
    </w:p>
    <w:p w:rsidR="00AA0F3F" w:rsidRPr="006C537E" w:rsidRDefault="00AA0F3F" w:rsidP="00AA0F3F">
      <w:pPr>
        <w:pStyle w:val="ListParagraph"/>
        <w:widowControl/>
        <w:numPr>
          <w:ilvl w:val="1"/>
          <w:numId w:val="2"/>
        </w:numPr>
        <w:rPr>
          <w:szCs w:val="22"/>
        </w:rPr>
      </w:pPr>
      <w:r>
        <w:rPr>
          <w:szCs w:val="22"/>
        </w:rPr>
        <w:t>The estimated use and financial implications are summarised in the table below.</w:t>
      </w:r>
    </w:p>
    <w:p w:rsidR="00AA0F3F" w:rsidRDefault="00AA0F3F">
      <w:pPr>
        <w:widowControl/>
        <w:jc w:val="left"/>
        <w:rPr>
          <w:rFonts w:ascii="Arial Narrow" w:hAnsi="Arial Narrow"/>
          <w:b/>
          <w:bCs/>
          <w:sz w:val="20"/>
          <w:szCs w:val="18"/>
        </w:rPr>
      </w:pPr>
      <w:bookmarkStart w:id="21" w:name="_Ref438466848"/>
    </w:p>
    <w:p w:rsidR="00AA0F3F" w:rsidRPr="005C7F65" w:rsidRDefault="00AA0F3F" w:rsidP="00AA0F3F">
      <w:pPr>
        <w:pStyle w:val="Caption"/>
        <w:ind w:left="709"/>
      </w:pPr>
      <w:r>
        <w:t xml:space="preserve">Table </w:t>
      </w:r>
      <w:bookmarkEnd w:id="21"/>
      <w:r w:rsidR="00AC2CB0">
        <w:t>10</w:t>
      </w:r>
      <w:r>
        <w:t xml:space="preserve">: </w:t>
      </w:r>
      <w:r w:rsidRPr="005C7F65">
        <w:t>Estimated use and financial implications</w:t>
      </w:r>
      <w:r>
        <w:t xml:space="preserve"> to the PBS/RPBS</w:t>
      </w:r>
    </w:p>
    <w:tbl>
      <w:tblPr>
        <w:tblW w:w="460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3"/>
        <w:gridCol w:w="1135"/>
        <w:gridCol w:w="1131"/>
        <w:gridCol w:w="1138"/>
        <w:gridCol w:w="1275"/>
        <w:gridCol w:w="1136"/>
      </w:tblGrid>
      <w:tr w:rsidR="00AA0F3F" w:rsidRPr="00887E7E" w:rsidTr="007C3AE9">
        <w:trPr>
          <w:tblHeader/>
        </w:trPr>
        <w:tc>
          <w:tcPr>
            <w:tcW w:w="1525" w:type="pct"/>
            <w:shd w:val="clear" w:color="auto" w:fill="auto"/>
            <w:vAlign w:val="center"/>
          </w:tcPr>
          <w:p w:rsidR="00AA0F3F" w:rsidRPr="00887E7E" w:rsidRDefault="00AA0F3F" w:rsidP="007C3AE9">
            <w:pPr>
              <w:tabs>
                <w:tab w:val="left" w:pos="142"/>
              </w:tabs>
              <w:jc w:val="left"/>
              <w:rPr>
                <w:rFonts w:ascii="Arial Narrow" w:hAnsi="Arial Narrow"/>
                <w:b/>
                <w:sz w:val="20"/>
              </w:rPr>
            </w:pPr>
          </w:p>
        </w:tc>
        <w:tc>
          <w:tcPr>
            <w:tcW w:w="678" w:type="pct"/>
            <w:shd w:val="clear" w:color="auto" w:fill="auto"/>
            <w:vAlign w:val="center"/>
          </w:tcPr>
          <w:p w:rsidR="00AA0F3F" w:rsidRPr="00887E7E" w:rsidRDefault="00AA0F3F" w:rsidP="007C3AE9">
            <w:pPr>
              <w:jc w:val="center"/>
              <w:rPr>
                <w:rFonts w:ascii="Arial Narrow" w:hAnsi="Arial Narrow"/>
                <w:b/>
                <w:sz w:val="20"/>
              </w:rPr>
            </w:pPr>
            <w:r w:rsidRPr="00887E7E">
              <w:rPr>
                <w:rFonts w:ascii="Arial Narrow" w:hAnsi="Arial Narrow"/>
                <w:b/>
                <w:sz w:val="20"/>
              </w:rPr>
              <w:t>Year 1</w:t>
            </w:r>
          </w:p>
        </w:tc>
        <w:tc>
          <w:tcPr>
            <w:tcW w:w="676" w:type="pct"/>
            <w:shd w:val="clear" w:color="auto" w:fill="auto"/>
            <w:vAlign w:val="center"/>
          </w:tcPr>
          <w:p w:rsidR="00AA0F3F" w:rsidRPr="00887E7E" w:rsidRDefault="00AA0F3F" w:rsidP="007C3AE9">
            <w:pPr>
              <w:jc w:val="center"/>
              <w:rPr>
                <w:rFonts w:ascii="Arial Narrow" w:hAnsi="Arial Narrow"/>
                <w:b/>
                <w:sz w:val="20"/>
              </w:rPr>
            </w:pPr>
            <w:r w:rsidRPr="00887E7E">
              <w:rPr>
                <w:rFonts w:ascii="Arial Narrow" w:hAnsi="Arial Narrow"/>
                <w:b/>
                <w:sz w:val="20"/>
              </w:rPr>
              <w:t>Year 2</w:t>
            </w:r>
          </w:p>
        </w:tc>
        <w:tc>
          <w:tcPr>
            <w:tcW w:w="680" w:type="pct"/>
            <w:shd w:val="clear" w:color="auto" w:fill="auto"/>
            <w:vAlign w:val="center"/>
          </w:tcPr>
          <w:p w:rsidR="00AA0F3F" w:rsidRPr="00887E7E" w:rsidRDefault="00AA0F3F" w:rsidP="007C3AE9">
            <w:pPr>
              <w:jc w:val="center"/>
              <w:rPr>
                <w:rFonts w:ascii="Arial Narrow" w:hAnsi="Arial Narrow"/>
                <w:b/>
                <w:sz w:val="20"/>
              </w:rPr>
            </w:pPr>
            <w:r w:rsidRPr="00887E7E">
              <w:rPr>
                <w:rFonts w:ascii="Arial Narrow" w:hAnsi="Arial Narrow"/>
                <w:b/>
                <w:sz w:val="20"/>
              </w:rPr>
              <w:t>Year 3</w:t>
            </w:r>
          </w:p>
        </w:tc>
        <w:tc>
          <w:tcPr>
            <w:tcW w:w="762" w:type="pct"/>
            <w:shd w:val="clear" w:color="auto" w:fill="auto"/>
            <w:vAlign w:val="center"/>
          </w:tcPr>
          <w:p w:rsidR="00AA0F3F" w:rsidRPr="00887E7E" w:rsidRDefault="00AA0F3F" w:rsidP="007C3AE9">
            <w:pPr>
              <w:jc w:val="center"/>
              <w:rPr>
                <w:rFonts w:ascii="Arial Narrow" w:hAnsi="Arial Narrow"/>
                <w:b/>
                <w:sz w:val="20"/>
              </w:rPr>
            </w:pPr>
            <w:r w:rsidRPr="00887E7E">
              <w:rPr>
                <w:rFonts w:ascii="Arial Narrow" w:hAnsi="Arial Narrow"/>
                <w:b/>
                <w:sz w:val="20"/>
              </w:rPr>
              <w:t>Year 4</w:t>
            </w:r>
          </w:p>
        </w:tc>
        <w:tc>
          <w:tcPr>
            <w:tcW w:w="680" w:type="pct"/>
            <w:shd w:val="clear" w:color="auto" w:fill="auto"/>
            <w:vAlign w:val="center"/>
          </w:tcPr>
          <w:p w:rsidR="00AA0F3F" w:rsidRPr="00887E7E" w:rsidRDefault="00AA0F3F" w:rsidP="007C3AE9">
            <w:pPr>
              <w:jc w:val="center"/>
              <w:rPr>
                <w:rFonts w:ascii="Arial Narrow" w:hAnsi="Arial Narrow"/>
                <w:b/>
                <w:sz w:val="20"/>
              </w:rPr>
            </w:pPr>
            <w:r w:rsidRPr="00887E7E">
              <w:rPr>
                <w:rFonts w:ascii="Arial Narrow" w:hAnsi="Arial Narrow"/>
                <w:b/>
                <w:sz w:val="20"/>
              </w:rPr>
              <w:t>Year 5</w:t>
            </w:r>
          </w:p>
        </w:tc>
      </w:tr>
      <w:tr w:rsidR="00AA0F3F" w:rsidRPr="00887E7E" w:rsidTr="007C3AE9">
        <w:tc>
          <w:tcPr>
            <w:tcW w:w="5000" w:type="pct"/>
            <w:gridSpan w:val="6"/>
            <w:shd w:val="clear" w:color="auto" w:fill="auto"/>
            <w:vAlign w:val="center"/>
          </w:tcPr>
          <w:p w:rsidR="00AA0F3F" w:rsidRPr="00887E7E" w:rsidRDefault="00AA0F3F" w:rsidP="007C3AE9">
            <w:pPr>
              <w:jc w:val="left"/>
              <w:rPr>
                <w:rFonts w:ascii="Arial Narrow" w:hAnsi="Arial Narrow"/>
                <w:b/>
                <w:bCs/>
                <w:color w:val="000000"/>
                <w:sz w:val="20"/>
              </w:rPr>
            </w:pPr>
            <w:r w:rsidRPr="00887E7E">
              <w:rPr>
                <w:rFonts w:ascii="Arial Narrow" w:hAnsi="Arial Narrow"/>
                <w:b/>
                <w:bCs/>
                <w:color w:val="000000"/>
                <w:sz w:val="20"/>
              </w:rPr>
              <w:t>Estimated extent of use</w:t>
            </w:r>
          </w:p>
        </w:tc>
      </w:tr>
      <w:tr w:rsidR="00AA0F3F" w:rsidRPr="00887E7E" w:rsidTr="007C3AE9">
        <w:tc>
          <w:tcPr>
            <w:tcW w:w="1525" w:type="pct"/>
            <w:shd w:val="clear" w:color="auto" w:fill="auto"/>
            <w:vAlign w:val="center"/>
          </w:tcPr>
          <w:p w:rsidR="00AA0F3F" w:rsidRPr="00887E7E" w:rsidRDefault="00AA0F3F" w:rsidP="007C3AE9">
            <w:pPr>
              <w:tabs>
                <w:tab w:val="left" w:pos="142"/>
              </w:tabs>
              <w:jc w:val="left"/>
              <w:rPr>
                <w:rFonts w:ascii="Arial Narrow" w:hAnsi="Arial Narrow"/>
                <w:sz w:val="20"/>
              </w:rPr>
            </w:pPr>
            <w:r w:rsidRPr="00887E7E">
              <w:rPr>
                <w:rFonts w:ascii="Arial Narrow" w:hAnsi="Arial Narrow"/>
                <w:sz w:val="20"/>
              </w:rPr>
              <w:t>Number treated</w:t>
            </w:r>
          </w:p>
        </w:tc>
        <w:tc>
          <w:tcPr>
            <w:tcW w:w="678" w:type="pct"/>
            <w:shd w:val="clear" w:color="auto" w:fill="auto"/>
          </w:tcPr>
          <w:p w:rsidR="00AA0F3F" w:rsidRPr="00A35868" w:rsidRDefault="00A35868" w:rsidP="007C3AE9">
            <w:pPr>
              <w:pStyle w:val="Tabletext"/>
              <w:jc w:val="center"/>
              <w:rPr>
                <w:bCs/>
                <w:color w:val="000000"/>
                <w:highlight w:val="black"/>
              </w:rPr>
            </w:pPr>
            <w:r>
              <w:rPr>
                <w:noProof/>
                <w:color w:val="000000"/>
                <w:highlight w:val="black"/>
              </w:rPr>
              <w:t>'''''''''</w:t>
            </w:r>
          </w:p>
        </w:tc>
        <w:tc>
          <w:tcPr>
            <w:tcW w:w="676" w:type="pct"/>
            <w:shd w:val="clear" w:color="auto" w:fill="auto"/>
          </w:tcPr>
          <w:p w:rsidR="00AA0F3F" w:rsidRPr="00A35868" w:rsidRDefault="00A35868" w:rsidP="007C3AE9">
            <w:pPr>
              <w:pStyle w:val="Tabletext"/>
              <w:jc w:val="center"/>
              <w:rPr>
                <w:bCs/>
                <w:color w:val="000000"/>
                <w:highlight w:val="black"/>
              </w:rPr>
            </w:pPr>
            <w:r>
              <w:rPr>
                <w:noProof/>
                <w:color w:val="000000"/>
                <w:highlight w:val="black"/>
              </w:rPr>
              <w:t>''''''''</w:t>
            </w:r>
          </w:p>
        </w:tc>
        <w:tc>
          <w:tcPr>
            <w:tcW w:w="680" w:type="pct"/>
            <w:shd w:val="clear" w:color="auto" w:fill="auto"/>
          </w:tcPr>
          <w:p w:rsidR="00AA0F3F" w:rsidRPr="00A35868" w:rsidRDefault="00A35868" w:rsidP="007C3AE9">
            <w:pPr>
              <w:pStyle w:val="Tabletext"/>
              <w:jc w:val="center"/>
              <w:rPr>
                <w:bCs/>
                <w:color w:val="000000"/>
                <w:highlight w:val="black"/>
              </w:rPr>
            </w:pPr>
            <w:r>
              <w:rPr>
                <w:noProof/>
                <w:color w:val="000000"/>
                <w:highlight w:val="black"/>
              </w:rPr>
              <w:t>'''''''''''''''</w:t>
            </w:r>
          </w:p>
        </w:tc>
        <w:tc>
          <w:tcPr>
            <w:tcW w:w="762" w:type="pct"/>
            <w:shd w:val="clear" w:color="auto" w:fill="auto"/>
          </w:tcPr>
          <w:p w:rsidR="00AA0F3F" w:rsidRPr="00A35868" w:rsidRDefault="00A35868" w:rsidP="007C3AE9">
            <w:pPr>
              <w:pStyle w:val="Tabletext"/>
              <w:jc w:val="center"/>
              <w:rPr>
                <w:bCs/>
                <w:color w:val="000000"/>
                <w:highlight w:val="black"/>
              </w:rPr>
            </w:pPr>
            <w:r>
              <w:rPr>
                <w:noProof/>
                <w:color w:val="000000"/>
                <w:highlight w:val="black"/>
              </w:rPr>
              <w:t>''''''''''''</w:t>
            </w:r>
          </w:p>
        </w:tc>
        <w:tc>
          <w:tcPr>
            <w:tcW w:w="680" w:type="pct"/>
            <w:shd w:val="clear" w:color="auto" w:fill="auto"/>
          </w:tcPr>
          <w:p w:rsidR="00AA0F3F" w:rsidRPr="00A35868" w:rsidRDefault="00A35868" w:rsidP="007C3AE9">
            <w:pPr>
              <w:pStyle w:val="Tabletext"/>
              <w:jc w:val="center"/>
              <w:rPr>
                <w:bCs/>
                <w:color w:val="000000"/>
                <w:highlight w:val="black"/>
              </w:rPr>
            </w:pPr>
            <w:r>
              <w:rPr>
                <w:noProof/>
                <w:color w:val="000000"/>
                <w:highlight w:val="black"/>
              </w:rPr>
              <w:t>''''''''''''</w:t>
            </w:r>
          </w:p>
        </w:tc>
      </w:tr>
      <w:tr w:rsidR="00AA0F3F" w:rsidRPr="00887E7E" w:rsidTr="007C3AE9">
        <w:tc>
          <w:tcPr>
            <w:tcW w:w="1525" w:type="pct"/>
            <w:shd w:val="clear" w:color="auto" w:fill="auto"/>
            <w:vAlign w:val="center"/>
          </w:tcPr>
          <w:p w:rsidR="00AA0F3F" w:rsidRPr="00887E7E" w:rsidRDefault="00AA0F3F" w:rsidP="007C3AE9">
            <w:pPr>
              <w:tabs>
                <w:tab w:val="left" w:pos="142"/>
              </w:tabs>
              <w:jc w:val="left"/>
              <w:rPr>
                <w:rFonts w:ascii="Arial Narrow" w:hAnsi="Arial Narrow"/>
                <w:sz w:val="20"/>
              </w:rPr>
            </w:pPr>
            <w:r w:rsidRPr="00887E7E">
              <w:rPr>
                <w:rFonts w:ascii="Arial Narrow" w:hAnsi="Arial Narrow"/>
                <w:sz w:val="20"/>
              </w:rPr>
              <w:t>Market share</w:t>
            </w:r>
          </w:p>
        </w:tc>
        <w:tc>
          <w:tcPr>
            <w:tcW w:w="678" w:type="pct"/>
            <w:shd w:val="clear" w:color="auto" w:fill="auto"/>
          </w:tcPr>
          <w:p w:rsidR="00AA0F3F" w:rsidRPr="00887E7E" w:rsidRDefault="00AA0F3F" w:rsidP="007C3AE9">
            <w:pPr>
              <w:pStyle w:val="Tabletext"/>
              <w:jc w:val="center"/>
            </w:pPr>
            <w:r w:rsidRPr="00887E7E">
              <w:t>20%</w:t>
            </w:r>
          </w:p>
        </w:tc>
        <w:tc>
          <w:tcPr>
            <w:tcW w:w="676" w:type="pct"/>
            <w:shd w:val="clear" w:color="auto" w:fill="auto"/>
          </w:tcPr>
          <w:p w:rsidR="00AA0F3F" w:rsidRPr="00887E7E" w:rsidRDefault="00AA0F3F" w:rsidP="007C3AE9">
            <w:pPr>
              <w:pStyle w:val="Tabletext"/>
              <w:jc w:val="center"/>
            </w:pPr>
            <w:r w:rsidRPr="00887E7E">
              <w:t>30%</w:t>
            </w:r>
          </w:p>
        </w:tc>
        <w:tc>
          <w:tcPr>
            <w:tcW w:w="680" w:type="pct"/>
            <w:shd w:val="clear" w:color="auto" w:fill="auto"/>
          </w:tcPr>
          <w:p w:rsidR="00AA0F3F" w:rsidRPr="00887E7E" w:rsidRDefault="00AA0F3F" w:rsidP="007C3AE9">
            <w:pPr>
              <w:pStyle w:val="Tabletext"/>
              <w:jc w:val="center"/>
            </w:pPr>
            <w:r w:rsidRPr="00887E7E">
              <w:t>40%</w:t>
            </w:r>
          </w:p>
        </w:tc>
        <w:tc>
          <w:tcPr>
            <w:tcW w:w="762" w:type="pct"/>
            <w:shd w:val="clear" w:color="auto" w:fill="auto"/>
          </w:tcPr>
          <w:p w:rsidR="00AA0F3F" w:rsidRPr="00887E7E" w:rsidRDefault="00AA0F3F" w:rsidP="007C3AE9">
            <w:pPr>
              <w:pStyle w:val="Tabletext"/>
              <w:jc w:val="center"/>
            </w:pPr>
            <w:r w:rsidRPr="00887E7E">
              <w:t>45%</w:t>
            </w:r>
          </w:p>
        </w:tc>
        <w:tc>
          <w:tcPr>
            <w:tcW w:w="680" w:type="pct"/>
            <w:shd w:val="clear" w:color="auto" w:fill="auto"/>
          </w:tcPr>
          <w:p w:rsidR="00AA0F3F" w:rsidRPr="00887E7E" w:rsidRDefault="00AA0F3F" w:rsidP="007C3AE9">
            <w:pPr>
              <w:pStyle w:val="Tabletext"/>
              <w:jc w:val="center"/>
            </w:pPr>
            <w:r w:rsidRPr="00887E7E">
              <w:t>50%</w:t>
            </w:r>
          </w:p>
        </w:tc>
      </w:tr>
      <w:tr w:rsidR="00AA0F3F" w:rsidRPr="00887E7E" w:rsidTr="007C3AE9">
        <w:tc>
          <w:tcPr>
            <w:tcW w:w="1525" w:type="pct"/>
            <w:shd w:val="clear" w:color="auto" w:fill="auto"/>
            <w:vAlign w:val="center"/>
          </w:tcPr>
          <w:p w:rsidR="00AA0F3F" w:rsidRPr="00887E7E" w:rsidRDefault="00AA0F3F" w:rsidP="007C3AE9">
            <w:pPr>
              <w:tabs>
                <w:tab w:val="left" w:pos="142"/>
              </w:tabs>
              <w:jc w:val="left"/>
              <w:rPr>
                <w:rFonts w:ascii="Arial Narrow" w:hAnsi="Arial Narrow"/>
                <w:sz w:val="20"/>
              </w:rPr>
            </w:pPr>
            <w:r w:rsidRPr="00887E7E">
              <w:rPr>
                <w:rFonts w:ascii="Arial Narrow" w:hAnsi="Arial Narrow"/>
                <w:sz w:val="20"/>
              </w:rPr>
              <w:t>Packs</w:t>
            </w:r>
            <w:r w:rsidRPr="00887E7E">
              <w:rPr>
                <w:rFonts w:ascii="Arial Narrow" w:hAnsi="Arial Narrow"/>
                <w:sz w:val="20"/>
                <w:vertAlign w:val="superscript"/>
              </w:rPr>
              <w:t>a</w:t>
            </w:r>
          </w:p>
        </w:tc>
        <w:tc>
          <w:tcPr>
            <w:tcW w:w="678" w:type="pct"/>
            <w:shd w:val="clear" w:color="auto" w:fill="auto"/>
            <w:vAlign w:val="center"/>
          </w:tcPr>
          <w:p w:rsidR="00AA0F3F" w:rsidRPr="00A35868" w:rsidRDefault="00A35868" w:rsidP="007C3AE9">
            <w:pPr>
              <w:pStyle w:val="Tabletext"/>
              <w:jc w:val="center"/>
              <w:rPr>
                <w:highlight w:val="black"/>
              </w:rPr>
            </w:pPr>
            <w:r>
              <w:rPr>
                <w:noProof/>
                <w:color w:val="000000"/>
                <w:highlight w:val="black"/>
              </w:rPr>
              <w:t>''''''''''''</w:t>
            </w:r>
          </w:p>
        </w:tc>
        <w:tc>
          <w:tcPr>
            <w:tcW w:w="676" w:type="pct"/>
            <w:shd w:val="clear" w:color="auto" w:fill="auto"/>
            <w:vAlign w:val="center"/>
          </w:tcPr>
          <w:p w:rsidR="00AA0F3F" w:rsidRPr="00A35868" w:rsidRDefault="00A35868" w:rsidP="007C3AE9">
            <w:pPr>
              <w:pStyle w:val="Tabletext"/>
              <w:jc w:val="center"/>
              <w:rPr>
                <w:highlight w:val="black"/>
              </w:rPr>
            </w:pPr>
            <w:r>
              <w:rPr>
                <w:noProof/>
                <w:color w:val="000000"/>
                <w:highlight w:val="black"/>
              </w:rPr>
              <w:t>''''''''''''</w:t>
            </w:r>
          </w:p>
        </w:tc>
        <w:tc>
          <w:tcPr>
            <w:tcW w:w="680" w:type="pct"/>
            <w:shd w:val="clear" w:color="auto" w:fill="auto"/>
            <w:vAlign w:val="center"/>
          </w:tcPr>
          <w:p w:rsidR="00AA0F3F" w:rsidRPr="00A35868" w:rsidRDefault="00A35868" w:rsidP="007C3AE9">
            <w:pPr>
              <w:pStyle w:val="Tabletext"/>
              <w:jc w:val="center"/>
              <w:rPr>
                <w:highlight w:val="black"/>
              </w:rPr>
            </w:pPr>
            <w:r>
              <w:rPr>
                <w:noProof/>
                <w:color w:val="000000"/>
                <w:highlight w:val="black"/>
              </w:rPr>
              <w:t>''''''''''''''''</w:t>
            </w:r>
          </w:p>
        </w:tc>
        <w:tc>
          <w:tcPr>
            <w:tcW w:w="762" w:type="pct"/>
            <w:shd w:val="clear" w:color="auto" w:fill="auto"/>
            <w:vAlign w:val="center"/>
          </w:tcPr>
          <w:p w:rsidR="00AA0F3F" w:rsidRPr="00A35868" w:rsidRDefault="00A35868" w:rsidP="007C3AE9">
            <w:pPr>
              <w:pStyle w:val="Tabletext"/>
              <w:jc w:val="center"/>
              <w:rPr>
                <w:highlight w:val="black"/>
              </w:rPr>
            </w:pPr>
            <w:r>
              <w:rPr>
                <w:noProof/>
                <w:color w:val="000000"/>
                <w:highlight w:val="black"/>
              </w:rPr>
              <w:t>'''''''''''''''</w:t>
            </w:r>
          </w:p>
        </w:tc>
        <w:tc>
          <w:tcPr>
            <w:tcW w:w="680" w:type="pct"/>
            <w:shd w:val="clear" w:color="auto" w:fill="auto"/>
            <w:vAlign w:val="center"/>
          </w:tcPr>
          <w:p w:rsidR="00AA0F3F" w:rsidRPr="00A35868" w:rsidRDefault="00A35868" w:rsidP="007C3AE9">
            <w:pPr>
              <w:pStyle w:val="Tabletext"/>
              <w:jc w:val="center"/>
              <w:rPr>
                <w:highlight w:val="black"/>
              </w:rPr>
            </w:pPr>
            <w:r>
              <w:rPr>
                <w:noProof/>
                <w:color w:val="000000"/>
                <w:highlight w:val="black"/>
              </w:rPr>
              <w:t>'''''''''''''''</w:t>
            </w:r>
          </w:p>
        </w:tc>
      </w:tr>
      <w:tr w:rsidR="00AA0F3F" w:rsidRPr="00887E7E" w:rsidTr="007C3AE9">
        <w:tc>
          <w:tcPr>
            <w:tcW w:w="5000" w:type="pct"/>
            <w:gridSpan w:val="6"/>
            <w:shd w:val="clear" w:color="auto" w:fill="auto"/>
            <w:vAlign w:val="center"/>
          </w:tcPr>
          <w:p w:rsidR="00AA0F3F" w:rsidRPr="00887E7E" w:rsidRDefault="00AA0F3F" w:rsidP="007C3AE9">
            <w:pPr>
              <w:jc w:val="left"/>
              <w:rPr>
                <w:rFonts w:ascii="Arial Narrow" w:hAnsi="Arial Narrow"/>
                <w:b/>
                <w:bCs/>
                <w:color w:val="000000"/>
                <w:sz w:val="20"/>
              </w:rPr>
            </w:pPr>
            <w:r w:rsidRPr="00887E7E">
              <w:rPr>
                <w:rFonts w:ascii="Arial Narrow" w:hAnsi="Arial Narrow"/>
                <w:b/>
                <w:bCs/>
                <w:color w:val="000000"/>
                <w:sz w:val="20"/>
              </w:rPr>
              <w:t>Estimated net cost to PBS/RPBS</w:t>
            </w:r>
          </w:p>
        </w:tc>
      </w:tr>
      <w:tr w:rsidR="00AA0F3F" w:rsidRPr="00887E7E" w:rsidTr="007C3AE9">
        <w:tc>
          <w:tcPr>
            <w:tcW w:w="1525" w:type="pct"/>
            <w:shd w:val="clear" w:color="auto" w:fill="auto"/>
            <w:vAlign w:val="center"/>
          </w:tcPr>
          <w:p w:rsidR="00AA0F3F" w:rsidRPr="00887E7E" w:rsidRDefault="00AA0F3F" w:rsidP="007C3AE9">
            <w:pPr>
              <w:tabs>
                <w:tab w:val="left" w:pos="142"/>
              </w:tabs>
              <w:jc w:val="left"/>
              <w:rPr>
                <w:rFonts w:ascii="Arial Narrow" w:hAnsi="Arial Narrow"/>
                <w:b/>
                <w:sz w:val="20"/>
              </w:rPr>
            </w:pPr>
            <w:r w:rsidRPr="00887E7E">
              <w:rPr>
                <w:rFonts w:ascii="Arial Narrow" w:hAnsi="Arial Narrow"/>
                <w:b/>
                <w:sz w:val="20"/>
              </w:rPr>
              <w:t>Net cost to PBS/RPBS</w:t>
            </w:r>
          </w:p>
        </w:tc>
        <w:tc>
          <w:tcPr>
            <w:tcW w:w="678" w:type="pct"/>
            <w:shd w:val="clear" w:color="auto" w:fill="auto"/>
            <w:vAlign w:val="center"/>
          </w:tcPr>
          <w:p w:rsidR="00AA0F3F" w:rsidRPr="00887E7E" w:rsidRDefault="00AA0F3F" w:rsidP="007C3AE9">
            <w:pPr>
              <w:jc w:val="right"/>
              <w:rPr>
                <w:rFonts w:ascii="Arial Narrow" w:hAnsi="Arial Narrow"/>
                <w:bCs/>
                <w:color w:val="000000"/>
                <w:sz w:val="20"/>
              </w:rPr>
            </w:pPr>
            <w:r w:rsidRPr="00887E7E">
              <w:rPr>
                <w:rFonts w:ascii="Arial Narrow" w:hAnsi="Arial Narrow"/>
                <w:b/>
                <w:sz w:val="20"/>
              </w:rPr>
              <w:t>$</w:t>
            </w:r>
            <w:r w:rsidR="00A35868">
              <w:rPr>
                <w:rFonts w:ascii="Arial Narrow" w:hAnsi="Arial Narrow"/>
                <w:b/>
                <w:noProof/>
                <w:color w:val="000000"/>
                <w:sz w:val="20"/>
                <w:highlight w:val="black"/>
              </w:rPr>
              <w:t>'''''''''''''''''''</w:t>
            </w:r>
          </w:p>
        </w:tc>
        <w:tc>
          <w:tcPr>
            <w:tcW w:w="676" w:type="pct"/>
            <w:shd w:val="clear" w:color="auto" w:fill="auto"/>
            <w:vAlign w:val="center"/>
          </w:tcPr>
          <w:p w:rsidR="00AA0F3F" w:rsidRPr="00887E7E" w:rsidRDefault="00AA0F3F" w:rsidP="007C3AE9">
            <w:pPr>
              <w:jc w:val="right"/>
              <w:rPr>
                <w:rFonts w:ascii="Arial Narrow" w:hAnsi="Arial Narrow"/>
                <w:bCs/>
                <w:color w:val="000000"/>
                <w:sz w:val="20"/>
              </w:rPr>
            </w:pPr>
            <w:r w:rsidRPr="00887E7E">
              <w:rPr>
                <w:rFonts w:ascii="Arial Narrow" w:hAnsi="Arial Narrow"/>
                <w:b/>
                <w:sz w:val="20"/>
              </w:rPr>
              <w:t>$</w:t>
            </w:r>
            <w:r w:rsidR="00A35868">
              <w:rPr>
                <w:rFonts w:ascii="Arial Narrow" w:hAnsi="Arial Narrow"/>
                <w:b/>
                <w:noProof/>
                <w:color w:val="000000"/>
                <w:sz w:val="20"/>
                <w:highlight w:val="black"/>
              </w:rPr>
              <w:t>''''''''''''''''''''''''</w:t>
            </w:r>
          </w:p>
        </w:tc>
        <w:tc>
          <w:tcPr>
            <w:tcW w:w="680" w:type="pct"/>
            <w:shd w:val="clear" w:color="auto" w:fill="auto"/>
            <w:vAlign w:val="center"/>
          </w:tcPr>
          <w:p w:rsidR="00AA0F3F" w:rsidRPr="00887E7E" w:rsidRDefault="00AA0F3F" w:rsidP="007C3AE9">
            <w:pPr>
              <w:jc w:val="right"/>
              <w:rPr>
                <w:rFonts w:ascii="Arial Narrow" w:hAnsi="Arial Narrow"/>
                <w:bCs/>
                <w:color w:val="000000"/>
                <w:sz w:val="20"/>
              </w:rPr>
            </w:pPr>
            <w:r w:rsidRPr="00887E7E">
              <w:rPr>
                <w:rFonts w:ascii="Arial Narrow" w:hAnsi="Arial Narrow"/>
                <w:b/>
                <w:sz w:val="20"/>
              </w:rPr>
              <w:t>$</w:t>
            </w:r>
            <w:r w:rsidR="00A35868">
              <w:rPr>
                <w:rFonts w:ascii="Arial Narrow" w:hAnsi="Arial Narrow"/>
                <w:b/>
                <w:noProof/>
                <w:color w:val="000000"/>
                <w:sz w:val="20"/>
                <w:highlight w:val="black"/>
              </w:rPr>
              <w:t>'''''''''''''''''''''</w:t>
            </w:r>
          </w:p>
        </w:tc>
        <w:tc>
          <w:tcPr>
            <w:tcW w:w="762" w:type="pct"/>
            <w:shd w:val="clear" w:color="auto" w:fill="auto"/>
            <w:vAlign w:val="center"/>
          </w:tcPr>
          <w:p w:rsidR="00AA0F3F" w:rsidRPr="00887E7E" w:rsidRDefault="00AA0F3F" w:rsidP="007C3AE9">
            <w:pPr>
              <w:jc w:val="right"/>
              <w:rPr>
                <w:rFonts w:ascii="Arial Narrow" w:hAnsi="Arial Narrow"/>
                <w:bCs/>
                <w:color w:val="000000"/>
                <w:sz w:val="20"/>
              </w:rPr>
            </w:pPr>
            <w:r w:rsidRPr="00887E7E">
              <w:rPr>
                <w:rFonts w:ascii="Arial Narrow" w:hAnsi="Arial Narrow"/>
                <w:b/>
                <w:sz w:val="20"/>
              </w:rPr>
              <w:t>$</w:t>
            </w:r>
            <w:r w:rsidR="00A35868">
              <w:rPr>
                <w:rFonts w:ascii="Arial Narrow" w:hAnsi="Arial Narrow"/>
                <w:b/>
                <w:noProof/>
                <w:color w:val="000000"/>
                <w:sz w:val="20"/>
                <w:highlight w:val="black"/>
              </w:rPr>
              <w:t>'''''''''''''''''''''</w:t>
            </w:r>
          </w:p>
        </w:tc>
        <w:tc>
          <w:tcPr>
            <w:tcW w:w="680" w:type="pct"/>
            <w:shd w:val="clear" w:color="auto" w:fill="auto"/>
            <w:vAlign w:val="center"/>
          </w:tcPr>
          <w:p w:rsidR="00AA0F3F" w:rsidRPr="00887E7E" w:rsidRDefault="00AA0F3F" w:rsidP="007C3AE9">
            <w:pPr>
              <w:jc w:val="right"/>
              <w:rPr>
                <w:rFonts w:ascii="Arial Narrow" w:hAnsi="Arial Narrow"/>
                <w:bCs/>
                <w:color w:val="000000"/>
                <w:sz w:val="20"/>
              </w:rPr>
            </w:pPr>
            <w:r w:rsidRPr="00887E7E">
              <w:rPr>
                <w:rFonts w:ascii="Arial Narrow" w:hAnsi="Arial Narrow"/>
                <w:b/>
                <w:sz w:val="20"/>
              </w:rPr>
              <w:t>$</w:t>
            </w:r>
            <w:r w:rsidR="00A35868">
              <w:rPr>
                <w:rFonts w:ascii="Arial Narrow" w:hAnsi="Arial Narrow"/>
                <w:b/>
                <w:noProof/>
                <w:color w:val="000000"/>
                <w:sz w:val="20"/>
                <w:highlight w:val="black"/>
              </w:rPr>
              <w:t>''''''''''''''''''''''</w:t>
            </w:r>
          </w:p>
        </w:tc>
      </w:tr>
      <w:tr w:rsidR="00AA0F3F" w:rsidRPr="004F28E0" w:rsidTr="007C3AE9">
        <w:tc>
          <w:tcPr>
            <w:tcW w:w="1525" w:type="pct"/>
            <w:shd w:val="clear" w:color="auto" w:fill="auto"/>
            <w:vAlign w:val="center"/>
          </w:tcPr>
          <w:p w:rsidR="00AA0F3F" w:rsidRPr="004F28E0" w:rsidRDefault="00AA0F3F" w:rsidP="007C3AE9">
            <w:pPr>
              <w:tabs>
                <w:tab w:val="left" w:pos="142"/>
              </w:tabs>
              <w:jc w:val="left"/>
              <w:rPr>
                <w:rFonts w:ascii="Arial Narrow" w:hAnsi="Arial Narrow"/>
                <w:sz w:val="20"/>
              </w:rPr>
            </w:pPr>
            <w:r w:rsidRPr="004F28E0">
              <w:rPr>
                <w:rFonts w:ascii="Arial Narrow" w:hAnsi="Arial Narrow"/>
                <w:sz w:val="20"/>
              </w:rPr>
              <w:t>Proposed rebate</w:t>
            </w:r>
            <w:r w:rsidRPr="004F28E0">
              <w:rPr>
                <w:rFonts w:ascii="Arial Narrow" w:hAnsi="Arial Narrow"/>
                <w:sz w:val="20"/>
                <w:vertAlign w:val="superscript"/>
              </w:rPr>
              <w:t>b</w:t>
            </w:r>
          </w:p>
        </w:tc>
        <w:tc>
          <w:tcPr>
            <w:tcW w:w="678"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sz w:val="20"/>
              </w:rPr>
              <w:t>-$</w:t>
            </w:r>
            <w:r w:rsidR="00A35868">
              <w:rPr>
                <w:rFonts w:ascii="Arial Narrow" w:hAnsi="Arial Narrow"/>
                <w:noProof/>
                <w:color w:val="000000"/>
                <w:sz w:val="20"/>
                <w:highlight w:val="black"/>
              </w:rPr>
              <w:t>''''''''''''''''''''''</w:t>
            </w:r>
          </w:p>
        </w:tc>
        <w:tc>
          <w:tcPr>
            <w:tcW w:w="676"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sz w:val="20"/>
              </w:rPr>
              <w:t>-$</w:t>
            </w:r>
            <w:r w:rsidR="00A35868">
              <w:rPr>
                <w:rFonts w:ascii="Arial Narrow" w:hAnsi="Arial Narrow"/>
                <w:noProof/>
                <w:color w:val="000000"/>
                <w:sz w:val="20"/>
                <w:highlight w:val="black"/>
              </w:rPr>
              <w:t>''''''''''''''''''''''''''</w:t>
            </w:r>
          </w:p>
        </w:tc>
        <w:tc>
          <w:tcPr>
            <w:tcW w:w="680"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sz w:val="20"/>
              </w:rPr>
              <w:t>-$</w:t>
            </w:r>
            <w:r w:rsidR="00A35868">
              <w:rPr>
                <w:rFonts w:ascii="Arial Narrow" w:hAnsi="Arial Narrow"/>
                <w:noProof/>
                <w:color w:val="000000"/>
                <w:sz w:val="20"/>
                <w:highlight w:val="black"/>
              </w:rPr>
              <w:t>''''''''''''''''''''''''''''</w:t>
            </w:r>
          </w:p>
        </w:tc>
        <w:tc>
          <w:tcPr>
            <w:tcW w:w="762"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sz w:val="20"/>
              </w:rPr>
              <w:t>-$</w:t>
            </w:r>
            <w:r w:rsidR="00A35868">
              <w:rPr>
                <w:rFonts w:ascii="Arial Narrow" w:hAnsi="Arial Narrow"/>
                <w:noProof/>
                <w:color w:val="000000"/>
                <w:sz w:val="20"/>
                <w:highlight w:val="black"/>
              </w:rPr>
              <w:t>'''''''''''''''''''''''''''''</w:t>
            </w:r>
          </w:p>
        </w:tc>
        <w:tc>
          <w:tcPr>
            <w:tcW w:w="680"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sz w:val="20"/>
              </w:rPr>
              <w:t>-$</w:t>
            </w:r>
            <w:r w:rsidR="00A35868">
              <w:rPr>
                <w:rFonts w:ascii="Arial Narrow" w:hAnsi="Arial Narrow"/>
                <w:noProof/>
                <w:color w:val="000000"/>
                <w:sz w:val="20"/>
                <w:highlight w:val="black"/>
              </w:rPr>
              <w:t>'''''''''''''''''''''''''</w:t>
            </w:r>
          </w:p>
        </w:tc>
      </w:tr>
      <w:tr w:rsidR="00AA0F3F" w:rsidRPr="004F28E0" w:rsidTr="007C3AE9">
        <w:tc>
          <w:tcPr>
            <w:tcW w:w="1525" w:type="pct"/>
            <w:shd w:val="clear" w:color="auto" w:fill="auto"/>
            <w:vAlign w:val="center"/>
          </w:tcPr>
          <w:p w:rsidR="00AA0F3F" w:rsidRPr="004F28E0" w:rsidRDefault="00AA0F3F" w:rsidP="007C3AE9">
            <w:pPr>
              <w:tabs>
                <w:tab w:val="left" w:pos="142"/>
              </w:tabs>
              <w:jc w:val="left"/>
              <w:rPr>
                <w:rFonts w:ascii="Arial Narrow" w:hAnsi="Arial Narrow"/>
                <w:b/>
                <w:sz w:val="20"/>
              </w:rPr>
            </w:pPr>
            <w:r w:rsidRPr="004F28E0">
              <w:rPr>
                <w:rFonts w:ascii="Arial Narrow" w:hAnsi="Arial Narrow"/>
                <w:b/>
                <w:sz w:val="20"/>
              </w:rPr>
              <w:t>Cost to PBS/RPBS after rebate</w:t>
            </w:r>
          </w:p>
        </w:tc>
        <w:tc>
          <w:tcPr>
            <w:tcW w:w="678"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b/>
                <w:sz w:val="20"/>
              </w:rPr>
              <w:t>$</w:t>
            </w:r>
            <w:r w:rsidR="00A35868">
              <w:rPr>
                <w:rFonts w:ascii="Arial Narrow" w:hAnsi="Arial Narrow"/>
                <w:b/>
                <w:noProof/>
                <w:color w:val="000000"/>
                <w:sz w:val="20"/>
                <w:highlight w:val="black"/>
              </w:rPr>
              <w:t>''''''''''''''''''''''</w:t>
            </w:r>
          </w:p>
        </w:tc>
        <w:tc>
          <w:tcPr>
            <w:tcW w:w="676"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b/>
                <w:sz w:val="20"/>
              </w:rPr>
              <w:t>$</w:t>
            </w:r>
            <w:r w:rsidR="00A35868">
              <w:rPr>
                <w:rFonts w:ascii="Arial Narrow" w:hAnsi="Arial Narrow"/>
                <w:b/>
                <w:noProof/>
                <w:color w:val="000000"/>
                <w:sz w:val="20"/>
                <w:highlight w:val="black"/>
              </w:rPr>
              <w:t>'''''''''''''''''''''''</w:t>
            </w:r>
          </w:p>
        </w:tc>
        <w:tc>
          <w:tcPr>
            <w:tcW w:w="680"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b/>
                <w:sz w:val="20"/>
              </w:rPr>
              <w:t>$</w:t>
            </w:r>
            <w:r w:rsidR="00A35868">
              <w:rPr>
                <w:rFonts w:ascii="Arial Narrow" w:hAnsi="Arial Narrow"/>
                <w:b/>
                <w:noProof/>
                <w:color w:val="000000"/>
                <w:sz w:val="20"/>
                <w:highlight w:val="black"/>
              </w:rPr>
              <w:t>'''''''''''''''''''''''</w:t>
            </w:r>
          </w:p>
        </w:tc>
        <w:tc>
          <w:tcPr>
            <w:tcW w:w="762"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b/>
                <w:sz w:val="20"/>
              </w:rPr>
              <w:t>$</w:t>
            </w:r>
            <w:r w:rsidR="00A35868">
              <w:rPr>
                <w:rFonts w:ascii="Arial Narrow" w:hAnsi="Arial Narrow"/>
                <w:b/>
                <w:noProof/>
                <w:color w:val="000000"/>
                <w:sz w:val="20"/>
                <w:highlight w:val="black"/>
              </w:rPr>
              <w:t>''''''''''''''''''''</w:t>
            </w:r>
          </w:p>
        </w:tc>
        <w:tc>
          <w:tcPr>
            <w:tcW w:w="680" w:type="pct"/>
            <w:shd w:val="clear" w:color="auto" w:fill="auto"/>
            <w:vAlign w:val="center"/>
          </w:tcPr>
          <w:p w:rsidR="00AA0F3F" w:rsidRPr="004F28E0" w:rsidRDefault="00AA0F3F" w:rsidP="007C3AE9">
            <w:pPr>
              <w:jc w:val="right"/>
              <w:rPr>
                <w:rFonts w:ascii="Arial Narrow" w:hAnsi="Arial Narrow"/>
                <w:sz w:val="20"/>
              </w:rPr>
            </w:pPr>
            <w:r w:rsidRPr="004F28E0">
              <w:rPr>
                <w:rFonts w:ascii="Arial Narrow" w:hAnsi="Arial Narrow"/>
                <w:b/>
                <w:sz w:val="20"/>
              </w:rPr>
              <w:t>$</w:t>
            </w:r>
            <w:r w:rsidR="00A35868">
              <w:rPr>
                <w:rFonts w:ascii="Arial Narrow" w:hAnsi="Arial Narrow"/>
                <w:b/>
                <w:noProof/>
                <w:color w:val="000000"/>
                <w:sz w:val="20"/>
                <w:highlight w:val="black"/>
              </w:rPr>
              <w:t>''''''''''''''''''''</w:t>
            </w:r>
          </w:p>
        </w:tc>
      </w:tr>
    </w:tbl>
    <w:p w:rsidR="00453361" w:rsidRDefault="00AA0F3F" w:rsidP="00AC2CB0">
      <w:pPr>
        <w:pStyle w:val="TableFooter"/>
        <w:ind w:left="709"/>
      </w:pPr>
      <w:r w:rsidRPr="004F28E0">
        <w:rPr>
          <w:vertAlign w:val="superscript"/>
        </w:rPr>
        <w:t>a</w:t>
      </w:r>
      <w:r w:rsidRPr="004F28E0">
        <w:t xml:space="preserve"> Assuming 12 packs per year, as estimated by the submission.</w:t>
      </w:r>
      <w:r w:rsidR="00AC2CB0">
        <w:t xml:space="preserve"> </w:t>
      </w:r>
    </w:p>
    <w:p w:rsidR="00AA0F3F" w:rsidRPr="00350164" w:rsidRDefault="00AA0F3F" w:rsidP="00AC2CB0">
      <w:pPr>
        <w:pStyle w:val="TableFooter"/>
        <w:ind w:left="709"/>
        <w:rPr>
          <w:sz w:val="16"/>
          <w:szCs w:val="18"/>
        </w:rPr>
      </w:pPr>
      <w:r w:rsidRPr="004F28E0">
        <w:rPr>
          <w:sz w:val="16"/>
          <w:szCs w:val="18"/>
          <w:vertAlign w:val="superscript"/>
        </w:rPr>
        <w:t>b</w:t>
      </w:r>
      <w:r w:rsidRPr="004F28E0">
        <w:rPr>
          <w:sz w:val="16"/>
          <w:szCs w:val="18"/>
        </w:rPr>
        <w:t xml:space="preserve"> </w:t>
      </w:r>
      <w:r w:rsidRPr="004F28E0">
        <w:t>The submission proposes a Special Pricing Arrangement in which the sponsor would rebate $</w:t>
      </w:r>
      <w:r w:rsidR="00A35868">
        <w:rPr>
          <w:noProof/>
          <w:color w:val="000000"/>
          <w:highlight w:val="black"/>
        </w:rPr>
        <w:t>''''''''''''</w:t>
      </w:r>
      <w:r w:rsidRPr="004F28E0">
        <w:t xml:space="preserve"> per prescription of selexipag (see below)</w:t>
      </w:r>
    </w:p>
    <w:p w:rsidR="00AA0F3F" w:rsidRDefault="00AA0F3F" w:rsidP="00AA0F3F">
      <w:pPr>
        <w:pStyle w:val="TableFooter"/>
        <w:ind w:left="709"/>
      </w:pPr>
      <w:r w:rsidRPr="001222FC">
        <w:rPr>
          <w:sz w:val="16"/>
        </w:rPr>
        <w:t xml:space="preserve">Source: </w:t>
      </w:r>
      <w:r>
        <w:t>Tables E.2-1 and E.2-3 pp103-4 of the submission; Excel workbook “Economic and financial analyses - selexipag -PAH” supplied in the submission”.</w:t>
      </w:r>
    </w:p>
    <w:p w:rsidR="00291568" w:rsidRDefault="00291568" w:rsidP="00AA0F3F">
      <w:pPr>
        <w:pStyle w:val="TableFooter"/>
        <w:ind w:left="709"/>
      </w:pPr>
    </w:p>
    <w:p w:rsidR="00AA0F3F" w:rsidRPr="00C25D9C" w:rsidRDefault="00291568" w:rsidP="00051844">
      <w:pPr>
        <w:pStyle w:val="TableFooter"/>
        <w:ind w:left="709"/>
        <w:rPr>
          <w:szCs w:val="22"/>
        </w:rPr>
      </w:pPr>
      <w:r w:rsidRPr="00051844">
        <w:rPr>
          <w:rFonts w:ascii="Arial" w:hAnsi="Arial"/>
          <w:sz w:val="22"/>
          <w:szCs w:val="22"/>
        </w:rPr>
        <w:t>The redacted table above shows that</w:t>
      </w:r>
      <w:r w:rsidR="00051844" w:rsidRPr="00051844">
        <w:rPr>
          <w:rFonts w:ascii="Arial" w:hAnsi="Arial"/>
          <w:sz w:val="22"/>
          <w:szCs w:val="22"/>
        </w:rPr>
        <w:t xml:space="preserve"> </w:t>
      </w:r>
      <w:r w:rsidRPr="00051844">
        <w:rPr>
          <w:rFonts w:ascii="Arial" w:hAnsi="Arial"/>
          <w:sz w:val="22"/>
          <w:szCs w:val="22"/>
        </w:rPr>
        <w:t xml:space="preserve">by year 5, the estimated number of patients would be less than 10,000 and the </w:t>
      </w:r>
      <w:r w:rsidR="00051844" w:rsidRPr="00051844">
        <w:rPr>
          <w:rFonts w:ascii="Arial" w:hAnsi="Arial"/>
          <w:sz w:val="22"/>
          <w:szCs w:val="22"/>
        </w:rPr>
        <w:t>proposed net cost to PBS would be $30-$60 million.</w:t>
      </w:r>
    </w:p>
    <w:p w:rsidR="00AA0F3F" w:rsidRPr="00AA0F3F" w:rsidRDefault="00AA0F3F" w:rsidP="00AA0F3F">
      <w:pPr>
        <w:pStyle w:val="ListParagraph"/>
        <w:widowControl/>
        <w:numPr>
          <w:ilvl w:val="1"/>
          <w:numId w:val="2"/>
        </w:numPr>
        <w:rPr>
          <w:szCs w:val="22"/>
        </w:rPr>
      </w:pPr>
      <w:r w:rsidRPr="00AA0F3F">
        <w:rPr>
          <w:szCs w:val="22"/>
        </w:rPr>
        <w:t xml:space="preserve">There was potential for the net cost/year for the PBS to be greater than the estimate in the submission given the potential for the uptake of selexipag to be higher than assumed in the submission, especially in the first few years of listing, when prevalent patients currently receiving non-PBS subsidised add-on therapy may switch to PBS-subsidised selexipag. </w:t>
      </w:r>
    </w:p>
    <w:p w:rsidR="00AA0F3F" w:rsidRPr="00AA0F3F" w:rsidRDefault="00AA0F3F" w:rsidP="00AA0F3F">
      <w:pPr>
        <w:pStyle w:val="ListParagraph"/>
        <w:widowControl/>
        <w:rPr>
          <w:szCs w:val="22"/>
        </w:rPr>
      </w:pPr>
    </w:p>
    <w:p w:rsidR="00AA0F3F" w:rsidRPr="00AA0F3F" w:rsidRDefault="00AA0F3F" w:rsidP="00AA0F3F">
      <w:pPr>
        <w:pStyle w:val="ListParagraph"/>
        <w:widowControl/>
        <w:numPr>
          <w:ilvl w:val="1"/>
          <w:numId w:val="2"/>
        </w:numPr>
        <w:rPr>
          <w:szCs w:val="22"/>
        </w:rPr>
      </w:pPr>
      <w:r w:rsidRPr="00AA0F3F">
        <w:rPr>
          <w:szCs w:val="22"/>
        </w:rPr>
        <w:t>The submission’s estimates did not account for the average use and cost of selexipag during the dose titration phase in patients initiating treatment with selexipag; all patients were assumed to receive 12 packs of selexipag per year.</w:t>
      </w:r>
    </w:p>
    <w:p w:rsidR="006C537E" w:rsidRPr="00F4213A" w:rsidRDefault="006C537E" w:rsidP="00AA0F3F">
      <w:pPr>
        <w:pStyle w:val="ListParagraph"/>
        <w:widowControl/>
        <w:rPr>
          <w:szCs w:val="22"/>
        </w:rPr>
      </w:pPr>
    </w:p>
    <w:p w:rsidR="00576972" w:rsidRPr="00F4213A" w:rsidRDefault="00576972" w:rsidP="007170EE">
      <w:pPr>
        <w:pStyle w:val="Heading2"/>
        <w:rPr>
          <w:szCs w:val="22"/>
        </w:rPr>
      </w:pPr>
      <w:bookmarkStart w:id="22" w:name="_Toc440892689"/>
      <w:r w:rsidRPr="00F4213A">
        <w:t xml:space="preserve">Financial Management – </w:t>
      </w:r>
      <w:r w:rsidR="00CF3771" w:rsidRPr="00F4213A">
        <w:t>Special Pricing Arrangement</w:t>
      </w:r>
      <w:bookmarkEnd w:id="22"/>
    </w:p>
    <w:p w:rsidR="00C25D9C" w:rsidRPr="00F4213A" w:rsidRDefault="00C25D9C" w:rsidP="00576972">
      <w:pPr>
        <w:widowControl/>
        <w:rPr>
          <w:szCs w:val="22"/>
        </w:rPr>
      </w:pPr>
    </w:p>
    <w:p w:rsidR="00576972" w:rsidRDefault="00AB192B" w:rsidP="00590A3C">
      <w:pPr>
        <w:pStyle w:val="ListParagraph"/>
        <w:widowControl/>
        <w:numPr>
          <w:ilvl w:val="1"/>
          <w:numId w:val="2"/>
        </w:numPr>
        <w:rPr>
          <w:szCs w:val="22"/>
        </w:rPr>
      </w:pPr>
      <w:r w:rsidRPr="00F4213A">
        <w:rPr>
          <w:szCs w:val="22"/>
        </w:rPr>
        <w:t>The sponsor propose</w:t>
      </w:r>
      <w:r w:rsidR="00FD7093" w:rsidRPr="00F4213A">
        <w:rPr>
          <w:szCs w:val="22"/>
        </w:rPr>
        <w:t>d</w:t>
      </w:r>
      <w:r w:rsidRPr="00F4213A">
        <w:rPr>
          <w:szCs w:val="22"/>
        </w:rPr>
        <w:t xml:space="preserve"> to rebate the Commonwealth of Australia $</w:t>
      </w:r>
      <w:r w:rsidR="00A35868">
        <w:rPr>
          <w:noProof/>
          <w:color w:val="000000"/>
          <w:szCs w:val="22"/>
          <w:highlight w:val="black"/>
        </w:rPr>
        <w:t>'''''''''''''''</w:t>
      </w:r>
      <w:r w:rsidRPr="00F4213A">
        <w:rPr>
          <w:szCs w:val="22"/>
        </w:rPr>
        <w:t xml:space="preserve"> per prescription of selexipag dispensed</w:t>
      </w:r>
      <w:r w:rsidR="000C766D">
        <w:rPr>
          <w:szCs w:val="22"/>
        </w:rPr>
        <w:t xml:space="preserve"> on the PBS under a formalised Deed of A</w:t>
      </w:r>
      <w:r w:rsidRPr="00F4213A">
        <w:rPr>
          <w:szCs w:val="22"/>
        </w:rPr>
        <w:t xml:space="preserve">greement. </w:t>
      </w:r>
      <w:r w:rsidR="009D632F" w:rsidRPr="00F4213A">
        <w:rPr>
          <w:szCs w:val="22"/>
        </w:rPr>
        <w:t>This equates to effective dispensed prices of $</w:t>
      </w:r>
      <w:r w:rsidR="00A35868">
        <w:rPr>
          <w:noProof/>
          <w:color w:val="000000"/>
          <w:szCs w:val="22"/>
          <w:highlight w:val="black"/>
        </w:rPr>
        <w:t>'''''''''''''''''''''</w:t>
      </w:r>
      <w:r w:rsidR="009D632F" w:rsidRPr="00F4213A">
        <w:rPr>
          <w:szCs w:val="22"/>
        </w:rPr>
        <w:t xml:space="preserve"> (public hospital) and $</w:t>
      </w:r>
      <w:r w:rsidR="00A35868">
        <w:rPr>
          <w:noProof/>
          <w:color w:val="000000"/>
          <w:szCs w:val="22"/>
          <w:highlight w:val="black"/>
        </w:rPr>
        <w:t>'''''''''''''''''''''</w:t>
      </w:r>
      <w:r w:rsidR="009D632F" w:rsidRPr="00F4213A">
        <w:rPr>
          <w:szCs w:val="22"/>
        </w:rPr>
        <w:t xml:space="preserve"> (private hospital).</w:t>
      </w:r>
    </w:p>
    <w:p w:rsidR="00CA1D02" w:rsidRDefault="00CA1D02" w:rsidP="00CA1D02">
      <w:pPr>
        <w:pStyle w:val="ListParagraph"/>
        <w:widowControl/>
        <w:rPr>
          <w:szCs w:val="22"/>
        </w:rPr>
      </w:pPr>
    </w:p>
    <w:p w:rsidR="00617A5D" w:rsidRDefault="00617A5D" w:rsidP="00617A5D">
      <w:pPr>
        <w:pStyle w:val="ListParagraph"/>
        <w:widowControl/>
        <w:rPr>
          <w:szCs w:val="22"/>
        </w:rPr>
      </w:pPr>
      <w:r w:rsidRPr="00C815EC">
        <w:rPr>
          <w:i/>
          <w:szCs w:val="22"/>
        </w:rPr>
        <w:t>For more detail on PBAC’s view, see section 7 “PBAC outcome”</w:t>
      </w:r>
    </w:p>
    <w:p w:rsidR="00617A5D" w:rsidRPr="00617A5D" w:rsidRDefault="00617A5D" w:rsidP="00617A5D">
      <w:pPr>
        <w:widowControl/>
        <w:rPr>
          <w:szCs w:val="22"/>
        </w:rPr>
      </w:pPr>
    </w:p>
    <w:p w:rsidR="00595ADA" w:rsidRDefault="00595ADA" w:rsidP="00CA1D02">
      <w:pPr>
        <w:widowControl/>
        <w:jc w:val="left"/>
        <w:rPr>
          <w:b/>
        </w:rPr>
      </w:pPr>
    </w:p>
    <w:p w:rsidR="00CA1D02" w:rsidRPr="00C4009B" w:rsidRDefault="00CA1D02" w:rsidP="00C11FDF">
      <w:pPr>
        <w:pStyle w:val="PBACHeading1"/>
      </w:pPr>
      <w:r w:rsidRPr="00C4009B">
        <w:t>PBAC Outcome</w:t>
      </w:r>
    </w:p>
    <w:p w:rsidR="00CA1D02" w:rsidRPr="00C4009B" w:rsidRDefault="00CA1D02" w:rsidP="00CA1D02">
      <w:pPr>
        <w:contextualSpacing/>
        <w:rPr>
          <w:b/>
          <w:bCs/>
          <w:szCs w:val="22"/>
          <w:lang w:val="en-GB"/>
        </w:rPr>
      </w:pPr>
    </w:p>
    <w:p w:rsidR="00CA1D02" w:rsidRPr="00EC599A" w:rsidRDefault="00CA1D02" w:rsidP="00CA1D02">
      <w:pPr>
        <w:numPr>
          <w:ilvl w:val="1"/>
          <w:numId w:val="2"/>
        </w:numPr>
        <w:contextualSpacing/>
        <w:rPr>
          <w:bCs/>
          <w:szCs w:val="22"/>
          <w:lang w:val="en-GB"/>
        </w:rPr>
      </w:pPr>
      <w:r w:rsidRPr="00EC599A">
        <w:rPr>
          <w:bCs/>
          <w:szCs w:val="22"/>
          <w:lang w:val="en-GB"/>
        </w:rPr>
        <w:t xml:space="preserve">The PBAC </w:t>
      </w:r>
      <w:r w:rsidR="00C4009B" w:rsidRPr="00EC599A">
        <w:rPr>
          <w:bCs/>
          <w:szCs w:val="22"/>
          <w:lang w:val="en-GB"/>
        </w:rPr>
        <w:t xml:space="preserve">did not </w:t>
      </w:r>
      <w:r w:rsidRPr="00EC599A">
        <w:rPr>
          <w:bCs/>
          <w:szCs w:val="22"/>
          <w:lang w:val="en-GB"/>
        </w:rPr>
        <w:t xml:space="preserve">recommend the listing of </w:t>
      </w:r>
      <w:r w:rsidR="00C4009B" w:rsidRPr="00EC599A">
        <w:rPr>
          <w:bCs/>
          <w:szCs w:val="22"/>
          <w:lang w:val="en-GB"/>
        </w:rPr>
        <w:t>selexipag on the PBS for PAH. In reaching this conclusion, the PBAC considered that</w:t>
      </w:r>
      <w:r w:rsidR="00EC599A" w:rsidRPr="00EC599A">
        <w:rPr>
          <w:bCs/>
          <w:szCs w:val="22"/>
          <w:lang w:val="en-GB"/>
        </w:rPr>
        <w:t xml:space="preserve"> the magnitude of clinical benefit was unclear, and that the </w:t>
      </w:r>
      <w:r w:rsidR="004D5392">
        <w:rPr>
          <w:bCs/>
          <w:szCs w:val="22"/>
          <w:lang w:val="en-GB"/>
        </w:rPr>
        <w:t xml:space="preserve">estimate of </w:t>
      </w:r>
      <w:r w:rsidR="00EC599A" w:rsidRPr="00EC599A">
        <w:rPr>
          <w:bCs/>
          <w:szCs w:val="22"/>
          <w:lang w:val="en-GB"/>
        </w:rPr>
        <w:t xml:space="preserve">cost-effectiveness as presented in the submission was difficult to interpret. </w:t>
      </w:r>
      <w:r w:rsidR="0055575A">
        <w:rPr>
          <w:bCs/>
          <w:szCs w:val="22"/>
          <w:lang w:val="en-GB"/>
        </w:rPr>
        <w:t>The PBAC considered that the ICER presented in the submission was high, especially in the context of an outcome of unclear clinical importance (MM events avoided).</w:t>
      </w:r>
    </w:p>
    <w:p w:rsidR="00CA1D02" w:rsidRPr="00EC599A" w:rsidRDefault="00CA1D02" w:rsidP="00CA1D02">
      <w:pPr>
        <w:ind w:left="720"/>
        <w:contextualSpacing/>
        <w:rPr>
          <w:bCs/>
          <w:szCs w:val="22"/>
          <w:lang w:val="en-GB"/>
        </w:rPr>
      </w:pPr>
    </w:p>
    <w:p w:rsidR="00CA1D02" w:rsidRPr="00EE24C0" w:rsidRDefault="00C4009B" w:rsidP="00CA1D02">
      <w:pPr>
        <w:numPr>
          <w:ilvl w:val="1"/>
          <w:numId w:val="2"/>
        </w:numPr>
        <w:contextualSpacing/>
        <w:rPr>
          <w:bCs/>
          <w:szCs w:val="22"/>
          <w:lang w:val="en-GB"/>
        </w:rPr>
      </w:pPr>
      <w:r w:rsidRPr="00EE24C0">
        <w:rPr>
          <w:bCs/>
          <w:szCs w:val="22"/>
          <w:lang w:val="en-GB"/>
        </w:rPr>
        <w:t>The PBAC</w:t>
      </w:r>
      <w:r w:rsidR="00EE24C0" w:rsidRPr="00EE24C0">
        <w:rPr>
          <w:bCs/>
          <w:szCs w:val="22"/>
          <w:lang w:val="en-GB"/>
        </w:rPr>
        <w:t xml:space="preserve"> considered that the hearing and consumer input helped to clarify that the appropriate </w:t>
      </w:r>
      <w:r w:rsidRPr="00EE24C0">
        <w:rPr>
          <w:bCs/>
          <w:szCs w:val="22"/>
          <w:lang w:val="en-GB"/>
        </w:rPr>
        <w:t>place in therapy</w:t>
      </w:r>
      <w:r w:rsidR="006C4BF6" w:rsidRPr="00EE24C0">
        <w:rPr>
          <w:bCs/>
          <w:szCs w:val="22"/>
          <w:lang w:val="en-GB"/>
        </w:rPr>
        <w:t xml:space="preserve"> </w:t>
      </w:r>
      <w:r w:rsidR="00EE24C0" w:rsidRPr="00EE24C0">
        <w:rPr>
          <w:bCs/>
          <w:szCs w:val="22"/>
          <w:lang w:val="en-GB"/>
        </w:rPr>
        <w:t xml:space="preserve">for selexipag </w:t>
      </w:r>
      <w:r w:rsidR="006C4BF6" w:rsidRPr="00EE24C0">
        <w:rPr>
          <w:bCs/>
          <w:szCs w:val="22"/>
          <w:lang w:val="en-GB"/>
        </w:rPr>
        <w:t xml:space="preserve">was likely to be third line – that is, after </w:t>
      </w:r>
      <w:r w:rsidR="006320BE" w:rsidRPr="00EE24C0">
        <w:rPr>
          <w:bCs/>
          <w:szCs w:val="22"/>
          <w:lang w:val="en-GB"/>
        </w:rPr>
        <w:t>patients</w:t>
      </w:r>
      <w:r w:rsidR="00EE24C0" w:rsidRPr="00EE24C0">
        <w:rPr>
          <w:bCs/>
          <w:szCs w:val="22"/>
          <w:lang w:val="en-GB"/>
        </w:rPr>
        <w:t xml:space="preserve"> have tried ERAs and PDE-5 inhibitors as mo</w:t>
      </w:r>
      <w:r w:rsidR="006320BE" w:rsidRPr="00EE24C0">
        <w:rPr>
          <w:bCs/>
          <w:szCs w:val="22"/>
          <w:lang w:val="en-GB"/>
        </w:rPr>
        <w:t>notherapy and combination. This use might be as triple or dual therapy.</w:t>
      </w:r>
    </w:p>
    <w:p w:rsidR="00CA1D02" w:rsidRPr="003C3927" w:rsidRDefault="00CA1D02" w:rsidP="00CA1D02">
      <w:pPr>
        <w:ind w:left="720"/>
        <w:contextualSpacing/>
        <w:rPr>
          <w:bCs/>
          <w:szCs w:val="22"/>
          <w:highlight w:val="yellow"/>
          <w:lang w:val="en-GB"/>
        </w:rPr>
      </w:pPr>
    </w:p>
    <w:p w:rsidR="00CA1D02" w:rsidRPr="00CE303D" w:rsidRDefault="00EE24C0" w:rsidP="00CA1D02">
      <w:pPr>
        <w:numPr>
          <w:ilvl w:val="1"/>
          <w:numId w:val="2"/>
        </w:numPr>
        <w:contextualSpacing/>
        <w:rPr>
          <w:bCs/>
          <w:szCs w:val="22"/>
          <w:lang w:val="en-GB"/>
        </w:rPr>
      </w:pPr>
      <w:r w:rsidRPr="007A0F51">
        <w:rPr>
          <w:bCs/>
          <w:szCs w:val="22"/>
          <w:lang w:val="en-GB"/>
        </w:rPr>
        <w:t xml:space="preserve">The </w:t>
      </w:r>
      <w:r w:rsidRPr="00CE303D">
        <w:rPr>
          <w:bCs/>
          <w:szCs w:val="22"/>
          <w:lang w:val="en-GB"/>
        </w:rPr>
        <w:t xml:space="preserve">PBAC acknowledged the difficulty in assessing </w:t>
      </w:r>
      <w:r w:rsidR="007A0F51" w:rsidRPr="00CE303D">
        <w:rPr>
          <w:bCs/>
          <w:szCs w:val="22"/>
          <w:lang w:val="en-GB"/>
        </w:rPr>
        <w:t xml:space="preserve">the cost-effectiveness of selexipag as add-on to combination therapy in the context of combination therapy </w:t>
      </w:r>
      <w:r w:rsidR="000C766D">
        <w:rPr>
          <w:bCs/>
          <w:szCs w:val="22"/>
          <w:lang w:val="en-GB"/>
        </w:rPr>
        <w:t xml:space="preserve">being broadly accepted as best clinical practice but </w:t>
      </w:r>
      <w:r w:rsidR="007A0F51" w:rsidRPr="00CE303D">
        <w:rPr>
          <w:bCs/>
          <w:szCs w:val="22"/>
          <w:lang w:val="en-GB"/>
        </w:rPr>
        <w:t xml:space="preserve">not currently being subsidised under the PBS. The PBAC agreed that the submission’s nomination of placebo (as add-on to combination therapy) was the appropriate comparator. </w:t>
      </w:r>
    </w:p>
    <w:p w:rsidR="00CA1D02" w:rsidRPr="00CE303D" w:rsidRDefault="00CA1D02" w:rsidP="00CA1D02">
      <w:pPr>
        <w:ind w:left="720"/>
        <w:contextualSpacing/>
        <w:rPr>
          <w:bCs/>
          <w:szCs w:val="22"/>
          <w:lang w:val="en-GB"/>
        </w:rPr>
      </w:pPr>
    </w:p>
    <w:p w:rsidR="00CE303D" w:rsidRPr="00CE303D" w:rsidRDefault="005E57F7" w:rsidP="005E57F7">
      <w:pPr>
        <w:widowControl/>
        <w:numPr>
          <w:ilvl w:val="1"/>
          <w:numId w:val="2"/>
        </w:numPr>
        <w:ind w:left="709"/>
        <w:contextualSpacing/>
        <w:rPr>
          <w:bCs/>
          <w:szCs w:val="22"/>
          <w:lang w:val="en-GB"/>
        </w:rPr>
      </w:pPr>
      <w:r w:rsidRPr="00CE303D">
        <w:rPr>
          <w:bCs/>
          <w:szCs w:val="22"/>
          <w:lang w:val="en-GB"/>
        </w:rPr>
        <w:t>The PBAC considered that the clinical data were likely to be biased in favour of selexipag. In particular the PBAC were concerned about the differential censoring and treatment unblinding in the study.</w:t>
      </w:r>
    </w:p>
    <w:p w:rsidR="00CE303D" w:rsidRPr="00CE303D" w:rsidRDefault="00CE303D" w:rsidP="00CE303D">
      <w:pPr>
        <w:pStyle w:val="ListParagraph"/>
        <w:rPr>
          <w:bCs/>
          <w:szCs w:val="22"/>
          <w:lang w:val="en-GB"/>
        </w:rPr>
      </w:pPr>
    </w:p>
    <w:p w:rsidR="00CA1D02" w:rsidRPr="00CE303D" w:rsidRDefault="007B293B" w:rsidP="005E57F7">
      <w:pPr>
        <w:widowControl/>
        <w:numPr>
          <w:ilvl w:val="1"/>
          <w:numId w:val="2"/>
        </w:numPr>
        <w:ind w:left="709"/>
        <w:contextualSpacing/>
        <w:rPr>
          <w:bCs/>
          <w:szCs w:val="22"/>
          <w:lang w:val="en-GB"/>
        </w:rPr>
      </w:pPr>
      <w:r w:rsidRPr="00CE303D">
        <w:rPr>
          <w:bCs/>
          <w:szCs w:val="22"/>
          <w:lang w:val="en-GB"/>
        </w:rPr>
        <w:t xml:space="preserve">The PBAC agreed with the ESC that </w:t>
      </w:r>
      <w:r w:rsidR="005E57F7" w:rsidRPr="00CE303D">
        <w:rPr>
          <w:bCs/>
          <w:szCs w:val="22"/>
          <w:lang w:val="en-GB"/>
        </w:rPr>
        <w:t xml:space="preserve">the </w:t>
      </w:r>
      <w:r w:rsidR="005E57F7" w:rsidRPr="00CE303D">
        <w:rPr>
          <w:szCs w:val="22"/>
        </w:rPr>
        <w:t xml:space="preserve">use of a composite outcome where death has the same clinical relevance as hospitalisation made the results difficult to interpret. The PBAC </w:t>
      </w:r>
      <w:r w:rsidR="000C766D">
        <w:rPr>
          <w:szCs w:val="22"/>
        </w:rPr>
        <w:t>noted</w:t>
      </w:r>
      <w:r w:rsidRPr="00CE303D">
        <w:rPr>
          <w:bCs/>
          <w:szCs w:val="22"/>
          <w:lang w:val="en-GB"/>
        </w:rPr>
        <w:t xml:space="preserve"> that the results for selexipag </w:t>
      </w:r>
      <w:r w:rsidR="004D5392" w:rsidRPr="00CE303D">
        <w:rPr>
          <w:bCs/>
          <w:szCs w:val="22"/>
          <w:lang w:val="en-GB"/>
        </w:rPr>
        <w:t>appeared to be largely driven by</w:t>
      </w:r>
      <w:r w:rsidRPr="00CE303D">
        <w:rPr>
          <w:bCs/>
          <w:szCs w:val="22"/>
          <w:lang w:val="en-GB"/>
        </w:rPr>
        <w:t xml:space="preserve"> the</w:t>
      </w:r>
      <w:r w:rsidR="004D5392" w:rsidRPr="00CE303D">
        <w:rPr>
          <w:bCs/>
          <w:szCs w:val="22"/>
          <w:lang w:val="en-GB"/>
        </w:rPr>
        <w:t xml:space="preserve"> hospitalisation</w:t>
      </w:r>
      <w:r w:rsidRPr="00CE303D">
        <w:rPr>
          <w:bCs/>
          <w:szCs w:val="22"/>
          <w:lang w:val="en-GB"/>
        </w:rPr>
        <w:t xml:space="preserve"> and </w:t>
      </w:r>
      <w:r w:rsidR="005E57F7" w:rsidRPr="00CE303D">
        <w:rPr>
          <w:bCs/>
          <w:szCs w:val="22"/>
          <w:lang w:val="en-GB"/>
        </w:rPr>
        <w:t>escalation of treatment</w:t>
      </w:r>
      <w:r w:rsidRPr="00CE303D">
        <w:rPr>
          <w:bCs/>
          <w:szCs w:val="22"/>
          <w:lang w:val="en-GB"/>
        </w:rPr>
        <w:t>.</w:t>
      </w:r>
      <w:r w:rsidR="00CE303D" w:rsidRPr="00CE303D">
        <w:rPr>
          <w:bCs/>
          <w:szCs w:val="22"/>
          <w:lang w:val="en-GB"/>
        </w:rPr>
        <w:t xml:space="preserve"> The relationship between these outcomes and disease progression rem</w:t>
      </w:r>
      <w:r w:rsidR="000C766D">
        <w:rPr>
          <w:bCs/>
          <w:szCs w:val="22"/>
          <w:lang w:val="en-GB"/>
        </w:rPr>
        <w:t>ain</w:t>
      </w:r>
      <w:r w:rsidR="00CE303D" w:rsidRPr="00CE303D">
        <w:rPr>
          <w:bCs/>
          <w:szCs w:val="22"/>
          <w:lang w:val="en-GB"/>
        </w:rPr>
        <w:t>s unclear.</w:t>
      </w:r>
      <w:r w:rsidR="004D5392" w:rsidRPr="00CE303D">
        <w:rPr>
          <w:bCs/>
          <w:szCs w:val="22"/>
          <w:lang w:val="en-GB"/>
        </w:rPr>
        <w:t xml:space="preserve"> </w:t>
      </w:r>
    </w:p>
    <w:p w:rsidR="007B293B" w:rsidRPr="00CE303D" w:rsidRDefault="007B293B" w:rsidP="007B293B">
      <w:pPr>
        <w:contextualSpacing/>
        <w:rPr>
          <w:bCs/>
          <w:szCs w:val="22"/>
          <w:lang w:val="en-GB"/>
        </w:rPr>
      </w:pPr>
    </w:p>
    <w:p w:rsidR="00CA1D02" w:rsidRDefault="00736567" w:rsidP="00CA1D02">
      <w:pPr>
        <w:numPr>
          <w:ilvl w:val="1"/>
          <w:numId w:val="2"/>
        </w:numPr>
        <w:contextualSpacing/>
        <w:rPr>
          <w:bCs/>
          <w:szCs w:val="22"/>
          <w:lang w:val="en-GB"/>
        </w:rPr>
      </w:pPr>
      <w:r>
        <w:rPr>
          <w:bCs/>
          <w:szCs w:val="22"/>
          <w:lang w:val="en-GB"/>
        </w:rPr>
        <w:t>T</w:t>
      </w:r>
      <w:r w:rsidR="007B293B" w:rsidRPr="00CE303D">
        <w:rPr>
          <w:bCs/>
          <w:szCs w:val="22"/>
          <w:lang w:val="en-GB"/>
        </w:rPr>
        <w:t xml:space="preserve">he PBAC agreed that treatment with selexipag was likely to be superior to placebo, but that </w:t>
      </w:r>
      <w:r w:rsidR="004D5392" w:rsidRPr="00CE303D">
        <w:rPr>
          <w:bCs/>
          <w:szCs w:val="22"/>
          <w:lang w:val="en-GB"/>
        </w:rPr>
        <w:t>the magnitude</w:t>
      </w:r>
      <w:r w:rsidR="007B293B" w:rsidRPr="00CE303D">
        <w:rPr>
          <w:bCs/>
          <w:szCs w:val="22"/>
          <w:lang w:val="en-GB"/>
        </w:rPr>
        <w:t>, and clinical relevance, of any benefit remained</w:t>
      </w:r>
      <w:r w:rsidR="004D5392" w:rsidRPr="00CE303D">
        <w:rPr>
          <w:bCs/>
          <w:szCs w:val="22"/>
          <w:lang w:val="en-GB"/>
        </w:rPr>
        <w:t xml:space="preserve"> unclear</w:t>
      </w:r>
      <w:r w:rsidR="00CA1D02" w:rsidRPr="00CE303D">
        <w:rPr>
          <w:bCs/>
          <w:szCs w:val="22"/>
          <w:lang w:val="en-GB"/>
        </w:rPr>
        <w:t>.</w:t>
      </w:r>
    </w:p>
    <w:p w:rsidR="001144DF" w:rsidRDefault="001144DF" w:rsidP="001144DF">
      <w:pPr>
        <w:pStyle w:val="ListParagraph"/>
        <w:rPr>
          <w:bCs/>
          <w:szCs w:val="22"/>
          <w:lang w:val="en-GB"/>
        </w:rPr>
      </w:pPr>
    </w:p>
    <w:p w:rsidR="004A15DD" w:rsidRPr="00CE303D" w:rsidRDefault="00487E09" w:rsidP="00CA1D02">
      <w:pPr>
        <w:numPr>
          <w:ilvl w:val="1"/>
          <w:numId w:val="2"/>
        </w:numPr>
        <w:contextualSpacing/>
        <w:rPr>
          <w:bCs/>
          <w:szCs w:val="22"/>
          <w:lang w:val="en-GB"/>
        </w:rPr>
      </w:pPr>
      <w:r w:rsidRPr="00CE303D">
        <w:rPr>
          <w:bCs/>
          <w:szCs w:val="22"/>
          <w:lang w:val="en-GB"/>
        </w:rPr>
        <w:t>Overall, the PBAC considered that the t</w:t>
      </w:r>
      <w:r w:rsidR="004A15DD" w:rsidRPr="00CE303D">
        <w:rPr>
          <w:bCs/>
          <w:szCs w:val="22"/>
          <w:lang w:val="en-GB"/>
        </w:rPr>
        <w:t xml:space="preserve">rial based </w:t>
      </w:r>
      <w:r w:rsidRPr="00CE303D">
        <w:rPr>
          <w:bCs/>
          <w:szCs w:val="22"/>
          <w:lang w:val="en-GB"/>
        </w:rPr>
        <w:t xml:space="preserve">analysis presented in the submission </w:t>
      </w:r>
      <w:r w:rsidR="004A15DD" w:rsidRPr="00CE303D">
        <w:rPr>
          <w:bCs/>
          <w:szCs w:val="22"/>
          <w:lang w:val="en-GB"/>
        </w:rPr>
        <w:t>d</w:t>
      </w:r>
      <w:r w:rsidRPr="00CE303D">
        <w:rPr>
          <w:bCs/>
          <w:szCs w:val="22"/>
          <w:lang w:val="en-GB"/>
        </w:rPr>
        <w:t>id</w:t>
      </w:r>
      <w:r w:rsidR="004A15DD" w:rsidRPr="00CE303D">
        <w:rPr>
          <w:bCs/>
          <w:szCs w:val="22"/>
          <w:lang w:val="en-GB"/>
        </w:rPr>
        <w:t xml:space="preserve"> not reflect life-long </w:t>
      </w:r>
      <w:r w:rsidRPr="00CE303D">
        <w:rPr>
          <w:bCs/>
          <w:szCs w:val="22"/>
          <w:lang w:val="en-GB"/>
        </w:rPr>
        <w:t>nature o</w:t>
      </w:r>
      <w:r w:rsidR="00CE303D" w:rsidRPr="00CE303D">
        <w:rPr>
          <w:bCs/>
          <w:szCs w:val="22"/>
          <w:lang w:val="en-GB"/>
        </w:rPr>
        <w:t>f the condition and did not give a reliable estimate of</w:t>
      </w:r>
      <w:r w:rsidR="004A15DD" w:rsidRPr="00CE303D">
        <w:rPr>
          <w:bCs/>
          <w:szCs w:val="22"/>
          <w:lang w:val="en-GB"/>
        </w:rPr>
        <w:t xml:space="preserve"> cost-effectiveness.  The ICER </w:t>
      </w:r>
      <w:r w:rsidR="00CB723F" w:rsidRPr="00CE303D">
        <w:rPr>
          <w:bCs/>
          <w:szCs w:val="22"/>
          <w:lang w:val="en-GB"/>
        </w:rPr>
        <w:t xml:space="preserve">was difficult to interpret but </w:t>
      </w:r>
      <w:r w:rsidR="004A15DD" w:rsidRPr="00CE303D">
        <w:rPr>
          <w:bCs/>
          <w:szCs w:val="22"/>
          <w:lang w:val="en-GB"/>
        </w:rPr>
        <w:t>appeared high, particularly in the context of an outcome of uncertain clinical significance</w:t>
      </w:r>
    </w:p>
    <w:p w:rsidR="004A15DD" w:rsidRPr="001144DF" w:rsidRDefault="004A15DD" w:rsidP="004A15DD">
      <w:pPr>
        <w:ind w:left="720"/>
        <w:contextualSpacing/>
        <w:rPr>
          <w:bCs/>
          <w:szCs w:val="22"/>
          <w:lang w:val="en-GB"/>
        </w:rPr>
      </w:pPr>
    </w:p>
    <w:p w:rsidR="00CA1D02" w:rsidRPr="001144DF" w:rsidRDefault="00513BE0" w:rsidP="00CA1D02">
      <w:pPr>
        <w:numPr>
          <w:ilvl w:val="1"/>
          <w:numId w:val="2"/>
        </w:numPr>
        <w:contextualSpacing/>
        <w:rPr>
          <w:bCs/>
          <w:szCs w:val="22"/>
          <w:lang w:val="en-GB"/>
        </w:rPr>
      </w:pPr>
      <w:r w:rsidRPr="001144DF">
        <w:rPr>
          <w:bCs/>
          <w:szCs w:val="22"/>
          <w:lang w:val="en-GB"/>
        </w:rPr>
        <w:t xml:space="preserve">The </w:t>
      </w:r>
      <w:r w:rsidR="004A15DD" w:rsidRPr="001144DF">
        <w:rPr>
          <w:bCs/>
          <w:szCs w:val="22"/>
          <w:lang w:val="en-GB"/>
        </w:rPr>
        <w:t>PBAC ackno</w:t>
      </w:r>
      <w:r w:rsidR="00CB723F" w:rsidRPr="001144DF">
        <w:rPr>
          <w:bCs/>
          <w:szCs w:val="22"/>
          <w:lang w:val="en-GB"/>
        </w:rPr>
        <w:t>wledged that the comparison wit</w:t>
      </w:r>
      <w:r w:rsidR="004A15DD" w:rsidRPr="001144DF">
        <w:rPr>
          <w:bCs/>
          <w:szCs w:val="22"/>
          <w:lang w:val="en-GB"/>
        </w:rPr>
        <w:t>h macitentan had been presented to give some context to the trial based analysis</w:t>
      </w:r>
      <w:r w:rsidR="001144DF" w:rsidRPr="001144DF">
        <w:rPr>
          <w:bCs/>
          <w:szCs w:val="22"/>
          <w:lang w:val="en-GB"/>
        </w:rPr>
        <w:t>,</w:t>
      </w:r>
      <w:r w:rsidR="004A15DD" w:rsidRPr="001144DF">
        <w:rPr>
          <w:bCs/>
          <w:szCs w:val="22"/>
          <w:lang w:val="en-GB"/>
        </w:rPr>
        <w:t xml:space="preserve"> but did not consider that this was informative given </w:t>
      </w:r>
      <w:r w:rsidRPr="001144DF">
        <w:rPr>
          <w:bCs/>
          <w:szCs w:val="22"/>
          <w:lang w:val="en-GB"/>
        </w:rPr>
        <w:t>the differences between the products, including differences in the definition of outcomes reported in the studies, and recommended/proposed listings.</w:t>
      </w:r>
      <w:r w:rsidR="004A15DD" w:rsidRPr="001144DF">
        <w:rPr>
          <w:bCs/>
          <w:szCs w:val="22"/>
          <w:lang w:val="en-GB"/>
        </w:rPr>
        <w:t xml:space="preserve"> </w:t>
      </w:r>
      <w:r w:rsidR="00487E09" w:rsidRPr="001144DF">
        <w:rPr>
          <w:bCs/>
          <w:szCs w:val="22"/>
          <w:lang w:val="en-GB"/>
        </w:rPr>
        <w:t xml:space="preserve">The PBAC were also concerned </w:t>
      </w:r>
      <w:r w:rsidR="00736567">
        <w:rPr>
          <w:bCs/>
          <w:szCs w:val="22"/>
          <w:lang w:val="en-GB"/>
        </w:rPr>
        <w:t>about t</w:t>
      </w:r>
      <w:r w:rsidR="00736567" w:rsidRPr="00736567">
        <w:t>he potential difference in the relative contribution of component MM events, of varying clinical relevance, to the composite outcome between the trials</w:t>
      </w:r>
      <w:r w:rsidR="00487E09" w:rsidRPr="00736567">
        <w:rPr>
          <w:bCs/>
          <w:szCs w:val="22"/>
          <w:lang w:val="en-GB"/>
        </w:rPr>
        <w:t>.</w:t>
      </w:r>
    </w:p>
    <w:p w:rsidR="004A15DD" w:rsidRPr="00487E09" w:rsidRDefault="004A15DD" w:rsidP="004A15DD">
      <w:pPr>
        <w:pStyle w:val="ListParagraph"/>
        <w:rPr>
          <w:bCs/>
          <w:szCs w:val="22"/>
          <w:lang w:val="en-GB"/>
        </w:rPr>
      </w:pPr>
    </w:p>
    <w:p w:rsidR="00CB723F" w:rsidRPr="00F4213A" w:rsidRDefault="00513BE0" w:rsidP="00CB723F">
      <w:pPr>
        <w:pStyle w:val="ListParagraph"/>
        <w:widowControl/>
        <w:numPr>
          <w:ilvl w:val="1"/>
          <w:numId w:val="2"/>
        </w:numPr>
      </w:pPr>
      <w:r w:rsidRPr="00487E09">
        <w:rPr>
          <w:bCs/>
          <w:szCs w:val="22"/>
          <w:lang w:val="en-GB"/>
        </w:rPr>
        <w:t>The PBAC c</w:t>
      </w:r>
      <w:r w:rsidR="00CB723F" w:rsidRPr="00487E09">
        <w:rPr>
          <w:bCs/>
          <w:szCs w:val="22"/>
          <w:lang w:val="en-GB"/>
        </w:rPr>
        <w:t>onsider</w:t>
      </w:r>
      <w:r w:rsidRPr="00487E09">
        <w:rPr>
          <w:bCs/>
          <w:szCs w:val="22"/>
          <w:lang w:val="en-GB"/>
        </w:rPr>
        <w:t>ed</w:t>
      </w:r>
      <w:r w:rsidR="00CB723F" w:rsidRPr="00487E09">
        <w:rPr>
          <w:bCs/>
          <w:szCs w:val="22"/>
          <w:lang w:val="en-GB"/>
        </w:rPr>
        <w:t xml:space="preserve"> that the best estimate of cost-effectiveness would come from a </w:t>
      </w:r>
      <w:r w:rsidR="00CB723F" w:rsidRPr="00487E09">
        <w:t xml:space="preserve">formal cost-utility analysis. </w:t>
      </w:r>
      <w:r w:rsidRPr="00487E09">
        <w:t>The PBAC a</w:t>
      </w:r>
      <w:r w:rsidR="00CB723F" w:rsidRPr="00487E09">
        <w:t>gree</w:t>
      </w:r>
      <w:r w:rsidRPr="00487E09">
        <w:t>d</w:t>
      </w:r>
      <w:r w:rsidR="00CB723F" w:rsidRPr="00487E09">
        <w:t xml:space="preserve"> with the ESC that the translation of first MM events prevented to life-years gained or QALYs gained would have been informative for the PBAC in comparing</w:t>
      </w:r>
      <w:r w:rsidR="00CB723F" w:rsidRPr="00F4213A">
        <w:t xml:space="preserve"> ICERs across drugs for the same disease. </w:t>
      </w:r>
    </w:p>
    <w:p w:rsidR="00CA1D02" w:rsidRPr="003C3927" w:rsidRDefault="00CA1D02" w:rsidP="00CA1D02">
      <w:pPr>
        <w:ind w:left="720"/>
        <w:contextualSpacing/>
        <w:rPr>
          <w:bCs/>
          <w:szCs w:val="22"/>
          <w:highlight w:val="yellow"/>
          <w:lang w:val="en-GB"/>
        </w:rPr>
      </w:pPr>
    </w:p>
    <w:p w:rsidR="00CA1D02" w:rsidRPr="003022BD" w:rsidRDefault="00CA1D02" w:rsidP="003022BD">
      <w:pPr>
        <w:numPr>
          <w:ilvl w:val="1"/>
          <w:numId w:val="2"/>
        </w:numPr>
        <w:contextualSpacing/>
        <w:rPr>
          <w:b/>
          <w:bCs/>
          <w:szCs w:val="22"/>
          <w:lang w:val="en-GB"/>
        </w:rPr>
      </w:pPr>
      <w:r w:rsidRPr="003022BD">
        <w:rPr>
          <w:bCs/>
          <w:szCs w:val="22"/>
          <w:lang w:val="en-GB"/>
        </w:rPr>
        <w:t>The PBA</w:t>
      </w:r>
      <w:r w:rsidR="003022BD" w:rsidRPr="003022BD">
        <w:rPr>
          <w:bCs/>
          <w:szCs w:val="22"/>
          <w:lang w:val="en-GB"/>
        </w:rPr>
        <w:t>C noted that this submission is</w:t>
      </w:r>
      <w:r w:rsidRPr="003022BD">
        <w:rPr>
          <w:bCs/>
          <w:szCs w:val="22"/>
          <w:lang w:val="en-GB"/>
        </w:rPr>
        <w:t xml:space="preserve"> eligible for an Independent Review.</w:t>
      </w:r>
      <w:bookmarkStart w:id="23" w:name="_GoBack"/>
      <w:bookmarkEnd w:id="23"/>
    </w:p>
    <w:p w:rsidR="003022BD" w:rsidRDefault="003022BD" w:rsidP="00CA1D02">
      <w:pPr>
        <w:rPr>
          <w:b/>
          <w:bCs/>
          <w:szCs w:val="22"/>
          <w:lang w:val="en-GB"/>
        </w:rPr>
      </w:pPr>
    </w:p>
    <w:p w:rsidR="00617A5D" w:rsidRDefault="00617A5D" w:rsidP="00CA1D02">
      <w:pPr>
        <w:rPr>
          <w:b/>
          <w:bCs/>
          <w:szCs w:val="22"/>
          <w:lang w:val="en-GB"/>
        </w:rPr>
      </w:pPr>
    </w:p>
    <w:p w:rsidR="00CA1D02" w:rsidRPr="003022BD" w:rsidRDefault="00CA1D02" w:rsidP="00CA1D02">
      <w:pPr>
        <w:rPr>
          <w:b/>
          <w:bCs/>
          <w:szCs w:val="22"/>
          <w:lang w:val="en-GB"/>
        </w:rPr>
      </w:pPr>
      <w:r w:rsidRPr="003022BD">
        <w:rPr>
          <w:b/>
          <w:bCs/>
          <w:szCs w:val="22"/>
          <w:lang w:val="en-GB"/>
        </w:rPr>
        <w:t>Outcome:</w:t>
      </w:r>
    </w:p>
    <w:p w:rsidR="00CA1D02" w:rsidRDefault="00DE6E8F" w:rsidP="00CA1D02">
      <w:pPr>
        <w:rPr>
          <w:bCs/>
          <w:szCs w:val="22"/>
          <w:lang w:val="en-GB"/>
        </w:rPr>
      </w:pPr>
      <w:r>
        <w:rPr>
          <w:bCs/>
          <w:szCs w:val="22"/>
          <w:lang w:val="en-GB"/>
        </w:rPr>
        <w:t>Rejected</w:t>
      </w:r>
    </w:p>
    <w:p w:rsidR="003A7401" w:rsidRDefault="003A7401" w:rsidP="00CA1D02">
      <w:pPr>
        <w:rPr>
          <w:bCs/>
          <w:szCs w:val="22"/>
          <w:lang w:val="en-GB"/>
        </w:rPr>
      </w:pPr>
    </w:p>
    <w:p w:rsidR="003A7401" w:rsidRDefault="003A7401" w:rsidP="003A7401">
      <w:pPr>
        <w:pStyle w:val="PBACHeading1"/>
      </w:pPr>
      <w:r w:rsidRPr="00632206">
        <w:t>Context for Decision</w:t>
      </w:r>
    </w:p>
    <w:p w:rsidR="003A7401" w:rsidRDefault="003A7401" w:rsidP="003A7401">
      <w:pPr>
        <w:ind w:left="720"/>
      </w:pPr>
    </w:p>
    <w:p w:rsidR="003A7401" w:rsidRDefault="003A7401" w:rsidP="003A7401">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A7401" w:rsidRDefault="003A7401" w:rsidP="003A7401">
      <w:pPr>
        <w:ind w:left="720"/>
      </w:pPr>
    </w:p>
    <w:p w:rsidR="003A7401" w:rsidRDefault="003A7401" w:rsidP="003A7401">
      <w:pPr>
        <w:pStyle w:val="PBACHeading1"/>
      </w:pPr>
      <w:r w:rsidRPr="00451386">
        <w:t>Sponsor’s Comment</w:t>
      </w:r>
    </w:p>
    <w:p w:rsidR="003A7401" w:rsidRDefault="003A7401" w:rsidP="003A7401">
      <w:pPr>
        <w:ind w:left="720"/>
        <w:rPr>
          <w:bCs/>
          <w:highlight w:val="yellow"/>
          <w:lang w:val="en-GB"/>
        </w:rPr>
      </w:pPr>
    </w:p>
    <w:p w:rsidR="00F37D0E" w:rsidRPr="00451386" w:rsidRDefault="00F37D0E" w:rsidP="00F37D0E">
      <w:pPr>
        <w:spacing w:after="120"/>
        <w:ind w:left="720"/>
        <w:rPr>
          <w:bCs/>
          <w:szCs w:val="24"/>
        </w:rPr>
      </w:pPr>
      <w:r>
        <w:rPr>
          <w:iCs/>
        </w:rPr>
        <w:t>Actelion Pharmaceuticals Ltd will consider the comments made by the PBAC when lodging a re-submission requesting PBS listing of selexipag for patients with PAH.</w:t>
      </w:r>
    </w:p>
    <w:p w:rsidR="003A7401" w:rsidRPr="003022BD" w:rsidRDefault="003A7401" w:rsidP="00CA1D02">
      <w:pPr>
        <w:rPr>
          <w:bCs/>
          <w:szCs w:val="22"/>
          <w:lang w:val="en-GB"/>
        </w:rPr>
      </w:pPr>
    </w:p>
    <w:sectPr w:rsidR="003A7401" w:rsidRPr="003022BD" w:rsidSect="00F15385">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68" w:rsidRDefault="00A35868" w:rsidP="00124A51">
      <w:r>
        <w:separator/>
      </w:r>
    </w:p>
  </w:endnote>
  <w:endnote w:type="continuationSeparator" w:id="0">
    <w:p w:rsidR="00A35868" w:rsidRDefault="00A3586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tham XNarrow Book">
    <w:altName w:val="Arial"/>
    <w:panose1 w:val="00000000000000000000"/>
    <w:charset w:val="00"/>
    <w:family w:val="modern"/>
    <w:notTrueType/>
    <w:pitch w:val="variable"/>
    <w:sig w:usb0="00000001" w:usb1="40000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68" w:rsidRDefault="00A35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143916616"/>
      <w:docPartObj>
        <w:docPartGallery w:val="Page Numbers (Bottom of Page)"/>
        <w:docPartUnique/>
      </w:docPartObj>
    </w:sdtPr>
    <w:sdtEndPr>
      <w:rPr>
        <w:noProof/>
      </w:rPr>
    </w:sdtEndPr>
    <w:sdtContent>
      <w:p w:rsidR="00FF1D36" w:rsidRDefault="00FF1D36" w:rsidP="00453361">
        <w:pPr>
          <w:pStyle w:val="Footer"/>
          <w:jc w:val="center"/>
          <w:rPr>
            <w:sz w:val="20"/>
          </w:rPr>
        </w:pPr>
      </w:p>
      <w:p w:rsidR="00FF1D36" w:rsidRPr="00453361" w:rsidRDefault="00FF1D36" w:rsidP="00453361">
        <w:pPr>
          <w:pStyle w:val="Footer"/>
          <w:jc w:val="center"/>
          <w:rPr>
            <w:sz w:val="20"/>
          </w:rPr>
        </w:pPr>
        <w:r w:rsidRPr="007170EE">
          <w:rPr>
            <w:sz w:val="20"/>
          </w:rPr>
          <w:fldChar w:fldCharType="begin"/>
        </w:r>
        <w:r w:rsidRPr="007170EE">
          <w:rPr>
            <w:sz w:val="20"/>
          </w:rPr>
          <w:instrText xml:space="preserve"> PAGE   \* MERGEFORMAT </w:instrText>
        </w:r>
        <w:r w:rsidRPr="007170EE">
          <w:rPr>
            <w:sz w:val="20"/>
          </w:rPr>
          <w:fldChar w:fldCharType="separate"/>
        </w:r>
        <w:r w:rsidR="00592A49">
          <w:rPr>
            <w:noProof/>
            <w:sz w:val="20"/>
          </w:rPr>
          <w:t>2</w:t>
        </w:r>
        <w:r w:rsidRPr="007170EE">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68" w:rsidRDefault="00A35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68" w:rsidRDefault="00A35868" w:rsidP="00124A51">
      <w:r>
        <w:separator/>
      </w:r>
    </w:p>
  </w:footnote>
  <w:footnote w:type="continuationSeparator" w:id="0">
    <w:p w:rsidR="00A35868" w:rsidRDefault="00A35868" w:rsidP="00124A51">
      <w:r>
        <w:continuationSeparator/>
      </w:r>
    </w:p>
  </w:footnote>
  <w:footnote w:id="1">
    <w:p w:rsidR="00FF1D36" w:rsidRDefault="00FF1D36">
      <w:pPr>
        <w:pStyle w:val="FootnoteText"/>
      </w:pPr>
      <w:r>
        <w:rPr>
          <w:rStyle w:val="FootnoteReference"/>
        </w:rPr>
        <w:footnoteRef/>
      </w:r>
      <w:r>
        <w:t xml:space="preserve"> Throughout the economic evaluation first MM events are those reported up to end-of-treatment plus 7 days, as measured for the primary outcome of the GRIIPHON trial.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68" w:rsidRDefault="00A35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6" w:rsidRPr="00DF217D" w:rsidRDefault="00FF1D36" w:rsidP="00D27B68">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FF1D36" w:rsidRDefault="00FF1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68" w:rsidRDefault="00A35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396560"/>
    <w:multiLevelType w:val="hybridMultilevel"/>
    <w:tmpl w:val="C0422A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2D66A79"/>
    <w:multiLevelType w:val="hybridMultilevel"/>
    <w:tmpl w:val="218079EA"/>
    <w:lvl w:ilvl="0" w:tplc="2ECE06EC">
      <w:start w:val="1"/>
      <w:numFmt w:val="lowerRoman"/>
      <w:lvlText w:val="%1)"/>
      <w:lvlJc w:val="left"/>
      <w:pPr>
        <w:ind w:left="1440" w:hanging="360"/>
      </w:pPr>
      <w:rPr>
        <w:rFonts w:hint="default"/>
      </w:rPr>
    </w:lvl>
    <w:lvl w:ilvl="1" w:tplc="97D8D930">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5A2E0D"/>
    <w:multiLevelType w:val="hybridMultilevel"/>
    <w:tmpl w:val="D83C2B6E"/>
    <w:lvl w:ilvl="0" w:tplc="D3CCF49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14571168"/>
    <w:multiLevelType w:val="hybridMultilevel"/>
    <w:tmpl w:val="D7C41B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5E5E8D"/>
    <w:multiLevelType w:val="hybridMultilevel"/>
    <w:tmpl w:val="45C88A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1405555"/>
    <w:multiLevelType w:val="hybridMultilevel"/>
    <w:tmpl w:val="4590FC56"/>
    <w:lvl w:ilvl="0" w:tplc="8444AE78">
      <w:start w:val="1"/>
      <w:numFmt w:val="bullet"/>
      <w:pStyle w:val="minutesdotpoint"/>
      <w:lvlText w:val="­"/>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5A7914"/>
    <w:multiLevelType w:val="hybridMultilevel"/>
    <w:tmpl w:val="92F2D1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B87277"/>
    <w:multiLevelType w:val="hybridMultilevel"/>
    <w:tmpl w:val="154C4FC8"/>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D2476C"/>
    <w:multiLevelType w:val="hybridMultilevel"/>
    <w:tmpl w:val="7826B0A8"/>
    <w:lvl w:ilvl="0" w:tplc="D3CCF494">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EA03A5"/>
    <w:multiLevelType w:val="hybridMultilevel"/>
    <w:tmpl w:val="EA94F230"/>
    <w:lvl w:ilvl="0" w:tplc="D3CCF494">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B313B7"/>
    <w:multiLevelType w:val="hybridMultilevel"/>
    <w:tmpl w:val="07A219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A45C94"/>
    <w:multiLevelType w:val="hybridMultilevel"/>
    <w:tmpl w:val="C628AA64"/>
    <w:lvl w:ilvl="0" w:tplc="D3CCF494">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7">
    <w:nsid w:val="43EA3B97"/>
    <w:multiLevelType w:val="hybridMultilevel"/>
    <w:tmpl w:val="7A72C870"/>
    <w:lvl w:ilvl="0" w:tplc="0C090001">
      <w:start w:val="1"/>
      <w:numFmt w:val="bullet"/>
      <w:lvlText w:val=""/>
      <w:lvlJc w:val="left"/>
      <w:pPr>
        <w:ind w:left="948" w:hanging="360"/>
      </w:pPr>
      <w:rPr>
        <w:rFonts w:ascii="Symbol" w:hAnsi="Symbol" w:hint="default"/>
      </w:rPr>
    </w:lvl>
    <w:lvl w:ilvl="1" w:tplc="D3CCF494">
      <w:start w:val="1"/>
      <w:numFmt w:val="bullet"/>
      <w:lvlText w:val=""/>
      <w:lvlJc w:val="left"/>
      <w:pPr>
        <w:ind w:left="1668" w:hanging="360"/>
      </w:pPr>
      <w:rPr>
        <w:rFonts w:ascii="Symbol" w:hAnsi="Symbol" w:hint="default"/>
      </w:rPr>
    </w:lvl>
    <w:lvl w:ilvl="2" w:tplc="0C090005">
      <w:start w:val="1"/>
      <w:numFmt w:val="bullet"/>
      <w:lvlText w:val=""/>
      <w:lvlJc w:val="left"/>
      <w:pPr>
        <w:ind w:left="2388" w:hanging="360"/>
      </w:pPr>
      <w:rPr>
        <w:rFonts w:ascii="Wingdings" w:hAnsi="Wingdings" w:hint="default"/>
      </w:rPr>
    </w:lvl>
    <w:lvl w:ilvl="3" w:tplc="0C090001" w:tentative="1">
      <w:start w:val="1"/>
      <w:numFmt w:val="bullet"/>
      <w:lvlText w:val=""/>
      <w:lvlJc w:val="left"/>
      <w:pPr>
        <w:ind w:left="3108" w:hanging="360"/>
      </w:pPr>
      <w:rPr>
        <w:rFonts w:ascii="Symbol" w:hAnsi="Symbol" w:hint="default"/>
      </w:rPr>
    </w:lvl>
    <w:lvl w:ilvl="4" w:tplc="0C090003" w:tentative="1">
      <w:start w:val="1"/>
      <w:numFmt w:val="bullet"/>
      <w:lvlText w:val="o"/>
      <w:lvlJc w:val="left"/>
      <w:pPr>
        <w:ind w:left="3828" w:hanging="360"/>
      </w:pPr>
      <w:rPr>
        <w:rFonts w:ascii="Courier New" w:hAnsi="Courier New" w:cs="Courier New" w:hint="default"/>
      </w:rPr>
    </w:lvl>
    <w:lvl w:ilvl="5" w:tplc="0C090005" w:tentative="1">
      <w:start w:val="1"/>
      <w:numFmt w:val="bullet"/>
      <w:lvlText w:val=""/>
      <w:lvlJc w:val="left"/>
      <w:pPr>
        <w:ind w:left="4548" w:hanging="360"/>
      </w:pPr>
      <w:rPr>
        <w:rFonts w:ascii="Wingdings" w:hAnsi="Wingdings" w:hint="default"/>
      </w:rPr>
    </w:lvl>
    <w:lvl w:ilvl="6" w:tplc="0C090001" w:tentative="1">
      <w:start w:val="1"/>
      <w:numFmt w:val="bullet"/>
      <w:lvlText w:val=""/>
      <w:lvlJc w:val="left"/>
      <w:pPr>
        <w:ind w:left="5268" w:hanging="360"/>
      </w:pPr>
      <w:rPr>
        <w:rFonts w:ascii="Symbol" w:hAnsi="Symbol" w:hint="default"/>
      </w:rPr>
    </w:lvl>
    <w:lvl w:ilvl="7" w:tplc="0C090003" w:tentative="1">
      <w:start w:val="1"/>
      <w:numFmt w:val="bullet"/>
      <w:lvlText w:val="o"/>
      <w:lvlJc w:val="left"/>
      <w:pPr>
        <w:ind w:left="5988" w:hanging="360"/>
      </w:pPr>
      <w:rPr>
        <w:rFonts w:ascii="Courier New" w:hAnsi="Courier New" w:cs="Courier New" w:hint="default"/>
      </w:rPr>
    </w:lvl>
    <w:lvl w:ilvl="8" w:tplc="0C090005" w:tentative="1">
      <w:start w:val="1"/>
      <w:numFmt w:val="bullet"/>
      <w:lvlText w:val=""/>
      <w:lvlJc w:val="left"/>
      <w:pPr>
        <w:ind w:left="6708" w:hanging="360"/>
      </w:pPr>
      <w:rPr>
        <w:rFonts w:ascii="Wingdings" w:hAnsi="Wingdings" w:hint="default"/>
      </w:rPr>
    </w:lvl>
  </w:abstractNum>
  <w:abstractNum w:abstractNumId="18">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2E169E"/>
    <w:multiLevelType w:val="hybridMultilevel"/>
    <w:tmpl w:val="D9CAB32C"/>
    <w:lvl w:ilvl="0" w:tplc="0C090001">
      <w:start w:val="1"/>
      <w:numFmt w:val="bullet"/>
      <w:lvlText w:val=""/>
      <w:lvlJc w:val="left"/>
      <w:pPr>
        <w:ind w:left="780" w:hanging="360"/>
      </w:pPr>
      <w:rPr>
        <w:rFonts w:ascii="Symbol" w:hAnsi="Symbol" w:hint="default"/>
      </w:rPr>
    </w:lvl>
    <w:lvl w:ilvl="1" w:tplc="D3CCF494">
      <w:start w:val="1"/>
      <w:numFmt w:val="bullet"/>
      <w:lvlText w:val=""/>
      <w:lvlJc w:val="left"/>
      <w:pPr>
        <w:ind w:left="1500" w:hanging="360"/>
      </w:pPr>
      <w:rPr>
        <w:rFonts w:ascii="Symbol" w:hAnsi="Symbol" w:hint="default"/>
      </w:rPr>
    </w:lvl>
    <w:lvl w:ilvl="2" w:tplc="0C090003">
      <w:start w:val="1"/>
      <w:numFmt w:val="bullet"/>
      <w:lvlText w:val="o"/>
      <w:lvlJc w:val="left"/>
      <w:pPr>
        <w:ind w:left="2220" w:hanging="360"/>
      </w:pPr>
      <w:rPr>
        <w:rFonts w:ascii="Courier New" w:hAnsi="Courier New" w:cs="Courier New"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64195AA8"/>
    <w:multiLevelType w:val="hybridMultilevel"/>
    <w:tmpl w:val="0C14D68A"/>
    <w:lvl w:ilvl="0" w:tplc="0C090001">
      <w:start w:val="1"/>
      <w:numFmt w:val="bullet"/>
      <w:lvlText w:val=""/>
      <w:lvlJc w:val="left"/>
      <w:pPr>
        <w:ind w:left="1429" w:hanging="360"/>
      </w:pPr>
      <w:rPr>
        <w:rFonts w:ascii="Symbol" w:hAnsi="Symbol" w:hint="default"/>
      </w:rPr>
    </w:lvl>
    <w:lvl w:ilvl="1" w:tplc="2ECE06EC">
      <w:start w:val="1"/>
      <w:numFmt w:val="lowerRoman"/>
      <w:lvlText w:val="%2)"/>
      <w:lvlJc w:val="left"/>
      <w:pPr>
        <w:ind w:left="2149" w:hanging="360"/>
      </w:pPr>
      <w:rPr>
        <w:rFonts w:hint="default"/>
      </w:rPr>
    </w:lvl>
    <w:lvl w:ilvl="2" w:tplc="D3CCF494">
      <w:start w:val="1"/>
      <w:numFmt w:val="bullet"/>
      <w:lvlText w:val=""/>
      <w:lvlJc w:val="left"/>
      <w:pPr>
        <w:ind w:left="2869" w:hanging="360"/>
      </w:pPr>
      <w:rPr>
        <w:rFonts w:ascii="Symbol" w:hAnsi="Symbol"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6A7A1995"/>
    <w:multiLevelType w:val="hybridMultilevel"/>
    <w:tmpl w:val="327660A4"/>
    <w:lvl w:ilvl="0" w:tplc="865E6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06E61"/>
    <w:multiLevelType w:val="hybridMultilevel"/>
    <w:tmpl w:val="439E66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84D033C"/>
    <w:multiLevelType w:val="multilevel"/>
    <w:tmpl w:val="7B8882F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5"/>
  </w:num>
  <w:num w:numId="3">
    <w:abstractNumId w:val="13"/>
  </w:num>
  <w:num w:numId="4">
    <w:abstractNumId w:val="8"/>
  </w:num>
  <w:num w:numId="5">
    <w:abstractNumId w:val="11"/>
  </w:num>
  <w:num w:numId="6">
    <w:abstractNumId w:val="12"/>
  </w:num>
  <w:num w:numId="7">
    <w:abstractNumId w:val="21"/>
  </w:num>
  <w:num w:numId="8">
    <w:abstractNumId w:val="2"/>
  </w:num>
  <w:num w:numId="9">
    <w:abstractNumId w:val="6"/>
  </w:num>
  <w:num w:numId="10">
    <w:abstractNumId w:val="5"/>
  </w:num>
  <w:num w:numId="11">
    <w:abstractNumId w:val="22"/>
  </w:num>
  <w:num w:numId="12">
    <w:abstractNumId w:val="9"/>
  </w:num>
  <w:num w:numId="13">
    <w:abstractNumId w:val="17"/>
  </w:num>
  <w:num w:numId="14">
    <w:abstractNumId w:val="1"/>
  </w:num>
  <w:num w:numId="15">
    <w:abstractNumId w:val="7"/>
  </w:num>
  <w:num w:numId="16">
    <w:abstractNumId w:val="15"/>
  </w:num>
  <w:num w:numId="17">
    <w:abstractNumId w:val="24"/>
  </w:num>
  <w:num w:numId="18">
    <w:abstractNumId w:val="14"/>
  </w:num>
  <w:num w:numId="19">
    <w:abstractNumId w:val="16"/>
  </w:num>
  <w:num w:numId="20">
    <w:abstractNumId w:val="18"/>
  </w:num>
  <w:num w:numId="21">
    <w:abstractNumId w:val="19"/>
  </w:num>
  <w:num w:numId="22">
    <w:abstractNumId w:val="20"/>
  </w:num>
  <w:num w:numId="23">
    <w:abstractNumId w:val="4"/>
  </w:num>
  <w:num w:numId="24">
    <w:abstractNumId w:val="0"/>
  </w:num>
  <w:num w:numId="25">
    <w:abstractNumId w:val="10"/>
  </w:num>
  <w:num w:numId="2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2w59f5hpawvee05wgvzftdre0p2xtapdts&quot;&gt;PAH&lt;record-ids&gt;&lt;item&gt;6&lt;/item&gt;&lt;item&gt;29&lt;/item&gt;&lt;item&gt;32&lt;/item&gt;&lt;item&gt;33&lt;/item&gt;&lt;/record-ids&gt;&lt;/item&gt;&lt;/Libraries&gt;"/>
  </w:docVars>
  <w:rsids>
    <w:rsidRoot w:val="00E65E79"/>
    <w:rsid w:val="00000790"/>
    <w:rsid w:val="0000110B"/>
    <w:rsid w:val="00001795"/>
    <w:rsid w:val="00002753"/>
    <w:rsid w:val="00003499"/>
    <w:rsid w:val="000111EF"/>
    <w:rsid w:val="0001178C"/>
    <w:rsid w:val="00013247"/>
    <w:rsid w:val="00014A31"/>
    <w:rsid w:val="00014B25"/>
    <w:rsid w:val="0001513C"/>
    <w:rsid w:val="00015400"/>
    <w:rsid w:val="00015650"/>
    <w:rsid w:val="00015886"/>
    <w:rsid w:val="00015BF4"/>
    <w:rsid w:val="000160C1"/>
    <w:rsid w:val="000162EF"/>
    <w:rsid w:val="0001695B"/>
    <w:rsid w:val="00017685"/>
    <w:rsid w:val="00017CF5"/>
    <w:rsid w:val="00017ED9"/>
    <w:rsid w:val="0002024B"/>
    <w:rsid w:val="000209F9"/>
    <w:rsid w:val="00020EE8"/>
    <w:rsid w:val="0002225F"/>
    <w:rsid w:val="000236B4"/>
    <w:rsid w:val="00023763"/>
    <w:rsid w:val="000252A8"/>
    <w:rsid w:val="000261EB"/>
    <w:rsid w:val="00026867"/>
    <w:rsid w:val="000270BA"/>
    <w:rsid w:val="00030463"/>
    <w:rsid w:val="0003141E"/>
    <w:rsid w:val="00032880"/>
    <w:rsid w:val="000333D3"/>
    <w:rsid w:val="00034BEF"/>
    <w:rsid w:val="00036A8D"/>
    <w:rsid w:val="00040895"/>
    <w:rsid w:val="00042C9A"/>
    <w:rsid w:val="00043C37"/>
    <w:rsid w:val="00043D70"/>
    <w:rsid w:val="000446A2"/>
    <w:rsid w:val="00044D4B"/>
    <w:rsid w:val="00046B0E"/>
    <w:rsid w:val="00047FD0"/>
    <w:rsid w:val="000509C9"/>
    <w:rsid w:val="00050EE2"/>
    <w:rsid w:val="0005120F"/>
    <w:rsid w:val="00051844"/>
    <w:rsid w:val="0005253A"/>
    <w:rsid w:val="0005288C"/>
    <w:rsid w:val="00052DA5"/>
    <w:rsid w:val="000540FF"/>
    <w:rsid w:val="000546D7"/>
    <w:rsid w:val="00056E09"/>
    <w:rsid w:val="00057903"/>
    <w:rsid w:val="00060A20"/>
    <w:rsid w:val="00060B7F"/>
    <w:rsid w:val="00060E13"/>
    <w:rsid w:val="000610DA"/>
    <w:rsid w:val="00061833"/>
    <w:rsid w:val="00062A82"/>
    <w:rsid w:val="00062EEF"/>
    <w:rsid w:val="000635B7"/>
    <w:rsid w:val="00063F86"/>
    <w:rsid w:val="00064C7C"/>
    <w:rsid w:val="00064D83"/>
    <w:rsid w:val="000702B2"/>
    <w:rsid w:val="0007056F"/>
    <w:rsid w:val="000710EF"/>
    <w:rsid w:val="00071248"/>
    <w:rsid w:val="000720B9"/>
    <w:rsid w:val="00072A35"/>
    <w:rsid w:val="00072BB1"/>
    <w:rsid w:val="0007332C"/>
    <w:rsid w:val="000736BC"/>
    <w:rsid w:val="0007399A"/>
    <w:rsid w:val="000745E8"/>
    <w:rsid w:val="00074B38"/>
    <w:rsid w:val="00074E3C"/>
    <w:rsid w:val="00076157"/>
    <w:rsid w:val="0008099C"/>
    <w:rsid w:val="000812CA"/>
    <w:rsid w:val="000819DB"/>
    <w:rsid w:val="00081EDA"/>
    <w:rsid w:val="00081F8D"/>
    <w:rsid w:val="000826AB"/>
    <w:rsid w:val="00082C80"/>
    <w:rsid w:val="000839B7"/>
    <w:rsid w:val="00083DE6"/>
    <w:rsid w:val="000846E3"/>
    <w:rsid w:val="00085D24"/>
    <w:rsid w:val="00085FEB"/>
    <w:rsid w:val="00090C7E"/>
    <w:rsid w:val="00091C4D"/>
    <w:rsid w:val="00092478"/>
    <w:rsid w:val="00093D2B"/>
    <w:rsid w:val="00095517"/>
    <w:rsid w:val="000957D8"/>
    <w:rsid w:val="00095A96"/>
    <w:rsid w:val="0009656D"/>
    <w:rsid w:val="000966F1"/>
    <w:rsid w:val="000A16F1"/>
    <w:rsid w:val="000A1B75"/>
    <w:rsid w:val="000A1F9D"/>
    <w:rsid w:val="000A32E5"/>
    <w:rsid w:val="000A34CD"/>
    <w:rsid w:val="000A51B0"/>
    <w:rsid w:val="000A52C0"/>
    <w:rsid w:val="000A64B5"/>
    <w:rsid w:val="000A6BE0"/>
    <w:rsid w:val="000A7AF4"/>
    <w:rsid w:val="000B058A"/>
    <w:rsid w:val="000B2304"/>
    <w:rsid w:val="000B2515"/>
    <w:rsid w:val="000B2577"/>
    <w:rsid w:val="000B3DFC"/>
    <w:rsid w:val="000B4885"/>
    <w:rsid w:val="000B4938"/>
    <w:rsid w:val="000B4AB1"/>
    <w:rsid w:val="000B5F8B"/>
    <w:rsid w:val="000B69DB"/>
    <w:rsid w:val="000B6A37"/>
    <w:rsid w:val="000C114F"/>
    <w:rsid w:val="000C11C5"/>
    <w:rsid w:val="000C1A38"/>
    <w:rsid w:val="000C1CB9"/>
    <w:rsid w:val="000C30C1"/>
    <w:rsid w:val="000C6896"/>
    <w:rsid w:val="000C766D"/>
    <w:rsid w:val="000C7A54"/>
    <w:rsid w:val="000D047C"/>
    <w:rsid w:val="000D089F"/>
    <w:rsid w:val="000D090F"/>
    <w:rsid w:val="000D0FB3"/>
    <w:rsid w:val="000D1BFC"/>
    <w:rsid w:val="000D51FE"/>
    <w:rsid w:val="000D5217"/>
    <w:rsid w:val="000D570F"/>
    <w:rsid w:val="000D5AFB"/>
    <w:rsid w:val="000D711D"/>
    <w:rsid w:val="000D77CA"/>
    <w:rsid w:val="000D78E9"/>
    <w:rsid w:val="000D7AEF"/>
    <w:rsid w:val="000E03EC"/>
    <w:rsid w:val="000E09C8"/>
    <w:rsid w:val="000E1511"/>
    <w:rsid w:val="000E2861"/>
    <w:rsid w:val="000E3E14"/>
    <w:rsid w:val="000E4111"/>
    <w:rsid w:val="000E58E6"/>
    <w:rsid w:val="000F0137"/>
    <w:rsid w:val="000F0E85"/>
    <w:rsid w:val="000F22FC"/>
    <w:rsid w:val="000F24CC"/>
    <w:rsid w:val="000F2501"/>
    <w:rsid w:val="000F2DB1"/>
    <w:rsid w:val="000F3AD9"/>
    <w:rsid w:val="000F462F"/>
    <w:rsid w:val="000F47DE"/>
    <w:rsid w:val="000F4BB8"/>
    <w:rsid w:val="000F4E77"/>
    <w:rsid w:val="000F4F20"/>
    <w:rsid w:val="000F7097"/>
    <w:rsid w:val="000F7127"/>
    <w:rsid w:val="000F73A5"/>
    <w:rsid w:val="00100326"/>
    <w:rsid w:val="00100774"/>
    <w:rsid w:val="00100931"/>
    <w:rsid w:val="00100F8A"/>
    <w:rsid w:val="00103480"/>
    <w:rsid w:val="00105256"/>
    <w:rsid w:val="001053B0"/>
    <w:rsid w:val="001061C9"/>
    <w:rsid w:val="001069C8"/>
    <w:rsid w:val="0010716C"/>
    <w:rsid w:val="00107760"/>
    <w:rsid w:val="00107B8C"/>
    <w:rsid w:val="001101B1"/>
    <w:rsid w:val="0011032E"/>
    <w:rsid w:val="00110ABB"/>
    <w:rsid w:val="001129E4"/>
    <w:rsid w:val="00112F9F"/>
    <w:rsid w:val="001132D3"/>
    <w:rsid w:val="0011348B"/>
    <w:rsid w:val="001144DF"/>
    <w:rsid w:val="00114E83"/>
    <w:rsid w:val="001151F3"/>
    <w:rsid w:val="001152FA"/>
    <w:rsid w:val="001155B0"/>
    <w:rsid w:val="00115C76"/>
    <w:rsid w:val="00115D3F"/>
    <w:rsid w:val="00116131"/>
    <w:rsid w:val="00117134"/>
    <w:rsid w:val="00121799"/>
    <w:rsid w:val="00122091"/>
    <w:rsid w:val="001222FC"/>
    <w:rsid w:val="00122D1E"/>
    <w:rsid w:val="001246EF"/>
    <w:rsid w:val="00124845"/>
    <w:rsid w:val="00124A51"/>
    <w:rsid w:val="00125DB8"/>
    <w:rsid w:val="00125E5C"/>
    <w:rsid w:val="00126621"/>
    <w:rsid w:val="00126D61"/>
    <w:rsid w:val="001301E9"/>
    <w:rsid w:val="00131233"/>
    <w:rsid w:val="00131CF8"/>
    <w:rsid w:val="0013230B"/>
    <w:rsid w:val="0013254E"/>
    <w:rsid w:val="00132B9D"/>
    <w:rsid w:val="00132E28"/>
    <w:rsid w:val="00132FDF"/>
    <w:rsid w:val="001330D1"/>
    <w:rsid w:val="00134178"/>
    <w:rsid w:val="001365DD"/>
    <w:rsid w:val="0013707F"/>
    <w:rsid w:val="001370FC"/>
    <w:rsid w:val="00137645"/>
    <w:rsid w:val="0014015A"/>
    <w:rsid w:val="00140479"/>
    <w:rsid w:val="00140E99"/>
    <w:rsid w:val="00141A59"/>
    <w:rsid w:val="00144A9C"/>
    <w:rsid w:val="00144FEC"/>
    <w:rsid w:val="00145540"/>
    <w:rsid w:val="001456B0"/>
    <w:rsid w:val="00145CC6"/>
    <w:rsid w:val="001466D3"/>
    <w:rsid w:val="00147250"/>
    <w:rsid w:val="001506EB"/>
    <w:rsid w:val="00150D64"/>
    <w:rsid w:val="001518A8"/>
    <w:rsid w:val="00152A49"/>
    <w:rsid w:val="00153C12"/>
    <w:rsid w:val="00154FE9"/>
    <w:rsid w:val="00155210"/>
    <w:rsid w:val="001559B1"/>
    <w:rsid w:val="001564E7"/>
    <w:rsid w:val="00156BB4"/>
    <w:rsid w:val="00157130"/>
    <w:rsid w:val="00157668"/>
    <w:rsid w:val="001601E9"/>
    <w:rsid w:val="00162248"/>
    <w:rsid w:val="00162913"/>
    <w:rsid w:val="00162AB4"/>
    <w:rsid w:val="00163EFF"/>
    <w:rsid w:val="00164CA1"/>
    <w:rsid w:val="001659E3"/>
    <w:rsid w:val="001661FB"/>
    <w:rsid w:val="00166D61"/>
    <w:rsid w:val="001672E1"/>
    <w:rsid w:val="00170513"/>
    <w:rsid w:val="00171CA5"/>
    <w:rsid w:val="001752C4"/>
    <w:rsid w:val="0017643B"/>
    <w:rsid w:val="00176F87"/>
    <w:rsid w:val="0018041C"/>
    <w:rsid w:val="001816F1"/>
    <w:rsid w:val="00181842"/>
    <w:rsid w:val="0018208A"/>
    <w:rsid w:val="00182AEF"/>
    <w:rsid w:val="00183B90"/>
    <w:rsid w:val="00184815"/>
    <w:rsid w:val="00185576"/>
    <w:rsid w:val="00185722"/>
    <w:rsid w:val="00187074"/>
    <w:rsid w:val="0018752F"/>
    <w:rsid w:val="00187D2A"/>
    <w:rsid w:val="001904B9"/>
    <w:rsid w:val="0019145E"/>
    <w:rsid w:val="00191738"/>
    <w:rsid w:val="00191D9B"/>
    <w:rsid w:val="0019243C"/>
    <w:rsid w:val="00193583"/>
    <w:rsid w:val="00195222"/>
    <w:rsid w:val="00195AD2"/>
    <w:rsid w:val="00195AF0"/>
    <w:rsid w:val="001975D8"/>
    <w:rsid w:val="00197A35"/>
    <w:rsid w:val="001A094C"/>
    <w:rsid w:val="001A1ED0"/>
    <w:rsid w:val="001A23E4"/>
    <w:rsid w:val="001A449A"/>
    <w:rsid w:val="001A4C82"/>
    <w:rsid w:val="001A4FFA"/>
    <w:rsid w:val="001A5538"/>
    <w:rsid w:val="001A5AD6"/>
    <w:rsid w:val="001A7696"/>
    <w:rsid w:val="001B1EDF"/>
    <w:rsid w:val="001B3443"/>
    <w:rsid w:val="001B3FCE"/>
    <w:rsid w:val="001B5B43"/>
    <w:rsid w:val="001C0CAA"/>
    <w:rsid w:val="001C260D"/>
    <w:rsid w:val="001C3547"/>
    <w:rsid w:val="001C3E4A"/>
    <w:rsid w:val="001C459A"/>
    <w:rsid w:val="001C4B96"/>
    <w:rsid w:val="001C6E66"/>
    <w:rsid w:val="001C7EDA"/>
    <w:rsid w:val="001D051F"/>
    <w:rsid w:val="001D1913"/>
    <w:rsid w:val="001D2155"/>
    <w:rsid w:val="001D2ABD"/>
    <w:rsid w:val="001D44B4"/>
    <w:rsid w:val="001D5144"/>
    <w:rsid w:val="001D5FBF"/>
    <w:rsid w:val="001D60C8"/>
    <w:rsid w:val="001D6AFB"/>
    <w:rsid w:val="001E025F"/>
    <w:rsid w:val="001E07D0"/>
    <w:rsid w:val="001E1345"/>
    <w:rsid w:val="001E1406"/>
    <w:rsid w:val="001E238E"/>
    <w:rsid w:val="001E28F3"/>
    <w:rsid w:val="001E2B1E"/>
    <w:rsid w:val="001E397A"/>
    <w:rsid w:val="001E3E82"/>
    <w:rsid w:val="001E40E2"/>
    <w:rsid w:val="001E41FE"/>
    <w:rsid w:val="001E4901"/>
    <w:rsid w:val="001E4B78"/>
    <w:rsid w:val="001E52EB"/>
    <w:rsid w:val="001E6891"/>
    <w:rsid w:val="001E740C"/>
    <w:rsid w:val="001F0002"/>
    <w:rsid w:val="001F0574"/>
    <w:rsid w:val="001F0AEA"/>
    <w:rsid w:val="001F0E6D"/>
    <w:rsid w:val="001F1235"/>
    <w:rsid w:val="001F14D4"/>
    <w:rsid w:val="001F1CB3"/>
    <w:rsid w:val="001F307B"/>
    <w:rsid w:val="001F455C"/>
    <w:rsid w:val="001F4A34"/>
    <w:rsid w:val="001F63E0"/>
    <w:rsid w:val="001F6404"/>
    <w:rsid w:val="001F710D"/>
    <w:rsid w:val="001F7151"/>
    <w:rsid w:val="001F7361"/>
    <w:rsid w:val="001F7A4C"/>
    <w:rsid w:val="001F7C9D"/>
    <w:rsid w:val="0020096F"/>
    <w:rsid w:val="002009C7"/>
    <w:rsid w:val="002009FB"/>
    <w:rsid w:val="00201C99"/>
    <w:rsid w:val="0020385F"/>
    <w:rsid w:val="002039DD"/>
    <w:rsid w:val="00203AC4"/>
    <w:rsid w:val="00204A3E"/>
    <w:rsid w:val="0020529F"/>
    <w:rsid w:val="0020575F"/>
    <w:rsid w:val="00205E97"/>
    <w:rsid w:val="00207021"/>
    <w:rsid w:val="00207D00"/>
    <w:rsid w:val="002105C1"/>
    <w:rsid w:val="002118D6"/>
    <w:rsid w:val="00213E02"/>
    <w:rsid w:val="002173DB"/>
    <w:rsid w:val="002204A3"/>
    <w:rsid w:val="00221907"/>
    <w:rsid w:val="002222CC"/>
    <w:rsid w:val="002229B6"/>
    <w:rsid w:val="00223B49"/>
    <w:rsid w:val="00223E6B"/>
    <w:rsid w:val="00224454"/>
    <w:rsid w:val="00224DD4"/>
    <w:rsid w:val="00225573"/>
    <w:rsid w:val="002274CD"/>
    <w:rsid w:val="00230219"/>
    <w:rsid w:val="002309CC"/>
    <w:rsid w:val="00230E6C"/>
    <w:rsid w:val="00232FDE"/>
    <w:rsid w:val="002331C6"/>
    <w:rsid w:val="002346D4"/>
    <w:rsid w:val="00234A3C"/>
    <w:rsid w:val="00234E43"/>
    <w:rsid w:val="00235B37"/>
    <w:rsid w:val="00235DFA"/>
    <w:rsid w:val="00236150"/>
    <w:rsid w:val="00237C4E"/>
    <w:rsid w:val="0024224F"/>
    <w:rsid w:val="00243780"/>
    <w:rsid w:val="0024586F"/>
    <w:rsid w:val="00245D89"/>
    <w:rsid w:val="00245E8C"/>
    <w:rsid w:val="002475EC"/>
    <w:rsid w:val="00250170"/>
    <w:rsid w:val="002528D5"/>
    <w:rsid w:val="0025303C"/>
    <w:rsid w:val="00253A8B"/>
    <w:rsid w:val="00254D42"/>
    <w:rsid w:val="00254DCF"/>
    <w:rsid w:val="0025534B"/>
    <w:rsid w:val="00255BB7"/>
    <w:rsid w:val="002606A5"/>
    <w:rsid w:val="002606BF"/>
    <w:rsid w:val="00260CD5"/>
    <w:rsid w:val="00260DD4"/>
    <w:rsid w:val="00260F2E"/>
    <w:rsid w:val="00261234"/>
    <w:rsid w:val="0026156B"/>
    <w:rsid w:val="002615D5"/>
    <w:rsid w:val="00262A87"/>
    <w:rsid w:val="002642E5"/>
    <w:rsid w:val="00265CC3"/>
    <w:rsid w:val="002662D3"/>
    <w:rsid w:val="00266C76"/>
    <w:rsid w:val="00270D35"/>
    <w:rsid w:val="002720FE"/>
    <w:rsid w:val="00272BFD"/>
    <w:rsid w:val="00272CE7"/>
    <w:rsid w:val="00274816"/>
    <w:rsid w:val="0027564B"/>
    <w:rsid w:val="00275C5A"/>
    <w:rsid w:val="00275F78"/>
    <w:rsid w:val="00276D1E"/>
    <w:rsid w:val="00277D8D"/>
    <w:rsid w:val="00281014"/>
    <w:rsid w:val="0028148B"/>
    <w:rsid w:val="00284FA4"/>
    <w:rsid w:val="002852D7"/>
    <w:rsid w:val="002862E0"/>
    <w:rsid w:val="00286358"/>
    <w:rsid w:val="00286615"/>
    <w:rsid w:val="00286870"/>
    <w:rsid w:val="0028795D"/>
    <w:rsid w:val="00287AA4"/>
    <w:rsid w:val="0029091E"/>
    <w:rsid w:val="00290E94"/>
    <w:rsid w:val="002911AC"/>
    <w:rsid w:val="00291568"/>
    <w:rsid w:val="00291922"/>
    <w:rsid w:val="002920BF"/>
    <w:rsid w:val="00293188"/>
    <w:rsid w:val="00295813"/>
    <w:rsid w:val="00295DE6"/>
    <w:rsid w:val="00296C6F"/>
    <w:rsid w:val="002A14AB"/>
    <w:rsid w:val="002A184F"/>
    <w:rsid w:val="002A261D"/>
    <w:rsid w:val="002A2C48"/>
    <w:rsid w:val="002B1C1F"/>
    <w:rsid w:val="002B2358"/>
    <w:rsid w:val="002B383F"/>
    <w:rsid w:val="002B432F"/>
    <w:rsid w:val="002B5BE3"/>
    <w:rsid w:val="002B6CCE"/>
    <w:rsid w:val="002B703B"/>
    <w:rsid w:val="002C0EDD"/>
    <w:rsid w:val="002C2775"/>
    <w:rsid w:val="002C27C1"/>
    <w:rsid w:val="002C3186"/>
    <w:rsid w:val="002C441D"/>
    <w:rsid w:val="002C5122"/>
    <w:rsid w:val="002C662B"/>
    <w:rsid w:val="002D1BF1"/>
    <w:rsid w:val="002D3093"/>
    <w:rsid w:val="002D35A4"/>
    <w:rsid w:val="002D3BF6"/>
    <w:rsid w:val="002D446C"/>
    <w:rsid w:val="002D54F4"/>
    <w:rsid w:val="002D5B50"/>
    <w:rsid w:val="002D6387"/>
    <w:rsid w:val="002D6A23"/>
    <w:rsid w:val="002D7012"/>
    <w:rsid w:val="002D7E25"/>
    <w:rsid w:val="002E1F0F"/>
    <w:rsid w:val="002E3641"/>
    <w:rsid w:val="002E380E"/>
    <w:rsid w:val="002E4810"/>
    <w:rsid w:val="002E5D85"/>
    <w:rsid w:val="002E7781"/>
    <w:rsid w:val="002F118D"/>
    <w:rsid w:val="002F1C83"/>
    <w:rsid w:val="002F2D09"/>
    <w:rsid w:val="002F3AEC"/>
    <w:rsid w:val="002F436B"/>
    <w:rsid w:val="002F51B6"/>
    <w:rsid w:val="002F556F"/>
    <w:rsid w:val="002F73F6"/>
    <w:rsid w:val="002F7D02"/>
    <w:rsid w:val="00300C05"/>
    <w:rsid w:val="00301017"/>
    <w:rsid w:val="003022BD"/>
    <w:rsid w:val="003028B5"/>
    <w:rsid w:val="00303489"/>
    <w:rsid w:val="00303851"/>
    <w:rsid w:val="003041CB"/>
    <w:rsid w:val="00304B73"/>
    <w:rsid w:val="00304E46"/>
    <w:rsid w:val="0030532F"/>
    <w:rsid w:val="003056B0"/>
    <w:rsid w:val="00306C7E"/>
    <w:rsid w:val="00306E70"/>
    <w:rsid w:val="0030786C"/>
    <w:rsid w:val="00307CE3"/>
    <w:rsid w:val="0031031A"/>
    <w:rsid w:val="00310981"/>
    <w:rsid w:val="003111F1"/>
    <w:rsid w:val="00311E3C"/>
    <w:rsid w:val="00313D24"/>
    <w:rsid w:val="00314EC1"/>
    <w:rsid w:val="003153BA"/>
    <w:rsid w:val="00315498"/>
    <w:rsid w:val="003156A6"/>
    <w:rsid w:val="00316965"/>
    <w:rsid w:val="00317F8A"/>
    <w:rsid w:val="003228CB"/>
    <w:rsid w:val="00322B06"/>
    <w:rsid w:val="003244B5"/>
    <w:rsid w:val="00324E25"/>
    <w:rsid w:val="0032541C"/>
    <w:rsid w:val="003254A8"/>
    <w:rsid w:val="003272F4"/>
    <w:rsid w:val="00327907"/>
    <w:rsid w:val="00330456"/>
    <w:rsid w:val="00330A39"/>
    <w:rsid w:val="003310B7"/>
    <w:rsid w:val="0033160F"/>
    <w:rsid w:val="00331B19"/>
    <w:rsid w:val="0033265B"/>
    <w:rsid w:val="00335580"/>
    <w:rsid w:val="003366C1"/>
    <w:rsid w:val="003366C9"/>
    <w:rsid w:val="003371B0"/>
    <w:rsid w:val="0033752D"/>
    <w:rsid w:val="003401B4"/>
    <w:rsid w:val="003403A2"/>
    <w:rsid w:val="00342C8A"/>
    <w:rsid w:val="00343525"/>
    <w:rsid w:val="00344D9B"/>
    <w:rsid w:val="00345BC9"/>
    <w:rsid w:val="00345EA3"/>
    <w:rsid w:val="003472B6"/>
    <w:rsid w:val="00350164"/>
    <w:rsid w:val="00350826"/>
    <w:rsid w:val="00350EC9"/>
    <w:rsid w:val="00352556"/>
    <w:rsid w:val="00352C86"/>
    <w:rsid w:val="00353B6E"/>
    <w:rsid w:val="0035409B"/>
    <w:rsid w:val="0035545D"/>
    <w:rsid w:val="00356125"/>
    <w:rsid w:val="0035620E"/>
    <w:rsid w:val="00356523"/>
    <w:rsid w:val="00356909"/>
    <w:rsid w:val="0035718B"/>
    <w:rsid w:val="00357F35"/>
    <w:rsid w:val="00361BBC"/>
    <w:rsid w:val="003633D5"/>
    <w:rsid w:val="0036345D"/>
    <w:rsid w:val="003642B1"/>
    <w:rsid w:val="003661E9"/>
    <w:rsid w:val="00366334"/>
    <w:rsid w:val="00366465"/>
    <w:rsid w:val="003671A0"/>
    <w:rsid w:val="0037091E"/>
    <w:rsid w:val="0037095A"/>
    <w:rsid w:val="00372EC4"/>
    <w:rsid w:val="00373E38"/>
    <w:rsid w:val="003746FE"/>
    <w:rsid w:val="00375DC3"/>
    <w:rsid w:val="00381EBF"/>
    <w:rsid w:val="0038365C"/>
    <w:rsid w:val="00384EA8"/>
    <w:rsid w:val="00384F22"/>
    <w:rsid w:val="0038517B"/>
    <w:rsid w:val="00386893"/>
    <w:rsid w:val="00386C1B"/>
    <w:rsid w:val="00386F66"/>
    <w:rsid w:val="00387CF4"/>
    <w:rsid w:val="003900CB"/>
    <w:rsid w:val="00391ABA"/>
    <w:rsid w:val="00393585"/>
    <w:rsid w:val="00393C5F"/>
    <w:rsid w:val="003951C9"/>
    <w:rsid w:val="00395D10"/>
    <w:rsid w:val="00396FD0"/>
    <w:rsid w:val="003974A7"/>
    <w:rsid w:val="00397A58"/>
    <w:rsid w:val="003A092D"/>
    <w:rsid w:val="003A1A7A"/>
    <w:rsid w:val="003A1F72"/>
    <w:rsid w:val="003A2F32"/>
    <w:rsid w:val="003A3557"/>
    <w:rsid w:val="003A4093"/>
    <w:rsid w:val="003A53C3"/>
    <w:rsid w:val="003A55CB"/>
    <w:rsid w:val="003A6B19"/>
    <w:rsid w:val="003A7379"/>
    <w:rsid w:val="003A7401"/>
    <w:rsid w:val="003A74F1"/>
    <w:rsid w:val="003A7582"/>
    <w:rsid w:val="003A75F4"/>
    <w:rsid w:val="003B00C5"/>
    <w:rsid w:val="003B0296"/>
    <w:rsid w:val="003B1A28"/>
    <w:rsid w:val="003B22D6"/>
    <w:rsid w:val="003B2736"/>
    <w:rsid w:val="003B3EEB"/>
    <w:rsid w:val="003B48DB"/>
    <w:rsid w:val="003B5B53"/>
    <w:rsid w:val="003B6496"/>
    <w:rsid w:val="003B7885"/>
    <w:rsid w:val="003C152A"/>
    <w:rsid w:val="003C4585"/>
    <w:rsid w:val="003C6733"/>
    <w:rsid w:val="003C770A"/>
    <w:rsid w:val="003D07CF"/>
    <w:rsid w:val="003D07DF"/>
    <w:rsid w:val="003D1334"/>
    <w:rsid w:val="003D1828"/>
    <w:rsid w:val="003D1C03"/>
    <w:rsid w:val="003D2422"/>
    <w:rsid w:val="003D3173"/>
    <w:rsid w:val="003D474F"/>
    <w:rsid w:val="003D6051"/>
    <w:rsid w:val="003D6610"/>
    <w:rsid w:val="003D6BF3"/>
    <w:rsid w:val="003E2E43"/>
    <w:rsid w:val="003E3010"/>
    <w:rsid w:val="003E39E3"/>
    <w:rsid w:val="003E3BEC"/>
    <w:rsid w:val="003E421F"/>
    <w:rsid w:val="003E55B3"/>
    <w:rsid w:val="003E75CF"/>
    <w:rsid w:val="003F1514"/>
    <w:rsid w:val="003F1761"/>
    <w:rsid w:val="003F2135"/>
    <w:rsid w:val="003F21CC"/>
    <w:rsid w:val="003F30EA"/>
    <w:rsid w:val="003F378E"/>
    <w:rsid w:val="003F4156"/>
    <w:rsid w:val="003F4448"/>
    <w:rsid w:val="003F58FF"/>
    <w:rsid w:val="003F74B9"/>
    <w:rsid w:val="00400564"/>
    <w:rsid w:val="0040074D"/>
    <w:rsid w:val="00401E9A"/>
    <w:rsid w:val="00402D91"/>
    <w:rsid w:val="00402EA5"/>
    <w:rsid w:val="00403194"/>
    <w:rsid w:val="00403F40"/>
    <w:rsid w:val="004047CA"/>
    <w:rsid w:val="00405686"/>
    <w:rsid w:val="00405E57"/>
    <w:rsid w:val="004065E6"/>
    <w:rsid w:val="004071DE"/>
    <w:rsid w:val="00407C7F"/>
    <w:rsid w:val="00410708"/>
    <w:rsid w:val="0041094C"/>
    <w:rsid w:val="00410EC7"/>
    <w:rsid w:val="00412B0B"/>
    <w:rsid w:val="00413262"/>
    <w:rsid w:val="00413B59"/>
    <w:rsid w:val="00414476"/>
    <w:rsid w:val="00414F46"/>
    <w:rsid w:val="00415F40"/>
    <w:rsid w:val="00416364"/>
    <w:rsid w:val="00416DA8"/>
    <w:rsid w:val="00420B9F"/>
    <w:rsid w:val="00420E15"/>
    <w:rsid w:val="00421244"/>
    <w:rsid w:val="00421E89"/>
    <w:rsid w:val="00423118"/>
    <w:rsid w:val="004242D9"/>
    <w:rsid w:val="004247E5"/>
    <w:rsid w:val="00424B1F"/>
    <w:rsid w:val="00424CD4"/>
    <w:rsid w:val="0042506C"/>
    <w:rsid w:val="004253D2"/>
    <w:rsid w:val="00426EC8"/>
    <w:rsid w:val="004319F8"/>
    <w:rsid w:val="00431D76"/>
    <w:rsid w:val="00432B3C"/>
    <w:rsid w:val="00433044"/>
    <w:rsid w:val="00433B0D"/>
    <w:rsid w:val="00433C8B"/>
    <w:rsid w:val="00434A03"/>
    <w:rsid w:val="00434B4E"/>
    <w:rsid w:val="0043503E"/>
    <w:rsid w:val="00435537"/>
    <w:rsid w:val="004357F9"/>
    <w:rsid w:val="00440894"/>
    <w:rsid w:val="0044371F"/>
    <w:rsid w:val="0044379D"/>
    <w:rsid w:val="004443A7"/>
    <w:rsid w:val="00444586"/>
    <w:rsid w:val="004445A5"/>
    <w:rsid w:val="00444ED0"/>
    <w:rsid w:val="004464EB"/>
    <w:rsid w:val="00447C89"/>
    <w:rsid w:val="0045040D"/>
    <w:rsid w:val="004509D1"/>
    <w:rsid w:val="00451148"/>
    <w:rsid w:val="00452E60"/>
    <w:rsid w:val="00453361"/>
    <w:rsid w:val="00454BCA"/>
    <w:rsid w:val="00455D45"/>
    <w:rsid w:val="004576A1"/>
    <w:rsid w:val="00460EBD"/>
    <w:rsid w:val="00462BF7"/>
    <w:rsid w:val="00463A56"/>
    <w:rsid w:val="00464179"/>
    <w:rsid w:val="00464595"/>
    <w:rsid w:val="00465835"/>
    <w:rsid w:val="004671A6"/>
    <w:rsid w:val="004704E2"/>
    <w:rsid w:val="004709EA"/>
    <w:rsid w:val="004729CE"/>
    <w:rsid w:val="00474105"/>
    <w:rsid w:val="00474578"/>
    <w:rsid w:val="00475868"/>
    <w:rsid w:val="0047606A"/>
    <w:rsid w:val="004766B7"/>
    <w:rsid w:val="00476A94"/>
    <w:rsid w:val="00476D02"/>
    <w:rsid w:val="00480EE7"/>
    <w:rsid w:val="00481D9E"/>
    <w:rsid w:val="00482447"/>
    <w:rsid w:val="0048304E"/>
    <w:rsid w:val="00483A81"/>
    <w:rsid w:val="004845CB"/>
    <w:rsid w:val="00484CA6"/>
    <w:rsid w:val="00485315"/>
    <w:rsid w:val="00485CD8"/>
    <w:rsid w:val="004867E2"/>
    <w:rsid w:val="004869E0"/>
    <w:rsid w:val="00487388"/>
    <w:rsid w:val="004875FA"/>
    <w:rsid w:val="00487E09"/>
    <w:rsid w:val="0049000D"/>
    <w:rsid w:val="00490105"/>
    <w:rsid w:val="00490910"/>
    <w:rsid w:val="00491B3A"/>
    <w:rsid w:val="00492CFD"/>
    <w:rsid w:val="0049409B"/>
    <w:rsid w:val="00495EB6"/>
    <w:rsid w:val="004962D2"/>
    <w:rsid w:val="004963BF"/>
    <w:rsid w:val="00497764"/>
    <w:rsid w:val="004A02C3"/>
    <w:rsid w:val="004A0DA1"/>
    <w:rsid w:val="004A1533"/>
    <w:rsid w:val="004A15DD"/>
    <w:rsid w:val="004A1EFB"/>
    <w:rsid w:val="004A3959"/>
    <w:rsid w:val="004A3EDF"/>
    <w:rsid w:val="004A4700"/>
    <w:rsid w:val="004A4ABD"/>
    <w:rsid w:val="004A5D6F"/>
    <w:rsid w:val="004A64E4"/>
    <w:rsid w:val="004A6597"/>
    <w:rsid w:val="004A6BAD"/>
    <w:rsid w:val="004A7E87"/>
    <w:rsid w:val="004B0BF9"/>
    <w:rsid w:val="004B0CF9"/>
    <w:rsid w:val="004B1CB4"/>
    <w:rsid w:val="004B1EBE"/>
    <w:rsid w:val="004B21D5"/>
    <w:rsid w:val="004B26B0"/>
    <w:rsid w:val="004B2C26"/>
    <w:rsid w:val="004B2F18"/>
    <w:rsid w:val="004B3D46"/>
    <w:rsid w:val="004B3DDB"/>
    <w:rsid w:val="004B4024"/>
    <w:rsid w:val="004B44FD"/>
    <w:rsid w:val="004B4BF2"/>
    <w:rsid w:val="004B5CFC"/>
    <w:rsid w:val="004B5DA0"/>
    <w:rsid w:val="004B5F09"/>
    <w:rsid w:val="004B70F4"/>
    <w:rsid w:val="004B71C7"/>
    <w:rsid w:val="004B762C"/>
    <w:rsid w:val="004C01FC"/>
    <w:rsid w:val="004C11DE"/>
    <w:rsid w:val="004C1433"/>
    <w:rsid w:val="004C25CC"/>
    <w:rsid w:val="004C316E"/>
    <w:rsid w:val="004C37B0"/>
    <w:rsid w:val="004C387C"/>
    <w:rsid w:val="004C44C1"/>
    <w:rsid w:val="004C450E"/>
    <w:rsid w:val="004C4AED"/>
    <w:rsid w:val="004C4BEB"/>
    <w:rsid w:val="004C5981"/>
    <w:rsid w:val="004C6344"/>
    <w:rsid w:val="004D0278"/>
    <w:rsid w:val="004D0953"/>
    <w:rsid w:val="004D3F1E"/>
    <w:rsid w:val="004D3FFF"/>
    <w:rsid w:val="004D4E66"/>
    <w:rsid w:val="004D5392"/>
    <w:rsid w:val="004D6CF2"/>
    <w:rsid w:val="004D7987"/>
    <w:rsid w:val="004D7ED9"/>
    <w:rsid w:val="004E02BD"/>
    <w:rsid w:val="004E0847"/>
    <w:rsid w:val="004E08A0"/>
    <w:rsid w:val="004E0EB8"/>
    <w:rsid w:val="004E215F"/>
    <w:rsid w:val="004E2ADC"/>
    <w:rsid w:val="004E43B2"/>
    <w:rsid w:val="004E4BE3"/>
    <w:rsid w:val="004E4E12"/>
    <w:rsid w:val="004E63E2"/>
    <w:rsid w:val="004E66F2"/>
    <w:rsid w:val="004E6B29"/>
    <w:rsid w:val="004E74FE"/>
    <w:rsid w:val="004F06B0"/>
    <w:rsid w:val="004F1D02"/>
    <w:rsid w:val="004F24A7"/>
    <w:rsid w:val="004F2679"/>
    <w:rsid w:val="004F28E0"/>
    <w:rsid w:val="004F36A2"/>
    <w:rsid w:val="004F3B73"/>
    <w:rsid w:val="004F3BBE"/>
    <w:rsid w:val="004F3FC0"/>
    <w:rsid w:val="004F42FD"/>
    <w:rsid w:val="004F5AC3"/>
    <w:rsid w:val="004F7865"/>
    <w:rsid w:val="004F7A8D"/>
    <w:rsid w:val="004F7E5C"/>
    <w:rsid w:val="00500850"/>
    <w:rsid w:val="0050086A"/>
    <w:rsid w:val="00500886"/>
    <w:rsid w:val="00500B3B"/>
    <w:rsid w:val="005010A2"/>
    <w:rsid w:val="00502588"/>
    <w:rsid w:val="00502853"/>
    <w:rsid w:val="0050556C"/>
    <w:rsid w:val="00506928"/>
    <w:rsid w:val="00507980"/>
    <w:rsid w:val="00510363"/>
    <w:rsid w:val="00510D92"/>
    <w:rsid w:val="00511CD6"/>
    <w:rsid w:val="0051266E"/>
    <w:rsid w:val="00513274"/>
    <w:rsid w:val="00513BE0"/>
    <w:rsid w:val="005140FE"/>
    <w:rsid w:val="005152B5"/>
    <w:rsid w:val="0051599E"/>
    <w:rsid w:val="005160E0"/>
    <w:rsid w:val="005162CE"/>
    <w:rsid w:val="00517342"/>
    <w:rsid w:val="0051747F"/>
    <w:rsid w:val="005206E6"/>
    <w:rsid w:val="00521319"/>
    <w:rsid w:val="00523C28"/>
    <w:rsid w:val="00523D20"/>
    <w:rsid w:val="005264BC"/>
    <w:rsid w:val="00526821"/>
    <w:rsid w:val="00527189"/>
    <w:rsid w:val="005310D0"/>
    <w:rsid w:val="00531D01"/>
    <w:rsid w:val="00532C62"/>
    <w:rsid w:val="005332C0"/>
    <w:rsid w:val="0053364C"/>
    <w:rsid w:val="0053414B"/>
    <w:rsid w:val="00534235"/>
    <w:rsid w:val="0053466A"/>
    <w:rsid w:val="005348D2"/>
    <w:rsid w:val="00534EB2"/>
    <w:rsid w:val="00535435"/>
    <w:rsid w:val="005358AF"/>
    <w:rsid w:val="005379B3"/>
    <w:rsid w:val="00540045"/>
    <w:rsid w:val="005428C8"/>
    <w:rsid w:val="00544B4B"/>
    <w:rsid w:val="00545738"/>
    <w:rsid w:val="0054697B"/>
    <w:rsid w:val="00546CC3"/>
    <w:rsid w:val="0055116F"/>
    <w:rsid w:val="00551BB7"/>
    <w:rsid w:val="00551C50"/>
    <w:rsid w:val="00552AC3"/>
    <w:rsid w:val="00552BD3"/>
    <w:rsid w:val="00552FAC"/>
    <w:rsid w:val="00553E94"/>
    <w:rsid w:val="00554A70"/>
    <w:rsid w:val="00555109"/>
    <w:rsid w:val="0055575A"/>
    <w:rsid w:val="005558BB"/>
    <w:rsid w:val="005559FE"/>
    <w:rsid w:val="00555BA8"/>
    <w:rsid w:val="0055707A"/>
    <w:rsid w:val="00560375"/>
    <w:rsid w:val="00561421"/>
    <w:rsid w:val="00561E71"/>
    <w:rsid w:val="0056239F"/>
    <w:rsid w:val="0056571A"/>
    <w:rsid w:val="005660F6"/>
    <w:rsid w:val="0056696F"/>
    <w:rsid w:val="00570F85"/>
    <w:rsid w:val="005727C7"/>
    <w:rsid w:val="00572A6A"/>
    <w:rsid w:val="00573931"/>
    <w:rsid w:val="00573AAC"/>
    <w:rsid w:val="00573C48"/>
    <w:rsid w:val="00574BF7"/>
    <w:rsid w:val="00574F70"/>
    <w:rsid w:val="00575D8D"/>
    <w:rsid w:val="00576972"/>
    <w:rsid w:val="0057798D"/>
    <w:rsid w:val="00581488"/>
    <w:rsid w:val="00583699"/>
    <w:rsid w:val="00583CA5"/>
    <w:rsid w:val="0058410F"/>
    <w:rsid w:val="00584E19"/>
    <w:rsid w:val="00585077"/>
    <w:rsid w:val="005853B8"/>
    <w:rsid w:val="00585881"/>
    <w:rsid w:val="005866ED"/>
    <w:rsid w:val="00586886"/>
    <w:rsid w:val="005874D1"/>
    <w:rsid w:val="00590A3C"/>
    <w:rsid w:val="00590DCD"/>
    <w:rsid w:val="005917BF"/>
    <w:rsid w:val="00592166"/>
    <w:rsid w:val="00592A49"/>
    <w:rsid w:val="0059566C"/>
    <w:rsid w:val="00595ADA"/>
    <w:rsid w:val="00595C59"/>
    <w:rsid w:val="00596A0C"/>
    <w:rsid w:val="00596C9B"/>
    <w:rsid w:val="00597DB4"/>
    <w:rsid w:val="005A1253"/>
    <w:rsid w:val="005A1FF4"/>
    <w:rsid w:val="005A5127"/>
    <w:rsid w:val="005A516A"/>
    <w:rsid w:val="005A532B"/>
    <w:rsid w:val="005A5431"/>
    <w:rsid w:val="005A5F99"/>
    <w:rsid w:val="005A6DE5"/>
    <w:rsid w:val="005B1434"/>
    <w:rsid w:val="005B1E6E"/>
    <w:rsid w:val="005B2B39"/>
    <w:rsid w:val="005B3FA9"/>
    <w:rsid w:val="005B499C"/>
    <w:rsid w:val="005B4C56"/>
    <w:rsid w:val="005B5857"/>
    <w:rsid w:val="005B5884"/>
    <w:rsid w:val="005B5A6D"/>
    <w:rsid w:val="005B5CE0"/>
    <w:rsid w:val="005B66E1"/>
    <w:rsid w:val="005B68A6"/>
    <w:rsid w:val="005C1B83"/>
    <w:rsid w:val="005C1EFF"/>
    <w:rsid w:val="005C2F03"/>
    <w:rsid w:val="005C32C1"/>
    <w:rsid w:val="005C346B"/>
    <w:rsid w:val="005C5FEA"/>
    <w:rsid w:val="005C70EE"/>
    <w:rsid w:val="005C7F65"/>
    <w:rsid w:val="005D044D"/>
    <w:rsid w:val="005D1563"/>
    <w:rsid w:val="005D18AD"/>
    <w:rsid w:val="005D223A"/>
    <w:rsid w:val="005D28FA"/>
    <w:rsid w:val="005D4D73"/>
    <w:rsid w:val="005D5758"/>
    <w:rsid w:val="005D7937"/>
    <w:rsid w:val="005D7A64"/>
    <w:rsid w:val="005E00C0"/>
    <w:rsid w:val="005E129A"/>
    <w:rsid w:val="005E18A0"/>
    <w:rsid w:val="005E1D91"/>
    <w:rsid w:val="005E1F64"/>
    <w:rsid w:val="005E22CF"/>
    <w:rsid w:val="005E4277"/>
    <w:rsid w:val="005E46DC"/>
    <w:rsid w:val="005E4FF8"/>
    <w:rsid w:val="005E503C"/>
    <w:rsid w:val="005E5743"/>
    <w:rsid w:val="005E57F7"/>
    <w:rsid w:val="005E5AA1"/>
    <w:rsid w:val="005E630B"/>
    <w:rsid w:val="005E6CCD"/>
    <w:rsid w:val="005E73C0"/>
    <w:rsid w:val="005E7F19"/>
    <w:rsid w:val="005F08EE"/>
    <w:rsid w:val="005F1735"/>
    <w:rsid w:val="005F1B33"/>
    <w:rsid w:val="005F23BA"/>
    <w:rsid w:val="005F23C4"/>
    <w:rsid w:val="005F2706"/>
    <w:rsid w:val="005F2B5B"/>
    <w:rsid w:val="005F2EF9"/>
    <w:rsid w:val="005F387E"/>
    <w:rsid w:val="005F45EA"/>
    <w:rsid w:val="005F4C46"/>
    <w:rsid w:val="005F5BD1"/>
    <w:rsid w:val="005F5F47"/>
    <w:rsid w:val="005F6A8F"/>
    <w:rsid w:val="006004BF"/>
    <w:rsid w:val="00600BDC"/>
    <w:rsid w:val="006016C3"/>
    <w:rsid w:val="00602563"/>
    <w:rsid w:val="006035A8"/>
    <w:rsid w:val="0060398D"/>
    <w:rsid w:val="00604242"/>
    <w:rsid w:val="00604272"/>
    <w:rsid w:val="00604AAA"/>
    <w:rsid w:val="006054E2"/>
    <w:rsid w:val="00607015"/>
    <w:rsid w:val="00607026"/>
    <w:rsid w:val="00607669"/>
    <w:rsid w:val="006076AF"/>
    <w:rsid w:val="0060784E"/>
    <w:rsid w:val="0061056C"/>
    <w:rsid w:val="00610EDC"/>
    <w:rsid w:val="0061163F"/>
    <w:rsid w:val="00611A38"/>
    <w:rsid w:val="006122B2"/>
    <w:rsid w:val="00612F97"/>
    <w:rsid w:val="00613C6F"/>
    <w:rsid w:val="0061520D"/>
    <w:rsid w:val="00615705"/>
    <w:rsid w:val="006163B3"/>
    <w:rsid w:val="00616802"/>
    <w:rsid w:val="00616B1A"/>
    <w:rsid w:val="0061752C"/>
    <w:rsid w:val="0061773C"/>
    <w:rsid w:val="00617A5D"/>
    <w:rsid w:val="00617D1E"/>
    <w:rsid w:val="00617E12"/>
    <w:rsid w:val="006202AD"/>
    <w:rsid w:val="006203CC"/>
    <w:rsid w:val="00620E95"/>
    <w:rsid w:val="0062123B"/>
    <w:rsid w:val="00621477"/>
    <w:rsid w:val="00622824"/>
    <w:rsid w:val="006235BB"/>
    <w:rsid w:val="006268DE"/>
    <w:rsid w:val="0062712E"/>
    <w:rsid w:val="00630B15"/>
    <w:rsid w:val="00630DD8"/>
    <w:rsid w:val="00630E24"/>
    <w:rsid w:val="00631D6B"/>
    <w:rsid w:val="006320BE"/>
    <w:rsid w:val="0063340C"/>
    <w:rsid w:val="006341E5"/>
    <w:rsid w:val="0063479F"/>
    <w:rsid w:val="00635F8E"/>
    <w:rsid w:val="0063602F"/>
    <w:rsid w:val="006364A1"/>
    <w:rsid w:val="00636D49"/>
    <w:rsid w:val="00636DC9"/>
    <w:rsid w:val="00637BFD"/>
    <w:rsid w:val="00637DA9"/>
    <w:rsid w:val="00640878"/>
    <w:rsid w:val="00640B2A"/>
    <w:rsid w:val="00642A52"/>
    <w:rsid w:val="006433E4"/>
    <w:rsid w:val="0064488A"/>
    <w:rsid w:val="00644D5B"/>
    <w:rsid w:val="006453D5"/>
    <w:rsid w:val="00646B84"/>
    <w:rsid w:val="00646F28"/>
    <w:rsid w:val="006471CC"/>
    <w:rsid w:val="00647838"/>
    <w:rsid w:val="00647F1B"/>
    <w:rsid w:val="0065079F"/>
    <w:rsid w:val="0065088A"/>
    <w:rsid w:val="00651924"/>
    <w:rsid w:val="00651CD7"/>
    <w:rsid w:val="00652CE4"/>
    <w:rsid w:val="006539C8"/>
    <w:rsid w:val="0065433C"/>
    <w:rsid w:val="0065467F"/>
    <w:rsid w:val="00654F8D"/>
    <w:rsid w:val="00655CDF"/>
    <w:rsid w:val="0065607D"/>
    <w:rsid w:val="0065617E"/>
    <w:rsid w:val="00656CE6"/>
    <w:rsid w:val="00656F47"/>
    <w:rsid w:val="0065707F"/>
    <w:rsid w:val="00660792"/>
    <w:rsid w:val="00660A6F"/>
    <w:rsid w:val="00661966"/>
    <w:rsid w:val="00662C37"/>
    <w:rsid w:val="006633CD"/>
    <w:rsid w:val="0066371C"/>
    <w:rsid w:val="00663DAC"/>
    <w:rsid w:val="00664182"/>
    <w:rsid w:val="006651F7"/>
    <w:rsid w:val="00665F9A"/>
    <w:rsid w:val="00666177"/>
    <w:rsid w:val="0066796B"/>
    <w:rsid w:val="00667CB5"/>
    <w:rsid w:val="00670906"/>
    <w:rsid w:val="00670F35"/>
    <w:rsid w:val="00672376"/>
    <w:rsid w:val="00672C9A"/>
    <w:rsid w:val="00674179"/>
    <w:rsid w:val="006746CE"/>
    <w:rsid w:val="00674E18"/>
    <w:rsid w:val="00674E42"/>
    <w:rsid w:val="00675F48"/>
    <w:rsid w:val="00675F4A"/>
    <w:rsid w:val="00675FA9"/>
    <w:rsid w:val="00680BEC"/>
    <w:rsid w:val="00680C87"/>
    <w:rsid w:val="006813B8"/>
    <w:rsid w:val="00681899"/>
    <w:rsid w:val="00682112"/>
    <w:rsid w:val="00683816"/>
    <w:rsid w:val="00683D41"/>
    <w:rsid w:val="00684261"/>
    <w:rsid w:val="00685988"/>
    <w:rsid w:val="00686A09"/>
    <w:rsid w:val="006870B3"/>
    <w:rsid w:val="006872BA"/>
    <w:rsid w:val="006917D7"/>
    <w:rsid w:val="00691913"/>
    <w:rsid w:val="00692AAE"/>
    <w:rsid w:val="00694F44"/>
    <w:rsid w:val="00695398"/>
    <w:rsid w:val="00695612"/>
    <w:rsid w:val="00696F43"/>
    <w:rsid w:val="006A02DB"/>
    <w:rsid w:val="006A194F"/>
    <w:rsid w:val="006A23C5"/>
    <w:rsid w:val="006A2DE2"/>
    <w:rsid w:val="006A312F"/>
    <w:rsid w:val="006A3231"/>
    <w:rsid w:val="006A5982"/>
    <w:rsid w:val="006B0079"/>
    <w:rsid w:val="006B0AAB"/>
    <w:rsid w:val="006B0E7F"/>
    <w:rsid w:val="006B15AA"/>
    <w:rsid w:val="006B1AF0"/>
    <w:rsid w:val="006B1C96"/>
    <w:rsid w:val="006B314C"/>
    <w:rsid w:val="006B3A9B"/>
    <w:rsid w:val="006B4A3F"/>
    <w:rsid w:val="006B504B"/>
    <w:rsid w:val="006B5131"/>
    <w:rsid w:val="006B5CE8"/>
    <w:rsid w:val="006B683D"/>
    <w:rsid w:val="006B7007"/>
    <w:rsid w:val="006B75D9"/>
    <w:rsid w:val="006B7D77"/>
    <w:rsid w:val="006C2A8E"/>
    <w:rsid w:val="006C4424"/>
    <w:rsid w:val="006C4B9A"/>
    <w:rsid w:val="006C4BF6"/>
    <w:rsid w:val="006C537E"/>
    <w:rsid w:val="006C6E17"/>
    <w:rsid w:val="006C722C"/>
    <w:rsid w:val="006C7D6A"/>
    <w:rsid w:val="006C7FF6"/>
    <w:rsid w:val="006D0D8E"/>
    <w:rsid w:val="006D0E2C"/>
    <w:rsid w:val="006D1B12"/>
    <w:rsid w:val="006D3C7D"/>
    <w:rsid w:val="006D43CB"/>
    <w:rsid w:val="006D4C18"/>
    <w:rsid w:val="006D52DC"/>
    <w:rsid w:val="006D5D5F"/>
    <w:rsid w:val="006D69B4"/>
    <w:rsid w:val="006E0D51"/>
    <w:rsid w:val="006E13B6"/>
    <w:rsid w:val="006E185F"/>
    <w:rsid w:val="006E1A82"/>
    <w:rsid w:val="006E3D97"/>
    <w:rsid w:val="006E4913"/>
    <w:rsid w:val="006E4985"/>
    <w:rsid w:val="006E5843"/>
    <w:rsid w:val="006E6E4A"/>
    <w:rsid w:val="006F01B1"/>
    <w:rsid w:val="006F07D9"/>
    <w:rsid w:val="006F187B"/>
    <w:rsid w:val="006F1B4A"/>
    <w:rsid w:val="006F2839"/>
    <w:rsid w:val="006F307F"/>
    <w:rsid w:val="006F3819"/>
    <w:rsid w:val="006F4576"/>
    <w:rsid w:val="006F48AD"/>
    <w:rsid w:val="006F5AE3"/>
    <w:rsid w:val="006F63A5"/>
    <w:rsid w:val="006F6784"/>
    <w:rsid w:val="006F683D"/>
    <w:rsid w:val="006F6AFD"/>
    <w:rsid w:val="006F771E"/>
    <w:rsid w:val="006F7DEA"/>
    <w:rsid w:val="00700488"/>
    <w:rsid w:val="00700CF9"/>
    <w:rsid w:val="00701384"/>
    <w:rsid w:val="00701BFB"/>
    <w:rsid w:val="007020BC"/>
    <w:rsid w:val="007023A7"/>
    <w:rsid w:val="0070276E"/>
    <w:rsid w:val="00702F8F"/>
    <w:rsid w:val="007048FA"/>
    <w:rsid w:val="00710496"/>
    <w:rsid w:val="00710BF2"/>
    <w:rsid w:val="00711A36"/>
    <w:rsid w:val="00713403"/>
    <w:rsid w:val="00713808"/>
    <w:rsid w:val="007155E8"/>
    <w:rsid w:val="007170EE"/>
    <w:rsid w:val="007172AD"/>
    <w:rsid w:val="00720673"/>
    <w:rsid w:val="007217BA"/>
    <w:rsid w:val="00723F04"/>
    <w:rsid w:val="00723F3A"/>
    <w:rsid w:val="007240C6"/>
    <w:rsid w:val="0072416F"/>
    <w:rsid w:val="0072535D"/>
    <w:rsid w:val="00726610"/>
    <w:rsid w:val="00730315"/>
    <w:rsid w:val="00731BAE"/>
    <w:rsid w:val="00733E3A"/>
    <w:rsid w:val="00734010"/>
    <w:rsid w:val="007349FF"/>
    <w:rsid w:val="00735328"/>
    <w:rsid w:val="00736567"/>
    <w:rsid w:val="007367B0"/>
    <w:rsid w:val="0073685B"/>
    <w:rsid w:val="00737474"/>
    <w:rsid w:val="00737CD0"/>
    <w:rsid w:val="00740CF9"/>
    <w:rsid w:val="00740FBD"/>
    <w:rsid w:val="0074281F"/>
    <w:rsid w:val="007429D2"/>
    <w:rsid w:val="00742D68"/>
    <w:rsid w:val="00742E01"/>
    <w:rsid w:val="00743C64"/>
    <w:rsid w:val="00745233"/>
    <w:rsid w:val="0074534C"/>
    <w:rsid w:val="00745733"/>
    <w:rsid w:val="00745CC7"/>
    <w:rsid w:val="00746122"/>
    <w:rsid w:val="00746AB4"/>
    <w:rsid w:val="0075024B"/>
    <w:rsid w:val="00750D0E"/>
    <w:rsid w:val="007510ED"/>
    <w:rsid w:val="00751590"/>
    <w:rsid w:val="00753264"/>
    <w:rsid w:val="0075349E"/>
    <w:rsid w:val="007543C5"/>
    <w:rsid w:val="00754A8F"/>
    <w:rsid w:val="00755A2B"/>
    <w:rsid w:val="00756FBA"/>
    <w:rsid w:val="00757C1B"/>
    <w:rsid w:val="00760064"/>
    <w:rsid w:val="00760AE2"/>
    <w:rsid w:val="00761FAA"/>
    <w:rsid w:val="0076215F"/>
    <w:rsid w:val="00762AB3"/>
    <w:rsid w:val="00763CFE"/>
    <w:rsid w:val="00764205"/>
    <w:rsid w:val="00765054"/>
    <w:rsid w:val="00770DA4"/>
    <w:rsid w:val="0077107F"/>
    <w:rsid w:val="00773B9A"/>
    <w:rsid w:val="007749C0"/>
    <w:rsid w:val="00775807"/>
    <w:rsid w:val="00775B75"/>
    <w:rsid w:val="007770EE"/>
    <w:rsid w:val="00777DC8"/>
    <w:rsid w:val="007801E7"/>
    <w:rsid w:val="007832B7"/>
    <w:rsid w:val="007848CB"/>
    <w:rsid w:val="00784D0A"/>
    <w:rsid w:val="00786303"/>
    <w:rsid w:val="0078755A"/>
    <w:rsid w:val="00791528"/>
    <w:rsid w:val="00792002"/>
    <w:rsid w:val="00792D0A"/>
    <w:rsid w:val="007930AC"/>
    <w:rsid w:val="0079507E"/>
    <w:rsid w:val="00795E4D"/>
    <w:rsid w:val="00795FF9"/>
    <w:rsid w:val="007960A9"/>
    <w:rsid w:val="007A08EE"/>
    <w:rsid w:val="007A0A12"/>
    <w:rsid w:val="007A0F51"/>
    <w:rsid w:val="007A133C"/>
    <w:rsid w:val="007A28B8"/>
    <w:rsid w:val="007A3933"/>
    <w:rsid w:val="007A461D"/>
    <w:rsid w:val="007A5558"/>
    <w:rsid w:val="007A56CA"/>
    <w:rsid w:val="007A5CD9"/>
    <w:rsid w:val="007A62D5"/>
    <w:rsid w:val="007A7983"/>
    <w:rsid w:val="007B1907"/>
    <w:rsid w:val="007B1E3B"/>
    <w:rsid w:val="007B251D"/>
    <w:rsid w:val="007B293B"/>
    <w:rsid w:val="007B2F67"/>
    <w:rsid w:val="007B38C5"/>
    <w:rsid w:val="007B38EC"/>
    <w:rsid w:val="007B41F0"/>
    <w:rsid w:val="007B57F4"/>
    <w:rsid w:val="007B5E30"/>
    <w:rsid w:val="007B5ED0"/>
    <w:rsid w:val="007B6B0B"/>
    <w:rsid w:val="007B77D1"/>
    <w:rsid w:val="007C04BC"/>
    <w:rsid w:val="007C149A"/>
    <w:rsid w:val="007C361D"/>
    <w:rsid w:val="007C3AE9"/>
    <w:rsid w:val="007C4F30"/>
    <w:rsid w:val="007C5D4B"/>
    <w:rsid w:val="007C7145"/>
    <w:rsid w:val="007D0B38"/>
    <w:rsid w:val="007D16D1"/>
    <w:rsid w:val="007D16E9"/>
    <w:rsid w:val="007D403C"/>
    <w:rsid w:val="007D52D5"/>
    <w:rsid w:val="007D6BCD"/>
    <w:rsid w:val="007E0F0E"/>
    <w:rsid w:val="007E1921"/>
    <w:rsid w:val="007E1B75"/>
    <w:rsid w:val="007E213D"/>
    <w:rsid w:val="007E2A38"/>
    <w:rsid w:val="007E308F"/>
    <w:rsid w:val="007E355B"/>
    <w:rsid w:val="007E3C78"/>
    <w:rsid w:val="007E5B4E"/>
    <w:rsid w:val="007F1017"/>
    <w:rsid w:val="007F2011"/>
    <w:rsid w:val="007F24EB"/>
    <w:rsid w:val="007F274E"/>
    <w:rsid w:val="007F2CC1"/>
    <w:rsid w:val="007F469D"/>
    <w:rsid w:val="007F4740"/>
    <w:rsid w:val="007F47A0"/>
    <w:rsid w:val="007F498E"/>
    <w:rsid w:val="007F4A3F"/>
    <w:rsid w:val="007F51A4"/>
    <w:rsid w:val="007F5224"/>
    <w:rsid w:val="007F7009"/>
    <w:rsid w:val="007F7E54"/>
    <w:rsid w:val="0080113F"/>
    <w:rsid w:val="00801B8C"/>
    <w:rsid w:val="00802039"/>
    <w:rsid w:val="008020D6"/>
    <w:rsid w:val="008030AA"/>
    <w:rsid w:val="00803411"/>
    <w:rsid w:val="008036E0"/>
    <w:rsid w:val="00804450"/>
    <w:rsid w:val="00805142"/>
    <w:rsid w:val="008052D6"/>
    <w:rsid w:val="00805658"/>
    <w:rsid w:val="008056C3"/>
    <w:rsid w:val="008060FD"/>
    <w:rsid w:val="0080676A"/>
    <w:rsid w:val="008070BA"/>
    <w:rsid w:val="00807A8B"/>
    <w:rsid w:val="00807B9E"/>
    <w:rsid w:val="00807D01"/>
    <w:rsid w:val="00810D14"/>
    <w:rsid w:val="008110D3"/>
    <w:rsid w:val="0081118B"/>
    <w:rsid w:val="00812149"/>
    <w:rsid w:val="008121C3"/>
    <w:rsid w:val="00812E2D"/>
    <w:rsid w:val="008134CB"/>
    <w:rsid w:val="00813829"/>
    <w:rsid w:val="00813C55"/>
    <w:rsid w:val="00814A6A"/>
    <w:rsid w:val="00815C7A"/>
    <w:rsid w:val="00816619"/>
    <w:rsid w:val="008166EF"/>
    <w:rsid w:val="008204F3"/>
    <w:rsid w:val="008204F9"/>
    <w:rsid w:val="00821064"/>
    <w:rsid w:val="008213A6"/>
    <w:rsid w:val="0082191D"/>
    <w:rsid w:val="008221B7"/>
    <w:rsid w:val="00822329"/>
    <w:rsid w:val="008228C7"/>
    <w:rsid w:val="008264EB"/>
    <w:rsid w:val="008271CD"/>
    <w:rsid w:val="00827778"/>
    <w:rsid w:val="00827C94"/>
    <w:rsid w:val="00830101"/>
    <w:rsid w:val="00830656"/>
    <w:rsid w:val="00831092"/>
    <w:rsid w:val="00831D21"/>
    <w:rsid w:val="00831E24"/>
    <w:rsid w:val="00831E8D"/>
    <w:rsid w:val="00832367"/>
    <w:rsid w:val="008333CA"/>
    <w:rsid w:val="008335A4"/>
    <w:rsid w:val="00833B05"/>
    <w:rsid w:val="00834647"/>
    <w:rsid w:val="008351BF"/>
    <w:rsid w:val="008370EE"/>
    <w:rsid w:val="008404A0"/>
    <w:rsid w:val="00840CA2"/>
    <w:rsid w:val="00840CAE"/>
    <w:rsid w:val="00841374"/>
    <w:rsid w:val="00842A7A"/>
    <w:rsid w:val="00844C7C"/>
    <w:rsid w:val="00844CCA"/>
    <w:rsid w:val="00845C9B"/>
    <w:rsid w:val="00846662"/>
    <w:rsid w:val="00847DFA"/>
    <w:rsid w:val="008504AF"/>
    <w:rsid w:val="00853E7D"/>
    <w:rsid w:val="00854B51"/>
    <w:rsid w:val="008557C8"/>
    <w:rsid w:val="008559F4"/>
    <w:rsid w:val="00856E9A"/>
    <w:rsid w:val="00861F6A"/>
    <w:rsid w:val="0086217A"/>
    <w:rsid w:val="00862502"/>
    <w:rsid w:val="0086251E"/>
    <w:rsid w:val="00863245"/>
    <w:rsid w:val="008636E6"/>
    <w:rsid w:val="00863F22"/>
    <w:rsid w:val="0086402D"/>
    <w:rsid w:val="00871427"/>
    <w:rsid w:val="008738D4"/>
    <w:rsid w:val="00874261"/>
    <w:rsid w:val="0087474D"/>
    <w:rsid w:val="0087591D"/>
    <w:rsid w:val="0087623C"/>
    <w:rsid w:val="008778AE"/>
    <w:rsid w:val="00877CF4"/>
    <w:rsid w:val="008810BB"/>
    <w:rsid w:val="008814AC"/>
    <w:rsid w:val="00882651"/>
    <w:rsid w:val="00882874"/>
    <w:rsid w:val="00882E63"/>
    <w:rsid w:val="00883787"/>
    <w:rsid w:val="008849BE"/>
    <w:rsid w:val="008850A9"/>
    <w:rsid w:val="00885204"/>
    <w:rsid w:val="0088558C"/>
    <w:rsid w:val="00885E08"/>
    <w:rsid w:val="00886246"/>
    <w:rsid w:val="00887386"/>
    <w:rsid w:val="0088798F"/>
    <w:rsid w:val="00887CAA"/>
    <w:rsid w:val="00887E7E"/>
    <w:rsid w:val="00892EE2"/>
    <w:rsid w:val="00893038"/>
    <w:rsid w:val="00894154"/>
    <w:rsid w:val="00894489"/>
    <w:rsid w:val="00894BD9"/>
    <w:rsid w:val="008953BB"/>
    <w:rsid w:val="008963A5"/>
    <w:rsid w:val="00896A76"/>
    <w:rsid w:val="008970CE"/>
    <w:rsid w:val="00897D7D"/>
    <w:rsid w:val="008A0CD0"/>
    <w:rsid w:val="008A19CB"/>
    <w:rsid w:val="008A2B9C"/>
    <w:rsid w:val="008A361D"/>
    <w:rsid w:val="008A37E3"/>
    <w:rsid w:val="008A3BA5"/>
    <w:rsid w:val="008A3C3E"/>
    <w:rsid w:val="008A424F"/>
    <w:rsid w:val="008A4FFC"/>
    <w:rsid w:val="008A6DAF"/>
    <w:rsid w:val="008A79DE"/>
    <w:rsid w:val="008B0D3A"/>
    <w:rsid w:val="008B0D40"/>
    <w:rsid w:val="008B3FBF"/>
    <w:rsid w:val="008B5333"/>
    <w:rsid w:val="008B61FD"/>
    <w:rsid w:val="008B6D02"/>
    <w:rsid w:val="008B7D7E"/>
    <w:rsid w:val="008C25F0"/>
    <w:rsid w:val="008C27C5"/>
    <w:rsid w:val="008C328B"/>
    <w:rsid w:val="008C3EED"/>
    <w:rsid w:val="008C3F42"/>
    <w:rsid w:val="008C43B9"/>
    <w:rsid w:val="008C469C"/>
    <w:rsid w:val="008C5637"/>
    <w:rsid w:val="008C587D"/>
    <w:rsid w:val="008C5E4C"/>
    <w:rsid w:val="008C6D0E"/>
    <w:rsid w:val="008C7ECB"/>
    <w:rsid w:val="008D130C"/>
    <w:rsid w:val="008D1DB9"/>
    <w:rsid w:val="008D20EB"/>
    <w:rsid w:val="008D7261"/>
    <w:rsid w:val="008D7F38"/>
    <w:rsid w:val="008E1B9E"/>
    <w:rsid w:val="008E21A1"/>
    <w:rsid w:val="008E3596"/>
    <w:rsid w:val="008E46FC"/>
    <w:rsid w:val="008E53F1"/>
    <w:rsid w:val="008E5909"/>
    <w:rsid w:val="008E715C"/>
    <w:rsid w:val="008E7437"/>
    <w:rsid w:val="008E7655"/>
    <w:rsid w:val="008E7B3E"/>
    <w:rsid w:val="008F120A"/>
    <w:rsid w:val="008F2296"/>
    <w:rsid w:val="008F235C"/>
    <w:rsid w:val="008F28B6"/>
    <w:rsid w:val="008F3C4E"/>
    <w:rsid w:val="008F3CC4"/>
    <w:rsid w:val="008F4302"/>
    <w:rsid w:val="008F48EB"/>
    <w:rsid w:val="008F4F0B"/>
    <w:rsid w:val="008F546C"/>
    <w:rsid w:val="008F5A7E"/>
    <w:rsid w:val="008F6710"/>
    <w:rsid w:val="008F6CD7"/>
    <w:rsid w:val="008F727F"/>
    <w:rsid w:val="00900705"/>
    <w:rsid w:val="009015F0"/>
    <w:rsid w:val="009016C4"/>
    <w:rsid w:val="009037A3"/>
    <w:rsid w:val="00903E4B"/>
    <w:rsid w:val="0090602D"/>
    <w:rsid w:val="00906041"/>
    <w:rsid w:val="009060B0"/>
    <w:rsid w:val="009062A5"/>
    <w:rsid w:val="0090741B"/>
    <w:rsid w:val="00907653"/>
    <w:rsid w:val="009100CE"/>
    <w:rsid w:val="00911168"/>
    <w:rsid w:val="00911272"/>
    <w:rsid w:val="009113E9"/>
    <w:rsid w:val="00912164"/>
    <w:rsid w:val="00912D16"/>
    <w:rsid w:val="00912DBD"/>
    <w:rsid w:val="0091383B"/>
    <w:rsid w:val="00914186"/>
    <w:rsid w:val="00916AFC"/>
    <w:rsid w:val="00917906"/>
    <w:rsid w:val="009217E0"/>
    <w:rsid w:val="00921BFB"/>
    <w:rsid w:val="0092259F"/>
    <w:rsid w:val="0092421F"/>
    <w:rsid w:val="00925118"/>
    <w:rsid w:val="009253BF"/>
    <w:rsid w:val="00925E20"/>
    <w:rsid w:val="0092776E"/>
    <w:rsid w:val="00932641"/>
    <w:rsid w:val="00932CEA"/>
    <w:rsid w:val="00932D69"/>
    <w:rsid w:val="00933523"/>
    <w:rsid w:val="009335B0"/>
    <w:rsid w:val="00933A90"/>
    <w:rsid w:val="00933B5C"/>
    <w:rsid w:val="00933F21"/>
    <w:rsid w:val="00935CD4"/>
    <w:rsid w:val="00941421"/>
    <w:rsid w:val="00942A8D"/>
    <w:rsid w:val="00943443"/>
    <w:rsid w:val="00943CA0"/>
    <w:rsid w:val="00947162"/>
    <w:rsid w:val="00947D2E"/>
    <w:rsid w:val="009509BC"/>
    <w:rsid w:val="00951411"/>
    <w:rsid w:val="009518D9"/>
    <w:rsid w:val="00952092"/>
    <w:rsid w:val="009533EB"/>
    <w:rsid w:val="00953906"/>
    <w:rsid w:val="00953FE9"/>
    <w:rsid w:val="009549C1"/>
    <w:rsid w:val="0095561B"/>
    <w:rsid w:val="0095586D"/>
    <w:rsid w:val="00955DF5"/>
    <w:rsid w:val="009567ED"/>
    <w:rsid w:val="00957795"/>
    <w:rsid w:val="00961537"/>
    <w:rsid w:val="00961AEC"/>
    <w:rsid w:val="00962CB9"/>
    <w:rsid w:val="0096386A"/>
    <w:rsid w:val="00963DEE"/>
    <w:rsid w:val="00963FEF"/>
    <w:rsid w:val="00964312"/>
    <w:rsid w:val="00965738"/>
    <w:rsid w:val="00965A09"/>
    <w:rsid w:val="00965B5A"/>
    <w:rsid w:val="009675AB"/>
    <w:rsid w:val="00971878"/>
    <w:rsid w:val="009729CF"/>
    <w:rsid w:val="00972B65"/>
    <w:rsid w:val="00973003"/>
    <w:rsid w:val="00974B1C"/>
    <w:rsid w:val="00974F4E"/>
    <w:rsid w:val="00980AA5"/>
    <w:rsid w:val="00980B09"/>
    <w:rsid w:val="00980FA7"/>
    <w:rsid w:val="009818E1"/>
    <w:rsid w:val="00983E57"/>
    <w:rsid w:val="00986629"/>
    <w:rsid w:val="009876D3"/>
    <w:rsid w:val="00990015"/>
    <w:rsid w:val="009915EA"/>
    <w:rsid w:val="0099405B"/>
    <w:rsid w:val="0099407D"/>
    <w:rsid w:val="00994795"/>
    <w:rsid w:val="009949F5"/>
    <w:rsid w:val="0099590E"/>
    <w:rsid w:val="00996555"/>
    <w:rsid w:val="00996643"/>
    <w:rsid w:val="0099692E"/>
    <w:rsid w:val="00996B1A"/>
    <w:rsid w:val="00996C2A"/>
    <w:rsid w:val="00997435"/>
    <w:rsid w:val="009A0048"/>
    <w:rsid w:val="009A0B92"/>
    <w:rsid w:val="009A2AAE"/>
    <w:rsid w:val="009A505F"/>
    <w:rsid w:val="009A5A9C"/>
    <w:rsid w:val="009A7420"/>
    <w:rsid w:val="009A7814"/>
    <w:rsid w:val="009B0482"/>
    <w:rsid w:val="009B1545"/>
    <w:rsid w:val="009B3E26"/>
    <w:rsid w:val="009B424C"/>
    <w:rsid w:val="009B4581"/>
    <w:rsid w:val="009B45C7"/>
    <w:rsid w:val="009B56FB"/>
    <w:rsid w:val="009B5EFC"/>
    <w:rsid w:val="009B76D3"/>
    <w:rsid w:val="009C05CF"/>
    <w:rsid w:val="009C071D"/>
    <w:rsid w:val="009C0770"/>
    <w:rsid w:val="009C1CAA"/>
    <w:rsid w:val="009C2864"/>
    <w:rsid w:val="009C6423"/>
    <w:rsid w:val="009C7EF6"/>
    <w:rsid w:val="009D3C7F"/>
    <w:rsid w:val="009D3EA0"/>
    <w:rsid w:val="009D5048"/>
    <w:rsid w:val="009D5B91"/>
    <w:rsid w:val="009D632F"/>
    <w:rsid w:val="009D70F4"/>
    <w:rsid w:val="009D729E"/>
    <w:rsid w:val="009E19E7"/>
    <w:rsid w:val="009E1EFA"/>
    <w:rsid w:val="009E31B5"/>
    <w:rsid w:val="009E374E"/>
    <w:rsid w:val="009E4C07"/>
    <w:rsid w:val="009E4EEB"/>
    <w:rsid w:val="009E70AD"/>
    <w:rsid w:val="009E7C7C"/>
    <w:rsid w:val="009F05D4"/>
    <w:rsid w:val="009F0853"/>
    <w:rsid w:val="009F0CC8"/>
    <w:rsid w:val="009F1965"/>
    <w:rsid w:val="009F3018"/>
    <w:rsid w:val="009F331D"/>
    <w:rsid w:val="009F43BB"/>
    <w:rsid w:val="009F4C80"/>
    <w:rsid w:val="009F4FA3"/>
    <w:rsid w:val="009F625D"/>
    <w:rsid w:val="009F6E4C"/>
    <w:rsid w:val="009F7451"/>
    <w:rsid w:val="009F7F28"/>
    <w:rsid w:val="00A023DE"/>
    <w:rsid w:val="00A027A1"/>
    <w:rsid w:val="00A03D43"/>
    <w:rsid w:val="00A04380"/>
    <w:rsid w:val="00A048EB"/>
    <w:rsid w:val="00A07742"/>
    <w:rsid w:val="00A10017"/>
    <w:rsid w:val="00A1122D"/>
    <w:rsid w:val="00A11AF6"/>
    <w:rsid w:val="00A11E51"/>
    <w:rsid w:val="00A12FFF"/>
    <w:rsid w:val="00A13948"/>
    <w:rsid w:val="00A168A4"/>
    <w:rsid w:val="00A21389"/>
    <w:rsid w:val="00A21D22"/>
    <w:rsid w:val="00A2200E"/>
    <w:rsid w:val="00A235B1"/>
    <w:rsid w:val="00A23B1C"/>
    <w:rsid w:val="00A23B88"/>
    <w:rsid w:val="00A248E0"/>
    <w:rsid w:val="00A25F4C"/>
    <w:rsid w:val="00A27AEC"/>
    <w:rsid w:val="00A30FBB"/>
    <w:rsid w:val="00A3136A"/>
    <w:rsid w:val="00A3204A"/>
    <w:rsid w:val="00A32267"/>
    <w:rsid w:val="00A32B72"/>
    <w:rsid w:val="00A3322D"/>
    <w:rsid w:val="00A3351E"/>
    <w:rsid w:val="00A3568C"/>
    <w:rsid w:val="00A35784"/>
    <w:rsid w:val="00A35868"/>
    <w:rsid w:val="00A35BE1"/>
    <w:rsid w:val="00A35D16"/>
    <w:rsid w:val="00A35EEE"/>
    <w:rsid w:val="00A37258"/>
    <w:rsid w:val="00A37A94"/>
    <w:rsid w:val="00A40C4F"/>
    <w:rsid w:val="00A41198"/>
    <w:rsid w:val="00A4141D"/>
    <w:rsid w:val="00A4160E"/>
    <w:rsid w:val="00A42285"/>
    <w:rsid w:val="00A42DA1"/>
    <w:rsid w:val="00A43C59"/>
    <w:rsid w:val="00A44061"/>
    <w:rsid w:val="00A45505"/>
    <w:rsid w:val="00A4708D"/>
    <w:rsid w:val="00A47A0D"/>
    <w:rsid w:val="00A47F1F"/>
    <w:rsid w:val="00A50B22"/>
    <w:rsid w:val="00A50ECD"/>
    <w:rsid w:val="00A50F94"/>
    <w:rsid w:val="00A525CD"/>
    <w:rsid w:val="00A526F8"/>
    <w:rsid w:val="00A52729"/>
    <w:rsid w:val="00A52B92"/>
    <w:rsid w:val="00A5310A"/>
    <w:rsid w:val="00A5358D"/>
    <w:rsid w:val="00A53675"/>
    <w:rsid w:val="00A54E57"/>
    <w:rsid w:val="00A54FF9"/>
    <w:rsid w:val="00A5645C"/>
    <w:rsid w:val="00A56B6A"/>
    <w:rsid w:val="00A571BF"/>
    <w:rsid w:val="00A57766"/>
    <w:rsid w:val="00A578DC"/>
    <w:rsid w:val="00A6125D"/>
    <w:rsid w:val="00A6215B"/>
    <w:rsid w:val="00A62B58"/>
    <w:rsid w:val="00A62BE5"/>
    <w:rsid w:val="00A64978"/>
    <w:rsid w:val="00A64A17"/>
    <w:rsid w:val="00A65141"/>
    <w:rsid w:val="00A6516C"/>
    <w:rsid w:val="00A66450"/>
    <w:rsid w:val="00A664E2"/>
    <w:rsid w:val="00A66807"/>
    <w:rsid w:val="00A6725B"/>
    <w:rsid w:val="00A70981"/>
    <w:rsid w:val="00A70FFA"/>
    <w:rsid w:val="00A712CC"/>
    <w:rsid w:val="00A75AF4"/>
    <w:rsid w:val="00A76DFF"/>
    <w:rsid w:val="00A80755"/>
    <w:rsid w:val="00A80C59"/>
    <w:rsid w:val="00A81F54"/>
    <w:rsid w:val="00A82962"/>
    <w:rsid w:val="00A83CA3"/>
    <w:rsid w:val="00A84A33"/>
    <w:rsid w:val="00A85854"/>
    <w:rsid w:val="00A86AE5"/>
    <w:rsid w:val="00A86E8B"/>
    <w:rsid w:val="00A874D3"/>
    <w:rsid w:val="00A87913"/>
    <w:rsid w:val="00A87FA2"/>
    <w:rsid w:val="00A903A6"/>
    <w:rsid w:val="00A9146F"/>
    <w:rsid w:val="00A921E4"/>
    <w:rsid w:val="00A93072"/>
    <w:rsid w:val="00A9391F"/>
    <w:rsid w:val="00A9435D"/>
    <w:rsid w:val="00A959D8"/>
    <w:rsid w:val="00A963E8"/>
    <w:rsid w:val="00A969D0"/>
    <w:rsid w:val="00A96CF1"/>
    <w:rsid w:val="00A972DC"/>
    <w:rsid w:val="00AA006F"/>
    <w:rsid w:val="00AA0F3F"/>
    <w:rsid w:val="00AA1B61"/>
    <w:rsid w:val="00AA2144"/>
    <w:rsid w:val="00AA36DA"/>
    <w:rsid w:val="00AA4129"/>
    <w:rsid w:val="00AA4FF8"/>
    <w:rsid w:val="00AA604F"/>
    <w:rsid w:val="00AA6B80"/>
    <w:rsid w:val="00AA75C9"/>
    <w:rsid w:val="00AB00C0"/>
    <w:rsid w:val="00AB042A"/>
    <w:rsid w:val="00AB09EE"/>
    <w:rsid w:val="00AB14F2"/>
    <w:rsid w:val="00AB192B"/>
    <w:rsid w:val="00AB1C94"/>
    <w:rsid w:val="00AB2608"/>
    <w:rsid w:val="00AB2D34"/>
    <w:rsid w:val="00AB31D6"/>
    <w:rsid w:val="00AB3430"/>
    <w:rsid w:val="00AB4678"/>
    <w:rsid w:val="00AB4AFE"/>
    <w:rsid w:val="00AB5749"/>
    <w:rsid w:val="00AB7259"/>
    <w:rsid w:val="00AB73E3"/>
    <w:rsid w:val="00AB7CFA"/>
    <w:rsid w:val="00AC0094"/>
    <w:rsid w:val="00AC0FBC"/>
    <w:rsid w:val="00AC2CB0"/>
    <w:rsid w:val="00AC32BA"/>
    <w:rsid w:val="00AC40A6"/>
    <w:rsid w:val="00AC41C1"/>
    <w:rsid w:val="00AC51A7"/>
    <w:rsid w:val="00AC76C5"/>
    <w:rsid w:val="00AC778A"/>
    <w:rsid w:val="00AC7F4E"/>
    <w:rsid w:val="00AD02F1"/>
    <w:rsid w:val="00AD2D44"/>
    <w:rsid w:val="00AD2FAE"/>
    <w:rsid w:val="00AD2FBB"/>
    <w:rsid w:val="00AD50E5"/>
    <w:rsid w:val="00AD5675"/>
    <w:rsid w:val="00AD64EC"/>
    <w:rsid w:val="00AD7AAE"/>
    <w:rsid w:val="00AE2FC6"/>
    <w:rsid w:val="00AE6230"/>
    <w:rsid w:val="00AE6B00"/>
    <w:rsid w:val="00AF01CE"/>
    <w:rsid w:val="00AF0CFF"/>
    <w:rsid w:val="00AF1A02"/>
    <w:rsid w:val="00AF1D57"/>
    <w:rsid w:val="00AF2404"/>
    <w:rsid w:val="00AF2650"/>
    <w:rsid w:val="00AF55BE"/>
    <w:rsid w:val="00AF6682"/>
    <w:rsid w:val="00B019E7"/>
    <w:rsid w:val="00B037AB"/>
    <w:rsid w:val="00B04FE1"/>
    <w:rsid w:val="00B05126"/>
    <w:rsid w:val="00B058DA"/>
    <w:rsid w:val="00B05B23"/>
    <w:rsid w:val="00B05B98"/>
    <w:rsid w:val="00B10265"/>
    <w:rsid w:val="00B116FA"/>
    <w:rsid w:val="00B12F3D"/>
    <w:rsid w:val="00B13778"/>
    <w:rsid w:val="00B13A25"/>
    <w:rsid w:val="00B16AD7"/>
    <w:rsid w:val="00B17BF9"/>
    <w:rsid w:val="00B203CA"/>
    <w:rsid w:val="00B20FBF"/>
    <w:rsid w:val="00B21995"/>
    <w:rsid w:val="00B22866"/>
    <w:rsid w:val="00B23AFD"/>
    <w:rsid w:val="00B23CB2"/>
    <w:rsid w:val="00B24759"/>
    <w:rsid w:val="00B24EB6"/>
    <w:rsid w:val="00B252A3"/>
    <w:rsid w:val="00B2551B"/>
    <w:rsid w:val="00B26158"/>
    <w:rsid w:val="00B266FF"/>
    <w:rsid w:val="00B2738B"/>
    <w:rsid w:val="00B31152"/>
    <w:rsid w:val="00B33457"/>
    <w:rsid w:val="00B36B68"/>
    <w:rsid w:val="00B375E3"/>
    <w:rsid w:val="00B40360"/>
    <w:rsid w:val="00B405CC"/>
    <w:rsid w:val="00B406B2"/>
    <w:rsid w:val="00B42851"/>
    <w:rsid w:val="00B4411F"/>
    <w:rsid w:val="00B450C5"/>
    <w:rsid w:val="00B455F5"/>
    <w:rsid w:val="00B4654B"/>
    <w:rsid w:val="00B466F3"/>
    <w:rsid w:val="00B47092"/>
    <w:rsid w:val="00B50DB8"/>
    <w:rsid w:val="00B51411"/>
    <w:rsid w:val="00B51A63"/>
    <w:rsid w:val="00B533A9"/>
    <w:rsid w:val="00B53905"/>
    <w:rsid w:val="00B53B03"/>
    <w:rsid w:val="00B54978"/>
    <w:rsid w:val="00B54B5B"/>
    <w:rsid w:val="00B54C3D"/>
    <w:rsid w:val="00B554A6"/>
    <w:rsid w:val="00B5562E"/>
    <w:rsid w:val="00B5579E"/>
    <w:rsid w:val="00B56384"/>
    <w:rsid w:val="00B564C9"/>
    <w:rsid w:val="00B56F64"/>
    <w:rsid w:val="00B57000"/>
    <w:rsid w:val="00B5759A"/>
    <w:rsid w:val="00B57BA4"/>
    <w:rsid w:val="00B60939"/>
    <w:rsid w:val="00B60AFD"/>
    <w:rsid w:val="00B61AB5"/>
    <w:rsid w:val="00B62715"/>
    <w:rsid w:val="00B6382A"/>
    <w:rsid w:val="00B63D6A"/>
    <w:rsid w:val="00B670D8"/>
    <w:rsid w:val="00B70353"/>
    <w:rsid w:val="00B7113C"/>
    <w:rsid w:val="00B715F8"/>
    <w:rsid w:val="00B72B77"/>
    <w:rsid w:val="00B733C6"/>
    <w:rsid w:val="00B73D08"/>
    <w:rsid w:val="00B73F43"/>
    <w:rsid w:val="00B810C5"/>
    <w:rsid w:val="00B81138"/>
    <w:rsid w:val="00B81382"/>
    <w:rsid w:val="00B818A4"/>
    <w:rsid w:val="00B83FC5"/>
    <w:rsid w:val="00B8449E"/>
    <w:rsid w:val="00B84C32"/>
    <w:rsid w:val="00B85274"/>
    <w:rsid w:val="00B8586B"/>
    <w:rsid w:val="00B85FDA"/>
    <w:rsid w:val="00B8649C"/>
    <w:rsid w:val="00B87332"/>
    <w:rsid w:val="00B91EA3"/>
    <w:rsid w:val="00B920BA"/>
    <w:rsid w:val="00B92D0B"/>
    <w:rsid w:val="00B93D5C"/>
    <w:rsid w:val="00B9458E"/>
    <w:rsid w:val="00B94945"/>
    <w:rsid w:val="00B94BB2"/>
    <w:rsid w:val="00B951DB"/>
    <w:rsid w:val="00B9710E"/>
    <w:rsid w:val="00B9732A"/>
    <w:rsid w:val="00B9755A"/>
    <w:rsid w:val="00BA022D"/>
    <w:rsid w:val="00BA1324"/>
    <w:rsid w:val="00BA16EE"/>
    <w:rsid w:val="00BA2A83"/>
    <w:rsid w:val="00BA30E3"/>
    <w:rsid w:val="00BA39B1"/>
    <w:rsid w:val="00BA4763"/>
    <w:rsid w:val="00BA5A17"/>
    <w:rsid w:val="00BB13D7"/>
    <w:rsid w:val="00BB1927"/>
    <w:rsid w:val="00BB2D07"/>
    <w:rsid w:val="00BB3445"/>
    <w:rsid w:val="00BB49BA"/>
    <w:rsid w:val="00BB6172"/>
    <w:rsid w:val="00BB6B80"/>
    <w:rsid w:val="00BB6F23"/>
    <w:rsid w:val="00BB7405"/>
    <w:rsid w:val="00BB7681"/>
    <w:rsid w:val="00BB791A"/>
    <w:rsid w:val="00BC2B2B"/>
    <w:rsid w:val="00BC2BD6"/>
    <w:rsid w:val="00BC3D38"/>
    <w:rsid w:val="00BC430C"/>
    <w:rsid w:val="00BC4C10"/>
    <w:rsid w:val="00BC58F1"/>
    <w:rsid w:val="00BC684F"/>
    <w:rsid w:val="00BC7EC7"/>
    <w:rsid w:val="00BC7FE6"/>
    <w:rsid w:val="00BD0008"/>
    <w:rsid w:val="00BD0232"/>
    <w:rsid w:val="00BD0A20"/>
    <w:rsid w:val="00BD26A6"/>
    <w:rsid w:val="00BD28FA"/>
    <w:rsid w:val="00BD4355"/>
    <w:rsid w:val="00BD47B3"/>
    <w:rsid w:val="00BD4CCE"/>
    <w:rsid w:val="00BD6223"/>
    <w:rsid w:val="00BD6534"/>
    <w:rsid w:val="00BD6CF3"/>
    <w:rsid w:val="00BD7D56"/>
    <w:rsid w:val="00BE062F"/>
    <w:rsid w:val="00BE1013"/>
    <w:rsid w:val="00BE1221"/>
    <w:rsid w:val="00BE1EC6"/>
    <w:rsid w:val="00BE2180"/>
    <w:rsid w:val="00BE3FA1"/>
    <w:rsid w:val="00BE4275"/>
    <w:rsid w:val="00BE4CF8"/>
    <w:rsid w:val="00BE64C1"/>
    <w:rsid w:val="00BF01D6"/>
    <w:rsid w:val="00BF1334"/>
    <w:rsid w:val="00BF2433"/>
    <w:rsid w:val="00BF47CC"/>
    <w:rsid w:val="00BF510A"/>
    <w:rsid w:val="00BF61C9"/>
    <w:rsid w:val="00BF6EDE"/>
    <w:rsid w:val="00BF7A8B"/>
    <w:rsid w:val="00C00D66"/>
    <w:rsid w:val="00C00E0A"/>
    <w:rsid w:val="00C012AC"/>
    <w:rsid w:val="00C045D5"/>
    <w:rsid w:val="00C04CBE"/>
    <w:rsid w:val="00C0562F"/>
    <w:rsid w:val="00C05F5B"/>
    <w:rsid w:val="00C1160F"/>
    <w:rsid w:val="00C11FDF"/>
    <w:rsid w:val="00C13489"/>
    <w:rsid w:val="00C17F50"/>
    <w:rsid w:val="00C200C2"/>
    <w:rsid w:val="00C22CA4"/>
    <w:rsid w:val="00C2511C"/>
    <w:rsid w:val="00C2511E"/>
    <w:rsid w:val="00C25418"/>
    <w:rsid w:val="00C259EC"/>
    <w:rsid w:val="00C25B49"/>
    <w:rsid w:val="00C25D9C"/>
    <w:rsid w:val="00C26690"/>
    <w:rsid w:val="00C26759"/>
    <w:rsid w:val="00C26808"/>
    <w:rsid w:val="00C279A3"/>
    <w:rsid w:val="00C30523"/>
    <w:rsid w:val="00C3092C"/>
    <w:rsid w:val="00C31025"/>
    <w:rsid w:val="00C31649"/>
    <w:rsid w:val="00C317B3"/>
    <w:rsid w:val="00C318CC"/>
    <w:rsid w:val="00C321A9"/>
    <w:rsid w:val="00C32DBA"/>
    <w:rsid w:val="00C32DED"/>
    <w:rsid w:val="00C33817"/>
    <w:rsid w:val="00C34119"/>
    <w:rsid w:val="00C3477A"/>
    <w:rsid w:val="00C35224"/>
    <w:rsid w:val="00C354B2"/>
    <w:rsid w:val="00C35E90"/>
    <w:rsid w:val="00C361D8"/>
    <w:rsid w:val="00C37241"/>
    <w:rsid w:val="00C4009B"/>
    <w:rsid w:val="00C40385"/>
    <w:rsid w:val="00C40595"/>
    <w:rsid w:val="00C40EA0"/>
    <w:rsid w:val="00C41C11"/>
    <w:rsid w:val="00C41D34"/>
    <w:rsid w:val="00C41E15"/>
    <w:rsid w:val="00C436BA"/>
    <w:rsid w:val="00C441DC"/>
    <w:rsid w:val="00C476E1"/>
    <w:rsid w:val="00C47803"/>
    <w:rsid w:val="00C512EE"/>
    <w:rsid w:val="00C532D0"/>
    <w:rsid w:val="00C53A64"/>
    <w:rsid w:val="00C53C84"/>
    <w:rsid w:val="00C54A7D"/>
    <w:rsid w:val="00C54D45"/>
    <w:rsid w:val="00C54FC5"/>
    <w:rsid w:val="00C5513F"/>
    <w:rsid w:val="00C55A8B"/>
    <w:rsid w:val="00C56689"/>
    <w:rsid w:val="00C56E0F"/>
    <w:rsid w:val="00C571FD"/>
    <w:rsid w:val="00C60933"/>
    <w:rsid w:val="00C612CE"/>
    <w:rsid w:val="00C61ECE"/>
    <w:rsid w:val="00C63840"/>
    <w:rsid w:val="00C6418D"/>
    <w:rsid w:val="00C64491"/>
    <w:rsid w:val="00C650FB"/>
    <w:rsid w:val="00C6535E"/>
    <w:rsid w:val="00C65576"/>
    <w:rsid w:val="00C66165"/>
    <w:rsid w:val="00C66EBE"/>
    <w:rsid w:val="00C67546"/>
    <w:rsid w:val="00C67681"/>
    <w:rsid w:val="00C70FFD"/>
    <w:rsid w:val="00C72130"/>
    <w:rsid w:val="00C72AC2"/>
    <w:rsid w:val="00C72DC3"/>
    <w:rsid w:val="00C74186"/>
    <w:rsid w:val="00C74E32"/>
    <w:rsid w:val="00C750C8"/>
    <w:rsid w:val="00C76092"/>
    <w:rsid w:val="00C76D3B"/>
    <w:rsid w:val="00C7768B"/>
    <w:rsid w:val="00C803CD"/>
    <w:rsid w:val="00C805CD"/>
    <w:rsid w:val="00C807C2"/>
    <w:rsid w:val="00C810DE"/>
    <w:rsid w:val="00C815EC"/>
    <w:rsid w:val="00C81F8E"/>
    <w:rsid w:val="00C8213F"/>
    <w:rsid w:val="00C831A2"/>
    <w:rsid w:val="00C83996"/>
    <w:rsid w:val="00C858D1"/>
    <w:rsid w:val="00C85A25"/>
    <w:rsid w:val="00C85E0E"/>
    <w:rsid w:val="00C8797A"/>
    <w:rsid w:val="00C90EC1"/>
    <w:rsid w:val="00C91339"/>
    <w:rsid w:val="00C92575"/>
    <w:rsid w:val="00C938CF"/>
    <w:rsid w:val="00C94D9B"/>
    <w:rsid w:val="00C955D7"/>
    <w:rsid w:val="00C95C30"/>
    <w:rsid w:val="00C95CE6"/>
    <w:rsid w:val="00C9709D"/>
    <w:rsid w:val="00CA1D02"/>
    <w:rsid w:val="00CA4AD2"/>
    <w:rsid w:val="00CA5245"/>
    <w:rsid w:val="00CA7595"/>
    <w:rsid w:val="00CA7B09"/>
    <w:rsid w:val="00CB0403"/>
    <w:rsid w:val="00CB0C0E"/>
    <w:rsid w:val="00CB2CF0"/>
    <w:rsid w:val="00CB38FC"/>
    <w:rsid w:val="00CB4014"/>
    <w:rsid w:val="00CB4A18"/>
    <w:rsid w:val="00CB5B1A"/>
    <w:rsid w:val="00CB602B"/>
    <w:rsid w:val="00CB68D8"/>
    <w:rsid w:val="00CB6F3E"/>
    <w:rsid w:val="00CB719D"/>
    <w:rsid w:val="00CB723F"/>
    <w:rsid w:val="00CB7FC8"/>
    <w:rsid w:val="00CC0FC2"/>
    <w:rsid w:val="00CC2F69"/>
    <w:rsid w:val="00CC3258"/>
    <w:rsid w:val="00CC393C"/>
    <w:rsid w:val="00CC5C1A"/>
    <w:rsid w:val="00CC5C56"/>
    <w:rsid w:val="00CC7868"/>
    <w:rsid w:val="00CD217E"/>
    <w:rsid w:val="00CD27A8"/>
    <w:rsid w:val="00CD4F5F"/>
    <w:rsid w:val="00CD51BE"/>
    <w:rsid w:val="00CD6427"/>
    <w:rsid w:val="00CD6ADC"/>
    <w:rsid w:val="00CD7DA2"/>
    <w:rsid w:val="00CE0C4A"/>
    <w:rsid w:val="00CE1287"/>
    <w:rsid w:val="00CE1A04"/>
    <w:rsid w:val="00CE303D"/>
    <w:rsid w:val="00CE3EA6"/>
    <w:rsid w:val="00CE3F82"/>
    <w:rsid w:val="00CE4992"/>
    <w:rsid w:val="00CE526D"/>
    <w:rsid w:val="00CE6274"/>
    <w:rsid w:val="00CE6995"/>
    <w:rsid w:val="00CE763A"/>
    <w:rsid w:val="00CF11EA"/>
    <w:rsid w:val="00CF1EED"/>
    <w:rsid w:val="00CF3771"/>
    <w:rsid w:val="00CF39E9"/>
    <w:rsid w:val="00CF3ECC"/>
    <w:rsid w:val="00CF456B"/>
    <w:rsid w:val="00CF4BF7"/>
    <w:rsid w:val="00CF4C9C"/>
    <w:rsid w:val="00CF5263"/>
    <w:rsid w:val="00CF5A22"/>
    <w:rsid w:val="00CF6570"/>
    <w:rsid w:val="00D021E2"/>
    <w:rsid w:val="00D02259"/>
    <w:rsid w:val="00D022C8"/>
    <w:rsid w:val="00D0262E"/>
    <w:rsid w:val="00D03E3D"/>
    <w:rsid w:val="00D04821"/>
    <w:rsid w:val="00D0605E"/>
    <w:rsid w:val="00D110BD"/>
    <w:rsid w:val="00D11333"/>
    <w:rsid w:val="00D125E9"/>
    <w:rsid w:val="00D13B7A"/>
    <w:rsid w:val="00D141C3"/>
    <w:rsid w:val="00D14348"/>
    <w:rsid w:val="00D14A8E"/>
    <w:rsid w:val="00D164AA"/>
    <w:rsid w:val="00D16A79"/>
    <w:rsid w:val="00D17D6C"/>
    <w:rsid w:val="00D218FC"/>
    <w:rsid w:val="00D219C7"/>
    <w:rsid w:val="00D220DC"/>
    <w:rsid w:val="00D22D85"/>
    <w:rsid w:val="00D22F7B"/>
    <w:rsid w:val="00D23000"/>
    <w:rsid w:val="00D232AC"/>
    <w:rsid w:val="00D26774"/>
    <w:rsid w:val="00D27B68"/>
    <w:rsid w:val="00D3169B"/>
    <w:rsid w:val="00D31803"/>
    <w:rsid w:val="00D31D7B"/>
    <w:rsid w:val="00D33901"/>
    <w:rsid w:val="00D33930"/>
    <w:rsid w:val="00D340E0"/>
    <w:rsid w:val="00D356C8"/>
    <w:rsid w:val="00D357FF"/>
    <w:rsid w:val="00D376AE"/>
    <w:rsid w:val="00D4247B"/>
    <w:rsid w:val="00D429A1"/>
    <w:rsid w:val="00D43176"/>
    <w:rsid w:val="00D43A09"/>
    <w:rsid w:val="00D445C8"/>
    <w:rsid w:val="00D45C1C"/>
    <w:rsid w:val="00D47985"/>
    <w:rsid w:val="00D47DDD"/>
    <w:rsid w:val="00D50B4D"/>
    <w:rsid w:val="00D51460"/>
    <w:rsid w:val="00D559E8"/>
    <w:rsid w:val="00D55BD3"/>
    <w:rsid w:val="00D57461"/>
    <w:rsid w:val="00D5779F"/>
    <w:rsid w:val="00D577A6"/>
    <w:rsid w:val="00D57EAD"/>
    <w:rsid w:val="00D6080F"/>
    <w:rsid w:val="00D61664"/>
    <w:rsid w:val="00D62EF0"/>
    <w:rsid w:val="00D6302E"/>
    <w:rsid w:val="00D639D0"/>
    <w:rsid w:val="00D6690A"/>
    <w:rsid w:val="00D67E60"/>
    <w:rsid w:val="00D715BA"/>
    <w:rsid w:val="00D745FB"/>
    <w:rsid w:val="00D74C09"/>
    <w:rsid w:val="00D74D5C"/>
    <w:rsid w:val="00D76A44"/>
    <w:rsid w:val="00D76C87"/>
    <w:rsid w:val="00D7748D"/>
    <w:rsid w:val="00D778BC"/>
    <w:rsid w:val="00D809E5"/>
    <w:rsid w:val="00D81506"/>
    <w:rsid w:val="00D82B1A"/>
    <w:rsid w:val="00D83626"/>
    <w:rsid w:val="00D836F3"/>
    <w:rsid w:val="00D83745"/>
    <w:rsid w:val="00D838FE"/>
    <w:rsid w:val="00D84F91"/>
    <w:rsid w:val="00D85D28"/>
    <w:rsid w:val="00D912F7"/>
    <w:rsid w:val="00D91487"/>
    <w:rsid w:val="00D9356F"/>
    <w:rsid w:val="00D93753"/>
    <w:rsid w:val="00D9380D"/>
    <w:rsid w:val="00D939E0"/>
    <w:rsid w:val="00D94698"/>
    <w:rsid w:val="00D94EE3"/>
    <w:rsid w:val="00D965FC"/>
    <w:rsid w:val="00D966A3"/>
    <w:rsid w:val="00D966F2"/>
    <w:rsid w:val="00D96B8D"/>
    <w:rsid w:val="00D97E30"/>
    <w:rsid w:val="00DA02DA"/>
    <w:rsid w:val="00DA083B"/>
    <w:rsid w:val="00DA09E7"/>
    <w:rsid w:val="00DA118C"/>
    <w:rsid w:val="00DA1293"/>
    <w:rsid w:val="00DA142B"/>
    <w:rsid w:val="00DA1DE7"/>
    <w:rsid w:val="00DA2D14"/>
    <w:rsid w:val="00DA3513"/>
    <w:rsid w:val="00DA3A71"/>
    <w:rsid w:val="00DA714E"/>
    <w:rsid w:val="00DA72F2"/>
    <w:rsid w:val="00DA77A5"/>
    <w:rsid w:val="00DB003B"/>
    <w:rsid w:val="00DB090B"/>
    <w:rsid w:val="00DB315D"/>
    <w:rsid w:val="00DB33FF"/>
    <w:rsid w:val="00DB3FE8"/>
    <w:rsid w:val="00DB4DFA"/>
    <w:rsid w:val="00DB65ED"/>
    <w:rsid w:val="00DB6930"/>
    <w:rsid w:val="00DB6968"/>
    <w:rsid w:val="00DB6C91"/>
    <w:rsid w:val="00DB6F9D"/>
    <w:rsid w:val="00DB7F24"/>
    <w:rsid w:val="00DC0CF5"/>
    <w:rsid w:val="00DC1E13"/>
    <w:rsid w:val="00DC228D"/>
    <w:rsid w:val="00DC2476"/>
    <w:rsid w:val="00DC3B2A"/>
    <w:rsid w:val="00DC5501"/>
    <w:rsid w:val="00DC5D3C"/>
    <w:rsid w:val="00DC7459"/>
    <w:rsid w:val="00DC792C"/>
    <w:rsid w:val="00DD04B5"/>
    <w:rsid w:val="00DD157C"/>
    <w:rsid w:val="00DD16EC"/>
    <w:rsid w:val="00DD256F"/>
    <w:rsid w:val="00DD268C"/>
    <w:rsid w:val="00DD3B9B"/>
    <w:rsid w:val="00DD3D5E"/>
    <w:rsid w:val="00DD3F28"/>
    <w:rsid w:val="00DD4537"/>
    <w:rsid w:val="00DD46FA"/>
    <w:rsid w:val="00DD4E15"/>
    <w:rsid w:val="00DD528C"/>
    <w:rsid w:val="00DE0592"/>
    <w:rsid w:val="00DE0EAD"/>
    <w:rsid w:val="00DE29B9"/>
    <w:rsid w:val="00DE3186"/>
    <w:rsid w:val="00DE38F7"/>
    <w:rsid w:val="00DE3ACA"/>
    <w:rsid w:val="00DE3B3B"/>
    <w:rsid w:val="00DE3DE7"/>
    <w:rsid w:val="00DE40B9"/>
    <w:rsid w:val="00DE40E2"/>
    <w:rsid w:val="00DE4500"/>
    <w:rsid w:val="00DE4751"/>
    <w:rsid w:val="00DE4A5E"/>
    <w:rsid w:val="00DE4F4F"/>
    <w:rsid w:val="00DE4FCB"/>
    <w:rsid w:val="00DE6E8F"/>
    <w:rsid w:val="00DE74FC"/>
    <w:rsid w:val="00DE7A63"/>
    <w:rsid w:val="00DF0071"/>
    <w:rsid w:val="00DF0562"/>
    <w:rsid w:val="00DF0ADE"/>
    <w:rsid w:val="00DF21B8"/>
    <w:rsid w:val="00DF2C0C"/>
    <w:rsid w:val="00DF2E95"/>
    <w:rsid w:val="00DF334E"/>
    <w:rsid w:val="00DF3932"/>
    <w:rsid w:val="00DF3FB4"/>
    <w:rsid w:val="00DF5D2B"/>
    <w:rsid w:val="00DF5DDD"/>
    <w:rsid w:val="00DF7164"/>
    <w:rsid w:val="00DF7403"/>
    <w:rsid w:val="00DF76E9"/>
    <w:rsid w:val="00E00E37"/>
    <w:rsid w:val="00E011FA"/>
    <w:rsid w:val="00E01209"/>
    <w:rsid w:val="00E01334"/>
    <w:rsid w:val="00E02243"/>
    <w:rsid w:val="00E0288C"/>
    <w:rsid w:val="00E03474"/>
    <w:rsid w:val="00E03A34"/>
    <w:rsid w:val="00E03CF1"/>
    <w:rsid w:val="00E03ED5"/>
    <w:rsid w:val="00E048F6"/>
    <w:rsid w:val="00E051EA"/>
    <w:rsid w:val="00E0581C"/>
    <w:rsid w:val="00E067C4"/>
    <w:rsid w:val="00E10149"/>
    <w:rsid w:val="00E11295"/>
    <w:rsid w:val="00E113B3"/>
    <w:rsid w:val="00E12759"/>
    <w:rsid w:val="00E13030"/>
    <w:rsid w:val="00E133E1"/>
    <w:rsid w:val="00E13543"/>
    <w:rsid w:val="00E13DEC"/>
    <w:rsid w:val="00E147A1"/>
    <w:rsid w:val="00E15243"/>
    <w:rsid w:val="00E154FE"/>
    <w:rsid w:val="00E15DF7"/>
    <w:rsid w:val="00E16372"/>
    <w:rsid w:val="00E16CFA"/>
    <w:rsid w:val="00E16F32"/>
    <w:rsid w:val="00E200D4"/>
    <w:rsid w:val="00E2046F"/>
    <w:rsid w:val="00E20ED6"/>
    <w:rsid w:val="00E21358"/>
    <w:rsid w:val="00E220AF"/>
    <w:rsid w:val="00E223F9"/>
    <w:rsid w:val="00E2249B"/>
    <w:rsid w:val="00E22845"/>
    <w:rsid w:val="00E22A0D"/>
    <w:rsid w:val="00E22BEC"/>
    <w:rsid w:val="00E233E4"/>
    <w:rsid w:val="00E237FF"/>
    <w:rsid w:val="00E24DBE"/>
    <w:rsid w:val="00E2514C"/>
    <w:rsid w:val="00E25595"/>
    <w:rsid w:val="00E2569C"/>
    <w:rsid w:val="00E25FFB"/>
    <w:rsid w:val="00E260ED"/>
    <w:rsid w:val="00E2771E"/>
    <w:rsid w:val="00E27839"/>
    <w:rsid w:val="00E27EB4"/>
    <w:rsid w:val="00E304A9"/>
    <w:rsid w:val="00E31E4C"/>
    <w:rsid w:val="00E3249B"/>
    <w:rsid w:val="00E32713"/>
    <w:rsid w:val="00E32905"/>
    <w:rsid w:val="00E34624"/>
    <w:rsid w:val="00E34C44"/>
    <w:rsid w:val="00E351C9"/>
    <w:rsid w:val="00E352EB"/>
    <w:rsid w:val="00E36DB6"/>
    <w:rsid w:val="00E37569"/>
    <w:rsid w:val="00E3784D"/>
    <w:rsid w:val="00E41536"/>
    <w:rsid w:val="00E41E30"/>
    <w:rsid w:val="00E42596"/>
    <w:rsid w:val="00E427B6"/>
    <w:rsid w:val="00E429D2"/>
    <w:rsid w:val="00E42B17"/>
    <w:rsid w:val="00E43527"/>
    <w:rsid w:val="00E43615"/>
    <w:rsid w:val="00E43D70"/>
    <w:rsid w:val="00E440FA"/>
    <w:rsid w:val="00E44A46"/>
    <w:rsid w:val="00E4526B"/>
    <w:rsid w:val="00E454F0"/>
    <w:rsid w:val="00E4767D"/>
    <w:rsid w:val="00E47B2C"/>
    <w:rsid w:val="00E47FEA"/>
    <w:rsid w:val="00E50D3A"/>
    <w:rsid w:val="00E51560"/>
    <w:rsid w:val="00E55424"/>
    <w:rsid w:val="00E55BB5"/>
    <w:rsid w:val="00E5624C"/>
    <w:rsid w:val="00E5735D"/>
    <w:rsid w:val="00E57D9A"/>
    <w:rsid w:val="00E57F2D"/>
    <w:rsid w:val="00E600BB"/>
    <w:rsid w:val="00E60D1A"/>
    <w:rsid w:val="00E61196"/>
    <w:rsid w:val="00E62068"/>
    <w:rsid w:val="00E63F50"/>
    <w:rsid w:val="00E64A73"/>
    <w:rsid w:val="00E65E79"/>
    <w:rsid w:val="00E67416"/>
    <w:rsid w:val="00E678FE"/>
    <w:rsid w:val="00E7112D"/>
    <w:rsid w:val="00E716F9"/>
    <w:rsid w:val="00E717FA"/>
    <w:rsid w:val="00E718B6"/>
    <w:rsid w:val="00E720DF"/>
    <w:rsid w:val="00E72158"/>
    <w:rsid w:val="00E72531"/>
    <w:rsid w:val="00E73581"/>
    <w:rsid w:val="00E74045"/>
    <w:rsid w:val="00E74BDD"/>
    <w:rsid w:val="00E759B5"/>
    <w:rsid w:val="00E767FA"/>
    <w:rsid w:val="00E768BE"/>
    <w:rsid w:val="00E76B54"/>
    <w:rsid w:val="00E770B4"/>
    <w:rsid w:val="00E77D4C"/>
    <w:rsid w:val="00E812A0"/>
    <w:rsid w:val="00E83BDF"/>
    <w:rsid w:val="00E84DD1"/>
    <w:rsid w:val="00E85478"/>
    <w:rsid w:val="00E87C5F"/>
    <w:rsid w:val="00E91F5A"/>
    <w:rsid w:val="00E925D1"/>
    <w:rsid w:val="00E9515B"/>
    <w:rsid w:val="00E96212"/>
    <w:rsid w:val="00E9755B"/>
    <w:rsid w:val="00EA15EC"/>
    <w:rsid w:val="00EA3864"/>
    <w:rsid w:val="00EA3E80"/>
    <w:rsid w:val="00EA4198"/>
    <w:rsid w:val="00EA6CEE"/>
    <w:rsid w:val="00EA774B"/>
    <w:rsid w:val="00EB0AA2"/>
    <w:rsid w:val="00EB15B6"/>
    <w:rsid w:val="00EB1FE0"/>
    <w:rsid w:val="00EB2388"/>
    <w:rsid w:val="00EB4916"/>
    <w:rsid w:val="00EB4DDC"/>
    <w:rsid w:val="00EB55BF"/>
    <w:rsid w:val="00EB6971"/>
    <w:rsid w:val="00EC00C9"/>
    <w:rsid w:val="00EC06F7"/>
    <w:rsid w:val="00EC08D1"/>
    <w:rsid w:val="00EC0FFC"/>
    <w:rsid w:val="00EC11D5"/>
    <w:rsid w:val="00EC2054"/>
    <w:rsid w:val="00EC2608"/>
    <w:rsid w:val="00EC35E6"/>
    <w:rsid w:val="00EC3869"/>
    <w:rsid w:val="00EC3C75"/>
    <w:rsid w:val="00EC525E"/>
    <w:rsid w:val="00EC599A"/>
    <w:rsid w:val="00EC769C"/>
    <w:rsid w:val="00ED087E"/>
    <w:rsid w:val="00ED0DC2"/>
    <w:rsid w:val="00ED0E0B"/>
    <w:rsid w:val="00ED218C"/>
    <w:rsid w:val="00ED2C85"/>
    <w:rsid w:val="00ED3154"/>
    <w:rsid w:val="00ED3729"/>
    <w:rsid w:val="00ED4047"/>
    <w:rsid w:val="00ED4A37"/>
    <w:rsid w:val="00ED4EBB"/>
    <w:rsid w:val="00ED504F"/>
    <w:rsid w:val="00ED6189"/>
    <w:rsid w:val="00ED6432"/>
    <w:rsid w:val="00EE02F5"/>
    <w:rsid w:val="00EE03DF"/>
    <w:rsid w:val="00EE0568"/>
    <w:rsid w:val="00EE07D3"/>
    <w:rsid w:val="00EE09FD"/>
    <w:rsid w:val="00EE24C0"/>
    <w:rsid w:val="00EE34C9"/>
    <w:rsid w:val="00EE4226"/>
    <w:rsid w:val="00EE56A2"/>
    <w:rsid w:val="00EE7C42"/>
    <w:rsid w:val="00EE7E1D"/>
    <w:rsid w:val="00EF0C81"/>
    <w:rsid w:val="00EF19F7"/>
    <w:rsid w:val="00EF26A4"/>
    <w:rsid w:val="00EF2C5A"/>
    <w:rsid w:val="00EF4039"/>
    <w:rsid w:val="00EF4327"/>
    <w:rsid w:val="00EF43E5"/>
    <w:rsid w:val="00EF5E77"/>
    <w:rsid w:val="00EF7E73"/>
    <w:rsid w:val="00F000EC"/>
    <w:rsid w:val="00F00516"/>
    <w:rsid w:val="00F0221E"/>
    <w:rsid w:val="00F0355A"/>
    <w:rsid w:val="00F0458A"/>
    <w:rsid w:val="00F04D35"/>
    <w:rsid w:val="00F0568E"/>
    <w:rsid w:val="00F05B68"/>
    <w:rsid w:val="00F05CBA"/>
    <w:rsid w:val="00F06428"/>
    <w:rsid w:val="00F067A2"/>
    <w:rsid w:val="00F0765A"/>
    <w:rsid w:val="00F07D92"/>
    <w:rsid w:val="00F07DF4"/>
    <w:rsid w:val="00F10722"/>
    <w:rsid w:val="00F11000"/>
    <w:rsid w:val="00F117C1"/>
    <w:rsid w:val="00F11B2D"/>
    <w:rsid w:val="00F1252F"/>
    <w:rsid w:val="00F12C4F"/>
    <w:rsid w:val="00F12E0B"/>
    <w:rsid w:val="00F139E5"/>
    <w:rsid w:val="00F1417F"/>
    <w:rsid w:val="00F15385"/>
    <w:rsid w:val="00F21A97"/>
    <w:rsid w:val="00F21EED"/>
    <w:rsid w:val="00F22179"/>
    <w:rsid w:val="00F24837"/>
    <w:rsid w:val="00F24D96"/>
    <w:rsid w:val="00F2575F"/>
    <w:rsid w:val="00F25AAE"/>
    <w:rsid w:val="00F30253"/>
    <w:rsid w:val="00F315F7"/>
    <w:rsid w:val="00F3243C"/>
    <w:rsid w:val="00F33C6A"/>
    <w:rsid w:val="00F33DE9"/>
    <w:rsid w:val="00F34E84"/>
    <w:rsid w:val="00F35695"/>
    <w:rsid w:val="00F3619A"/>
    <w:rsid w:val="00F369A2"/>
    <w:rsid w:val="00F36EEE"/>
    <w:rsid w:val="00F3767F"/>
    <w:rsid w:val="00F37D0E"/>
    <w:rsid w:val="00F4092A"/>
    <w:rsid w:val="00F418BE"/>
    <w:rsid w:val="00F4213A"/>
    <w:rsid w:val="00F42796"/>
    <w:rsid w:val="00F427A7"/>
    <w:rsid w:val="00F42E2E"/>
    <w:rsid w:val="00F45D57"/>
    <w:rsid w:val="00F45E63"/>
    <w:rsid w:val="00F4602B"/>
    <w:rsid w:val="00F463AB"/>
    <w:rsid w:val="00F46673"/>
    <w:rsid w:val="00F46CB6"/>
    <w:rsid w:val="00F47289"/>
    <w:rsid w:val="00F473DB"/>
    <w:rsid w:val="00F4798A"/>
    <w:rsid w:val="00F513EE"/>
    <w:rsid w:val="00F521C6"/>
    <w:rsid w:val="00F5291D"/>
    <w:rsid w:val="00F535A4"/>
    <w:rsid w:val="00F5488C"/>
    <w:rsid w:val="00F54C20"/>
    <w:rsid w:val="00F54E65"/>
    <w:rsid w:val="00F550CF"/>
    <w:rsid w:val="00F551F1"/>
    <w:rsid w:val="00F556CB"/>
    <w:rsid w:val="00F5593C"/>
    <w:rsid w:val="00F55E73"/>
    <w:rsid w:val="00F56092"/>
    <w:rsid w:val="00F567E9"/>
    <w:rsid w:val="00F56E73"/>
    <w:rsid w:val="00F60092"/>
    <w:rsid w:val="00F60962"/>
    <w:rsid w:val="00F61C7C"/>
    <w:rsid w:val="00F61F6C"/>
    <w:rsid w:val="00F636F8"/>
    <w:rsid w:val="00F63A5D"/>
    <w:rsid w:val="00F64457"/>
    <w:rsid w:val="00F6469B"/>
    <w:rsid w:val="00F65415"/>
    <w:rsid w:val="00F66635"/>
    <w:rsid w:val="00F666E2"/>
    <w:rsid w:val="00F66BCD"/>
    <w:rsid w:val="00F705FE"/>
    <w:rsid w:val="00F70E87"/>
    <w:rsid w:val="00F70EF3"/>
    <w:rsid w:val="00F7118F"/>
    <w:rsid w:val="00F74FAA"/>
    <w:rsid w:val="00F76485"/>
    <w:rsid w:val="00F76943"/>
    <w:rsid w:val="00F8002E"/>
    <w:rsid w:val="00F80119"/>
    <w:rsid w:val="00F807E1"/>
    <w:rsid w:val="00F80E5D"/>
    <w:rsid w:val="00F814AE"/>
    <w:rsid w:val="00F818FD"/>
    <w:rsid w:val="00F81A0B"/>
    <w:rsid w:val="00F81BC2"/>
    <w:rsid w:val="00F839CB"/>
    <w:rsid w:val="00F841EF"/>
    <w:rsid w:val="00F851CE"/>
    <w:rsid w:val="00F866E0"/>
    <w:rsid w:val="00F8695B"/>
    <w:rsid w:val="00F872AE"/>
    <w:rsid w:val="00F87B04"/>
    <w:rsid w:val="00F90699"/>
    <w:rsid w:val="00F938FD"/>
    <w:rsid w:val="00F94B00"/>
    <w:rsid w:val="00F9520B"/>
    <w:rsid w:val="00F96F3D"/>
    <w:rsid w:val="00F97A78"/>
    <w:rsid w:val="00FA24E7"/>
    <w:rsid w:val="00FA2E4D"/>
    <w:rsid w:val="00FA44B8"/>
    <w:rsid w:val="00FA48F3"/>
    <w:rsid w:val="00FA53A7"/>
    <w:rsid w:val="00FA5AF7"/>
    <w:rsid w:val="00FA617A"/>
    <w:rsid w:val="00FA68BA"/>
    <w:rsid w:val="00FA7F71"/>
    <w:rsid w:val="00FB067A"/>
    <w:rsid w:val="00FB11D3"/>
    <w:rsid w:val="00FB27A8"/>
    <w:rsid w:val="00FB2B26"/>
    <w:rsid w:val="00FB2FCB"/>
    <w:rsid w:val="00FB39FA"/>
    <w:rsid w:val="00FB42F8"/>
    <w:rsid w:val="00FB457A"/>
    <w:rsid w:val="00FB4813"/>
    <w:rsid w:val="00FB6543"/>
    <w:rsid w:val="00FB6A33"/>
    <w:rsid w:val="00FC00BE"/>
    <w:rsid w:val="00FC0E53"/>
    <w:rsid w:val="00FC1074"/>
    <w:rsid w:val="00FC15B8"/>
    <w:rsid w:val="00FC1884"/>
    <w:rsid w:val="00FC1BB0"/>
    <w:rsid w:val="00FC2589"/>
    <w:rsid w:val="00FC4BE7"/>
    <w:rsid w:val="00FC51BC"/>
    <w:rsid w:val="00FC6407"/>
    <w:rsid w:val="00FC660F"/>
    <w:rsid w:val="00FC771C"/>
    <w:rsid w:val="00FC7889"/>
    <w:rsid w:val="00FC78E1"/>
    <w:rsid w:val="00FC7C34"/>
    <w:rsid w:val="00FD058B"/>
    <w:rsid w:val="00FD074D"/>
    <w:rsid w:val="00FD1BFB"/>
    <w:rsid w:val="00FD1F24"/>
    <w:rsid w:val="00FD2100"/>
    <w:rsid w:val="00FD2E19"/>
    <w:rsid w:val="00FD36F9"/>
    <w:rsid w:val="00FD3D94"/>
    <w:rsid w:val="00FD401F"/>
    <w:rsid w:val="00FD446D"/>
    <w:rsid w:val="00FD4829"/>
    <w:rsid w:val="00FD4C37"/>
    <w:rsid w:val="00FD4E19"/>
    <w:rsid w:val="00FD54B5"/>
    <w:rsid w:val="00FD556F"/>
    <w:rsid w:val="00FD56F8"/>
    <w:rsid w:val="00FD6235"/>
    <w:rsid w:val="00FD7093"/>
    <w:rsid w:val="00FD7ACE"/>
    <w:rsid w:val="00FD7CDB"/>
    <w:rsid w:val="00FE19A1"/>
    <w:rsid w:val="00FE2302"/>
    <w:rsid w:val="00FE356E"/>
    <w:rsid w:val="00FE42AA"/>
    <w:rsid w:val="00FE57EC"/>
    <w:rsid w:val="00FE5AC6"/>
    <w:rsid w:val="00FF0DA2"/>
    <w:rsid w:val="00FF160F"/>
    <w:rsid w:val="00FF1D36"/>
    <w:rsid w:val="00FF24D8"/>
    <w:rsid w:val="00FF2A27"/>
    <w:rsid w:val="00FF2AD2"/>
    <w:rsid w:val="00FF3DCF"/>
    <w:rsid w:val="00FF4672"/>
    <w:rsid w:val="00FF508A"/>
    <w:rsid w:val="00FF5AA3"/>
    <w:rsid w:val="00FF5B9E"/>
    <w:rsid w:val="00FF60DD"/>
    <w:rsid w:val="00FF7E8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7" w:qFormat="1"/>
    <w:lsdException w:name="footnote reference" w:uiPriority="99"/>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nhideWhenUsed="0" w:qFormat="1"/>
    <w:lsdException w:name="Body Text" w:qFormat="1"/>
    <w:lsdException w:name="Subtitle" w:semiHidden="0" w:unhideWhenUsed="0"/>
    <w:lsdException w:name="Salutation" w:semiHidden="0" w:uiPriority="9" w:unhideWhenUsed="0"/>
    <w:lsdException w:name="Date" w:semiHidden="0" w:uiPriority="9" w:unhideWhenUsed="0"/>
    <w:lsdException w:name="Body Text First Indent" w:semiHidden="0" w:uiPriority="9" w:unhideWhenUsed="0"/>
    <w:lsdException w:name="Hyperlink" w:uiPriority="99"/>
    <w:lsdException w:name="Strong" w:semiHidden="0" w:uiPriority="9" w:unhideWhenUsed="0"/>
    <w:lsdException w:name="Emphasis" w:semiHidden="0" w:uiPriority="9" w:unhideWhenUsed="0"/>
    <w:lsdException w:name="Normal (Web)"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7170EE"/>
    <w:pPr>
      <w:outlineLvl w:val="1"/>
    </w:pPr>
    <w:rPr>
      <w:b/>
      <w:i/>
    </w:rPr>
  </w:style>
  <w:style w:type="paragraph" w:styleId="Heading3">
    <w:name w:val="heading 3"/>
    <w:basedOn w:val="Normal"/>
    <w:next w:val="Normal"/>
    <w:uiPriority w:val="1"/>
    <w:qFormat/>
    <w:rsid w:val="007170EE"/>
    <w:pPr>
      <w:ind w:firstLine="720"/>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7170EE"/>
    <w:rPr>
      <w:rFonts w:ascii="Arial" w:hAnsi="Arial" w:cs="Arial"/>
      <w:b/>
      <w:i/>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uiPriority w:val="7"/>
    <w:rsid w:val="005C7F65"/>
    <w:rPr>
      <w:rFonts w:ascii="Arial Narrow" w:hAnsi="Arial Narrow" w:cs="Arial"/>
      <w:b/>
      <w:bCs/>
      <w:snapToGrid w:val="0"/>
      <w:szCs w:val="18"/>
      <w:lang w:eastAsia="en-US"/>
    </w:rPr>
  </w:style>
  <w:style w:type="paragraph" w:styleId="Title">
    <w:name w:val="Title"/>
    <w:basedOn w:val="Heading1"/>
    <w:next w:val="Normal"/>
    <w:link w:val="TitleChar"/>
    <w:uiPriority w:val="7"/>
    <w:qFormat/>
    <w:rsid w:val="00AC0FBC"/>
    <w:rPr>
      <w:caps w:val="0"/>
      <w:sz w:val="28"/>
    </w:rPr>
  </w:style>
  <w:style w:type="character" w:customStyle="1" w:styleId="TitleChar">
    <w:name w:val="Title Char"/>
    <w:basedOn w:val="DefaultParagraphFont"/>
    <w:link w:val="Title"/>
    <w:uiPriority w:val="7"/>
    <w:rsid w:val="00AC0FBC"/>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170EE"/>
    <w:pPr>
      <w:numPr>
        <w:numId w:val="2"/>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Style3">
    <w:name w:val="Style3"/>
    <w:basedOn w:val="Normal"/>
    <w:next w:val="Heading2"/>
    <w:rsid w:val="00DB6C91"/>
    <w:pPr>
      <w:widowControl/>
      <w:spacing w:line="264" w:lineRule="auto"/>
      <w:jc w:val="left"/>
    </w:pPr>
    <w:rPr>
      <w:b/>
      <w:snapToGrid/>
      <w:sz w:val="28"/>
      <w:szCs w:val="28"/>
      <w:lang w:bidi="en-US"/>
    </w:rPr>
  </w:style>
  <w:style w:type="paragraph" w:customStyle="1" w:styleId="Tablename0">
    <w:name w:val="Table name"/>
    <w:basedOn w:val="Normal"/>
    <w:link w:val="TablenameChar"/>
    <w:qFormat/>
    <w:rsid w:val="009C7EF6"/>
    <w:pPr>
      <w:keepNext/>
    </w:pPr>
    <w:rPr>
      <w:b/>
      <w:sz w:val="20"/>
      <w:szCs w:val="22"/>
    </w:rPr>
  </w:style>
  <w:style w:type="character" w:customStyle="1" w:styleId="TablenameChar">
    <w:name w:val="Table name Char"/>
    <w:link w:val="Tablename0"/>
    <w:rsid w:val="009C7EF6"/>
    <w:rPr>
      <w:rFonts w:ascii="Arial" w:hAnsi="Arial" w:cs="Arial"/>
      <w:b/>
      <w:snapToGrid w:val="0"/>
      <w:szCs w:val="22"/>
      <w:lang w:eastAsia="en-US"/>
    </w:rPr>
  </w:style>
  <w:style w:type="character" w:customStyle="1" w:styleId="ListParagraphChar">
    <w:name w:val="List Paragraph Char"/>
    <w:basedOn w:val="DefaultParagraphFont"/>
    <w:link w:val="ListParagraph"/>
    <w:uiPriority w:val="72"/>
    <w:locked/>
    <w:rsid w:val="00B57BA4"/>
    <w:rPr>
      <w:rFonts w:ascii="Arial" w:hAnsi="Arial" w:cs="Arial"/>
      <w:snapToGrid w:val="0"/>
      <w:sz w:val="22"/>
      <w:lang w:eastAsia="en-US"/>
    </w:rPr>
  </w:style>
  <w:style w:type="table" w:customStyle="1" w:styleId="Macitentantable">
    <w:name w:val="Macitentan table"/>
    <w:basedOn w:val="TableNormal"/>
    <w:rsid w:val="00D164AA"/>
    <w:rPr>
      <w:rFonts w:ascii="Arial" w:hAnsi="Arial"/>
      <w:lang w:val="en-CA" w:eastAsia="en-CA"/>
    </w:rPr>
    <w:tblPr>
      <w:tblStyleRowBandSize w:val="1"/>
      <w:tblBorders>
        <w:top w:val="single" w:sz="18" w:space="0" w:color="3D3565"/>
        <w:bottom w:val="single" w:sz="12" w:space="0" w:color="3D3565"/>
      </w:tblBorders>
    </w:tblPr>
    <w:tblStylePr w:type="firstRow">
      <w:pPr>
        <w:wordWrap/>
        <w:spacing w:beforeLines="0" w:before="100" w:beforeAutospacing="1" w:afterLines="0" w:after="100" w:afterAutospacing="1" w:line="240" w:lineRule="auto"/>
        <w:ind w:leftChars="0" w:left="0" w:rightChars="0" w:right="0" w:firstLineChars="0" w:firstLine="0"/>
        <w:jc w:val="left"/>
      </w:pPr>
      <w:rPr>
        <w:rFonts w:ascii="Gotham XNarrow Book" w:hAnsi="Gotham XNarrow Book" w:hint="default"/>
        <w:b/>
        <w:i w:val="0"/>
        <w:color w:val="FFFFFF"/>
        <w:sz w:val="20"/>
        <w:szCs w:val="20"/>
      </w:rPr>
      <w:tblPr/>
      <w:tcPr>
        <w:tcBorders>
          <w:top w:val="single" w:sz="18" w:space="0" w:color="3D3565"/>
          <w:left w:val="nil"/>
          <w:bottom w:val="single" w:sz="12" w:space="0" w:color="3D3565"/>
          <w:right w:val="nil"/>
          <w:insideH w:val="nil"/>
          <w:insideV w:val="nil"/>
          <w:tl2br w:val="nil"/>
          <w:tr2bl w:val="nil"/>
        </w:tcBorders>
        <w:shd w:val="clear" w:color="auto" w:fill="3D3565"/>
      </w:tcPr>
    </w:tblStylePr>
    <w:tblStylePr w:type="band1Horz">
      <w:tblPr/>
      <w:tcPr>
        <w:tcBorders>
          <w:top w:val="nil"/>
          <w:left w:val="nil"/>
          <w:bottom w:val="nil"/>
          <w:right w:val="nil"/>
          <w:insideH w:val="nil"/>
          <w:insideV w:val="nil"/>
          <w:tl2br w:val="nil"/>
          <w:tr2bl w:val="nil"/>
        </w:tcBorders>
        <w:shd w:val="clear" w:color="auto" w:fill="CFCBE3"/>
      </w:tcPr>
    </w:tblStylePr>
  </w:style>
  <w:style w:type="paragraph" w:customStyle="1" w:styleId="PBACBullets">
    <w:name w:val="PBAC Bullets"/>
    <w:basedOn w:val="Normal"/>
    <w:qFormat/>
    <w:rsid w:val="001155B0"/>
    <w:pPr>
      <w:widowControl/>
      <w:numPr>
        <w:numId w:val="3"/>
      </w:numPr>
      <w:spacing w:before="240" w:after="60"/>
      <w:jc w:val="left"/>
    </w:pPr>
    <w:rPr>
      <w:rFonts w:ascii="Calibri" w:eastAsia="Calibri" w:hAnsi="Calibri" w:cs="Times New Roman"/>
      <w:snapToGrid/>
      <w:szCs w:val="22"/>
    </w:rPr>
  </w:style>
  <w:style w:type="paragraph" w:customStyle="1" w:styleId="minutesdotpoint">
    <w:name w:val="minutes dot point"/>
    <w:basedOn w:val="Normal"/>
    <w:link w:val="minutesdotpointChar"/>
    <w:qFormat/>
    <w:rsid w:val="001155B0"/>
    <w:pPr>
      <w:widowControl/>
      <w:numPr>
        <w:numId w:val="4"/>
      </w:numPr>
      <w:spacing w:after="120"/>
    </w:pPr>
    <w:rPr>
      <w:rFonts w:ascii="Calibri" w:hAnsi="Calibri" w:cs="Calibri"/>
      <w:snapToGrid/>
      <w:szCs w:val="22"/>
    </w:rPr>
  </w:style>
  <w:style w:type="character" w:customStyle="1" w:styleId="minutesdotpointChar">
    <w:name w:val="minutes dot point Char"/>
    <w:link w:val="minutesdotpoint"/>
    <w:rsid w:val="001155B0"/>
    <w:rPr>
      <w:rFonts w:ascii="Calibri" w:hAnsi="Calibri" w:cs="Calibri"/>
      <w:sz w:val="22"/>
      <w:szCs w:val="22"/>
      <w:lang w:eastAsia="en-US"/>
    </w:rPr>
  </w:style>
  <w:style w:type="table" w:styleId="LightList-Accent1">
    <w:name w:val="Light List Accent 1"/>
    <w:basedOn w:val="TableNormal"/>
    <w:uiPriority w:val="61"/>
    <w:rsid w:val="00A3204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odyTextChar0">
    <w:name w:val="BodyText Char"/>
    <w:basedOn w:val="DefaultParagraphFont"/>
    <w:link w:val="BodyText0"/>
    <w:locked/>
    <w:rsid w:val="00907653"/>
    <w:rPr>
      <w:rFonts w:ascii="Arial" w:hAnsi="Arial" w:cs="Arial"/>
      <w:szCs w:val="24"/>
      <w:lang w:val="en-US"/>
    </w:rPr>
  </w:style>
  <w:style w:type="paragraph" w:customStyle="1" w:styleId="BodyText0">
    <w:name w:val="BodyText"/>
    <w:basedOn w:val="Normal"/>
    <w:link w:val="BodyTextChar0"/>
    <w:rsid w:val="00907653"/>
    <w:pPr>
      <w:widowControl/>
      <w:tabs>
        <w:tab w:val="left" w:pos="1337"/>
      </w:tabs>
      <w:spacing w:after="120" w:line="360" w:lineRule="auto"/>
    </w:pPr>
    <w:rPr>
      <w:snapToGrid/>
      <w:sz w:val="20"/>
      <w:szCs w:val="24"/>
      <w:lang w:val="en-US" w:eastAsia="en-AU"/>
    </w:rPr>
  </w:style>
  <w:style w:type="character" w:customStyle="1" w:styleId="TableTextChar0">
    <w:name w:val="TableText Char"/>
    <w:link w:val="TableText0"/>
    <w:rsid w:val="00F0765A"/>
    <w:rPr>
      <w:rFonts w:ascii="Arial Narrow" w:hAnsi="Arial Narrow" w:cs="Arial Narrow"/>
      <w:lang w:eastAsia="en-US"/>
    </w:rPr>
  </w:style>
  <w:style w:type="paragraph" w:styleId="FootnoteText">
    <w:name w:val="footnote text"/>
    <w:basedOn w:val="Normal"/>
    <w:link w:val="FootnoteTextChar"/>
    <w:uiPriority w:val="99"/>
    <w:unhideWhenUsed/>
    <w:rsid w:val="00B83FC5"/>
    <w:pPr>
      <w:widowControl/>
      <w:spacing w:line="264" w:lineRule="auto"/>
      <w:ind w:left="426" w:hanging="426"/>
      <w:jc w:val="left"/>
    </w:pPr>
    <w:rPr>
      <w:snapToGrid/>
      <w:sz w:val="16"/>
      <w:szCs w:val="16"/>
      <w:lang w:bidi="en-US"/>
    </w:rPr>
  </w:style>
  <w:style w:type="character" w:customStyle="1" w:styleId="FootnoteTextChar">
    <w:name w:val="Footnote Text Char"/>
    <w:basedOn w:val="DefaultParagraphFont"/>
    <w:link w:val="FootnoteText"/>
    <w:uiPriority w:val="99"/>
    <w:rsid w:val="00B83FC5"/>
    <w:rPr>
      <w:rFonts w:ascii="Arial" w:hAnsi="Arial" w:cs="Arial"/>
      <w:sz w:val="16"/>
      <w:szCs w:val="16"/>
      <w:lang w:eastAsia="en-US" w:bidi="en-US"/>
    </w:rPr>
  </w:style>
  <w:style w:type="character" w:styleId="FootnoteReference">
    <w:name w:val="footnote reference"/>
    <w:basedOn w:val="DefaultParagraphFont"/>
    <w:uiPriority w:val="99"/>
    <w:unhideWhenUsed/>
    <w:rsid w:val="00B83FC5"/>
    <w:rPr>
      <w:vertAlign w:val="superscript"/>
    </w:rPr>
  </w:style>
  <w:style w:type="character" w:customStyle="1" w:styleId="TableNotesChar">
    <w:name w:val="Table Notes Char"/>
    <w:basedOn w:val="DefaultParagraphFont"/>
    <w:link w:val="TableNotes"/>
    <w:uiPriority w:val="6"/>
    <w:locked/>
    <w:rsid w:val="00CC5C1A"/>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CC5C1A"/>
    <w:pPr>
      <w:widowControl/>
      <w:spacing w:after="240"/>
      <w:ind w:left="992" w:hanging="992"/>
      <w:jc w:val="left"/>
    </w:pPr>
    <w:rPr>
      <w:rFonts w:ascii="Arial Narrow" w:eastAsiaTheme="majorEastAsia" w:hAnsi="Arial Narrow" w:cstheme="majorBidi"/>
      <w:noProof/>
      <w:snapToGrid/>
      <w:sz w:val="16"/>
      <w:lang w:eastAsia="en-AU" w:bidi="en-US"/>
    </w:rPr>
  </w:style>
  <w:style w:type="paragraph" w:customStyle="1" w:styleId="EndNoteBibliographyTitle">
    <w:name w:val="EndNote Bibliography Title"/>
    <w:basedOn w:val="Normal"/>
    <w:link w:val="EndNoteBibliographyTitleChar"/>
    <w:rsid w:val="00F66635"/>
    <w:pPr>
      <w:jc w:val="center"/>
    </w:pPr>
    <w:rPr>
      <w:noProof/>
      <w:lang w:val="en-US"/>
    </w:rPr>
  </w:style>
  <w:style w:type="character" w:customStyle="1" w:styleId="EndNoteBibliographyTitleChar">
    <w:name w:val="EndNote Bibliography Title Char"/>
    <w:basedOn w:val="ListParagraphChar"/>
    <w:link w:val="EndNoteBibliographyTitle"/>
    <w:rsid w:val="00F66635"/>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66635"/>
    <w:rPr>
      <w:noProof/>
      <w:lang w:val="en-US"/>
    </w:rPr>
  </w:style>
  <w:style w:type="character" w:customStyle="1" w:styleId="EndNoteBibliographyChar">
    <w:name w:val="EndNote Bibliography Char"/>
    <w:basedOn w:val="ListParagraphChar"/>
    <w:link w:val="EndNoteBibliography"/>
    <w:rsid w:val="00F66635"/>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A2E4D"/>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AB31D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7" w:qFormat="1"/>
    <w:lsdException w:name="footnote reference" w:uiPriority="99"/>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nhideWhenUsed="0" w:qFormat="1"/>
    <w:lsdException w:name="Body Text" w:qFormat="1"/>
    <w:lsdException w:name="Subtitle" w:semiHidden="0" w:unhideWhenUsed="0"/>
    <w:lsdException w:name="Salutation" w:semiHidden="0" w:uiPriority="9" w:unhideWhenUsed="0"/>
    <w:lsdException w:name="Date" w:semiHidden="0" w:uiPriority="9" w:unhideWhenUsed="0"/>
    <w:lsdException w:name="Body Text First Indent" w:semiHidden="0" w:uiPriority="9" w:unhideWhenUsed="0"/>
    <w:lsdException w:name="Hyperlink" w:uiPriority="99"/>
    <w:lsdException w:name="Strong" w:semiHidden="0" w:uiPriority="9" w:unhideWhenUsed="0"/>
    <w:lsdException w:name="Emphasis" w:semiHidden="0" w:uiPriority="9" w:unhideWhenUsed="0"/>
    <w:lsdException w:name="Normal (Web)"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7170EE"/>
    <w:pPr>
      <w:outlineLvl w:val="1"/>
    </w:pPr>
    <w:rPr>
      <w:b/>
      <w:i/>
    </w:rPr>
  </w:style>
  <w:style w:type="paragraph" w:styleId="Heading3">
    <w:name w:val="heading 3"/>
    <w:basedOn w:val="Normal"/>
    <w:next w:val="Normal"/>
    <w:uiPriority w:val="1"/>
    <w:qFormat/>
    <w:rsid w:val="007170EE"/>
    <w:pPr>
      <w:ind w:firstLine="720"/>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7170EE"/>
    <w:rPr>
      <w:rFonts w:ascii="Arial" w:hAnsi="Arial" w:cs="Arial"/>
      <w:b/>
      <w:i/>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uiPriority w:val="7"/>
    <w:rsid w:val="005C7F65"/>
    <w:rPr>
      <w:rFonts w:ascii="Arial Narrow" w:hAnsi="Arial Narrow" w:cs="Arial"/>
      <w:b/>
      <w:bCs/>
      <w:snapToGrid w:val="0"/>
      <w:szCs w:val="18"/>
      <w:lang w:eastAsia="en-US"/>
    </w:rPr>
  </w:style>
  <w:style w:type="paragraph" w:styleId="Title">
    <w:name w:val="Title"/>
    <w:basedOn w:val="Heading1"/>
    <w:next w:val="Normal"/>
    <w:link w:val="TitleChar"/>
    <w:uiPriority w:val="7"/>
    <w:qFormat/>
    <w:rsid w:val="00AC0FBC"/>
    <w:rPr>
      <w:caps w:val="0"/>
      <w:sz w:val="28"/>
    </w:rPr>
  </w:style>
  <w:style w:type="character" w:customStyle="1" w:styleId="TitleChar">
    <w:name w:val="Title Char"/>
    <w:basedOn w:val="DefaultParagraphFont"/>
    <w:link w:val="Title"/>
    <w:uiPriority w:val="7"/>
    <w:rsid w:val="00AC0FBC"/>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170EE"/>
    <w:pPr>
      <w:numPr>
        <w:numId w:val="2"/>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Style3">
    <w:name w:val="Style3"/>
    <w:basedOn w:val="Normal"/>
    <w:next w:val="Heading2"/>
    <w:rsid w:val="00DB6C91"/>
    <w:pPr>
      <w:widowControl/>
      <w:spacing w:line="264" w:lineRule="auto"/>
      <w:jc w:val="left"/>
    </w:pPr>
    <w:rPr>
      <w:b/>
      <w:snapToGrid/>
      <w:sz w:val="28"/>
      <w:szCs w:val="28"/>
      <w:lang w:bidi="en-US"/>
    </w:rPr>
  </w:style>
  <w:style w:type="paragraph" w:customStyle="1" w:styleId="Tablename0">
    <w:name w:val="Table name"/>
    <w:basedOn w:val="Normal"/>
    <w:link w:val="TablenameChar"/>
    <w:qFormat/>
    <w:rsid w:val="009C7EF6"/>
    <w:pPr>
      <w:keepNext/>
    </w:pPr>
    <w:rPr>
      <w:b/>
      <w:sz w:val="20"/>
      <w:szCs w:val="22"/>
    </w:rPr>
  </w:style>
  <w:style w:type="character" w:customStyle="1" w:styleId="TablenameChar">
    <w:name w:val="Table name Char"/>
    <w:link w:val="Tablename0"/>
    <w:rsid w:val="009C7EF6"/>
    <w:rPr>
      <w:rFonts w:ascii="Arial" w:hAnsi="Arial" w:cs="Arial"/>
      <w:b/>
      <w:snapToGrid w:val="0"/>
      <w:szCs w:val="22"/>
      <w:lang w:eastAsia="en-US"/>
    </w:rPr>
  </w:style>
  <w:style w:type="character" w:customStyle="1" w:styleId="ListParagraphChar">
    <w:name w:val="List Paragraph Char"/>
    <w:basedOn w:val="DefaultParagraphFont"/>
    <w:link w:val="ListParagraph"/>
    <w:uiPriority w:val="72"/>
    <w:locked/>
    <w:rsid w:val="00B57BA4"/>
    <w:rPr>
      <w:rFonts w:ascii="Arial" w:hAnsi="Arial" w:cs="Arial"/>
      <w:snapToGrid w:val="0"/>
      <w:sz w:val="22"/>
      <w:lang w:eastAsia="en-US"/>
    </w:rPr>
  </w:style>
  <w:style w:type="table" w:customStyle="1" w:styleId="Macitentantable">
    <w:name w:val="Macitentan table"/>
    <w:basedOn w:val="TableNormal"/>
    <w:rsid w:val="00D164AA"/>
    <w:rPr>
      <w:rFonts w:ascii="Arial" w:hAnsi="Arial"/>
      <w:lang w:val="en-CA" w:eastAsia="en-CA"/>
    </w:rPr>
    <w:tblPr>
      <w:tblStyleRowBandSize w:val="1"/>
      <w:tblBorders>
        <w:top w:val="single" w:sz="18" w:space="0" w:color="3D3565"/>
        <w:bottom w:val="single" w:sz="12" w:space="0" w:color="3D3565"/>
      </w:tblBorders>
    </w:tblPr>
    <w:tblStylePr w:type="firstRow">
      <w:pPr>
        <w:wordWrap/>
        <w:spacing w:beforeLines="0" w:before="100" w:beforeAutospacing="1" w:afterLines="0" w:after="100" w:afterAutospacing="1" w:line="240" w:lineRule="auto"/>
        <w:ind w:leftChars="0" w:left="0" w:rightChars="0" w:right="0" w:firstLineChars="0" w:firstLine="0"/>
        <w:jc w:val="left"/>
      </w:pPr>
      <w:rPr>
        <w:rFonts w:ascii="Gotham XNarrow Book" w:hAnsi="Gotham XNarrow Book" w:hint="default"/>
        <w:b/>
        <w:i w:val="0"/>
        <w:color w:val="FFFFFF"/>
        <w:sz w:val="20"/>
        <w:szCs w:val="20"/>
      </w:rPr>
      <w:tblPr/>
      <w:tcPr>
        <w:tcBorders>
          <w:top w:val="single" w:sz="18" w:space="0" w:color="3D3565"/>
          <w:left w:val="nil"/>
          <w:bottom w:val="single" w:sz="12" w:space="0" w:color="3D3565"/>
          <w:right w:val="nil"/>
          <w:insideH w:val="nil"/>
          <w:insideV w:val="nil"/>
          <w:tl2br w:val="nil"/>
          <w:tr2bl w:val="nil"/>
        </w:tcBorders>
        <w:shd w:val="clear" w:color="auto" w:fill="3D3565"/>
      </w:tcPr>
    </w:tblStylePr>
    <w:tblStylePr w:type="band1Horz">
      <w:tblPr/>
      <w:tcPr>
        <w:tcBorders>
          <w:top w:val="nil"/>
          <w:left w:val="nil"/>
          <w:bottom w:val="nil"/>
          <w:right w:val="nil"/>
          <w:insideH w:val="nil"/>
          <w:insideV w:val="nil"/>
          <w:tl2br w:val="nil"/>
          <w:tr2bl w:val="nil"/>
        </w:tcBorders>
        <w:shd w:val="clear" w:color="auto" w:fill="CFCBE3"/>
      </w:tcPr>
    </w:tblStylePr>
  </w:style>
  <w:style w:type="paragraph" w:customStyle="1" w:styleId="PBACBullets">
    <w:name w:val="PBAC Bullets"/>
    <w:basedOn w:val="Normal"/>
    <w:qFormat/>
    <w:rsid w:val="001155B0"/>
    <w:pPr>
      <w:widowControl/>
      <w:numPr>
        <w:numId w:val="3"/>
      </w:numPr>
      <w:spacing w:before="240" w:after="60"/>
      <w:jc w:val="left"/>
    </w:pPr>
    <w:rPr>
      <w:rFonts w:ascii="Calibri" w:eastAsia="Calibri" w:hAnsi="Calibri" w:cs="Times New Roman"/>
      <w:snapToGrid/>
      <w:szCs w:val="22"/>
    </w:rPr>
  </w:style>
  <w:style w:type="paragraph" w:customStyle="1" w:styleId="minutesdotpoint">
    <w:name w:val="minutes dot point"/>
    <w:basedOn w:val="Normal"/>
    <w:link w:val="minutesdotpointChar"/>
    <w:qFormat/>
    <w:rsid w:val="001155B0"/>
    <w:pPr>
      <w:widowControl/>
      <w:numPr>
        <w:numId w:val="4"/>
      </w:numPr>
      <w:spacing w:after="120"/>
    </w:pPr>
    <w:rPr>
      <w:rFonts w:ascii="Calibri" w:hAnsi="Calibri" w:cs="Calibri"/>
      <w:snapToGrid/>
      <w:szCs w:val="22"/>
    </w:rPr>
  </w:style>
  <w:style w:type="character" w:customStyle="1" w:styleId="minutesdotpointChar">
    <w:name w:val="minutes dot point Char"/>
    <w:link w:val="minutesdotpoint"/>
    <w:rsid w:val="001155B0"/>
    <w:rPr>
      <w:rFonts w:ascii="Calibri" w:hAnsi="Calibri" w:cs="Calibri"/>
      <w:sz w:val="22"/>
      <w:szCs w:val="22"/>
      <w:lang w:eastAsia="en-US"/>
    </w:rPr>
  </w:style>
  <w:style w:type="table" w:styleId="LightList-Accent1">
    <w:name w:val="Light List Accent 1"/>
    <w:basedOn w:val="TableNormal"/>
    <w:uiPriority w:val="61"/>
    <w:rsid w:val="00A3204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odyTextChar0">
    <w:name w:val="BodyText Char"/>
    <w:basedOn w:val="DefaultParagraphFont"/>
    <w:link w:val="BodyText0"/>
    <w:locked/>
    <w:rsid w:val="00907653"/>
    <w:rPr>
      <w:rFonts w:ascii="Arial" w:hAnsi="Arial" w:cs="Arial"/>
      <w:szCs w:val="24"/>
      <w:lang w:val="en-US"/>
    </w:rPr>
  </w:style>
  <w:style w:type="paragraph" w:customStyle="1" w:styleId="BodyText0">
    <w:name w:val="BodyText"/>
    <w:basedOn w:val="Normal"/>
    <w:link w:val="BodyTextChar0"/>
    <w:rsid w:val="00907653"/>
    <w:pPr>
      <w:widowControl/>
      <w:tabs>
        <w:tab w:val="left" w:pos="1337"/>
      </w:tabs>
      <w:spacing w:after="120" w:line="360" w:lineRule="auto"/>
    </w:pPr>
    <w:rPr>
      <w:snapToGrid/>
      <w:sz w:val="20"/>
      <w:szCs w:val="24"/>
      <w:lang w:val="en-US" w:eastAsia="en-AU"/>
    </w:rPr>
  </w:style>
  <w:style w:type="character" w:customStyle="1" w:styleId="TableTextChar0">
    <w:name w:val="TableText Char"/>
    <w:link w:val="TableText0"/>
    <w:rsid w:val="00F0765A"/>
    <w:rPr>
      <w:rFonts w:ascii="Arial Narrow" w:hAnsi="Arial Narrow" w:cs="Arial Narrow"/>
      <w:lang w:eastAsia="en-US"/>
    </w:rPr>
  </w:style>
  <w:style w:type="paragraph" w:styleId="FootnoteText">
    <w:name w:val="footnote text"/>
    <w:basedOn w:val="Normal"/>
    <w:link w:val="FootnoteTextChar"/>
    <w:uiPriority w:val="99"/>
    <w:unhideWhenUsed/>
    <w:rsid w:val="00B83FC5"/>
    <w:pPr>
      <w:widowControl/>
      <w:spacing w:line="264" w:lineRule="auto"/>
      <w:ind w:left="426" w:hanging="426"/>
      <w:jc w:val="left"/>
    </w:pPr>
    <w:rPr>
      <w:snapToGrid/>
      <w:sz w:val="16"/>
      <w:szCs w:val="16"/>
      <w:lang w:bidi="en-US"/>
    </w:rPr>
  </w:style>
  <w:style w:type="character" w:customStyle="1" w:styleId="FootnoteTextChar">
    <w:name w:val="Footnote Text Char"/>
    <w:basedOn w:val="DefaultParagraphFont"/>
    <w:link w:val="FootnoteText"/>
    <w:uiPriority w:val="99"/>
    <w:rsid w:val="00B83FC5"/>
    <w:rPr>
      <w:rFonts w:ascii="Arial" w:hAnsi="Arial" w:cs="Arial"/>
      <w:sz w:val="16"/>
      <w:szCs w:val="16"/>
      <w:lang w:eastAsia="en-US" w:bidi="en-US"/>
    </w:rPr>
  </w:style>
  <w:style w:type="character" w:styleId="FootnoteReference">
    <w:name w:val="footnote reference"/>
    <w:basedOn w:val="DefaultParagraphFont"/>
    <w:uiPriority w:val="99"/>
    <w:unhideWhenUsed/>
    <w:rsid w:val="00B83FC5"/>
    <w:rPr>
      <w:vertAlign w:val="superscript"/>
    </w:rPr>
  </w:style>
  <w:style w:type="character" w:customStyle="1" w:styleId="TableNotesChar">
    <w:name w:val="Table Notes Char"/>
    <w:basedOn w:val="DefaultParagraphFont"/>
    <w:link w:val="TableNotes"/>
    <w:uiPriority w:val="6"/>
    <w:locked/>
    <w:rsid w:val="00CC5C1A"/>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CC5C1A"/>
    <w:pPr>
      <w:widowControl/>
      <w:spacing w:after="240"/>
      <w:ind w:left="992" w:hanging="992"/>
      <w:jc w:val="left"/>
    </w:pPr>
    <w:rPr>
      <w:rFonts w:ascii="Arial Narrow" w:eastAsiaTheme="majorEastAsia" w:hAnsi="Arial Narrow" w:cstheme="majorBidi"/>
      <w:noProof/>
      <w:snapToGrid/>
      <w:sz w:val="16"/>
      <w:lang w:eastAsia="en-AU" w:bidi="en-US"/>
    </w:rPr>
  </w:style>
  <w:style w:type="paragraph" w:customStyle="1" w:styleId="EndNoteBibliographyTitle">
    <w:name w:val="EndNote Bibliography Title"/>
    <w:basedOn w:val="Normal"/>
    <w:link w:val="EndNoteBibliographyTitleChar"/>
    <w:rsid w:val="00F66635"/>
    <w:pPr>
      <w:jc w:val="center"/>
    </w:pPr>
    <w:rPr>
      <w:noProof/>
      <w:lang w:val="en-US"/>
    </w:rPr>
  </w:style>
  <w:style w:type="character" w:customStyle="1" w:styleId="EndNoteBibliographyTitleChar">
    <w:name w:val="EndNote Bibliography Title Char"/>
    <w:basedOn w:val="ListParagraphChar"/>
    <w:link w:val="EndNoteBibliographyTitle"/>
    <w:rsid w:val="00F66635"/>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66635"/>
    <w:rPr>
      <w:noProof/>
      <w:lang w:val="en-US"/>
    </w:rPr>
  </w:style>
  <w:style w:type="character" w:customStyle="1" w:styleId="EndNoteBibliographyChar">
    <w:name w:val="EndNote Bibliography Char"/>
    <w:basedOn w:val="ListParagraphChar"/>
    <w:link w:val="EndNoteBibliography"/>
    <w:rsid w:val="00F66635"/>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A2E4D"/>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AB31D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374958013">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20625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EF40-8ABE-4F57-98D3-16CDE1F6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9148</Words>
  <Characters>51746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2016-06-21T06:56:00Z</dcterms:created>
  <dcterms:modified xsi:type="dcterms:W3CDTF">2016-06-22T04:44:00Z</dcterms:modified>
</cp:coreProperties>
</file>