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Default="00B60939" w:rsidP="00E92500">
      <w:pPr>
        <w:widowControl/>
      </w:pPr>
      <w:bookmarkStart w:id="0" w:name="_GoBack"/>
      <w:bookmarkEnd w:id="0"/>
    </w:p>
    <w:p w:rsidR="0028470D" w:rsidRDefault="001C7C59" w:rsidP="00AD0872">
      <w:pPr>
        <w:pStyle w:val="Heading1"/>
        <w:widowControl/>
        <w:jc w:val="left"/>
        <w:rPr>
          <w:sz w:val="28"/>
        </w:rPr>
      </w:pPr>
      <w:bookmarkStart w:id="1" w:name="_Toc441065555"/>
      <w:r>
        <w:rPr>
          <w:sz w:val="28"/>
        </w:rPr>
        <w:t>6.07</w:t>
      </w:r>
      <w:r w:rsidR="00B60939" w:rsidRPr="00207D00">
        <w:rPr>
          <w:sz w:val="28"/>
        </w:rPr>
        <w:tab/>
      </w:r>
      <w:r w:rsidR="0028470D">
        <w:rPr>
          <w:sz w:val="28"/>
        </w:rPr>
        <w:t>SECUKINUMAB</w:t>
      </w:r>
      <w:r w:rsidR="0028470D" w:rsidRPr="00207D00">
        <w:rPr>
          <w:sz w:val="28"/>
        </w:rPr>
        <w:t xml:space="preserve">, </w:t>
      </w:r>
      <w:r w:rsidR="00AD0872">
        <w:rPr>
          <w:sz w:val="28"/>
        </w:rPr>
        <w:br/>
      </w:r>
      <w:r w:rsidR="0028470D">
        <w:rPr>
          <w:caps w:val="0"/>
          <w:sz w:val="28"/>
        </w:rPr>
        <w:t>15</w:t>
      </w:r>
      <w:r w:rsidR="0072411B">
        <w:rPr>
          <w:caps w:val="0"/>
          <w:sz w:val="28"/>
        </w:rPr>
        <w:t>0 mg</w:t>
      </w:r>
      <w:r w:rsidR="0028470D">
        <w:rPr>
          <w:caps w:val="0"/>
          <w:sz w:val="28"/>
        </w:rPr>
        <w:t>/</w:t>
      </w:r>
      <w:r w:rsidR="0072411B">
        <w:rPr>
          <w:caps w:val="0"/>
          <w:sz w:val="28"/>
        </w:rPr>
        <w:t>1 mL</w:t>
      </w:r>
      <w:r w:rsidR="0028470D">
        <w:rPr>
          <w:caps w:val="0"/>
          <w:sz w:val="28"/>
        </w:rPr>
        <w:t xml:space="preserve"> pre-filled pen</w:t>
      </w:r>
      <w:r w:rsidR="0028470D" w:rsidRPr="00207D00">
        <w:rPr>
          <w:sz w:val="28"/>
        </w:rPr>
        <w:t xml:space="preserve">, </w:t>
      </w:r>
      <w:r w:rsidR="00AD0872">
        <w:rPr>
          <w:sz w:val="28"/>
        </w:rPr>
        <w:br/>
      </w:r>
      <w:r w:rsidR="0028470D">
        <w:rPr>
          <w:caps w:val="0"/>
          <w:sz w:val="28"/>
        </w:rPr>
        <w:t>Cosentyx</w:t>
      </w:r>
      <w:r w:rsidR="0028470D" w:rsidRPr="00207D00">
        <w:rPr>
          <w:sz w:val="28"/>
          <w:vertAlign w:val="superscript"/>
        </w:rPr>
        <w:t>®</w:t>
      </w:r>
      <w:r w:rsidR="0028470D" w:rsidRPr="00207D00">
        <w:rPr>
          <w:sz w:val="28"/>
        </w:rPr>
        <w:t xml:space="preserve">, </w:t>
      </w:r>
      <w:r w:rsidR="00AD0872">
        <w:rPr>
          <w:sz w:val="28"/>
        </w:rPr>
        <w:br/>
      </w:r>
      <w:r w:rsidR="0028470D">
        <w:rPr>
          <w:caps w:val="0"/>
          <w:sz w:val="28"/>
        </w:rPr>
        <w:t>Novartis Pharmaceuticals Australia Pty Ltd</w:t>
      </w:r>
      <w:r w:rsidR="0028470D" w:rsidRPr="00207D00">
        <w:rPr>
          <w:sz w:val="28"/>
        </w:rPr>
        <w:t>.</w:t>
      </w:r>
      <w:bookmarkEnd w:id="1"/>
    </w:p>
    <w:p w:rsidR="00B60939" w:rsidRPr="00207D00" w:rsidRDefault="00B60939" w:rsidP="00E92500">
      <w:pPr>
        <w:pStyle w:val="BodyText"/>
        <w:widowControl/>
      </w:pPr>
    </w:p>
    <w:p w:rsidR="00433044" w:rsidRDefault="00433044" w:rsidP="00A541BE">
      <w:pPr>
        <w:widowControl/>
        <w:jc w:val="left"/>
      </w:pPr>
    </w:p>
    <w:p w:rsidR="001C1121" w:rsidRPr="00AD0872" w:rsidRDefault="001C1121" w:rsidP="00AD0872">
      <w:pPr>
        <w:pStyle w:val="PBACHeading1"/>
      </w:pPr>
      <w:bookmarkStart w:id="2" w:name="_Toc441065557"/>
      <w:r w:rsidRPr="00AD0872">
        <w:t>Purpose of Application</w:t>
      </w:r>
      <w:bookmarkEnd w:id="2"/>
    </w:p>
    <w:p w:rsidR="001C1121" w:rsidRPr="00BA3352" w:rsidRDefault="001C1121" w:rsidP="00E92500">
      <w:pPr>
        <w:widowControl/>
        <w:rPr>
          <w:i/>
          <w:szCs w:val="22"/>
        </w:rPr>
      </w:pPr>
    </w:p>
    <w:p w:rsidR="001C1121" w:rsidRPr="00BA3352" w:rsidRDefault="00C42D1E" w:rsidP="00D33470">
      <w:pPr>
        <w:pStyle w:val="ListParagraph"/>
        <w:widowControl/>
        <w:numPr>
          <w:ilvl w:val="1"/>
          <w:numId w:val="1"/>
        </w:numPr>
        <w:rPr>
          <w:szCs w:val="22"/>
        </w:rPr>
      </w:pPr>
      <w:r>
        <w:t>To request an</w:t>
      </w:r>
      <w:r w:rsidR="003D0B20">
        <w:t xml:space="preserve"> </w:t>
      </w:r>
      <w:r w:rsidR="001C1121" w:rsidRPr="00BA3352">
        <w:t>Authority Required listing for secukinumab for treatment of ankylosing spondylitis.</w:t>
      </w:r>
    </w:p>
    <w:p w:rsidR="001C1121" w:rsidRDefault="001C1121" w:rsidP="00E92500">
      <w:pPr>
        <w:widowControl/>
      </w:pPr>
    </w:p>
    <w:p w:rsidR="00CB21D6" w:rsidRPr="00BA3352" w:rsidRDefault="00CB21D6" w:rsidP="00E92500">
      <w:pPr>
        <w:widowControl/>
      </w:pPr>
    </w:p>
    <w:p w:rsidR="001C1121" w:rsidRPr="00BA3352" w:rsidRDefault="001C1121" w:rsidP="00E92500">
      <w:pPr>
        <w:pStyle w:val="PBACHeading1"/>
      </w:pPr>
      <w:bookmarkStart w:id="3" w:name="_Toc441065558"/>
      <w:r w:rsidRPr="00BA3352">
        <w:t>Requested listing</w:t>
      </w:r>
      <w:bookmarkEnd w:id="3"/>
    </w:p>
    <w:p w:rsidR="001C1121" w:rsidRPr="00BA3352" w:rsidRDefault="001C1121" w:rsidP="00E92500">
      <w:pPr>
        <w:widowControl/>
      </w:pPr>
    </w:p>
    <w:p w:rsidR="008432E2" w:rsidRPr="00BA3352" w:rsidRDefault="001C1121" w:rsidP="00D33470">
      <w:pPr>
        <w:pStyle w:val="ListParagraph"/>
        <w:widowControl/>
        <w:numPr>
          <w:ilvl w:val="1"/>
          <w:numId w:val="1"/>
        </w:numPr>
        <w:rPr>
          <w:szCs w:val="22"/>
        </w:rPr>
      </w:pPr>
      <w:r w:rsidRPr="00BA3352">
        <w:rPr>
          <w:szCs w:val="22"/>
        </w:rPr>
        <w:t xml:space="preserve">The requested listing </w:t>
      </w:r>
      <w:r w:rsidR="001D409E">
        <w:rPr>
          <w:szCs w:val="22"/>
        </w:rPr>
        <w:t>wa</w:t>
      </w:r>
      <w:r w:rsidR="001D409E" w:rsidRPr="00BA3352">
        <w:rPr>
          <w:szCs w:val="22"/>
        </w:rPr>
        <w:t xml:space="preserve">s </w:t>
      </w:r>
      <w:r w:rsidRPr="00BA3352">
        <w:rPr>
          <w:szCs w:val="22"/>
        </w:rPr>
        <w:t xml:space="preserve">similar to that of </w:t>
      </w:r>
      <w:r w:rsidR="00587EBF">
        <w:rPr>
          <w:szCs w:val="22"/>
        </w:rPr>
        <w:t xml:space="preserve">anti-TNFα bDMARDs </w:t>
      </w:r>
      <w:r w:rsidRPr="00BA3352">
        <w:rPr>
          <w:szCs w:val="22"/>
        </w:rPr>
        <w:t>adalimumab, etanercept, golimumab, infliximab and certolizumab, currently listed for treatment of ankylosing spondylitis.</w:t>
      </w:r>
    </w:p>
    <w:p w:rsidR="00AF6420" w:rsidRPr="00BA3352" w:rsidRDefault="00AF6420" w:rsidP="00E92500">
      <w:pPr>
        <w:widowControl/>
        <w:jc w:val="left"/>
        <w:rPr>
          <w:b/>
        </w:rPr>
      </w:pPr>
    </w:p>
    <w:p w:rsidR="001C1121" w:rsidRPr="00BA3352" w:rsidRDefault="001C1121" w:rsidP="00E92500">
      <w:pPr>
        <w:widowControl/>
        <w:ind w:firstLine="720"/>
        <w:rPr>
          <w:rFonts w:ascii="Arial Narrow" w:hAnsi="Arial Narrow"/>
          <w:i/>
          <w:sz w:val="20"/>
        </w:rPr>
      </w:pPr>
      <w:r w:rsidRPr="00BA3352">
        <w:rPr>
          <w:rFonts w:ascii="Arial Narrow" w:hAnsi="Arial Narrow"/>
          <w:b/>
          <w:i/>
          <w:sz w:val="20"/>
        </w:rPr>
        <w:t>Initial treatment</w:t>
      </w:r>
    </w:p>
    <w:tbl>
      <w:tblPr>
        <w:tblW w:w="4633" w:type="pct"/>
        <w:tblInd w:w="851" w:type="dxa"/>
        <w:tblLayout w:type="fixed"/>
        <w:tblCellMar>
          <w:left w:w="28" w:type="dxa"/>
          <w:right w:w="28" w:type="dxa"/>
        </w:tblCellMar>
        <w:tblLook w:val="04A0" w:firstRow="1" w:lastRow="0" w:firstColumn="1" w:lastColumn="0" w:noHBand="0" w:noVBand="1"/>
      </w:tblPr>
      <w:tblGrid>
        <w:gridCol w:w="2138"/>
        <w:gridCol w:w="1000"/>
        <w:gridCol w:w="857"/>
        <w:gridCol w:w="714"/>
        <w:gridCol w:w="1141"/>
        <w:gridCol w:w="853"/>
        <w:gridCol w:w="1712"/>
      </w:tblGrid>
      <w:tr w:rsidR="001C1121" w:rsidRPr="00BA3352" w:rsidTr="00110DFF">
        <w:trPr>
          <w:cantSplit/>
          <w:trHeight w:val="471"/>
        </w:trPr>
        <w:tc>
          <w:tcPr>
            <w:tcW w:w="1271" w:type="pct"/>
            <w:tcBorders>
              <w:top w:val="nil"/>
              <w:left w:val="nil"/>
              <w:bottom w:val="single" w:sz="4" w:space="0" w:color="auto"/>
              <w:right w:val="nil"/>
            </w:tcBorders>
            <w:hideMark/>
          </w:tcPr>
          <w:p w:rsidR="001C1121" w:rsidRPr="00BA3352" w:rsidRDefault="001C1121" w:rsidP="00E92500">
            <w:pPr>
              <w:keepNext/>
              <w:widowControl/>
              <w:rPr>
                <w:rFonts w:ascii="Arial Narrow" w:hAnsi="Arial Narrow"/>
                <w:sz w:val="20"/>
              </w:rPr>
            </w:pPr>
            <w:r w:rsidRPr="00BA3352">
              <w:rPr>
                <w:rFonts w:ascii="Arial Narrow" w:hAnsi="Arial Narrow"/>
                <w:sz w:val="20"/>
              </w:rPr>
              <w:t>Name, Restriction,</w:t>
            </w:r>
          </w:p>
          <w:p w:rsidR="001C1121" w:rsidRPr="00BA3352" w:rsidRDefault="001C1121" w:rsidP="00E92500">
            <w:pPr>
              <w:keepNext/>
              <w:widowControl/>
              <w:rPr>
                <w:rFonts w:ascii="Arial Narrow" w:hAnsi="Arial Narrow"/>
                <w:sz w:val="20"/>
              </w:rPr>
            </w:pPr>
            <w:r w:rsidRPr="00BA3352">
              <w:rPr>
                <w:rFonts w:ascii="Arial Narrow" w:hAnsi="Arial Narrow"/>
                <w:sz w:val="20"/>
              </w:rPr>
              <w:t>Manner of administration and form</w:t>
            </w:r>
          </w:p>
        </w:tc>
        <w:tc>
          <w:tcPr>
            <w:tcW w:w="594" w:type="pct"/>
            <w:tcBorders>
              <w:top w:val="nil"/>
              <w:left w:val="nil"/>
              <w:bottom w:val="single" w:sz="4" w:space="0" w:color="auto"/>
              <w:right w:val="nil"/>
            </w:tcBorders>
            <w:vAlign w:val="center"/>
            <w:hideMark/>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Max.</w:t>
            </w: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Qty (packs)</w:t>
            </w:r>
          </w:p>
        </w:tc>
        <w:tc>
          <w:tcPr>
            <w:tcW w:w="509" w:type="pct"/>
            <w:tcBorders>
              <w:top w:val="nil"/>
              <w:left w:val="nil"/>
              <w:bottom w:val="single" w:sz="4" w:space="0" w:color="auto"/>
              <w:right w:val="nil"/>
            </w:tcBorders>
            <w:vAlign w:val="center"/>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Max</w:t>
            </w: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Qty (units)</w:t>
            </w:r>
          </w:p>
        </w:tc>
        <w:tc>
          <w:tcPr>
            <w:tcW w:w="424" w:type="pct"/>
            <w:tcBorders>
              <w:top w:val="nil"/>
              <w:left w:val="nil"/>
              <w:bottom w:val="single" w:sz="4" w:space="0" w:color="auto"/>
              <w:right w:val="nil"/>
            </w:tcBorders>
            <w:vAlign w:val="center"/>
            <w:hideMark/>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№.of</w:t>
            </w: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Rpts</w:t>
            </w:r>
          </w:p>
        </w:tc>
        <w:tc>
          <w:tcPr>
            <w:tcW w:w="678" w:type="pct"/>
            <w:tcBorders>
              <w:top w:val="nil"/>
              <w:left w:val="nil"/>
              <w:bottom w:val="single" w:sz="4" w:space="0" w:color="auto"/>
              <w:right w:val="nil"/>
            </w:tcBorders>
            <w:vAlign w:val="center"/>
            <w:hideMark/>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Dispensed Price for Max. Qty</w:t>
            </w:r>
          </w:p>
        </w:tc>
        <w:tc>
          <w:tcPr>
            <w:tcW w:w="1524" w:type="pct"/>
            <w:gridSpan w:val="2"/>
            <w:tcBorders>
              <w:top w:val="nil"/>
              <w:left w:val="nil"/>
              <w:bottom w:val="single" w:sz="4" w:space="0" w:color="auto"/>
              <w:right w:val="nil"/>
            </w:tcBorders>
            <w:vAlign w:val="center"/>
            <w:hideMark/>
          </w:tcPr>
          <w:p w:rsidR="001C1121" w:rsidRPr="00BA3352" w:rsidRDefault="001C1121" w:rsidP="00E92500">
            <w:pPr>
              <w:keepNext/>
              <w:widowControl/>
              <w:jc w:val="center"/>
              <w:rPr>
                <w:rFonts w:ascii="Arial Narrow" w:hAnsi="Arial Narrow"/>
                <w:sz w:val="20"/>
                <w:lang w:val="fr-FR"/>
              </w:rPr>
            </w:pPr>
            <w:r w:rsidRPr="00BA3352">
              <w:rPr>
                <w:rFonts w:ascii="Arial Narrow" w:hAnsi="Arial Narrow"/>
                <w:sz w:val="20"/>
              </w:rPr>
              <w:t>Proprietary Name and Manufacturer</w:t>
            </w:r>
          </w:p>
        </w:tc>
      </w:tr>
      <w:tr w:rsidR="00110DFF" w:rsidRPr="00BA3352" w:rsidTr="00110DFF">
        <w:trPr>
          <w:cantSplit/>
          <w:trHeight w:val="577"/>
        </w:trPr>
        <w:tc>
          <w:tcPr>
            <w:tcW w:w="1271" w:type="pct"/>
            <w:hideMark/>
          </w:tcPr>
          <w:p w:rsidR="001C1121" w:rsidRPr="00BA3352" w:rsidRDefault="001C1121" w:rsidP="00E92500">
            <w:pPr>
              <w:keepNext/>
              <w:widowControl/>
              <w:rPr>
                <w:rFonts w:ascii="Arial Narrow" w:hAnsi="Arial Narrow"/>
                <w:sz w:val="20"/>
              </w:rPr>
            </w:pPr>
            <w:r w:rsidRPr="00BA3352">
              <w:rPr>
                <w:rFonts w:ascii="Arial Narrow" w:hAnsi="Arial Narrow"/>
                <w:smallCaps/>
                <w:sz w:val="20"/>
              </w:rPr>
              <w:t>Secukinumab</w:t>
            </w:r>
          </w:p>
          <w:p w:rsidR="001C1121" w:rsidRPr="00BA3352" w:rsidRDefault="001C1121" w:rsidP="00E92500">
            <w:pPr>
              <w:keepNext/>
              <w:widowControl/>
              <w:rPr>
                <w:rFonts w:ascii="Arial Narrow" w:hAnsi="Arial Narrow"/>
                <w:sz w:val="20"/>
              </w:rPr>
            </w:pPr>
            <w:r w:rsidRPr="00BA3352">
              <w:rPr>
                <w:rFonts w:ascii="Arial Narrow" w:hAnsi="Arial Narrow"/>
                <w:sz w:val="20"/>
              </w:rPr>
              <w:t>Injections, 150 mg in 1 mL pre-filled pen, 1</w:t>
            </w:r>
          </w:p>
        </w:tc>
        <w:tc>
          <w:tcPr>
            <w:tcW w:w="594" w:type="pct"/>
            <w:vAlign w:val="center"/>
          </w:tcPr>
          <w:p w:rsidR="001C1121" w:rsidRPr="00BA3352" w:rsidRDefault="001C1121" w:rsidP="00E92500">
            <w:pPr>
              <w:keepNext/>
              <w:widowControl/>
              <w:jc w:val="center"/>
              <w:rPr>
                <w:rFonts w:ascii="Arial Narrow" w:hAnsi="Arial Narrow"/>
                <w:sz w:val="20"/>
              </w:rPr>
            </w:pP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5</w:t>
            </w:r>
          </w:p>
        </w:tc>
        <w:tc>
          <w:tcPr>
            <w:tcW w:w="509" w:type="pct"/>
            <w:vAlign w:val="center"/>
          </w:tcPr>
          <w:p w:rsidR="001C1121" w:rsidRPr="00BA3352" w:rsidRDefault="001C1121" w:rsidP="00E92500">
            <w:pPr>
              <w:keepNext/>
              <w:widowControl/>
              <w:jc w:val="center"/>
              <w:rPr>
                <w:rFonts w:ascii="Arial Narrow" w:hAnsi="Arial Narrow"/>
                <w:sz w:val="20"/>
              </w:rPr>
            </w:pP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1</w:t>
            </w:r>
          </w:p>
        </w:tc>
        <w:tc>
          <w:tcPr>
            <w:tcW w:w="424" w:type="pct"/>
            <w:vAlign w:val="center"/>
          </w:tcPr>
          <w:p w:rsidR="001C1121" w:rsidRPr="00BA3352" w:rsidRDefault="001C1121" w:rsidP="00E92500">
            <w:pPr>
              <w:keepNext/>
              <w:widowControl/>
              <w:jc w:val="center"/>
              <w:rPr>
                <w:rFonts w:ascii="Arial Narrow" w:hAnsi="Arial Narrow"/>
                <w:sz w:val="20"/>
              </w:rPr>
            </w:pP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0</w:t>
            </w:r>
          </w:p>
        </w:tc>
        <w:tc>
          <w:tcPr>
            <w:tcW w:w="678" w:type="pct"/>
            <w:vAlign w:val="center"/>
          </w:tcPr>
          <w:p w:rsidR="001C1121" w:rsidRPr="00BA3352" w:rsidRDefault="001C1121" w:rsidP="00E92500">
            <w:pPr>
              <w:keepNext/>
              <w:widowControl/>
              <w:jc w:val="center"/>
              <w:rPr>
                <w:rFonts w:ascii="Arial Narrow" w:hAnsi="Arial Narrow"/>
                <w:sz w:val="20"/>
              </w:rPr>
            </w:pP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w:t>
            </w:r>
            <w:r w:rsidR="00BD1420">
              <w:rPr>
                <w:rFonts w:ascii="Arial Narrow" w:hAnsi="Arial Narrow"/>
                <w:noProof/>
                <w:color w:val="000000"/>
                <w:sz w:val="20"/>
                <w:highlight w:val="black"/>
              </w:rPr>
              <w:t>'''''''''''''''''''''</w:t>
            </w:r>
          </w:p>
        </w:tc>
        <w:tc>
          <w:tcPr>
            <w:tcW w:w="507" w:type="pct"/>
            <w:vAlign w:val="center"/>
            <w:hideMark/>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Cosentyx</w:t>
            </w:r>
          </w:p>
        </w:tc>
        <w:tc>
          <w:tcPr>
            <w:tcW w:w="1017" w:type="pct"/>
            <w:vAlign w:val="center"/>
            <w:hideMark/>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Novartis Pharmaceuticals</w:t>
            </w:r>
          </w:p>
        </w:tc>
      </w:tr>
    </w:tbl>
    <w:p w:rsidR="001C1121" w:rsidRPr="00BA3352" w:rsidRDefault="001C1121" w:rsidP="00E92500">
      <w:pPr>
        <w:keepNext/>
        <w:widowControl/>
        <w:rPr>
          <w:rFonts w:ascii="Arial Narrow" w:hAnsi="Arial Narrow"/>
          <w:i/>
          <w:sz w:val="20"/>
        </w:rPr>
      </w:pPr>
    </w:p>
    <w:tbl>
      <w:tblPr>
        <w:tblW w:w="4620" w:type="pct"/>
        <w:tblInd w:w="851" w:type="dxa"/>
        <w:tblCellMar>
          <w:left w:w="28" w:type="dxa"/>
          <w:right w:w="28" w:type="dxa"/>
        </w:tblCellMar>
        <w:tblLook w:val="04A0" w:firstRow="1" w:lastRow="0" w:firstColumn="1" w:lastColumn="0" w:noHBand="0" w:noVBand="1"/>
      </w:tblPr>
      <w:tblGrid>
        <w:gridCol w:w="2142"/>
        <w:gridCol w:w="999"/>
        <w:gridCol w:w="918"/>
        <w:gridCol w:w="651"/>
        <w:gridCol w:w="1141"/>
        <w:gridCol w:w="997"/>
        <w:gridCol w:w="1544"/>
      </w:tblGrid>
      <w:tr w:rsidR="001C1121" w:rsidRPr="00BA3352" w:rsidTr="00110DFF">
        <w:trPr>
          <w:cantSplit/>
          <w:trHeight w:val="577"/>
        </w:trPr>
        <w:tc>
          <w:tcPr>
            <w:tcW w:w="1276" w:type="pct"/>
            <w:hideMark/>
          </w:tcPr>
          <w:p w:rsidR="001C1121" w:rsidRPr="00BA3352" w:rsidRDefault="001C1121" w:rsidP="00E92500">
            <w:pPr>
              <w:keepNext/>
              <w:widowControl/>
              <w:rPr>
                <w:rFonts w:ascii="Arial Narrow" w:hAnsi="Arial Narrow"/>
                <w:sz w:val="20"/>
              </w:rPr>
            </w:pPr>
            <w:r w:rsidRPr="00BA3352">
              <w:rPr>
                <w:rFonts w:ascii="Arial Narrow" w:hAnsi="Arial Narrow"/>
                <w:smallCaps/>
                <w:sz w:val="20"/>
              </w:rPr>
              <w:t>Secukinumab</w:t>
            </w:r>
          </w:p>
          <w:p w:rsidR="001C1121" w:rsidRPr="00BA3352" w:rsidRDefault="001C1121" w:rsidP="00E92500">
            <w:pPr>
              <w:keepNext/>
              <w:widowControl/>
              <w:rPr>
                <w:rFonts w:ascii="Arial Narrow" w:hAnsi="Arial Narrow"/>
                <w:sz w:val="20"/>
              </w:rPr>
            </w:pPr>
            <w:r w:rsidRPr="00BA3352">
              <w:rPr>
                <w:rFonts w:ascii="Arial Narrow" w:hAnsi="Arial Narrow"/>
                <w:sz w:val="20"/>
              </w:rPr>
              <w:t>Injections, 150 mg in 1 mL pre-filled pen, 1</w:t>
            </w:r>
          </w:p>
        </w:tc>
        <w:tc>
          <w:tcPr>
            <w:tcW w:w="595" w:type="pct"/>
            <w:vAlign w:val="center"/>
          </w:tcPr>
          <w:p w:rsidR="001C1121" w:rsidRPr="00BA3352" w:rsidRDefault="001C1121" w:rsidP="00E92500">
            <w:pPr>
              <w:keepNext/>
              <w:widowControl/>
              <w:jc w:val="center"/>
              <w:rPr>
                <w:rFonts w:ascii="Arial Narrow" w:hAnsi="Arial Narrow"/>
                <w:sz w:val="20"/>
              </w:rPr>
            </w:pP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1</w:t>
            </w:r>
          </w:p>
        </w:tc>
        <w:tc>
          <w:tcPr>
            <w:tcW w:w="547" w:type="pct"/>
            <w:vAlign w:val="center"/>
          </w:tcPr>
          <w:p w:rsidR="001C1121" w:rsidRPr="00BA3352" w:rsidRDefault="001C1121" w:rsidP="00E92500">
            <w:pPr>
              <w:keepNext/>
              <w:widowControl/>
              <w:jc w:val="center"/>
              <w:rPr>
                <w:rFonts w:ascii="Arial Narrow" w:hAnsi="Arial Narrow"/>
                <w:sz w:val="20"/>
              </w:rPr>
            </w:pP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1</w:t>
            </w:r>
          </w:p>
        </w:tc>
        <w:tc>
          <w:tcPr>
            <w:tcW w:w="388" w:type="pct"/>
            <w:vAlign w:val="center"/>
          </w:tcPr>
          <w:p w:rsidR="001C1121" w:rsidRPr="00BA3352" w:rsidRDefault="001C1121" w:rsidP="00E92500">
            <w:pPr>
              <w:keepNext/>
              <w:widowControl/>
              <w:jc w:val="center"/>
              <w:rPr>
                <w:rFonts w:ascii="Arial Narrow" w:hAnsi="Arial Narrow"/>
                <w:sz w:val="20"/>
              </w:rPr>
            </w:pP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1</w:t>
            </w:r>
          </w:p>
        </w:tc>
        <w:tc>
          <w:tcPr>
            <w:tcW w:w="680" w:type="pct"/>
            <w:vAlign w:val="center"/>
          </w:tcPr>
          <w:p w:rsidR="001C1121" w:rsidRPr="00BA3352" w:rsidRDefault="001C1121" w:rsidP="00E92500">
            <w:pPr>
              <w:keepNext/>
              <w:widowControl/>
              <w:jc w:val="center"/>
              <w:rPr>
                <w:rFonts w:ascii="Arial Narrow" w:hAnsi="Arial Narrow"/>
                <w:sz w:val="20"/>
              </w:rPr>
            </w:pP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w:t>
            </w:r>
            <w:r w:rsidR="00BD1420">
              <w:rPr>
                <w:rFonts w:ascii="Arial Narrow" w:hAnsi="Arial Narrow"/>
                <w:noProof/>
                <w:color w:val="000000"/>
                <w:sz w:val="20"/>
                <w:highlight w:val="black"/>
              </w:rPr>
              <w:t>'''''''''''''''''''''''</w:t>
            </w:r>
          </w:p>
        </w:tc>
        <w:tc>
          <w:tcPr>
            <w:tcW w:w="594" w:type="pct"/>
            <w:vAlign w:val="center"/>
            <w:hideMark/>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Cosentyx</w:t>
            </w:r>
          </w:p>
        </w:tc>
        <w:tc>
          <w:tcPr>
            <w:tcW w:w="921" w:type="pct"/>
            <w:vAlign w:val="center"/>
            <w:hideMark/>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Novartis Pharmaceuticals</w:t>
            </w:r>
          </w:p>
        </w:tc>
      </w:tr>
    </w:tbl>
    <w:p w:rsidR="001C1121" w:rsidRPr="00BA3352" w:rsidRDefault="001C1121" w:rsidP="00E92500">
      <w:pPr>
        <w:widowControl/>
        <w:rPr>
          <w:rFonts w:ascii="Arial Narrow" w:hAnsi="Arial Narrow"/>
          <w:b/>
          <w:i/>
          <w:sz w:val="20"/>
        </w:rPr>
      </w:pPr>
    </w:p>
    <w:p w:rsidR="00264209" w:rsidRDefault="00264209" w:rsidP="00E92500">
      <w:pPr>
        <w:widowControl/>
        <w:ind w:left="720"/>
        <w:rPr>
          <w:rFonts w:ascii="Arial Narrow" w:hAnsi="Arial Narrow"/>
          <w:b/>
          <w:i/>
          <w:sz w:val="20"/>
        </w:rPr>
      </w:pPr>
    </w:p>
    <w:p w:rsidR="00264209" w:rsidRDefault="00264209" w:rsidP="00E92500">
      <w:pPr>
        <w:widowControl/>
        <w:ind w:left="720"/>
        <w:rPr>
          <w:rFonts w:ascii="Arial Narrow" w:hAnsi="Arial Narrow"/>
          <w:b/>
          <w:i/>
          <w:sz w:val="20"/>
        </w:rPr>
      </w:pPr>
    </w:p>
    <w:p w:rsidR="001C1121" w:rsidRPr="00BA3352" w:rsidRDefault="001C1121" w:rsidP="00E92500">
      <w:pPr>
        <w:widowControl/>
        <w:ind w:left="720"/>
        <w:rPr>
          <w:rFonts w:ascii="Arial Narrow" w:hAnsi="Arial Narrow"/>
          <w:i/>
          <w:sz w:val="20"/>
        </w:rPr>
      </w:pPr>
      <w:r w:rsidRPr="00BA3352">
        <w:rPr>
          <w:rFonts w:ascii="Arial Narrow" w:hAnsi="Arial Narrow"/>
          <w:b/>
          <w:i/>
          <w:sz w:val="20"/>
        </w:rPr>
        <w:t>Continuing treatment</w:t>
      </w:r>
    </w:p>
    <w:tbl>
      <w:tblPr>
        <w:tblW w:w="4633" w:type="pct"/>
        <w:tblInd w:w="851" w:type="dxa"/>
        <w:tblCellMar>
          <w:left w:w="28" w:type="dxa"/>
          <w:right w:w="28" w:type="dxa"/>
        </w:tblCellMar>
        <w:tblLook w:val="04A0" w:firstRow="1" w:lastRow="0" w:firstColumn="1" w:lastColumn="0" w:noHBand="0" w:noVBand="1"/>
      </w:tblPr>
      <w:tblGrid>
        <w:gridCol w:w="2118"/>
        <w:gridCol w:w="980"/>
        <w:gridCol w:w="978"/>
        <w:gridCol w:w="556"/>
        <w:gridCol w:w="1125"/>
        <w:gridCol w:w="1389"/>
        <w:gridCol w:w="1269"/>
      </w:tblGrid>
      <w:tr w:rsidR="00BC179D" w:rsidRPr="00BA3352" w:rsidTr="00110DFF">
        <w:trPr>
          <w:cantSplit/>
          <w:trHeight w:val="471"/>
        </w:trPr>
        <w:tc>
          <w:tcPr>
            <w:tcW w:w="1270" w:type="pct"/>
            <w:tcBorders>
              <w:top w:val="nil"/>
              <w:left w:val="nil"/>
              <w:bottom w:val="single" w:sz="4" w:space="0" w:color="auto"/>
              <w:right w:val="nil"/>
            </w:tcBorders>
            <w:hideMark/>
          </w:tcPr>
          <w:p w:rsidR="001C1121" w:rsidRPr="00BA3352" w:rsidRDefault="001C1121" w:rsidP="00E92500">
            <w:pPr>
              <w:keepNext/>
              <w:widowControl/>
              <w:rPr>
                <w:rFonts w:ascii="Arial Narrow" w:hAnsi="Arial Narrow"/>
                <w:sz w:val="20"/>
              </w:rPr>
            </w:pPr>
            <w:r w:rsidRPr="00BA3352">
              <w:rPr>
                <w:rFonts w:ascii="Arial Narrow" w:hAnsi="Arial Narrow"/>
                <w:sz w:val="20"/>
              </w:rPr>
              <w:t>Name, Restriction,</w:t>
            </w:r>
          </w:p>
          <w:p w:rsidR="001C1121" w:rsidRPr="00BA3352" w:rsidRDefault="001C1121" w:rsidP="00E92500">
            <w:pPr>
              <w:keepNext/>
              <w:widowControl/>
              <w:rPr>
                <w:rFonts w:ascii="Arial Narrow" w:hAnsi="Arial Narrow"/>
                <w:sz w:val="20"/>
              </w:rPr>
            </w:pPr>
            <w:r w:rsidRPr="00BA3352">
              <w:rPr>
                <w:rFonts w:ascii="Arial Narrow" w:hAnsi="Arial Narrow"/>
                <w:sz w:val="20"/>
              </w:rPr>
              <w:t>Manner of administration and form</w:t>
            </w:r>
          </w:p>
        </w:tc>
        <w:tc>
          <w:tcPr>
            <w:tcW w:w="593" w:type="pct"/>
            <w:tcBorders>
              <w:top w:val="nil"/>
              <w:left w:val="nil"/>
              <w:bottom w:val="single" w:sz="4" w:space="0" w:color="auto"/>
              <w:right w:val="nil"/>
            </w:tcBorders>
            <w:vAlign w:val="center"/>
            <w:hideMark/>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Max.</w:t>
            </w: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Qty (packs)</w:t>
            </w:r>
          </w:p>
        </w:tc>
        <w:tc>
          <w:tcPr>
            <w:tcW w:w="592" w:type="pct"/>
            <w:tcBorders>
              <w:top w:val="nil"/>
              <w:left w:val="nil"/>
              <w:bottom w:val="single" w:sz="4" w:space="0" w:color="auto"/>
              <w:right w:val="nil"/>
            </w:tcBorders>
            <w:vAlign w:val="center"/>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Max</w:t>
            </w: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Qty (units)</w:t>
            </w:r>
          </w:p>
        </w:tc>
        <w:tc>
          <w:tcPr>
            <w:tcW w:w="341" w:type="pct"/>
            <w:tcBorders>
              <w:top w:val="nil"/>
              <w:left w:val="nil"/>
              <w:bottom w:val="single" w:sz="4" w:space="0" w:color="auto"/>
              <w:right w:val="nil"/>
            </w:tcBorders>
            <w:vAlign w:val="center"/>
            <w:hideMark/>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№.of</w:t>
            </w: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Rpts</w:t>
            </w:r>
          </w:p>
        </w:tc>
        <w:tc>
          <w:tcPr>
            <w:tcW w:w="679" w:type="pct"/>
            <w:tcBorders>
              <w:top w:val="nil"/>
              <w:left w:val="nil"/>
              <w:bottom w:val="single" w:sz="4" w:space="0" w:color="auto"/>
              <w:right w:val="nil"/>
            </w:tcBorders>
            <w:vAlign w:val="center"/>
            <w:hideMark/>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Dispensed Price for Max. Qty</w:t>
            </w:r>
          </w:p>
        </w:tc>
        <w:tc>
          <w:tcPr>
            <w:tcW w:w="1525" w:type="pct"/>
            <w:gridSpan w:val="2"/>
            <w:tcBorders>
              <w:top w:val="nil"/>
              <w:left w:val="nil"/>
              <w:bottom w:val="single" w:sz="4" w:space="0" w:color="auto"/>
              <w:right w:val="nil"/>
            </w:tcBorders>
            <w:vAlign w:val="center"/>
            <w:hideMark/>
          </w:tcPr>
          <w:p w:rsidR="001C1121" w:rsidRPr="00BA3352" w:rsidRDefault="001C1121" w:rsidP="00E92500">
            <w:pPr>
              <w:keepNext/>
              <w:widowControl/>
              <w:jc w:val="center"/>
              <w:rPr>
                <w:rFonts w:ascii="Arial Narrow" w:hAnsi="Arial Narrow"/>
                <w:sz w:val="20"/>
                <w:lang w:val="fr-FR"/>
              </w:rPr>
            </w:pPr>
            <w:r w:rsidRPr="00BA3352">
              <w:rPr>
                <w:rFonts w:ascii="Arial Narrow" w:hAnsi="Arial Narrow"/>
                <w:sz w:val="20"/>
              </w:rPr>
              <w:t>Proprietary Name and Manufacturer</w:t>
            </w:r>
          </w:p>
        </w:tc>
      </w:tr>
      <w:tr w:rsidR="00BC179D" w:rsidRPr="00BA3352" w:rsidTr="00110DFF">
        <w:trPr>
          <w:cantSplit/>
          <w:trHeight w:val="577"/>
        </w:trPr>
        <w:tc>
          <w:tcPr>
            <w:tcW w:w="1270" w:type="pct"/>
            <w:hideMark/>
          </w:tcPr>
          <w:p w:rsidR="001C1121" w:rsidRPr="00BA3352" w:rsidRDefault="001C1121" w:rsidP="00E92500">
            <w:pPr>
              <w:keepNext/>
              <w:widowControl/>
              <w:rPr>
                <w:rFonts w:ascii="Arial Narrow" w:hAnsi="Arial Narrow"/>
                <w:sz w:val="20"/>
              </w:rPr>
            </w:pPr>
            <w:r w:rsidRPr="00BA3352">
              <w:rPr>
                <w:rFonts w:ascii="Arial Narrow" w:hAnsi="Arial Narrow"/>
                <w:smallCaps/>
                <w:sz w:val="20"/>
              </w:rPr>
              <w:t>Secukinumab</w:t>
            </w:r>
          </w:p>
          <w:p w:rsidR="001C1121" w:rsidRPr="00BA3352" w:rsidRDefault="001C1121" w:rsidP="00E92500">
            <w:pPr>
              <w:keepNext/>
              <w:widowControl/>
              <w:rPr>
                <w:rFonts w:ascii="Arial Narrow" w:hAnsi="Arial Narrow"/>
                <w:sz w:val="20"/>
              </w:rPr>
            </w:pPr>
            <w:r w:rsidRPr="00BA3352">
              <w:rPr>
                <w:rFonts w:ascii="Arial Narrow" w:hAnsi="Arial Narrow"/>
                <w:sz w:val="20"/>
              </w:rPr>
              <w:t>Injections, 150 mg in 1 mL pre-filled pen, 1</w:t>
            </w:r>
          </w:p>
        </w:tc>
        <w:tc>
          <w:tcPr>
            <w:tcW w:w="593" w:type="pct"/>
            <w:vAlign w:val="center"/>
          </w:tcPr>
          <w:p w:rsidR="001C1121" w:rsidRPr="00BA3352" w:rsidRDefault="001C1121" w:rsidP="00E92500">
            <w:pPr>
              <w:keepNext/>
              <w:widowControl/>
              <w:jc w:val="center"/>
              <w:rPr>
                <w:rFonts w:ascii="Arial Narrow" w:hAnsi="Arial Narrow"/>
                <w:sz w:val="20"/>
              </w:rPr>
            </w:pP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1</w:t>
            </w:r>
          </w:p>
        </w:tc>
        <w:tc>
          <w:tcPr>
            <w:tcW w:w="592" w:type="pct"/>
            <w:vAlign w:val="center"/>
          </w:tcPr>
          <w:p w:rsidR="001C1121" w:rsidRPr="00BA3352" w:rsidRDefault="001C1121" w:rsidP="00E92500">
            <w:pPr>
              <w:keepNext/>
              <w:widowControl/>
              <w:jc w:val="center"/>
              <w:rPr>
                <w:rFonts w:ascii="Arial Narrow" w:hAnsi="Arial Narrow"/>
                <w:sz w:val="20"/>
              </w:rPr>
            </w:pP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1</w:t>
            </w:r>
          </w:p>
        </w:tc>
        <w:tc>
          <w:tcPr>
            <w:tcW w:w="341" w:type="pct"/>
            <w:vAlign w:val="center"/>
          </w:tcPr>
          <w:p w:rsidR="001C1121" w:rsidRPr="00BA3352" w:rsidRDefault="001C1121" w:rsidP="00E92500">
            <w:pPr>
              <w:keepNext/>
              <w:widowControl/>
              <w:jc w:val="center"/>
              <w:rPr>
                <w:rFonts w:ascii="Arial Narrow" w:hAnsi="Arial Narrow"/>
                <w:sz w:val="20"/>
              </w:rPr>
            </w:pP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5</w:t>
            </w:r>
          </w:p>
        </w:tc>
        <w:tc>
          <w:tcPr>
            <w:tcW w:w="679" w:type="pct"/>
            <w:vAlign w:val="center"/>
          </w:tcPr>
          <w:p w:rsidR="001C1121" w:rsidRPr="00BA3352" w:rsidRDefault="001C1121" w:rsidP="00E92500">
            <w:pPr>
              <w:keepNext/>
              <w:widowControl/>
              <w:jc w:val="center"/>
              <w:rPr>
                <w:rFonts w:ascii="Arial Narrow" w:hAnsi="Arial Narrow"/>
                <w:sz w:val="20"/>
              </w:rPr>
            </w:pPr>
          </w:p>
          <w:p w:rsidR="001C1121" w:rsidRPr="00BA3352" w:rsidRDefault="001C1121" w:rsidP="00E92500">
            <w:pPr>
              <w:keepNext/>
              <w:widowControl/>
              <w:jc w:val="center"/>
              <w:rPr>
                <w:rFonts w:ascii="Arial Narrow" w:hAnsi="Arial Narrow"/>
                <w:sz w:val="20"/>
              </w:rPr>
            </w:pPr>
            <w:r w:rsidRPr="00BA3352">
              <w:rPr>
                <w:rFonts w:ascii="Arial Narrow" w:hAnsi="Arial Narrow"/>
                <w:sz w:val="20"/>
              </w:rPr>
              <w:t>$</w:t>
            </w:r>
            <w:r w:rsidR="00BD1420">
              <w:rPr>
                <w:rFonts w:ascii="Arial Narrow" w:hAnsi="Arial Narrow"/>
                <w:noProof/>
                <w:color w:val="000000"/>
                <w:sz w:val="20"/>
                <w:highlight w:val="black"/>
              </w:rPr>
              <w:t>'''''''''''''''''''</w:t>
            </w:r>
          </w:p>
        </w:tc>
        <w:tc>
          <w:tcPr>
            <w:tcW w:w="836" w:type="pct"/>
            <w:vAlign w:val="center"/>
            <w:hideMark/>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Cosentyx</w:t>
            </w:r>
          </w:p>
        </w:tc>
        <w:tc>
          <w:tcPr>
            <w:tcW w:w="688" w:type="pct"/>
            <w:vAlign w:val="center"/>
            <w:hideMark/>
          </w:tcPr>
          <w:p w:rsidR="001C1121" w:rsidRPr="00BA3352" w:rsidRDefault="001C1121" w:rsidP="00E92500">
            <w:pPr>
              <w:keepNext/>
              <w:widowControl/>
              <w:jc w:val="center"/>
              <w:rPr>
                <w:rFonts w:ascii="Arial Narrow" w:hAnsi="Arial Narrow"/>
                <w:sz w:val="20"/>
              </w:rPr>
            </w:pPr>
            <w:r w:rsidRPr="00BA3352">
              <w:rPr>
                <w:rFonts w:ascii="Arial Narrow" w:hAnsi="Arial Narrow"/>
                <w:sz w:val="20"/>
              </w:rPr>
              <w:t>Novartis Pharmaceuticals</w:t>
            </w:r>
          </w:p>
        </w:tc>
      </w:tr>
    </w:tbl>
    <w:p w:rsidR="008D7A56" w:rsidRDefault="008D7A56" w:rsidP="00E92500">
      <w:pPr>
        <w:widowControl/>
        <w:rPr>
          <w:i/>
        </w:rPr>
      </w:pPr>
    </w:p>
    <w:p w:rsidR="001C1121" w:rsidRPr="003D0B20" w:rsidRDefault="001C1121" w:rsidP="003D0B20">
      <w:pPr>
        <w:pStyle w:val="ListParagraph"/>
        <w:widowControl/>
        <w:numPr>
          <w:ilvl w:val="1"/>
          <w:numId w:val="1"/>
        </w:numPr>
        <w:rPr>
          <w:szCs w:val="22"/>
        </w:rPr>
      </w:pPr>
      <w:r w:rsidRPr="003D0B20">
        <w:rPr>
          <w:szCs w:val="22"/>
        </w:rPr>
        <w:t>The requested basis for listing was a cost-minimisation analysis versus adalimumab.</w:t>
      </w:r>
    </w:p>
    <w:p w:rsidR="00EF247A" w:rsidRPr="00CB21D6" w:rsidRDefault="00EF247A" w:rsidP="00EF247A">
      <w:pPr>
        <w:pStyle w:val="ListParagraph"/>
        <w:widowControl/>
        <w:rPr>
          <w:szCs w:val="22"/>
        </w:rPr>
      </w:pPr>
    </w:p>
    <w:p w:rsidR="00C7025C" w:rsidRPr="00CB21D6" w:rsidRDefault="00C7025C" w:rsidP="00D33470">
      <w:pPr>
        <w:pStyle w:val="ListParagraph"/>
        <w:widowControl/>
        <w:numPr>
          <w:ilvl w:val="1"/>
          <w:numId w:val="1"/>
        </w:numPr>
        <w:rPr>
          <w:szCs w:val="22"/>
        </w:rPr>
      </w:pPr>
      <w:r w:rsidRPr="00CB21D6">
        <w:rPr>
          <w:szCs w:val="22"/>
        </w:rPr>
        <w:t>The PSCR confirm</w:t>
      </w:r>
      <w:r w:rsidR="003D0B20">
        <w:rPr>
          <w:szCs w:val="22"/>
        </w:rPr>
        <w:t>ed</w:t>
      </w:r>
      <w:r w:rsidRPr="00CB21D6">
        <w:rPr>
          <w:szCs w:val="22"/>
        </w:rPr>
        <w:t xml:space="preserve"> that the submission </w:t>
      </w:r>
      <w:r w:rsidR="003D0B20">
        <w:rPr>
          <w:szCs w:val="22"/>
        </w:rPr>
        <w:t>wa</w:t>
      </w:r>
      <w:r w:rsidRPr="00CB21D6">
        <w:rPr>
          <w:szCs w:val="22"/>
        </w:rPr>
        <w:t xml:space="preserve">s only seeking </w:t>
      </w:r>
      <w:r w:rsidR="00EF247A" w:rsidRPr="00CB21D6">
        <w:rPr>
          <w:szCs w:val="22"/>
        </w:rPr>
        <w:t xml:space="preserve">the </w:t>
      </w:r>
      <w:r w:rsidRPr="00CB21D6">
        <w:rPr>
          <w:szCs w:val="22"/>
        </w:rPr>
        <w:t>listing of 1 x 150mg pack for ankylosing spondylitis.</w:t>
      </w:r>
    </w:p>
    <w:p w:rsidR="00F75F35" w:rsidRPr="00CB21D6" w:rsidRDefault="00F75F35" w:rsidP="00F75F35">
      <w:pPr>
        <w:pStyle w:val="ListParagraph"/>
        <w:widowControl/>
        <w:rPr>
          <w:szCs w:val="22"/>
        </w:rPr>
      </w:pPr>
    </w:p>
    <w:p w:rsidR="00F75F35" w:rsidRPr="00CB21D6" w:rsidRDefault="00F75F35" w:rsidP="00D33470">
      <w:pPr>
        <w:pStyle w:val="ListParagraph"/>
        <w:widowControl/>
        <w:numPr>
          <w:ilvl w:val="1"/>
          <w:numId w:val="1"/>
        </w:numPr>
        <w:rPr>
          <w:szCs w:val="22"/>
        </w:rPr>
      </w:pPr>
      <w:r w:rsidRPr="00CB21D6">
        <w:rPr>
          <w:szCs w:val="22"/>
        </w:rPr>
        <w:t xml:space="preserve">The </w:t>
      </w:r>
      <w:r w:rsidR="00672F4C" w:rsidRPr="00CB21D6">
        <w:rPr>
          <w:szCs w:val="22"/>
        </w:rPr>
        <w:t>PSCR</w:t>
      </w:r>
      <w:r w:rsidR="00DA7A87" w:rsidRPr="00CB21D6">
        <w:rPr>
          <w:szCs w:val="22"/>
        </w:rPr>
        <w:t xml:space="preserve"> </w:t>
      </w:r>
      <w:r w:rsidRPr="00CB21D6">
        <w:rPr>
          <w:szCs w:val="22"/>
        </w:rPr>
        <w:t>confirm</w:t>
      </w:r>
      <w:r w:rsidR="003D0B20">
        <w:rPr>
          <w:szCs w:val="22"/>
        </w:rPr>
        <w:t>ed</w:t>
      </w:r>
      <w:r w:rsidRPr="00CB21D6">
        <w:rPr>
          <w:szCs w:val="22"/>
        </w:rPr>
        <w:t xml:space="preserve"> that the patient </w:t>
      </w:r>
      <w:r w:rsidR="003D0B20">
        <w:rPr>
          <w:szCs w:val="22"/>
        </w:rPr>
        <w:t xml:space="preserve">would </w:t>
      </w:r>
      <w:r w:rsidRPr="00CB21D6">
        <w:rPr>
          <w:szCs w:val="22"/>
        </w:rPr>
        <w:t>get 8 week</w:t>
      </w:r>
      <w:r w:rsidR="007C0FC3">
        <w:rPr>
          <w:szCs w:val="22"/>
        </w:rPr>
        <w:t>s of treatment (equivalent to 5 </w:t>
      </w:r>
      <w:r w:rsidRPr="00CB21D6">
        <w:rPr>
          <w:szCs w:val="22"/>
        </w:rPr>
        <w:t xml:space="preserve">units) under the initial 1 or 2 treatment restrictions and the remaining two doses </w:t>
      </w:r>
      <w:r w:rsidR="003D0B20">
        <w:rPr>
          <w:szCs w:val="22"/>
        </w:rPr>
        <w:t xml:space="preserve">were </w:t>
      </w:r>
      <w:r w:rsidRPr="00CB21D6">
        <w:rPr>
          <w:szCs w:val="22"/>
        </w:rPr>
        <w:t xml:space="preserve">under the initial 1 or 2 </w:t>
      </w:r>
      <w:r w:rsidR="001E3E92" w:rsidRPr="00CB21D6">
        <w:rPr>
          <w:szCs w:val="22"/>
        </w:rPr>
        <w:t>“</w:t>
      </w:r>
      <w:r w:rsidRPr="00CB21D6">
        <w:rPr>
          <w:szCs w:val="22"/>
        </w:rPr>
        <w:t>balance of supply</w:t>
      </w:r>
      <w:r w:rsidR="001E3E92" w:rsidRPr="00CB21D6">
        <w:rPr>
          <w:szCs w:val="22"/>
        </w:rPr>
        <w:t>”</w:t>
      </w:r>
      <w:r w:rsidRPr="00CB21D6">
        <w:rPr>
          <w:szCs w:val="22"/>
        </w:rPr>
        <w:t xml:space="preserve"> restriction. </w:t>
      </w:r>
      <w:r w:rsidR="00672F4C" w:rsidRPr="00CB21D6">
        <w:rPr>
          <w:szCs w:val="22"/>
        </w:rPr>
        <w:t xml:space="preserve">The PSCR also agreed with the </w:t>
      </w:r>
      <w:r w:rsidR="001E3E92" w:rsidRPr="00CB21D6">
        <w:rPr>
          <w:szCs w:val="22"/>
        </w:rPr>
        <w:t>S</w:t>
      </w:r>
      <w:r w:rsidR="00672F4C" w:rsidRPr="00CB21D6">
        <w:rPr>
          <w:szCs w:val="22"/>
        </w:rPr>
        <w:t xml:space="preserve">ecretariat’s suggestion of telephone </w:t>
      </w:r>
      <w:r w:rsidR="001E3E92" w:rsidRPr="00CB21D6">
        <w:rPr>
          <w:szCs w:val="22"/>
        </w:rPr>
        <w:t>A</w:t>
      </w:r>
      <w:r w:rsidR="00672F4C" w:rsidRPr="00CB21D6">
        <w:rPr>
          <w:szCs w:val="22"/>
        </w:rPr>
        <w:t xml:space="preserve">uthority for </w:t>
      </w:r>
      <w:r w:rsidR="003D0B20">
        <w:rPr>
          <w:szCs w:val="22"/>
        </w:rPr>
        <w:t xml:space="preserve">the </w:t>
      </w:r>
      <w:r w:rsidR="00672F4C" w:rsidRPr="00CB21D6">
        <w:rPr>
          <w:szCs w:val="22"/>
        </w:rPr>
        <w:t xml:space="preserve">balance of supply. </w:t>
      </w:r>
    </w:p>
    <w:p w:rsidR="00672F4C" w:rsidRPr="00CB21D6" w:rsidRDefault="00672F4C" w:rsidP="00672F4C">
      <w:pPr>
        <w:pStyle w:val="ListParagraph"/>
        <w:rPr>
          <w:szCs w:val="22"/>
        </w:rPr>
      </w:pPr>
    </w:p>
    <w:p w:rsidR="00672F4C" w:rsidRPr="00CB21D6" w:rsidRDefault="00672F4C" w:rsidP="00D33470">
      <w:pPr>
        <w:pStyle w:val="ListParagraph"/>
        <w:widowControl/>
        <w:numPr>
          <w:ilvl w:val="1"/>
          <w:numId w:val="1"/>
        </w:numPr>
        <w:rPr>
          <w:szCs w:val="22"/>
        </w:rPr>
      </w:pPr>
      <w:r w:rsidRPr="00CB21D6">
        <w:rPr>
          <w:szCs w:val="22"/>
        </w:rPr>
        <w:t xml:space="preserve">The PSCR </w:t>
      </w:r>
      <w:r w:rsidR="00642A54" w:rsidRPr="00CB21D6">
        <w:rPr>
          <w:szCs w:val="22"/>
        </w:rPr>
        <w:t>specified</w:t>
      </w:r>
      <w:r w:rsidRPr="00CB21D6">
        <w:rPr>
          <w:szCs w:val="22"/>
        </w:rPr>
        <w:t xml:space="preserve"> that the </w:t>
      </w:r>
      <w:r w:rsidR="00642A54" w:rsidRPr="00CB21D6">
        <w:rPr>
          <w:szCs w:val="22"/>
        </w:rPr>
        <w:t xml:space="preserve">patient must be treated </w:t>
      </w:r>
      <w:r w:rsidRPr="00CB21D6">
        <w:rPr>
          <w:szCs w:val="22"/>
        </w:rPr>
        <w:t xml:space="preserve">by a rheumatologist. </w:t>
      </w:r>
    </w:p>
    <w:p w:rsidR="00642A54" w:rsidRPr="00CB21D6" w:rsidRDefault="00642A54" w:rsidP="00642A54">
      <w:pPr>
        <w:pStyle w:val="ListParagraph"/>
        <w:rPr>
          <w:szCs w:val="22"/>
        </w:rPr>
      </w:pPr>
    </w:p>
    <w:p w:rsidR="00642A54" w:rsidRDefault="00304240" w:rsidP="00D33470">
      <w:pPr>
        <w:pStyle w:val="ListParagraph"/>
        <w:widowControl/>
        <w:numPr>
          <w:ilvl w:val="1"/>
          <w:numId w:val="1"/>
        </w:numPr>
        <w:rPr>
          <w:i/>
          <w:szCs w:val="22"/>
        </w:rPr>
      </w:pPr>
      <w:r w:rsidRPr="00CB21D6">
        <w:rPr>
          <w:szCs w:val="22"/>
        </w:rPr>
        <w:t xml:space="preserve">The PSCR </w:t>
      </w:r>
      <w:r w:rsidR="001E3E92" w:rsidRPr="00CB21D6">
        <w:rPr>
          <w:szCs w:val="22"/>
        </w:rPr>
        <w:t xml:space="preserve">requested a </w:t>
      </w:r>
      <w:r w:rsidRPr="00CB21D6">
        <w:rPr>
          <w:szCs w:val="22"/>
        </w:rPr>
        <w:t>grandfather restriction for secukinumab</w:t>
      </w:r>
      <w:r w:rsidR="001E3E92" w:rsidRPr="00CB21D6">
        <w:rPr>
          <w:szCs w:val="22"/>
        </w:rPr>
        <w:t xml:space="preserve"> with the same wording</w:t>
      </w:r>
      <w:r w:rsidRPr="00CB21D6">
        <w:rPr>
          <w:szCs w:val="22"/>
        </w:rPr>
        <w:t xml:space="preserve"> as that for adalimumab, </w:t>
      </w:r>
      <w:r w:rsidR="00830201">
        <w:rPr>
          <w:szCs w:val="22"/>
        </w:rPr>
        <w:t>etanercept, infliximab and cert</w:t>
      </w:r>
      <w:r w:rsidRPr="00CB21D6">
        <w:rPr>
          <w:szCs w:val="22"/>
        </w:rPr>
        <w:t>olizumab.</w:t>
      </w:r>
      <w:r>
        <w:rPr>
          <w:i/>
          <w:szCs w:val="22"/>
        </w:rPr>
        <w:t xml:space="preserve"> </w:t>
      </w:r>
    </w:p>
    <w:p w:rsidR="001137D4" w:rsidRPr="001137D4" w:rsidRDefault="001137D4" w:rsidP="001137D4">
      <w:pPr>
        <w:pStyle w:val="ListParagraph"/>
        <w:rPr>
          <w:i/>
          <w:szCs w:val="22"/>
        </w:rPr>
      </w:pPr>
    </w:p>
    <w:p w:rsidR="00F45DAB" w:rsidRDefault="00F45DAB" w:rsidP="00610A31">
      <w:pPr>
        <w:pStyle w:val="ListParagraph"/>
        <w:ind w:left="709"/>
        <w:rPr>
          <w:i/>
          <w:szCs w:val="22"/>
        </w:rPr>
      </w:pPr>
      <w:r w:rsidRPr="00610A31">
        <w:rPr>
          <w:i/>
          <w:szCs w:val="22"/>
        </w:rPr>
        <w:t>For more detail on PBAC’s view, see section 7 “PBAC outcome”</w:t>
      </w:r>
    </w:p>
    <w:p w:rsidR="00DA7A87" w:rsidRPr="0069212C" w:rsidRDefault="00DA7A87" w:rsidP="0069212C">
      <w:pPr>
        <w:widowControl/>
        <w:jc w:val="left"/>
        <w:rPr>
          <w:szCs w:val="22"/>
        </w:rPr>
      </w:pPr>
    </w:p>
    <w:p w:rsidR="001C1121" w:rsidRPr="00BA3352" w:rsidRDefault="001C1121" w:rsidP="00E92500">
      <w:pPr>
        <w:widowControl/>
        <w:rPr>
          <w:i/>
        </w:rPr>
      </w:pPr>
    </w:p>
    <w:p w:rsidR="001C1121" w:rsidRPr="00BA3352" w:rsidRDefault="001C1121" w:rsidP="00E92500">
      <w:pPr>
        <w:pStyle w:val="PBACHeading1"/>
      </w:pPr>
      <w:bookmarkStart w:id="4" w:name="_Toc441065559"/>
      <w:r w:rsidRPr="00BA3352">
        <w:t>Background</w:t>
      </w:r>
      <w:bookmarkEnd w:id="4"/>
    </w:p>
    <w:p w:rsidR="001C1121" w:rsidRPr="00BA3352" w:rsidRDefault="001C1121" w:rsidP="00E92500">
      <w:pPr>
        <w:widowControl/>
        <w:rPr>
          <w:i/>
          <w:szCs w:val="22"/>
        </w:rPr>
      </w:pPr>
    </w:p>
    <w:p w:rsidR="001C1121" w:rsidRPr="0004268B" w:rsidRDefault="001C1121" w:rsidP="00D33470">
      <w:pPr>
        <w:pStyle w:val="ListParagraph"/>
        <w:widowControl/>
        <w:numPr>
          <w:ilvl w:val="1"/>
          <w:numId w:val="1"/>
        </w:numPr>
      </w:pPr>
      <w:r w:rsidRPr="0004268B">
        <w:rPr>
          <w:szCs w:val="22"/>
        </w:rPr>
        <w:t>TGA status</w:t>
      </w:r>
      <w:r w:rsidR="00B45567" w:rsidRPr="0004268B">
        <w:rPr>
          <w:szCs w:val="22"/>
        </w:rPr>
        <w:t xml:space="preserve"> at time of </w:t>
      </w:r>
      <w:r w:rsidR="00610A31" w:rsidRPr="0004268B">
        <w:rPr>
          <w:szCs w:val="22"/>
        </w:rPr>
        <w:t>PBAC consideration:</w:t>
      </w:r>
      <w:r w:rsidRPr="0004268B">
        <w:rPr>
          <w:szCs w:val="22"/>
        </w:rPr>
        <w:t xml:space="preserve"> </w:t>
      </w:r>
      <w:r w:rsidRPr="0004268B">
        <w:t>The submission was made u</w:t>
      </w:r>
      <w:r w:rsidR="007C0FC3">
        <w:t>nder TGA/PBAC Parallel Process.</w:t>
      </w:r>
      <w:r w:rsidRPr="0004268B">
        <w:t xml:space="preserve"> At the time of </w:t>
      </w:r>
      <w:r w:rsidR="00610A31" w:rsidRPr="0004268B">
        <w:t xml:space="preserve">PBAC </w:t>
      </w:r>
      <w:r w:rsidRPr="0004268B">
        <w:t xml:space="preserve">consideration, </w:t>
      </w:r>
      <w:r w:rsidR="000F16DC" w:rsidRPr="0004268B">
        <w:t xml:space="preserve">the TGA Delegate’s Overview was </w:t>
      </w:r>
      <w:r w:rsidRPr="0004268B">
        <w:t>available.</w:t>
      </w:r>
    </w:p>
    <w:p w:rsidR="001C1121" w:rsidRPr="001E3E92" w:rsidRDefault="001C1121" w:rsidP="00E92500">
      <w:pPr>
        <w:pStyle w:val="ListParagraph"/>
        <w:widowControl/>
        <w:rPr>
          <w:szCs w:val="22"/>
        </w:rPr>
      </w:pPr>
    </w:p>
    <w:p w:rsidR="000F16DC" w:rsidRPr="000F16DC" w:rsidRDefault="001C1121" w:rsidP="00D33470">
      <w:pPr>
        <w:pStyle w:val="ListParagraph"/>
        <w:widowControl/>
        <w:numPr>
          <w:ilvl w:val="1"/>
          <w:numId w:val="1"/>
        </w:numPr>
        <w:rPr>
          <w:szCs w:val="22"/>
        </w:rPr>
      </w:pPr>
      <w:r w:rsidRPr="001E3E92">
        <w:rPr>
          <w:szCs w:val="22"/>
        </w:rPr>
        <w:t xml:space="preserve">Secukinumab has not been considered by PBAC previously for this indication.  </w:t>
      </w:r>
      <w:r w:rsidRPr="001E3E92">
        <w:t>A submission seeking listing of secukinumab for use in psoriatic arthritis will also be considered at the March 2016</w:t>
      </w:r>
      <w:r w:rsidRPr="00BA3352">
        <w:t xml:space="preserve"> PBAC meeting (</w:t>
      </w:r>
      <w:r w:rsidR="008432E2" w:rsidRPr="00BA3352">
        <w:t>Item 6.08</w:t>
      </w:r>
      <w:r w:rsidR="001E3E92">
        <w:t xml:space="preserve"> refers</w:t>
      </w:r>
      <w:r w:rsidRPr="00BA3352">
        <w:t>).</w:t>
      </w:r>
    </w:p>
    <w:p w:rsidR="000F16DC" w:rsidRPr="000F16DC" w:rsidRDefault="000F16DC" w:rsidP="000F16DC">
      <w:pPr>
        <w:pStyle w:val="ListParagraph"/>
        <w:rPr>
          <w:szCs w:val="18"/>
        </w:rPr>
      </w:pPr>
    </w:p>
    <w:p w:rsidR="001C1121" w:rsidRPr="00F45DAB" w:rsidRDefault="001C1121" w:rsidP="00D33470">
      <w:pPr>
        <w:pStyle w:val="ListParagraph"/>
        <w:widowControl/>
        <w:numPr>
          <w:ilvl w:val="1"/>
          <w:numId w:val="1"/>
        </w:numPr>
        <w:rPr>
          <w:szCs w:val="22"/>
        </w:rPr>
      </w:pPr>
      <w:r w:rsidRPr="00BA3352">
        <w:rPr>
          <w:szCs w:val="18"/>
        </w:rPr>
        <w:t xml:space="preserve">Secukinumab was considered </w:t>
      </w:r>
      <w:r w:rsidR="00F71FFA" w:rsidRPr="00BA3352">
        <w:rPr>
          <w:szCs w:val="18"/>
        </w:rPr>
        <w:t xml:space="preserve">and recommended for listing on a cost-minimisation basis </w:t>
      </w:r>
      <w:r w:rsidR="001E3E92">
        <w:rPr>
          <w:szCs w:val="18"/>
        </w:rPr>
        <w:t>with</w:t>
      </w:r>
      <w:r w:rsidR="00F71FFA" w:rsidRPr="00BA3352">
        <w:rPr>
          <w:szCs w:val="18"/>
        </w:rPr>
        <w:t xml:space="preserve"> adalimumab </w:t>
      </w:r>
      <w:r w:rsidRPr="00BA3352">
        <w:rPr>
          <w:szCs w:val="18"/>
        </w:rPr>
        <w:t>at the March 2015 PBAC meeting for the treatment of severe chronic plaque psoriasis.</w:t>
      </w:r>
    </w:p>
    <w:p w:rsidR="00F45DAB" w:rsidRPr="00BA3352" w:rsidRDefault="00F45DAB" w:rsidP="00F45DAB">
      <w:pPr>
        <w:pStyle w:val="ListParagraph"/>
        <w:widowControl/>
        <w:rPr>
          <w:szCs w:val="22"/>
        </w:rPr>
      </w:pPr>
    </w:p>
    <w:p w:rsidR="00F71FFA" w:rsidRPr="00BA3352" w:rsidRDefault="00F71FFA" w:rsidP="00E92500">
      <w:pPr>
        <w:pStyle w:val="ListParagraph"/>
        <w:widowControl/>
        <w:rPr>
          <w:i/>
          <w:szCs w:val="22"/>
        </w:rPr>
      </w:pPr>
    </w:p>
    <w:p w:rsidR="001C1121" w:rsidRPr="00BA3352" w:rsidRDefault="001C1121" w:rsidP="00E92500">
      <w:pPr>
        <w:pStyle w:val="PBACHeading1"/>
      </w:pPr>
      <w:bookmarkStart w:id="5" w:name="_Toc441065560"/>
      <w:r w:rsidRPr="00BA3352">
        <w:t>Clinical place for the proposed therapy</w:t>
      </w:r>
      <w:bookmarkEnd w:id="5"/>
    </w:p>
    <w:p w:rsidR="001C1121" w:rsidRPr="00BA3352" w:rsidRDefault="001C1121" w:rsidP="00E92500">
      <w:pPr>
        <w:widowControl/>
        <w:rPr>
          <w:i/>
          <w:szCs w:val="22"/>
        </w:rPr>
      </w:pPr>
    </w:p>
    <w:p w:rsidR="001C1121" w:rsidRPr="00BA3352" w:rsidRDefault="001C1121" w:rsidP="00D33470">
      <w:pPr>
        <w:pStyle w:val="ListParagraph"/>
        <w:widowControl/>
        <w:numPr>
          <w:ilvl w:val="1"/>
          <w:numId w:val="1"/>
        </w:numPr>
        <w:rPr>
          <w:rFonts w:asciiTheme="minorBidi" w:hAnsiTheme="minorBidi" w:cstheme="minorBidi"/>
          <w:szCs w:val="22"/>
        </w:rPr>
      </w:pPr>
      <w:bookmarkStart w:id="6" w:name="_Toc374957311"/>
      <w:r w:rsidRPr="00BA3352">
        <w:rPr>
          <w:rFonts w:asciiTheme="minorBidi" w:hAnsiTheme="minorBidi" w:cstheme="minorBidi"/>
          <w:szCs w:val="22"/>
        </w:rPr>
        <w:t>Ankylosing spondylitis is a form of progressive axial spondyloarthritis caused by chronic inflammation and enthesitis (inflammation of soft tissues like muscles, tendons or ligaments where these enter into the bones) involving the spine and the peripheral joints.</w:t>
      </w:r>
      <w:bookmarkEnd w:id="6"/>
    </w:p>
    <w:p w:rsidR="001C1121" w:rsidRPr="00BA3352" w:rsidRDefault="001C1121" w:rsidP="00E92500">
      <w:pPr>
        <w:widowControl/>
        <w:rPr>
          <w:szCs w:val="22"/>
        </w:rPr>
      </w:pPr>
    </w:p>
    <w:p w:rsidR="001C1121" w:rsidRPr="00F45DAB" w:rsidRDefault="001C1121" w:rsidP="00D33470">
      <w:pPr>
        <w:pStyle w:val="ListParagraph"/>
        <w:widowControl/>
        <w:numPr>
          <w:ilvl w:val="1"/>
          <w:numId w:val="1"/>
        </w:numPr>
        <w:rPr>
          <w:szCs w:val="22"/>
        </w:rPr>
      </w:pPr>
      <w:r w:rsidRPr="00BA3352">
        <w:t>Secukinumab is proposed to be an alternative to the currently PBS-listed bDMARDs (adalimumab, etanercept, golimumab, infliximab and certolizumab) for ankylosing spondylitis.</w:t>
      </w:r>
    </w:p>
    <w:p w:rsidR="001831AD" w:rsidRDefault="001831AD" w:rsidP="00E92500">
      <w:pPr>
        <w:pStyle w:val="Header"/>
        <w:widowControl/>
        <w:rPr>
          <w:szCs w:val="22"/>
        </w:rPr>
      </w:pPr>
    </w:p>
    <w:p w:rsidR="001831AD" w:rsidRPr="00BA3352" w:rsidRDefault="001831AD" w:rsidP="00E92500">
      <w:pPr>
        <w:pStyle w:val="Header"/>
        <w:widowControl/>
        <w:rPr>
          <w:szCs w:val="22"/>
        </w:rPr>
      </w:pPr>
    </w:p>
    <w:p w:rsidR="001C1121" w:rsidRPr="00BA3352" w:rsidRDefault="001C1121" w:rsidP="00E92500">
      <w:pPr>
        <w:pStyle w:val="PBACHeading1"/>
      </w:pPr>
      <w:bookmarkStart w:id="7" w:name="_Toc441065561"/>
      <w:r w:rsidRPr="00BA3352">
        <w:t>Comparator</w:t>
      </w:r>
      <w:bookmarkEnd w:id="7"/>
    </w:p>
    <w:p w:rsidR="001C1121" w:rsidRPr="00BA3352" w:rsidRDefault="001C1121" w:rsidP="00E92500">
      <w:pPr>
        <w:widowControl/>
      </w:pPr>
    </w:p>
    <w:p w:rsidR="001C1121" w:rsidRPr="00D50C3C" w:rsidRDefault="001C1121" w:rsidP="00D33470">
      <w:pPr>
        <w:pStyle w:val="ListParagraph"/>
        <w:widowControl/>
        <w:numPr>
          <w:ilvl w:val="1"/>
          <w:numId w:val="1"/>
        </w:numPr>
        <w:rPr>
          <w:i/>
          <w:szCs w:val="22"/>
        </w:rPr>
      </w:pPr>
      <w:r w:rsidRPr="00BA3352">
        <w:t>Adalimumab (main comparator); etanercept, golimumab, infliximab, certolizumab (secondary comparators)</w:t>
      </w:r>
      <w:r w:rsidRPr="00BA3352">
        <w:rPr>
          <w:color w:val="3366FF"/>
        </w:rPr>
        <w:t xml:space="preserve">.  </w:t>
      </w:r>
      <w:r w:rsidRPr="00BA3352">
        <w:t>The</w:t>
      </w:r>
      <w:r w:rsidR="00C42D1E">
        <w:t xml:space="preserve"> PBAC considered that these</w:t>
      </w:r>
      <w:r w:rsidRPr="00BA3352">
        <w:t xml:space="preserve"> </w:t>
      </w:r>
      <w:r w:rsidR="00C42D1E">
        <w:t>we</w:t>
      </w:r>
      <w:r w:rsidRPr="00BA3352">
        <w:t>re appropriate comparators</w:t>
      </w:r>
      <w:r w:rsidRPr="00BA3352">
        <w:rPr>
          <w:i/>
        </w:rPr>
        <w:t>.</w:t>
      </w:r>
    </w:p>
    <w:p w:rsidR="00D50C3C" w:rsidRPr="00F45DAB" w:rsidRDefault="00D50C3C" w:rsidP="00D50C3C">
      <w:pPr>
        <w:pStyle w:val="ListParagraph"/>
        <w:widowControl/>
        <w:rPr>
          <w:i/>
          <w:szCs w:val="22"/>
        </w:rPr>
      </w:pPr>
    </w:p>
    <w:p w:rsidR="00F45DAB" w:rsidRPr="00BA3352" w:rsidRDefault="006C6416" w:rsidP="00F45DAB">
      <w:pPr>
        <w:pStyle w:val="ListParagraph"/>
        <w:widowControl/>
        <w:rPr>
          <w:i/>
          <w:szCs w:val="22"/>
        </w:rPr>
      </w:pPr>
      <w:r w:rsidRPr="006C6416">
        <w:rPr>
          <w:i/>
          <w:szCs w:val="22"/>
        </w:rPr>
        <w:t>For more detail on PBAC’s view, see section 7 “PBAC outcome”</w:t>
      </w:r>
    </w:p>
    <w:p w:rsidR="00BC179D" w:rsidRDefault="00BC179D" w:rsidP="00E92500">
      <w:pPr>
        <w:widowControl/>
        <w:jc w:val="left"/>
        <w:rPr>
          <w:b/>
          <w:i/>
          <w:szCs w:val="22"/>
        </w:rPr>
      </w:pPr>
    </w:p>
    <w:p w:rsidR="00CB21D6" w:rsidRPr="00BA3352" w:rsidRDefault="00CB21D6" w:rsidP="00E92500">
      <w:pPr>
        <w:widowControl/>
        <w:jc w:val="left"/>
        <w:rPr>
          <w:b/>
          <w:i/>
          <w:szCs w:val="22"/>
        </w:rPr>
      </w:pPr>
    </w:p>
    <w:p w:rsidR="001C1121" w:rsidRPr="00CB21D6" w:rsidRDefault="001C1121" w:rsidP="00E92500">
      <w:pPr>
        <w:pStyle w:val="PBACHeading1"/>
      </w:pPr>
      <w:bookmarkStart w:id="8" w:name="_Toc441065562"/>
      <w:r w:rsidRPr="00CB21D6">
        <w:t>Consideration of the evidence</w:t>
      </w:r>
      <w:bookmarkEnd w:id="8"/>
    </w:p>
    <w:p w:rsidR="00CB21D6" w:rsidRDefault="00CB21D6" w:rsidP="00CB21D6">
      <w:bookmarkStart w:id="9" w:name="_Toc441065563"/>
    </w:p>
    <w:p w:rsidR="00CB21D6" w:rsidRDefault="00CB21D6" w:rsidP="00675D4B">
      <w:pPr>
        <w:pStyle w:val="Heading2"/>
        <w:widowControl/>
        <w:rPr>
          <w:bCs/>
          <w:i/>
          <w:szCs w:val="22"/>
        </w:rPr>
      </w:pPr>
      <w:r w:rsidRPr="00B2738F">
        <w:rPr>
          <w:bCs/>
          <w:i/>
          <w:szCs w:val="22"/>
        </w:rPr>
        <w:t>Sponsor hearing</w:t>
      </w:r>
    </w:p>
    <w:p w:rsidR="00675D4B" w:rsidRPr="00675D4B" w:rsidRDefault="00675D4B" w:rsidP="00675D4B"/>
    <w:p w:rsidR="00CB21D6" w:rsidRPr="00B2738F" w:rsidRDefault="00CB21D6" w:rsidP="00D33470">
      <w:pPr>
        <w:numPr>
          <w:ilvl w:val="1"/>
          <w:numId w:val="1"/>
        </w:numPr>
        <w:contextualSpacing/>
        <w:rPr>
          <w:bCs/>
          <w:szCs w:val="22"/>
        </w:rPr>
      </w:pPr>
      <w:r w:rsidRPr="00B2738F">
        <w:rPr>
          <w:bCs/>
          <w:szCs w:val="22"/>
        </w:rPr>
        <w:t>The</w:t>
      </w:r>
      <w:r w:rsidR="001831AD">
        <w:rPr>
          <w:bCs/>
          <w:szCs w:val="22"/>
        </w:rPr>
        <w:t>re was no hearing for this item</w:t>
      </w:r>
      <w:r w:rsidRPr="00B2738F">
        <w:rPr>
          <w:bCs/>
          <w:szCs w:val="22"/>
        </w:rPr>
        <w:t>.</w:t>
      </w:r>
    </w:p>
    <w:p w:rsidR="00CB21D6" w:rsidRPr="00B2738F" w:rsidRDefault="00CB21D6" w:rsidP="00D50C3C">
      <w:pPr>
        <w:rPr>
          <w:bCs/>
          <w:szCs w:val="22"/>
        </w:rPr>
      </w:pPr>
    </w:p>
    <w:p w:rsidR="00CB21D6" w:rsidRDefault="00CB21D6" w:rsidP="00675D4B">
      <w:pPr>
        <w:pStyle w:val="Heading2"/>
        <w:widowControl/>
        <w:rPr>
          <w:bCs/>
          <w:i/>
          <w:szCs w:val="22"/>
        </w:rPr>
      </w:pPr>
      <w:r w:rsidRPr="00B2738F">
        <w:rPr>
          <w:bCs/>
          <w:i/>
          <w:szCs w:val="22"/>
        </w:rPr>
        <w:t>Consumer comments</w:t>
      </w:r>
    </w:p>
    <w:p w:rsidR="00675D4B" w:rsidRPr="00675D4B" w:rsidRDefault="00675D4B" w:rsidP="00675D4B"/>
    <w:p w:rsidR="00CB21D6" w:rsidRPr="00B2738F" w:rsidRDefault="00B2738F" w:rsidP="00D33470">
      <w:pPr>
        <w:numPr>
          <w:ilvl w:val="1"/>
          <w:numId w:val="1"/>
        </w:numPr>
        <w:contextualSpacing/>
        <w:rPr>
          <w:bCs/>
          <w:szCs w:val="22"/>
        </w:rPr>
      </w:pPr>
      <w:r>
        <w:rPr>
          <w:bCs/>
          <w:szCs w:val="22"/>
        </w:rPr>
        <w:t xml:space="preserve">The </w:t>
      </w:r>
      <w:r w:rsidR="00CB21D6" w:rsidRPr="00B2738F">
        <w:rPr>
          <w:bCs/>
          <w:szCs w:val="22"/>
        </w:rPr>
        <w:t>PBAC noted that no consumer comme</w:t>
      </w:r>
      <w:r w:rsidR="001831AD">
        <w:rPr>
          <w:bCs/>
          <w:szCs w:val="22"/>
        </w:rPr>
        <w:t>nts were received for this item</w:t>
      </w:r>
      <w:r w:rsidR="00CB21D6" w:rsidRPr="00B2738F">
        <w:rPr>
          <w:bCs/>
          <w:szCs w:val="22"/>
        </w:rPr>
        <w:t>.</w:t>
      </w:r>
    </w:p>
    <w:p w:rsidR="00CB21D6" w:rsidRPr="00CB21D6" w:rsidRDefault="00CB21D6" w:rsidP="003B22FB"/>
    <w:p w:rsidR="001C1121" w:rsidRPr="00BA3352" w:rsidRDefault="001C1121" w:rsidP="00E92500">
      <w:pPr>
        <w:pStyle w:val="Heading2"/>
        <w:widowControl/>
        <w:rPr>
          <w:i/>
        </w:rPr>
      </w:pPr>
      <w:r w:rsidRPr="00BA3352">
        <w:rPr>
          <w:i/>
        </w:rPr>
        <w:t>Clinical trials</w:t>
      </w:r>
      <w:bookmarkEnd w:id="9"/>
    </w:p>
    <w:p w:rsidR="001C1121" w:rsidRPr="00BA3352" w:rsidRDefault="001C1121" w:rsidP="00E92500">
      <w:pPr>
        <w:widowControl/>
        <w:rPr>
          <w:i/>
          <w:szCs w:val="22"/>
        </w:rPr>
      </w:pPr>
    </w:p>
    <w:p w:rsidR="001C1121" w:rsidRPr="00CB21D6" w:rsidRDefault="007C0FC3" w:rsidP="00D33470">
      <w:pPr>
        <w:pStyle w:val="ListParagraph"/>
        <w:widowControl/>
        <w:numPr>
          <w:ilvl w:val="1"/>
          <w:numId w:val="1"/>
        </w:numPr>
        <w:rPr>
          <w:iCs/>
          <w:szCs w:val="22"/>
        </w:rPr>
      </w:pPr>
      <w:r>
        <w:t>The submission was based on</w:t>
      </w:r>
      <w:r w:rsidR="00140B6E" w:rsidRPr="00CB21D6">
        <w:t xml:space="preserve"> five </w:t>
      </w:r>
      <w:r w:rsidR="001C1121" w:rsidRPr="00CB21D6">
        <w:t>indirect comparison</w:t>
      </w:r>
      <w:r w:rsidR="00140B6E" w:rsidRPr="00CB21D6">
        <w:t>s</w:t>
      </w:r>
      <w:r w:rsidR="001C1121" w:rsidRPr="00CB21D6">
        <w:t xml:space="preserve"> </w:t>
      </w:r>
      <w:r w:rsidR="00140B6E" w:rsidRPr="00CB21D6">
        <w:t>constructed from 12 p</w:t>
      </w:r>
      <w:r w:rsidR="001E3E92" w:rsidRPr="00CB21D6">
        <w:t>l</w:t>
      </w:r>
      <w:r w:rsidR="00140B6E" w:rsidRPr="00CB21D6">
        <w:t>ac</w:t>
      </w:r>
      <w:r>
        <w:t xml:space="preserve">ebo-controlled trials including </w:t>
      </w:r>
      <w:r w:rsidR="001C1121" w:rsidRPr="00CB21D6">
        <w:t>one placebo-controlled trial of secukinumab (n=253) and;</w:t>
      </w:r>
    </w:p>
    <w:p w:rsidR="001C1121" w:rsidRPr="00CB21D6" w:rsidRDefault="001C1121" w:rsidP="00D33470">
      <w:pPr>
        <w:pStyle w:val="ListParagraph"/>
        <w:widowControl/>
        <w:numPr>
          <w:ilvl w:val="0"/>
          <w:numId w:val="2"/>
        </w:numPr>
        <w:tabs>
          <w:tab w:val="left" w:pos="993"/>
        </w:tabs>
        <w:ind w:left="993" w:hanging="284"/>
        <w:rPr>
          <w:szCs w:val="22"/>
        </w:rPr>
      </w:pPr>
      <w:r w:rsidRPr="00CB21D6">
        <w:t xml:space="preserve">adalimumab – 2 trials comparing adalimumab and placebo (n=659); </w:t>
      </w:r>
    </w:p>
    <w:p w:rsidR="001C1121" w:rsidRPr="00CB21D6" w:rsidRDefault="001C1121" w:rsidP="00D33470">
      <w:pPr>
        <w:pStyle w:val="ListParagraph"/>
        <w:widowControl/>
        <w:numPr>
          <w:ilvl w:val="0"/>
          <w:numId w:val="2"/>
        </w:numPr>
        <w:tabs>
          <w:tab w:val="left" w:pos="993"/>
        </w:tabs>
        <w:ind w:left="993" w:hanging="284"/>
        <w:rPr>
          <w:szCs w:val="22"/>
        </w:rPr>
      </w:pPr>
      <w:r w:rsidRPr="00CB21D6">
        <w:t>etanercept – 4 trials comparing etanercept and placebo (n=799);</w:t>
      </w:r>
    </w:p>
    <w:p w:rsidR="001C1121" w:rsidRPr="00CB21D6" w:rsidRDefault="001C1121" w:rsidP="00D33470">
      <w:pPr>
        <w:pStyle w:val="ListParagraph"/>
        <w:widowControl/>
        <w:numPr>
          <w:ilvl w:val="0"/>
          <w:numId w:val="2"/>
        </w:numPr>
        <w:tabs>
          <w:tab w:val="left" w:pos="993"/>
        </w:tabs>
        <w:ind w:left="993" w:hanging="284"/>
        <w:rPr>
          <w:szCs w:val="22"/>
        </w:rPr>
      </w:pPr>
      <w:r w:rsidRPr="00CB21D6">
        <w:t>golimumab – 2 trials comparing golimumab and placebo (n=569);</w:t>
      </w:r>
    </w:p>
    <w:p w:rsidR="001C1121" w:rsidRPr="00CB21D6" w:rsidRDefault="001C1121" w:rsidP="00D33470">
      <w:pPr>
        <w:pStyle w:val="ListParagraph"/>
        <w:widowControl/>
        <w:numPr>
          <w:ilvl w:val="0"/>
          <w:numId w:val="2"/>
        </w:numPr>
        <w:tabs>
          <w:tab w:val="left" w:pos="993"/>
        </w:tabs>
        <w:ind w:left="993" w:hanging="284"/>
        <w:rPr>
          <w:szCs w:val="22"/>
        </w:rPr>
      </w:pPr>
      <w:r w:rsidRPr="00CB21D6">
        <w:t xml:space="preserve">infliximab – </w:t>
      </w:r>
      <w:r w:rsidRPr="00CB21D6">
        <w:rPr>
          <w:iCs/>
        </w:rPr>
        <w:t>2</w:t>
      </w:r>
      <w:r w:rsidRPr="00CB21D6">
        <w:t xml:space="preserve"> trials comparing infliximab and placebo (n=349);</w:t>
      </w:r>
    </w:p>
    <w:p w:rsidR="001C1121" w:rsidRPr="00CB21D6" w:rsidRDefault="001C1121" w:rsidP="00D33470">
      <w:pPr>
        <w:pStyle w:val="ListParagraph"/>
        <w:widowControl/>
        <w:numPr>
          <w:ilvl w:val="0"/>
          <w:numId w:val="2"/>
        </w:numPr>
        <w:tabs>
          <w:tab w:val="left" w:pos="993"/>
        </w:tabs>
        <w:ind w:left="993" w:hanging="284"/>
        <w:rPr>
          <w:szCs w:val="22"/>
        </w:rPr>
      </w:pPr>
      <w:r w:rsidRPr="00CB21D6">
        <w:t xml:space="preserve">certolizumab – 1 trial comparing certolizumab and placebo (n=325). </w:t>
      </w:r>
    </w:p>
    <w:p w:rsidR="00140B6E" w:rsidRPr="00CB21D6" w:rsidRDefault="00140B6E" w:rsidP="00D33470">
      <w:pPr>
        <w:pStyle w:val="ListParagraph"/>
        <w:widowControl/>
        <w:numPr>
          <w:ilvl w:val="0"/>
          <w:numId w:val="2"/>
        </w:numPr>
        <w:tabs>
          <w:tab w:val="left" w:pos="993"/>
        </w:tabs>
        <w:ind w:left="993" w:hanging="284"/>
        <w:rPr>
          <w:szCs w:val="22"/>
        </w:rPr>
      </w:pPr>
      <w:r w:rsidRPr="00CB21D6">
        <w:t>in addition a sixth indirect comparison was constructed between secukinumab and a meta-analysed pooled group of all bDMARDs</w:t>
      </w:r>
    </w:p>
    <w:p w:rsidR="00140B6E" w:rsidRPr="007C0FC3" w:rsidRDefault="00140B6E" w:rsidP="007C0FC3">
      <w:pPr>
        <w:widowControl/>
        <w:tabs>
          <w:tab w:val="left" w:pos="993"/>
        </w:tabs>
        <w:ind w:left="709"/>
        <w:rPr>
          <w:szCs w:val="22"/>
        </w:rPr>
      </w:pPr>
    </w:p>
    <w:p w:rsidR="001C1121" w:rsidRPr="00CB21D6" w:rsidRDefault="001C1121" w:rsidP="00E92500">
      <w:pPr>
        <w:widowControl/>
        <w:ind w:left="709"/>
      </w:pPr>
      <w:r w:rsidRPr="00CB21D6">
        <w:t>The exclusion of two trials (Canadian-AS</w:t>
      </w:r>
      <w:r w:rsidR="00BC179D" w:rsidRPr="00CB21D6">
        <w:t xml:space="preserve"> (adalimumab versus placebo)</w:t>
      </w:r>
      <w:r w:rsidRPr="00CB21D6">
        <w:t>; Barkham 2010</w:t>
      </w:r>
      <w:r w:rsidR="00BC179D" w:rsidRPr="00CB21D6">
        <w:t xml:space="preserve"> (etanercept versus placebo)</w:t>
      </w:r>
      <w:r w:rsidRPr="00CB21D6">
        <w:t xml:space="preserve">) was deemed inappropriate during the evaluation and </w:t>
      </w:r>
      <w:r w:rsidR="000877BF" w:rsidRPr="00CB21D6">
        <w:t>has</w:t>
      </w:r>
      <w:r w:rsidRPr="00CB21D6">
        <w:t xml:space="preserve"> been included in the Commentary.</w:t>
      </w:r>
    </w:p>
    <w:p w:rsidR="001C1121" w:rsidRPr="00CB21D6" w:rsidRDefault="001C1121" w:rsidP="00E92500">
      <w:pPr>
        <w:widowControl/>
        <w:ind w:left="709"/>
        <w:rPr>
          <w:szCs w:val="22"/>
        </w:rPr>
      </w:pPr>
    </w:p>
    <w:p w:rsidR="001C1121" w:rsidRPr="00CB21D6" w:rsidRDefault="001C1121" w:rsidP="00D33470">
      <w:pPr>
        <w:pStyle w:val="ListParagraph"/>
        <w:widowControl/>
        <w:numPr>
          <w:ilvl w:val="1"/>
          <w:numId w:val="1"/>
        </w:numPr>
        <w:rPr>
          <w:szCs w:val="22"/>
        </w:rPr>
      </w:pPr>
      <w:r w:rsidRPr="00CB21D6">
        <w:rPr>
          <w:szCs w:val="22"/>
        </w:rPr>
        <w:t>Details of the trials presented in the sub</w:t>
      </w:r>
      <w:r w:rsidR="00B73F4A" w:rsidRPr="00CB21D6">
        <w:rPr>
          <w:szCs w:val="22"/>
        </w:rPr>
        <w:t xml:space="preserve">mission are provided in Table </w:t>
      </w:r>
      <w:r w:rsidR="00960D1F">
        <w:rPr>
          <w:szCs w:val="22"/>
        </w:rPr>
        <w:t>1</w:t>
      </w:r>
      <w:r w:rsidRPr="00CB21D6">
        <w:rPr>
          <w:szCs w:val="22"/>
        </w:rPr>
        <w:t>.</w:t>
      </w:r>
    </w:p>
    <w:p w:rsidR="001C1121" w:rsidRPr="00BA3352" w:rsidRDefault="001C1121" w:rsidP="00E92500">
      <w:pPr>
        <w:widowControl/>
        <w:ind w:firstLine="720"/>
        <w:rPr>
          <w:rStyle w:val="CommentReference"/>
          <w:i/>
        </w:rPr>
      </w:pPr>
    </w:p>
    <w:p w:rsidR="001C1121" w:rsidRPr="007C0FC3" w:rsidRDefault="0082567A" w:rsidP="00E92500">
      <w:pPr>
        <w:widowControl/>
        <w:ind w:firstLine="720"/>
        <w:rPr>
          <w:rStyle w:val="CommentReference"/>
        </w:rPr>
      </w:pPr>
      <w:r w:rsidRPr="007C0FC3">
        <w:rPr>
          <w:rStyle w:val="CommentReference"/>
        </w:rPr>
        <w:t xml:space="preserve">Table </w:t>
      </w:r>
      <w:r w:rsidR="001C1121" w:rsidRPr="007C0FC3">
        <w:rPr>
          <w:rStyle w:val="CommentReference"/>
        </w:rPr>
        <w:t>1: Trials and associated reports presented in the submission</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13"/>
        <w:gridCol w:w="4772"/>
        <w:gridCol w:w="1889"/>
      </w:tblGrid>
      <w:tr w:rsidR="001C1121" w:rsidRPr="00BA3352" w:rsidTr="0072411B">
        <w:trPr>
          <w:tblHeader/>
        </w:trPr>
        <w:tc>
          <w:tcPr>
            <w:tcW w:w="1023" w:type="pct"/>
          </w:tcPr>
          <w:p w:rsidR="001C1121" w:rsidRPr="00BA3352" w:rsidRDefault="001C1121" w:rsidP="00E92500">
            <w:pPr>
              <w:widowControl/>
              <w:jc w:val="left"/>
              <w:rPr>
                <w:rFonts w:ascii="Arial Narrow" w:hAnsi="Arial Narrow"/>
                <w:b/>
                <w:sz w:val="20"/>
              </w:rPr>
            </w:pPr>
            <w:r w:rsidRPr="00BA3352">
              <w:rPr>
                <w:rFonts w:ascii="Arial Narrow" w:hAnsi="Arial Narrow"/>
                <w:b/>
                <w:sz w:val="20"/>
              </w:rPr>
              <w:t xml:space="preserve">Trial </w:t>
            </w:r>
          </w:p>
        </w:tc>
        <w:tc>
          <w:tcPr>
            <w:tcW w:w="2849" w:type="pct"/>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Protocol title/ Publication title</w:t>
            </w:r>
          </w:p>
        </w:tc>
        <w:tc>
          <w:tcPr>
            <w:tcW w:w="1128" w:type="pct"/>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Publication citation</w:t>
            </w:r>
          </w:p>
        </w:tc>
      </w:tr>
      <w:tr w:rsidR="001C1121" w:rsidRPr="00BA3352" w:rsidTr="00123C80">
        <w:tc>
          <w:tcPr>
            <w:tcW w:w="5000" w:type="pct"/>
            <w:gridSpan w:val="3"/>
          </w:tcPr>
          <w:p w:rsidR="001C1121" w:rsidRPr="00BA3352" w:rsidRDefault="001C1121" w:rsidP="00E92500">
            <w:pPr>
              <w:widowControl/>
              <w:jc w:val="left"/>
              <w:rPr>
                <w:rFonts w:ascii="Arial Narrow" w:hAnsi="Arial Narrow"/>
                <w:b/>
                <w:sz w:val="20"/>
              </w:rPr>
            </w:pPr>
            <w:r w:rsidRPr="00BA3352">
              <w:rPr>
                <w:rFonts w:ascii="Arial Narrow" w:hAnsi="Arial Narrow"/>
                <w:b/>
                <w:sz w:val="20"/>
              </w:rPr>
              <w:t>Secukinumab versus placebo</w:t>
            </w:r>
          </w:p>
        </w:tc>
      </w:tr>
      <w:tr w:rsidR="001C1121" w:rsidRPr="00BA3352" w:rsidTr="00123C80">
        <w:tc>
          <w:tcPr>
            <w:tcW w:w="1023"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MEASURE</w:t>
            </w:r>
            <w:r w:rsidR="00F41639" w:rsidRPr="00BA3352">
              <w:rPr>
                <w:rFonts w:ascii="Arial Narrow" w:hAnsi="Arial Narrow"/>
                <w:sz w:val="20"/>
              </w:rPr>
              <w:t xml:space="preserve"> </w:t>
            </w:r>
            <w:r w:rsidRPr="00BA3352">
              <w:rPr>
                <w:rFonts w:ascii="Arial Narrow" w:hAnsi="Arial Narrow"/>
                <w:sz w:val="20"/>
              </w:rPr>
              <w:t>2</w:t>
            </w:r>
          </w:p>
        </w:tc>
        <w:tc>
          <w:tcPr>
            <w:tcW w:w="2849"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CSR 2310. A randomized, double-blind, placebo-controlled phase III multicentre study of subcutaneous secukinumab in prefilled syringes to demonstrate the efficacy at 16 weeks and to assess the long-term efficacy, safety and tolerability up to 5 years in patients with active ankylosing spondylitis.</w:t>
            </w:r>
          </w:p>
        </w:tc>
        <w:tc>
          <w:tcPr>
            <w:tcW w:w="1128"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 xml:space="preserve">Clinical Study Report CSR 2310. November 2014. </w:t>
            </w:r>
          </w:p>
          <w:p w:rsidR="001C1121" w:rsidRPr="00BA3352" w:rsidRDefault="001C1121" w:rsidP="00E92500">
            <w:pPr>
              <w:widowControl/>
              <w:jc w:val="left"/>
              <w:rPr>
                <w:rFonts w:ascii="Arial Narrow" w:hAnsi="Arial Narrow"/>
                <w:sz w:val="20"/>
              </w:rPr>
            </w:pPr>
          </w:p>
          <w:p w:rsidR="001C1121" w:rsidRPr="00BA3352" w:rsidRDefault="001C1121" w:rsidP="00E92500">
            <w:pPr>
              <w:widowControl/>
              <w:jc w:val="left"/>
              <w:rPr>
                <w:rFonts w:ascii="Arial Narrow" w:hAnsi="Arial Narrow"/>
                <w:b/>
                <w:sz w:val="20"/>
              </w:rPr>
            </w:pPr>
          </w:p>
        </w:tc>
      </w:tr>
      <w:tr w:rsidR="001C1121" w:rsidRPr="00BA3352" w:rsidTr="00123C80">
        <w:tc>
          <w:tcPr>
            <w:tcW w:w="5000" w:type="pct"/>
            <w:gridSpan w:val="3"/>
          </w:tcPr>
          <w:p w:rsidR="001C1121" w:rsidRPr="00BA3352" w:rsidRDefault="001C1121" w:rsidP="00E92500">
            <w:pPr>
              <w:widowControl/>
              <w:jc w:val="left"/>
              <w:rPr>
                <w:rFonts w:ascii="Arial Narrow" w:hAnsi="Arial Narrow"/>
                <w:b/>
                <w:sz w:val="20"/>
              </w:rPr>
            </w:pPr>
            <w:r w:rsidRPr="00BA3352">
              <w:rPr>
                <w:rFonts w:ascii="Arial Narrow" w:hAnsi="Arial Narrow"/>
                <w:b/>
                <w:sz w:val="20"/>
              </w:rPr>
              <w:t>Adalimumab versus placebo</w:t>
            </w:r>
          </w:p>
        </w:tc>
      </w:tr>
      <w:tr w:rsidR="001C1121" w:rsidRPr="00BA3352" w:rsidTr="00123C80">
        <w:tc>
          <w:tcPr>
            <w:tcW w:w="1023"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Huang 2014</w:t>
            </w:r>
          </w:p>
        </w:tc>
        <w:tc>
          <w:tcPr>
            <w:tcW w:w="2849" w:type="pct"/>
          </w:tcPr>
          <w:p w:rsidR="001C1121" w:rsidRPr="00BA3352" w:rsidRDefault="001C1121" w:rsidP="00E92500">
            <w:pPr>
              <w:widowControl/>
              <w:jc w:val="left"/>
              <w:rPr>
                <w:rFonts w:ascii="Arial Narrow" w:hAnsi="Arial Narrow"/>
                <w:b/>
                <w:sz w:val="20"/>
              </w:rPr>
            </w:pPr>
            <w:r w:rsidRPr="00BA3352">
              <w:rPr>
                <w:rFonts w:ascii="Arial Narrow" w:hAnsi="Arial Narrow"/>
                <w:sz w:val="20"/>
              </w:rPr>
              <w:t>Huang F, et al. Efficacy and safety of adalimumab in Chinese adults with active ankylosing spondylitis: results of a randomised, controlled trial.</w:t>
            </w:r>
          </w:p>
        </w:tc>
        <w:tc>
          <w:tcPr>
            <w:tcW w:w="1128" w:type="pct"/>
          </w:tcPr>
          <w:p w:rsidR="001C1121" w:rsidRPr="00BA3352" w:rsidRDefault="001C1121" w:rsidP="00E92500">
            <w:pPr>
              <w:widowControl/>
              <w:jc w:val="left"/>
              <w:rPr>
                <w:rFonts w:ascii="Arial Narrow" w:hAnsi="Arial Narrow"/>
                <w:b/>
                <w:sz w:val="20"/>
              </w:rPr>
            </w:pPr>
            <w:r w:rsidRPr="00BA3352">
              <w:rPr>
                <w:rFonts w:ascii="Arial Narrow" w:hAnsi="Arial Narrow"/>
                <w:iCs/>
                <w:sz w:val="20"/>
              </w:rPr>
              <w:t xml:space="preserve">Annals of the Rheumatic Diseases, </w:t>
            </w:r>
            <w:r w:rsidRPr="00BA3352">
              <w:rPr>
                <w:rFonts w:ascii="Arial Narrow" w:hAnsi="Arial Narrow"/>
                <w:sz w:val="20"/>
              </w:rPr>
              <w:t>2014; 73: 587-594.</w:t>
            </w:r>
          </w:p>
        </w:tc>
      </w:tr>
      <w:tr w:rsidR="001C1121" w:rsidRPr="00BA3352" w:rsidTr="00123C80">
        <w:tc>
          <w:tcPr>
            <w:tcW w:w="1023" w:type="pct"/>
          </w:tcPr>
          <w:p w:rsidR="001C1121" w:rsidRPr="00BA3352" w:rsidRDefault="001C1121" w:rsidP="00E92500">
            <w:pPr>
              <w:widowControl/>
              <w:jc w:val="left"/>
              <w:rPr>
                <w:rFonts w:ascii="Arial Narrow" w:hAnsi="Arial Narrow"/>
                <w:sz w:val="20"/>
                <w:lang w:val="es-ES_tradnl"/>
              </w:rPr>
            </w:pPr>
            <w:r w:rsidRPr="00BA3352">
              <w:rPr>
                <w:rFonts w:ascii="Arial Narrow" w:hAnsi="Arial Narrow"/>
                <w:sz w:val="20"/>
                <w:lang w:val="es-ES_tradnl"/>
              </w:rPr>
              <w:t>Van der Heijde 2006a</w:t>
            </w:r>
          </w:p>
          <w:p w:rsidR="001C1121" w:rsidRPr="00BA3352" w:rsidRDefault="001C1121" w:rsidP="00E92500">
            <w:pPr>
              <w:widowControl/>
              <w:jc w:val="left"/>
              <w:rPr>
                <w:rFonts w:ascii="Arial Narrow" w:hAnsi="Arial Narrow"/>
                <w:sz w:val="20"/>
                <w:lang w:val="es-ES_tradnl"/>
              </w:rPr>
            </w:pPr>
            <w:r w:rsidRPr="00BA3352">
              <w:rPr>
                <w:rFonts w:ascii="Arial Narrow" w:hAnsi="Arial Narrow"/>
                <w:sz w:val="20"/>
                <w:lang w:val="es-ES_tradnl"/>
              </w:rPr>
              <w:t>(ATLAS)</w:t>
            </w:r>
          </w:p>
        </w:tc>
        <w:tc>
          <w:tcPr>
            <w:tcW w:w="2849" w:type="pct"/>
            <w:tcBorders>
              <w:top w:val="nil"/>
            </w:tcBorders>
          </w:tcPr>
          <w:p w:rsidR="001C1121" w:rsidRPr="00BA3352" w:rsidRDefault="001C1121" w:rsidP="00E92500">
            <w:pPr>
              <w:widowControl/>
              <w:jc w:val="left"/>
              <w:rPr>
                <w:rFonts w:ascii="Arial Narrow" w:hAnsi="Arial Narrow"/>
                <w:sz w:val="20"/>
              </w:rPr>
            </w:pPr>
            <w:r w:rsidRPr="00BA3352">
              <w:rPr>
                <w:rFonts w:ascii="Arial Narrow" w:hAnsi="Arial Narrow"/>
                <w:sz w:val="20"/>
                <w:lang w:val="de-DE"/>
              </w:rPr>
              <w:t xml:space="preserve">Van der Heijde D, Kivitz A, Schiff M, et al. </w:t>
            </w:r>
            <w:r w:rsidRPr="00BA3352">
              <w:rPr>
                <w:rFonts w:ascii="Arial Narrow" w:hAnsi="Arial Narrow"/>
                <w:sz w:val="20"/>
              </w:rPr>
              <w:t xml:space="preserve">Efficacy and safety of adalimumab in patients with ankylosing spondylitis: Results of a multicenter, randomized, double-blind, placebo-controlled trial. </w:t>
            </w:r>
          </w:p>
        </w:tc>
        <w:tc>
          <w:tcPr>
            <w:tcW w:w="1128" w:type="pct"/>
            <w:tcBorders>
              <w:top w:val="nil"/>
            </w:tcBorders>
          </w:tcPr>
          <w:p w:rsidR="001C1121" w:rsidRPr="00BA3352" w:rsidRDefault="001C1121" w:rsidP="00E92500">
            <w:pPr>
              <w:widowControl/>
              <w:jc w:val="left"/>
              <w:rPr>
                <w:rFonts w:ascii="Arial Narrow" w:hAnsi="Arial Narrow"/>
                <w:sz w:val="20"/>
              </w:rPr>
            </w:pPr>
            <w:r w:rsidRPr="00BA3352">
              <w:rPr>
                <w:rFonts w:ascii="Arial Narrow" w:hAnsi="Arial Narrow"/>
                <w:iCs/>
                <w:sz w:val="20"/>
              </w:rPr>
              <w:t>Arthritis &amp; Rheumatism,</w:t>
            </w:r>
            <w:r w:rsidRPr="00BA3352">
              <w:rPr>
                <w:rFonts w:ascii="Arial Narrow" w:hAnsi="Arial Narrow"/>
                <w:sz w:val="20"/>
              </w:rPr>
              <w:t xml:space="preserve"> 2006; 54(7):2136-2146.</w:t>
            </w:r>
          </w:p>
        </w:tc>
      </w:tr>
      <w:tr w:rsidR="001C1121" w:rsidRPr="00BA3352" w:rsidTr="00123C80">
        <w:tc>
          <w:tcPr>
            <w:tcW w:w="1023" w:type="pct"/>
          </w:tcPr>
          <w:p w:rsidR="001C1121" w:rsidRPr="00BA3352" w:rsidRDefault="001C1121" w:rsidP="00E92500">
            <w:pPr>
              <w:widowControl/>
              <w:jc w:val="left"/>
              <w:rPr>
                <w:rFonts w:ascii="Arial Narrow" w:hAnsi="Arial Narrow"/>
                <w:iCs/>
                <w:sz w:val="20"/>
              </w:rPr>
            </w:pPr>
            <w:r w:rsidRPr="00BA3352">
              <w:rPr>
                <w:rFonts w:ascii="Arial Narrow" w:hAnsi="Arial Narrow"/>
                <w:iCs/>
                <w:sz w:val="20"/>
              </w:rPr>
              <w:t>Lambert 2007 (Canadian-AS)</w:t>
            </w:r>
          </w:p>
        </w:tc>
        <w:tc>
          <w:tcPr>
            <w:tcW w:w="2849" w:type="pct"/>
          </w:tcPr>
          <w:p w:rsidR="001C1121" w:rsidRPr="00BA3352" w:rsidRDefault="001C1121" w:rsidP="00E92500">
            <w:pPr>
              <w:widowControl/>
              <w:jc w:val="left"/>
              <w:rPr>
                <w:rFonts w:ascii="Arial Narrow" w:hAnsi="Arial Narrow"/>
                <w:b/>
                <w:iCs/>
                <w:sz w:val="20"/>
              </w:rPr>
            </w:pPr>
            <w:r w:rsidRPr="00BA3352">
              <w:rPr>
                <w:rFonts w:ascii="Arial Narrow" w:hAnsi="Arial Narrow"/>
                <w:iCs/>
                <w:sz w:val="20"/>
              </w:rPr>
              <w:t>Lambert R, Salonen D, Rahman P, et al. Adalimumab significantly reduces both spinal and sacroiliac joint inflammation in patients with ankylosing spondylitis.</w:t>
            </w:r>
          </w:p>
        </w:tc>
        <w:tc>
          <w:tcPr>
            <w:tcW w:w="1128" w:type="pct"/>
          </w:tcPr>
          <w:p w:rsidR="001C1121" w:rsidRPr="00BA3352" w:rsidRDefault="001C1121" w:rsidP="00E92500">
            <w:pPr>
              <w:widowControl/>
              <w:jc w:val="left"/>
              <w:rPr>
                <w:rFonts w:ascii="Arial Narrow" w:hAnsi="Arial Narrow"/>
                <w:b/>
                <w:sz w:val="20"/>
              </w:rPr>
            </w:pPr>
            <w:r w:rsidRPr="00BA3352">
              <w:rPr>
                <w:rFonts w:ascii="Arial Narrow" w:hAnsi="Arial Narrow"/>
                <w:sz w:val="20"/>
              </w:rPr>
              <w:t xml:space="preserve">Arthritis &amp; Rheumatism, </w:t>
            </w:r>
            <w:r w:rsidRPr="00BA3352">
              <w:rPr>
                <w:rFonts w:ascii="Arial Narrow" w:hAnsi="Arial Narrow"/>
                <w:iCs/>
                <w:sz w:val="20"/>
              </w:rPr>
              <w:t>2007; 56(12):4005-4014</w:t>
            </w:r>
            <w:r w:rsidRPr="00BA3352">
              <w:rPr>
                <w:rFonts w:ascii="Arial Narrow" w:hAnsi="Arial Narrow"/>
                <w:sz w:val="20"/>
              </w:rPr>
              <w:t>.</w:t>
            </w:r>
          </w:p>
        </w:tc>
      </w:tr>
      <w:tr w:rsidR="001C1121" w:rsidRPr="00BA3352" w:rsidTr="00123C80">
        <w:tc>
          <w:tcPr>
            <w:tcW w:w="1023"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Maksymowych 2008 (Canadian-AS)</w:t>
            </w:r>
          </w:p>
        </w:tc>
        <w:tc>
          <w:tcPr>
            <w:tcW w:w="2849"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Maksymowych WP, Rahman P, Shojania K, et al. Beneficial effects of adalimumab on biomarkers reflecting structural damage in patients with ankylosing spondylitis</w:t>
            </w:r>
          </w:p>
        </w:tc>
        <w:tc>
          <w:tcPr>
            <w:tcW w:w="1128" w:type="pct"/>
          </w:tcPr>
          <w:p w:rsidR="001C1121" w:rsidRPr="00BA3352" w:rsidRDefault="001C1121" w:rsidP="00E92500">
            <w:pPr>
              <w:widowControl/>
              <w:jc w:val="left"/>
              <w:rPr>
                <w:rFonts w:ascii="Arial Narrow" w:hAnsi="Arial Narrow"/>
                <w:iCs/>
                <w:sz w:val="20"/>
              </w:rPr>
            </w:pPr>
            <w:r w:rsidRPr="00BA3352">
              <w:rPr>
                <w:rFonts w:ascii="Arial Narrow" w:hAnsi="Arial Narrow"/>
                <w:iCs/>
                <w:sz w:val="20"/>
              </w:rPr>
              <w:t>Journal of Rheumatology,</w:t>
            </w:r>
            <w:r w:rsidRPr="00BA3352">
              <w:rPr>
                <w:rFonts w:ascii="Arial Narrow" w:hAnsi="Arial Narrow"/>
                <w:sz w:val="20"/>
              </w:rPr>
              <w:t xml:space="preserve"> 2008; 35(10):2030-2037.</w:t>
            </w:r>
          </w:p>
        </w:tc>
      </w:tr>
      <w:tr w:rsidR="001C1121" w:rsidRPr="00BA3352" w:rsidTr="00123C80">
        <w:tc>
          <w:tcPr>
            <w:tcW w:w="5000" w:type="pct"/>
            <w:gridSpan w:val="3"/>
          </w:tcPr>
          <w:p w:rsidR="001C1121" w:rsidRPr="00BA3352" w:rsidRDefault="001C1121" w:rsidP="00E92500">
            <w:pPr>
              <w:widowControl/>
              <w:jc w:val="left"/>
              <w:rPr>
                <w:rFonts w:ascii="Arial Narrow" w:hAnsi="Arial Narrow"/>
                <w:b/>
                <w:sz w:val="20"/>
              </w:rPr>
            </w:pPr>
            <w:r w:rsidRPr="00BA3352">
              <w:rPr>
                <w:rFonts w:ascii="Arial Narrow" w:hAnsi="Arial Narrow"/>
                <w:b/>
                <w:sz w:val="20"/>
              </w:rPr>
              <w:t>Etanercept versus placebo</w:t>
            </w:r>
          </w:p>
        </w:tc>
      </w:tr>
      <w:tr w:rsidR="001C1121" w:rsidRPr="00BA3352" w:rsidTr="00123C80">
        <w:tc>
          <w:tcPr>
            <w:tcW w:w="1023"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Calin 2004</w:t>
            </w:r>
          </w:p>
        </w:tc>
        <w:tc>
          <w:tcPr>
            <w:tcW w:w="2849" w:type="pct"/>
          </w:tcPr>
          <w:p w:rsidR="001C1121" w:rsidRPr="00BA3352" w:rsidRDefault="001C1121" w:rsidP="00E92500">
            <w:pPr>
              <w:widowControl/>
              <w:jc w:val="left"/>
              <w:rPr>
                <w:rFonts w:ascii="Arial Narrow" w:hAnsi="Arial Narrow"/>
                <w:b/>
                <w:sz w:val="20"/>
              </w:rPr>
            </w:pPr>
            <w:r w:rsidRPr="00BA3352">
              <w:rPr>
                <w:rFonts w:ascii="Arial Narrow" w:hAnsi="Arial Narrow"/>
                <w:sz w:val="20"/>
              </w:rPr>
              <w:t>Calin A, Dijkmans B, Emery P, et al. Outcomes of a multicentre randomised clinical trial of etanercept to treat ankylosing spondylitis.</w:t>
            </w:r>
          </w:p>
        </w:tc>
        <w:tc>
          <w:tcPr>
            <w:tcW w:w="1128" w:type="pct"/>
          </w:tcPr>
          <w:p w:rsidR="001C1121" w:rsidRPr="00BA3352" w:rsidRDefault="001C1121" w:rsidP="00E92500">
            <w:pPr>
              <w:widowControl/>
              <w:jc w:val="left"/>
              <w:rPr>
                <w:rFonts w:ascii="Arial Narrow" w:hAnsi="Arial Narrow"/>
                <w:b/>
                <w:sz w:val="20"/>
              </w:rPr>
            </w:pPr>
            <w:r w:rsidRPr="00BA3352">
              <w:rPr>
                <w:rFonts w:ascii="Arial Narrow" w:hAnsi="Arial Narrow"/>
                <w:iCs/>
                <w:sz w:val="20"/>
              </w:rPr>
              <w:t>Annals of the Rheumatic Diseases,</w:t>
            </w:r>
            <w:r w:rsidRPr="00BA3352">
              <w:rPr>
                <w:rFonts w:ascii="Arial Narrow" w:hAnsi="Arial Narrow"/>
                <w:sz w:val="20"/>
              </w:rPr>
              <w:t xml:space="preserve"> 2004; 63(12):1594-1600.</w:t>
            </w:r>
          </w:p>
        </w:tc>
      </w:tr>
      <w:tr w:rsidR="001C1121" w:rsidRPr="00BA3352" w:rsidTr="00123C80">
        <w:tc>
          <w:tcPr>
            <w:tcW w:w="1023"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Davis 2003</w:t>
            </w:r>
          </w:p>
        </w:tc>
        <w:tc>
          <w:tcPr>
            <w:tcW w:w="2849" w:type="pct"/>
          </w:tcPr>
          <w:p w:rsidR="001C1121" w:rsidRPr="00BA3352" w:rsidRDefault="001C1121" w:rsidP="00E92500">
            <w:pPr>
              <w:widowControl/>
              <w:jc w:val="left"/>
              <w:rPr>
                <w:rFonts w:ascii="Arial Narrow" w:hAnsi="Arial Narrow"/>
                <w:b/>
                <w:sz w:val="20"/>
              </w:rPr>
            </w:pPr>
            <w:r w:rsidRPr="00BA3352">
              <w:rPr>
                <w:rFonts w:ascii="Arial Narrow" w:hAnsi="Arial Narrow"/>
                <w:sz w:val="20"/>
              </w:rPr>
              <w:t>Davis Jr JC, van der Heijde D, Braun J, Dougados M, Cush J, Clegg DO et al.</w:t>
            </w:r>
            <w:r w:rsidRPr="00BA3352">
              <w:rPr>
                <w:sz w:val="20"/>
              </w:rPr>
              <w:t xml:space="preserve">  </w:t>
            </w:r>
            <w:r w:rsidRPr="00BA3352">
              <w:rPr>
                <w:rFonts w:ascii="Arial Narrow" w:hAnsi="Arial Narrow"/>
                <w:sz w:val="20"/>
              </w:rPr>
              <w:t xml:space="preserve">Recombinant human tumor necrosis factor receptor (etanercept) for treating ankylosing spondylitis: A </w:t>
            </w:r>
            <w:r w:rsidRPr="00BA3352">
              <w:rPr>
                <w:rFonts w:ascii="Arial Narrow" w:hAnsi="Arial Narrow"/>
                <w:sz w:val="20"/>
              </w:rPr>
              <w:lastRenderedPageBreak/>
              <w:t xml:space="preserve">randomised, controlled trial.  </w:t>
            </w:r>
          </w:p>
        </w:tc>
        <w:tc>
          <w:tcPr>
            <w:tcW w:w="1128" w:type="pct"/>
          </w:tcPr>
          <w:p w:rsidR="001C1121" w:rsidRPr="00BA3352" w:rsidRDefault="001C1121" w:rsidP="00E92500">
            <w:pPr>
              <w:widowControl/>
              <w:jc w:val="left"/>
              <w:rPr>
                <w:rFonts w:ascii="Arial Narrow" w:hAnsi="Arial Narrow"/>
                <w:b/>
                <w:sz w:val="20"/>
              </w:rPr>
            </w:pPr>
            <w:r w:rsidRPr="00BA3352">
              <w:rPr>
                <w:rFonts w:ascii="Arial Narrow" w:hAnsi="Arial Narrow"/>
                <w:iCs/>
                <w:sz w:val="20"/>
              </w:rPr>
              <w:lastRenderedPageBreak/>
              <w:t>Arthritis &amp; Rheumatism,</w:t>
            </w:r>
            <w:r w:rsidRPr="00BA3352">
              <w:rPr>
                <w:rFonts w:ascii="Arial Narrow" w:hAnsi="Arial Narrow"/>
                <w:sz w:val="20"/>
              </w:rPr>
              <w:t xml:space="preserve"> 2003; 48(11): 3230-6.</w:t>
            </w:r>
          </w:p>
        </w:tc>
      </w:tr>
      <w:tr w:rsidR="001C1121" w:rsidRPr="00BA3352" w:rsidTr="00123C80">
        <w:tc>
          <w:tcPr>
            <w:tcW w:w="1023" w:type="pct"/>
          </w:tcPr>
          <w:p w:rsidR="001C1121" w:rsidRPr="00BA3352" w:rsidRDefault="001C1121" w:rsidP="00E92500">
            <w:pPr>
              <w:widowControl/>
              <w:autoSpaceDE w:val="0"/>
              <w:autoSpaceDN w:val="0"/>
              <w:adjustRightInd w:val="0"/>
              <w:rPr>
                <w:rFonts w:ascii="Arial Narrow" w:hAnsi="Arial Narrow"/>
                <w:snapToGrid/>
                <w:sz w:val="20"/>
                <w:lang w:eastAsia="en-AU"/>
              </w:rPr>
            </w:pPr>
            <w:r w:rsidRPr="00BA3352">
              <w:rPr>
                <w:rFonts w:ascii="Arial Narrow" w:hAnsi="Arial Narrow"/>
                <w:snapToGrid/>
                <w:sz w:val="20"/>
                <w:lang w:eastAsia="en-AU"/>
              </w:rPr>
              <w:lastRenderedPageBreak/>
              <w:t>Dougados 2011</w:t>
            </w:r>
          </w:p>
          <w:p w:rsidR="001C1121" w:rsidRPr="00BA3352" w:rsidRDefault="001C1121" w:rsidP="00E92500">
            <w:pPr>
              <w:widowControl/>
              <w:jc w:val="left"/>
              <w:rPr>
                <w:rFonts w:ascii="Arial Narrow" w:hAnsi="Arial Narrow"/>
                <w:sz w:val="20"/>
              </w:rPr>
            </w:pPr>
            <w:r w:rsidRPr="00BA3352">
              <w:rPr>
                <w:rFonts w:ascii="Arial Narrow" w:hAnsi="Arial Narrow"/>
                <w:sz w:val="20"/>
              </w:rPr>
              <w:t>(SPINE)</w:t>
            </w:r>
          </w:p>
        </w:tc>
        <w:tc>
          <w:tcPr>
            <w:tcW w:w="2849"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Dougados M, et al. Efficacy of etanercept on rheumatic signs and pulmonary function tests in advanced ankylosing spondylitis: results of a randomised double-blind placebo-controlled study (SPINE)</w:t>
            </w:r>
          </w:p>
        </w:tc>
        <w:tc>
          <w:tcPr>
            <w:tcW w:w="1128" w:type="pct"/>
          </w:tcPr>
          <w:p w:rsidR="001C1121" w:rsidRPr="00BA3352" w:rsidRDefault="001C1121" w:rsidP="00E92500">
            <w:pPr>
              <w:widowControl/>
              <w:jc w:val="left"/>
              <w:rPr>
                <w:rFonts w:ascii="Arial Narrow" w:hAnsi="Arial Narrow"/>
                <w:iCs/>
                <w:sz w:val="20"/>
              </w:rPr>
            </w:pPr>
            <w:r w:rsidRPr="00BA3352">
              <w:rPr>
                <w:rFonts w:ascii="Arial Narrow" w:hAnsi="Arial Narrow"/>
                <w:iCs/>
                <w:sz w:val="20"/>
              </w:rPr>
              <w:t>Annals of the Rheumatic Diseases,</w:t>
            </w:r>
            <w:r w:rsidRPr="00BA3352">
              <w:rPr>
                <w:rFonts w:ascii="Arial Narrow" w:hAnsi="Arial Narrow"/>
                <w:sz w:val="20"/>
              </w:rPr>
              <w:t xml:space="preserve"> 2011; 70:799–804.</w:t>
            </w:r>
          </w:p>
        </w:tc>
      </w:tr>
      <w:tr w:rsidR="001C1121" w:rsidRPr="00BA3352" w:rsidTr="00123C80">
        <w:tc>
          <w:tcPr>
            <w:tcW w:w="1023"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Van der Heijde 2006b</w:t>
            </w:r>
          </w:p>
        </w:tc>
        <w:tc>
          <w:tcPr>
            <w:tcW w:w="2849"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 xml:space="preserve">Van der Heijde D, Da Silva J, Dougados M, et al. Etanercept 50 mg once weekly is as effective as 25 mg twice weekly in patients with ankylosing spondylitis. </w:t>
            </w:r>
          </w:p>
        </w:tc>
        <w:tc>
          <w:tcPr>
            <w:tcW w:w="1128" w:type="pct"/>
          </w:tcPr>
          <w:p w:rsidR="001C1121" w:rsidRPr="00BA3352" w:rsidRDefault="001C1121" w:rsidP="00E92500">
            <w:pPr>
              <w:widowControl/>
              <w:jc w:val="left"/>
              <w:rPr>
                <w:rFonts w:ascii="Arial Narrow" w:hAnsi="Arial Narrow"/>
                <w:iCs/>
                <w:sz w:val="20"/>
              </w:rPr>
            </w:pPr>
            <w:r w:rsidRPr="00BA3352">
              <w:rPr>
                <w:rFonts w:ascii="Arial Narrow" w:hAnsi="Arial Narrow"/>
                <w:iCs/>
                <w:sz w:val="20"/>
              </w:rPr>
              <w:t>Annals of the Rheumatic Diseases,</w:t>
            </w:r>
            <w:r w:rsidRPr="00BA3352">
              <w:rPr>
                <w:rFonts w:ascii="Arial Narrow" w:hAnsi="Arial Narrow"/>
                <w:sz w:val="20"/>
              </w:rPr>
              <w:t xml:space="preserve"> 2006; 65:1572-1577.</w:t>
            </w:r>
          </w:p>
        </w:tc>
      </w:tr>
      <w:tr w:rsidR="001C1121" w:rsidRPr="00BA3352" w:rsidTr="00123C80">
        <w:tc>
          <w:tcPr>
            <w:tcW w:w="1023" w:type="pct"/>
          </w:tcPr>
          <w:p w:rsidR="001C1121" w:rsidRPr="00BA3352" w:rsidRDefault="001C1121" w:rsidP="00E92500">
            <w:pPr>
              <w:widowControl/>
              <w:jc w:val="left"/>
              <w:rPr>
                <w:rFonts w:ascii="Arial Narrow" w:hAnsi="Arial Narrow"/>
                <w:iCs/>
                <w:sz w:val="20"/>
              </w:rPr>
            </w:pPr>
            <w:r w:rsidRPr="00BA3352">
              <w:rPr>
                <w:rFonts w:ascii="Arial Narrow" w:hAnsi="Arial Narrow"/>
                <w:iCs/>
                <w:sz w:val="20"/>
              </w:rPr>
              <w:t>Barkham 2010</w:t>
            </w:r>
          </w:p>
        </w:tc>
        <w:tc>
          <w:tcPr>
            <w:tcW w:w="2849" w:type="pct"/>
          </w:tcPr>
          <w:p w:rsidR="001C1121" w:rsidRPr="00BA3352" w:rsidRDefault="001C1121" w:rsidP="00E92500">
            <w:pPr>
              <w:widowControl/>
              <w:jc w:val="left"/>
              <w:rPr>
                <w:rFonts w:ascii="Arial Narrow" w:hAnsi="Arial Narrow"/>
                <w:iCs/>
                <w:sz w:val="20"/>
              </w:rPr>
            </w:pPr>
            <w:r w:rsidRPr="00BA3352">
              <w:rPr>
                <w:rFonts w:ascii="Arial Narrow" w:hAnsi="Arial Narrow"/>
                <w:iCs/>
                <w:sz w:val="20"/>
              </w:rPr>
              <w:t>Barkham N, Coates LC, Keen H, Hensor E, Fraser A, Redmond A, Cawkwell L, Emery P. Double-blind placebo-controlled trial of etanercept in the prevention of work disability in ankylosing spondylitis.</w:t>
            </w:r>
          </w:p>
        </w:tc>
        <w:tc>
          <w:tcPr>
            <w:tcW w:w="1128"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 xml:space="preserve">Annals of the Rheumatic Diseases </w:t>
            </w:r>
            <w:r w:rsidRPr="00BA3352">
              <w:rPr>
                <w:rFonts w:ascii="Arial Narrow" w:hAnsi="Arial Narrow"/>
                <w:iCs/>
                <w:sz w:val="20"/>
              </w:rPr>
              <w:t>2010; 69(11):1926-1928.</w:t>
            </w:r>
          </w:p>
        </w:tc>
      </w:tr>
      <w:tr w:rsidR="001C1121" w:rsidRPr="00BA3352" w:rsidTr="00123C80">
        <w:tc>
          <w:tcPr>
            <w:tcW w:w="5000" w:type="pct"/>
            <w:gridSpan w:val="3"/>
            <w:vAlign w:val="center"/>
          </w:tcPr>
          <w:p w:rsidR="001C1121" w:rsidRPr="00BA3352" w:rsidRDefault="001C1121" w:rsidP="00E92500">
            <w:pPr>
              <w:widowControl/>
              <w:jc w:val="left"/>
              <w:rPr>
                <w:rFonts w:ascii="Arial Narrow" w:hAnsi="Arial Narrow"/>
                <w:iCs/>
                <w:sz w:val="20"/>
              </w:rPr>
            </w:pPr>
            <w:r w:rsidRPr="00BA3352">
              <w:rPr>
                <w:rFonts w:ascii="Arial Narrow" w:hAnsi="Arial Narrow"/>
                <w:b/>
                <w:bCs/>
                <w:sz w:val="20"/>
              </w:rPr>
              <w:t>Golimumab versus placebo</w:t>
            </w:r>
          </w:p>
        </w:tc>
      </w:tr>
      <w:tr w:rsidR="001C1121" w:rsidRPr="00BA3352" w:rsidTr="00123C80">
        <w:trPr>
          <w:trHeight w:val="1377"/>
        </w:trPr>
        <w:tc>
          <w:tcPr>
            <w:tcW w:w="1023" w:type="pct"/>
            <w:vAlign w:val="center"/>
          </w:tcPr>
          <w:p w:rsidR="001C1121" w:rsidRPr="00BA3352" w:rsidRDefault="001C1121" w:rsidP="00E92500">
            <w:pPr>
              <w:widowControl/>
              <w:jc w:val="left"/>
              <w:rPr>
                <w:rFonts w:ascii="Arial Narrow" w:hAnsi="Arial Narrow"/>
                <w:sz w:val="20"/>
              </w:rPr>
            </w:pPr>
            <w:r w:rsidRPr="00BA3352">
              <w:rPr>
                <w:rFonts w:ascii="Arial Narrow" w:hAnsi="Arial Narrow"/>
                <w:sz w:val="20"/>
              </w:rPr>
              <w:t>Bao 2014</w:t>
            </w:r>
          </w:p>
        </w:tc>
        <w:tc>
          <w:tcPr>
            <w:tcW w:w="2849"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Bao C, et al. Safety and efficacy of golimumab in Chinese Patients with Active Ankylosing Spondylitis: 1-year results from a multicentre, randomized, double-blind, placebo-controlled Phase III trial.</w:t>
            </w:r>
          </w:p>
          <w:p w:rsidR="001C1121" w:rsidRPr="00BA3352" w:rsidRDefault="001C1121" w:rsidP="00E92500">
            <w:pPr>
              <w:widowControl/>
              <w:jc w:val="left"/>
              <w:rPr>
                <w:rFonts w:ascii="Arial Narrow" w:hAnsi="Arial Narrow"/>
                <w:sz w:val="20"/>
              </w:rPr>
            </w:pPr>
          </w:p>
          <w:p w:rsidR="001C1121" w:rsidRPr="00BA3352" w:rsidRDefault="001C1121" w:rsidP="00E92500">
            <w:pPr>
              <w:widowControl/>
              <w:jc w:val="left"/>
              <w:rPr>
                <w:rFonts w:ascii="Arial Narrow" w:hAnsi="Arial Narrow"/>
                <w:sz w:val="20"/>
              </w:rPr>
            </w:pPr>
            <w:r w:rsidRPr="00BA3352">
              <w:rPr>
                <w:rFonts w:ascii="Arial Narrow" w:hAnsi="Arial Narrow"/>
                <w:sz w:val="20"/>
              </w:rPr>
              <w:t>Bao C, et al. Golimumab Administered Subcutaneously Every 4 Weeks in Chinese Patients with Active Ankylosing Spondylitis: Week 24 Safety and Efficacy Results From a Randomized, Placebo-Controlled Study</w:t>
            </w:r>
          </w:p>
        </w:tc>
        <w:tc>
          <w:tcPr>
            <w:tcW w:w="1128" w:type="pct"/>
          </w:tcPr>
          <w:p w:rsidR="001C1121" w:rsidRPr="00BA3352" w:rsidRDefault="001C1121" w:rsidP="00E92500">
            <w:pPr>
              <w:widowControl/>
              <w:jc w:val="left"/>
              <w:rPr>
                <w:rFonts w:ascii="Arial Narrow" w:hAnsi="Arial Narrow"/>
                <w:iCs/>
                <w:sz w:val="20"/>
              </w:rPr>
            </w:pPr>
            <w:r w:rsidRPr="00BA3352">
              <w:rPr>
                <w:rFonts w:ascii="Arial Narrow" w:hAnsi="Arial Narrow"/>
                <w:iCs/>
                <w:sz w:val="20"/>
              </w:rPr>
              <w:t>Rheumatology,</w:t>
            </w:r>
            <w:r w:rsidRPr="00BA3352">
              <w:rPr>
                <w:rFonts w:ascii="Arial Narrow" w:hAnsi="Arial Narrow"/>
                <w:sz w:val="20"/>
              </w:rPr>
              <w:t xml:space="preserve"> 2014; 53(9): 1654-1663.</w:t>
            </w:r>
          </w:p>
          <w:p w:rsidR="001C1121" w:rsidRPr="00BA3352" w:rsidRDefault="001C1121" w:rsidP="00E92500">
            <w:pPr>
              <w:widowControl/>
              <w:jc w:val="left"/>
              <w:rPr>
                <w:rFonts w:ascii="Arial Narrow" w:hAnsi="Arial Narrow"/>
                <w:iCs/>
                <w:sz w:val="20"/>
              </w:rPr>
            </w:pPr>
          </w:p>
          <w:p w:rsidR="001C1121" w:rsidRPr="00BA3352" w:rsidRDefault="001C1121" w:rsidP="00E92500">
            <w:pPr>
              <w:widowControl/>
              <w:jc w:val="left"/>
              <w:rPr>
                <w:rFonts w:ascii="Arial Narrow" w:hAnsi="Arial Narrow"/>
                <w:iCs/>
                <w:sz w:val="20"/>
              </w:rPr>
            </w:pPr>
          </w:p>
          <w:p w:rsidR="001C1121" w:rsidRPr="00BA3352" w:rsidRDefault="001C1121" w:rsidP="00E92500">
            <w:pPr>
              <w:widowControl/>
              <w:jc w:val="left"/>
              <w:rPr>
                <w:rFonts w:ascii="Arial Narrow" w:hAnsi="Arial Narrow"/>
                <w:iCs/>
                <w:sz w:val="20"/>
              </w:rPr>
            </w:pPr>
            <w:r w:rsidRPr="00BA3352">
              <w:rPr>
                <w:rFonts w:ascii="Arial Narrow" w:hAnsi="Arial Narrow"/>
                <w:iCs/>
                <w:sz w:val="20"/>
              </w:rPr>
              <w:t>Arthritis and Rheumatism</w:t>
            </w:r>
            <w:r w:rsidRPr="00BA3352">
              <w:rPr>
                <w:rFonts w:ascii="Arial Narrow" w:hAnsi="Arial Narrow"/>
                <w:sz w:val="20"/>
              </w:rPr>
              <w:t xml:space="preserve"> 2012; 64 SUPPL. 10 (S589)</w:t>
            </w:r>
          </w:p>
        </w:tc>
      </w:tr>
      <w:tr w:rsidR="001C1121" w:rsidRPr="00BA3352" w:rsidTr="00123C80">
        <w:tc>
          <w:tcPr>
            <w:tcW w:w="1023" w:type="pct"/>
            <w:vAlign w:val="center"/>
          </w:tcPr>
          <w:p w:rsidR="001C1121" w:rsidRPr="00BA3352" w:rsidRDefault="001C1121" w:rsidP="00E92500">
            <w:pPr>
              <w:widowControl/>
              <w:jc w:val="left"/>
              <w:rPr>
                <w:rFonts w:ascii="Arial Narrow" w:hAnsi="Arial Narrow" w:cstheme="majorBidi"/>
                <w:sz w:val="20"/>
              </w:rPr>
            </w:pPr>
            <w:r w:rsidRPr="00BA3352">
              <w:rPr>
                <w:rFonts w:ascii="Arial Narrow" w:hAnsi="Arial Narrow" w:cstheme="majorBidi"/>
                <w:sz w:val="20"/>
              </w:rPr>
              <w:t>Inman 2008</w:t>
            </w:r>
          </w:p>
          <w:p w:rsidR="001C1121" w:rsidRPr="00BA3352" w:rsidRDefault="001C1121" w:rsidP="00E92500">
            <w:pPr>
              <w:widowControl/>
              <w:jc w:val="left"/>
              <w:rPr>
                <w:rFonts w:ascii="Arial Narrow" w:hAnsi="Arial Narrow" w:cstheme="majorBidi"/>
                <w:sz w:val="20"/>
              </w:rPr>
            </w:pPr>
            <w:r w:rsidRPr="00BA3352">
              <w:rPr>
                <w:rFonts w:ascii="Arial Narrow" w:hAnsi="Arial Narrow" w:cstheme="majorBidi"/>
                <w:sz w:val="20"/>
              </w:rPr>
              <w:t>(GO-RAISE)</w:t>
            </w:r>
          </w:p>
        </w:tc>
        <w:tc>
          <w:tcPr>
            <w:tcW w:w="2849" w:type="pct"/>
          </w:tcPr>
          <w:p w:rsidR="001C1121" w:rsidRPr="00BA3352" w:rsidRDefault="001C1121" w:rsidP="00E92500">
            <w:pPr>
              <w:widowControl/>
              <w:jc w:val="left"/>
              <w:rPr>
                <w:rFonts w:ascii="Arial Narrow" w:hAnsi="Arial Narrow" w:cstheme="majorBidi"/>
                <w:sz w:val="20"/>
              </w:rPr>
            </w:pPr>
            <w:r w:rsidRPr="00BA3352">
              <w:rPr>
                <w:rFonts w:ascii="Arial Narrow" w:hAnsi="Arial Narrow" w:cstheme="majorBidi"/>
                <w:sz w:val="20"/>
                <w:lang w:val="de-DE"/>
              </w:rPr>
              <w:t xml:space="preserve">Inman RD, Davis J, Van Der Heijde D, et al. </w:t>
            </w:r>
            <w:r w:rsidRPr="00BA3352">
              <w:rPr>
                <w:rFonts w:ascii="Arial Narrow" w:hAnsi="Arial Narrow" w:cstheme="majorBidi"/>
                <w:sz w:val="20"/>
              </w:rPr>
              <w:t xml:space="preserve">Efficacy and safety of golimumab in patients with ankylosing spondylitis: Results of a randomised, double-blind, placebo-controlled, phase III trial. </w:t>
            </w:r>
          </w:p>
        </w:tc>
        <w:tc>
          <w:tcPr>
            <w:tcW w:w="1128" w:type="pct"/>
          </w:tcPr>
          <w:p w:rsidR="001C1121" w:rsidRPr="00BA3352" w:rsidRDefault="001C1121" w:rsidP="00E92500">
            <w:pPr>
              <w:widowControl/>
              <w:jc w:val="left"/>
              <w:rPr>
                <w:rFonts w:ascii="Arial Narrow" w:hAnsi="Arial Narrow" w:cstheme="majorBidi"/>
                <w:iCs/>
                <w:sz w:val="20"/>
              </w:rPr>
            </w:pPr>
            <w:r w:rsidRPr="00BA3352">
              <w:rPr>
                <w:rFonts w:ascii="Arial Narrow" w:hAnsi="Arial Narrow" w:cstheme="majorBidi"/>
                <w:iCs/>
                <w:sz w:val="20"/>
              </w:rPr>
              <w:t>Arthritis and Rheumatism,</w:t>
            </w:r>
            <w:r w:rsidRPr="00BA3352">
              <w:rPr>
                <w:rFonts w:ascii="Arial Narrow" w:hAnsi="Arial Narrow" w:cstheme="majorBidi"/>
                <w:sz w:val="20"/>
              </w:rPr>
              <w:t xml:space="preserve"> 2008; 58(11):3402-3412.</w:t>
            </w:r>
          </w:p>
        </w:tc>
      </w:tr>
      <w:tr w:rsidR="001C1121" w:rsidRPr="00BA3352" w:rsidTr="00123C80">
        <w:tc>
          <w:tcPr>
            <w:tcW w:w="5000" w:type="pct"/>
            <w:gridSpan w:val="3"/>
            <w:vAlign w:val="center"/>
          </w:tcPr>
          <w:p w:rsidR="001C1121" w:rsidRPr="00BA3352" w:rsidRDefault="001C1121" w:rsidP="00E92500">
            <w:pPr>
              <w:widowControl/>
              <w:jc w:val="left"/>
              <w:rPr>
                <w:rFonts w:ascii="Arial Narrow" w:hAnsi="Arial Narrow"/>
                <w:iCs/>
                <w:sz w:val="20"/>
              </w:rPr>
            </w:pPr>
            <w:r w:rsidRPr="00BA3352">
              <w:rPr>
                <w:rFonts w:ascii="Arial Narrow" w:hAnsi="Arial Narrow"/>
                <w:b/>
                <w:bCs/>
                <w:sz w:val="20"/>
              </w:rPr>
              <w:t>Infliximab versus placebo</w:t>
            </w:r>
          </w:p>
        </w:tc>
      </w:tr>
      <w:tr w:rsidR="001C1121" w:rsidRPr="00BA3352" w:rsidTr="00123C80">
        <w:tc>
          <w:tcPr>
            <w:tcW w:w="1023" w:type="pct"/>
            <w:vAlign w:val="center"/>
          </w:tcPr>
          <w:p w:rsidR="001C1121" w:rsidRPr="00BA3352" w:rsidRDefault="001C1121" w:rsidP="00E92500">
            <w:pPr>
              <w:widowControl/>
              <w:jc w:val="left"/>
              <w:rPr>
                <w:rFonts w:ascii="Arial Narrow" w:hAnsi="Arial Narrow"/>
                <w:sz w:val="20"/>
              </w:rPr>
            </w:pPr>
            <w:r w:rsidRPr="00BA3352">
              <w:rPr>
                <w:rFonts w:ascii="Arial Narrow" w:hAnsi="Arial Narrow"/>
                <w:sz w:val="20"/>
              </w:rPr>
              <w:t>Braun 2002</w:t>
            </w:r>
          </w:p>
        </w:tc>
        <w:tc>
          <w:tcPr>
            <w:tcW w:w="2849"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 xml:space="preserve">Braun J, Brandt J, Listing J, Zink A, Alten R, Golder W et al.  Treatment of active ankylosing spondylitis with infliximab: a randomised controlled multi-centre trial.  </w:t>
            </w:r>
          </w:p>
        </w:tc>
        <w:tc>
          <w:tcPr>
            <w:tcW w:w="1128" w:type="pct"/>
          </w:tcPr>
          <w:p w:rsidR="001C1121" w:rsidRPr="00BA3352" w:rsidRDefault="001C1121" w:rsidP="00E92500">
            <w:pPr>
              <w:widowControl/>
              <w:jc w:val="left"/>
              <w:rPr>
                <w:rFonts w:ascii="Arial Narrow" w:hAnsi="Arial Narrow"/>
                <w:iCs/>
                <w:sz w:val="20"/>
              </w:rPr>
            </w:pPr>
            <w:r w:rsidRPr="00BA3352">
              <w:rPr>
                <w:rFonts w:ascii="Arial Narrow" w:hAnsi="Arial Narrow"/>
                <w:iCs/>
                <w:sz w:val="20"/>
              </w:rPr>
              <w:t>Lancet,</w:t>
            </w:r>
            <w:r w:rsidRPr="00BA3352">
              <w:rPr>
                <w:rFonts w:ascii="Arial Narrow" w:hAnsi="Arial Narrow"/>
                <w:sz w:val="20"/>
              </w:rPr>
              <w:t xml:space="preserve"> 2002; 359(9313): 1187-93.</w:t>
            </w:r>
          </w:p>
        </w:tc>
      </w:tr>
      <w:tr w:rsidR="001C1121" w:rsidRPr="00BA3352" w:rsidTr="00123C80">
        <w:tc>
          <w:tcPr>
            <w:tcW w:w="1023" w:type="pct"/>
            <w:vAlign w:val="center"/>
          </w:tcPr>
          <w:p w:rsidR="001C1121" w:rsidRPr="00BA3352" w:rsidRDefault="001C1121" w:rsidP="00E92500">
            <w:pPr>
              <w:widowControl/>
              <w:jc w:val="left"/>
              <w:rPr>
                <w:rFonts w:ascii="Arial Narrow" w:hAnsi="Arial Narrow"/>
                <w:sz w:val="20"/>
              </w:rPr>
            </w:pPr>
            <w:r w:rsidRPr="00BA3352">
              <w:rPr>
                <w:rFonts w:ascii="Arial Narrow" w:hAnsi="Arial Narrow"/>
                <w:sz w:val="20"/>
              </w:rPr>
              <w:t>Van der Heijde 2005</w:t>
            </w:r>
          </w:p>
          <w:p w:rsidR="001C1121" w:rsidRPr="00BA3352" w:rsidRDefault="001C1121" w:rsidP="00E92500">
            <w:pPr>
              <w:widowControl/>
              <w:jc w:val="left"/>
              <w:rPr>
                <w:rFonts w:ascii="Arial Narrow" w:hAnsi="Arial Narrow"/>
                <w:sz w:val="20"/>
              </w:rPr>
            </w:pPr>
            <w:r w:rsidRPr="00BA3352">
              <w:rPr>
                <w:rFonts w:ascii="Arial Narrow" w:hAnsi="Arial Narrow"/>
                <w:sz w:val="20"/>
              </w:rPr>
              <w:t>(ASSERT)</w:t>
            </w:r>
          </w:p>
        </w:tc>
        <w:tc>
          <w:tcPr>
            <w:tcW w:w="2849" w:type="pct"/>
          </w:tcPr>
          <w:p w:rsidR="001C1121" w:rsidRPr="00BA3352" w:rsidRDefault="001C1121" w:rsidP="00E92500">
            <w:pPr>
              <w:widowControl/>
              <w:jc w:val="left"/>
              <w:rPr>
                <w:rFonts w:ascii="Arial Narrow" w:hAnsi="Arial Narrow"/>
                <w:sz w:val="20"/>
              </w:rPr>
            </w:pPr>
            <w:r w:rsidRPr="00BA3352">
              <w:rPr>
                <w:rFonts w:ascii="Arial Narrow" w:hAnsi="Arial Narrow"/>
                <w:sz w:val="20"/>
              </w:rPr>
              <w:t>Van Der Heijde D, Dijkmans B, Geusens P, et al. Efficacy and safety of infliximab in patients with ankylosing spondylitis: Results of a randomized, placebo-controlled trial (ASSERT).</w:t>
            </w:r>
          </w:p>
        </w:tc>
        <w:tc>
          <w:tcPr>
            <w:tcW w:w="1128" w:type="pct"/>
          </w:tcPr>
          <w:p w:rsidR="001C1121" w:rsidRPr="00BA3352" w:rsidRDefault="001C1121" w:rsidP="00E92500">
            <w:pPr>
              <w:widowControl/>
              <w:jc w:val="left"/>
              <w:rPr>
                <w:rFonts w:ascii="Arial Narrow" w:hAnsi="Arial Narrow"/>
                <w:iCs/>
                <w:sz w:val="20"/>
              </w:rPr>
            </w:pPr>
            <w:r w:rsidRPr="00BA3352">
              <w:rPr>
                <w:rFonts w:ascii="Arial Narrow" w:hAnsi="Arial Narrow"/>
                <w:iCs/>
                <w:sz w:val="20"/>
              </w:rPr>
              <w:t>Arthritis and Rheumatism,</w:t>
            </w:r>
            <w:r w:rsidRPr="00BA3352">
              <w:rPr>
                <w:rFonts w:ascii="Arial Narrow" w:hAnsi="Arial Narrow"/>
                <w:sz w:val="20"/>
              </w:rPr>
              <w:t xml:space="preserve"> 2005; 52:582-591.</w:t>
            </w:r>
          </w:p>
        </w:tc>
      </w:tr>
      <w:tr w:rsidR="001C1121" w:rsidRPr="00BA3352" w:rsidTr="00123C80">
        <w:tc>
          <w:tcPr>
            <w:tcW w:w="5000" w:type="pct"/>
            <w:gridSpan w:val="3"/>
            <w:vAlign w:val="center"/>
          </w:tcPr>
          <w:p w:rsidR="001C1121" w:rsidRPr="00BA3352" w:rsidRDefault="001C1121" w:rsidP="00E92500">
            <w:pPr>
              <w:widowControl/>
              <w:jc w:val="left"/>
              <w:rPr>
                <w:rFonts w:ascii="Arial Narrow" w:hAnsi="Arial Narrow"/>
                <w:iCs/>
                <w:sz w:val="20"/>
              </w:rPr>
            </w:pPr>
            <w:r w:rsidRPr="00BA3352">
              <w:rPr>
                <w:rFonts w:ascii="Arial Narrow" w:hAnsi="Arial Narrow"/>
                <w:b/>
                <w:bCs/>
                <w:sz w:val="20"/>
              </w:rPr>
              <w:t>Certolizumab versus placebo</w:t>
            </w:r>
          </w:p>
        </w:tc>
      </w:tr>
      <w:tr w:rsidR="001C1121" w:rsidRPr="00BA3352" w:rsidTr="00123C80">
        <w:tc>
          <w:tcPr>
            <w:tcW w:w="1023" w:type="pct"/>
            <w:vAlign w:val="center"/>
          </w:tcPr>
          <w:p w:rsidR="001C1121" w:rsidRPr="00BA3352" w:rsidRDefault="001C1121" w:rsidP="00E92500">
            <w:pPr>
              <w:widowControl/>
              <w:jc w:val="left"/>
              <w:rPr>
                <w:rFonts w:ascii="Arial Narrow" w:hAnsi="Arial Narrow"/>
                <w:sz w:val="20"/>
              </w:rPr>
            </w:pPr>
            <w:r w:rsidRPr="00BA3352">
              <w:rPr>
                <w:rFonts w:ascii="Arial Narrow" w:hAnsi="Arial Narrow"/>
                <w:sz w:val="20"/>
              </w:rPr>
              <w:t>Landewe 2014</w:t>
            </w:r>
          </w:p>
        </w:tc>
        <w:tc>
          <w:tcPr>
            <w:tcW w:w="2849" w:type="pct"/>
            <w:tcBorders>
              <w:bottom w:val="single" w:sz="4" w:space="0" w:color="auto"/>
            </w:tcBorders>
          </w:tcPr>
          <w:p w:rsidR="001C1121" w:rsidRPr="00BA3352" w:rsidRDefault="001C1121" w:rsidP="00E92500">
            <w:pPr>
              <w:widowControl/>
              <w:jc w:val="left"/>
              <w:rPr>
                <w:rFonts w:ascii="Arial Narrow" w:hAnsi="Arial Narrow"/>
                <w:sz w:val="20"/>
              </w:rPr>
            </w:pPr>
            <w:r w:rsidRPr="00BA3352">
              <w:rPr>
                <w:rFonts w:ascii="Arial Narrow" w:hAnsi="Arial Narrow"/>
                <w:sz w:val="20"/>
              </w:rPr>
              <w:t>Landewé R, Braun J, Deodhar A, et al. Efficacy of certolizumab pegol on signs and symptoms of axial spondyloarthritis including ankylosing spondylitis: 24-week results of a double-blind randomised placebo-controlled phase 3 study.</w:t>
            </w:r>
          </w:p>
        </w:tc>
        <w:tc>
          <w:tcPr>
            <w:tcW w:w="1128" w:type="pct"/>
            <w:tcBorders>
              <w:bottom w:val="single" w:sz="4" w:space="0" w:color="auto"/>
            </w:tcBorders>
          </w:tcPr>
          <w:p w:rsidR="001C1121" w:rsidRPr="00BA3352" w:rsidRDefault="001C1121" w:rsidP="00E92500">
            <w:pPr>
              <w:widowControl/>
              <w:jc w:val="left"/>
              <w:rPr>
                <w:rFonts w:ascii="Arial Narrow" w:hAnsi="Arial Narrow"/>
                <w:iCs/>
                <w:sz w:val="20"/>
              </w:rPr>
            </w:pPr>
            <w:r w:rsidRPr="00BA3352">
              <w:rPr>
                <w:rFonts w:ascii="Arial Narrow" w:hAnsi="Arial Narrow"/>
                <w:iCs/>
                <w:sz w:val="20"/>
              </w:rPr>
              <w:t xml:space="preserve">Annals of Rheumatic  Disease, </w:t>
            </w:r>
            <w:r w:rsidRPr="00BA3352">
              <w:rPr>
                <w:rFonts w:ascii="Arial Narrow" w:hAnsi="Arial Narrow"/>
                <w:sz w:val="20"/>
              </w:rPr>
              <w:t>2014; 73: 39-47.</w:t>
            </w:r>
          </w:p>
        </w:tc>
      </w:tr>
    </w:tbl>
    <w:p w:rsidR="001C1121" w:rsidRPr="00BA3352" w:rsidRDefault="001C1121" w:rsidP="00E92500">
      <w:pPr>
        <w:pStyle w:val="TableFooter"/>
        <w:widowControl/>
        <w:ind w:firstLine="720"/>
        <w:rPr>
          <w:i/>
        </w:rPr>
      </w:pPr>
      <w:r w:rsidRPr="00BA3352">
        <w:rPr>
          <w:i/>
        </w:rPr>
        <w:t>Source: Tables 8-9, pp31-36 of the submission.</w:t>
      </w:r>
    </w:p>
    <w:p w:rsidR="001C1121" w:rsidRDefault="001C1121" w:rsidP="00E92500">
      <w:pPr>
        <w:widowControl/>
        <w:rPr>
          <w:szCs w:val="22"/>
        </w:rPr>
      </w:pPr>
    </w:p>
    <w:p w:rsidR="00CA5316" w:rsidRPr="001831AD" w:rsidRDefault="00CA5316" w:rsidP="00E92500">
      <w:pPr>
        <w:widowControl/>
        <w:rPr>
          <w:szCs w:val="22"/>
        </w:rPr>
      </w:pPr>
    </w:p>
    <w:p w:rsidR="001C1121" w:rsidRPr="001831AD" w:rsidRDefault="001C1121" w:rsidP="00D33470">
      <w:pPr>
        <w:pStyle w:val="ListParagraph"/>
        <w:widowControl/>
        <w:numPr>
          <w:ilvl w:val="1"/>
          <w:numId w:val="1"/>
        </w:numPr>
        <w:rPr>
          <w:szCs w:val="22"/>
        </w:rPr>
      </w:pPr>
      <w:r w:rsidRPr="001831AD">
        <w:rPr>
          <w:szCs w:val="22"/>
        </w:rPr>
        <w:t>The key features of the randomised tri</w:t>
      </w:r>
      <w:r w:rsidR="00B73F4A" w:rsidRPr="001831AD">
        <w:rPr>
          <w:szCs w:val="22"/>
        </w:rPr>
        <w:t xml:space="preserve">als are summarised in Table </w:t>
      </w:r>
      <w:r w:rsidRPr="001831AD">
        <w:rPr>
          <w:szCs w:val="22"/>
        </w:rPr>
        <w:t>2.</w:t>
      </w:r>
    </w:p>
    <w:p w:rsidR="001C1121" w:rsidRPr="001831AD" w:rsidRDefault="001C1121" w:rsidP="00E92500">
      <w:pPr>
        <w:widowControl/>
      </w:pPr>
    </w:p>
    <w:p w:rsidR="001C1121" w:rsidRPr="007C0FC3" w:rsidRDefault="0082567A" w:rsidP="007C0FC3">
      <w:pPr>
        <w:keepNext/>
        <w:widowControl/>
        <w:ind w:firstLine="720"/>
        <w:rPr>
          <w:rFonts w:ascii="Arial Narrow" w:hAnsi="Arial Narrow"/>
          <w:b/>
          <w:sz w:val="20"/>
          <w:szCs w:val="16"/>
        </w:rPr>
      </w:pPr>
      <w:r w:rsidRPr="007C0FC3">
        <w:rPr>
          <w:rStyle w:val="CommentReference"/>
        </w:rPr>
        <w:t xml:space="preserve">Table </w:t>
      </w:r>
      <w:r w:rsidR="001C1121" w:rsidRPr="007C0FC3">
        <w:rPr>
          <w:rStyle w:val="CommentReference"/>
        </w:rPr>
        <w:t>2: Key features of the included evidence – indirect comparison</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4"/>
        <w:gridCol w:w="709"/>
        <w:gridCol w:w="1701"/>
        <w:gridCol w:w="1134"/>
        <w:gridCol w:w="1417"/>
        <w:gridCol w:w="1134"/>
        <w:gridCol w:w="1134"/>
      </w:tblGrid>
      <w:tr w:rsidR="001C1121" w:rsidRPr="00BA3352" w:rsidTr="00123C80">
        <w:tc>
          <w:tcPr>
            <w:tcW w:w="1134" w:type="dxa"/>
            <w:shd w:val="clear" w:color="auto" w:fill="auto"/>
            <w:vAlign w:val="center"/>
          </w:tcPr>
          <w:p w:rsidR="001C1121" w:rsidRPr="00BA3352" w:rsidRDefault="001C1121" w:rsidP="007C0FC3">
            <w:pPr>
              <w:keepNext/>
              <w:widowControl/>
              <w:jc w:val="left"/>
              <w:rPr>
                <w:rFonts w:ascii="Arial Narrow" w:hAnsi="Arial Narrow"/>
                <w:b/>
                <w:sz w:val="18"/>
                <w:szCs w:val="18"/>
              </w:rPr>
            </w:pPr>
            <w:r w:rsidRPr="00BA3352">
              <w:rPr>
                <w:rFonts w:ascii="Arial Narrow" w:hAnsi="Arial Narrow"/>
                <w:b/>
                <w:sz w:val="18"/>
                <w:szCs w:val="18"/>
              </w:rPr>
              <w:t>Trial</w:t>
            </w:r>
          </w:p>
        </w:tc>
        <w:tc>
          <w:tcPr>
            <w:tcW w:w="709" w:type="dxa"/>
            <w:shd w:val="clear" w:color="auto" w:fill="auto"/>
            <w:vAlign w:val="center"/>
          </w:tcPr>
          <w:p w:rsidR="001C1121" w:rsidRPr="00BA3352" w:rsidRDefault="001C1121" w:rsidP="007C0FC3">
            <w:pPr>
              <w:keepNext/>
              <w:widowControl/>
              <w:jc w:val="center"/>
              <w:rPr>
                <w:rFonts w:ascii="Arial Narrow" w:hAnsi="Arial Narrow"/>
                <w:b/>
                <w:sz w:val="18"/>
                <w:szCs w:val="18"/>
              </w:rPr>
            </w:pPr>
            <w:r w:rsidRPr="00BA3352">
              <w:rPr>
                <w:rFonts w:ascii="Arial Narrow" w:hAnsi="Arial Narrow"/>
                <w:b/>
                <w:sz w:val="18"/>
                <w:szCs w:val="18"/>
              </w:rPr>
              <w:t>N</w:t>
            </w:r>
          </w:p>
        </w:tc>
        <w:tc>
          <w:tcPr>
            <w:tcW w:w="1701" w:type="dxa"/>
            <w:shd w:val="clear" w:color="auto" w:fill="auto"/>
            <w:vAlign w:val="center"/>
          </w:tcPr>
          <w:p w:rsidR="001C1121" w:rsidRPr="00BA3352" w:rsidRDefault="001C1121" w:rsidP="007C0FC3">
            <w:pPr>
              <w:keepNext/>
              <w:widowControl/>
              <w:jc w:val="center"/>
              <w:rPr>
                <w:rFonts w:ascii="Arial Narrow" w:hAnsi="Arial Narrow"/>
                <w:b/>
                <w:sz w:val="18"/>
                <w:szCs w:val="18"/>
              </w:rPr>
            </w:pPr>
            <w:r w:rsidRPr="00BA3352">
              <w:rPr>
                <w:rFonts w:ascii="Arial Narrow" w:hAnsi="Arial Narrow"/>
                <w:b/>
                <w:sz w:val="18"/>
                <w:szCs w:val="18"/>
              </w:rPr>
              <w:t>Design / duration</w:t>
            </w:r>
          </w:p>
        </w:tc>
        <w:tc>
          <w:tcPr>
            <w:tcW w:w="1134" w:type="dxa"/>
            <w:shd w:val="clear" w:color="auto" w:fill="auto"/>
            <w:vAlign w:val="center"/>
          </w:tcPr>
          <w:p w:rsidR="001C1121" w:rsidRPr="00BA3352" w:rsidRDefault="001C1121" w:rsidP="007C0FC3">
            <w:pPr>
              <w:keepNext/>
              <w:widowControl/>
              <w:jc w:val="center"/>
              <w:rPr>
                <w:rFonts w:ascii="Arial Narrow" w:hAnsi="Arial Narrow"/>
                <w:b/>
                <w:sz w:val="18"/>
                <w:szCs w:val="18"/>
              </w:rPr>
            </w:pPr>
            <w:r w:rsidRPr="00BA3352">
              <w:rPr>
                <w:rFonts w:ascii="Arial Narrow" w:hAnsi="Arial Narrow"/>
                <w:b/>
                <w:sz w:val="18"/>
                <w:szCs w:val="18"/>
              </w:rPr>
              <w:t>Bias risk</w:t>
            </w:r>
          </w:p>
        </w:tc>
        <w:tc>
          <w:tcPr>
            <w:tcW w:w="1417" w:type="dxa"/>
            <w:shd w:val="clear" w:color="auto" w:fill="auto"/>
            <w:vAlign w:val="center"/>
          </w:tcPr>
          <w:p w:rsidR="001C1121" w:rsidRPr="00BA3352" w:rsidRDefault="001C1121" w:rsidP="007C0FC3">
            <w:pPr>
              <w:keepNext/>
              <w:widowControl/>
              <w:jc w:val="center"/>
              <w:rPr>
                <w:rFonts w:ascii="Arial Narrow" w:hAnsi="Arial Narrow"/>
                <w:b/>
                <w:sz w:val="18"/>
                <w:szCs w:val="18"/>
              </w:rPr>
            </w:pPr>
            <w:r w:rsidRPr="00BA3352">
              <w:rPr>
                <w:rFonts w:ascii="Arial Narrow" w:hAnsi="Arial Narrow"/>
                <w:b/>
                <w:sz w:val="18"/>
                <w:szCs w:val="18"/>
              </w:rPr>
              <w:t>Patient population</w:t>
            </w:r>
          </w:p>
        </w:tc>
        <w:tc>
          <w:tcPr>
            <w:tcW w:w="1134" w:type="dxa"/>
          </w:tcPr>
          <w:p w:rsidR="001C1121" w:rsidRPr="00BA3352" w:rsidRDefault="001C1121" w:rsidP="007C0FC3">
            <w:pPr>
              <w:keepNext/>
              <w:widowControl/>
              <w:jc w:val="center"/>
              <w:rPr>
                <w:rFonts w:ascii="Arial Narrow" w:hAnsi="Arial Narrow"/>
                <w:b/>
                <w:sz w:val="18"/>
                <w:szCs w:val="18"/>
              </w:rPr>
            </w:pPr>
            <w:r w:rsidRPr="00BA3352">
              <w:rPr>
                <w:rFonts w:ascii="Arial Narrow" w:hAnsi="Arial Narrow"/>
                <w:b/>
                <w:sz w:val="18"/>
                <w:szCs w:val="18"/>
              </w:rPr>
              <w:t>Outcome(s)</w:t>
            </w:r>
          </w:p>
        </w:tc>
        <w:tc>
          <w:tcPr>
            <w:tcW w:w="1134" w:type="dxa"/>
          </w:tcPr>
          <w:p w:rsidR="001C1121" w:rsidRPr="00BA3352" w:rsidRDefault="001C1121" w:rsidP="007C0FC3">
            <w:pPr>
              <w:keepNext/>
              <w:widowControl/>
              <w:jc w:val="center"/>
              <w:rPr>
                <w:rFonts w:ascii="Arial Narrow" w:hAnsi="Arial Narrow"/>
                <w:b/>
                <w:sz w:val="18"/>
                <w:szCs w:val="18"/>
              </w:rPr>
            </w:pPr>
            <w:r w:rsidRPr="00BA3352">
              <w:rPr>
                <w:rFonts w:ascii="Arial Narrow" w:hAnsi="Arial Narrow"/>
                <w:b/>
                <w:sz w:val="18"/>
                <w:szCs w:val="18"/>
              </w:rPr>
              <w:t>Previously considered by PBAC</w:t>
            </w:r>
          </w:p>
        </w:tc>
      </w:tr>
      <w:tr w:rsidR="001C1121" w:rsidRPr="00BA3352" w:rsidTr="00123C80">
        <w:tc>
          <w:tcPr>
            <w:tcW w:w="8363" w:type="dxa"/>
            <w:gridSpan w:val="7"/>
          </w:tcPr>
          <w:p w:rsidR="001C1121" w:rsidRPr="00BA3352" w:rsidRDefault="001C1121" w:rsidP="007C0FC3">
            <w:pPr>
              <w:keepNext/>
              <w:widowControl/>
              <w:rPr>
                <w:rFonts w:ascii="Arial Narrow" w:hAnsi="Arial Narrow"/>
                <w:b/>
                <w:sz w:val="18"/>
                <w:szCs w:val="18"/>
              </w:rPr>
            </w:pPr>
            <w:r w:rsidRPr="00BA3352">
              <w:rPr>
                <w:rFonts w:ascii="Arial Narrow" w:hAnsi="Arial Narrow"/>
                <w:b/>
                <w:sz w:val="18"/>
                <w:szCs w:val="18"/>
              </w:rPr>
              <w:t>SEC v PBO</w:t>
            </w:r>
          </w:p>
        </w:tc>
      </w:tr>
      <w:tr w:rsidR="001C1121" w:rsidRPr="00BA3352" w:rsidTr="00123C80">
        <w:tc>
          <w:tcPr>
            <w:tcW w:w="1134" w:type="dxa"/>
            <w:shd w:val="clear" w:color="auto" w:fill="auto"/>
            <w:vAlign w:val="center"/>
          </w:tcPr>
          <w:p w:rsidR="001C1121" w:rsidRPr="00BA3352" w:rsidRDefault="001C1121" w:rsidP="007C0FC3">
            <w:pPr>
              <w:keepNext/>
              <w:widowControl/>
              <w:jc w:val="left"/>
              <w:rPr>
                <w:rFonts w:ascii="Arial Narrow" w:hAnsi="Arial Narrow"/>
                <w:sz w:val="18"/>
                <w:szCs w:val="18"/>
              </w:rPr>
            </w:pPr>
            <w:r w:rsidRPr="00BA3352">
              <w:rPr>
                <w:rFonts w:ascii="Arial Narrow" w:hAnsi="Arial Narrow"/>
                <w:sz w:val="18"/>
                <w:szCs w:val="18"/>
              </w:rPr>
              <w:t>MEASURE 2</w:t>
            </w:r>
          </w:p>
        </w:tc>
        <w:tc>
          <w:tcPr>
            <w:tcW w:w="709" w:type="dxa"/>
            <w:shd w:val="clear" w:color="auto" w:fill="auto"/>
            <w:vAlign w:val="center"/>
          </w:tcPr>
          <w:p w:rsidR="001C1121" w:rsidRPr="00BA3352" w:rsidRDefault="001C1121" w:rsidP="007C0FC3">
            <w:pPr>
              <w:keepNext/>
              <w:widowControl/>
              <w:jc w:val="center"/>
              <w:rPr>
                <w:rFonts w:ascii="Arial Narrow" w:hAnsi="Arial Narrow"/>
                <w:sz w:val="18"/>
                <w:szCs w:val="18"/>
              </w:rPr>
            </w:pPr>
            <w:r w:rsidRPr="00BA3352">
              <w:rPr>
                <w:rFonts w:ascii="Arial Narrow" w:hAnsi="Arial Narrow"/>
                <w:sz w:val="18"/>
                <w:szCs w:val="18"/>
              </w:rPr>
              <w:t>253</w:t>
            </w:r>
          </w:p>
        </w:tc>
        <w:tc>
          <w:tcPr>
            <w:tcW w:w="1701" w:type="dxa"/>
            <w:shd w:val="clear" w:color="auto" w:fill="auto"/>
            <w:vAlign w:val="center"/>
          </w:tcPr>
          <w:p w:rsidR="001C1121" w:rsidRPr="00BA3352" w:rsidRDefault="001C1121" w:rsidP="007C0FC3">
            <w:pPr>
              <w:keepNext/>
              <w:widowControl/>
              <w:jc w:val="center"/>
              <w:rPr>
                <w:rFonts w:ascii="Arial Narrow" w:hAnsi="Arial Narrow"/>
                <w:sz w:val="18"/>
                <w:szCs w:val="18"/>
                <w:lang w:val="pt-PT"/>
              </w:rPr>
            </w:pPr>
            <w:r w:rsidRPr="00BA3352">
              <w:rPr>
                <w:rFonts w:ascii="Arial Narrow" w:hAnsi="Arial Narrow"/>
                <w:sz w:val="18"/>
                <w:szCs w:val="18"/>
                <w:lang w:val="pt-PT"/>
              </w:rPr>
              <w:t>R, DB, 3A, 52wk</w:t>
            </w:r>
            <w:r w:rsidRPr="00BA3352">
              <w:rPr>
                <w:rFonts w:ascii="Arial Narrow" w:hAnsi="Arial Narrow"/>
                <w:sz w:val="18"/>
                <w:szCs w:val="18"/>
                <w:vertAlign w:val="superscript"/>
                <w:lang w:val="pt-PT"/>
              </w:rPr>
              <w:t>a</w:t>
            </w:r>
          </w:p>
        </w:tc>
        <w:tc>
          <w:tcPr>
            <w:tcW w:w="1134" w:type="dxa"/>
            <w:shd w:val="clear" w:color="auto" w:fill="auto"/>
            <w:vAlign w:val="center"/>
          </w:tcPr>
          <w:p w:rsidR="001C1121" w:rsidRPr="00BA3352" w:rsidRDefault="001C1121" w:rsidP="007C0FC3">
            <w:pPr>
              <w:keepNext/>
              <w:widowControl/>
              <w:jc w:val="center"/>
              <w:rPr>
                <w:rFonts w:ascii="Arial Narrow" w:hAnsi="Arial Narrow"/>
                <w:sz w:val="18"/>
                <w:szCs w:val="18"/>
              </w:rPr>
            </w:pPr>
            <w:r w:rsidRPr="00BA3352">
              <w:rPr>
                <w:rFonts w:ascii="Arial Narrow" w:hAnsi="Arial Narrow"/>
                <w:sz w:val="18"/>
                <w:szCs w:val="18"/>
              </w:rPr>
              <w:t>Low</w:t>
            </w:r>
          </w:p>
        </w:tc>
        <w:tc>
          <w:tcPr>
            <w:tcW w:w="1417" w:type="dxa"/>
            <w:shd w:val="clear" w:color="auto" w:fill="auto"/>
          </w:tcPr>
          <w:p w:rsidR="001C1121" w:rsidRPr="00BA3352" w:rsidRDefault="001C1121" w:rsidP="007C0FC3">
            <w:pPr>
              <w:keepNext/>
              <w:widowControl/>
              <w:jc w:val="center"/>
              <w:rPr>
                <w:rFonts w:ascii="Arial Narrow" w:hAnsi="Arial Narrow"/>
                <w:sz w:val="18"/>
                <w:szCs w:val="18"/>
              </w:rPr>
            </w:pPr>
            <w:r w:rsidRPr="00BA3352">
              <w:rPr>
                <w:rFonts w:ascii="Arial Narrow" w:hAnsi="Arial Narrow"/>
                <w:sz w:val="18"/>
                <w:szCs w:val="18"/>
              </w:rPr>
              <w:t>AS; TNFα naïve and experienced</w:t>
            </w:r>
          </w:p>
        </w:tc>
        <w:tc>
          <w:tcPr>
            <w:tcW w:w="1134" w:type="dxa"/>
          </w:tcPr>
          <w:p w:rsidR="001C1121" w:rsidRPr="00BA3352" w:rsidRDefault="001C1121" w:rsidP="007C0FC3">
            <w:pPr>
              <w:keepNext/>
              <w:widowControl/>
              <w:jc w:val="center"/>
              <w:rPr>
                <w:rFonts w:ascii="Arial Narrow" w:hAnsi="Arial Narrow"/>
                <w:bCs/>
                <w:sz w:val="18"/>
                <w:szCs w:val="18"/>
              </w:rPr>
            </w:pPr>
            <w:r w:rsidRPr="00BA3352">
              <w:rPr>
                <w:rFonts w:ascii="Arial Narrow" w:hAnsi="Arial Narrow"/>
                <w:bCs/>
                <w:sz w:val="18"/>
                <w:szCs w:val="18"/>
              </w:rPr>
              <w:t>1°:</w:t>
            </w:r>
            <w:r w:rsidRPr="00BA3352">
              <w:rPr>
                <w:rFonts w:ascii="Arial Narrow" w:hAnsi="Arial Narrow"/>
                <w:b/>
                <w:sz w:val="18"/>
                <w:szCs w:val="18"/>
              </w:rPr>
              <w:t xml:space="preserve"> </w:t>
            </w:r>
            <w:r w:rsidRPr="00BA3352">
              <w:rPr>
                <w:rFonts w:ascii="Arial Narrow" w:hAnsi="Arial Narrow"/>
                <w:bCs/>
                <w:sz w:val="18"/>
                <w:szCs w:val="18"/>
              </w:rPr>
              <w:t>ASAS20 wk16</w:t>
            </w:r>
          </w:p>
          <w:p w:rsidR="001C1121" w:rsidRPr="00BA3352" w:rsidRDefault="001C1121" w:rsidP="007C0FC3">
            <w:pPr>
              <w:keepNext/>
              <w:widowControl/>
              <w:jc w:val="center"/>
              <w:rPr>
                <w:rFonts w:ascii="Arial Narrow" w:hAnsi="Arial Narrow"/>
                <w:sz w:val="18"/>
                <w:szCs w:val="18"/>
              </w:rPr>
            </w:pPr>
            <w:r w:rsidRPr="00BA3352">
              <w:rPr>
                <w:rFonts w:ascii="Arial Narrow" w:hAnsi="Arial Narrow"/>
                <w:bCs/>
                <w:sz w:val="18"/>
                <w:szCs w:val="18"/>
              </w:rPr>
              <w:t>2°: BASDAI50 wk16</w:t>
            </w:r>
          </w:p>
        </w:tc>
        <w:tc>
          <w:tcPr>
            <w:tcW w:w="1134" w:type="dxa"/>
            <w:vAlign w:val="center"/>
          </w:tcPr>
          <w:p w:rsidR="001C1121" w:rsidRPr="00BA3352" w:rsidRDefault="001C1121" w:rsidP="007C0FC3">
            <w:pPr>
              <w:keepNext/>
              <w:widowControl/>
              <w:jc w:val="center"/>
              <w:rPr>
                <w:rFonts w:ascii="Arial Narrow" w:hAnsi="Arial Narrow"/>
                <w:sz w:val="18"/>
                <w:szCs w:val="18"/>
              </w:rPr>
            </w:pPr>
            <w:r w:rsidRPr="00BA3352">
              <w:rPr>
                <w:rFonts w:ascii="Arial Narrow" w:hAnsi="Arial Narrow"/>
                <w:sz w:val="18"/>
                <w:szCs w:val="18"/>
              </w:rPr>
              <w:t>No</w:t>
            </w:r>
          </w:p>
        </w:tc>
      </w:tr>
      <w:tr w:rsidR="001C1121" w:rsidRPr="00BA3352" w:rsidTr="00123C80">
        <w:tc>
          <w:tcPr>
            <w:tcW w:w="8363" w:type="dxa"/>
            <w:gridSpan w:val="7"/>
          </w:tcPr>
          <w:p w:rsidR="001C1121" w:rsidRPr="00BA3352" w:rsidRDefault="001C1121" w:rsidP="00E92500">
            <w:pPr>
              <w:widowControl/>
              <w:jc w:val="left"/>
              <w:rPr>
                <w:rFonts w:ascii="Arial Narrow" w:hAnsi="Arial Narrow"/>
                <w:b/>
                <w:bCs/>
                <w:sz w:val="18"/>
                <w:szCs w:val="18"/>
              </w:rPr>
            </w:pPr>
            <w:r w:rsidRPr="00BA3352">
              <w:rPr>
                <w:rFonts w:ascii="Arial Narrow" w:hAnsi="Arial Narrow"/>
                <w:b/>
                <w:bCs/>
                <w:sz w:val="18"/>
                <w:szCs w:val="18"/>
              </w:rPr>
              <w:t>ADA v PBO</w:t>
            </w:r>
          </w:p>
        </w:tc>
      </w:tr>
      <w:tr w:rsidR="001C1121" w:rsidRPr="00BA3352" w:rsidTr="00123C80">
        <w:tc>
          <w:tcPr>
            <w:tcW w:w="1134" w:type="dxa"/>
            <w:shd w:val="clear" w:color="auto" w:fill="auto"/>
          </w:tcPr>
          <w:p w:rsidR="001C1121" w:rsidRPr="00BA3352" w:rsidRDefault="001C1121" w:rsidP="00E92500">
            <w:pPr>
              <w:widowControl/>
              <w:rPr>
                <w:rFonts w:ascii="Arial Narrow" w:hAnsi="Arial Narrow"/>
                <w:sz w:val="18"/>
                <w:szCs w:val="18"/>
              </w:rPr>
            </w:pPr>
            <w:r w:rsidRPr="00BA3352">
              <w:rPr>
                <w:rFonts w:ascii="Arial Narrow" w:hAnsi="Arial Narrow"/>
                <w:sz w:val="18"/>
                <w:szCs w:val="18"/>
              </w:rPr>
              <w:t>Canadian-AS</w:t>
            </w:r>
          </w:p>
        </w:tc>
        <w:tc>
          <w:tcPr>
            <w:tcW w:w="709"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82</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R, DB, 2A ESC, 24wk</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Low</w:t>
            </w:r>
          </w:p>
        </w:tc>
        <w:tc>
          <w:tcPr>
            <w:tcW w:w="1417"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AS; TNFα naïve</w:t>
            </w:r>
          </w:p>
        </w:tc>
        <w:tc>
          <w:tcPr>
            <w:tcW w:w="1134" w:type="dxa"/>
            <w:shd w:val="clear" w:color="auto" w:fill="auto"/>
            <w:vAlign w:val="center"/>
          </w:tcPr>
          <w:p w:rsidR="001C1121" w:rsidRPr="00BA3352" w:rsidRDefault="001C1121" w:rsidP="00E92500">
            <w:pPr>
              <w:widowControl/>
              <w:jc w:val="center"/>
              <w:rPr>
                <w:rFonts w:ascii="Arial Narrow" w:hAnsi="Arial Narrow"/>
                <w:bCs/>
                <w:sz w:val="18"/>
                <w:szCs w:val="18"/>
              </w:rPr>
            </w:pPr>
            <w:r w:rsidRPr="00BA3352">
              <w:rPr>
                <w:rFonts w:ascii="Arial Narrow" w:hAnsi="Arial Narrow"/>
                <w:bCs/>
                <w:sz w:val="18"/>
                <w:szCs w:val="18"/>
              </w:rPr>
              <w:t>1°:</w:t>
            </w:r>
            <w:r w:rsidRPr="00BA3352">
              <w:rPr>
                <w:rFonts w:ascii="Arial Narrow" w:hAnsi="Arial Narrow"/>
                <w:b/>
                <w:sz w:val="18"/>
                <w:szCs w:val="18"/>
              </w:rPr>
              <w:t xml:space="preserve"> </w:t>
            </w:r>
            <w:r w:rsidRPr="00BA3352">
              <w:rPr>
                <w:rFonts w:ascii="Arial Narrow" w:hAnsi="Arial Narrow"/>
                <w:bCs/>
                <w:sz w:val="18"/>
                <w:szCs w:val="18"/>
              </w:rPr>
              <w:t>ASAS20 wk12</w:t>
            </w:r>
          </w:p>
        </w:tc>
        <w:tc>
          <w:tcPr>
            <w:tcW w:w="1134" w:type="dxa"/>
            <w:vMerge w:val="restart"/>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ADA (Nov 06)</w:t>
            </w:r>
          </w:p>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GOL (Mar 10)</w:t>
            </w:r>
          </w:p>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lastRenderedPageBreak/>
              <w:t>CZP (Mar 14)</w:t>
            </w:r>
          </w:p>
        </w:tc>
      </w:tr>
      <w:tr w:rsidR="001C1121" w:rsidRPr="00BA3352" w:rsidTr="00123C80">
        <w:tc>
          <w:tcPr>
            <w:tcW w:w="1134" w:type="dxa"/>
            <w:shd w:val="clear" w:color="auto" w:fill="auto"/>
          </w:tcPr>
          <w:p w:rsidR="001C1121" w:rsidRPr="00BA3352" w:rsidRDefault="001C1121" w:rsidP="00E92500">
            <w:pPr>
              <w:widowControl/>
              <w:rPr>
                <w:rFonts w:ascii="Arial Narrow" w:hAnsi="Arial Narrow"/>
                <w:sz w:val="18"/>
                <w:szCs w:val="18"/>
                <w:lang w:val="es-ES_tradnl"/>
              </w:rPr>
            </w:pPr>
            <w:r w:rsidRPr="00BA3352">
              <w:rPr>
                <w:rFonts w:ascii="Arial Narrow" w:hAnsi="Arial Narrow"/>
                <w:sz w:val="18"/>
                <w:szCs w:val="18"/>
                <w:lang w:val="es-ES_tradnl"/>
              </w:rPr>
              <w:lastRenderedPageBreak/>
              <w:t>Van der Heijde 2006a</w:t>
            </w:r>
          </w:p>
          <w:p w:rsidR="001C1121" w:rsidRPr="00BA3352" w:rsidRDefault="001C1121" w:rsidP="00E92500">
            <w:pPr>
              <w:widowControl/>
              <w:rPr>
                <w:rFonts w:ascii="Arial Narrow" w:hAnsi="Arial Narrow"/>
                <w:sz w:val="18"/>
                <w:szCs w:val="18"/>
                <w:lang w:val="es-ES_tradnl"/>
              </w:rPr>
            </w:pPr>
            <w:r w:rsidRPr="00BA3352">
              <w:rPr>
                <w:rFonts w:ascii="Arial Narrow" w:hAnsi="Arial Narrow"/>
                <w:sz w:val="18"/>
                <w:szCs w:val="18"/>
                <w:lang w:val="es-ES_tradnl"/>
              </w:rPr>
              <w:t>(ATLAS)</w:t>
            </w:r>
          </w:p>
        </w:tc>
        <w:tc>
          <w:tcPr>
            <w:tcW w:w="709"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315</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R, DB, 2A ESC, 24wk</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Low</w:t>
            </w:r>
          </w:p>
        </w:tc>
        <w:tc>
          <w:tcPr>
            <w:tcW w:w="1417"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AS; TNFα naïve</w:t>
            </w:r>
          </w:p>
        </w:tc>
        <w:tc>
          <w:tcPr>
            <w:tcW w:w="1134" w:type="dxa"/>
            <w:shd w:val="clear" w:color="auto" w:fill="auto"/>
            <w:vAlign w:val="center"/>
          </w:tcPr>
          <w:p w:rsidR="001C1121" w:rsidRPr="00BA3352" w:rsidRDefault="001C1121" w:rsidP="00E92500">
            <w:pPr>
              <w:widowControl/>
              <w:jc w:val="center"/>
              <w:rPr>
                <w:rFonts w:ascii="Arial Narrow" w:hAnsi="Arial Narrow"/>
                <w:bCs/>
                <w:sz w:val="18"/>
                <w:szCs w:val="18"/>
              </w:rPr>
            </w:pPr>
            <w:r w:rsidRPr="00BA3352">
              <w:rPr>
                <w:rFonts w:ascii="Arial Narrow" w:hAnsi="Arial Narrow"/>
                <w:bCs/>
                <w:sz w:val="18"/>
                <w:szCs w:val="18"/>
              </w:rPr>
              <w:t>1°:</w:t>
            </w:r>
            <w:r w:rsidRPr="00BA3352">
              <w:rPr>
                <w:rFonts w:ascii="Arial Narrow" w:hAnsi="Arial Narrow"/>
                <w:b/>
                <w:sz w:val="18"/>
                <w:szCs w:val="18"/>
              </w:rPr>
              <w:t xml:space="preserve"> </w:t>
            </w:r>
            <w:r w:rsidRPr="00BA3352">
              <w:rPr>
                <w:rFonts w:ascii="Arial Narrow" w:hAnsi="Arial Narrow"/>
                <w:bCs/>
                <w:sz w:val="18"/>
                <w:szCs w:val="18"/>
              </w:rPr>
              <w:t>ASAS20 wk12</w:t>
            </w:r>
          </w:p>
          <w:p w:rsidR="001C1121" w:rsidRPr="00BA3352" w:rsidRDefault="001C1121" w:rsidP="00E92500">
            <w:pPr>
              <w:widowControl/>
              <w:jc w:val="center"/>
              <w:rPr>
                <w:rFonts w:ascii="Arial Narrow" w:hAnsi="Arial Narrow"/>
                <w:sz w:val="18"/>
                <w:szCs w:val="18"/>
              </w:rPr>
            </w:pPr>
            <w:r w:rsidRPr="00BA3352">
              <w:rPr>
                <w:rFonts w:ascii="Arial Narrow" w:hAnsi="Arial Narrow"/>
                <w:bCs/>
                <w:sz w:val="18"/>
                <w:szCs w:val="18"/>
              </w:rPr>
              <w:t>2°: BASDAI50 wk12</w:t>
            </w:r>
          </w:p>
        </w:tc>
        <w:tc>
          <w:tcPr>
            <w:tcW w:w="1134" w:type="dxa"/>
            <w:vMerge/>
          </w:tcPr>
          <w:p w:rsidR="001C1121" w:rsidRPr="00BA3352" w:rsidRDefault="001C1121" w:rsidP="00E92500">
            <w:pPr>
              <w:widowControl/>
              <w:jc w:val="center"/>
              <w:rPr>
                <w:rFonts w:ascii="Arial Narrow" w:hAnsi="Arial Narrow"/>
                <w:sz w:val="18"/>
                <w:szCs w:val="18"/>
              </w:rPr>
            </w:pPr>
          </w:p>
        </w:tc>
      </w:tr>
      <w:tr w:rsidR="001C1121" w:rsidRPr="00BA3352" w:rsidTr="00123C80">
        <w:tc>
          <w:tcPr>
            <w:tcW w:w="1134" w:type="dxa"/>
            <w:shd w:val="clear" w:color="auto" w:fill="auto"/>
          </w:tcPr>
          <w:p w:rsidR="001C1121" w:rsidRPr="00BA3352" w:rsidRDefault="001C1121" w:rsidP="00E92500">
            <w:pPr>
              <w:widowControl/>
              <w:rPr>
                <w:rFonts w:ascii="Arial Narrow" w:hAnsi="Arial Narrow"/>
                <w:sz w:val="18"/>
                <w:szCs w:val="18"/>
                <w:lang w:val="pt-PT"/>
              </w:rPr>
            </w:pPr>
            <w:r w:rsidRPr="00BA3352">
              <w:rPr>
                <w:rFonts w:ascii="Arial Narrow" w:hAnsi="Arial Narrow"/>
                <w:sz w:val="18"/>
                <w:szCs w:val="18"/>
                <w:lang w:val="pt-PT"/>
              </w:rPr>
              <w:lastRenderedPageBreak/>
              <w:t>Huang 2014</w:t>
            </w:r>
          </w:p>
        </w:tc>
        <w:tc>
          <w:tcPr>
            <w:tcW w:w="709"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344</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R, DB, 2A, 24wk</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Low</w:t>
            </w:r>
          </w:p>
        </w:tc>
        <w:tc>
          <w:tcPr>
            <w:tcW w:w="1417"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AS; TNFα naïve</w:t>
            </w:r>
          </w:p>
        </w:tc>
        <w:tc>
          <w:tcPr>
            <w:tcW w:w="1134" w:type="dxa"/>
            <w:shd w:val="clear" w:color="auto" w:fill="auto"/>
            <w:vAlign w:val="center"/>
          </w:tcPr>
          <w:p w:rsidR="001C1121" w:rsidRPr="00BA3352" w:rsidRDefault="001C1121" w:rsidP="00E92500">
            <w:pPr>
              <w:widowControl/>
              <w:jc w:val="center"/>
              <w:rPr>
                <w:rFonts w:ascii="Arial Narrow" w:hAnsi="Arial Narrow"/>
                <w:bCs/>
                <w:sz w:val="18"/>
                <w:szCs w:val="18"/>
              </w:rPr>
            </w:pPr>
            <w:r w:rsidRPr="00BA3352">
              <w:rPr>
                <w:rFonts w:ascii="Arial Narrow" w:hAnsi="Arial Narrow"/>
                <w:bCs/>
                <w:sz w:val="18"/>
                <w:szCs w:val="18"/>
              </w:rPr>
              <w:t>1°:</w:t>
            </w:r>
            <w:r w:rsidRPr="00BA3352">
              <w:rPr>
                <w:rFonts w:ascii="Arial Narrow" w:hAnsi="Arial Narrow"/>
                <w:b/>
                <w:sz w:val="18"/>
                <w:szCs w:val="18"/>
              </w:rPr>
              <w:t xml:space="preserve"> </w:t>
            </w:r>
            <w:r w:rsidRPr="00BA3352">
              <w:rPr>
                <w:rFonts w:ascii="Arial Narrow" w:hAnsi="Arial Narrow"/>
                <w:bCs/>
                <w:sz w:val="18"/>
                <w:szCs w:val="18"/>
              </w:rPr>
              <w:t>ASAS20 wk12</w:t>
            </w:r>
          </w:p>
          <w:p w:rsidR="001C1121" w:rsidRPr="00BA3352" w:rsidRDefault="001C1121" w:rsidP="00E92500">
            <w:pPr>
              <w:widowControl/>
              <w:jc w:val="center"/>
              <w:rPr>
                <w:rFonts w:ascii="Arial Narrow" w:hAnsi="Arial Narrow"/>
                <w:sz w:val="18"/>
                <w:szCs w:val="18"/>
              </w:rPr>
            </w:pPr>
            <w:r w:rsidRPr="00BA3352">
              <w:rPr>
                <w:rFonts w:ascii="Arial Narrow" w:hAnsi="Arial Narrow"/>
                <w:bCs/>
                <w:sz w:val="18"/>
                <w:szCs w:val="18"/>
              </w:rPr>
              <w:t>2°: BASDAI50 wk12</w:t>
            </w:r>
          </w:p>
        </w:tc>
        <w:tc>
          <w:tcPr>
            <w:tcW w:w="1134" w:type="dxa"/>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 xml:space="preserve">CZP (Mar14) </w:t>
            </w:r>
          </w:p>
        </w:tc>
      </w:tr>
      <w:tr w:rsidR="001C1121" w:rsidRPr="00BA3352" w:rsidTr="00123C80">
        <w:tc>
          <w:tcPr>
            <w:tcW w:w="8363" w:type="dxa"/>
            <w:gridSpan w:val="7"/>
          </w:tcPr>
          <w:p w:rsidR="001C1121" w:rsidRPr="00BA3352" w:rsidRDefault="001C1121" w:rsidP="00E92500">
            <w:pPr>
              <w:widowControl/>
              <w:jc w:val="left"/>
              <w:rPr>
                <w:rFonts w:ascii="Arial Narrow" w:hAnsi="Arial Narrow"/>
                <w:b/>
                <w:bCs/>
                <w:sz w:val="18"/>
                <w:szCs w:val="18"/>
              </w:rPr>
            </w:pPr>
            <w:r w:rsidRPr="00BA3352">
              <w:rPr>
                <w:rFonts w:ascii="Arial Narrow" w:hAnsi="Arial Narrow"/>
                <w:b/>
                <w:bCs/>
                <w:sz w:val="18"/>
                <w:szCs w:val="18"/>
              </w:rPr>
              <w:t>ETC v PBO</w:t>
            </w:r>
          </w:p>
        </w:tc>
      </w:tr>
      <w:tr w:rsidR="001C1121" w:rsidRPr="00BA3352" w:rsidTr="00123C80">
        <w:tc>
          <w:tcPr>
            <w:tcW w:w="1134" w:type="dxa"/>
            <w:shd w:val="clear" w:color="auto" w:fill="auto"/>
          </w:tcPr>
          <w:p w:rsidR="001C1121" w:rsidRPr="00BA3352" w:rsidRDefault="001C1121" w:rsidP="00E92500">
            <w:pPr>
              <w:widowControl/>
              <w:rPr>
                <w:rFonts w:ascii="Arial Narrow" w:hAnsi="Arial Narrow"/>
                <w:sz w:val="18"/>
                <w:szCs w:val="18"/>
              </w:rPr>
            </w:pPr>
            <w:r w:rsidRPr="00BA3352">
              <w:rPr>
                <w:rFonts w:ascii="Arial Narrow" w:hAnsi="Arial Narrow"/>
                <w:sz w:val="18"/>
                <w:szCs w:val="18"/>
              </w:rPr>
              <w:t>Davis 2003</w:t>
            </w:r>
          </w:p>
        </w:tc>
        <w:tc>
          <w:tcPr>
            <w:tcW w:w="709"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277</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lang w:val="pt-PT"/>
              </w:rPr>
              <w:t>R, DB, 2A, 24wk</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Low</w:t>
            </w:r>
          </w:p>
        </w:tc>
        <w:tc>
          <w:tcPr>
            <w:tcW w:w="1417"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AS; TNFα naïve</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bCs/>
                <w:sz w:val="18"/>
                <w:szCs w:val="18"/>
              </w:rPr>
              <w:t>1°:</w:t>
            </w:r>
            <w:r w:rsidRPr="00BA3352">
              <w:rPr>
                <w:rFonts w:ascii="Arial Narrow" w:hAnsi="Arial Narrow"/>
                <w:b/>
                <w:sz w:val="18"/>
                <w:szCs w:val="18"/>
              </w:rPr>
              <w:t xml:space="preserve"> </w:t>
            </w:r>
            <w:r w:rsidRPr="00BA3352">
              <w:rPr>
                <w:rFonts w:ascii="Arial Narrow" w:hAnsi="Arial Narrow"/>
                <w:bCs/>
                <w:sz w:val="18"/>
                <w:szCs w:val="18"/>
              </w:rPr>
              <w:t>ASAS20 wk12</w:t>
            </w:r>
          </w:p>
        </w:tc>
        <w:tc>
          <w:tcPr>
            <w:tcW w:w="1134" w:type="dxa"/>
            <w:vMerge w:val="restart"/>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ETC (Jul 04)</w:t>
            </w:r>
          </w:p>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ADA (Nov 06)</w:t>
            </w:r>
          </w:p>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GOL (Mar 10)</w:t>
            </w:r>
          </w:p>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CZP (Mar 14)</w:t>
            </w:r>
          </w:p>
        </w:tc>
      </w:tr>
      <w:tr w:rsidR="001C1121" w:rsidRPr="00BA3352" w:rsidTr="00123C80">
        <w:tc>
          <w:tcPr>
            <w:tcW w:w="1134" w:type="dxa"/>
            <w:shd w:val="clear" w:color="auto" w:fill="auto"/>
          </w:tcPr>
          <w:p w:rsidR="001C1121" w:rsidRPr="00BA3352" w:rsidRDefault="001C1121" w:rsidP="00E92500">
            <w:pPr>
              <w:widowControl/>
              <w:rPr>
                <w:rFonts w:ascii="Arial Narrow" w:hAnsi="Arial Narrow"/>
                <w:sz w:val="18"/>
                <w:szCs w:val="18"/>
              </w:rPr>
            </w:pPr>
            <w:r w:rsidRPr="00BA3352">
              <w:rPr>
                <w:rFonts w:ascii="Arial Narrow" w:hAnsi="Arial Narrow"/>
                <w:sz w:val="18"/>
                <w:szCs w:val="18"/>
              </w:rPr>
              <w:t>Calin 2004</w:t>
            </w:r>
          </w:p>
        </w:tc>
        <w:tc>
          <w:tcPr>
            <w:tcW w:w="709"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84</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lang w:val="pt-PT"/>
              </w:rPr>
              <w:t>R, DB, 2A, 12wk</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Low</w:t>
            </w:r>
          </w:p>
        </w:tc>
        <w:tc>
          <w:tcPr>
            <w:tcW w:w="1417"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AS; TNFα naïve</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bCs/>
                <w:sz w:val="18"/>
                <w:szCs w:val="18"/>
              </w:rPr>
              <w:t>1°:</w:t>
            </w:r>
            <w:r w:rsidRPr="00BA3352">
              <w:rPr>
                <w:rFonts w:ascii="Arial Narrow" w:hAnsi="Arial Narrow"/>
                <w:b/>
                <w:sz w:val="18"/>
                <w:szCs w:val="18"/>
              </w:rPr>
              <w:t xml:space="preserve"> </w:t>
            </w:r>
            <w:r w:rsidRPr="00BA3352">
              <w:rPr>
                <w:rFonts w:ascii="Arial Narrow" w:hAnsi="Arial Narrow"/>
                <w:bCs/>
                <w:sz w:val="18"/>
                <w:szCs w:val="18"/>
              </w:rPr>
              <w:t>ASAS20 wk12</w:t>
            </w:r>
          </w:p>
        </w:tc>
        <w:tc>
          <w:tcPr>
            <w:tcW w:w="1134" w:type="dxa"/>
            <w:vMerge/>
          </w:tcPr>
          <w:p w:rsidR="001C1121" w:rsidRPr="00BA3352" w:rsidRDefault="001C1121" w:rsidP="00E92500">
            <w:pPr>
              <w:widowControl/>
              <w:jc w:val="center"/>
              <w:rPr>
                <w:rFonts w:ascii="Arial Narrow" w:hAnsi="Arial Narrow"/>
                <w:sz w:val="18"/>
                <w:szCs w:val="18"/>
              </w:rPr>
            </w:pPr>
          </w:p>
        </w:tc>
      </w:tr>
      <w:tr w:rsidR="001C1121" w:rsidRPr="00BA3352" w:rsidTr="00123C80">
        <w:tc>
          <w:tcPr>
            <w:tcW w:w="1134" w:type="dxa"/>
            <w:shd w:val="clear" w:color="auto" w:fill="auto"/>
          </w:tcPr>
          <w:p w:rsidR="001C1121" w:rsidRPr="00BA3352" w:rsidRDefault="001C1121" w:rsidP="00E92500">
            <w:pPr>
              <w:widowControl/>
              <w:rPr>
                <w:rFonts w:ascii="Arial Narrow" w:hAnsi="Arial Narrow"/>
                <w:sz w:val="18"/>
                <w:szCs w:val="18"/>
              </w:rPr>
            </w:pPr>
            <w:r w:rsidRPr="00BA3352">
              <w:rPr>
                <w:rFonts w:ascii="Arial Narrow" w:hAnsi="Arial Narrow"/>
                <w:sz w:val="18"/>
                <w:szCs w:val="18"/>
              </w:rPr>
              <w:t>Van der Heijde 2006b</w:t>
            </w:r>
          </w:p>
          <w:p w:rsidR="001C1121" w:rsidRPr="00BA3352" w:rsidRDefault="001C1121" w:rsidP="00E92500">
            <w:pPr>
              <w:widowControl/>
              <w:rPr>
                <w:rFonts w:ascii="Arial Narrow" w:hAnsi="Arial Narrow"/>
                <w:sz w:val="18"/>
                <w:szCs w:val="18"/>
              </w:rPr>
            </w:pPr>
            <w:r w:rsidRPr="00BA3352">
              <w:rPr>
                <w:rFonts w:ascii="Arial Narrow" w:hAnsi="Arial Narrow"/>
                <w:sz w:val="18"/>
                <w:szCs w:val="18"/>
              </w:rPr>
              <w:t>(Wyeth study)</w:t>
            </w:r>
          </w:p>
        </w:tc>
        <w:tc>
          <w:tcPr>
            <w:tcW w:w="709"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356</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lang w:val="pt-PT"/>
              </w:rPr>
              <w:t>R, DB, 3A, 12wk</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Low</w:t>
            </w:r>
          </w:p>
        </w:tc>
        <w:tc>
          <w:tcPr>
            <w:tcW w:w="1417"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AS; TNFα naïve</w:t>
            </w:r>
          </w:p>
        </w:tc>
        <w:tc>
          <w:tcPr>
            <w:tcW w:w="1134" w:type="dxa"/>
            <w:shd w:val="clear" w:color="auto" w:fill="auto"/>
            <w:vAlign w:val="center"/>
          </w:tcPr>
          <w:p w:rsidR="001C1121" w:rsidRPr="00BA3352" w:rsidRDefault="001C1121" w:rsidP="00E92500">
            <w:pPr>
              <w:widowControl/>
              <w:jc w:val="center"/>
              <w:rPr>
                <w:rFonts w:ascii="Arial Narrow" w:hAnsi="Arial Narrow"/>
                <w:bCs/>
                <w:sz w:val="18"/>
                <w:szCs w:val="18"/>
              </w:rPr>
            </w:pPr>
            <w:r w:rsidRPr="00BA3352">
              <w:rPr>
                <w:rFonts w:ascii="Arial Narrow" w:hAnsi="Arial Narrow"/>
                <w:bCs/>
                <w:sz w:val="18"/>
                <w:szCs w:val="18"/>
              </w:rPr>
              <w:t>1°:</w:t>
            </w:r>
            <w:r w:rsidRPr="00BA3352">
              <w:rPr>
                <w:rFonts w:ascii="Arial Narrow" w:hAnsi="Arial Narrow"/>
                <w:b/>
                <w:sz w:val="18"/>
                <w:szCs w:val="18"/>
              </w:rPr>
              <w:t xml:space="preserve"> </w:t>
            </w:r>
            <w:r w:rsidRPr="00BA3352">
              <w:rPr>
                <w:rFonts w:ascii="Arial Narrow" w:hAnsi="Arial Narrow"/>
                <w:bCs/>
                <w:sz w:val="18"/>
                <w:szCs w:val="18"/>
              </w:rPr>
              <w:t>ASAS20 wk12</w:t>
            </w:r>
          </w:p>
          <w:p w:rsidR="001C1121" w:rsidRPr="00BA3352" w:rsidRDefault="001C1121" w:rsidP="00E92500">
            <w:pPr>
              <w:widowControl/>
              <w:jc w:val="center"/>
              <w:rPr>
                <w:rFonts w:ascii="Arial Narrow" w:hAnsi="Arial Narrow"/>
                <w:sz w:val="18"/>
                <w:szCs w:val="18"/>
              </w:rPr>
            </w:pPr>
            <w:r w:rsidRPr="00BA3352">
              <w:rPr>
                <w:rFonts w:ascii="Arial Narrow" w:hAnsi="Arial Narrow"/>
                <w:bCs/>
                <w:sz w:val="18"/>
                <w:szCs w:val="18"/>
              </w:rPr>
              <w:t>2°: BASDAI50 wk12</w:t>
            </w:r>
          </w:p>
        </w:tc>
        <w:tc>
          <w:tcPr>
            <w:tcW w:w="1134" w:type="dxa"/>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GOL (Mar 10)</w:t>
            </w:r>
          </w:p>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CZP (Mar 14)</w:t>
            </w:r>
          </w:p>
        </w:tc>
      </w:tr>
      <w:tr w:rsidR="001C1121" w:rsidRPr="00BA3352" w:rsidTr="00123C80">
        <w:tc>
          <w:tcPr>
            <w:tcW w:w="1134" w:type="dxa"/>
            <w:shd w:val="clear" w:color="auto" w:fill="auto"/>
          </w:tcPr>
          <w:p w:rsidR="001C1121" w:rsidRPr="00BA3352" w:rsidRDefault="001C1121" w:rsidP="00E92500">
            <w:pPr>
              <w:widowControl/>
              <w:rPr>
                <w:rFonts w:ascii="Arial Narrow" w:hAnsi="Arial Narrow"/>
                <w:sz w:val="18"/>
                <w:szCs w:val="18"/>
              </w:rPr>
            </w:pPr>
            <w:r w:rsidRPr="00BA3352">
              <w:rPr>
                <w:rFonts w:ascii="Arial Narrow" w:hAnsi="Arial Narrow"/>
                <w:sz w:val="18"/>
                <w:szCs w:val="18"/>
              </w:rPr>
              <w:t>Barkham 2010</w:t>
            </w:r>
          </w:p>
        </w:tc>
        <w:tc>
          <w:tcPr>
            <w:tcW w:w="709"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40</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lang w:val="pt-PT"/>
              </w:rPr>
              <w:t>R, DB, 2A, 12wk</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Low</w:t>
            </w:r>
          </w:p>
        </w:tc>
        <w:tc>
          <w:tcPr>
            <w:tcW w:w="1417"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AS; TNFα naïve</w:t>
            </w:r>
          </w:p>
        </w:tc>
        <w:tc>
          <w:tcPr>
            <w:tcW w:w="1134" w:type="dxa"/>
            <w:shd w:val="clear" w:color="auto" w:fill="auto"/>
            <w:vAlign w:val="center"/>
          </w:tcPr>
          <w:p w:rsidR="001C1121" w:rsidRPr="00BA3352" w:rsidRDefault="001C1121" w:rsidP="00E92500">
            <w:pPr>
              <w:widowControl/>
              <w:jc w:val="center"/>
              <w:rPr>
                <w:rFonts w:ascii="Arial Narrow" w:hAnsi="Arial Narrow"/>
                <w:bCs/>
                <w:sz w:val="18"/>
                <w:szCs w:val="18"/>
              </w:rPr>
            </w:pPr>
            <w:r w:rsidRPr="00BA3352">
              <w:rPr>
                <w:rFonts w:ascii="Arial Narrow" w:hAnsi="Arial Narrow"/>
                <w:bCs/>
                <w:sz w:val="18"/>
                <w:szCs w:val="18"/>
              </w:rPr>
              <w:t>1°:</w:t>
            </w:r>
            <w:r w:rsidRPr="00BA3352">
              <w:rPr>
                <w:rFonts w:ascii="Arial Narrow" w:hAnsi="Arial Narrow"/>
                <w:b/>
                <w:sz w:val="18"/>
                <w:szCs w:val="18"/>
              </w:rPr>
              <w:t xml:space="preserve"> </w:t>
            </w:r>
            <w:r w:rsidRPr="00BA3352">
              <w:rPr>
                <w:rFonts w:ascii="Arial Narrow" w:hAnsi="Arial Narrow"/>
                <w:bCs/>
                <w:sz w:val="18"/>
                <w:szCs w:val="18"/>
              </w:rPr>
              <w:t>AS-WIS wk 12</w:t>
            </w:r>
          </w:p>
          <w:p w:rsidR="001C1121" w:rsidRPr="00BA3352" w:rsidRDefault="001C1121" w:rsidP="00E92500">
            <w:pPr>
              <w:widowControl/>
              <w:jc w:val="center"/>
              <w:rPr>
                <w:rFonts w:ascii="Arial Narrow" w:hAnsi="Arial Narrow"/>
                <w:sz w:val="18"/>
                <w:szCs w:val="18"/>
              </w:rPr>
            </w:pPr>
            <w:r w:rsidRPr="00BA3352">
              <w:rPr>
                <w:rFonts w:ascii="Arial Narrow" w:hAnsi="Arial Narrow"/>
                <w:bCs/>
                <w:sz w:val="18"/>
                <w:szCs w:val="18"/>
              </w:rPr>
              <w:t>2°: BASDAI50 wk12</w:t>
            </w:r>
          </w:p>
        </w:tc>
        <w:tc>
          <w:tcPr>
            <w:tcW w:w="1134" w:type="dxa"/>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CZP (Mar 14)</w:t>
            </w:r>
          </w:p>
        </w:tc>
      </w:tr>
      <w:tr w:rsidR="001C1121" w:rsidRPr="00BA3352" w:rsidTr="00123C80">
        <w:tc>
          <w:tcPr>
            <w:tcW w:w="1134" w:type="dxa"/>
            <w:shd w:val="clear" w:color="auto" w:fill="auto"/>
          </w:tcPr>
          <w:p w:rsidR="001C1121" w:rsidRPr="00BA3352" w:rsidRDefault="001C1121" w:rsidP="00E92500">
            <w:pPr>
              <w:widowControl/>
              <w:rPr>
                <w:rFonts w:ascii="Arial Narrow" w:hAnsi="Arial Narrow"/>
                <w:sz w:val="18"/>
                <w:szCs w:val="18"/>
              </w:rPr>
            </w:pPr>
            <w:r w:rsidRPr="00BA3352">
              <w:rPr>
                <w:rFonts w:ascii="Arial Narrow" w:hAnsi="Arial Narrow"/>
                <w:sz w:val="18"/>
                <w:szCs w:val="18"/>
              </w:rPr>
              <w:t xml:space="preserve">Dougados 2011 </w:t>
            </w:r>
          </w:p>
          <w:p w:rsidR="001C1121" w:rsidRPr="00BA3352" w:rsidRDefault="001C1121" w:rsidP="00E92500">
            <w:pPr>
              <w:widowControl/>
              <w:rPr>
                <w:rFonts w:ascii="Arial Narrow" w:hAnsi="Arial Narrow"/>
                <w:sz w:val="18"/>
                <w:szCs w:val="18"/>
              </w:rPr>
            </w:pPr>
            <w:r w:rsidRPr="00BA3352">
              <w:rPr>
                <w:rFonts w:ascii="Arial Narrow" w:hAnsi="Arial Narrow"/>
                <w:sz w:val="18"/>
                <w:szCs w:val="18"/>
              </w:rPr>
              <w:t>(SPINE)</w:t>
            </w:r>
          </w:p>
        </w:tc>
        <w:tc>
          <w:tcPr>
            <w:tcW w:w="709"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82</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lang w:val="pt-PT"/>
              </w:rPr>
              <w:t>R, DB, 2A, 12wk</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Low</w:t>
            </w:r>
          </w:p>
        </w:tc>
        <w:tc>
          <w:tcPr>
            <w:tcW w:w="1417"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AS; TNFα naïve</w:t>
            </w:r>
          </w:p>
        </w:tc>
        <w:tc>
          <w:tcPr>
            <w:tcW w:w="1134" w:type="dxa"/>
            <w:shd w:val="clear" w:color="auto" w:fill="auto"/>
            <w:vAlign w:val="center"/>
          </w:tcPr>
          <w:p w:rsidR="001C1121" w:rsidRPr="00BA3352" w:rsidRDefault="001C1121" w:rsidP="00E92500">
            <w:pPr>
              <w:widowControl/>
              <w:jc w:val="center"/>
              <w:rPr>
                <w:rFonts w:ascii="Arial Narrow" w:hAnsi="Arial Narrow"/>
                <w:bCs/>
                <w:sz w:val="18"/>
                <w:szCs w:val="18"/>
              </w:rPr>
            </w:pPr>
            <w:r w:rsidRPr="00BA3352">
              <w:rPr>
                <w:rFonts w:ascii="Arial Narrow" w:hAnsi="Arial Narrow"/>
                <w:bCs/>
                <w:sz w:val="18"/>
                <w:szCs w:val="18"/>
              </w:rPr>
              <w:t>1°: BASDAI</w:t>
            </w:r>
            <w:r w:rsidRPr="00BA3352">
              <w:rPr>
                <w:rFonts w:ascii="Arial Narrow" w:hAnsi="Arial Narrow"/>
                <w:bCs/>
                <w:sz w:val="18"/>
                <w:szCs w:val="18"/>
                <w:vertAlign w:val="superscript"/>
              </w:rPr>
              <w:t>e</w:t>
            </w:r>
            <w:r w:rsidRPr="00BA3352">
              <w:rPr>
                <w:rFonts w:ascii="Arial Narrow" w:hAnsi="Arial Narrow"/>
                <w:bCs/>
                <w:sz w:val="18"/>
                <w:szCs w:val="18"/>
              </w:rPr>
              <w:t xml:space="preserve"> wk12</w:t>
            </w:r>
          </w:p>
          <w:p w:rsidR="001C1121" w:rsidRPr="00BA3352" w:rsidRDefault="001C1121" w:rsidP="00E92500">
            <w:pPr>
              <w:widowControl/>
              <w:jc w:val="center"/>
              <w:rPr>
                <w:rFonts w:ascii="Arial Narrow" w:hAnsi="Arial Narrow"/>
                <w:sz w:val="18"/>
                <w:szCs w:val="18"/>
              </w:rPr>
            </w:pPr>
            <w:r w:rsidRPr="00BA3352">
              <w:rPr>
                <w:rFonts w:ascii="Arial Narrow" w:hAnsi="Arial Narrow"/>
                <w:bCs/>
                <w:sz w:val="18"/>
                <w:szCs w:val="18"/>
              </w:rPr>
              <w:t>2°:</w:t>
            </w:r>
            <w:r w:rsidRPr="00BA3352">
              <w:rPr>
                <w:rFonts w:ascii="Arial Narrow" w:hAnsi="Arial Narrow"/>
                <w:b/>
                <w:sz w:val="18"/>
                <w:szCs w:val="18"/>
              </w:rPr>
              <w:t xml:space="preserve"> </w:t>
            </w:r>
            <w:r w:rsidRPr="00BA3352">
              <w:rPr>
                <w:rFonts w:ascii="Arial Narrow" w:hAnsi="Arial Narrow"/>
                <w:bCs/>
                <w:sz w:val="18"/>
                <w:szCs w:val="18"/>
              </w:rPr>
              <w:t>ASAS20 wk12</w:t>
            </w:r>
          </w:p>
        </w:tc>
        <w:tc>
          <w:tcPr>
            <w:tcW w:w="1134" w:type="dxa"/>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 xml:space="preserve">CZP (Mar 14) </w:t>
            </w:r>
          </w:p>
        </w:tc>
      </w:tr>
      <w:tr w:rsidR="001C1121" w:rsidRPr="00BA3352" w:rsidTr="00123C80">
        <w:tc>
          <w:tcPr>
            <w:tcW w:w="8363" w:type="dxa"/>
            <w:gridSpan w:val="7"/>
          </w:tcPr>
          <w:p w:rsidR="001C1121" w:rsidRPr="00BA3352" w:rsidRDefault="001C1121" w:rsidP="00E92500">
            <w:pPr>
              <w:widowControl/>
              <w:jc w:val="left"/>
              <w:rPr>
                <w:rFonts w:ascii="Arial Narrow" w:hAnsi="Arial Narrow"/>
                <w:b/>
                <w:bCs/>
                <w:sz w:val="18"/>
                <w:szCs w:val="18"/>
              </w:rPr>
            </w:pPr>
            <w:r w:rsidRPr="00BA3352">
              <w:rPr>
                <w:rFonts w:ascii="Arial Narrow" w:hAnsi="Arial Narrow"/>
                <w:b/>
                <w:bCs/>
                <w:sz w:val="18"/>
                <w:szCs w:val="18"/>
              </w:rPr>
              <w:t>GOL v PBO</w:t>
            </w:r>
          </w:p>
        </w:tc>
      </w:tr>
      <w:tr w:rsidR="001C1121" w:rsidRPr="00BA3352" w:rsidTr="00123C80">
        <w:tc>
          <w:tcPr>
            <w:tcW w:w="1134" w:type="dxa"/>
            <w:shd w:val="clear" w:color="auto" w:fill="auto"/>
            <w:vAlign w:val="center"/>
          </w:tcPr>
          <w:p w:rsidR="001C1121" w:rsidRPr="00BA3352" w:rsidRDefault="001C1121" w:rsidP="00E92500">
            <w:pPr>
              <w:widowControl/>
              <w:jc w:val="left"/>
              <w:rPr>
                <w:rFonts w:ascii="Arial Narrow" w:hAnsi="Arial Narrow"/>
                <w:sz w:val="18"/>
                <w:szCs w:val="18"/>
              </w:rPr>
            </w:pPr>
            <w:r w:rsidRPr="00BA3352">
              <w:rPr>
                <w:rFonts w:ascii="Arial Narrow" w:hAnsi="Arial Narrow"/>
                <w:sz w:val="18"/>
                <w:szCs w:val="18"/>
              </w:rPr>
              <w:t>Inman 2008</w:t>
            </w:r>
          </w:p>
          <w:p w:rsidR="001C1121" w:rsidRPr="00BA3352" w:rsidRDefault="001C1121" w:rsidP="00E92500">
            <w:pPr>
              <w:widowControl/>
              <w:jc w:val="left"/>
              <w:rPr>
                <w:rFonts w:ascii="Arial Narrow" w:hAnsi="Arial Narrow"/>
                <w:sz w:val="18"/>
                <w:szCs w:val="18"/>
              </w:rPr>
            </w:pPr>
            <w:r w:rsidRPr="00BA3352">
              <w:rPr>
                <w:rFonts w:ascii="Arial Narrow" w:hAnsi="Arial Narrow"/>
                <w:sz w:val="18"/>
                <w:szCs w:val="18"/>
              </w:rPr>
              <w:t>(GO RAISE)</w:t>
            </w:r>
          </w:p>
        </w:tc>
        <w:tc>
          <w:tcPr>
            <w:tcW w:w="709"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356</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R, DB, 3A ESC, 24wk</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Low</w:t>
            </w:r>
          </w:p>
        </w:tc>
        <w:tc>
          <w:tcPr>
            <w:tcW w:w="1417"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AS; TNFα naïve</w:t>
            </w:r>
          </w:p>
        </w:tc>
        <w:tc>
          <w:tcPr>
            <w:tcW w:w="1134" w:type="dxa"/>
            <w:shd w:val="clear" w:color="auto" w:fill="auto"/>
            <w:vAlign w:val="center"/>
          </w:tcPr>
          <w:p w:rsidR="001C1121" w:rsidRPr="00BA3352" w:rsidRDefault="001C1121" w:rsidP="00E92500">
            <w:pPr>
              <w:widowControl/>
              <w:jc w:val="center"/>
              <w:rPr>
                <w:rFonts w:ascii="Arial Narrow" w:hAnsi="Arial Narrow"/>
                <w:bCs/>
                <w:sz w:val="18"/>
                <w:szCs w:val="18"/>
              </w:rPr>
            </w:pPr>
            <w:r w:rsidRPr="00BA3352">
              <w:rPr>
                <w:rFonts w:ascii="Arial Narrow" w:hAnsi="Arial Narrow"/>
                <w:bCs/>
                <w:sz w:val="18"/>
                <w:szCs w:val="18"/>
              </w:rPr>
              <w:t>1°:</w:t>
            </w:r>
            <w:r w:rsidRPr="00BA3352">
              <w:rPr>
                <w:rFonts w:ascii="Arial Narrow" w:hAnsi="Arial Narrow"/>
                <w:b/>
                <w:sz w:val="18"/>
                <w:szCs w:val="18"/>
              </w:rPr>
              <w:t xml:space="preserve"> </w:t>
            </w:r>
            <w:r w:rsidRPr="00BA3352">
              <w:rPr>
                <w:rFonts w:ascii="Arial Narrow" w:hAnsi="Arial Narrow"/>
                <w:bCs/>
                <w:sz w:val="18"/>
                <w:szCs w:val="18"/>
              </w:rPr>
              <w:t>ASAS20 wk</w:t>
            </w:r>
            <w:r w:rsidRPr="00BA3352">
              <w:rPr>
                <w:rFonts w:ascii="Arial Narrow" w:hAnsi="Arial Narrow"/>
                <w:bCs/>
                <w:sz w:val="18"/>
                <w:szCs w:val="18"/>
                <w:u w:val="single"/>
              </w:rPr>
              <w:t>14</w:t>
            </w:r>
          </w:p>
          <w:p w:rsidR="001C1121" w:rsidRPr="00BA3352" w:rsidRDefault="001C1121" w:rsidP="00E92500">
            <w:pPr>
              <w:widowControl/>
              <w:jc w:val="center"/>
              <w:rPr>
                <w:rFonts w:ascii="Arial Narrow" w:hAnsi="Arial Narrow"/>
                <w:sz w:val="18"/>
                <w:szCs w:val="18"/>
              </w:rPr>
            </w:pPr>
            <w:r w:rsidRPr="00BA3352">
              <w:rPr>
                <w:rFonts w:ascii="Arial Narrow" w:hAnsi="Arial Narrow"/>
                <w:bCs/>
                <w:sz w:val="18"/>
                <w:szCs w:val="18"/>
              </w:rPr>
              <w:t>2°: BASDAI50 wk</w:t>
            </w:r>
            <w:r w:rsidRPr="00BA3352">
              <w:rPr>
                <w:rFonts w:ascii="Arial Narrow" w:hAnsi="Arial Narrow"/>
                <w:bCs/>
                <w:sz w:val="18"/>
                <w:szCs w:val="18"/>
                <w:u w:val="single"/>
              </w:rPr>
              <w:t>14</w:t>
            </w:r>
          </w:p>
        </w:tc>
        <w:tc>
          <w:tcPr>
            <w:tcW w:w="1134" w:type="dxa"/>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GOL (Mar 10)</w:t>
            </w:r>
          </w:p>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CZP (Mar 14)</w:t>
            </w:r>
          </w:p>
        </w:tc>
      </w:tr>
      <w:tr w:rsidR="001C1121" w:rsidRPr="00BA3352" w:rsidTr="00123C80">
        <w:tc>
          <w:tcPr>
            <w:tcW w:w="1134" w:type="dxa"/>
            <w:shd w:val="clear" w:color="auto" w:fill="auto"/>
            <w:vAlign w:val="center"/>
          </w:tcPr>
          <w:p w:rsidR="001C1121" w:rsidRPr="00BA3352" w:rsidRDefault="001C1121" w:rsidP="00E92500">
            <w:pPr>
              <w:widowControl/>
              <w:jc w:val="left"/>
              <w:rPr>
                <w:rFonts w:ascii="Arial Narrow" w:hAnsi="Arial Narrow"/>
                <w:sz w:val="18"/>
                <w:szCs w:val="18"/>
              </w:rPr>
            </w:pPr>
            <w:r w:rsidRPr="00BA3352">
              <w:rPr>
                <w:rFonts w:ascii="Arial Narrow" w:hAnsi="Arial Narrow"/>
                <w:sz w:val="18"/>
                <w:szCs w:val="18"/>
              </w:rPr>
              <w:t>Bao 2014</w:t>
            </w:r>
          </w:p>
        </w:tc>
        <w:tc>
          <w:tcPr>
            <w:tcW w:w="709"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213</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R, DB, 2A ESC, 48wk</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Low</w:t>
            </w:r>
          </w:p>
        </w:tc>
        <w:tc>
          <w:tcPr>
            <w:tcW w:w="1417"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AS; TNFα naïve</w:t>
            </w:r>
          </w:p>
        </w:tc>
        <w:tc>
          <w:tcPr>
            <w:tcW w:w="1134" w:type="dxa"/>
            <w:shd w:val="clear" w:color="auto" w:fill="auto"/>
            <w:vAlign w:val="center"/>
          </w:tcPr>
          <w:p w:rsidR="001C1121" w:rsidRPr="00BA3352" w:rsidRDefault="001C1121" w:rsidP="00E92500">
            <w:pPr>
              <w:widowControl/>
              <w:jc w:val="center"/>
              <w:rPr>
                <w:rFonts w:ascii="Arial Narrow" w:hAnsi="Arial Narrow"/>
                <w:bCs/>
                <w:sz w:val="18"/>
                <w:szCs w:val="18"/>
              </w:rPr>
            </w:pPr>
            <w:r w:rsidRPr="00BA3352">
              <w:rPr>
                <w:rFonts w:ascii="Arial Narrow" w:hAnsi="Arial Narrow"/>
                <w:bCs/>
                <w:sz w:val="18"/>
                <w:szCs w:val="18"/>
              </w:rPr>
              <w:t>1°:</w:t>
            </w:r>
            <w:r w:rsidRPr="00BA3352">
              <w:rPr>
                <w:rFonts w:ascii="Arial Narrow" w:hAnsi="Arial Narrow"/>
                <w:b/>
                <w:sz w:val="18"/>
                <w:szCs w:val="18"/>
              </w:rPr>
              <w:t xml:space="preserve"> </w:t>
            </w:r>
            <w:r w:rsidRPr="00BA3352">
              <w:rPr>
                <w:rFonts w:ascii="Arial Narrow" w:hAnsi="Arial Narrow"/>
                <w:bCs/>
                <w:sz w:val="18"/>
                <w:szCs w:val="18"/>
              </w:rPr>
              <w:t>ASAS20 wk</w:t>
            </w:r>
            <w:r w:rsidRPr="00BA3352">
              <w:rPr>
                <w:rFonts w:ascii="Arial Narrow" w:hAnsi="Arial Narrow"/>
                <w:bCs/>
                <w:sz w:val="18"/>
                <w:szCs w:val="18"/>
                <w:u w:val="single"/>
              </w:rPr>
              <w:t>14</w:t>
            </w:r>
          </w:p>
        </w:tc>
        <w:tc>
          <w:tcPr>
            <w:tcW w:w="1134" w:type="dxa"/>
          </w:tcPr>
          <w:p w:rsidR="001C1121" w:rsidRPr="00BA3352" w:rsidRDefault="001C1121" w:rsidP="00E92500">
            <w:pPr>
              <w:widowControl/>
              <w:jc w:val="center"/>
              <w:rPr>
                <w:rFonts w:ascii="Arial Narrow" w:hAnsi="Arial Narrow"/>
                <w:iCs/>
                <w:sz w:val="18"/>
                <w:szCs w:val="18"/>
              </w:rPr>
            </w:pPr>
            <w:r w:rsidRPr="00BA3352">
              <w:rPr>
                <w:rFonts w:ascii="Arial Narrow" w:hAnsi="Arial Narrow"/>
                <w:iCs/>
                <w:sz w:val="18"/>
                <w:szCs w:val="18"/>
              </w:rPr>
              <w:t>No</w:t>
            </w:r>
            <w:r w:rsidRPr="00BA3352">
              <w:rPr>
                <w:rFonts w:ascii="Arial Narrow" w:hAnsi="Arial Narrow"/>
                <w:iCs/>
                <w:sz w:val="18"/>
                <w:szCs w:val="18"/>
                <w:vertAlign w:val="superscript"/>
              </w:rPr>
              <w:t xml:space="preserve">b </w:t>
            </w:r>
          </w:p>
        </w:tc>
      </w:tr>
      <w:tr w:rsidR="001C1121" w:rsidRPr="00BA3352" w:rsidTr="00123C80">
        <w:tc>
          <w:tcPr>
            <w:tcW w:w="8363" w:type="dxa"/>
            <w:gridSpan w:val="7"/>
          </w:tcPr>
          <w:p w:rsidR="001C1121" w:rsidRPr="00BA3352" w:rsidRDefault="001C1121" w:rsidP="00E92500">
            <w:pPr>
              <w:widowControl/>
              <w:jc w:val="left"/>
              <w:rPr>
                <w:rFonts w:ascii="Arial Narrow" w:hAnsi="Arial Narrow"/>
                <w:sz w:val="18"/>
                <w:szCs w:val="18"/>
              </w:rPr>
            </w:pPr>
            <w:r w:rsidRPr="00BA3352">
              <w:rPr>
                <w:rFonts w:ascii="Arial Narrow" w:hAnsi="Arial Narrow"/>
                <w:b/>
                <w:bCs/>
                <w:sz w:val="18"/>
                <w:szCs w:val="18"/>
              </w:rPr>
              <w:t>INF v PBO</w:t>
            </w:r>
          </w:p>
        </w:tc>
      </w:tr>
      <w:tr w:rsidR="001C1121" w:rsidRPr="00BA3352" w:rsidTr="00123C80">
        <w:tc>
          <w:tcPr>
            <w:tcW w:w="1134" w:type="dxa"/>
            <w:shd w:val="clear" w:color="auto" w:fill="auto"/>
            <w:vAlign w:val="center"/>
          </w:tcPr>
          <w:p w:rsidR="001C1121" w:rsidRPr="00BA3352" w:rsidRDefault="001C1121" w:rsidP="00E92500">
            <w:pPr>
              <w:widowControl/>
              <w:jc w:val="left"/>
              <w:rPr>
                <w:rFonts w:ascii="Arial Narrow" w:hAnsi="Arial Narrow"/>
                <w:sz w:val="18"/>
                <w:szCs w:val="18"/>
              </w:rPr>
            </w:pPr>
            <w:r w:rsidRPr="00BA3352">
              <w:rPr>
                <w:rFonts w:ascii="Arial Narrow" w:hAnsi="Arial Narrow"/>
                <w:sz w:val="18"/>
                <w:szCs w:val="18"/>
              </w:rPr>
              <w:t>Braun 2002</w:t>
            </w:r>
          </w:p>
        </w:tc>
        <w:tc>
          <w:tcPr>
            <w:tcW w:w="709" w:type="dxa"/>
            <w:shd w:val="clear" w:color="auto" w:fill="auto"/>
            <w:vAlign w:val="center"/>
          </w:tcPr>
          <w:p w:rsidR="001C1121" w:rsidRPr="00BA3352" w:rsidRDefault="001C1121" w:rsidP="00E92500">
            <w:pPr>
              <w:widowControl/>
              <w:jc w:val="center"/>
              <w:rPr>
                <w:rFonts w:ascii="Arial Narrow" w:hAnsi="Arial Narrow"/>
                <w:iCs/>
                <w:sz w:val="18"/>
                <w:szCs w:val="18"/>
              </w:rPr>
            </w:pPr>
            <w:r w:rsidRPr="00BA3352">
              <w:rPr>
                <w:rFonts w:ascii="Arial Narrow" w:hAnsi="Arial Narrow"/>
                <w:iCs/>
                <w:sz w:val="18"/>
                <w:szCs w:val="18"/>
              </w:rPr>
              <w:t>70</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R, DB, 2A, 12wk</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rPr>
              <w:t>Low</w:t>
            </w:r>
          </w:p>
        </w:tc>
        <w:tc>
          <w:tcPr>
            <w:tcW w:w="1417"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AS; TNFα naïve</w:t>
            </w:r>
          </w:p>
        </w:tc>
        <w:tc>
          <w:tcPr>
            <w:tcW w:w="1134" w:type="dxa"/>
            <w:shd w:val="clear" w:color="auto" w:fill="auto"/>
            <w:vAlign w:val="center"/>
          </w:tcPr>
          <w:p w:rsidR="001C1121" w:rsidRPr="00BA3352" w:rsidRDefault="001C1121" w:rsidP="00E92500">
            <w:pPr>
              <w:widowControl/>
              <w:jc w:val="center"/>
              <w:rPr>
                <w:rFonts w:ascii="Arial Narrow" w:hAnsi="Arial Narrow"/>
                <w:bCs/>
                <w:sz w:val="18"/>
                <w:szCs w:val="18"/>
              </w:rPr>
            </w:pPr>
            <w:r w:rsidRPr="00BA3352">
              <w:rPr>
                <w:rFonts w:ascii="Arial Narrow" w:hAnsi="Arial Narrow"/>
                <w:bCs/>
                <w:sz w:val="18"/>
                <w:szCs w:val="18"/>
              </w:rPr>
              <w:t>1°: BASDAI50 wk12</w:t>
            </w:r>
          </w:p>
        </w:tc>
        <w:tc>
          <w:tcPr>
            <w:tcW w:w="1134" w:type="dxa"/>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INF (Dec 03)</w:t>
            </w:r>
          </w:p>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ETC (Jul 04)</w:t>
            </w:r>
          </w:p>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GOL (Mar 10)</w:t>
            </w:r>
          </w:p>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CZP (Mar 14)</w:t>
            </w:r>
          </w:p>
        </w:tc>
      </w:tr>
      <w:tr w:rsidR="001C1121" w:rsidRPr="00BA3352" w:rsidTr="00123C80">
        <w:tc>
          <w:tcPr>
            <w:tcW w:w="1134" w:type="dxa"/>
            <w:shd w:val="clear" w:color="auto" w:fill="auto"/>
            <w:vAlign w:val="center"/>
          </w:tcPr>
          <w:p w:rsidR="001C1121" w:rsidRPr="00BA3352" w:rsidRDefault="001C1121" w:rsidP="00E92500">
            <w:pPr>
              <w:widowControl/>
              <w:jc w:val="left"/>
              <w:rPr>
                <w:rFonts w:ascii="Arial Narrow" w:hAnsi="Arial Narrow"/>
                <w:sz w:val="18"/>
                <w:szCs w:val="18"/>
              </w:rPr>
            </w:pPr>
            <w:r w:rsidRPr="00BA3352">
              <w:rPr>
                <w:rFonts w:ascii="Arial Narrow" w:hAnsi="Arial Narrow"/>
                <w:sz w:val="18"/>
                <w:szCs w:val="18"/>
              </w:rPr>
              <w:t>Van der Heijde 2005</w:t>
            </w:r>
          </w:p>
          <w:p w:rsidR="001C1121" w:rsidRPr="00BA3352" w:rsidRDefault="001C1121" w:rsidP="00E92500">
            <w:pPr>
              <w:widowControl/>
              <w:jc w:val="left"/>
              <w:rPr>
                <w:rFonts w:ascii="Arial Narrow" w:hAnsi="Arial Narrow"/>
                <w:sz w:val="18"/>
                <w:szCs w:val="18"/>
              </w:rPr>
            </w:pPr>
            <w:r w:rsidRPr="00BA3352">
              <w:rPr>
                <w:rFonts w:ascii="Arial Narrow" w:hAnsi="Arial Narrow"/>
                <w:sz w:val="18"/>
                <w:szCs w:val="18"/>
              </w:rPr>
              <w:t>(ASSERT)</w:t>
            </w:r>
          </w:p>
        </w:tc>
        <w:tc>
          <w:tcPr>
            <w:tcW w:w="709"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279</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R, DB, 2A, 24wk</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lang w:val="pt-PT"/>
              </w:rPr>
              <w:t>Low</w:t>
            </w:r>
          </w:p>
        </w:tc>
        <w:tc>
          <w:tcPr>
            <w:tcW w:w="1417"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AS; TNFα naïve</w:t>
            </w:r>
          </w:p>
        </w:tc>
        <w:tc>
          <w:tcPr>
            <w:tcW w:w="1134" w:type="dxa"/>
            <w:shd w:val="clear" w:color="auto" w:fill="auto"/>
            <w:vAlign w:val="center"/>
          </w:tcPr>
          <w:p w:rsidR="001C1121" w:rsidRPr="00BA3352" w:rsidRDefault="001C1121" w:rsidP="00E92500">
            <w:pPr>
              <w:widowControl/>
              <w:jc w:val="center"/>
              <w:rPr>
                <w:rFonts w:ascii="Arial Narrow" w:hAnsi="Arial Narrow"/>
                <w:bCs/>
                <w:iCs/>
                <w:sz w:val="18"/>
                <w:szCs w:val="18"/>
              </w:rPr>
            </w:pPr>
            <w:r w:rsidRPr="00BA3352">
              <w:rPr>
                <w:rFonts w:ascii="Arial Narrow" w:hAnsi="Arial Narrow"/>
                <w:bCs/>
                <w:iCs/>
                <w:sz w:val="18"/>
                <w:szCs w:val="18"/>
              </w:rPr>
              <w:t>1°:</w:t>
            </w:r>
            <w:r w:rsidRPr="00BA3352">
              <w:rPr>
                <w:rFonts w:ascii="Arial Narrow" w:hAnsi="Arial Narrow"/>
                <w:b/>
                <w:iCs/>
                <w:sz w:val="18"/>
                <w:szCs w:val="18"/>
              </w:rPr>
              <w:t xml:space="preserve"> </w:t>
            </w:r>
            <w:r w:rsidRPr="00BA3352">
              <w:rPr>
                <w:rFonts w:ascii="Arial Narrow" w:hAnsi="Arial Narrow"/>
                <w:bCs/>
                <w:iCs/>
                <w:sz w:val="18"/>
                <w:szCs w:val="18"/>
              </w:rPr>
              <w:t>ASAS20 wk</w:t>
            </w:r>
            <w:r w:rsidRPr="00BA3352">
              <w:rPr>
                <w:rFonts w:ascii="Arial Narrow" w:hAnsi="Arial Narrow"/>
                <w:bCs/>
                <w:iCs/>
                <w:sz w:val="18"/>
                <w:szCs w:val="18"/>
                <w:u w:val="single"/>
              </w:rPr>
              <w:t>24</w:t>
            </w:r>
          </w:p>
          <w:p w:rsidR="001C1121" w:rsidRPr="00BA3352" w:rsidRDefault="001C1121" w:rsidP="00E92500">
            <w:pPr>
              <w:widowControl/>
              <w:jc w:val="center"/>
              <w:rPr>
                <w:rFonts w:ascii="Arial Narrow" w:hAnsi="Arial Narrow"/>
                <w:sz w:val="18"/>
                <w:szCs w:val="18"/>
              </w:rPr>
            </w:pPr>
            <w:r w:rsidRPr="00BA3352">
              <w:rPr>
                <w:rFonts w:ascii="Arial Narrow" w:hAnsi="Arial Narrow"/>
                <w:bCs/>
                <w:iCs/>
                <w:sz w:val="18"/>
                <w:szCs w:val="18"/>
              </w:rPr>
              <w:t>2°: BASDAI50 wk</w:t>
            </w:r>
            <w:r w:rsidRPr="00BA3352">
              <w:rPr>
                <w:rFonts w:ascii="Arial Narrow" w:hAnsi="Arial Narrow"/>
                <w:bCs/>
                <w:iCs/>
                <w:sz w:val="18"/>
                <w:szCs w:val="18"/>
                <w:u w:val="single"/>
              </w:rPr>
              <w:t>24</w:t>
            </w:r>
          </w:p>
        </w:tc>
        <w:tc>
          <w:tcPr>
            <w:tcW w:w="1134" w:type="dxa"/>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GOL (Mar 10)</w:t>
            </w:r>
          </w:p>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CZP (Mar 14)</w:t>
            </w:r>
          </w:p>
        </w:tc>
      </w:tr>
      <w:tr w:rsidR="001C1121" w:rsidRPr="00BA3352" w:rsidTr="00123C80">
        <w:tc>
          <w:tcPr>
            <w:tcW w:w="8363" w:type="dxa"/>
            <w:gridSpan w:val="7"/>
          </w:tcPr>
          <w:p w:rsidR="001C1121" w:rsidRPr="00BA3352" w:rsidRDefault="001C1121" w:rsidP="00E92500">
            <w:pPr>
              <w:widowControl/>
              <w:jc w:val="left"/>
              <w:rPr>
                <w:rFonts w:ascii="Arial Narrow" w:hAnsi="Arial Narrow"/>
                <w:sz w:val="18"/>
                <w:szCs w:val="18"/>
              </w:rPr>
            </w:pPr>
            <w:r w:rsidRPr="00BA3352">
              <w:rPr>
                <w:rFonts w:ascii="Arial Narrow" w:hAnsi="Arial Narrow"/>
                <w:b/>
                <w:sz w:val="18"/>
                <w:szCs w:val="18"/>
              </w:rPr>
              <w:t>CZP v PBO</w:t>
            </w:r>
          </w:p>
        </w:tc>
      </w:tr>
      <w:tr w:rsidR="001C1121" w:rsidRPr="00BA3352" w:rsidTr="00123C80">
        <w:tc>
          <w:tcPr>
            <w:tcW w:w="1134" w:type="dxa"/>
            <w:shd w:val="clear" w:color="auto" w:fill="auto"/>
            <w:vAlign w:val="center"/>
          </w:tcPr>
          <w:p w:rsidR="001C1121" w:rsidRPr="00BA3352" w:rsidRDefault="001C1121" w:rsidP="00E92500">
            <w:pPr>
              <w:widowControl/>
              <w:jc w:val="left"/>
              <w:rPr>
                <w:rFonts w:ascii="Arial Narrow" w:hAnsi="Arial Narrow"/>
                <w:sz w:val="18"/>
                <w:szCs w:val="18"/>
              </w:rPr>
            </w:pPr>
            <w:r w:rsidRPr="00BA3352">
              <w:rPr>
                <w:rFonts w:ascii="Arial Narrow" w:hAnsi="Arial Narrow"/>
                <w:sz w:val="18"/>
                <w:szCs w:val="18"/>
              </w:rPr>
              <w:t>Landewe 2014</w:t>
            </w:r>
          </w:p>
        </w:tc>
        <w:tc>
          <w:tcPr>
            <w:tcW w:w="709" w:type="dxa"/>
            <w:shd w:val="clear" w:color="auto" w:fill="auto"/>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325</w:t>
            </w:r>
            <w:r w:rsidRPr="00BA3352">
              <w:rPr>
                <w:rFonts w:ascii="Arial Narrow" w:hAnsi="Arial Narrow"/>
                <w:sz w:val="18"/>
                <w:szCs w:val="18"/>
                <w:vertAlign w:val="superscript"/>
              </w:rPr>
              <w:t>c</w:t>
            </w:r>
          </w:p>
        </w:tc>
        <w:tc>
          <w:tcPr>
            <w:tcW w:w="1701"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rPr>
              <w:t>R, DB, 3A ESC, 204w</w:t>
            </w:r>
            <w:r w:rsidRPr="00BA3352">
              <w:rPr>
                <w:rFonts w:ascii="Arial Narrow" w:hAnsi="Arial Narrow"/>
                <w:sz w:val="18"/>
                <w:szCs w:val="18"/>
                <w:lang w:val="pt-PT"/>
              </w:rPr>
              <w:t>k</w:t>
            </w:r>
            <w:r w:rsidRPr="00BA3352">
              <w:rPr>
                <w:rFonts w:ascii="Arial Narrow" w:hAnsi="Arial Narrow"/>
                <w:sz w:val="18"/>
                <w:szCs w:val="18"/>
                <w:vertAlign w:val="superscript"/>
                <w:lang w:val="pt-PT"/>
              </w:rPr>
              <w:t>d</w:t>
            </w:r>
            <w:r w:rsidRPr="00BA3352">
              <w:rPr>
                <w:rFonts w:ascii="Arial Narrow" w:hAnsi="Arial Narrow"/>
                <w:sz w:val="18"/>
                <w:szCs w:val="18"/>
                <w:lang w:val="pt-PT"/>
              </w:rPr>
              <w:t xml:space="preserve"> </w:t>
            </w:r>
          </w:p>
        </w:tc>
        <w:tc>
          <w:tcPr>
            <w:tcW w:w="1134" w:type="dxa"/>
            <w:shd w:val="clear" w:color="auto" w:fill="auto"/>
            <w:vAlign w:val="center"/>
          </w:tcPr>
          <w:p w:rsidR="001C1121" w:rsidRPr="00BA3352" w:rsidRDefault="001C1121" w:rsidP="00E92500">
            <w:pPr>
              <w:widowControl/>
              <w:jc w:val="center"/>
              <w:rPr>
                <w:rFonts w:ascii="Arial Narrow" w:hAnsi="Arial Narrow"/>
                <w:sz w:val="18"/>
                <w:szCs w:val="18"/>
                <w:lang w:val="pt-PT"/>
              </w:rPr>
            </w:pPr>
            <w:r w:rsidRPr="00BA3352">
              <w:rPr>
                <w:rFonts w:ascii="Arial Narrow" w:hAnsi="Arial Narrow"/>
                <w:sz w:val="18"/>
                <w:szCs w:val="18"/>
              </w:rPr>
              <w:t>Low/ Unclear</w:t>
            </w:r>
          </w:p>
        </w:tc>
        <w:tc>
          <w:tcPr>
            <w:tcW w:w="1417" w:type="dxa"/>
            <w:shd w:val="clear" w:color="auto" w:fill="auto"/>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axSpA; TNFα naïve and experienced</w:t>
            </w:r>
          </w:p>
        </w:tc>
        <w:tc>
          <w:tcPr>
            <w:tcW w:w="1134" w:type="dxa"/>
          </w:tcPr>
          <w:p w:rsidR="001C1121" w:rsidRPr="00BA3352" w:rsidRDefault="001C1121" w:rsidP="00E92500">
            <w:pPr>
              <w:widowControl/>
              <w:jc w:val="center"/>
              <w:rPr>
                <w:rFonts w:ascii="Arial Narrow" w:hAnsi="Arial Narrow"/>
                <w:bCs/>
                <w:sz w:val="18"/>
                <w:szCs w:val="18"/>
              </w:rPr>
            </w:pPr>
            <w:r w:rsidRPr="00BA3352">
              <w:rPr>
                <w:rFonts w:ascii="Arial Narrow" w:hAnsi="Arial Narrow"/>
                <w:bCs/>
                <w:sz w:val="18"/>
                <w:szCs w:val="18"/>
              </w:rPr>
              <w:t>1°:</w:t>
            </w:r>
            <w:r w:rsidRPr="00BA3352">
              <w:rPr>
                <w:rFonts w:ascii="Arial Narrow" w:hAnsi="Arial Narrow"/>
                <w:b/>
                <w:sz w:val="18"/>
                <w:szCs w:val="18"/>
              </w:rPr>
              <w:t xml:space="preserve"> </w:t>
            </w:r>
            <w:r w:rsidRPr="00BA3352">
              <w:rPr>
                <w:rFonts w:ascii="Arial Narrow" w:hAnsi="Arial Narrow"/>
                <w:bCs/>
                <w:sz w:val="18"/>
                <w:szCs w:val="18"/>
              </w:rPr>
              <w:t>ASAS20 wk12</w:t>
            </w:r>
          </w:p>
          <w:p w:rsidR="001C1121" w:rsidRPr="00BA3352" w:rsidRDefault="001C1121" w:rsidP="00E92500">
            <w:pPr>
              <w:widowControl/>
              <w:jc w:val="center"/>
              <w:rPr>
                <w:rFonts w:ascii="Arial Narrow" w:hAnsi="Arial Narrow"/>
                <w:sz w:val="18"/>
                <w:szCs w:val="18"/>
              </w:rPr>
            </w:pPr>
            <w:r w:rsidRPr="00BA3352">
              <w:rPr>
                <w:rFonts w:ascii="Arial Narrow" w:hAnsi="Arial Narrow"/>
                <w:bCs/>
                <w:sz w:val="18"/>
                <w:szCs w:val="18"/>
              </w:rPr>
              <w:t>2°: BASDAI50 wk12</w:t>
            </w:r>
          </w:p>
        </w:tc>
        <w:tc>
          <w:tcPr>
            <w:tcW w:w="1134" w:type="dxa"/>
            <w:vAlign w:val="center"/>
          </w:tcPr>
          <w:p w:rsidR="001C1121" w:rsidRPr="00BA3352" w:rsidRDefault="001C1121" w:rsidP="00E92500">
            <w:pPr>
              <w:widowControl/>
              <w:jc w:val="center"/>
              <w:rPr>
                <w:rFonts w:ascii="Arial Narrow" w:hAnsi="Arial Narrow"/>
                <w:sz w:val="18"/>
                <w:szCs w:val="18"/>
              </w:rPr>
            </w:pPr>
            <w:r w:rsidRPr="00BA3352">
              <w:rPr>
                <w:rFonts w:ascii="Arial Narrow" w:hAnsi="Arial Narrow"/>
                <w:sz w:val="18"/>
                <w:szCs w:val="18"/>
              </w:rPr>
              <w:t xml:space="preserve">CZP (Mar 14) </w:t>
            </w:r>
          </w:p>
        </w:tc>
      </w:tr>
    </w:tbl>
    <w:p w:rsidR="001C1121" w:rsidRPr="00BA3352" w:rsidRDefault="001C1121" w:rsidP="00E92500">
      <w:pPr>
        <w:widowControl/>
        <w:ind w:left="709"/>
        <w:rPr>
          <w:rFonts w:ascii="Arial Narrow" w:hAnsi="Arial Narrow"/>
          <w:sz w:val="18"/>
          <w:szCs w:val="18"/>
        </w:rPr>
      </w:pPr>
      <w:r w:rsidRPr="00BA3352">
        <w:rPr>
          <w:rFonts w:ascii="Arial Narrow" w:hAnsi="Arial Narrow"/>
          <w:sz w:val="18"/>
          <w:szCs w:val="18"/>
        </w:rPr>
        <w:t>Abbreviations: ADA=adalimumab; ETC=etanercept; CZP=certolizumab; GOL=golimumab; INF=infliximab; PBO=placebo; SEC=secukinumab; DB=double blind; R=randomised; A=arm; ESC=escape regimen (for placebo); AS=ankylosing spondylitis; axSpA=axial spondoarthritis; TNFα=tumour necrosis factor alpha (inhibitor); AS-WIS = Ankylosing Spondylitis Work Instability Scale.</w:t>
      </w:r>
    </w:p>
    <w:p w:rsidR="001C1121" w:rsidRPr="00BA3352" w:rsidRDefault="001C1121" w:rsidP="00E92500">
      <w:pPr>
        <w:widowControl/>
        <w:autoSpaceDE w:val="0"/>
        <w:autoSpaceDN w:val="0"/>
        <w:adjustRightInd w:val="0"/>
        <w:ind w:left="993" w:hanging="284"/>
        <w:jc w:val="left"/>
        <w:rPr>
          <w:rFonts w:ascii="Arial Narrow" w:eastAsia="TimesNewRoman" w:hAnsi="Arial Narrow" w:cs="TimesNewRoman"/>
          <w:snapToGrid/>
          <w:sz w:val="18"/>
          <w:szCs w:val="18"/>
          <w:lang w:eastAsia="en-AU"/>
        </w:rPr>
      </w:pPr>
      <w:r w:rsidRPr="00BA3352">
        <w:rPr>
          <w:rFonts w:ascii="Arial Narrow" w:hAnsi="Arial Narrow"/>
          <w:iCs/>
          <w:sz w:val="18"/>
          <w:szCs w:val="18"/>
          <w:vertAlign w:val="superscript"/>
        </w:rPr>
        <w:t>a</w:t>
      </w:r>
      <w:r w:rsidRPr="00BA3352">
        <w:rPr>
          <w:rFonts w:ascii="Arial Narrow" w:hAnsi="Arial Narrow"/>
          <w:iCs/>
          <w:sz w:val="18"/>
          <w:szCs w:val="18"/>
        </w:rPr>
        <w:tab/>
        <w:t>At Week 16, placebo patients were re-randomised to receive active treatment.</w:t>
      </w:r>
      <w:r w:rsidRPr="00BA3352">
        <w:rPr>
          <w:rFonts w:ascii="Arial Narrow" w:eastAsia="TimesNewRoman" w:hAnsi="Arial Narrow" w:cs="TimesNewRoman"/>
          <w:snapToGrid/>
          <w:sz w:val="18"/>
          <w:szCs w:val="18"/>
          <w:lang w:eastAsia="en-AU"/>
        </w:rPr>
        <w:t xml:space="preserve"> </w:t>
      </w:r>
      <w:r w:rsidRPr="00BA3352">
        <w:rPr>
          <w:rFonts w:ascii="Arial Narrow" w:hAnsi="Arial Narrow"/>
          <w:iCs/>
          <w:sz w:val="18"/>
          <w:szCs w:val="18"/>
        </w:rPr>
        <w:t>This trial is still continuing, but safety data for 52 weeks are included.  52 weeks of blinded treatment and 4 years of additional long-term treatment.</w:t>
      </w:r>
      <w:r w:rsidRPr="00BA3352">
        <w:rPr>
          <w:rFonts w:ascii="Arial Narrow" w:eastAsia="TimesNewRoman" w:hAnsi="Arial Narrow" w:cs="TimesNewRoman"/>
          <w:snapToGrid/>
          <w:sz w:val="18"/>
          <w:szCs w:val="18"/>
          <w:lang w:eastAsia="en-AU"/>
        </w:rPr>
        <w:t xml:space="preserve">  </w:t>
      </w:r>
    </w:p>
    <w:p w:rsidR="001C1121" w:rsidRPr="00BA3352" w:rsidRDefault="001C1121" w:rsidP="00E92500">
      <w:pPr>
        <w:widowControl/>
        <w:tabs>
          <w:tab w:val="left" w:pos="180"/>
        </w:tabs>
        <w:ind w:left="993" w:hanging="284"/>
        <w:rPr>
          <w:rFonts w:ascii="Arial Narrow" w:hAnsi="Arial Narrow"/>
          <w:iCs/>
          <w:sz w:val="18"/>
          <w:szCs w:val="18"/>
        </w:rPr>
      </w:pPr>
      <w:r w:rsidRPr="00BA3352">
        <w:rPr>
          <w:rFonts w:ascii="Arial Narrow" w:hAnsi="Arial Narrow"/>
          <w:iCs/>
          <w:sz w:val="18"/>
          <w:szCs w:val="18"/>
          <w:vertAlign w:val="superscript"/>
        </w:rPr>
        <w:t>b</w:t>
      </w:r>
      <w:r w:rsidRPr="00BA3352">
        <w:rPr>
          <w:rFonts w:ascii="Arial Narrow" w:hAnsi="Arial Narrow"/>
          <w:iCs/>
          <w:sz w:val="18"/>
          <w:szCs w:val="18"/>
          <w:vertAlign w:val="superscript"/>
        </w:rPr>
        <w:tab/>
      </w:r>
      <w:r w:rsidRPr="00BA3352">
        <w:rPr>
          <w:rFonts w:ascii="Arial Narrow" w:hAnsi="Arial Narrow"/>
          <w:iCs/>
          <w:sz w:val="18"/>
          <w:szCs w:val="18"/>
        </w:rPr>
        <w:t xml:space="preserve">The abstract of this study (Bao 2012) was considered by the PBAC at the March 2014 meeting (certolizumab March 2014 PSD). </w:t>
      </w:r>
    </w:p>
    <w:p w:rsidR="001C1121" w:rsidRPr="00BA3352" w:rsidRDefault="001C1121" w:rsidP="00E92500">
      <w:pPr>
        <w:widowControl/>
        <w:tabs>
          <w:tab w:val="left" w:pos="180"/>
        </w:tabs>
        <w:ind w:left="993" w:hanging="284"/>
        <w:rPr>
          <w:rFonts w:ascii="Arial Narrow" w:hAnsi="Arial Narrow"/>
          <w:sz w:val="18"/>
          <w:szCs w:val="18"/>
        </w:rPr>
      </w:pPr>
      <w:r w:rsidRPr="00BA3352">
        <w:rPr>
          <w:rFonts w:ascii="Arial Narrow" w:hAnsi="Arial Narrow"/>
          <w:sz w:val="18"/>
          <w:szCs w:val="18"/>
          <w:vertAlign w:val="superscript"/>
        </w:rPr>
        <w:t>c</w:t>
      </w:r>
      <w:r w:rsidRPr="00BA3352">
        <w:rPr>
          <w:rFonts w:ascii="Arial Narrow" w:hAnsi="Arial Narrow"/>
          <w:sz w:val="18"/>
          <w:szCs w:val="18"/>
        </w:rPr>
        <w:tab/>
        <w:t>n=178 for AS subgroup.</w:t>
      </w:r>
    </w:p>
    <w:p w:rsidR="001C1121" w:rsidRPr="00BA3352" w:rsidRDefault="001C1121" w:rsidP="00E92500">
      <w:pPr>
        <w:widowControl/>
        <w:autoSpaceDE w:val="0"/>
        <w:autoSpaceDN w:val="0"/>
        <w:adjustRightInd w:val="0"/>
        <w:ind w:left="993" w:hanging="284"/>
        <w:jc w:val="left"/>
        <w:rPr>
          <w:rFonts w:ascii="Arial Narrow" w:hAnsi="Arial Narrow" w:cstheme="minorBidi"/>
          <w:iCs/>
          <w:snapToGrid/>
          <w:sz w:val="18"/>
          <w:szCs w:val="18"/>
          <w:lang w:eastAsia="en-AU"/>
        </w:rPr>
      </w:pPr>
      <w:r w:rsidRPr="00BA3352">
        <w:rPr>
          <w:rFonts w:ascii="Arial Narrow" w:hAnsi="Arial Narrow"/>
          <w:sz w:val="18"/>
          <w:szCs w:val="18"/>
          <w:vertAlign w:val="superscript"/>
        </w:rPr>
        <w:t>d</w:t>
      </w:r>
      <w:r w:rsidRPr="00BA3352">
        <w:rPr>
          <w:rFonts w:ascii="Arial Narrow" w:hAnsi="Arial Narrow"/>
          <w:sz w:val="18"/>
          <w:szCs w:val="18"/>
          <w:vertAlign w:val="superscript"/>
        </w:rPr>
        <w:tab/>
      </w:r>
      <w:r w:rsidRPr="00BA3352">
        <w:rPr>
          <w:rFonts w:ascii="Arial Narrow" w:hAnsi="Arial Narrow" w:cstheme="minorBidi"/>
          <w:iCs/>
          <w:snapToGrid/>
          <w:sz w:val="18"/>
          <w:szCs w:val="18"/>
          <w:lang w:eastAsia="en-AU"/>
        </w:rPr>
        <w:t>The trial was placebo-controlled to week 24, dose-blind to week 48 and is open label to week 204.</w:t>
      </w:r>
    </w:p>
    <w:p w:rsidR="001C1121" w:rsidRPr="00BA3352" w:rsidRDefault="001C1121" w:rsidP="00E92500">
      <w:pPr>
        <w:widowControl/>
        <w:autoSpaceDE w:val="0"/>
        <w:autoSpaceDN w:val="0"/>
        <w:adjustRightInd w:val="0"/>
        <w:ind w:left="993" w:hanging="284"/>
        <w:jc w:val="left"/>
        <w:rPr>
          <w:rFonts w:ascii="Arial Narrow" w:hAnsi="Arial Narrow" w:cstheme="minorBidi"/>
          <w:iCs/>
          <w:snapToGrid/>
          <w:sz w:val="18"/>
          <w:szCs w:val="18"/>
          <w:lang w:eastAsia="en-AU"/>
        </w:rPr>
      </w:pPr>
      <w:r w:rsidRPr="00BA3352">
        <w:rPr>
          <w:rFonts w:ascii="Arial Narrow" w:hAnsi="Arial Narrow" w:cstheme="minorBidi"/>
          <w:iCs/>
          <w:snapToGrid/>
          <w:sz w:val="18"/>
          <w:szCs w:val="18"/>
          <w:vertAlign w:val="superscript"/>
          <w:lang w:eastAsia="en-AU"/>
        </w:rPr>
        <w:t>e</w:t>
      </w:r>
      <w:r w:rsidRPr="00BA3352">
        <w:rPr>
          <w:rFonts w:ascii="Arial Narrow" w:hAnsi="Arial Narrow" w:cstheme="minorBidi"/>
          <w:iCs/>
          <w:snapToGrid/>
          <w:sz w:val="18"/>
          <w:szCs w:val="18"/>
          <w:lang w:eastAsia="en-AU"/>
        </w:rPr>
        <w:tab/>
        <w:t xml:space="preserve">Primary outcome was </w:t>
      </w:r>
      <w:r w:rsidRPr="00BA3352">
        <w:rPr>
          <w:rFonts w:ascii="Arial Narrow" w:hAnsi="Arial Narrow"/>
          <w:bCs/>
          <w:iCs/>
          <w:sz w:val="18"/>
          <w:szCs w:val="18"/>
        </w:rPr>
        <w:t>normalised net incremental AUC for the BASDAI.</w:t>
      </w:r>
    </w:p>
    <w:p w:rsidR="001C1121" w:rsidRDefault="001C1121" w:rsidP="00F45DAB">
      <w:pPr>
        <w:widowControl/>
        <w:ind w:firstLine="709"/>
        <w:rPr>
          <w:szCs w:val="22"/>
        </w:rPr>
      </w:pPr>
      <w:r w:rsidRPr="00BA3352">
        <w:rPr>
          <w:rFonts w:ascii="Arial Narrow" w:hAnsi="Arial Narrow"/>
          <w:iCs/>
          <w:sz w:val="18"/>
          <w:szCs w:val="18"/>
        </w:rPr>
        <w:t>Source: compiled during the evaluation.</w:t>
      </w:r>
    </w:p>
    <w:p w:rsidR="00AD0872" w:rsidRDefault="00AD0872">
      <w:pPr>
        <w:widowControl/>
        <w:jc w:val="left"/>
        <w:rPr>
          <w:rFonts w:ascii="Arial Narrow" w:hAnsi="Arial Narrow"/>
          <w:iCs/>
          <w:sz w:val="18"/>
          <w:szCs w:val="18"/>
        </w:rPr>
      </w:pPr>
      <w:r>
        <w:rPr>
          <w:rFonts w:ascii="Arial Narrow" w:hAnsi="Arial Narrow"/>
          <w:iCs/>
          <w:sz w:val="18"/>
          <w:szCs w:val="18"/>
        </w:rPr>
        <w:br w:type="page"/>
      </w:r>
    </w:p>
    <w:p w:rsidR="00F45DAB" w:rsidRPr="00F45DAB" w:rsidRDefault="00F45DAB" w:rsidP="00F45DAB">
      <w:pPr>
        <w:widowControl/>
        <w:rPr>
          <w:rFonts w:ascii="Arial Narrow" w:hAnsi="Arial Narrow"/>
          <w:iCs/>
          <w:sz w:val="18"/>
          <w:szCs w:val="18"/>
        </w:rPr>
      </w:pPr>
    </w:p>
    <w:p w:rsidR="001C1121" w:rsidRPr="00BA3352" w:rsidRDefault="001C1121" w:rsidP="00E92500">
      <w:pPr>
        <w:pStyle w:val="Heading2"/>
        <w:widowControl/>
        <w:rPr>
          <w:i/>
        </w:rPr>
      </w:pPr>
      <w:bookmarkStart w:id="10" w:name="_Toc441065564"/>
      <w:r w:rsidRPr="00BA3352">
        <w:rPr>
          <w:i/>
        </w:rPr>
        <w:t>Comparative effectiveness</w:t>
      </w:r>
      <w:bookmarkEnd w:id="10"/>
    </w:p>
    <w:p w:rsidR="001C1121" w:rsidRPr="00BA3352" w:rsidRDefault="001C1121" w:rsidP="00E92500">
      <w:pPr>
        <w:widowControl/>
        <w:rPr>
          <w:i/>
          <w:szCs w:val="22"/>
        </w:rPr>
      </w:pPr>
    </w:p>
    <w:p w:rsidR="001C1121" w:rsidRPr="00BA3352" w:rsidRDefault="001C1121" w:rsidP="00D33470">
      <w:pPr>
        <w:pStyle w:val="ListParagraph"/>
        <w:widowControl/>
        <w:numPr>
          <w:ilvl w:val="1"/>
          <w:numId w:val="1"/>
        </w:numPr>
        <w:rPr>
          <w:szCs w:val="22"/>
        </w:rPr>
      </w:pPr>
      <w:r w:rsidRPr="00BA3352">
        <w:rPr>
          <w:szCs w:val="22"/>
        </w:rPr>
        <w:t xml:space="preserve">The results for ASAS20 response </w:t>
      </w:r>
      <w:r w:rsidR="00B84C17">
        <w:rPr>
          <w:szCs w:val="22"/>
        </w:rPr>
        <w:t xml:space="preserve">(Ankylosing Spondylitis Assessment Study group minimum 20% improvement) </w:t>
      </w:r>
      <w:r w:rsidRPr="00BA3352">
        <w:rPr>
          <w:szCs w:val="22"/>
        </w:rPr>
        <w:t>in the controlled, double-blind phase of the randomised trials at week 12 (week 14 for golimumab t</w:t>
      </w:r>
      <w:r w:rsidR="00B73F4A">
        <w:rPr>
          <w:szCs w:val="22"/>
        </w:rPr>
        <w:t xml:space="preserve">rials) are presented in Table </w:t>
      </w:r>
      <w:r w:rsidRPr="00BA3352">
        <w:rPr>
          <w:szCs w:val="22"/>
        </w:rPr>
        <w:t>3.</w:t>
      </w:r>
    </w:p>
    <w:p w:rsidR="001C1121" w:rsidRPr="00BA3352" w:rsidRDefault="001C1121" w:rsidP="00E92500">
      <w:pPr>
        <w:pStyle w:val="ListParagraph"/>
        <w:widowControl/>
        <w:rPr>
          <w:szCs w:val="22"/>
        </w:rPr>
      </w:pPr>
    </w:p>
    <w:p w:rsidR="001C1121" w:rsidRPr="007C0FC3" w:rsidRDefault="0082567A" w:rsidP="00E92500">
      <w:pPr>
        <w:widowControl/>
        <w:ind w:left="720"/>
        <w:rPr>
          <w:iCs/>
          <w:szCs w:val="18"/>
        </w:rPr>
      </w:pPr>
      <w:r w:rsidRPr="007C0FC3">
        <w:rPr>
          <w:rStyle w:val="CommentReference"/>
        </w:rPr>
        <w:t xml:space="preserve">Table </w:t>
      </w:r>
      <w:r w:rsidR="001C1121" w:rsidRPr="007C0FC3">
        <w:rPr>
          <w:rStyle w:val="CommentReference"/>
        </w:rPr>
        <w:t>3: Results of the indirect comparisons - ASAS20 response at Week 12 (Week 14 for golimumab trials) – FAS (or the AS sub-group in Landewe 2014) and the αTNF-naïve population in MEASURE 2</w:t>
      </w:r>
    </w:p>
    <w:tbl>
      <w:tblPr>
        <w:tblStyle w:val="TableGrid"/>
        <w:tblW w:w="8378" w:type="dxa"/>
        <w:tblInd w:w="704" w:type="dxa"/>
        <w:tblCellMar>
          <w:left w:w="28" w:type="dxa"/>
          <w:right w:w="28" w:type="dxa"/>
        </w:tblCellMar>
        <w:tblLook w:val="04A0" w:firstRow="1" w:lastRow="0" w:firstColumn="1" w:lastColumn="0" w:noHBand="0" w:noVBand="1"/>
        <w:tblCaption w:val="Table 3: Results of the indirect comparisons - ASAS20 response at Week 12 (Week 14 for golimumab trials) – FAS (or the AS sub-group in Landewe 2014) and the αTNF-naïve population in MEASURE "/>
      </w:tblPr>
      <w:tblGrid>
        <w:gridCol w:w="567"/>
        <w:gridCol w:w="1843"/>
        <w:gridCol w:w="1187"/>
        <w:gridCol w:w="1184"/>
        <w:gridCol w:w="1525"/>
        <w:gridCol w:w="1104"/>
        <w:gridCol w:w="968"/>
      </w:tblGrid>
      <w:tr w:rsidR="001C1121" w:rsidRPr="00BA3352" w:rsidTr="00763C4D">
        <w:trPr>
          <w:trHeight w:val="283"/>
          <w:tblHeader/>
        </w:trPr>
        <w:tc>
          <w:tcPr>
            <w:tcW w:w="425" w:type="dxa"/>
            <w:vMerge w:val="restart"/>
            <w:vAlign w:val="center"/>
          </w:tcPr>
          <w:p w:rsidR="001C1121" w:rsidRPr="00BA3352" w:rsidRDefault="001C1121" w:rsidP="00E92500">
            <w:pPr>
              <w:widowControl/>
              <w:jc w:val="left"/>
              <w:rPr>
                <w:rFonts w:ascii="Arial Narrow" w:hAnsi="Arial Narrow"/>
                <w:b/>
                <w:sz w:val="20"/>
              </w:rPr>
            </w:pPr>
            <w:r w:rsidRPr="00BA3352">
              <w:rPr>
                <w:rFonts w:ascii="Arial Narrow" w:hAnsi="Arial Narrow"/>
                <w:b/>
                <w:sz w:val="20"/>
              </w:rPr>
              <w:t>Tx</w:t>
            </w:r>
          </w:p>
        </w:tc>
        <w:tc>
          <w:tcPr>
            <w:tcW w:w="1876" w:type="dxa"/>
            <w:vMerge w:val="restart"/>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Trial</w:t>
            </w:r>
          </w:p>
        </w:tc>
        <w:tc>
          <w:tcPr>
            <w:tcW w:w="1205" w:type="dxa"/>
            <w:vMerge w:val="restart"/>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Drug n/N (%)</w:t>
            </w:r>
          </w:p>
        </w:tc>
        <w:tc>
          <w:tcPr>
            <w:tcW w:w="1205" w:type="dxa"/>
            <w:vMerge w:val="restart"/>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PBO n/N (%)</w:t>
            </w:r>
          </w:p>
        </w:tc>
        <w:tc>
          <w:tcPr>
            <w:tcW w:w="1559" w:type="dxa"/>
            <w:vMerge w:val="restart"/>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RR (95% CI)</w:t>
            </w:r>
          </w:p>
        </w:tc>
        <w:tc>
          <w:tcPr>
            <w:tcW w:w="2108" w:type="dxa"/>
            <w:gridSpan w:val="2"/>
            <w:vAlign w:val="center"/>
          </w:tcPr>
          <w:p w:rsidR="001C1121" w:rsidRPr="00BA3352" w:rsidRDefault="001C1121" w:rsidP="00E92500">
            <w:pPr>
              <w:widowControl/>
              <w:jc w:val="center"/>
              <w:rPr>
                <w:rFonts w:ascii="Arial Narrow" w:hAnsi="Arial Narrow"/>
                <w:b/>
                <w:sz w:val="20"/>
                <w:lang w:val="fr-FR"/>
              </w:rPr>
            </w:pPr>
            <w:r w:rsidRPr="00BA3352">
              <w:rPr>
                <w:rFonts w:ascii="Arial Narrow" w:hAnsi="Arial Narrow"/>
                <w:b/>
                <w:sz w:val="20"/>
                <w:lang w:val="fr-FR"/>
              </w:rPr>
              <w:t>Indirect comparison</w:t>
            </w:r>
          </w:p>
          <w:p w:rsidR="001C1121" w:rsidRPr="00BA3352" w:rsidRDefault="001C1121" w:rsidP="00E92500">
            <w:pPr>
              <w:widowControl/>
              <w:jc w:val="center"/>
              <w:rPr>
                <w:rFonts w:ascii="Arial Narrow" w:hAnsi="Arial Narrow"/>
                <w:b/>
                <w:sz w:val="20"/>
                <w:vertAlign w:val="superscript"/>
                <w:lang w:val="fr-FR"/>
              </w:rPr>
            </w:pPr>
            <w:r w:rsidRPr="00BA3352">
              <w:rPr>
                <w:rFonts w:ascii="Arial Narrow" w:hAnsi="Arial Narrow"/>
                <w:b/>
                <w:sz w:val="20"/>
                <w:lang w:val="fr-FR"/>
              </w:rPr>
              <w:t>RR (95% CI)</w:t>
            </w:r>
            <w:r w:rsidRPr="00BA3352">
              <w:rPr>
                <w:rFonts w:ascii="Arial Narrow" w:hAnsi="Arial Narrow"/>
                <w:b/>
                <w:sz w:val="20"/>
                <w:vertAlign w:val="superscript"/>
                <w:lang w:val="fr-FR"/>
              </w:rPr>
              <w:t>a</w:t>
            </w:r>
          </w:p>
        </w:tc>
      </w:tr>
      <w:tr w:rsidR="001C1121" w:rsidRPr="00BA3352" w:rsidTr="00763C4D">
        <w:trPr>
          <w:trHeight w:val="283"/>
          <w:tblHeader/>
        </w:trPr>
        <w:tc>
          <w:tcPr>
            <w:tcW w:w="425" w:type="dxa"/>
            <w:vMerge/>
            <w:vAlign w:val="center"/>
          </w:tcPr>
          <w:p w:rsidR="001C1121" w:rsidRPr="00BA3352" w:rsidRDefault="001C1121" w:rsidP="00E92500">
            <w:pPr>
              <w:widowControl/>
              <w:jc w:val="left"/>
              <w:rPr>
                <w:rFonts w:ascii="Arial Narrow" w:hAnsi="Arial Narrow"/>
                <w:b/>
                <w:sz w:val="20"/>
                <w:lang w:val="fr-FR"/>
              </w:rPr>
            </w:pPr>
          </w:p>
        </w:tc>
        <w:tc>
          <w:tcPr>
            <w:tcW w:w="1876" w:type="dxa"/>
            <w:vMerge/>
            <w:vAlign w:val="center"/>
          </w:tcPr>
          <w:p w:rsidR="001C1121" w:rsidRPr="00BA3352" w:rsidRDefault="001C1121" w:rsidP="00E92500">
            <w:pPr>
              <w:widowControl/>
              <w:jc w:val="center"/>
              <w:rPr>
                <w:rFonts w:ascii="Arial Narrow" w:hAnsi="Arial Narrow"/>
                <w:b/>
                <w:sz w:val="20"/>
                <w:lang w:val="fr-FR"/>
              </w:rPr>
            </w:pPr>
          </w:p>
        </w:tc>
        <w:tc>
          <w:tcPr>
            <w:tcW w:w="1205" w:type="dxa"/>
            <w:vMerge/>
            <w:vAlign w:val="center"/>
          </w:tcPr>
          <w:p w:rsidR="001C1121" w:rsidRPr="00BA3352" w:rsidRDefault="001C1121" w:rsidP="00E92500">
            <w:pPr>
              <w:widowControl/>
              <w:jc w:val="center"/>
              <w:rPr>
                <w:rFonts w:ascii="Arial Narrow" w:hAnsi="Arial Narrow"/>
                <w:b/>
                <w:sz w:val="20"/>
                <w:lang w:val="fr-FR"/>
              </w:rPr>
            </w:pPr>
          </w:p>
        </w:tc>
        <w:tc>
          <w:tcPr>
            <w:tcW w:w="1205" w:type="dxa"/>
            <w:vMerge/>
            <w:vAlign w:val="center"/>
          </w:tcPr>
          <w:p w:rsidR="001C1121" w:rsidRPr="00BA3352" w:rsidRDefault="001C1121" w:rsidP="00E92500">
            <w:pPr>
              <w:widowControl/>
              <w:jc w:val="center"/>
              <w:rPr>
                <w:rFonts w:ascii="Arial Narrow" w:hAnsi="Arial Narrow"/>
                <w:b/>
                <w:sz w:val="20"/>
                <w:lang w:val="fr-FR"/>
              </w:rPr>
            </w:pPr>
          </w:p>
        </w:tc>
        <w:tc>
          <w:tcPr>
            <w:tcW w:w="1559" w:type="dxa"/>
            <w:vMerge/>
            <w:vAlign w:val="center"/>
          </w:tcPr>
          <w:p w:rsidR="001C1121" w:rsidRPr="00BA3352" w:rsidRDefault="001C1121" w:rsidP="00E92500">
            <w:pPr>
              <w:widowControl/>
              <w:jc w:val="center"/>
              <w:rPr>
                <w:rFonts w:ascii="Arial Narrow" w:hAnsi="Arial Narrow"/>
                <w:b/>
                <w:sz w:val="20"/>
                <w:lang w:val="fr-FR"/>
              </w:rPr>
            </w:pPr>
          </w:p>
        </w:tc>
        <w:tc>
          <w:tcPr>
            <w:tcW w:w="1125"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All</w:t>
            </w:r>
          </w:p>
        </w:tc>
        <w:tc>
          <w:tcPr>
            <w:tcW w:w="983"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αTNF-naïve</w:t>
            </w:r>
          </w:p>
        </w:tc>
      </w:tr>
      <w:tr w:rsidR="001C1121" w:rsidRPr="00BA3352" w:rsidTr="00264209">
        <w:trPr>
          <w:trHeight w:val="283"/>
        </w:trPr>
        <w:tc>
          <w:tcPr>
            <w:tcW w:w="425" w:type="dxa"/>
            <w:vMerge w:val="restart"/>
            <w:vAlign w:val="center"/>
          </w:tcPr>
          <w:p w:rsidR="001C1121" w:rsidRPr="00BA3352" w:rsidRDefault="001C1121" w:rsidP="00E92500">
            <w:pPr>
              <w:widowControl/>
              <w:jc w:val="left"/>
              <w:rPr>
                <w:rFonts w:ascii="Arial Narrow" w:hAnsi="Arial Narrow"/>
                <w:sz w:val="20"/>
              </w:rPr>
            </w:pPr>
            <w:r w:rsidRPr="00BA3352">
              <w:rPr>
                <w:rFonts w:ascii="Arial Narrow" w:hAnsi="Arial Narrow"/>
                <w:sz w:val="20"/>
              </w:rPr>
              <w:t>SEC</w:t>
            </w:r>
          </w:p>
        </w:tc>
        <w:tc>
          <w:tcPr>
            <w:tcW w:w="1876" w:type="dxa"/>
          </w:tcPr>
          <w:p w:rsidR="001C1121" w:rsidRPr="00BA3352" w:rsidRDefault="001C1121" w:rsidP="00E92500">
            <w:pPr>
              <w:widowControl/>
              <w:rPr>
                <w:rFonts w:ascii="Arial Narrow" w:hAnsi="Arial Narrow"/>
                <w:sz w:val="20"/>
              </w:rPr>
            </w:pPr>
            <w:r w:rsidRPr="00BA3352">
              <w:rPr>
                <w:rFonts w:ascii="Arial Narrow" w:hAnsi="Arial Narrow"/>
                <w:sz w:val="20"/>
              </w:rPr>
              <w:t>MEASURE 2 (all)</w:t>
            </w:r>
          </w:p>
        </w:tc>
        <w:tc>
          <w:tcPr>
            <w:tcW w:w="1205" w:type="dxa"/>
            <w:vAlign w:val="center"/>
          </w:tcPr>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tc>
        <w:tc>
          <w:tcPr>
            <w:tcW w:w="1205" w:type="dxa"/>
            <w:vAlign w:val="center"/>
          </w:tcPr>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tc>
        <w:tc>
          <w:tcPr>
            <w:tcW w:w="1559" w:type="dxa"/>
            <w:vAlign w:val="center"/>
          </w:tcPr>
          <w:p w:rsidR="001C1121" w:rsidRPr="00BA3352" w:rsidRDefault="00BD1420" w:rsidP="00E92500">
            <w:pPr>
              <w:widowControl/>
              <w:jc w:val="center"/>
              <w:rPr>
                <w:rFonts w:ascii="Arial Narrow" w:hAnsi="Arial Narrow"/>
                <w:b/>
                <w:sz w:val="20"/>
              </w:rPr>
            </w:pPr>
            <w:r>
              <w:rPr>
                <w:rFonts w:ascii="Arial Narrow" w:hAnsi="Arial Narrow"/>
                <w:b/>
                <w:noProof/>
                <w:color w:val="000000"/>
                <w:sz w:val="20"/>
                <w:highlight w:val="black"/>
              </w:rPr>
              <w:t>'''''''''</w:t>
            </w:r>
            <w:r w:rsidR="001C1121" w:rsidRPr="00BA3352">
              <w:rPr>
                <w:rFonts w:ascii="Arial Narrow" w:hAnsi="Arial Narrow"/>
                <w:b/>
                <w:sz w:val="20"/>
              </w:rPr>
              <w:t xml:space="preserve"> (</w:t>
            </w:r>
            <w:r>
              <w:rPr>
                <w:rFonts w:ascii="Arial Narrow" w:hAnsi="Arial Narrow"/>
                <w:b/>
                <w:noProof/>
                <w:color w:val="000000"/>
                <w:sz w:val="20"/>
                <w:highlight w:val="black"/>
              </w:rPr>
              <w:t>''''''''</w:t>
            </w:r>
            <w:r w:rsidR="001C1121" w:rsidRPr="00BA3352">
              <w:rPr>
                <w:rFonts w:ascii="Arial Narrow" w:hAnsi="Arial Narrow"/>
                <w:b/>
                <w:sz w:val="20"/>
              </w:rPr>
              <w:t xml:space="preserve">, </w:t>
            </w:r>
            <w:r>
              <w:rPr>
                <w:rFonts w:ascii="Arial Narrow" w:hAnsi="Arial Narrow"/>
                <w:b/>
                <w:noProof/>
                <w:color w:val="000000"/>
                <w:sz w:val="20"/>
                <w:highlight w:val="black"/>
              </w:rPr>
              <w:t>'''''''''</w:t>
            </w:r>
            <w:r w:rsidR="001C1121" w:rsidRPr="00BA3352">
              <w:rPr>
                <w:rFonts w:ascii="Arial Narrow" w:hAnsi="Arial Narrow"/>
                <w:b/>
                <w:sz w:val="20"/>
              </w:rPr>
              <w:t>)</w:t>
            </w:r>
          </w:p>
        </w:tc>
        <w:tc>
          <w:tcPr>
            <w:tcW w:w="1125"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w:t>
            </w:r>
          </w:p>
        </w:tc>
        <w:tc>
          <w:tcPr>
            <w:tcW w:w="983"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w:t>
            </w:r>
          </w:p>
        </w:tc>
      </w:tr>
      <w:tr w:rsidR="001C1121" w:rsidRPr="00BA3352" w:rsidTr="00264209">
        <w:trPr>
          <w:trHeight w:val="283"/>
        </w:trPr>
        <w:tc>
          <w:tcPr>
            <w:tcW w:w="425" w:type="dxa"/>
            <w:vMerge/>
            <w:tcBorders>
              <w:bottom w:val="double" w:sz="4" w:space="0" w:color="auto"/>
            </w:tcBorders>
            <w:vAlign w:val="center"/>
          </w:tcPr>
          <w:p w:rsidR="001C1121" w:rsidRPr="00BA3352" w:rsidRDefault="001C1121" w:rsidP="00E92500">
            <w:pPr>
              <w:widowControl/>
              <w:jc w:val="left"/>
              <w:rPr>
                <w:rFonts w:ascii="Arial Narrow" w:hAnsi="Arial Narrow"/>
                <w:sz w:val="20"/>
              </w:rPr>
            </w:pPr>
          </w:p>
        </w:tc>
        <w:tc>
          <w:tcPr>
            <w:tcW w:w="1876" w:type="dxa"/>
            <w:tcBorders>
              <w:bottom w:val="double" w:sz="4" w:space="0" w:color="auto"/>
            </w:tcBorders>
          </w:tcPr>
          <w:p w:rsidR="001C1121" w:rsidRPr="00BA3352" w:rsidRDefault="001C1121" w:rsidP="00E92500">
            <w:pPr>
              <w:widowControl/>
              <w:jc w:val="left"/>
              <w:rPr>
                <w:rFonts w:ascii="Arial Narrow" w:hAnsi="Arial Narrow"/>
                <w:sz w:val="20"/>
              </w:rPr>
            </w:pPr>
            <w:r w:rsidRPr="00BA3352">
              <w:rPr>
                <w:rFonts w:ascii="Arial Narrow" w:hAnsi="Arial Narrow"/>
                <w:sz w:val="20"/>
              </w:rPr>
              <w:t>MEASURE 2 (αTNF-naïve)</w:t>
            </w:r>
          </w:p>
        </w:tc>
        <w:tc>
          <w:tcPr>
            <w:tcW w:w="1205" w:type="dxa"/>
            <w:tcBorders>
              <w:bottom w:val="double" w:sz="4" w:space="0" w:color="auto"/>
            </w:tcBorders>
            <w:vAlign w:val="center"/>
          </w:tcPr>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tc>
        <w:tc>
          <w:tcPr>
            <w:tcW w:w="1205" w:type="dxa"/>
            <w:tcBorders>
              <w:bottom w:val="double" w:sz="4" w:space="0" w:color="auto"/>
            </w:tcBorders>
            <w:vAlign w:val="center"/>
          </w:tcPr>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tc>
        <w:tc>
          <w:tcPr>
            <w:tcW w:w="1559" w:type="dxa"/>
            <w:tcBorders>
              <w:bottom w:val="double" w:sz="4" w:space="0" w:color="auto"/>
            </w:tcBorders>
            <w:vAlign w:val="center"/>
          </w:tcPr>
          <w:p w:rsidR="001C1121" w:rsidRPr="00BA3352" w:rsidRDefault="00BD1420" w:rsidP="00E92500">
            <w:pPr>
              <w:widowControl/>
              <w:jc w:val="center"/>
              <w:rPr>
                <w:rFonts w:ascii="Arial Narrow" w:hAnsi="Arial Narrow"/>
                <w:b/>
                <w:sz w:val="20"/>
              </w:rPr>
            </w:pPr>
            <w:r>
              <w:rPr>
                <w:rFonts w:ascii="Arial Narrow" w:hAnsi="Arial Narrow"/>
                <w:b/>
                <w:noProof/>
                <w:color w:val="000000"/>
                <w:sz w:val="20"/>
                <w:highlight w:val="black"/>
              </w:rPr>
              <w:t>''''''''</w:t>
            </w:r>
            <w:r w:rsidR="001C1121" w:rsidRPr="00BA3352">
              <w:rPr>
                <w:rFonts w:ascii="Arial Narrow" w:hAnsi="Arial Narrow"/>
                <w:b/>
                <w:sz w:val="20"/>
              </w:rPr>
              <w:t xml:space="preserve"> (</w:t>
            </w:r>
            <w:r>
              <w:rPr>
                <w:rFonts w:ascii="Arial Narrow" w:hAnsi="Arial Narrow"/>
                <w:b/>
                <w:noProof/>
                <w:color w:val="000000"/>
                <w:sz w:val="20"/>
                <w:highlight w:val="black"/>
              </w:rPr>
              <w:t>'''''''''</w:t>
            </w:r>
            <w:r w:rsidR="001C1121" w:rsidRPr="00BA3352">
              <w:rPr>
                <w:rFonts w:ascii="Arial Narrow" w:hAnsi="Arial Narrow"/>
                <w:b/>
                <w:sz w:val="20"/>
              </w:rPr>
              <w:t xml:space="preserve">, </w:t>
            </w:r>
            <w:r>
              <w:rPr>
                <w:rFonts w:ascii="Arial Narrow" w:hAnsi="Arial Narrow"/>
                <w:b/>
                <w:noProof/>
                <w:color w:val="000000"/>
                <w:sz w:val="20"/>
                <w:highlight w:val="black"/>
              </w:rPr>
              <w:t>'''''''''</w:t>
            </w:r>
            <w:r w:rsidR="001C1121" w:rsidRPr="00BA3352">
              <w:rPr>
                <w:rFonts w:ascii="Arial Narrow" w:hAnsi="Arial Narrow"/>
                <w:b/>
                <w:sz w:val="20"/>
              </w:rPr>
              <w:t>)</w:t>
            </w:r>
          </w:p>
        </w:tc>
        <w:tc>
          <w:tcPr>
            <w:tcW w:w="1125" w:type="dxa"/>
            <w:tcBorders>
              <w:bottom w:val="double" w:sz="4" w:space="0" w:color="auto"/>
            </w:tcBorders>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w:t>
            </w:r>
          </w:p>
        </w:tc>
        <w:tc>
          <w:tcPr>
            <w:tcW w:w="983" w:type="dxa"/>
            <w:tcBorders>
              <w:bottom w:val="double" w:sz="4" w:space="0" w:color="auto"/>
            </w:tcBorders>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w:t>
            </w:r>
          </w:p>
        </w:tc>
      </w:tr>
      <w:tr w:rsidR="001C1121" w:rsidRPr="00BA3352" w:rsidTr="00264209">
        <w:trPr>
          <w:trHeight w:val="283"/>
        </w:trPr>
        <w:tc>
          <w:tcPr>
            <w:tcW w:w="425" w:type="dxa"/>
            <w:vMerge w:val="restart"/>
            <w:tcBorders>
              <w:top w:val="double" w:sz="4" w:space="0" w:color="auto"/>
            </w:tcBorders>
            <w:vAlign w:val="center"/>
          </w:tcPr>
          <w:p w:rsidR="001C1121" w:rsidRPr="00BA3352" w:rsidRDefault="001C1121" w:rsidP="00E92500">
            <w:pPr>
              <w:widowControl/>
              <w:jc w:val="left"/>
              <w:rPr>
                <w:rFonts w:ascii="Arial Narrow" w:hAnsi="Arial Narrow"/>
                <w:sz w:val="20"/>
              </w:rPr>
            </w:pPr>
            <w:r w:rsidRPr="00BA3352">
              <w:rPr>
                <w:rFonts w:ascii="Arial Narrow" w:hAnsi="Arial Narrow"/>
                <w:sz w:val="20"/>
              </w:rPr>
              <w:t>ADA</w:t>
            </w:r>
          </w:p>
        </w:tc>
        <w:tc>
          <w:tcPr>
            <w:tcW w:w="1876" w:type="dxa"/>
            <w:tcBorders>
              <w:top w:val="double" w:sz="4" w:space="0" w:color="auto"/>
            </w:tcBorders>
          </w:tcPr>
          <w:p w:rsidR="001C1121" w:rsidRPr="00BA3352" w:rsidRDefault="001C1121" w:rsidP="00E92500">
            <w:pPr>
              <w:widowControl/>
              <w:rPr>
                <w:rFonts w:ascii="Arial Narrow" w:hAnsi="Arial Narrow"/>
                <w:sz w:val="20"/>
              </w:rPr>
            </w:pPr>
            <w:r w:rsidRPr="00BA3352">
              <w:rPr>
                <w:rFonts w:ascii="Arial Narrow" w:hAnsi="Arial Narrow"/>
                <w:sz w:val="20"/>
              </w:rPr>
              <w:t>Canadian-AS</w:t>
            </w:r>
          </w:p>
        </w:tc>
        <w:tc>
          <w:tcPr>
            <w:tcW w:w="1205" w:type="dxa"/>
            <w:tcBorders>
              <w:top w:val="double" w:sz="4" w:space="0" w:color="auto"/>
            </w:tcBorders>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18/38 (47.4)</w:t>
            </w:r>
          </w:p>
        </w:tc>
        <w:tc>
          <w:tcPr>
            <w:tcW w:w="1205" w:type="dxa"/>
            <w:tcBorders>
              <w:top w:val="double" w:sz="4" w:space="0" w:color="auto"/>
            </w:tcBorders>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12/44 (27.3)</w:t>
            </w:r>
          </w:p>
        </w:tc>
        <w:tc>
          <w:tcPr>
            <w:tcW w:w="1559" w:type="dxa"/>
            <w:tcBorders>
              <w:top w:val="double" w:sz="4" w:space="0" w:color="auto"/>
            </w:tcBorders>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1.74 (0.97, 3.13)</w:t>
            </w:r>
          </w:p>
        </w:tc>
        <w:tc>
          <w:tcPr>
            <w:tcW w:w="1125" w:type="dxa"/>
            <w:vMerge w:val="restart"/>
            <w:tcBorders>
              <w:top w:val="double" w:sz="4" w:space="0" w:color="auto"/>
            </w:tcBorders>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 xml:space="preserve">0.91 </w:t>
            </w:r>
          </w:p>
          <w:p w:rsidR="001C1121" w:rsidRPr="00BA3352" w:rsidRDefault="001C1121" w:rsidP="00E92500">
            <w:pPr>
              <w:widowControl/>
              <w:jc w:val="center"/>
              <w:rPr>
                <w:rFonts w:ascii="Arial Narrow" w:hAnsi="Arial Narrow"/>
                <w:sz w:val="20"/>
              </w:rPr>
            </w:pPr>
            <w:r w:rsidRPr="00BA3352">
              <w:rPr>
                <w:rFonts w:ascii="Arial Narrow" w:hAnsi="Arial Narrow"/>
                <w:sz w:val="20"/>
              </w:rPr>
              <w:t>(0.57, 1.47)</w:t>
            </w:r>
          </w:p>
        </w:tc>
        <w:tc>
          <w:tcPr>
            <w:tcW w:w="983" w:type="dxa"/>
            <w:vMerge w:val="restart"/>
            <w:tcBorders>
              <w:top w:val="double" w:sz="4" w:space="0" w:color="auto"/>
            </w:tcBorders>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1.04</w:t>
            </w:r>
          </w:p>
          <w:p w:rsidR="001C1121" w:rsidRPr="00BA3352" w:rsidRDefault="001C1121" w:rsidP="00E92500">
            <w:pPr>
              <w:widowControl/>
              <w:jc w:val="center"/>
              <w:rPr>
                <w:rFonts w:ascii="Arial Narrow" w:hAnsi="Arial Narrow"/>
                <w:sz w:val="20"/>
              </w:rPr>
            </w:pPr>
            <w:r w:rsidRPr="00BA3352">
              <w:rPr>
                <w:rFonts w:ascii="Arial Narrow" w:hAnsi="Arial Narrow"/>
                <w:sz w:val="20"/>
              </w:rPr>
              <w:t>(0.58, 1.84)</w:t>
            </w:r>
          </w:p>
        </w:tc>
      </w:tr>
      <w:tr w:rsidR="001C1121" w:rsidRPr="00BA3352" w:rsidTr="00264209">
        <w:trPr>
          <w:trHeight w:val="283"/>
        </w:trPr>
        <w:tc>
          <w:tcPr>
            <w:tcW w:w="425" w:type="dxa"/>
            <w:vMerge/>
            <w:vAlign w:val="center"/>
          </w:tcPr>
          <w:p w:rsidR="001C1121" w:rsidRPr="00BA3352" w:rsidRDefault="001C1121" w:rsidP="00E92500">
            <w:pPr>
              <w:widowControl/>
              <w:jc w:val="left"/>
              <w:rPr>
                <w:rFonts w:ascii="Arial Narrow" w:hAnsi="Arial Narrow"/>
                <w:sz w:val="20"/>
              </w:rPr>
            </w:pPr>
          </w:p>
        </w:tc>
        <w:tc>
          <w:tcPr>
            <w:tcW w:w="1876" w:type="dxa"/>
          </w:tcPr>
          <w:p w:rsidR="001C1121" w:rsidRPr="00BA3352" w:rsidRDefault="001C1121" w:rsidP="00E92500">
            <w:pPr>
              <w:widowControl/>
              <w:jc w:val="left"/>
              <w:rPr>
                <w:rFonts w:ascii="Arial Narrow" w:hAnsi="Arial Narrow"/>
                <w:sz w:val="20"/>
                <w:lang w:val="es-ES_tradnl"/>
              </w:rPr>
            </w:pPr>
            <w:r w:rsidRPr="00BA3352">
              <w:rPr>
                <w:rFonts w:ascii="Arial Narrow" w:hAnsi="Arial Narrow" w:cstheme="minorBidi"/>
                <w:sz w:val="20"/>
                <w:lang w:val="es-ES_tradnl"/>
              </w:rPr>
              <w:t>Van der Heijde 2006a (ATLAS)</w:t>
            </w:r>
          </w:p>
        </w:tc>
        <w:tc>
          <w:tcPr>
            <w:tcW w:w="1205" w:type="dxa"/>
            <w:vAlign w:val="center"/>
          </w:tcPr>
          <w:p w:rsidR="001C1121" w:rsidRPr="00BA3352" w:rsidRDefault="001C1121" w:rsidP="00E92500">
            <w:pPr>
              <w:widowControl/>
              <w:jc w:val="center"/>
              <w:rPr>
                <w:rFonts w:ascii="Arial Narrow" w:hAnsi="Arial Narrow" w:cstheme="minorBidi"/>
                <w:sz w:val="20"/>
                <w:lang w:val="es-ES_tradnl"/>
              </w:rPr>
            </w:pPr>
            <w:r w:rsidRPr="00BA3352">
              <w:rPr>
                <w:rFonts w:ascii="Arial Narrow" w:hAnsi="Arial Narrow" w:cstheme="minorBidi"/>
                <w:sz w:val="20"/>
                <w:lang w:val="es-ES_tradnl"/>
              </w:rPr>
              <w:t>154/229 (67.2)</w:t>
            </w:r>
          </w:p>
        </w:tc>
        <w:tc>
          <w:tcPr>
            <w:tcW w:w="1205" w:type="dxa"/>
            <w:vAlign w:val="center"/>
          </w:tcPr>
          <w:p w:rsidR="001C1121" w:rsidRPr="00BA3352" w:rsidRDefault="001C1121" w:rsidP="00E92500">
            <w:pPr>
              <w:widowControl/>
              <w:jc w:val="center"/>
              <w:rPr>
                <w:rFonts w:ascii="Arial Narrow" w:hAnsi="Arial Narrow" w:cstheme="minorBidi"/>
                <w:sz w:val="20"/>
                <w:lang w:val="es-ES_tradnl"/>
              </w:rPr>
            </w:pPr>
            <w:r w:rsidRPr="00BA3352">
              <w:rPr>
                <w:rFonts w:ascii="Arial Narrow" w:hAnsi="Arial Narrow"/>
                <w:sz w:val="20"/>
              </w:rPr>
              <w:t>35/115 (30.4)</w:t>
            </w:r>
          </w:p>
        </w:tc>
        <w:tc>
          <w:tcPr>
            <w:tcW w:w="1559" w:type="dxa"/>
            <w:vAlign w:val="center"/>
          </w:tcPr>
          <w:p w:rsidR="001C1121" w:rsidRPr="00BA3352" w:rsidRDefault="001C1121" w:rsidP="00E92500">
            <w:pPr>
              <w:widowControl/>
              <w:jc w:val="center"/>
              <w:rPr>
                <w:rFonts w:ascii="Arial Narrow" w:hAnsi="Arial Narrow" w:cstheme="minorBidi"/>
                <w:b/>
                <w:sz w:val="20"/>
                <w:lang w:val="es-ES_tradnl"/>
              </w:rPr>
            </w:pPr>
            <w:r w:rsidRPr="00BA3352">
              <w:rPr>
                <w:rFonts w:ascii="Arial Narrow" w:hAnsi="Arial Narrow" w:cstheme="minorBidi"/>
                <w:b/>
                <w:sz w:val="20"/>
                <w:lang w:val="es-ES_tradnl"/>
              </w:rPr>
              <w:t>2.21 (1.65, 2.96)</w:t>
            </w:r>
          </w:p>
        </w:tc>
        <w:tc>
          <w:tcPr>
            <w:tcW w:w="1125" w:type="dxa"/>
            <w:vMerge/>
            <w:vAlign w:val="center"/>
          </w:tcPr>
          <w:p w:rsidR="001C1121" w:rsidRPr="00BA3352" w:rsidRDefault="001C1121" w:rsidP="00E92500">
            <w:pPr>
              <w:widowControl/>
              <w:jc w:val="center"/>
              <w:rPr>
                <w:rFonts w:ascii="Arial Narrow" w:hAnsi="Arial Narrow" w:cstheme="minorBidi"/>
                <w:sz w:val="20"/>
                <w:lang w:val="es-ES_tradnl"/>
              </w:rPr>
            </w:pPr>
          </w:p>
        </w:tc>
        <w:tc>
          <w:tcPr>
            <w:tcW w:w="983" w:type="dxa"/>
            <w:vMerge/>
            <w:vAlign w:val="center"/>
          </w:tcPr>
          <w:p w:rsidR="001C1121" w:rsidRPr="00BA3352" w:rsidRDefault="001C1121" w:rsidP="00E92500">
            <w:pPr>
              <w:widowControl/>
              <w:jc w:val="center"/>
              <w:rPr>
                <w:rFonts w:ascii="Arial Narrow" w:hAnsi="Arial Narrow" w:cstheme="minorBidi"/>
                <w:sz w:val="20"/>
                <w:lang w:val="es-ES_tradnl"/>
              </w:rPr>
            </w:pPr>
          </w:p>
        </w:tc>
      </w:tr>
      <w:tr w:rsidR="001C1121" w:rsidRPr="00BA3352" w:rsidTr="00264209">
        <w:trPr>
          <w:trHeight w:val="283"/>
        </w:trPr>
        <w:tc>
          <w:tcPr>
            <w:tcW w:w="425" w:type="dxa"/>
            <w:vMerge/>
            <w:vAlign w:val="center"/>
          </w:tcPr>
          <w:p w:rsidR="001C1121" w:rsidRPr="00BA3352" w:rsidRDefault="001C1121" w:rsidP="00E92500">
            <w:pPr>
              <w:widowControl/>
              <w:jc w:val="left"/>
              <w:rPr>
                <w:rFonts w:ascii="Arial Narrow" w:hAnsi="Arial Narrow"/>
                <w:sz w:val="20"/>
              </w:rPr>
            </w:pPr>
          </w:p>
        </w:tc>
        <w:tc>
          <w:tcPr>
            <w:tcW w:w="1876" w:type="dxa"/>
          </w:tcPr>
          <w:p w:rsidR="001C1121" w:rsidRPr="00BA3352" w:rsidRDefault="001C1121" w:rsidP="00E92500">
            <w:pPr>
              <w:widowControl/>
              <w:rPr>
                <w:rFonts w:ascii="Arial Narrow" w:hAnsi="Arial Narrow"/>
                <w:sz w:val="20"/>
              </w:rPr>
            </w:pPr>
            <w:r w:rsidRPr="00BA3352">
              <w:rPr>
                <w:rFonts w:ascii="Arial Narrow" w:hAnsi="Arial Narrow" w:cstheme="minorBidi"/>
                <w:sz w:val="20"/>
              </w:rPr>
              <w:t>Huang 2014</w:t>
            </w:r>
          </w:p>
        </w:tc>
        <w:tc>
          <w:tcPr>
            <w:tcW w:w="120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121/208 (58.2)</w:t>
            </w:r>
          </w:p>
        </w:tc>
        <w:tc>
          <w:tcPr>
            <w:tcW w:w="120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22/107 (20.6)</w:t>
            </w:r>
          </w:p>
        </w:tc>
        <w:tc>
          <w:tcPr>
            <w:tcW w:w="1559" w:type="dxa"/>
            <w:vAlign w:val="center"/>
          </w:tcPr>
          <w:p w:rsidR="001C1121" w:rsidRPr="00BA3352" w:rsidRDefault="001C1121" w:rsidP="00E92500">
            <w:pPr>
              <w:widowControl/>
              <w:jc w:val="center"/>
              <w:rPr>
                <w:rFonts w:ascii="Arial Narrow" w:hAnsi="Arial Narrow" w:cstheme="minorBidi"/>
                <w:b/>
                <w:sz w:val="20"/>
              </w:rPr>
            </w:pPr>
            <w:r w:rsidRPr="00BA3352">
              <w:rPr>
                <w:rFonts w:ascii="Arial Narrow" w:hAnsi="Arial Narrow" w:cstheme="minorBidi"/>
                <w:b/>
                <w:sz w:val="20"/>
              </w:rPr>
              <w:t>2.83 (1.92, 4.18)</w:t>
            </w:r>
          </w:p>
        </w:tc>
        <w:tc>
          <w:tcPr>
            <w:tcW w:w="1125" w:type="dxa"/>
            <w:vMerge/>
            <w:vAlign w:val="center"/>
          </w:tcPr>
          <w:p w:rsidR="001C1121" w:rsidRPr="00BA3352" w:rsidRDefault="001C1121" w:rsidP="00E92500">
            <w:pPr>
              <w:widowControl/>
              <w:jc w:val="center"/>
              <w:rPr>
                <w:rFonts w:ascii="Arial Narrow" w:hAnsi="Arial Narrow" w:cstheme="minorBidi"/>
                <w:sz w:val="20"/>
              </w:rPr>
            </w:pPr>
          </w:p>
        </w:tc>
        <w:tc>
          <w:tcPr>
            <w:tcW w:w="983" w:type="dxa"/>
            <w:vMerge/>
            <w:vAlign w:val="center"/>
          </w:tcPr>
          <w:p w:rsidR="001C1121" w:rsidRPr="00BA3352" w:rsidRDefault="001C1121" w:rsidP="00E92500">
            <w:pPr>
              <w:widowControl/>
              <w:jc w:val="center"/>
              <w:rPr>
                <w:rFonts w:ascii="Arial Narrow" w:hAnsi="Arial Narrow" w:cstheme="minorBidi"/>
                <w:sz w:val="20"/>
              </w:rPr>
            </w:pPr>
          </w:p>
        </w:tc>
      </w:tr>
      <w:tr w:rsidR="001C1121" w:rsidRPr="00BA3352" w:rsidTr="00264209">
        <w:trPr>
          <w:trHeight w:val="283"/>
        </w:trPr>
        <w:tc>
          <w:tcPr>
            <w:tcW w:w="425" w:type="dxa"/>
            <w:vMerge/>
            <w:vAlign w:val="center"/>
          </w:tcPr>
          <w:p w:rsidR="001C1121" w:rsidRPr="00BA3352" w:rsidRDefault="001C1121" w:rsidP="00E92500">
            <w:pPr>
              <w:widowControl/>
              <w:jc w:val="left"/>
              <w:rPr>
                <w:rFonts w:ascii="Arial Narrow" w:hAnsi="Arial Narrow"/>
                <w:sz w:val="20"/>
              </w:rPr>
            </w:pPr>
          </w:p>
        </w:tc>
        <w:tc>
          <w:tcPr>
            <w:tcW w:w="4286" w:type="dxa"/>
            <w:gridSpan w:val="3"/>
            <w:vAlign w:val="center"/>
          </w:tcPr>
          <w:p w:rsidR="001C1121" w:rsidRPr="00BA3352" w:rsidRDefault="001C1121" w:rsidP="00E92500">
            <w:pPr>
              <w:widowControl/>
              <w:jc w:val="right"/>
              <w:rPr>
                <w:rFonts w:ascii="Arial Narrow" w:hAnsi="Arial Narrow" w:cstheme="minorBidi"/>
                <w:sz w:val="20"/>
                <w:vertAlign w:val="superscript"/>
              </w:rPr>
            </w:pPr>
            <w:r w:rsidRPr="00BA3352">
              <w:rPr>
                <w:rFonts w:ascii="Arial Narrow" w:hAnsi="Arial Narrow" w:cstheme="minorBidi"/>
                <w:sz w:val="20"/>
              </w:rPr>
              <w:t>Meta-analysis</w:t>
            </w:r>
            <w:r w:rsidRPr="00BA3352">
              <w:rPr>
                <w:rFonts w:ascii="Arial Narrow" w:hAnsi="Arial Narrow" w:cstheme="minorBidi"/>
                <w:sz w:val="20"/>
                <w:vertAlign w:val="superscript"/>
              </w:rPr>
              <w:t>d</w:t>
            </w:r>
          </w:p>
        </w:tc>
        <w:tc>
          <w:tcPr>
            <w:tcW w:w="1559" w:type="dxa"/>
            <w:vAlign w:val="center"/>
          </w:tcPr>
          <w:p w:rsidR="001C1121" w:rsidRPr="00BA3352" w:rsidRDefault="001C1121" w:rsidP="00E92500">
            <w:pPr>
              <w:widowControl/>
              <w:jc w:val="center"/>
              <w:rPr>
                <w:rFonts w:ascii="Arial Narrow" w:hAnsi="Arial Narrow" w:cstheme="minorBidi"/>
                <w:b/>
                <w:sz w:val="20"/>
              </w:rPr>
            </w:pPr>
            <w:r w:rsidRPr="00BA3352">
              <w:rPr>
                <w:rFonts w:ascii="Arial Narrow" w:hAnsi="Arial Narrow" w:cstheme="minorBidi"/>
                <w:b/>
                <w:sz w:val="20"/>
              </w:rPr>
              <w:t>2.31 (1.85, 2.88)</w:t>
            </w:r>
          </w:p>
        </w:tc>
        <w:tc>
          <w:tcPr>
            <w:tcW w:w="1125" w:type="dxa"/>
            <w:vMerge/>
            <w:vAlign w:val="center"/>
          </w:tcPr>
          <w:p w:rsidR="001C1121" w:rsidRPr="00BA3352" w:rsidRDefault="001C1121" w:rsidP="00E92500">
            <w:pPr>
              <w:widowControl/>
              <w:jc w:val="center"/>
              <w:rPr>
                <w:rFonts w:ascii="Arial Narrow" w:hAnsi="Arial Narrow" w:cstheme="minorBidi"/>
                <w:sz w:val="20"/>
              </w:rPr>
            </w:pPr>
          </w:p>
        </w:tc>
        <w:tc>
          <w:tcPr>
            <w:tcW w:w="983" w:type="dxa"/>
            <w:vMerge/>
            <w:vAlign w:val="center"/>
          </w:tcPr>
          <w:p w:rsidR="001C1121" w:rsidRPr="00BA3352" w:rsidRDefault="001C1121" w:rsidP="00E92500">
            <w:pPr>
              <w:widowControl/>
              <w:jc w:val="center"/>
              <w:rPr>
                <w:rFonts w:ascii="Arial Narrow" w:hAnsi="Arial Narrow" w:cstheme="minorBidi"/>
                <w:sz w:val="20"/>
              </w:rPr>
            </w:pPr>
          </w:p>
        </w:tc>
      </w:tr>
      <w:tr w:rsidR="001C1121" w:rsidRPr="00BA3352" w:rsidTr="00264209">
        <w:trPr>
          <w:trHeight w:val="283"/>
        </w:trPr>
        <w:tc>
          <w:tcPr>
            <w:tcW w:w="425" w:type="dxa"/>
            <w:vMerge w:val="restart"/>
            <w:vAlign w:val="center"/>
          </w:tcPr>
          <w:p w:rsidR="001C1121" w:rsidRPr="00BA3352" w:rsidRDefault="001C1121" w:rsidP="00E92500">
            <w:pPr>
              <w:widowControl/>
              <w:jc w:val="left"/>
              <w:rPr>
                <w:rFonts w:ascii="Arial Narrow" w:hAnsi="Arial Narrow"/>
                <w:sz w:val="20"/>
              </w:rPr>
            </w:pPr>
            <w:r w:rsidRPr="00BA3352">
              <w:rPr>
                <w:rFonts w:ascii="Arial Narrow" w:hAnsi="Arial Narrow"/>
                <w:sz w:val="20"/>
              </w:rPr>
              <w:t>ETC25</w:t>
            </w:r>
          </w:p>
        </w:tc>
        <w:tc>
          <w:tcPr>
            <w:tcW w:w="1876" w:type="dxa"/>
          </w:tcPr>
          <w:p w:rsidR="001C1121" w:rsidRPr="00BA3352" w:rsidRDefault="001C1121" w:rsidP="00E92500">
            <w:pPr>
              <w:widowControl/>
              <w:rPr>
                <w:rFonts w:ascii="Arial Narrow" w:hAnsi="Arial Narrow"/>
                <w:sz w:val="20"/>
              </w:rPr>
            </w:pPr>
            <w:r w:rsidRPr="00BA3352">
              <w:rPr>
                <w:rFonts w:ascii="Arial Narrow" w:hAnsi="Arial Narrow"/>
                <w:sz w:val="20"/>
              </w:rPr>
              <w:t>Davis 2003</w:t>
            </w:r>
          </w:p>
        </w:tc>
        <w:tc>
          <w:tcPr>
            <w:tcW w:w="1205"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82/138 (59.4)</w:t>
            </w:r>
          </w:p>
        </w:tc>
        <w:tc>
          <w:tcPr>
            <w:tcW w:w="1205"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39/139 (28.1)</w:t>
            </w:r>
          </w:p>
        </w:tc>
        <w:tc>
          <w:tcPr>
            <w:tcW w:w="1559"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2.12 (1.57, 2.86)</w:t>
            </w:r>
          </w:p>
        </w:tc>
        <w:tc>
          <w:tcPr>
            <w:tcW w:w="1125" w:type="dxa"/>
            <w:vMerge w:val="restart"/>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 xml:space="preserve">1.01 </w:t>
            </w:r>
          </w:p>
          <w:p w:rsidR="001C1121" w:rsidRPr="00BA3352" w:rsidRDefault="001C1121" w:rsidP="00E92500">
            <w:pPr>
              <w:widowControl/>
              <w:jc w:val="center"/>
              <w:rPr>
                <w:rFonts w:ascii="Arial Narrow" w:hAnsi="Arial Narrow"/>
                <w:sz w:val="20"/>
              </w:rPr>
            </w:pPr>
            <w:r w:rsidRPr="00BA3352">
              <w:rPr>
                <w:rFonts w:ascii="Arial Narrow" w:hAnsi="Arial Narrow"/>
                <w:sz w:val="20"/>
              </w:rPr>
              <w:t>(0.63, 1.63)</w:t>
            </w:r>
          </w:p>
        </w:tc>
        <w:tc>
          <w:tcPr>
            <w:tcW w:w="983" w:type="dxa"/>
            <w:vMerge w:val="restart"/>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1.14</w:t>
            </w:r>
          </w:p>
          <w:p w:rsidR="001C1121" w:rsidRPr="00BA3352" w:rsidRDefault="001C1121" w:rsidP="00E92500">
            <w:pPr>
              <w:widowControl/>
              <w:jc w:val="center"/>
              <w:rPr>
                <w:rFonts w:ascii="Arial Narrow" w:hAnsi="Arial Narrow"/>
                <w:sz w:val="20"/>
              </w:rPr>
            </w:pPr>
            <w:r w:rsidRPr="00BA3352">
              <w:rPr>
                <w:rFonts w:ascii="Arial Narrow" w:hAnsi="Arial Narrow"/>
                <w:sz w:val="20"/>
              </w:rPr>
              <w:t>(0.64, 2.04)</w:t>
            </w:r>
          </w:p>
        </w:tc>
      </w:tr>
      <w:tr w:rsidR="001C1121" w:rsidRPr="00BA3352" w:rsidTr="00264209">
        <w:trPr>
          <w:trHeight w:val="283"/>
        </w:trPr>
        <w:tc>
          <w:tcPr>
            <w:tcW w:w="425" w:type="dxa"/>
            <w:vMerge/>
            <w:vAlign w:val="center"/>
          </w:tcPr>
          <w:p w:rsidR="001C1121" w:rsidRPr="00BA3352" w:rsidRDefault="001C1121" w:rsidP="00E92500">
            <w:pPr>
              <w:widowControl/>
              <w:jc w:val="left"/>
              <w:rPr>
                <w:rFonts w:ascii="Arial Narrow" w:hAnsi="Arial Narrow"/>
                <w:sz w:val="20"/>
              </w:rPr>
            </w:pPr>
          </w:p>
        </w:tc>
        <w:tc>
          <w:tcPr>
            <w:tcW w:w="1876" w:type="dxa"/>
          </w:tcPr>
          <w:p w:rsidR="001C1121" w:rsidRPr="00BA3352" w:rsidRDefault="001C1121" w:rsidP="00E92500">
            <w:pPr>
              <w:widowControl/>
              <w:rPr>
                <w:rFonts w:ascii="Arial Narrow" w:hAnsi="Arial Narrow"/>
                <w:sz w:val="20"/>
              </w:rPr>
            </w:pPr>
            <w:r w:rsidRPr="00BA3352">
              <w:rPr>
                <w:rFonts w:ascii="Arial Narrow" w:hAnsi="Arial Narrow"/>
                <w:sz w:val="20"/>
              </w:rPr>
              <w:t>Calin 2004</w:t>
            </w:r>
          </w:p>
        </w:tc>
        <w:tc>
          <w:tcPr>
            <w:tcW w:w="1205"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26/45 (57.8)</w:t>
            </w:r>
          </w:p>
        </w:tc>
        <w:tc>
          <w:tcPr>
            <w:tcW w:w="1205"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9/39 (23.1)</w:t>
            </w:r>
          </w:p>
        </w:tc>
        <w:tc>
          <w:tcPr>
            <w:tcW w:w="1559"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2.50 (1.34, 4.68)</w:t>
            </w:r>
          </w:p>
        </w:tc>
        <w:tc>
          <w:tcPr>
            <w:tcW w:w="1125" w:type="dxa"/>
            <w:vMerge/>
            <w:vAlign w:val="center"/>
          </w:tcPr>
          <w:p w:rsidR="001C1121" w:rsidRPr="00BA3352" w:rsidRDefault="001C1121" w:rsidP="00E92500">
            <w:pPr>
              <w:widowControl/>
              <w:jc w:val="center"/>
              <w:rPr>
                <w:rFonts w:ascii="Arial Narrow" w:hAnsi="Arial Narrow"/>
                <w:sz w:val="20"/>
              </w:rPr>
            </w:pPr>
          </w:p>
        </w:tc>
        <w:tc>
          <w:tcPr>
            <w:tcW w:w="983" w:type="dxa"/>
            <w:vMerge/>
            <w:vAlign w:val="center"/>
          </w:tcPr>
          <w:p w:rsidR="001C1121" w:rsidRPr="00BA3352" w:rsidRDefault="001C1121" w:rsidP="00E92500">
            <w:pPr>
              <w:widowControl/>
              <w:jc w:val="center"/>
              <w:rPr>
                <w:rFonts w:ascii="Arial Narrow" w:hAnsi="Arial Narrow"/>
                <w:sz w:val="20"/>
              </w:rPr>
            </w:pPr>
          </w:p>
        </w:tc>
      </w:tr>
      <w:tr w:rsidR="001C1121" w:rsidRPr="00BA3352" w:rsidTr="00264209">
        <w:trPr>
          <w:trHeight w:val="283"/>
        </w:trPr>
        <w:tc>
          <w:tcPr>
            <w:tcW w:w="425" w:type="dxa"/>
            <w:vMerge/>
            <w:vAlign w:val="center"/>
          </w:tcPr>
          <w:p w:rsidR="001C1121" w:rsidRPr="00BA3352" w:rsidRDefault="001C1121" w:rsidP="00E92500">
            <w:pPr>
              <w:widowControl/>
              <w:jc w:val="left"/>
              <w:rPr>
                <w:rFonts w:ascii="Arial Narrow" w:hAnsi="Arial Narrow"/>
                <w:sz w:val="20"/>
              </w:rPr>
            </w:pPr>
          </w:p>
        </w:tc>
        <w:tc>
          <w:tcPr>
            <w:tcW w:w="1876" w:type="dxa"/>
          </w:tcPr>
          <w:p w:rsidR="001C1121" w:rsidRPr="00BA3352" w:rsidRDefault="001C1121" w:rsidP="00E92500">
            <w:pPr>
              <w:widowControl/>
              <w:rPr>
                <w:rFonts w:ascii="Arial Narrow" w:hAnsi="Arial Narrow"/>
                <w:sz w:val="20"/>
              </w:rPr>
            </w:pPr>
            <w:r w:rsidRPr="00BA3352">
              <w:rPr>
                <w:rFonts w:ascii="Arial Narrow" w:hAnsi="Arial Narrow" w:cstheme="minorBidi"/>
                <w:sz w:val="20"/>
              </w:rPr>
              <w:t>Van der Heijde 2006b</w:t>
            </w:r>
          </w:p>
        </w:tc>
        <w:tc>
          <w:tcPr>
            <w:tcW w:w="120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107/150 (71.3)</w:t>
            </w:r>
          </w:p>
        </w:tc>
        <w:tc>
          <w:tcPr>
            <w:tcW w:w="120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19/51 (37.3)</w:t>
            </w:r>
          </w:p>
        </w:tc>
        <w:tc>
          <w:tcPr>
            <w:tcW w:w="1559" w:type="dxa"/>
            <w:vAlign w:val="center"/>
          </w:tcPr>
          <w:p w:rsidR="001C1121" w:rsidRPr="00BA3352" w:rsidRDefault="001C1121" w:rsidP="00E92500">
            <w:pPr>
              <w:widowControl/>
              <w:jc w:val="center"/>
              <w:rPr>
                <w:rFonts w:ascii="Arial Narrow" w:hAnsi="Arial Narrow" w:cstheme="minorBidi"/>
                <w:b/>
                <w:sz w:val="20"/>
              </w:rPr>
            </w:pPr>
            <w:r w:rsidRPr="00BA3352">
              <w:rPr>
                <w:rFonts w:ascii="Arial Narrow" w:hAnsi="Arial Narrow" w:cstheme="minorBidi"/>
                <w:b/>
                <w:sz w:val="20"/>
              </w:rPr>
              <w:t>1.91 (1.32, 2.77)</w:t>
            </w:r>
          </w:p>
        </w:tc>
        <w:tc>
          <w:tcPr>
            <w:tcW w:w="1125" w:type="dxa"/>
            <w:vMerge/>
            <w:vAlign w:val="center"/>
          </w:tcPr>
          <w:p w:rsidR="001C1121" w:rsidRPr="00BA3352" w:rsidRDefault="001C1121" w:rsidP="00E92500">
            <w:pPr>
              <w:widowControl/>
              <w:jc w:val="center"/>
              <w:rPr>
                <w:rFonts w:ascii="Arial Narrow" w:hAnsi="Arial Narrow" w:cstheme="minorBidi"/>
                <w:sz w:val="20"/>
              </w:rPr>
            </w:pPr>
          </w:p>
        </w:tc>
        <w:tc>
          <w:tcPr>
            <w:tcW w:w="983" w:type="dxa"/>
            <w:vMerge/>
            <w:vAlign w:val="center"/>
          </w:tcPr>
          <w:p w:rsidR="001C1121" w:rsidRPr="00BA3352" w:rsidRDefault="001C1121" w:rsidP="00E92500">
            <w:pPr>
              <w:widowControl/>
              <w:jc w:val="center"/>
              <w:rPr>
                <w:rFonts w:ascii="Arial Narrow" w:hAnsi="Arial Narrow" w:cstheme="minorBidi"/>
                <w:sz w:val="20"/>
              </w:rPr>
            </w:pPr>
          </w:p>
        </w:tc>
      </w:tr>
      <w:tr w:rsidR="001C1121" w:rsidRPr="00BA3352" w:rsidTr="00264209">
        <w:trPr>
          <w:trHeight w:val="283"/>
        </w:trPr>
        <w:tc>
          <w:tcPr>
            <w:tcW w:w="425" w:type="dxa"/>
            <w:vMerge/>
            <w:vAlign w:val="center"/>
          </w:tcPr>
          <w:p w:rsidR="001C1121" w:rsidRPr="00BA3352" w:rsidRDefault="001C1121" w:rsidP="00E92500">
            <w:pPr>
              <w:widowControl/>
              <w:jc w:val="left"/>
              <w:rPr>
                <w:rFonts w:ascii="Arial Narrow" w:hAnsi="Arial Narrow"/>
                <w:sz w:val="20"/>
              </w:rPr>
            </w:pPr>
          </w:p>
        </w:tc>
        <w:tc>
          <w:tcPr>
            <w:tcW w:w="4286" w:type="dxa"/>
            <w:gridSpan w:val="3"/>
            <w:vAlign w:val="center"/>
          </w:tcPr>
          <w:p w:rsidR="001C1121" w:rsidRPr="00BA3352" w:rsidRDefault="001C1121" w:rsidP="00E92500">
            <w:pPr>
              <w:widowControl/>
              <w:jc w:val="right"/>
              <w:rPr>
                <w:rFonts w:ascii="Arial Narrow" w:hAnsi="Arial Narrow" w:cstheme="minorBidi"/>
                <w:sz w:val="20"/>
                <w:vertAlign w:val="superscript"/>
              </w:rPr>
            </w:pPr>
            <w:r w:rsidRPr="00BA3352">
              <w:rPr>
                <w:rFonts w:ascii="Arial Narrow" w:hAnsi="Arial Narrow" w:cstheme="minorBidi"/>
                <w:sz w:val="20"/>
              </w:rPr>
              <w:t>Meta-analysis</w:t>
            </w:r>
            <w:r w:rsidRPr="00BA3352">
              <w:rPr>
                <w:rFonts w:ascii="Arial Narrow" w:hAnsi="Arial Narrow" w:cstheme="minorBidi"/>
                <w:sz w:val="20"/>
                <w:vertAlign w:val="superscript"/>
              </w:rPr>
              <w:t>d</w:t>
            </w:r>
          </w:p>
        </w:tc>
        <w:tc>
          <w:tcPr>
            <w:tcW w:w="1559" w:type="dxa"/>
            <w:vAlign w:val="center"/>
          </w:tcPr>
          <w:p w:rsidR="001C1121" w:rsidRPr="00BA3352" w:rsidRDefault="001C1121" w:rsidP="00E92500">
            <w:pPr>
              <w:widowControl/>
              <w:jc w:val="center"/>
              <w:rPr>
                <w:rFonts w:ascii="Arial Narrow" w:hAnsi="Arial Narrow" w:cstheme="minorBidi"/>
                <w:b/>
                <w:sz w:val="20"/>
              </w:rPr>
            </w:pPr>
            <w:r w:rsidRPr="00BA3352">
              <w:rPr>
                <w:rFonts w:ascii="Arial Narrow" w:hAnsi="Arial Narrow" w:cstheme="minorBidi"/>
                <w:b/>
                <w:sz w:val="20"/>
              </w:rPr>
              <w:t>2.09 (1.68, 2.60)</w:t>
            </w:r>
          </w:p>
        </w:tc>
        <w:tc>
          <w:tcPr>
            <w:tcW w:w="1125" w:type="dxa"/>
            <w:vMerge/>
            <w:vAlign w:val="center"/>
          </w:tcPr>
          <w:p w:rsidR="001C1121" w:rsidRPr="00BA3352" w:rsidRDefault="001C1121" w:rsidP="00E92500">
            <w:pPr>
              <w:widowControl/>
              <w:jc w:val="center"/>
              <w:rPr>
                <w:rFonts w:ascii="Arial Narrow" w:hAnsi="Arial Narrow" w:cstheme="minorBidi"/>
                <w:sz w:val="20"/>
              </w:rPr>
            </w:pPr>
          </w:p>
        </w:tc>
        <w:tc>
          <w:tcPr>
            <w:tcW w:w="983" w:type="dxa"/>
            <w:vMerge/>
            <w:vAlign w:val="center"/>
          </w:tcPr>
          <w:p w:rsidR="001C1121" w:rsidRPr="00BA3352" w:rsidRDefault="001C1121" w:rsidP="00E92500">
            <w:pPr>
              <w:widowControl/>
              <w:jc w:val="center"/>
              <w:rPr>
                <w:rFonts w:ascii="Arial Narrow" w:hAnsi="Arial Narrow" w:cstheme="minorBidi"/>
                <w:sz w:val="20"/>
              </w:rPr>
            </w:pPr>
          </w:p>
        </w:tc>
      </w:tr>
      <w:tr w:rsidR="001C1121" w:rsidRPr="00BA3352" w:rsidTr="00264209">
        <w:trPr>
          <w:trHeight w:val="283"/>
        </w:trPr>
        <w:tc>
          <w:tcPr>
            <w:tcW w:w="425" w:type="dxa"/>
            <w:vMerge w:val="restart"/>
            <w:vAlign w:val="center"/>
          </w:tcPr>
          <w:p w:rsidR="001C1121" w:rsidRPr="00BA3352" w:rsidRDefault="001C1121" w:rsidP="00E92500">
            <w:pPr>
              <w:widowControl/>
              <w:jc w:val="left"/>
              <w:rPr>
                <w:rFonts w:ascii="Arial Narrow" w:hAnsi="Arial Narrow"/>
                <w:sz w:val="20"/>
              </w:rPr>
            </w:pPr>
            <w:r w:rsidRPr="00BA3352">
              <w:rPr>
                <w:rFonts w:ascii="Arial Narrow" w:hAnsi="Arial Narrow"/>
                <w:sz w:val="20"/>
              </w:rPr>
              <w:t>ETC50</w:t>
            </w:r>
          </w:p>
        </w:tc>
        <w:tc>
          <w:tcPr>
            <w:tcW w:w="1876" w:type="dxa"/>
          </w:tcPr>
          <w:p w:rsidR="001C1121" w:rsidRPr="00BA3352" w:rsidRDefault="001C1121" w:rsidP="00E92500">
            <w:pPr>
              <w:widowControl/>
              <w:rPr>
                <w:rFonts w:ascii="Arial Narrow" w:hAnsi="Arial Narrow" w:cstheme="minorBidi"/>
                <w:sz w:val="20"/>
              </w:rPr>
            </w:pPr>
            <w:r w:rsidRPr="00BA3352">
              <w:rPr>
                <w:rFonts w:ascii="Arial Narrow" w:hAnsi="Arial Narrow" w:cstheme="minorBidi"/>
                <w:sz w:val="20"/>
              </w:rPr>
              <w:t>Van der Heijde 2006b</w:t>
            </w:r>
          </w:p>
        </w:tc>
        <w:tc>
          <w:tcPr>
            <w:tcW w:w="120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115/155 (74.2)</w:t>
            </w:r>
          </w:p>
        </w:tc>
        <w:tc>
          <w:tcPr>
            <w:tcW w:w="120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19/51 (37.3)</w:t>
            </w:r>
          </w:p>
        </w:tc>
        <w:tc>
          <w:tcPr>
            <w:tcW w:w="1559" w:type="dxa"/>
            <w:vAlign w:val="center"/>
          </w:tcPr>
          <w:p w:rsidR="001C1121" w:rsidRPr="00BA3352" w:rsidRDefault="001C1121" w:rsidP="00E92500">
            <w:pPr>
              <w:widowControl/>
              <w:jc w:val="center"/>
              <w:rPr>
                <w:rFonts w:ascii="Arial Narrow" w:hAnsi="Arial Narrow" w:cstheme="minorBidi"/>
                <w:b/>
                <w:sz w:val="20"/>
              </w:rPr>
            </w:pPr>
            <w:r w:rsidRPr="00BA3352">
              <w:rPr>
                <w:rFonts w:ascii="Arial Narrow" w:hAnsi="Arial Narrow" w:cstheme="minorBidi"/>
                <w:b/>
                <w:sz w:val="20"/>
              </w:rPr>
              <w:t>1.99 (1.38, 2.88)</w:t>
            </w:r>
          </w:p>
        </w:tc>
        <w:tc>
          <w:tcPr>
            <w:tcW w:w="1125" w:type="dxa"/>
            <w:vMerge w:val="restart"/>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 xml:space="preserve">1.07 </w:t>
            </w:r>
          </w:p>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(0.64, 1.78)</w:t>
            </w:r>
          </w:p>
        </w:tc>
        <w:tc>
          <w:tcPr>
            <w:tcW w:w="983" w:type="dxa"/>
            <w:vMerge w:val="restart"/>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1.21</w:t>
            </w:r>
          </w:p>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(0.66, 2.22)</w:t>
            </w:r>
          </w:p>
        </w:tc>
      </w:tr>
      <w:tr w:rsidR="001C1121" w:rsidRPr="00BA3352" w:rsidTr="00264209">
        <w:trPr>
          <w:trHeight w:val="283"/>
        </w:trPr>
        <w:tc>
          <w:tcPr>
            <w:tcW w:w="425" w:type="dxa"/>
            <w:vMerge/>
            <w:vAlign w:val="center"/>
          </w:tcPr>
          <w:p w:rsidR="001C1121" w:rsidRPr="00BA3352" w:rsidRDefault="001C1121" w:rsidP="00E92500">
            <w:pPr>
              <w:widowControl/>
              <w:jc w:val="left"/>
              <w:rPr>
                <w:rFonts w:ascii="Arial Narrow" w:hAnsi="Arial Narrow"/>
                <w:sz w:val="20"/>
              </w:rPr>
            </w:pPr>
          </w:p>
        </w:tc>
        <w:tc>
          <w:tcPr>
            <w:tcW w:w="1876" w:type="dxa"/>
          </w:tcPr>
          <w:p w:rsidR="001C1121" w:rsidRPr="00BA3352" w:rsidRDefault="001C1121" w:rsidP="00E92500">
            <w:pPr>
              <w:widowControl/>
              <w:rPr>
                <w:rFonts w:ascii="Arial Narrow" w:hAnsi="Arial Narrow" w:cstheme="minorBidi"/>
                <w:sz w:val="20"/>
              </w:rPr>
            </w:pPr>
            <w:r w:rsidRPr="00BA3352">
              <w:rPr>
                <w:rFonts w:ascii="Arial Narrow" w:hAnsi="Arial Narrow" w:cstheme="minorBidi"/>
                <w:sz w:val="20"/>
              </w:rPr>
              <w:t>Dougados 2011 (SPINE)</w:t>
            </w:r>
          </w:p>
        </w:tc>
        <w:tc>
          <w:tcPr>
            <w:tcW w:w="120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25/39 (64.1)</w:t>
            </w:r>
          </w:p>
        </w:tc>
        <w:tc>
          <w:tcPr>
            <w:tcW w:w="120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14/43 (32.6)</w:t>
            </w:r>
          </w:p>
        </w:tc>
        <w:tc>
          <w:tcPr>
            <w:tcW w:w="1559" w:type="dxa"/>
            <w:vAlign w:val="center"/>
          </w:tcPr>
          <w:p w:rsidR="001C1121" w:rsidRPr="00BA3352" w:rsidRDefault="001C1121" w:rsidP="00E92500">
            <w:pPr>
              <w:widowControl/>
              <w:jc w:val="center"/>
              <w:rPr>
                <w:rFonts w:ascii="Arial Narrow" w:hAnsi="Arial Narrow" w:cstheme="minorBidi"/>
                <w:b/>
                <w:sz w:val="20"/>
              </w:rPr>
            </w:pPr>
            <w:r w:rsidRPr="00BA3352">
              <w:rPr>
                <w:rFonts w:ascii="Arial Narrow" w:hAnsi="Arial Narrow" w:cstheme="minorBidi"/>
                <w:b/>
                <w:sz w:val="20"/>
              </w:rPr>
              <w:t>1.97 (1.21, 3.21)</w:t>
            </w:r>
          </w:p>
        </w:tc>
        <w:tc>
          <w:tcPr>
            <w:tcW w:w="1125" w:type="dxa"/>
            <w:vMerge/>
            <w:vAlign w:val="center"/>
          </w:tcPr>
          <w:p w:rsidR="001C1121" w:rsidRPr="00BA3352" w:rsidRDefault="001C1121" w:rsidP="00E92500">
            <w:pPr>
              <w:widowControl/>
              <w:jc w:val="center"/>
              <w:rPr>
                <w:rFonts w:ascii="Arial Narrow" w:hAnsi="Arial Narrow" w:cstheme="minorBidi"/>
                <w:sz w:val="20"/>
              </w:rPr>
            </w:pPr>
          </w:p>
        </w:tc>
        <w:tc>
          <w:tcPr>
            <w:tcW w:w="983" w:type="dxa"/>
            <w:vMerge/>
            <w:vAlign w:val="center"/>
          </w:tcPr>
          <w:p w:rsidR="001C1121" w:rsidRPr="00BA3352" w:rsidRDefault="001C1121" w:rsidP="00E92500">
            <w:pPr>
              <w:widowControl/>
              <w:jc w:val="center"/>
              <w:rPr>
                <w:rFonts w:ascii="Arial Narrow" w:hAnsi="Arial Narrow" w:cstheme="minorBidi"/>
                <w:sz w:val="20"/>
              </w:rPr>
            </w:pPr>
          </w:p>
        </w:tc>
      </w:tr>
      <w:tr w:rsidR="001C1121" w:rsidRPr="00BA3352" w:rsidTr="00264209">
        <w:trPr>
          <w:trHeight w:val="283"/>
        </w:trPr>
        <w:tc>
          <w:tcPr>
            <w:tcW w:w="425" w:type="dxa"/>
            <w:vMerge/>
            <w:vAlign w:val="center"/>
          </w:tcPr>
          <w:p w:rsidR="001C1121" w:rsidRPr="00BA3352" w:rsidRDefault="001C1121" w:rsidP="00E92500">
            <w:pPr>
              <w:widowControl/>
              <w:jc w:val="left"/>
              <w:rPr>
                <w:rFonts w:ascii="Arial Narrow" w:hAnsi="Arial Narrow"/>
                <w:sz w:val="20"/>
              </w:rPr>
            </w:pPr>
          </w:p>
        </w:tc>
        <w:tc>
          <w:tcPr>
            <w:tcW w:w="4286" w:type="dxa"/>
            <w:gridSpan w:val="3"/>
            <w:vAlign w:val="center"/>
          </w:tcPr>
          <w:p w:rsidR="001C1121" w:rsidRPr="00BA3352" w:rsidRDefault="001C1121" w:rsidP="00E92500">
            <w:pPr>
              <w:widowControl/>
              <w:jc w:val="right"/>
              <w:rPr>
                <w:rFonts w:ascii="Arial Narrow" w:hAnsi="Arial Narrow" w:cstheme="minorBidi"/>
                <w:sz w:val="20"/>
                <w:vertAlign w:val="superscript"/>
              </w:rPr>
            </w:pPr>
            <w:r w:rsidRPr="00BA3352">
              <w:rPr>
                <w:rFonts w:ascii="Arial Narrow" w:hAnsi="Arial Narrow" w:cstheme="minorBidi"/>
                <w:sz w:val="20"/>
              </w:rPr>
              <w:t>Meta-analysis</w:t>
            </w:r>
            <w:r w:rsidRPr="00BA3352">
              <w:rPr>
                <w:rFonts w:ascii="Arial Narrow" w:hAnsi="Arial Narrow" w:cstheme="minorBidi"/>
                <w:sz w:val="20"/>
                <w:vertAlign w:val="superscript"/>
              </w:rPr>
              <w:t>d</w:t>
            </w:r>
          </w:p>
        </w:tc>
        <w:tc>
          <w:tcPr>
            <w:tcW w:w="1559" w:type="dxa"/>
            <w:vAlign w:val="center"/>
          </w:tcPr>
          <w:p w:rsidR="001C1121" w:rsidRPr="00BA3352" w:rsidRDefault="001C1121" w:rsidP="00E92500">
            <w:pPr>
              <w:widowControl/>
              <w:jc w:val="center"/>
              <w:rPr>
                <w:rFonts w:ascii="Arial Narrow" w:hAnsi="Arial Narrow" w:cstheme="minorBidi"/>
                <w:b/>
                <w:sz w:val="20"/>
              </w:rPr>
            </w:pPr>
            <w:r w:rsidRPr="00BA3352">
              <w:rPr>
                <w:rFonts w:ascii="Arial Narrow" w:hAnsi="Arial Narrow" w:cstheme="minorBidi"/>
                <w:b/>
                <w:sz w:val="20"/>
              </w:rPr>
              <w:t>1.98 (1.48, 2.66)</w:t>
            </w:r>
          </w:p>
        </w:tc>
        <w:tc>
          <w:tcPr>
            <w:tcW w:w="1125" w:type="dxa"/>
            <w:vMerge/>
            <w:vAlign w:val="center"/>
          </w:tcPr>
          <w:p w:rsidR="001C1121" w:rsidRPr="00BA3352" w:rsidRDefault="001C1121" w:rsidP="00E92500">
            <w:pPr>
              <w:widowControl/>
              <w:jc w:val="center"/>
              <w:rPr>
                <w:rFonts w:ascii="Arial Narrow" w:hAnsi="Arial Narrow" w:cstheme="minorBidi"/>
                <w:sz w:val="20"/>
              </w:rPr>
            </w:pPr>
          </w:p>
        </w:tc>
        <w:tc>
          <w:tcPr>
            <w:tcW w:w="983" w:type="dxa"/>
            <w:vMerge/>
            <w:vAlign w:val="center"/>
          </w:tcPr>
          <w:p w:rsidR="001C1121" w:rsidRPr="00BA3352" w:rsidRDefault="001C1121" w:rsidP="00E92500">
            <w:pPr>
              <w:widowControl/>
              <w:jc w:val="center"/>
              <w:rPr>
                <w:rFonts w:ascii="Arial Narrow" w:hAnsi="Arial Narrow" w:cstheme="minorBidi"/>
                <w:sz w:val="20"/>
              </w:rPr>
            </w:pPr>
          </w:p>
        </w:tc>
      </w:tr>
      <w:tr w:rsidR="001C1121" w:rsidRPr="00BA3352" w:rsidTr="00264209">
        <w:trPr>
          <w:trHeight w:val="283"/>
        </w:trPr>
        <w:tc>
          <w:tcPr>
            <w:tcW w:w="425" w:type="dxa"/>
            <w:vMerge w:val="restart"/>
            <w:vAlign w:val="center"/>
          </w:tcPr>
          <w:p w:rsidR="001C1121" w:rsidRPr="00BA3352" w:rsidRDefault="001C1121" w:rsidP="00E92500">
            <w:pPr>
              <w:widowControl/>
              <w:jc w:val="left"/>
              <w:rPr>
                <w:rFonts w:ascii="Arial Narrow" w:hAnsi="Arial Narrow"/>
                <w:sz w:val="20"/>
                <w:vertAlign w:val="superscript"/>
              </w:rPr>
            </w:pPr>
            <w:r w:rsidRPr="00BA3352">
              <w:rPr>
                <w:rFonts w:ascii="Arial Narrow" w:hAnsi="Arial Narrow"/>
                <w:sz w:val="20"/>
              </w:rPr>
              <w:t>GOL</w:t>
            </w:r>
            <w:r w:rsidRPr="00BA3352">
              <w:rPr>
                <w:rFonts w:ascii="Arial Narrow" w:hAnsi="Arial Narrow"/>
                <w:sz w:val="20"/>
                <w:vertAlign w:val="superscript"/>
              </w:rPr>
              <w:t>b</w:t>
            </w:r>
          </w:p>
        </w:tc>
        <w:tc>
          <w:tcPr>
            <w:tcW w:w="1876" w:type="dxa"/>
          </w:tcPr>
          <w:p w:rsidR="001C1121" w:rsidRPr="00BA3352" w:rsidRDefault="001C1121" w:rsidP="00E92500">
            <w:pPr>
              <w:widowControl/>
              <w:rPr>
                <w:rFonts w:ascii="Arial Narrow" w:hAnsi="Arial Narrow"/>
                <w:sz w:val="20"/>
              </w:rPr>
            </w:pPr>
            <w:r w:rsidRPr="00BA3352">
              <w:rPr>
                <w:rFonts w:ascii="Arial Narrow" w:hAnsi="Arial Narrow" w:cstheme="minorBidi"/>
                <w:sz w:val="20"/>
              </w:rPr>
              <w:t>Inman 2008 (GO RAISE)</w:t>
            </w:r>
          </w:p>
        </w:tc>
        <w:tc>
          <w:tcPr>
            <w:tcW w:w="120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82/138 (59.4)</w:t>
            </w:r>
          </w:p>
        </w:tc>
        <w:tc>
          <w:tcPr>
            <w:tcW w:w="120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17/78 (21.8)</w:t>
            </w:r>
          </w:p>
        </w:tc>
        <w:tc>
          <w:tcPr>
            <w:tcW w:w="1559" w:type="dxa"/>
            <w:vAlign w:val="center"/>
          </w:tcPr>
          <w:p w:rsidR="001C1121" w:rsidRPr="00BA3352" w:rsidRDefault="001C1121" w:rsidP="00E92500">
            <w:pPr>
              <w:widowControl/>
              <w:jc w:val="center"/>
              <w:rPr>
                <w:rFonts w:ascii="Arial Narrow" w:hAnsi="Arial Narrow" w:cstheme="minorBidi"/>
                <w:b/>
                <w:sz w:val="20"/>
              </w:rPr>
            </w:pPr>
            <w:r w:rsidRPr="00BA3352">
              <w:rPr>
                <w:rFonts w:ascii="Arial Narrow" w:hAnsi="Arial Narrow" w:cstheme="minorBidi"/>
                <w:b/>
                <w:sz w:val="20"/>
              </w:rPr>
              <w:t>2.73 (1.75, 4.24)</w:t>
            </w:r>
          </w:p>
        </w:tc>
        <w:tc>
          <w:tcPr>
            <w:tcW w:w="1125" w:type="dxa"/>
            <w:vMerge w:val="restart"/>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 xml:space="preserve">0.93 </w:t>
            </w:r>
          </w:p>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(0.55, 1.57)</w:t>
            </w:r>
          </w:p>
        </w:tc>
        <w:tc>
          <w:tcPr>
            <w:tcW w:w="983" w:type="dxa"/>
            <w:vMerge w:val="restart"/>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1.05</w:t>
            </w:r>
          </w:p>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(0.57, 1.95)</w:t>
            </w:r>
          </w:p>
        </w:tc>
      </w:tr>
      <w:tr w:rsidR="001C1121" w:rsidRPr="00BA3352" w:rsidTr="00264209">
        <w:trPr>
          <w:trHeight w:val="283"/>
        </w:trPr>
        <w:tc>
          <w:tcPr>
            <w:tcW w:w="425" w:type="dxa"/>
            <w:vMerge/>
            <w:vAlign w:val="center"/>
          </w:tcPr>
          <w:p w:rsidR="001C1121" w:rsidRPr="00BA3352" w:rsidRDefault="001C1121" w:rsidP="00E92500">
            <w:pPr>
              <w:widowControl/>
              <w:jc w:val="left"/>
              <w:rPr>
                <w:rFonts w:ascii="Arial Narrow" w:hAnsi="Arial Narrow"/>
                <w:sz w:val="20"/>
              </w:rPr>
            </w:pPr>
          </w:p>
        </w:tc>
        <w:tc>
          <w:tcPr>
            <w:tcW w:w="1876" w:type="dxa"/>
          </w:tcPr>
          <w:p w:rsidR="001C1121" w:rsidRPr="00BA3352" w:rsidRDefault="001C1121" w:rsidP="00E92500">
            <w:pPr>
              <w:widowControl/>
              <w:rPr>
                <w:rFonts w:ascii="Arial Narrow" w:hAnsi="Arial Narrow"/>
                <w:sz w:val="20"/>
              </w:rPr>
            </w:pPr>
            <w:r w:rsidRPr="00BA3352">
              <w:rPr>
                <w:rFonts w:ascii="Arial Narrow" w:hAnsi="Arial Narrow"/>
                <w:sz w:val="20"/>
              </w:rPr>
              <w:t>Bao 2014</w:t>
            </w:r>
          </w:p>
        </w:tc>
        <w:tc>
          <w:tcPr>
            <w:tcW w:w="1205"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53/108 (49.1)</w:t>
            </w:r>
          </w:p>
        </w:tc>
        <w:tc>
          <w:tcPr>
            <w:tcW w:w="1205"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26/105 (24.8)</w:t>
            </w:r>
          </w:p>
        </w:tc>
        <w:tc>
          <w:tcPr>
            <w:tcW w:w="1559"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1.98 (1.35, 2.91)</w:t>
            </w:r>
          </w:p>
        </w:tc>
        <w:tc>
          <w:tcPr>
            <w:tcW w:w="1125" w:type="dxa"/>
            <w:vMerge/>
            <w:vAlign w:val="center"/>
          </w:tcPr>
          <w:p w:rsidR="001C1121" w:rsidRPr="00BA3352" w:rsidRDefault="001C1121" w:rsidP="00E92500">
            <w:pPr>
              <w:widowControl/>
              <w:jc w:val="center"/>
              <w:rPr>
                <w:rFonts w:ascii="Arial Narrow" w:hAnsi="Arial Narrow"/>
                <w:sz w:val="20"/>
              </w:rPr>
            </w:pPr>
          </w:p>
        </w:tc>
        <w:tc>
          <w:tcPr>
            <w:tcW w:w="983" w:type="dxa"/>
            <w:vMerge/>
            <w:vAlign w:val="center"/>
          </w:tcPr>
          <w:p w:rsidR="001C1121" w:rsidRPr="00BA3352" w:rsidRDefault="001C1121" w:rsidP="00E92500">
            <w:pPr>
              <w:widowControl/>
              <w:jc w:val="center"/>
              <w:rPr>
                <w:rFonts w:ascii="Arial Narrow" w:hAnsi="Arial Narrow"/>
                <w:sz w:val="20"/>
              </w:rPr>
            </w:pPr>
          </w:p>
        </w:tc>
      </w:tr>
      <w:tr w:rsidR="001C1121" w:rsidRPr="00BA3352" w:rsidTr="00264209">
        <w:trPr>
          <w:trHeight w:val="283"/>
        </w:trPr>
        <w:tc>
          <w:tcPr>
            <w:tcW w:w="425" w:type="dxa"/>
            <w:vMerge/>
            <w:vAlign w:val="center"/>
          </w:tcPr>
          <w:p w:rsidR="001C1121" w:rsidRPr="00BA3352" w:rsidRDefault="001C1121" w:rsidP="00E92500">
            <w:pPr>
              <w:widowControl/>
              <w:jc w:val="left"/>
              <w:rPr>
                <w:rFonts w:ascii="Arial Narrow" w:hAnsi="Arial Narrow"/>
                <w:sz w:val="20"/>
              </w:rPr>
            </w:pPr>
          </w:p>
        </w:tc>
        <w:tc>
          <w:tcPr>
            <w:tcW w:w="4286" w:type="dxa"/>
            <w:gridSpan w:val="3"/>
            <w:vAlign w:val="center"/>
          </w:tcPr>
          <w:p w:rsidR="001C1121" w:rsidRPr="00BA3352" w:rsidRDefault="001C1121" w:rsidP="00E92500">
            <w:pPr>
              <w:widowControl/>
              <w:jc w:val="right"/>
              <w:rPr>
                <w:rFonts w:ascii="Arial Narrow" w:hAnsi="Arial Narrow"/>
                <w:sz w:val="20"/>
                <w:vertAlign w:val="superscript"/>
              </w:rPr>
            </w:pPr>
            <w:r w:rsidRPr="00BA3352">
              <w:rPr>
                <w:rFonts w:ascii="Arial Narrow" w:hAnsi="Arial Narrow" w:cstheme="minorBidi"/>
                <w:sz w:val="20"/>
              </w:rPr>
              <w:t>Meta-analysis</w:t>
            </w:r>
            <w:r w:rsidRPr="00BA3352">
              <w:rPr>
                <w:rFonts w:ascii="Arial Narrow" w:hAnsi="Arial Narrow" w:cstheme="minorBidi"/>
                <w:sz w:val="20"/>
                <w:vertAlign w:val="superscript"/>
              </w:rPr>
              <w:t>d</w:t>
            </w:r>
          </w:p>
        </w:tc>
        <w:tc>
          <w:tcPr>
            <w:tcW w:w="1559"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2.28 (1.67, 3.12)</w:t>
            </w:r>
          </w:p>
        </w:tc>
        <w:tc>
          <w:tcPr>
            <w:tcW w:w="1125" w:type="dxa"/>
            <w:vMerge/>
            <w:vAlign w:val="center"/>
          </w:tcPr>
          <w:p w:rsidR="001C1121" w:rsidRPr="00BA3352" w:rsidRDefault="001C1121" w:rsidP="00E92500">
            <w:pPr>
              <w:widowControl/>
              <w:jc w:val="center"/>
              <w:rPr>
                <w:rFonts w:ascii="Arial Narrow" w:hAnsi="Arial Narrow"/>
                <w:sz w:val="20"/>
              </w:rPr>
            </w:pPr>
          </w:p>
        </w:tc>
        <w:tc>
          <w:tcPr>
            <w:tcW w:w="983" w:type="dxa"/>
            <w:vMerge/>
            <w:vAlign w:val="center"/>
          </w:tcPr>
          <w:p w:rsidR="001C1121" w:rsidRPr="00BA3352" w:rsidRDefault="001C1121" w:rsidP="00E92500">
            <w:pPr>
              <w:widowControl/>
              <w:jc w:val="center"/>
              <w:rPr>
                <w:rFonts w:ascii="Arial Narrow" w:hAnsi="Arial Narrow"/>
                <w:sz w:val="20"/>
              </w:rPr>
            </w:pPr>
          </w:p>
        </w:tc>
      </w:tr>
      <w:tr w:rsidR="001C1121" w:rsidRPr="00BA3352" w:rsidTr="00264209">
        <w:trPr>
          <w:trHeight w:val="283"/>
        </w:trPr>
        <w:tc>
          <w:tcPr>
            <w:tcW w:w="425" w:type="dxa"/>
            <w:vAlign w:val="center"/>
          </w:tcPr>
          <w:p w:rsidR="001C1121" w:rsidRPr="00BA3352" w:rsidRDefault="001C1121" w:rsidP="00E92500">
            <w:pPr>
              <w:widowControl/>
              <w:jc w:val="left"/>
              <w:rPr>
                <w:rFonts w:ascii="Arial Narrow" w:hAnsi="Arial Narrow"/>
                <w:sz w:val="20"/>
              </w:rPr>
            </w:pPr>
            <w:r w:rsidRPr="00BA3352">
              <w:rPr>
                <w:rFonts w:ascii="Arial Narrow" w:hAnsi="Arial Narrow"/>
                <w:sz w:val="20"/>
              </w:rPr>
              <w:t>CZP</w:t>
            </w:r>
          </w:p>
        </w:tc>
        <w:tc>
          <w:tcPr>
            <w:tcW w:w="1876" w:type="dxa"/>
            <w:vAlign w:val="center"/>
          </w:tcPr>
          <w:p w:rsidR="001C1121" w:rsidRPr="00BA3352" w:rsidRDefault="001C1121" w:rsidP="00E92500">
            <w:pPr>
              <w:widowControl/>
              <w:jc w:val="left"/>
              <w:rPr>
                <w:rFonts w:ascii="Arial Narrow" w:hAnsi="Arial Narrow" w:cstheme="minorBidi"/>
                <w:sz w:val="20"/>
                <w:vertAlign w:val="superscript"/>
              </w:rPr>
            </w:pPr>
            <w:r w:rsidRPr="00BA3352">
              <w:rPr>
                <w:rFonts w:ascii="Arial Narrow" w:hAnsi="Arial Narrow" w:cstheme="minorBidi"/>
                <w:sz w:val="20"/>
              </w:rPr>
              <w:t>Landewe 2014</w:t>
            </w:r>
            <w:r w:rsidRPr="00BA3352">
              <w:rPr>
                <w:rFonts w:ascii="Arial Narrow" w:hAnsi="Arial Narrow" w:cstheme="minorBidi"/>
                <w:sz w:val="20"/>
                <w:vertAlign w:val="superscript"/>
              </w:rPr>
              <w:t xml:space="preserve">c </w:t>
            </w:r>
          </w:p>
          <w:p w:rsidR="001C1121" w:rsidRPr="00BA3352" w:rsidRDefault="001C1121" w:rsidP="00E92500">
            <w:pPr>
              <w:widowControl/>
              <w:jc w:val="left"/>
              <w:rPr>
                <w:rFonts w:ascii="Arial Narrow" w:hAnsi="Arial Narrow"/>
                <w:sz w:val="20"/>
              </w:rPr>
            </w:pPr>
            <w:r w:rsidRPr="00BA3352">
              <w:rPr>
                <w:rFonts w:ascii="Arial Narrow" w:hAnsi="Arial Narrow" w:cstheme="minorBidi"/>
                <w:sz w:val="20"/>
              </w:rPr>
              <w:t>(AS sub-group)</w:t>
            </w:r>
          </w:p>
        </w:tc>
        <w:tc>
          <w:tcPr>
            <w:tcW w:w="120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73/121 (60.3)</w:t>
            </w:r>
          </w:p>
        </w:tc>
        <w:tc>
          <w:tcPr>
            <w:tcW w:w="120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21/57 (36.8)</w:t>
            </w:r>
          </w:p>
        </w:tc>
        <w:tc>
          <w:tcPr>
            <w:tcW w:w="1559" w:type="dxa"/>
            <w:vAlign w:val="center"/>
          </w:tcPr>
          <w:p w:rsidR="001C1121" w:rsidRPr="00BA3352" w:rsidRDefault="001C1121" w:rsidP="00E92500">
            <w:pPr>
              <w:widowControl/>
              <w:jc w:val="center"/>
              <w:rPr>
                <w:rFonts w:ascii="Arial Narrow" w:hAnsi="Arial Narrow" w:cstheme="minorBidi"/>
                <w:b/>
                <w:sz w:val="20"/>
              </w:rPr>
            </w:pPr>
            <w:r w:rsidRPr="00BA3352">
              <w:rPr>
                <w:rFonts w:ascii="Arial Narrow" w:hAnsi="Arial Narrow" w:cstheme="minorBidi"/>
                <w:b/>
                <w:sz w:val="20"/>
              </w:rPr>
              <w:t>1.64 (1.13, 2.37)</w:t>
            </w:r>
          </w:p>
        </w:tc>
        <w:tc>
          <w:tcPr>
            <w:tcW w:w="112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 xml:space="preserve">1.29 </w:t>
            </w:r>
          </w:p>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(0.73, 2.26)</w:t>
            </w:r>
          </w:p>
        </w:tc>
        <w:tc>
          <w:tcPr>
            <w:tcW w:w="983"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1.46</w:t>
            </w:r>
          </w:p>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(0.76, 2.79)</w:t>
            </w:r>
          </w:p>
        </w:tc>
      </w:tr>
      <w:tr w:rsidR="001C1121" w:rsidRPr="00BA3352" w:rsidTr="00264209">
        <w:trPr>
          <w:trHeight w:val="283"/>
        </w:trPr>
        <w:tc>
          <w:tcPr>
            <w:tcW w:w="4711" w:type="dxa"/>
            <w:gridSpan w:val="4"/>
            <w:vAlign w:val="center"/>
          </w:tcPr>
          <w:p w:rsidR="001C1121" w:rsidRPr="00BA3352" w:rsidRDefault="001C1121" w:rsidP="00E92500">
            <w:pPr>
              <w:widowControl/>
              <w:jc w:val="right"/>
              <w:rPr>
                <w:rFonts w:ascii="Arial Narrow" w:hAnsi="Arial Narrow" w:cstheme="minorBidi"/>
                <w:sz w:val="20"/>
                <w:vertAlign w:val="superscript"/>
              </w:rPr>
            </w:pPr>
            <w:r w:rsidRPr="00BA3352">
              <w:rPr>
                <w:rFonts w:ascii="Arial Narrow" w:hAnsi="Arial Narrow" w:cstheme="minorBidi"/>
                <w:sz w:val="20"/>
              </w:rPr>
              <w:t>Meta-analysis of all comparator bDMARDs</w:t>
            </w:r>
            <w:r w:rsidRPr="00BA3352">
              <w:rPr>
                <w:rFonts w:ascii="Arial Narrow" w:hAnsi="Arial Narrow" w:cstheme="minorBidi"/>
                <w:sz w:val="20"/>
                <w:vertAlign w:val="superscript"/>
              </w:rPr>
              <w:t>d</w:t>
            </w:r>
          </w:p>
        </w:tc>
        <w:tc>
          <w:tcPr>
            <w:tcW w:w="1559" w:type="dxa"/>
            <w:vAlign w:val="center"/>
          </w:tcPr>
          <w:p w:rsidR="001C1121" w:rsidRPr="00BA3352" w:rsidRDefault="001C1121" w:rsidP="00E92500">
            <w:pPr>
              <w:widowControl/>
              <w:jc w:val="center"/>
              <w:rPr>
                <w:rFonts w:ascii="Arial Narrow" w:hAnsi="Arial Narrow" w:cstheme="minorBidi"/>
                <w:b/>
                <w:sz w:val="20"/>
              </w:rPr>
            </w:pPr>
            <w:r w:rsidRPr="00BA3352">
              <w:rPr>
                <w:rFonts w:ascii="Arial Narrow" w:hAnsi="Arial Narrow" w:cstheme="minorBidi"/>
                <w:b/>
                <w:sz w:val="20"/>
              </w:rPr>
              <w:t>2.11 (1.88, 2.37)</w:t>
            </w:r>
          </w:p>
        </w:tc>
        <w:tc>
          <w:tcPr>
            <w:tcW w:w="1125"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 xml:space="preserve">1.00 </w:t>
            </w:r>
          </w:p>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(0.65, 1.55)</w:t>
            </w:r>
          </w:p>
        </w:tc>
        <w:tc>
          <w:tcPr>
            <w:tcW w:w="983" w:type="dxa"/>
            <w:vAlign w:val="center"/>
          </w:tcPr>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1.13</w:t>
            </w:r>
          </w:p>
          <w:p w:rsidR="001C1121" w:rsidRPr="00BA3352" w:rsidRDefault="001C1121" w:rsidP="00E92500">
            <w:pPr>
              <w:widowControl/>
              <w:jc w:val="center"/>
              <w:rPr>
                <w:rFonts w:ascii="Arial Narrow" w:hAnsi="Arial Narrow" w:cstheme="minorBidi"/>
                <w:sz w:val="20"/>
              </w:rPr>
            </w:pPr>
            <w:r w:rsidRPr="00BA3352">
              <w:rPr>
                <w:rFonts w:ascii="Arial Narrow" w:hAnsi="Arial Narrow" w:cstheme="minorBidi"/>
                <w:sz w:val="20"/>
              </w:rPr>
              <w:t>(0.66, 1.96)</w:t>
            </w:r>
          </w:p>
        </w:tc>
      </w:tr>
    </w:tbl>
    <w:p w:rsidR="001C1121" w:rsidRPr="007C0FC3" w:rsidRDefault="001C1121" w:rsidP="00E92500">
      <w:pPr>
        <w:widowControl/>
        <w:tabs>
          <w:tab w:val="left" w:pos="142"/>
        </w:tabs>
        <w:rPr>
          <w:rFonts w:ascii="Arial Narrow" w:hAnsi="Arial Narrow"/>
          <w:iCs/>
          <w:szCs w:val="22"/>
        </w:rPr>
      </w:pPr>
      <w:r w:rsidRPr="007C0FC3">
        <w:rPr>
          <w:rFonts w:ascii="Arial Narrow" w:hAnsi="Arial Narrow"/>
          <w:iCs/>
          <w:sz w:val="18"/>
          <w:szCs w:val="18"/>
        </w:rPr>
        <w:tab/>
      </w:r>
      <w:r w:rsidRPr="007C0FC3">
        <w:rPr>
          <w:rFonts w:ascii="Arial Narrow" w:hAnsi="Arial Narrow"/>
          <w:iCs/>
          <w:sz w:val="18"/>
          <w:szCs w:val="18"/>
        </w:rPr>
        <w:tab/>
        <w:t>Source: constructed during the evaluation.</w:t>
      </w:r>
    </w:p>
    <w:p w:rsidR="001C1121" w:rsidRPr="007C0FC3" w:rsidRDefault="001C1121" w:rsidP="00E92500">
      <w:pPr>
        <w:widowControl/>
        <w:tabs>
          <w:tab w:val="left" w:pos="284"/>
        </w:tabs>
        <w:rPr>
          <w:rFonts w:ascii="Arial Narrow" w:hAnsi="Arial Narrow"/>
          <w:iCs/>
          <w:sz w:val="18"/>
          <w:szCs w:val="18"/>
        </w:rPr>
      </w:pPr>
      <w:r w:rsidRPr="007C0FC3">
        <w:rPr>
          <w:rFonts w:ascii="Arial Narrow" w:hAnsi="Arial Narrow"/>
          <w:iCs/>
          <w:sz w:val="18"/>
          <w:szCs w:val="18"/>
          <w:vertAlign w:val="superscript"/>
        </w:rPr>
        <w:tab/>
      </w:r>
      <w:r w:rsidRPr="007C0FC3">
        <w:rPr>
          <w:rFonts w:ascii="Arial Narrow" w:hAnsi="Arial Narrow"/>
          <w:iCs/>
          <w:sz w:val="18"/>
          <w:szCs w:val="18"/>
          <w:vertAlign w:val="superscript"/>
        </w:rPr>
        <w:tab/>
        <w:t>a</w:t>
      </w:r>
      <w:r w:rsidRPr="007C0FC3">
        <w:rPr>
          <w:rFonts w:ascii="Arial Narrow" w:hAnsi="Arial Narrow"/>
          <w:iCs/>
          <w:sz w:val="18"/>
          <w:szCs w:val="18"/>
        </w:rPr>
        <w:tab/>
        <w:t>secukinumab versus the meta-analysis (where relevant) for the comparators</w:t>
      </w:r>
    </w:p>
    <w:p w:rsidR="001C1121" w:rsidRPr="007C0FC3" w:rsidRDefault="001C1121" w:rsidP="00E92500">
      <w:pPr>
        <w:widowControl/>
        <w:tabs>
          <w:tab w:val="left" w:pos="284"/>
        </w:tabs>
        <w:rPr>
          <w:rFonts w:ascii="Arial Narrow" w:hAnsi="Arial Narrow"/>
          <w:iCs/>
          <w:sz w:val="18"/>
          <w:szCs w:val="18"/>
        </w:rPr>
      </w:pPr>
      <w:r w:rsidRPr="007C0FC3">
        <w:rPr>
          <w:rFonts w:ascii="Arial Narrow" w:hAnsi="Arial Narrow"/>
          <w:iCs/>
          <w:sz w:val="18"/>
          <w:szCs w:val="18"/>
          <w:vertAlign w:val="superscript"/>
        </w:rPr>
        <w:tab/>
      </w:r>
      <w:r w:rsidRPr="007C0FC3">
        <w:rPr>
          <w:rFonts w:ascii="Arial Narrow" w:hAnsi="Arial Narrow"/>
          <w:iCs/>
          <w:sz w:val="18"/>
          <w:szCs w:val="18"/>
          <w:vertAlign w:val="superscript"/>
        </w:rPr>
        <w:tab/>
        <w:t>b</w:t>
      </w:r>
      <w:r w:rsidRPr="007C0FC3">
        <w:rPr>
          <w:rFonts w:ascii="Arial Narrow" w:hAnsi="Arial Narrow"/>
          <w:iCs/>
          <w:sz w:val="18"/>
          <w:szCs w:val="18"/>
        </w:rPr>
        <w:tab/>
        <w:t>measured at week 14</w:t>
      </w:r>
    </w:p>
    <w:p w:rsidR="001C1121" w:rsidRPr="007C0FC3" w:rsidRDefault="001C1121" w:rsidP="00E92500">
      <w:pPr>
        <w:widowControl/>
        <w:tabs>
          <w:tab w:val="left" w:pos="284"/>
        </w:tabs>
        <w:rPr>
          <w:rFonts w:ascii="Arial Narrow" w:hAnsi="Arial Narrow"/>
          <w:iCs/>
          <w:sz w:val="18"/>
          <w:szCs w:val="18"/>
        </w:rPr>
      </w:pPr>
      <w:r w:rsidRPr="007C0FC3">
        <w:rPr>
          <w:rFonts w:ascii="Arial Narrow" w:hAnsi="Arial Narrow"/>
          <w:iCs/>
          <w:sz w:val="18"/>
          <w:szCs w:val="18"/>
          <w:vertAlign w:val="superscript"/>
        </w:rPr>
        <w:tab/>
      </w:r>
      <w:r w:rsidRPr="007C0FC3">
        <w:rPr>
          <w:rFonts w:ascii="Arial Narrow" w:hAnsi="Arial Narrow"/>
          <w:iCs/>
          <w:sz w:val="18"/>
          <w:szCs w:val="18"/>
          <w:vertAlign w:val="superscript"/>
        </w:rPr>
        <w:tab/>
        <w:t>c</w:t>
      </w:r>
      <w:r w:rsidRPr="007C0FC3">
        <w:rPr>
          <w:rFonts w:ascii="Arial Narrow" w:hAnsi="Arial Narrow"/>
          <w:iCs/>
          <w:sz w:val="18"/>
          <w:szCs w:val="18"/>
          <w:vertAlign w:val="superscript"/>
        </w:rPr>
        <w:tab/>
      </w:r>
      <w:r w:rsidRPr="007C0FC3">
        <w:rPr>
          <w:rFonts w:ascii="Arial Narrow" w:hAnsi="Arial Narrow"/>
          <w:iCs/>
          <w:sz w:val="18"/>
          <w:szCs w:val="18"/>
        </w:rPr>
        <w:t>includes 20</w:t>
      </w:r>
      <w:r w:rsidR="0072411B" w:rsidRPr="007C0FC3">
        <w:rPr>
          <w:rFonts w:ascii="Arial Narrow" w:hAnsi="Arial Narrow"/>
          <w:iCs/>
          <w:sz w:val="18"/>
          <w:szCs w:val="18"/>
        </w:rPr>
        <w:t>0 mg</w:t>
      </w:r>
      <w:r w:rsidRPr="007C0FC3">
        <w:rPr>
          <w:rFonts w:ascii="Arial Narrow" w:hAnsi="Arial Narrow"/>
          <w:iCs/>
          <w:sz w:val="18"/>
          <w:szCs w:val="18"/>
        </w:rPr>
        <w:t xml:space="preserve"> Q2W and 40</w:t>
      </w:r>
      <w:r w:rsidR="0072411B" w:rsidRPr="007C0FC3">
        <w:rPr>
          <w:rFonts w:ascii="Arial Narrow" w:hAnsi="Arial Narrow"/>
          <w:iCs/>
          <w:sz w:val="18"/>
          <w:szCs w:val="18"/>
        </w:rPr>
        <w:t>0 mg</w:t>
      </w:r>
      <w:r w:rsidRPr="007C0FC3">
        <w:rPr>
          <w:rFonts w:ascii="Arial Narrow" w:hAnsi="Arial Narrow"/>
          <w:iCs/>
          <w:sz w:val="18"/>
          <w:szCs w:val="18"/>
        </w:rPr>
        <w:t xml:space="preserve"> Q4W</w:t>
      </w:r>
    </w:p>
    <w:p w:rsidR="001C1121" w:rsidRPr="007C0FC3" w:rsidRDefault="001C1121" w:rsidP="00F45DAB">
      <w:pPr>
        <w:widowControl/>
        <w:tabs>
          <w:tab w:val="left" w:pos="284"/>
        </w:tabs>
        <w:rPr>
          <w:rFonts w:ascii="Arial Narrow" w:hAnsi="Arial Narrow"/>
          <w:iCs/>
          <w:sz w:val="18"/>
          <w:szCs w:val="18"/>
        </w:rPr>
      </w:pPr>
      <w:r w:rsidRPr="007C0FC3">
        <w:rPr>
          <w:rFonts w:ascii="Arial Narrow" w:hAnsi="Arial Narrow"/>
          <w:iCs/>
          <w:sz w:val="18"/>
          <w:szCs w:val="18"/>
          <w:vertAlign w:val="superscript"/>
        </w:rPr>
        <w:tab/>
      </w:r>
      <w:r w:rsidRPr="007C0FC3">
        <w:rPr>
          <w:rFonts w:ascii="Arial Narrow" w:hAnsi="Arial Narrow"/>
          <w:iCs/>
          <w:sz w:val="18"/>
          <w:szCs w:val="18"/>
          <w:vertAlign w:val="superscript"/>
        </w:rPr>
        <w:tab/>
        <w:t>d</w:t>
      </w:r>
      <w:r w:rsidRPr="007C0FC3">
        <w:rPr>
          <w:rFonts w:ascii="Arial Narrow" w:hAnsi="Arial Narrow"/>
          <w:iCs/>
          <w:sz w:val="18"/>
          <w:szCs w:val="18"/>
        </w:rPr>
        <w:tab/>
        <w:t>using a random effects model</w:t>
      </w:r>
    </w:p>
    <w:p w:rsidR="00960D1F" w:rsidRPr="00F45DAB" w:rsidRDefault="00960D1F" w:rsidP="00F45DAB">
      <w:pPr>
        <w:widowControl/>
        <w:tabs>
          <w:tab w:val="left" w:pos="284"/>
        </w:tabs>
        <w:rPr>
          <w:rFonts w:ascii="Arial Narrow" w:hAnsi="Arial Narrow"/>
          <w:i/>
          <w:iCs/>
          <w:sz w:val="18"/>
          <w:szCs w:val="18"/>
        </w:rPr>
      </w:pPr>
    </w:p>
    <w:p w:rsidR="00B84C17" w:rsidRPr="00CB21D6" w:rsidRDefault="00B84C17" w:rsidP="00D33470">
      <w:pPr>
        <w:pStyle w:val="ListParagraph"/>
        <w:widowControl/>
        <w:numPr>
          <w:ilvl w:val="1"/>
          <w:numId w:val="1"/>
        </w:numPr>
        <w:rPr>
          <w:szCs w:val="22"/>
        </w:rPr>
      </w:pPr>
      <w:r w:rsidRPr="00CB21D6">
        <w:rPr>
          <w:szCs w:val="22"/>
        </w:rPr>
        <w:t xml:space="preserve">The ESC noted that the sponsor-nominated a priori non-inferiority limit of 0.43 on the RR </w:t>
      </w:r>
      <w:r w:rsidR="004436D2" w:rsidRPr="00CB21D6">
        <w:rPr>
          <w:szCs w:val="22"/>
        </w:rPr>
        <w:t>for the ASAS20</w:t>
      </w:r>
      <w:r w:rsidR="000F16DC" w:rsidRPr="00CB21D6">
        <w:rPr>
          <w:szCs w:val="22"/>
        </w:rPr>
        <w:t xml:space="preserve"> was</w:t>
      </w:r>
      <w:r w:rsidR="004436D2" w:rsidRPr="00CB21D6">
        <w:rPr>
          <w:szCs w:val="22"/>
        </w:rPr>
        <w:t xml:space="preserve"> </w:t>
      </w:r>
      <w:r w:rsidRPr="00CB21D6">
        <w:rPr>
          <w:szCs w:val="22"/>
        </w:rPr>
        <w:t xml:space="preserve">based on </w:t>
      </w:r>
      <w:r w:rsidR="000F16DC" w:rsidRPr="00CB21D6">
        <w:rPr>
          <w:szCs w:val="22"/>
        </w:rPr>
        <w:t xml:space="preserve">the March 2014 </w:t>
      </w:r>
      <w:r w:rsidRPr="00CB21D6">
        <w:rPr>
          <w:szCs w:val="22"/>
        </w:rPr>
        <w:t xml:space="preserve">certolizumab Public </w:t>
      </w:r>
      <w:r w:rsidR="000F16DC" w:rsidRPr="00CB21D6">
        <w:rPr>
          <w:szCs w:val="22"/>
        </w:rPr>
        <w:t>S</w:t>
      </w:r>
      <w:r w:rsidRPr="00CB21D6">
        <w:rPr>
          <w:szCs w:val="22"/>
        </w:rPr>
        <w:t>ummary</w:t>
      </w:r>
      <w:r w:rsidR="000F16DC" w:rsidRPr="00CB21D6">
        <w:rPr>
          <w:szCs w:val="22"/>
        </w:rPr>
        <w:t xml:space="preserve"> Document, </w:t>
      </w:r>
      <w:r w:rsidR="004436D2" w:rsidRPr="00CB21D6">
        <w:rPr>
          <w:szCs w:val="22"/>
        </w:rPr>
        <w:t>which</w:t>
      </w:r>
      <w:r w:rsidRPr="00CB21D6">
        <w:rPr>
          <w:szCs w:val="22"/>
        </w:rPr>
        <w:t xml:space="preserve"> quantified the effect of certolizumab on a 20% improvement in ASAS20 relative to placebo</w:t>
      </w:r>
      <w:r w:rsidR="004436D2" w:rsidRPr="00CB21D6">
        <w:rPr>
          <w:szCs w:val="22"/>
        </w:rPr>
        <w:t xml:space="preserve">. The ESC also states that as per the report, CZP would be considered non-inferior to other </w:t>
      </w:r>
      <w:r w:rsidR="009C14C4" w:rsidRPr="00CB21D6">
        <w:rPr>
          <w:szCs w:val="22"/>
        </w:rPr>
        <w:t>treatments if the 95% CI of the RR in the ASAS20 response included 1.00 and</w:t>
      </w:r>
      <w:r w:rsidR="00FF3F38">
        <w:rPr>
          <w:szCs w:val="22"/>
        </w:rPr>
        <w:t xml:space="preserve"> lower CI margin was &gt; 0.43.</w:t>
      </w:r>
    </w:p>
    <w:p w:rsidR="009C14C4" w:rsidRPr="00CB21D6" w:rsidRDefault="009C14C4" w:rsidP="009C14C4">
      <w:pPr>
        <w:pStyle w:val="ListParagraph"/>
        <w:widowControl/>
        <w:rPr>
          <w:szCs w:val="22"/>
        </w:rPr>
      </w:pPr>
    </w:p>
    <w:p w:rsidR="00264209" w:rsidRDefault="001C1121" w:rsidP="00D33470">
      <w:pPr>
        <w:pStyle w:val="ListParagraph"/>
        <w:widowControl/>
        <w:numPr>
          <w:ilvl w:val="1"/>
          <w:numId w:val="1"/>
        </w:numPr>
        <w:rPr>
          <w:szCs w:val="22"/>
        </w:rPr>
      </w:pPr>
      <w:r w:rsidRPr="00CB21D6">
        <w:rPr>
          <w:szCs w:val="22"/>
        </w:rPr>
        <w:lastRenderedPageBreak/>
        <w:t>The results indicate</w:t>
      </w:r>
      <w:r w:rsidR="00D606C2">
        <w:rPr>
          <w:szCs w:val="22"/>
        </w:rPr>
        <w:t>d</w:t>
      </w:r>
      <w:r w:rsidRPr="00CB21D6">
        <w:rPr>
          <w:szCs w:val="22"/>
        </w:rPr>
        <w:t xml:space="preserve"> that a statistically significantly greater proportion of patients achieve ASAS20 response when treated with secukinumab, adalimumab, etanercept, golimumab and certolizumab, compared with placebo. The only exception </w:t>
      </w:r>
      <w:r w:rsidR="00D606C2">
        <w:rPr>
          <w:szCs w:val="22"/>
        </w:rPr>
        <w:t>wa</w:t>
      </w:r>
      <w:r w:rsidRPr="00CB21D6">
        <w:rPr>
          <w:szCs w:val="22"/>
        </w:rPr>
        <w:t>s the Canadian-AS study (adalimumab versus placebo).</w:t>
      </w:r>
    </w:p>
    <w:p w:rsidR="00AD0872" w:rsidRPr="00AD0872" w:rsidRDefault="00AD0872" w:rsidP="00AD0872">
      <w:pPr>
        <w:widowControl/>
        <w:rPr>
          <w:szCs w:val="22"/>
        </w:rPr>
      </w:pPr>
    </w:p>
    <w:p w:rsidR="000C280E" w:rsidRPr="00CB21D6" w:rsidRDefault="000C280E" w:rsidP="000C280E">
      <w:pPr>
        <w:pStyle w:val="ListParagraph"/>
        <w:widowControl/>
        <w:numPr>
          <w:ilvl w:val="1"/>
          <w:numId w:val="1"/>
        </w:numPr>
        <w:rPr>
          <w:szCs w:val="22"/>
        </w:rPr>
      </w:pPr>
      <w:r>
        <w:rPr>
          <w:szCs w:val="22"/>
        </w:rPr>
        <w:t>The</w:t>
      </w:r>
      <w:r w:rsidRPr="000C280E">
        <w:rPr>
          <w:szCs w:val="22"/>
        </w:rPr>
        <w:t xml:space="preserve"> </w:t>
      </w:r>
      <w:r w:rsidRPr="00CB21D6">
        <w:rPr>
          <w:szCs w:val="22"/>
        </w:rPr>
        <w:t>results of the indirect comparisons indicate</w:t>
      </w:r>
      <w:r>
        <w:rPr>
          <w:szCs w:val="22"/>
        </w:rPr>
        <w:t>d</w:t>
      </w:r>
      <w:r w:rsidRPr="00CB21D6">
        <w:rPr>
          <w:szCs w:val="22"/>
        </w:rPr>
        <w:t xml:space="preserve"> no statistically significant differences in the proportion of patients achieving ASAS20 when treated with secukinumab 150 mg at 12 weeks compared with:</w:t>
      </w:r>
    </w:p>
    <w:p w:rsidR="000C280E" w:rsidRPr="00CB21D6" w:rsidRDefault="000C280E" w:rsidP="000C280E">
      <w:pPr>
        <w:pStyle w:val="ListParagraph"/>
        <w:widowControl/>
        <w:numPr>
          <w:ilvl w:val="0"/>
          <w:numId w:val="3"/>
        </w:numPr>
        <w:ind w:left="993" w:hanging="284"/>
        <w:rPr>
          <w:iCs/>
          <w:szCs w:val="22"/>
        </w:rPr>
      </w:pPr>
      <w:r w:rsidRPr="00CB21D6">
        <w:rPr>
          <w:szCs w:val="22"/>
        </w:rPr>
        <w:t>adalimumab, etanercept and certolizumab at 12 weeks when using placebo as the common reference</w:t>
      </w:r>
      <w:r w:rsidRPr="00CB21D6">
        <w:rPr>
          <w:iCs/>
          <w:szCs w:val="22"/>
        </w:rPr>
        <w:t>; and</w:t>
      </w:r>
    </w:p>
    <w:p w:rsidR="000C280E" w:rsidRPr="00CB21D6" w:rsidRDefault="000C280E" w:rsidP="000C280E">
      <w:pPr>
        <w:pStyle w:val="ListParagraph"/>
        <w:widowControl/>
        <w:numPr>
          <w:ilvl w:val="0"/>
          <w:numId w:val="3"/>
        </w:numPr>
        <w:ind w:left="993" w:hanging="284"/>
        <w:rPr>
          <w:iCs/>
          <w:szCs w:val="22"/>
        </w:rPr>
      </w:pPr>
      <w:r w:rsidRPr="00CB21D6">
        <w:rPr>
          <w:szCs w:val="22"/>
        </w:rPr>
        <w:t>golimumab</w:t>
      </w:r>
      <w:r w:rsidRPr="00CB21D6">
        <w:rPr>
          <w:iCs/>
          <w:szCs w:val="22"/>
        </w:rPr>
        <w:t xml:space="preserve"> at 14 weeks </w:t>
      </w:r>
    </w:p>
    <w:p w:rsidR="000C280E" w:rsidRPr="0001249A" w:rsidRDefault="000C280E" w:rsidP="000C280E">
      <w:pPr>
        <w:widowControl/>
        <w:ind w:left="709"/>
        <w:rPr>
          <w:iCs/>
          <w:szCs w:val="22"/>
        </w:rPr>
      </w:pPr>
      <w:r w:rsidRPr="00CB21D6">
        <w:rPr>
          <w:iCs/>
          <w:szCs w:val="22"/>
        </w:rPr>
        <w:t xml:space="preserve">when using placebo as the common reference.  </w:t>
      </w:r>
      <w:r w:rsidRPr="000C280E">
        <w:rPr>
          <w:iCs/>
          <w:szCs w:val="22"/>
        </w:rPr>
        <w:t xml:space="preserve">The infliximab trials </w:t>
      </w:r>
      <w:r>
        <w:rPr>
          <w:iCs/>
          <w:szCs w:val="22"/>
        </w:rPr>
        <w:t>were</w:t>
      </w:r>
      <w:r w:rsidRPr="000C280E">
        <w:rPr>
          <w:iCs/>
          <w:szCs w:val="22"/>
        </w:rPr>
        <w:t xml:space="preserve"> excluded as the included publications did not report ASAS20 response at 12 weeks.</w:t>
      </w:r>
      <w:r>
        <w:rPr>
          <w:iCs/>
          <w:szCs w:val="22"/>
        </w:rPr>
        <w:t xml:space="preserve">  </w:t>
      </w:r>
      <w:r w:rsidRPr="000C280E">
        <w:rPr>
          <w:szCs w:val="22"/>
        </w:rPr>
        <w:t xml:space="preserve">The </w:t>
      </w:r>
      <w:r w:rsidRPr="0001249A">
        <w:rPr>
          <w:szCs w:val="22"/>
        </w:rPr>
        <w:t>differences in the placebo response rates between the trials (ranging from 20.6% to 37.3%) raised concerns regarding the exchangeability of the trials and validity of the indirect comparisons.</w:t>
      </w:r>
    </w:p>
    <w:p w:rsidR="000C280E" w:rsidRPr="0001249A" w:rsidRDefault="000C280E" w:rsidP="000C280E">
      <w:pPr>
        <w:pStyle w:val="ListParagraph"/>
        <w:rPr>
          <w:szCs w:val="22"/>
        </w:rPr>
      </w:pPr>
    </w:p>
    <w:p w:rsidR="000C280E" w:rsidRPr="0001249A" w:rsidRDefault="000C280E" w:rsidP="000C280E">
      <w:pPr>
        <w:pStyle w:val="ListParagraph"/>
        <w:widowControl/>
        <w:numPr>
          <w:ilvl w:val="1"/>
          <w:numId w:val="1"/>
        </w:numPr>
        <w:ind w:left="709"/>
        <w:rPr>
          <w:iCs/>
          <w:szCs w:val="18"/>
        </w:rPr>
      </w:pPr>
      <w:r w:rsidRPr="0001249A">
        <w:rPr>
          <w:szCs w:val="18"/>
        </w:rPr>
        <w:t xml:space="preserve">Table </w:t>
      </w:r>
      <w:r w:rsidR="0001249A">
        <w:rPr>
          <w:szCs w:val="18"/>
        </w:rPr>
        <w:t>4</w:t>
      </w:r>
      <w:r w:rsidRPr="0001249A">
        <w:rPr>
          <w:szCs w:val="18"/>
        </w:rPr>
        <w:t xml:space="preserve"> presents the results for the BASDAI50 outcome, measured at 12 weeks in all trials with the exception of the golimumab trial (Inman 2008 / GO-RAISE), which was measured at 14 weeks.  </w:t>
      </w:r>
      <w:r w:rsidRPr="0001249A">
        <w:rPr>
          <w:iCs/>
          <w:szCs w:val="18"/>
        </w:rPr>
        <w:t>Table B.6.2 presents the results for the total and αTNF-naïve populations in MEASURE 2 and the indirect comparisons of secukinumab and other PBS-listed bDMARDs for the total and treatment naïve sub-group.</w:t>
      </w:r>
    </w:p>
    <w:p w:rsidR="000C280E" w:rsidRPr="0001249A" w:rsidRDefault="000C280E" w:rsidP="000C280E">
      <w:pPr>
        <w:widowControl/>
        <w:rPr>
          <w:szCs w:val="18"/>
        </w:rPr>
      </w:pPr>
    </w:p>
    <w:p w:rsidR="00CA5316" w:rsidRDefault="00CA5316" w:rsidP="00CA5316">
      <w:pPr>
        <w:widowControl/>
        <w:ind w:left="709"/>
        <w:rPr>
          <w:rStyle w:val="CommentReference"/>
        </w:rPr>
      </w:pPr>
      <w:r>
        <w:rPr>
          <w:rStyle w:val="CommentReference"/>
        </w:rPr>
        <w:br w:type="page"/>
      </w:r>
    </w:p>
    <w:p w:rsidR="000C280E" w:rsidRDefault="000C280E" w:rsidP="00CA5316">
      <w:pPr>
        <w:widowControl/>
        <w:ind w:left="709"/>
        <w:rPr>
          <w:i/>
          <w:iCs/>
          <w:szCs w:val="18"/>
        </w:rPr>
      </w:pPr>
      <w:r>
        <w:rPr>
          <w:rStyle w:val="CommentReference"/>
        </w:rPr>
        <w:lastRenderedPageBreak/>
        <w:t xml:space="preserve">Table </w:t>
      </w:r>
      <w:r w:rsidR="0001249A">
        <w:rPr>
          <w:rStyle w:val="CommentReference"/>
        </w:rPr>
        <w:t>4</w:t>
      </w:r>
      <w:r>
        <w:rPr>
          <w:rStyle w:val="CommentReference"/>
        </w:rPr>
        <w:t xml:space="preserve">: </w:t>
      </w:r>
      <w:r w:rsidRPr="00CA7B09">
        <w:rPr>
          <w:rStyle w:val="CommentReference"/>
        </w:rPr>
        <w:t>Summary of results of the indirect comparison</w:t>
      </w:r>
      <w:r>
        <w:rPr>
          <w:rStyle w:val="CommentReference"/>
        </w:rPr>
        <w:t xml:space="preserve">s – BASDAI50 response at Week 12 (Week 14 for golimumab trials) – FAS (or the AS sub-group in Landewe 2014) and the </w:t>
      </w:r>
      <w:r w:rsidRPr="000B59F0">
        <w:rPr>
          <w:rStyle w:val="CommentReference"/>
        </w:rPr>
        <w:t>αTNF-naïve</w:t>
      </w:r>
      <w:r>
        <w:rPr>
          <w:rStyle w:val="CommentReference"/>
        </w:rPr>
        <w:t xml:space="preserve"> population in MEASURE 2</w:t>
      </w:r>
    </w:p>
    <w:tbl>
      <w:tblPr>
        <w:tblStyle w:val="TableGrid"/>
        <w:tblW w:w="8345" w:type="dxa"/>
        <w:tblInd w:w="737" w:type="dxa"/>
        <w:tblCellMar>
          <w:left w:w="28" w:type="dxa"/>
          <w:right w:w="28" w:type="dxa"/>
        </w:tblCellMar>
        <w:tblLook w:val="04A0" w:firstRow="1" w:lastRow="0" w:firstColumn="1" w:lastColumn="0" w:noHBand="0" w:noVBand="1"/>
        <w:tblCaption w:val="Table 4: Summary of results of the indirect comparisons – BASDAI50 response at Week 12 (Week 14 for golimumab trials) – FAS (or the AS sub-group in Landewe 2014) and the αTNF-naïve population in MEASURE 2"/>
      </w:tblPr>
      <w:tblGrid>
        <w:gridCol w:w="567"/>
        <w:gridCol w:w="1701"/>
        <w:gridCol w:w="1205"/>
        <w:gridCol w:w="1205"/>
        <w:gridCol w:w="1559"/>
        <w:gridCol w:w="1125"/>
        <w:gridCol w:w="983"/>
      </w:tblGrid>
      <w:tr w:rsidR="000C280E" w:rsidRPr="003062D3" w:rsidTr="00763C4D">
        <w:trPr>
          <w:trHeight w:val="283"/>
          <w:tblHeader/>
        </w:trPr>
        <w:tc>
          <w:tcPr>
            <w:tcW w:w="567" w:type="dxa"/>
            <w:vMerge w:val="restart"/>
            <w:vAlign w:val="center"/>
          </w:tcPr>
          <w:p w:rsidR="000C280E" w:rsidRPr="00E804BE" w:rsidRDefault="000C280E" w:rsidP="00826A3D">
            <w:pPr>
              <w:widowControl/>
              <w:jc w:val="left"/>
              <w:rPr>
                <w:rFonts w:ascii="Arial Narrow" w:hAnsi="Arial Narrow"/>
                <w:b/>
                <w:sz w:val="20"/>
              </w:rPr>
            </w:pPr>
            <w:r w:rsidRPr="00E804BE">
              <w:rPr>
                <w:rFonts w:ascii="Arial Narrow" w:hAnsi="Arial Narrow"/>
                <w:b/>
                <w:sz w:val="20"/>
              </w:rPr>
              <w:t>Tx</w:t>
            </w:r>
          </w:p>
        </w:tc>
        <w:tc>
          <w:tcPr>
            <w:tcW w:w="1701" w:type="dxa"/>
            <w:vMerge w:val="restart"/>
            <w:vAlign w:val="center"/>
          </w:tcPr>
          <w:p w:rsidR="000C280E" w:rsidRPr="00E804BE" w:rsidRDefault="000C280E" w:rsidP="00826A3D">
            <w:pPr>
              <w:widowControl/>
              <w:jc w:val="center"/>
              <w:rPr>
                <w:rFonts w:ascii="Arial Narrow" w:hAnsi="Arial Narrow"/>
                <w:b/>
                <w:sz w:val="20"/>
              </w:rPr>
            </w:pPr>
            <w:r w:rsidRPr="00E804BE">
              <w:rPr>
                <w:rFonts w:ascii="Arial Narrow" w:hAnsi="Arial Narrow"/>
                <w:b/>
                <w:sz w:val="20"/>
              </w:rPr>
              <w:t>Trial</w:t>
            </w:r>
          </w:p>
        </w:tc>
        <w:tc>
          <w:tcPr>
            <w:tcW w:w="1205" w:type="dxa"/>
            <w:vMerge w:val="restart"/>
            <w:vAlign w:val="center"/>
          </w:tcPr>
          <w:p w:rsidR="000C280E" w:rsidRPr="00E804BE" w:rsidRDefault="000C280E" w:rsidP="00826A3D">
            <w:pPr>
              <w:widowControl/>
              <w:jc w:val="center"/>
              <w:rPr>
                <w:rFonts w:ascii="Arial Narrow" w:hAnsi="Arial Narrow"/>
                <w:b/>
                <w:sz w:val="20"/>
              </w:rPr>
            </w:pPr>
            <w:r w:rsidRPr="00E804BE">
              <w:rPr>
                <w:rFonts w:ascii="Arial Narrow" w:hAnsi="Arial Narrow"/>
                <w:b/>
                <w:sz w:val="20"/>
              </w:rPr>
              <w:t>Drug n/N (%)</w:t>
            </w:r>
          </w:p>
        </w:tc>
        <w:tc>
          <w:tcPr>
            <w:tcW w:w="1205" w:type="dxa"/>
            <w:vMerge w:val="restart"/>
            <w:vAlign w:val="center"/>
          </w:tcPr>
          <w:p w:rsidR="000C280E" w:rsidRPr="00E804BE" w:rsidRDefault="000C280E" w:rsidP="00826A3D">
            <w:pPr>
              <w:widowControl/>
              <w:jc w:val="center"/>
              <w:rPr>
                <w:rFonts w:ascii="Arial Narrow" w:hAnsi="Arial Narrow"/>
                <w:b/>
                <w:sz w:val="20"/>
              </w:rPr>
            </w:pPr>
            <w:r w:rsidRPr="00E804BE">
              <w:rPr>
                <w:rFonts w:ascii="Arial Narrow" w:hAnsi="Arial Narrow"/>
                <w:b/>
                <w:sz w:val="20"/>
              </w:rPr>
              <w:t>PBO n/N (%)</w:t>
            </w:r>
          </w:p>
        </w:tc>
        <w:tc>
          <w:tcPr>
            <w:tcW w:w="1559" w:type="dxa"/>
            <w:vMerge w:val="restart"/>
            <w:vAlign w:val="center"/>
          </w:tcPr>
          <w:p w:rsidR="000C280E" w:rsidRPr="00E804BE" w:rsidRDefault="000C280E" w:rsidP="00826A3D">
            <w:pPr>
              <w:widowControl/>
              <w:jc w:val="center"/>
              <w:rPr>
                <w:rFonts w:ascii="Arial Narrow" w:hAnsi="Arial Narrow"/>
                <w:b/>
                <w:sz w:val="20"/>
              </w:rPr>
            </w:pPr>
            <w:r w:rsidRPr="00E804BE">
              <w:rPr>
                <w:rFonts w:ascii="Arial Narrow" w:hAnsi="Arial Narrow"/>
                <w:b/>
                <w:sz w:val="20"/>
              </w:rPr>
              <w:t>RR (95% CI)</w:t>
            </w:r>
          </w:p>
        </w:tc>
        <w:tc>
          <w:tcPr>
            <w:tcW w:w="2108" w:type="dxa"/>
            <w:gridSpan w:val="2"/>
            <w:vAlign w:val="center"/>
          </w:tcPr>
          <w:p w:rsidR="000C280E" w:rsidRPr="009F11C0" w:rsidRDefault="000C280E" w:rsidP="00826A3D">
            <w:pPr>
              <w:widowControl/>
              <w:jc w:val="center"/>
              <w:rPr>
                <w:rFonts w:ascii="Arial Narrow" w:hAnsi="Arial Narrow"/>
                <w:b/>
                <w:sz w:val="20"/>
                <w:lang w:val="fr-FR"/>
              </w:rPr>
            </w:pPr>
            <w:r w:rsidRPr="009F11C0">
              <w:rPr>
                <w:rFonts w:ascii="Arial Narrow" w:hAnsi="Arial Narrow"/>
                <w:b/>
                <w:sz w:val="20"/>
                <w:lang w:val="fr-FR"/>
              </w:rPr>
              <w:t>Indirect comparison</w:t>
            </w:r>
          </w:p>
          <w:p w:rsidR="000C280E" w:rsidRPr="009F11C0" w:rsidRDefault="000C280E" w:rsidP="00826A3D">
            <w:pPr>
              <w:widowControl/>
              <w:jc w:val="center"/>
              <w:rPr>
                <w:rFonts w:ascii="Arial Narrow" w:hAnsi="Arial Narrow"/>
                <w:b/>
                <w:sz w:val="20"/>
                <w:vertAlign w:val="superscript"/>
                <w:lang w:val="fr-FR"/>
              </w:rPr>
            </w:pPr>
            <w:r w:rsidRPr="009F11C0">
              <w:rPr>
                <w:rFonts w:ascii="Arial Narrow" w:hAnsi="Arial Narrow"/>
                <w:b/>
                <w:sz w:val="20"/>
                <w:lang w:val="fr-FR"/>
              </w:rPr>
              <w:t>RR (95% CI)</w:t>
            </w:r>
            <w:r w:rsidRPr="009F11C0">
              <w:rPr>
                <w:rFonts w:ascii="Arial Narrow" w:hAnsi="Arial Narrow"/>
                <w:b/>
                <w:sz w:val="20"/>
                <w:vertAlign w:val="superscript"/>
                <w:lang w:val="fr-FR"/>
              </w:rPr>
              <w:t>a</w:t>
            </w:r>
          </w:p>
        </w:tc>
      </w:tr>
      <w:tr w:rsidR="000C280E" w:rsidRPr="00E804BE" w:rsidTr="00763C4D">
        <w:trPr>
          <w:trHeight w:val="283"/>
          <w:tblHeader/>
        </w:trPr>
        <w:tc>
          <w:tcPr>
            <w:tcW w:w="567" w:type="dxa"/>
            <w:vMerge/>
            <w:vAlign w:val="center"/>
          </w:tcPr>
          <w:p w:rsidR="000C280E" w:rsidRPr="009F11C0" w:rsidRDefault="000C280E" w:rsidP="00826A3D">
            <w:pPr>
              <w:widowControl/>
              <w:jc w:val="left"/>
              <w:rPr>
                <w:rFonts w:ascii="Arial Narrow" w:hAnsi="Arial Narrow"/>
                <w:b/>
                <w:sz w:val="20"/>
                <w:lang w:val="fr-FR"/>
              </w:rPr>
            </w:pPr>
          </w:p>
        </w:tc>
        <w:tc>
          <w:tcPr>
            <w:tcW w:w="1701" w:type="dxa"/>
            <w:vMerge/>
            <w:vAlign w:val="center"/>
          </w:tcPr>
          <w:p w:rsidR="000C280E" w:rsidRPr="009F11C0" w:rsidRDefault="000C280E" w:rsidP="00826A3D">
            <w:pPr>
              <w:widowControl/>
              <w:jc w:val="center"/>
              <w:rPr>
                <w:rFonts w:ascii="Arial Narrow" w:hAnsi="Arial Narrow"/>
                <w:b/>
                <w:sz w:val="20"/>
                <w:lang w:val="fr-FR"/>
              </w:rPr>
            </w:pPr>
          </w:p>
        </w:tc>
        <w:tc>
          <w:tcPr>
            <w:tcW w:w="1205" w:type="dxa"/>
            <w:vMerge/>
            <w:vAlign w:val="center"/>
          </w:tcPr>
          <w:p w:rsidR="000C280E" w:rsidRPr="009F11C0" w:rsidRDefault="000C280E" w:rsidP="00826A3D">
            <w:pPr>
              <w:widowControl/>
              <w:jc w:val="center"/>
              <w:rPr>
                <w:rFonts w:ascii="Arial Narrow" w:hAnsi="Arial Narrow"/>
                <w:b/>
                <w:sz w:val="20"/>
                <w:lang w:val="fr-FR"/>
              </w:rPr>
            </w:pPr>
          </w:p>
        </w:tc>
        <w:tc>
          <w:tcPr>
            <w:tcW w:w="1205" w:type="dxa"/>
            <w:vMerge/>
            <w:vAlign w:val="center"/>
          </w:tcPr>
          <w:p w:rsidR="000C280E" w:rsidRPr="009F11C0" w:rsidRDefault="000C280E" w:rsidP="00826A3D">
            <w:pPr>
              <w:widowControl/>
              <w:jc w:val="center"/>
              <w:rPr>
                <w:rFonts w:ascii="Arial Narrow" w:hAnsi="Arial Narrow"/>
                <w:b/>
                <w:sz w:val="20"/>
                <w:lang w:val="fr-FR"/>
              </w:rPr>
            </w:pPr>
          </w:p>
        </w:tc>
        <w:tc>
          <w:tcPr>
            <w:tcW w:w="1559" w:type="dxa"/>
            <w:vMerge/>
            <w:vAlign w:val="center"/>
          </w:tcPr>
          <w:p w:rsidR="000C280E" w:rsidRPr="009F11C0" w:rsidRDefault="000C280E" w:rsidP="00826A3D">
            <w:pPr>
              <w:widowControl/>
              <w:jc w:val="center"/>
              <w:rPr>
                <w:rFonts w:ascii="Arial Narrow" w:hAnsi="Arial Narrow"/>
                <w:b/>
                <w:sz w:val="20"/>
                <w:lang w:val="fr-FR"/>
              </w:rPr>
            </w:pPr>
          </w:p>
        </w:tc>
        <w:tc>
          <w:tcPr>
            <w:tcW w:w="1125" w:type="dxa"/>
            <w:vAlign w:val="center"/>
          </w:tcPr>
          <w:p w:rsidR="000C280E" w:rsidRPr="00E804BE" w:rsidRDefault="000C280E" w:rsidP="00826A3D">
            <w:pPr>
              <w:widowControl/>
              <w:jc w:val="center"/>
              <w:rPr>
                <w:rFonts w:ascii="Arial Narrow" w:hAnsi="Arial Narrow"/>
                <w:b/>
                <w:sz w:val="20"/>
              </w:rPr>
            </w:pPr>
            <w:r>
              <w:rPr>
                <w:rFonts w:ascii="Arial Narrow" w:hAnsi="Arial Narrow"/>
                <w:b/>
                <w:sz w:val="20"/>
              </w:rPr>
              <w:t>All</w:t>
            </w:r>
          </w:p>
        </w:tc>
        <w:tc>
          <w:tcPr>
            <w:tcW w:w="983" w:type="dxa"/>
            <w:vAlign w:val="center"/>
          </w:tcPr>
          <w:p w:rsidR="000C280E" w:rsidRPr="00E804BE" w:rsidRDefault="000C280E" w:rsidP="00826A3D">
            <w:pPr>
              <w:widowControl/>
              <w:jc w:val="center"/>
              <w:rPr>
                <w:rFonts w:ascii="Arial Narrow" w:hAnsi="Arial Narrow"/>
                <w:b/>
                <w:sz w:val="20"/>
              </w:rPr>
            </w:pPr>
            <w:r w:rsidRPr="00337D90">
              <w:rPr>
                <w:rFonts w:ascii="Arial Narrow" w:hAnsi="Arial Narrow"/>
                <w:b/>
                <w:sz w:val="20"/>
              </w:rPr>
              <w:t>αTNF-naïve</w:t>
            </w:r>
          </w:p>
        </w:tc>
      </w:tr>
      <w:tr w:rsidR="000C280E" w:rsidRPr="00E804BE" w:rsidTr="00CA5316">
        <w:trPr>
          <w:trHeight w:val="283"/>
        </w:trPr>
        <w:tc>
          <w:tcPr>
            <w:tcW w:w="567" w:type="dxa"/>
            <w:vMerge w:val="restart"/>
            <w:vAlign w:val="center"/>
          </w:tcPr>
          <w:p w:rsidR="000C280E" w:rsidRPr="00E804BE" w:rsidRDefault="000C280E" w:rsidP="00826A3D">
            <w:pPr>
              <w:widowControl/>
              <w:jc w:val="left"/>
              <w:rPr>
                <w:rFonts w:ascii="Arial Narrow" w:hAnsi="Arial Narrow"/>
                <w:sz w:val="20"/>
              </w:rPr>
            </w:pPr>
            <w:r w:rsidRPr="00E804BE">
              <w:rPr>
                <w:rFonts w:ascii="Arial Narrow" w:hAnsi="Arial Narrow"/>
                <w:sz w:val="20"/>
              </w:rPr>
              <w:t>SEC</w:t>
            </w:r>
          </w:p>
        </w:tc>
        <w:tc>
          <w:tcPr>
            <w:tcW w:w="1701" w:type="dxa"/>
          </w:tcPr>
          <w:p w:rsidR="000C280E" w:rsidRPr="00E804BE" w:rsidRDefault="000C280E" w:rsidP="00826A3D">
            <w:pPr>
              <w:widowControl/>
              <w:rPr>
                <w:rFonts w:ascii="Arial Narrow" w:hAnsi="Arial Narrow"/>
                <w:sz w:val="20"/>
              </w:rPr>
            </w:pPr>
            <w:r>
              <w:rPr>
                <w:rFonts w:ascii="Arial Narrow" w:hAnsi="Arial Narrow"/>
                <w:sz w:val="20"/>
              </w:rPr>
              <w:t>MEASURE 2 (all)</w:t>
            </w:r>
          </w:p>
        </w:tc>
        <w:tc>
          <w:tcPr>
            <w:tcW w:w="1205" w:type="dxa"/>
            <w:vAlign w:val="center"/>
          </w:tcPr>
          <w:p w:rsidR="000C280E" w:rsidRPr="00E804BE" w:rsidRDefault="00BD1420" w:rsidP="00826A3D">
            <w:pPr>
              <w:widowControl/>
              <w:jc w:val="center"/>
              <w:rPr>
                <w:rFonts w:ascii="Arial Narrow" w:hAnsi="Arial Narrow"/>
                <w:sz w:val="20"/>
              </w:rPr>
            </w:pPr>
            <w:r>
              <w:rPr>
                <w:rFonts w:ascii="Arial Narrow" w:hAnsi="Arial Narrow"/>
                <w:noProof/>
                <w:color w:val="000000"/>
                <w:sz w:val="20"/>
                <w:highlight w:val="black"/>
              </w:rPr>
              <w:t>''''''''''''''</w:t>
            </w:r>
            <w:r w:rsidR="000C280E">
              <w:rPr>
                <w:rFonts w:ascii="Arial Narrow" w:hAnsi="Arial Narrow"/>
                <w:sz w:val="20"/>
              </w:rPr>
              <w:t xml:space="preserve"> (</w:t>
            </w:r>
            <w:r>
              <w:rPr>
                <w:rFonts w:ascii="Arial Narrow" w:hAnsi="Arial Narrow"/>
                <w:noProof/>
                <w:color w:val="000000"/>
                <w:sz w:val="20"/>
                <w:highlight w:val="black"/>
              </w:rPr>
              <w:t>'''''''''''</w:t>
            </w:r>
            <w:r w:rsidR="000C280E">
              <w:rPr>
                <w:rFonts w:ascii="Arial Narrow" w:hAnsi="Arial Narrow"/>
                <w:sz w:val="20"/>
              </w:rPr>
              <w:t>)</w:t>
            </w:r>
          </w:p>
        </w:tc>
        <w:tc>
          <w:tcPr>
            <w:tcW w:w="1205" w:type="dxa"/>
            <w:vAlign w:val="center"/>
          </w:tcPr>
          <w:p w:rsidR="000C280E" w:rsidRPr="00E804BE" w:rsidRDefault="00BD1420" w:rsidP="00826A3D">
            <w:pPr>
              <w:widowControl/>
              <w:jc w:val="center"/>
              <w:rPr>
                <w:rFonts w:ascii="Arial Narrow" w:hAnsi="Arial Narrow"/>
                <w:sz w:val="20"/>
              </w:rPr>
            </w:pPr>
            <w:r>
              <w:rPr>
                <w:rFonts w:ascii="Arial Narrow" w:hAnsi="Arial Narrow"/>
                <w:noProof/>
                <w:color w:val="000000"/>
                <w:sz w:val="20"/>
                <w:highlight w:val="black"/>
              </w:rPr>
              <w:t>''''''''''</w:t>
            </w:r>
            <w:r w:rsidR="000C280E">
              <w:rPr>
                <w:rFonts w:ascii="Arial Narrow" w:hAnsi="Arial Narrow"/>
                <w:sz w:val="20"/>
              </w:rPr>
              <w:t xml:space="preserve"> (</w:t>
            </w:r>
            <w:r>
              <w:rPr>
                <w:rFonts w:ascii="Arial Narrow" w:hAnsi="Arial Narrow"/>
                <w:noProof/>
                <w:color w:val="000000"/>
                <w:sz w:val="20"/>
                <w:highlight w:val="black"/>
              </w:rPr>
              <w:t>'''''''''</w:t>
            </w:r>
            <w:r w:rsidR="000C280E">
              <w:rPr>
                <w:rFonts w:ascii="Arial Narrow" w:hAnsi="Arial Narrow"/>
                <w:sz w:val="20"/>
              </w:rPr>
              <w:t>)</w:t>
            </w:r>
          </w:p>
        </w:tc>
        <w:tc>
          <w:tcPr>
            <w:tcW w:w="1559" w:type="dxa"/>
            <w:vAlign w:val="center"/>
          </w:tcPr>
          <w:p w:rsidR="000C280E" w:rsidRPr="00E804BE" w:rsidRDefault="00BD1420" w:rsidP="00826A3D">
            <w:pPr>
              <w:widowControl/>
              <w:jc w:val="center"/>
              <w:rPr>
                <w:rFonts w:ascii="Arial Narrow" w:hAnsi="Arial Narrow"/>
                <w:b/>
                <w:sz w:val="20"/>
              </w:rPr>
            </w:pPr>
            <w:r>
              <w:rPr>
                <w:rFonts w:ascii="Arial Narrow" w:hAnsi="Arial Narrow"/>
                <w:b/>
                <w:noProof/>
                <w:color w:val="000000"/>
                <w:sz w:val="20"/>
                <w:highlight w:val="black"/>
              </w:rPr>
              <w:t>'''''''''</w:t>
            </w:r>
            <w:r w:rsidR="000C280E">
              <w:rPr>
                <w:rFonts w:ascii="Arial Narrow" w:hAnsi="Arial Narrow"/>
                <w:b/>
                <w:sz w:val="20"/>
              </w:rPr>
              <w:t xml:space="preserve"> (</w:t>
            </w:r>
            <w:r>
              <w:rPr>
                <w:rFonts w:ascii="Arial Narrow" w:hAnsi="Arial Narrow"/>
                <w:b/>
                <w:noProof/>
                <w:color w:val="000000"/>
                <w:sz w:val="20"/>
                <w:highlight w:val="black"/>
              </w:rPr>
              <w:t>''''''''</w:t>
            </w:r>
            <w:r w:rsidR="000C280E">
              <w:rPr>
                <w:rFonts w:ascii="Arial Narrow" w:hAnsi="Arial Narrow"/>
                <w:b/>
                <w:sz w:val="20"/>
              </w:rPr>
              <w:t xml:space="preserve">, </w:t>
            </w:r>
            <w:r>
              <w:rPr>
                <w:rFonts w:ascii="Arial Narrow" w:hAnsi="Arial Narrow"/>
                <w:b/>
                <w:noProof/>
                <w:color w:val="000000"/>
                <w:sz w:val="20"/>
                <w:highlight w:val="black"/>
              </w:rPr>
              <w:t>'''''''''''</w:t>
            </w:r>
            <w:r w:rsidR="000C280E">
              <w:rPr>
                <w:rFonts w:ascii="Arial Narrow" w:hAnsi="Arial Narrow"/>
                <w:b/>
                <w:sz w:val="20"/>
              </w:rPr>
              <w:t>)</w:t>
            </w:r>
          </w:p>
        </w:tc>
        <w:tc>
          <w:tcPr>
            <w:tcW w:w="1125" w:type="dxa"/>
            <w:vAlign w:val="center"/>
          </w:tcPr>
          <w:p w:rsidR="000C280E" w:rsidRPr="00E804BE" w:rsidRDefault="000C280E" w:rsidP="00826A3D">
            <w:pPr>
              <w:widowControl/>
              <w:jc w:val="center"/>
              <w:rPr>
                <w:rFonts w:ascii="Arial Narrow" w:hAnsi="Arial Narrow"/>
                <w:sz w:val="20"/>
              </w:rPr>
            </w:pPr>
            <w:r w:rsidRPr="00E804BE">
              <w:rPr>
                <w:rFonts w:ascii="Arial Narrow" w:hAnsi="Arial Narrow"/>
                <w:sz w:val="20"/>
              </w:rPr>
              <w:t>-</w:t>
            </w:r>
          </w:p>
        </w:tc>
        <w:tc>
          <w:tcPr>
            <w:tcW w:w="983" w:type="dxa"/>
            <w:vAlign w:val="center"/>
          </w:tcPr>
          <w:p w:rsidR="000C280E" w:rsidRPr="00E804BE" w:rsidRDefault="000C280E" w:rsidP="00826A3D">
            <w:pPr>
              <w:widowControl/>
              <w:jc w:val="center"/>
              <w:rPr>
                <w:rFonts w:ascii="Arial Narrow" w:hAnsi="Arial Narrow"/>
                <w:sz w:val="20"/>
              </w:rPr>
            </w:pPr>
            <w:r>
              <w:rPr>
                <w:rFonts w:ascii="Arial Narrow" w:hAnsi="Arial Narrow"/>
                <w:sz w:val="20"/>
              </w:rPr>
              <w:t>-</w:t>
            </w:r>
          </w:p>
        </w:tc>
      </w:tr>
      <w:tr w:rsidR="000C280E" w:rsidRPr="00E804BE" w:rsidTr="00CA5316">
        <w:trPr>
          <w:trHeight w:val="283"/>
        </w:trPr>
        <w:tc>
          <w:tcPr>
            <w:tcW w:w="567" w:type="dxa"/>
            <w:vMerge/>
            <w:tcBorders>
              <w:bottom w:val="double" w:sz="4" w:space="0" w:color="auto"/>
            </w:tcBorders>
            <w:vAlign w:val="center"/>
          </w:tcPr>
          <w:p w:rsidR="000C280E" w:rsidRPr="00E804BE" w:rsidRDefault="000C280E" w:rsidP="00826A3D">
            <w:pPr>
              <w:widowControl/>
              <w:jc w:val="left"/>
              <w:rPr>
                <w:rFonts w:ascii="Arial Narrow" w:hAnsi="Arial Narrow"/>
                <w:sz w:val="20"/>
              </w:rPr>
            </w:pPr>
          </w:p>
        </w:tc>
        <w:tc>
          <w:tcPr>
            <w:tcW w:w="1701" w:type="dxa"/>
            <w:tcBorders>
              <w:bottom w:val="double" w:sz="4" w:space="0" w:color="auto"/>
            </w:tcBorders>
          </w:tcPr>
          <w:p w:rsidR="000C280E" w:rsidRPr="00E804BE" w:rsidRDefault="000C280E" w:rsidP="00826A3D">
            <w:pPr>
              <w:widowControl/>
              <w:rPr>
                <w:rFonts w:ascii="Arial Narrow" w:hAnsi="Arial Narrow"/>
                <w:sz w:val="20"/>
              </w:rPr>
            </w:pPr>
            <w:r>
              <w:rPr>
                <w:rFonts w:ascii="Arial Narrow" w:hAnsi="Arial Narrow"/>
                <w:sz w:val="20"/>
              </w:rPr>
              <w:t>MEASURE 2 (αTNF-naïve)</w:t>
            </w:r>
          </w:p>
        </w:tc>
        <w:tc>
          <w:tcPr>
            <w:tcW w:w="1205" w:type="dxa"/>
            <w:tcBorders>
              <w:bottom w:val="double" w:sz="4" w:space="0" w:color="auto"/>
            </w:tcBorders>
            <w:vAlign w:val="center"/>
          </w:tcPr>
          <w:p w:rsidR="000C280E" w:rsidRPr="00E804BE" w:rsidRDefault="00BD1420" w:rsidP="00826A3D">
            <w:pPr>
              <w:widowControl/>
              <w:jc w:val="center"/>
              <w:rPr>
                <w:rFonts w:ascii="Arial Narrow" w:hAnsi="Arial Narrow"/>
                <w:sz w:val="20"/>
              </w:rPr>
            </w:pPr>
            <w:r>
              <w:rPr>
                <w:rFonts w:ascii="Arial Narrow" w:hAnsi="Arial Narrow"/>
                <w:noProof/>
                <w:color w:val="000000"/>
                <w:sz w:val="20"/>
                <w:highlight w:val="black"/>
              </w:rPr>
              <w:t>'''''''''''''''</w:t>
            </w:r>
            <w:r w:rsidR="000C280E">
              <w:rPr>
                <w:rFonts w:ascii="Arial Narrow" w:hAnsi="Arial Narrow"/>
                <w:sz w:val="20"/>
              </w:rPr>
              <w:t xml:space="preserve"> (</w:t>
            </w:r>
            <w:r>
              <w:rPr>
                <w:rFonts w:ascii="Arial Narrow" w:hAnsi="Arial Narrow"/>
                <w:noProof/>
                <w:color w:val="000000"/>
                <w:sz w:val="20"/>
                <w:highlight w:val="black"/>
              </w:rPr>
              <w:t>''''''''''</w:t>
            </w:r>
            <w:r w:rsidR="000C280E">
              <w:rPr>
                <w:rFonts w:ascii="Arial Narrow" w:hAnsi="Arial Narrow"/>
                <w:sz w:val="20"/>
              </w:rPr>
              <w:t>)</w:t>
            </w:r>
          </w:p>
        </w:tc>
        <w:tc>
          <w:tcPr>
            <w:tcW w:w="1205" w:type="dxa"/>
            <w:tcBorders>
              <w:bottom w:val="double" w:sz="4" w:space="0" w:color="auto"/>
            </w:tcBorders>
            <w:vAlign w:val="center"/>
          </w:tcPr>
          <w:p w:rsidR="000C280E" w:rsidRPr="00E804BE" w:rsidRDefault="00BD1420" w:rsidP="00826A3D">
            <w:pPr>
              <w:widowControl/>
              <w:jc w:val="center"/>
              <w:rPr>
                <w:rFonts w:ascii="Arial Narrow" w:hAnsi="Arial Narrow"/>
                <w:sz w:val="20"/>
              </w:rPr>
            </w:pPr>
            <w:r>
              <w:rPr>
                <w:rFonts w:ascii="Arial Narrow" w:hAnsi="Arial Narrow"/>
                <w:noProof/>
                <w:color w:val="000000"/>
                <w:sz w:val="20"/>
                <w:highlight w:val="black"/>
              </w:rPr>
              <w:t>'''''''''''</w:t>
            </w:r>
            <w:r w:rsidR="000C280E">
              <w:rPr>
                <w:rFonts w:ascii="Arial Narrow" w:hAnsi="Arial Narrow"/>
                <w:sz w:val="20"/>
              </w:rPr>
              <w:t xml:space="preserve"> (</w:t>
            </w:r>
            <w:r>
              <w:rPr>
                <w:rFonts w:ascii="Arial Narrow" w:hAnsi="Arial Narrow"/>
                <w:noProof/>
                <w:color w:val="000000"/>
                <w:sz w:val="20"/>
                <w:highlight w:val="black"/>
              </w:rPr>
              <w:t>'''''''</w:t>
            </w:r>
            <w:r w:rsidR="000C280E">
              <w:rPr>
                <w:rFonts w:ascii="Arial Narrow" w:hAnsi="Arial Narrow"/>
                <w:sz w:val="20"/>
              </w:rPr>
              <w:t>)</w:t>
            </w:r>
          </w:p>
        </w:tc>
        <w:tc>
          <w:tcPr>
            <w:tcW w:w="1559" w:type="dxa"/>
            <w:tcBorders>
              <w:bottom w:val="double" w:sz="4" w:space="0" w:color="auto"/>
            </w:tcBorders>
            <w:vAlign w:val="center"/>
          </w:tcPr>
          <w:p w:rsidR="000C280E" w:rsidRPr="00E804BE" w:rsidRDefault="00BD1420" w:rsidP="00826A3D">
            <w:pPr>
              <w:widowControl/>
              <w:jc w:val="center"/>
              <w:rPr>
                <w:rFonts w:ascii="Arial Narrow" w:hAnsi="Arial Narrow"/>
                <w:b/>
                <w:sz w:val="20"/>
              </w:rPr>
            </w:pPr>
            <w:r>
              <w:rPr>
                <w:rFonts w:ascii="Arial Narrow" w:hAnsi="Arial Narrow"/>
                <w:b/>
                <w:noProof/>
                <w:color w:val="000000"/>
                <w:sz w:val="20"/>
                <w:highlight w:val="black"/>
              </w:rPr>
              <w:t>'''''''''</w:t>
            </w:r>
            <w:r w:rsidR="000C280E">
              <w:rPr>
                <w:rFonts w:ascii="Arial Narrow" w:hAnsi="Arial Narrow"/>
                <w:b/>
                <w:sz w:val="20"/>
              </w:rPr>
              <w:t xml:space="preserve"> (</w:t>
            </w:r>
            <w:r>
              <w:rPr>
                <w:rFonts w:ascii="Arial Narrow" w:hAnsi="Arial Narrow"/>
                <w:b/>
                <w:noProof/>
                <w:color w:val="000000"/>
                <w:sz w:val="20"/>
                <w:highlight w:val="black"/>
              </w:rPr>
              <w:t>'''''''''</w:t>
            </w:r>
            <w:r w:rsidR="000C280E">
              <w:rPr>
                <w:rFonts w:ascii="Arial Narrow" w:hAnsi="Arial Narrow"/>
                <w:b/>
                <w:sz w:val="20"/>
              </w:rPr>
              <w:t xml:space="preserve">, </w:t>
            </w:r>
            <w:r>
              <w:rPr>
                <w:rFonts w:ascii="Arial Narrow" w:hAnsi="Arial Narrow"/>
                <w:b/>
                <w:noProof/>
                <w:color w:val="000000"/>
                <w:sz w:val="20"/>
                <w:highlight w:val="black"/>
              </w:rPr>
              <w:t>'''''''''''</w:t>
            </w:r>
            <w:r w:rsidR="000C280E">
              <w:rPr>
                <w:rFonts w:ascii="Arial Narrow" w:hAnsi="Arial Narrow"/>
                <w:b/>
                <w:sz w:val="20"/>
              </w:rPr>
              <w:t>)</w:t>
            </w:r>
          </w:p>
        </w:tc>
        <w:tc>
          <w:tcPr>
            <w:tcW w:w="1125" w:type="dxa"/>
            <w:tcBorders>
              <w:bottom w:val="double" w:sz="4" w:space="0" w:color="auto"/>
            </w:tcBorders>
            <w:vAlign w:val="center"/>
          </w:tcPr>
          <w:p w:rsidR="000C280E" w:rsidRPr="00E804BE" w:rsidRDefault="000C280E" w:rsidP="00826A3D">
            <w:pPr>
              <w:widowControl/>
              <w:jc w:val="center"/>
              <w:rPr>
                <w:rFonts w:ascii="Arial Narrow" w:hAnsi="Arial Narrow"/>
                <w:sz w:val="20"/>
              </w:rPr>
            </w:pPr>
            <w:r>
              <w:rPr>
                <w:rFonts w:ascii="Arial Narrow" w:hAnsi="Arial Narrow"/>
                <w:sz w:val="20"/>
              </w:rPr>
              <w:t>-</w:t>
            </w:r>
          </w:p>
        </w:tc>
        <w:tc>
          <w:tcPr>
            <w:tcW w:w="983" w:type="dxa"/>
            <w:tcBorders>
              <w:bottom w:val="double" w:sz="4" w:space="0" w:color="auto"/>
            </w:tcBorders>
            <w:vAlign w:val="center"/>
          </w:tcPr>
          <w:p w:rsidR="000C280E" w:rsidRPr="00E804BE" w:rsidRDefault="000C280E" w:rsidP="00826A3D">
            <w:pPr>
              <w:widowControl/>
              <w:jc w:val="center"/>
              <w:rPr>
                <w:rFonts w:ascii="Arial Narrow" w:hAnsi="Arial Narrow"/>
                <w:sz w:val="20"/>
              </w:rPr>
            </w:pPr>
            <w:r>
              <w:rPr>
                <w:rFonts w:ascii="Arial Narrow" w:hAnsi="Arial Narrow"/>
                <w:sz w:val="20"/>
              </w:rPr>
              <w:t>-</w:t>
            </w:r>
          </w:p>
        </w:tc>
      </w:tr>
      <w:tr w:rsidR="000C280E" w:rsidRPr="00E804BE" w:rsidTr="00CA5316">
        <w:trPr>
          <w:trHeight w:val="283"/>
        </w:trPr>
        <w:tc>
          <w:tcPr>
            <w:tcW w:w="567" w:type="dxa"/>
            <w:vMerge w:val="restart"/>
            <w:tcBorders>
              <w:top w:val="double" w:sz="4" w:space="0" w:color="auto"/>
            </w:tcBorders>
            <w:vAlign w:val="center"/>
          </w:tcPr>
          <w:p w:rsidR="000C280E" w:rsidRPr="00E804BE" w:rsidRDefault="000C280E" w:rsidP="00826A3D">
            <w:pPr>
              <w:widowControl/>
              <w:jc w:val="left"/>
              <w:rPr>
                <w:rFonts w:ascii="Arial Narrow" w:hAnsi="Arial Narrow"/>
                <w:sz w:val="20"/>
              </w:rPr>
            </w:pPr>
            <w:r>
              <w:rPr>
                <w:rFonts w:ascii="Arial Narrow" w:hAnsi="Arial Narrow"/>
                <w:sz w:val="20"/>
              </w:rPr>
              <w:t>ADA</w:t>
            </w:r>
          </w:p>
        </w:tc>
        <w:tc>
          <w:tcPr>
            <w:tcW w:w="1701" w:type="dxa"/>
          </w:tcPr>
          <w:p w:rsidR="000C280E" w:rsidRPr="003A7487" w:rsidRDefault="000C280E" w:rsidP="00826A3D">
            <w:pPr>
              <w:widowControl/>
              <w:jc w:val="left"/>
              <w:rPr>
                <w:rFonts w:ascii="Arial Narrow" w:hAnsi="Arial Narrow"/>
                <w:sz w:val="20"/>
                <w:lang w:val="es-ES_tradnl"/>
              </w:rPr>
            </w:pPr>
            <w:r w:rsidRPr="003A7487">
              <w:rPr>
                <w:rFonts w:ascii="Arial Narrow" w:hAnsi="Arial Narrow" w:cstheme="minorBidi"/>
                <w:sz w:val="20"/>
                <w:lang w:val="es-ES_tradnl"/>
              </w:rPr>
              <w:t>Van der Heijde 2006a (ATLAS)</w:t>
            </w:r>
          </w:p>
        </w:tc>
        <w:tc>
          <w:tcPr>
            <w:tcW w:w="1205" w:type="dxa"/>
            <w:vAlign w:val="center"/>
          </w:tcPr>
          <w:p w:rsidR="000C280E" w:rsidRPr="00E804BE" w:rsidRDefault="000C280E" w:rsidP="00826A3D">
            <w:pPr>
              <w:widowControl/>
              <w:jc w:val="center"/>
              <w:rPr>
                <w:rFonts w:ascii="Arial Narrow" w:hAnsi="Arial Narrow" w:cstheme="minorBidi"/>
                <w:sz w:val="20"/>
                <w:lang w:val="es-ES_tradnl"/>
              </w:rPr>
            </w:pPr>
            <w:r>
              <w:rPr>
                <w:rFonts w:ascii="Arial Narrow" w:hAnsi="Arial Narrow" w:cstheme="minorBidi"/>
                <w:sz w:val="20"/>
                <w:lang w:val="es-ES_tradnl"/>
              </w:rPr>
              <w:t>94/208 (45.2)</w:t>
            </w:r>
          </w:p>
        </w:tc>
        <w:tc>
          <w:tcPr>
            <w:tcW w:w="1205" w:type="dxa"/>
            <w:vAlign w:val="center"/>
          </w:tcPr>
          <w:p w:rsidR="000C280E" w:rsidRPr="00E804BE" w:rsidRDefault="000C280E" w:rsidP="00826A3D">
            <w:pPr>
              <w:widowControl/>
              <w:jc w:val="center"/>
              <w:rPr>
                <w:rFonts w:ascii="Arial Narrow" w:hAnsi="Arial Narrow" w:cstheme="minorBidi"/>
                <w:sz w:val="20"/>
                <w:lang w:val="es-ES_tradnl"/>
              </w:rPr>
            </w:pPr>
            <w:r>
              <w:rPr>
                <w:rFonts w:ascii="Arial Narrow" w:hAnsi="Arial Narrow" w:cstheme="minorBidi"/>
                <w:sz w:val="20"/>
                <w:lang w:val="es-ES_tradnl"/>
              </w:rPr>
              <w:t>17/107 (15.9)</w:t>
            </w:r>
          </w:p>
        </w:tc>
        <w:tc>
          <w:tcPr>
            <w:tcW w:w="1559" w:type="dxa"/>
            <w:vAlign w:val="center"/>
          </w:tcPr>
          <w:p w:rsidR="000C280E" w:rsidRPr="00E804BE" w:rsidRDefault="000C280E" w:rsidP="00826A3D">
            <w:pPr>
              <w:widowControl/>
              <w:jc w:val="center"/>
              <w:rPr>
                <w:rFonts w:ascii="Arial Narrow" w:hAnsi="Arial Narrow" w:cstheme="minorBidi"/>
                <w:b/>
                <w:sz w:val="20"/>
                <w:lang w:val="es-ES_tradnl"/>
              </w:rPr>
            </w:pPr>
            <w:r>
              <w:rPr>
                <w:rFonts w:ascii="Arial Narrow" w:hAnsi="Arial Narrow" w:cstheme="minorBidi"/>
                <w:b/>
                <w:sz w:val="20"/>
                <w:lang w:val="es-ES_tradnl"/>
              </w:rPr>
              <w:t>2.84 (1.79, 4.51)</w:t>
            </w:r>
          </w:p>
        </w:tc>
        <w:tc>
          <w:tcPr>
            <w:tcW w:w="1125" w:type="dxa"/>
            <w:vMerge w:val="restart"/>
            <w:vAlign w:val="center"/>
          </w:tcPr>
          <w:p w:rsidR="000C280E" w:rsidRDefault="000C280E" w:rsidP="00826A3D">
            <w:pPr>
              <w:widowControl/>
              <w:jc w:val="center"/>
              <w:rPr>
                <w:rFonts w:ascii="Arial Narrow" w:hAnsi="Arial Narrow" w:cstheme="minorBidi"/>
                <w:sz w:val="20"/>
                <w:lang w:val="es-ES_tradnl"/>
              </w:rPr>
            </w:pPr>
            <w:r>
              <w:rPr>
                <w:rFonts w:ascii="Arial Narrow" w:hAnsi="Arial Narrow" w:cstheme="minorBidi"/>
                <w:sz w:val="20"/>
                <w:lang w:val="es-ES_tradnl"/>
              </w:rPr>
              <w:t>1.61</w:t>
            </w:r>
          </w:p>
          <w:p w:rsidR="000C280E" w:rsidRPr="00E804BE" w:rsidRDefault="000C280E" w:rsidP="00826A3D">
            <w:pPr>
              <w:widowControl/>
              <w:jc w:val="center"/>
              <w:rPr>
                <w:rFonts w:ascii="Arial Narrow" w:hAnsi="Arial Narrow" w:cstheme="minorBidi"/>
                <w:sz w:val="20"/>
                <w:lang w:val="es-ES_tradnl"/>
              </w:rPr>
            </w:pPr>
            <w:r>
              <w:rPr>
                <w:rFonts w:ascii="Arial Narrow" w:hAnsi="Arial Narrow" w:cstheme="minorBidi"/>
                <w:sz w:val="20"/>
                <w:lang w:val="es-ES_tradnl"/>
              </w:rPr>
              <w:t>(0.62, 4.24)</w:t>
            </w:r>
          </w:p>
        </w:tc>
        <w:tc>
          <w:tcPr>
            <w:tcW w:w="983" w:type="dxa"/>
            <w:vMerge w:val="restart"/>
            <w:vAlign w:val="center"/>
          </w:tcPr>
          <w:p w:rsidR="000C280E" w:rsidRDefault="000C280E" w:rsidP="00826A3D">
            <w:pPr>
              <w:widowControl/>
              <w:jc w:val="center"/>
              <w:rPr>
                <w:rFonts w:ascii="Arial Narrow" w:hAnsi="Arial Narrow" w:cstheme="minorBidi"/>
                <w:sz w:val="20"/>
                <w:lang w:val="es-ES_tradnl"/>
              </w:rPr>
            </w:pPr>
            <w:r>
              <w:rPr>
                <w:rFonts w:ascii="Arial Narrow" w:hAnsi="Arial Narrow" w:cstheme="minorBidi"/>
                <w:sz w:val="20"/>
                <w:lang w:val="es-ES_tradnl"/>
              </w:rPr>
              <w:t>1.86</w:t>
            </w:r>
          </w:p>
          <w:p w:rsidR="000C280E" w:rsidRPr="00E804BE" w:rsidRDefault="000C280E" w:rsidP="00826A3D">
            <w:pPr>
              <w:widowControl/>
              <w:jc w:val="center"/>
              <w:rPr>
                <w:rFonts w:ascii="Arial Narrow" w:hAnsi="Arial Narrow" w:cstheme="minorBidi"/>
                <w:sz w:val="20"/>
                <w:lang w:val="es-ES_tradnl"/>
              </w:rPr>
            </w:pPr>
            <w:r>
              <w:rPr>
                <w:rFonts w:ascii="Arial Narrow" w:hAnsi="Arial Narrow" w:cstheme="minorBidi"/>
                <w:sz w:val="20"/>
                <w:lang w:val="es-ES_tradnl"/>
              </w:rPr>
              <w:t>(0.56, 6.19)</w:t>
            </w:r>
          </w:p>
        </w:tc>
      </w:tr>
      <w:tr w:rsidR="000C280E" w:rsidRPr="00E804BE" w:rsidTr="00CA5316">
        <w:trPr>
          <w:trHeight w:val="283"/>
        </w:trPr>
        <w:tc>
          <w:tcPr>
            <w:tcW w:w="567" w:type="dxa"/>
            <w:vMerge/>
            <w:vAlign w:val="center"/>
          </w:tcPr>
          <w:p w:rsidR="000C280E" w:rsidRPr="00E804BE" w:rsidRDefault="000C280E" w:rsidP="00826A3D">
            <w:pPr>
              <w:widowControl/>
              <w:jc w:val="left"/>
              <w:rPr>
                <w:rFonts w:ascii="Arial Narrow" w:hAnsi="Arial Narrow"/>
                <w:sz w:val="20"/>
              </w:rPr>
            </w:pPr>
          </w:p>
        </w:tc>
        <w:tc>
          <w:tcPr>
            <w:tcW w:w="1701" w:type="dxa"/>
          </w:tcPr>
          <w:p w:rsidR="000C280E" w:rsidRPr="00E804BE" w:rsidRDefault="000C280E" w:rsidP="00826A3D">
            <w:pPr>
              <w:widowControl/>
              <w:rPr>
                <w:rFonts w:ascii="Arial Narrow" w:hAnsi="Arial Narrow"/>
                <w:sz w:val="20"/>
              </w:rPr>
            </w:pPr>
            <w:r w:rsidRPr="00E804BE">
              <w:rPr>
                <w:rFonts w:ascii="Arial Narrow" w:hAnsi="Arial Narrow" w:cstheme="minorBidi"/>
                <w:sz w:val="20"/>
              </w:rPr>
              <w:t>Huang 2014</w:t>
            </w:r>
          </w:p>
        </w:tc>
        <w:tc>
          <w:tcPr>
            <w:tcW w:w="1205" w:type="dxa"/>
            <w:vAlign w:val="center"/>
          </w:tcPr>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114/229 (49.8)</w:t>
            </w:r>
          </w:p>
        </w:tc>
        <w:tc>
          <w:tcPr>
            <w:tcW w:w="1205" w:type="dxa"/>
            <w:vAlign w:val="center"/>
          </w:tcPr>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19/115 (16.5)</w:t>
            </w:r>
          </w:p>
        </w:tc>
        <w:tc>
          <w:tcPr>
            <w:tcW w:w="1559" w:type="dxa"/>
            <w:vAlign w:val="center"/>
          </w:tcPr>
          <w:p w:rsidR="000C280E" w:rsidRPr="00E804BE" w:rsidRDefault="000C280E" w:rsidP="00826A3D">
            <w:pPr>
              <w:widowControl/>
              <w:jc w:val="center"/>
              <w:rPr>
                <w:rFonts w:ascii="Arial Narrow" w:hAnsi="Arial Narrow" w:cstheme="minorBidi"/>
                <w:b/>
                <w:sz w:val="20"/>
              </w:rPr>
            </w:pPr>
            <w:r>
              <w:rPr>
                <w:rFonts w:ascii="Arial Narrow" w:hAnsi="Arial Narrow" w:cstheme="minorBidi"/>
                <w:b/>
                <w:sz w:val="20"/>
              </w:rPr>
              <w:t>3.01 (1.96, 4.64)</w:t>
            </w:r>
          </w:p>
        </w:tc>
        <w:tc>
          <w:tcPr>
            <w:tcW w:w="1125" w:type="dxa"/>
            <w:vMerge/>
            <w:vAlign w:val="center"/>
          </w:tcPr>
          <w:p w:rsidR="000C280E" w:rsidRPr="00E804BE" w:rsidRDefault="000C280E" w:rsidP="00826A3D">
            <w:pPr>
              <w:widowControl/>
              <w:jc w:val="center"/>
              <w:rPr>
                <w:rFonts w:ascii="Arial Narrow" w:hAnsi="Arial Narrow" w:cstheme="minorBidi"/>
                <w:sz w:val="20"/>
              </w:rPr>
            </w:pPr>
          </w:p>
        </w:tc>
        <w:tc>
          <w:tcPr>
            <w:tcW w:w="983" w:type="dxa"/>
            <w:vMerge/>
            <w:vAlign w:val="center"/>
          </w:tcPr>
          <w:p w:rsidR="000C280E" w:rsidRPr="00E804BE" w:rsidRDefault="000C280E" w:rsidP="00826A3D">
            <w:pPr>
              <w:widowControl/>
              <w:jc w:val="center"/>
              <w:rPr>
                <w:rFonts w:ascii="Arial Narrow" w:hAnsi="Arial Narrow" w:cstheme="minorBidi"/>
                <w:sz w:val="20"/>
              </w:rPr>
            </w:pPr>
          </w:p>
        </w:tc>
      </w:tr>
      <w:tr w:rsidR="000C280E" w:rsidRPr="00E804BE" w:rsidTr="00CA5316">
        <w:trPr>
          <w:trHeight w:val="283"/>
        </w:trPr>
        <w:tc>
          <w:tcPr>
            <w:tcW w:w="567" w:type="dxa"/>
            <w:vMerge/>
            <w:vAlign w:val="center"/>
          </w:tcPr>
          <w:p w:rsidR="000C280E" w:rsidRPr="00E804BE" w:rsidRDefault="000C280E" w:rsidP="00826A3D">
            <w:pPr>
              <w:widowControl/>
              <w:jc w:val="left"/>
              <w:rPr>
                <w:rFonts w:ascii="Arial Narrow" w:hAnsi="Arial Narrow"/>
                <w:sz w:val="20"/>
              </w:rPr>
            </w:pPr>
          </w:p>
        </w:tc>
        <w:tc>
          <w:tcPr>
            <w:tcW w:w="4111" w:type="dxa"/>
            <w:gridSpan w:val="3"/>
            <w:vAlign w:val="center"/>
          </w:tcPr>
          <w:p w:rsidR="000C280E" w:rsidRPr="00337D90" w:rsidRDefault="000C280E" w:rsidP="00826A3D">
            <w:pPr>
              <w:widowControl/>
              <w:jc w:val="right"/>
              <w:rPr>
                <w:rFonts w:ascii="Arial Narrow" w:hAnsi="Arial Narrow" w:cstheme="minorBidi"/>
                <w:sz w:val="20"/>
                <w:vertAlign w:val="superscript"/>
              </w:rPr>
            </w:pPr>
            <w:r w:rsidRPr="00E804BE">
              <w:rPr>
                <w:rFonts w:ascii="Arial Narrow" w:hAnsi="Arial Narrow" w:cstheme="minorBidi"/>
                <w:sz w:val="20"/>
              </w:rPr>
              <w:t>Meta-analysis</w:t>
            </w:r>
            <w:r>
              <w:rPr>
                <w:rFonts w:ascii="Arial Narrow" w:hAnsi="Arial Narrow" w:cstheme="minorBidi"/>
                <w:sz w:val="20"/>
              </w:rPr>
              <w:t xml:space="preserve"> (ADA)</w:t>
            </w:r>
            <w:r>
              <w:rPr>
                <w:rFonts w:ascii="Arial Narrow" w:hAnsi="Arial Narrow" w:cstheme="minorBidi"/>
                <w:sz w:val="20"/>
                <w:vertAlign w:val="superscript"/>
              </w:rPr>
              <w:t>d</w:t>
            </w:r>
          </w:p>
        </w:tc>
        <w:tc>
          <w:tcPr>
            <w:tcW w:w="1559" w:type="dxa"/>
            <w:vAlign w:val="center"/>
          </w:tcPr>
          <w:p w:rsidR="000C280E" w:rsidRPr="005E3435" w:rsidRDefault="000C280E" w:rsidP="00826A3D">
            <w:pPr>
              <w:widowControl/>
              <w:jc w:val="center"/>
              <w:rPr>
                <w:rFonts w:ascii="Arial Narrow" w:hAnsi="Arial Narrow" w:cstheme="minorBidi"/>
                <w:b/>
                <w:sz w:val="20"/>
              </w:rPr>
            </w:pPr>
            <w:r w:rsidRPr="005E3435">
              <w:rPr>
                <w:rFonts w:ascii="Arial Narrow" w:hAnsi="Arial Narrow" w:cstheme="minorBidi"/>
                <w:b/>
                <w:sz w:val="20"/>
              </w:rPr>
              <w:t>2.93 (2.14, 4.02)</w:t>
            </w:r>
          </w:p>
        </w:tc>
        <w:tc>
          <w:tcPr>
            <w:tcW w:w="1125" w:type="dxa"/>
            <w:vMerge/>
            <w:vAlign w:val="center"/>
          </w:tcPr>
          <w:p w:rsidR="000C280E" w:rsidRPr="00E804BE" w:rsidRDefault="000C280E" w:rsidP="00826A3D">
            <w:pPr>
              <w:widowControl/>
              <w:jc w:val="center"/>
              <w:rPr>
                <w:rFonts w:ascii="Arial Narrow" w:hAnsi="Arial Narrow" w:cstheme="minorBidi"/>
                <w:sz w:val="20"/>
              </w:rPr>
            </w:pPr>
          </w:p>
        </w:tc>
        <w:tc>
          <w:tcPr>
            <w:tcW w:w="983" w:type="dxa"/>
            <w:vMerge/>
            <w:vAlign w:val="center"/>
          </w:tcPr>
          <w:p w:rsidR="000C280E" w:rsidRPr="00E804BE" w:rsidRDefault="000C280E" w:rsidP="00826A3D">
            <w:pPr>
              <w:widowControl/>
              <w:jc w:val="center"/>
              <w:rPr>
                <w:rFonts w:ascii="Arial Narrow" w:hAnsi="Arial Narrow" w:cstheme="minorBidi"/>
                <w:sz w:val="20"/>
              </w:rPr>
            </w:pPr>
          </w:p>
        </w:tc>
      </w:tr>
      <w:tr w:rsidR="000C280E" w:rsidRPr="00E804BE" w:rsidTr="00CA5316">
        <w:trPr>
          <w:trHeight w:val="283"/>
        </w:trPr>
        <w:tc>
          <w:tcPr>
            <w:tcW w:w="567" w:type="dxa"/>
            <w:vMerge w:val="restart"/>
            <w:vAlign w:val="center"/>
          </w:tcPr>
          <w:p w:rsidR="000C280E" w:rsidRPr="00E804BE" w:rsidRDefault="000C280E" w:rsidP="00826A3D">
            <w:pPr>
              <w:widowControl/>
              <w:jc w:val="left"/>
              <w:rPr>
                <w:rFonts w:ascii="Arial Narrow" w:hAnsi="Arial Narrow"/>
                <w:sz w:val="20"/>
              </w:rPr>
            </w:pPr>
            <w:r w:rsidRPr="00E804BE">
              <w:rPr>
                <w:rFonts w:ascii="Arial Narrow" w:hAnsi="Arial Narrow"/>
                <w:sz w:val="20"/>
              </w:rPr>
              <w:t>ETC25</w:t>
            </w:r>
          </w:p>
        </w:tc>
        <w:tc>
          <w:tcPr>
            <w:tcW w:w="1701" w:type="dxa"/>
          </w:tcPr>
          <w:p w:rsidR="000C280E" w:rsidRPr="005E3435" w:rsidRDefault="000C280E" w:rsidP="00826A3D">
            <w:pPr>
              <w:widowControl/>
              <w:rPr>
                <w:rFonts w:ascii="Arial Narrow" w:hAnsi="Arial Narrow"/>
                <w:i/>
                <w:sz w:val="20"/>
              </w:rPr>
            </w:pPr>
            <w:r w:rsidRPr="005E3435">
              <w:rPr>
                <w:rFonts w:ascii="Arial Narrow" w:hAnsi="Arial Narrow"/>
                <w:i/>
                <w:sz w:val="20"/>
              </w:rPr>
              <w:t>Barkham 2010</w:t>
            </w:r>
          </w:p>
        </w:tc>
        <w:tc>
          <w:tcPr>
            <w:tcW w:w="1205" w:type="dxa"/>
            <w:vAlign w:val="center"/>
          </w:tcPr>
          <w:p w:rsidR="000C280E" w:rsidRPr="005E3435" w:rsidRDefault="000C280E" w:rsidP="00826A3D">
            <w:pPr>
              <w:widowControl/>
              <w:jc w:val="center"/>
              <w:rPr>
                <w:rFonts w:ascii="Arial Narrow" w:hAnsi="Arial Narrow"/>
                <w:i/>
                <w:sz w:val="20"/>
              </w:rPr>
            </w:pPr>
            <w:r>
              <w:rPr>
                <w:rFonts w:ascii="Arial Narrow" w:hAnsi="Arial Narrow"/>
                <w:i/>
                <w:sz w:val="20"/>
              </w:rPr>
              <w:t>7/20 (35.0)</w:t>
            </w:r>
          </w:p>
        </w:tc>
        <w:tc>
          <w:tcPr>
            <w:tcW w:w="1205" w:type="dxa"/>
            <w:vAlign w:val="center"/>
          </w:tcPr>
          <w:p w:rsidR="000C280E" w:rsidRPr="005E3435" w:rsidRDefault="000C280E" w:rsidP="00826A3D">
            <w:pPr>
              <w:widowControl/>
              <w:jc w:val="center"/>
              <w:rPr>
                <w:rFonts w:ascii="Arial Narrow" w:hAnsi="Arial Narrow"/>
                <w:i/>
                <w:sz w:val="20"/>
              </w:rPr>
            </w:pPr>
            <w:r>
              <w:rPr>
                <w:rFonts w:ascii="Arial Narrow" w:hAnsi="Arial Narrow"/>
                <w:i/>
                <w:sz w:val="20"/>
              </w:rPr>
              <w:t>1/20 (5.0)</w:t>
            </w:r>
          </w:p>
        </w:tc>
        <w:tc>
          <w:tcPr>
            <w:tcW w:w="1559" w:type="dxa"/>
            <w:vAlign w:val="center"/>
          </w:tcPr>
          <w:p w:rsidR="000C280E" w:rsidRPr="00141AC4" w:rsidRDefault="000C280E" w:rsidP="00826A3D">
            <w:pPr>
              <w:widowControl/>
              <w:jc w:val="center"/>
              <w:rPr>
                <w:rFonts w:ascii="Arial Narrow" w:hAnsi="Arial Narrow"/>
                <w:bCs/>
                <w:i/>
                <w:sz w:val="20"/>
              </w:rPr>
            </w:pPr>
            <w:r w:rsidRPr="00141AC4">
              <w:rPr>
                <w:rFonts w:ascii="Arial Narrow" w:hAnsi="Arial Narrow"/>
                <w:bCs/>
                <w:i/>
                <w:sz w:val="20"/>
              </w:rPr>
              <w:t>7.00 (0.95, 51.80)</w:t>
            </w:r>
          </w:p>
        </w:tc>
        <w:tc>
          <w:tcPr>
            <w:tcW w:w="1125" w:type="dxa"/>
            <w:vMerge w:val="restart"/>
            <w:vAlign w:val="center"/>
          </w:tcPr>
          <w:p w:rsidR="000C280E" w:rsidRPr="005E3435" w:rsidRDefault="000C280E" w:rsidP="00826A3D">
            <w:pPr>
              <w:widowControl/>
              <w:jc w:val="center"/>
              <w:rPr>
                <w:rFonts w:ascii="Arial Narrow" w:hAnsi="Arial Narrow"/>
                <w:i/>
                <w:sz w:val="20"/>
              </w:rPr>
            </w:pPr>
            <w:r w:rsidRPr="005E3435">
              <w:rPr>
                <w:rFonts w:ascii="Arial Narrow" w:hAnsi="Arial Narrow"/>
                <w:i/>
                <w:sz w:val="20"/>
              </w:rPr>
              <w:t>1.50</w:t>
            </w:r>
          </w:p>
          <w:p w:rsidR="000C280E" w:rsidRPr="00E804BE" w:rsidRDefault="000C280E" w:rsidP="00826A3D">
            <w:pPr>
              <w:widowControl/>
              <w:jc w:val="center"/>
              <w:rPr>
                <w:rFonts w:ascii="Arial Narrow" w:hAnsi="Arial Narrow"/>
                <w:sz w:val="20"/>
              </w:rPr>
            </w:pPr>
            <w:r w:rsidRPr="005E3435">
              <w:rPr>
                <w:rFonts w:ascii="Arial Narrow" w:hAnsi="Arial Narrow"/>
                <w:i/>
                <w:sz w:val="20"/>
              </w:rPr>
              <w:t>(0.52, 4.34)</w:t>
            </w:r>
          </w:p>
        </w:tc>
        <w:tc>
          <w:tcPr>
            <w:tcW w:w="983" w:type="dxa"/>
            <w:vMerge w:val="restart"/>
            <w:vAlign w:val="center"/>
          </w:tcPr>
          <w:p w:rsidR="000C280E" w:rsidRDefault="000C280E" w:rsidP="00826A3D">
            <w:pPr>
              <w:widowControl/>
              <w:jc w:val="center"/>
              <w:rPr>
                <w:rFonts w:ascii="Arial Narrow" w:hAnsi="Arial Narrow"/>
                <w:i/>
                <w:sz w:val="20"/>
              </w:rPr>
            </w:pPr>
            <w:r>
              <w:rPr>
                <w:rFonts w:ascii="Arial Narrow" w:hAnsi="Arial Narrow"/>
                <w:i/>
                <w:sz w:val="20"/>
              </w:rPr>
              <w:t>1.73</w:t>
            </w:r>
          </w:p>
          <w:p w:rsidR="000C280E" w:rsidRPr="009A3382" w:rsidRDefault="000C280E" w:rsidP="00826A3D">
            <w:pPr>
              <w:widowControl/>
              <w:jc w:val="center"/>
              <w:rPr>
                <w:rFonts w:ascii="Arial Narrow" w:hAnsi="Arial Narrow"/>
                <w:i/>
                <w:sz w:val="20"/>
              </w:rPr>
            </w:pPr>
            <w:r>
              <w:rPr>
                <w:rFonts w:ascii="Arial Narrow" w:hAnsi="Arial Narrow"/>
                <w:i/>
                <w:sz w:val="20"/>
              </w:rPr>
              <w:t>(0.48, 6.23)</w:t>
            </w:r>
          </w:p>
        </w:tc>
      </w:tr>
      <w:tr w:rsidR="000C280E" w:rsidRPr="00E804BE" w:rsidTr="00CA5316">
        <w:trPr>
          <w:trHeight w:val="283"/>
        </w:trPr>
        <w:tc>
          <w:tcPr>
            <w:tcW w:w="567" w:type="dxa"/>
            <w:vMerge/>
            <w:vAlign w:val="center"/>
          </w:tcPr>
          <w:p w:rsidR="000C280E" w:rsidRPr="00E804BE" w:rsidRDefault="000C280E" w:rsidP="00826A3D">
            <w:pPr>
              <w:widowControl/>
              <w:jc w:val="left"/>
              <w:rPr>
                <w:rFonts w:ascii="Arial Narrow" w:hAnsi="Arial Narrow"/>
                <w:sz w:val="20"/>
              </w:rPr>
            </w:pPr>
          </w:p>
        </w:tc>
        <w:tc>
          <w:tcPr>
            <w:tcW w:w="1701" w:type="dxa"/>
          </w:tcPr>
          <w:p w:rsidR="000C280E" w:rsidRPr="005505E2" w:rsidRDefault="000C280E" w:rsidP="00826A3D">
            <w:pPr>
              <w:widowControl/>
              <w:rPr>
                <w:rFonts w:ascii="Arial Narrow" w:hAnsi="Arial Narrow"/>
                <w:i/>
                <w:sz w:val="20"/>
              </w:rPr>
            </w:pPr>
            <w:r w:rsidRPr="005505E2">
              <w:rPr>
                <w:rFonts w:ascii="Arial Narrow" w:hAnsi="Arial Narrow" w:cstheme="minorBidi"/>
                <w:i/>
                <w:sz w:val="20"/>
              </w:rPr>
              <w:t>Van der Heijde 2006b</w:t>
            </w:r>
          </w:p>
        </w:tc>
        <w:tc>
          <w:tcPr>
            <w:tcW w:w="1205" w:type="dxa"/>
            <w:vAlign w:val="center"/>
          </w:tcPr>
          <w:p w:rsidR="000C280E" w:rsidRPr="005E3435" w:rsidRDefault="000C280E" w:rsidP="00826A3D">
            <w:pPr>
              <w:widowControl/>
              <w:jc w:val="center"/>
              <w:rPr>
                <w:rFonts w:ascii="Arial Narrow" w:hAnsi="Arial Narrow" w:cstheme="minorBidi"/>
                <w:sz w:val="20"/>
              </w:rPr>
            </w:pPr>
            <w:r w:rsidRPr="005E3435">
              <w:rPr>
                <w:rFonts w:ascii="Arial Narrow" w:hAnsi="Arial Narrow" w:cstheme="minorBidi"/>
                <w:sz w:val="20"/>
              </w:rPr>
              <w:t>87/150 (58.0)</w:t>
            </w:r>
          </w:p>
        </w:tc>
        <w:tc>
          <w:tcPr>
            <w:tcW w:w="1205" w:type="dxa"/>
            <w:vAlign w:val="center"/>
          </w:tcPr>
          <w:p w:rsidR="000C280E" w:rsidRPr="005E3435" w:rsidRDefault="000C280E" w:rsidP="00826A3D">
            <w:pPr>
              <w:widowControl/>
              <w:jc w:val="center"/>
              <w:rPr>
                <w:rFonts w:ascii="Arial Narrow" w:hAnsi="Arial Narrow" w:cstheme="minorBidi"/>
                <w:sz w:val="20"/>
              </w:rPr>
            </w:pPr>
            <w:r w:rsidRPr="005E3435">
              <w:rPr>
                <w:rFonts w:ascii="Arial Narrow" w:hAnsi="Arial Narrow" w:cstheme="minorBidi"/>
                <w:sz w:val="20"/>
              </w:rPr>
              <w:t>10/51 (19.6)</w:t>
            </w:r>
          </w:p>
        </w:tc>
        <w:tc>
          <w:tcPr>
            <w:tcW w:w="1559" w:type="dxa"/>
            <w:vAlign w:val="center"/>
          </w:tcPr>
          <w:p w:rsidR="000C280E" w:rsidRPr="005E3435" w:rsidRDefault="000C280E" w:rsidP="00826A3D">
            <w:pPr>
              <w:widowControl/>
              <w:jc w:val="center"/>
              <w:rPr>
                <w:rFonts w:ascii="Arial Narrow" w:hAnsi="Arial Narrow" w:cstheme="minorBidi"/>
                <w:b/>
                <w:sz w:val="20"/>
              </w:rPr>
            </w:pPr>
            <w:r>
              <w:rPr>
                <w:rFonts w:ascii="Arial Narrow" w:hAnsi="Arial Narrow" w:cstheme="minorBidi"/>
                <w:b/>
                <w:sz w:val="20"/>
              </w:rPr>
              <w:t>2.96 (1.67, 5.24)</w:t>
            </w:r>
          </w:p>
        </w:tc>
        <w:tc>
          <w:tcPr>
            <w:tcW w:w="1125" w:type="dxa"/>
            <w:vMerge/>
            <w:vAlign w:val="center"/>
          </w:tcPr>
          <w:p w:rsidR="000C280E" w:rsidRPr="00E804BE" w:rsidRDefault="000C280E" w:rsidP="00826A3D">
            <w:pPr>
              <w:widowControl/>
              <w:jc w:val="center"/>
              <w:rPr>
                <w:rFonts w:ascii="Arial Narrow" w:hAnsi="Arial Narrow" w:cstheme="minorBidi"/>
                <w:sz w:val="20"/>
              </w:rPr>
            </w:pPr>
          </w:p>
        </w:tc>
        <w:tc>
          <w:tcPr>
            <w:tcW w:w="983" w:type="dxa"/>
            <w:vMerge/>
            <w:vAlign w:val="center"/>
          </w:tcPr>
          <w:p w:rsidR="000C280E" w:rsidRPr="00E804BE" w:rsidRDefault="000C280E" w:rsidP="00826A3D">
            <w:pPr>
              <w:widowControl/>
              <w:jc w:val="center"/>
              <w:rPr>
                <w:rFonts w:ascii="Arial Narrow" w:hAnsi="Arial Narrow" w:cstheme="minorBidi"/>
                <w:sz w:val="20"/>
              </w:rPr>
            </w:pPr>
          </w:p>
        </w:tc>
      </w:tr>
      <w:tr w:rsidR="000C280E" w:rsidRPr="00E804BE" w:rsidTr="00CA5316">
        <w:trPr>
          <w:trHeight w:val="283"/>
        </w:trPr>
        <w:tc>
          <w:tcPr>
            <w:tcW w:w="567" w:type="dxa"/>
            <w:vMerge/>
            <w:vAlign w:val="center"/>
          </w:tcPr>
          <w:p w:rsidR="000C280E" w:rsidRPr="00E804BE" w:rsidRDefault="000C280E" w:rsidP="00826A3D">
            <w:pPr>
              <w:widowControl/>
              <w:jc w:val="left"/>
              <w:rPr>
                <w:rFonts w:ascii="Arial Narrow" w:hAnsi="Arial Narrow"/>
                <w:sz w:val="20"/>
              </w:rPr>
            </w:pPr>
          </w:p>
        </w:tc>
        <w:tc>
          <w:tcPr>
            <w:tcW w:w="4111" w:type="dxa"/>
            <w:gridSpan w:val="3"/>
            <w:vAlign w:val="center"/>
          </w:tcPr>
          <w:p w:rsidR="000C280E" w:rsidRPr="00337D90" w:rsidRDefault="000C280E" w:rsidP="00826A3D">
            <w:pPr>
              <w:widowControl/>
              <w:jc w:val="right"/>
              <w:rPr>
                <w:rFonts w:ascii="Arial Narrow" w:hAnsi="Arial Narrow" w:cstheme="minorBidi"/>
                <w:sz w:val="20"/>
                <w:vertAlign w:val="superscript"/>
              </w:rPr>
            </w:pPr>
            <w:r>
              <w:rPr>
                <w:rFonts w:ascii="Arial Narrow" w:hAnsi="Arial Narrow" w:cstheme="minorBidi"/>
                <w:sz w:val="20"/>
              </w:rPr>
              <w:t>Meta-analysis (ETC25)</w:t>
            </w:r>
            <w:r>
              <w:rPr>
                <w:rFonts w:ascii="Arial Narrow" w:hAnsi="Arial Narrow" w:cstheme="minorBidi"/>
                <w:sz w:val="20"/>
                <w:vertAlign w:val="superscript"/>
              </w:rPr>
              <w:t>d</w:t>
            </w:r>
          </w:p>
        </w:tc>
        <w:tc>
          <w:tcPr>
            <w:tcW w:w="1559" w:type="dxa"/>
            <w:vAlign w:val="center"/>
          </w:tcPr>
          <w:p w:rsidR="000C280E" w:rsidRPr="005E3435" w:rsidRDefault="000C280E" w:rsidP="00826A3D">
            <w:pPr>
              <w:widowControl/>
              <w:jc w:val="center"/>
              <w:rPr>
                <w:rFonts w:ascii="Arial Narrow" w:hAnsi="Arial Narrow" w:cstheme="minorBidi"/>
                <w:b/>
                <w:i/>
                <w:sz w:val="20"/>
              </w:rPr>
            </w:pPr>
            <w:r w:rsidRPr="005E3435">
              <w:rPr>
                <w:rFonts w:ascii="Arial Narrow" w:hAnsi="Arial Narrow" w:cstheme="minorBidi"/>
                <w:b/>
                <w:i/>
                <w:sz w:val="20"/>
              </w:rPr>
              <w:t>3.16 (1.82, 5.47)</w:t>
            </w:r>
          </w:p>
        </w:tc>
        <w:tc>
          <w:tcPr>
            <w:tcW w:w="1125" w:type="dxa"/>
            <w:vMerge/>
            <w:vAlign w:val="center"/>
          </w:tcPr>
          <w:p w:rsidR="000C280E" w:rsidRPr="00E804BE" w:rsidRDefault="000C280E" w:rsidP="00826A3D">
            <w:pPr>
              <w:widowControl/>
              <w:jc w:val="center"/>
              <w:rPr>
                <w:rFonts w:ascii="Arial Narrow" w:hAnsi="Arial Narrow" w:cstheme="minorBidi"/>
                <w:sz w:val="20"/>
              </w:rPr>
            </w:pPr>
          </w:p>
        </w:tc>
        <w:tc>
          <w:tcPr>
            <w:tcW w:w="983" w:type="dxa"/>
            <w:vMerge/>
            <w:vAlign w:val="center"/>
          </w:tcPr>
          <w:p w:rsidR="000C280E" w:rsidRPr="00E804BE" w:rsidRDefault="000C280E" w:rsidP="00826A3D">
            <w:pPr>
              <w:widowControl/>
              <w:jc w:val="center"/>
              <w:rPr>
                <w:rFonts w:ascii="Arial Narrow" w:hAnsi="Arial Narrow" w:cstheme="minorBidi"/>
                <w:sz w:val="20"/>
              </w:rPr>
            </w:pPr>
          </w:p>
        </w:tc>
      </w:tr>
      <w:tr w:rsidR="000C280E" w:rsidRPr="00E804BE" w:rsidTr="00CA5316">
        <w:trPr>
          <w:trHeight w:val="283"/>
        </w:trPr>
        <w:tc>
          <w:tcPr>
            <w:tcW w:w="567" w:type="dxa"/>
            <w:vMerge w:val="restart"/>
            <w:vAlign w:val="center"/>
          </w:tcPr>
          <w:p w:rsidR="000C280E" w:rsidRPr="00E804BE" w:rsidRDefault="000C280E" w:rsidP="00826A3D">
            <w:pPr>
              <w:widowControl/>
              <w:jc w:val="left"/>
              <w:rPr>
                <w:rFonts w:ascii="Arial Narrow" w:hAnsi="Arial Narrow"/>
                <w:sz w:val="20"/>
              </w:rPr>
            </w:pPr>
            <w:r w:rsidRPr="00E804BE">
              <w:rPr>
                <w:rFonts w:ascii="Arial Narrow" w:hAnsi="Arial Narrow"/>
                <w:sz w:val="20"/>
              </w:rPr>
              <w:t>ETC50</w:t>
            </w:r>
          </w:p>
        </w:tc>
        <w:tc>
          <w:tcPr>
            <w:tcW w:w="1701" w:type="dxa"/>
          </w:tcPr>
          <w:p w:rsidR="000C280E" w:rsidRPr="00E804BE" w:rsidRDefault="000C280E" w:rsidP="00826A3D">
            <w:pPr>
              <w:widowControl/>
              <w:rPr>
                <w:rFonts w:ascii="Arial Narrow" w:hAnsi="Arial Narrow" w:cstheme="minorBidi"/>
                <w:sz w:val="20"/>
              </w:rPr>
            </w:pPr>
            <w:r w:rsidRPr="00E804BE">
              <w:rPr>
                <w:rFonts w:ascii="Arial Narrow" w:hAnsi="Arial Narrow" w:cstheme="minorBidi"/>
                <w:sz w:val="20"/>
              </w:rPr>
              <w:t>Van der Heijde 2006b</w:t>
            </w:r>
          </w:p>
        </w:tc>
        <w:tc>
          <w:tcPr>
            <w:tcW w:w="1205" w:type="dxa"/>
            <w:vAlign w:val="center"/>
          </w:tcPr>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93/155 (60.0)</w:t>
            </w:r>
          </w:p>
        </w:tc>
        <w:tc>
          <w:tcPr>
            <w:tcW w:w="1205" w:type="dxa"/>
            <w:vAlign w:val="center"/>
          </w:tcPr>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10/51 (19.6)</w:t>
            </w:r>
          </w:p>
        </w:tc>
        <w:tc>
          <w:tcPr>
            <w:tcW w:w="1559" w:type="dxa"/>
            <w:vAlign w:val="center"/>
          </w:tcPr>
          <w:p w:rsidR="000C280E" w:rsidRPr="00E804BE" w:rsidRDefault="000C280E" w:rsidP="00826A3D">
            <w:pPr>
              <w:widowControl/>
              <w:jc w:val="center"/>
              <w:rPr>
                <w:rFonts w:ascii="Arial Narrow" w:hAnsi="Arial Narrow" w:cstheme="minorBidi"/>
                <w:b/>
                <w:sz w:val="20"/>
              </w:rPr>
            </w:pPr>
            <w:r>
              <w:rPr>
                <w:rFonts w:ascii="Arial Narrow" w:hAnsi="Arial Narrow" w:cstheme="minorBidi"/>
                <w:b/>
                <w:sz w:val="20"/>
              </w:rPr>
              <w:t>3.06 (1.73, 5.41)</w:t>
            </w:r>
          </w:p>
        </w:tc>
        <w:tc>
          <w:tcPr>
            <w:tcW w:w="1125" w:type="dxa"/>
            <w:vMerge w:val="restart"/>
            <w:vAlign w:val="center"/>
          </w:tcPr>
          <w:p w:rsidR="000C280E" w:rsidRDefault="000C280E" w:rsidP="00826A3D">
            <w:pPr>
              <w:widowControl/>
              <w:jc w:val="center"/>
              <w:rPr>
                <w:rFonts w:ascii="Arial Narrow" w:hAnsi="Arial Narrow" w:cstheme="minorBidi"/>
                <w:sz w:val="20"/>
              </w:rPr>
            </w:pPr>
            <w:r>
              <w:rPr>
                <w:rFonts w:ascii="Arial Narrow" w:hAnsi="Arial Narrow" w:cstheme="minorBidi"/>
                <w:sz w:val="20"/>
              </w:rPr>
              <w:t>1.88</w:t>
            </w:r>
          </w:p>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(0.69, 5.14)</w:t>
            </w:r>
          </w:p>
        </w:tc>
        <w:tc>
          <w:tcPr>
            <w:tcW w:w="983" w:type="dxa"/>
            <w:vMerge w:val="restart"/>
            <w:vAlign w:val="center"/>
          </w:tcPr>
          <w:p w:rsidR="000C280E" w:rsidRDefault="000C280E" w:rsidP="00826A3D">
            <w:pPr>
              <w:widowControl/>
              <w:jc w:val="center"/>
              <w:rPr>
                <w:rFonts w:ascii="Arial Narrow" w:hAnsi="Arial Narrow" w:cstheme="minorBidi"/>
                <w:sz w:val="20"/>
              </w:rPr>
            </w:pPr>
            <w:r>
              <w:rPr>
                <w:rFonts w:ascii="Arial Narrow" w:hAnsi="Arial Narrow" w:cstheme="minorBidi"/>
                <w:sz w:val="20"/>
              </w:rPr>
              <w:t>2.16</w:t>
            </w:r>
          </w:p>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(0.63, 7.46)</w:t>
            </w:r>
          </w:p>
        </w:tc>
      </w:tr>
      <w:tr w:rsidR="000C280E" w:rsidRPr="00E804BE" w:rsidTr="00CA5316">
        <w:trPr>
          <w:trHeight w:val="283"/>
        </w:trPr>
        <w:tc>
          <w:tcPr>
            <w:tcW w:w="567" w:type="dxa"/>
            <w:vMerge/>
            <w:vAlign w:val="center"/>
          </w:tcPr>
          <w:p w:rsidR="000C280E" w:rsidRPr="00E804BE" w:rsidRDefault="000C280E" w:rsidP="00826A3D">
            <w:pPr>
              <w:widowControl/>
              <w:jc w:val="left"/>
              <w:rPr>
                <w:rFonts w:ascii="Arial Narrow" w:hAnsi="Arial Narrow"/>
                <w:sz w:val="20"/>
              </w:rPr>
            </w:pPr>
          </w:p>
        </w:tc>
        <w:tc>
          <w:tcPr>
            <w:tcW w:w="1701" w:type="dxa"/>
          </w:tcPr>
          <w:p w:rsidR="000C280E" w:rsidRPr="00E804BE" w:rsidRDefault="000C280E" w:rsidP="00CA5316">
            <w:pPr>
              <w:widowControl/>
              <w:jc w:val="left"/>
              <w:rPr>
                <w:rFonts w:ascii="Arial Narrow" w:hAnsi="Arial Narrow" w:cstheme="minorBidi"/>
                <w:sz w:val="20"/>
              </w:rPr>
            </w:pPr>
            <w:r>
              <w:rPr>
                <w:rFonts w:ascii="Arial Narrow" w:hAnsi="Arial Narrow" w:cstheme="minorBidi"/>
                <w:sz w:val="20"/>
              </w:rPr>
              <w:t>Dougados 2011 (SPINE)</w:t>
            </w:r>
          </w:p>
        </w:tc>
        <w:tc>
          <w:tcPr>
            <w:tcW w:w="1205" w:type="dxa"/>
            <w:vAlign w:val="center"/>
          </w:tcPr>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18/39 (46.2)</w:t>
            </w:r>
          </w:p>
        </w:tc>
        <w:tc>
          <w:tcPr>
            <w:tcW w:w="1205" w:type="dxa"/>
            <w:vAlign w:val="center"/>
          </w:tcPr>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10/43 (23.3)</w:t>
            </w:r>
          </w:p>
        </w:tc>
        <w:tc>
          <w:tcPr>
            <w:tcW w:w="1559" w:type="dxa"/>
            <w:vAlign w:val="center"/>
          </w:tcPr>
          <w:p w:rsidR="000C280E" w:rsidRPr="00E804BE" w:rsidRDefault="000C280E" w:rsidP="00826A3D">
            <w:pPr>
              <w:widowControl/>
              <w:jc w:val="center"/>
              <w:rPr>
                <w:rFonts w:ascii="Arial Narrow" w:hAnsi="Arial Narrow" w:cstheme="minorBidi"/>
                <w:b/>
                <w:sz w:val="20"/>
              </w:rPr>
            </w:pPr>
            <w:r>
              <w:rPr>
                <w:rFonts w:ascii="Arial Narrow" w:hAnsi="Arial Narrow" w:cstheme="minorBidi"/>
                <w:b/>
                <w:sz w:val="20"/>
              </w:rPr>
              <w:t>1.98 (1.05, 3.76)</w:t>
            </w:r>
          </w:p>
        </w:tc>
        <w:tc>
          <w:tcPr>
            <w:tcW w:w="1125" w:type="dxa"/>
            <w:vMerge/>
            <w:vAlign w:val="center"/>
          </w:tcPr>
          <w:p w:rsidR="000C280E" w:rsidRPr="00E804BE" w:rsidRDefault="000C280E" w:rsidP="00826A3D">
            <w:pPr>
              <w:widowControl/>
              <w:jc w:val="center"/>
              <w:rPr>
                <w:rFonts w:ascii="Arial Narrow" w:hAnsi="Arial Narrow" w:cstheme="minorBidi"/>
                <w:sz w:val="20"/>
              </w:rPr>
            </w:pPr>
          </w:p>
        </w:tc>
        <w:tc>
          <w:tcPr>
            <w:tcW w:w="983" w:type="dxa"/>
            <w:vMerge/>
            <w:vAlign w:val="center"/>
          </w:tcPr>
          <w:p w:rsidR="000C280E" w:rsidRPr="00E804BE" w:rsidRDefault="000C280E" w:rsidP="00826A3D">
            <w:pPr>
              <w:widowControl/>
              <w:jc w:val="center"/>
              <w:rPr>
                <w:rFonts w:ascii="Arial Narrow" w:hAnsi="Arial Narrow" w:cstheme="minorBidi"/>
                <w:sz w:val="20"/>
              </w:rPr>
            </w:pPr>
          </w:p>
        </w:tc>
      </w:tr>
      <w:tr w:rsidR="000C280E" w:rsidRPr="00E804BE" w:rsidTr="00CA5316">
        <w:trPr>
          <w:trHeight w:val="283"/>
        </w:trPr>
        <w:tc>
          <w:tcPr>
            <w:tcW w:w="567" w:type="dxa"/>
            <w:vMerge/>
            <w:vAlign w:val="center"/>
          </w:tcPr>
          <w:p w:rsidR="000C280E" w:rsidRPr="00E804BE" w:rsidRDefault="000C280E" w:rsidP="00826A3D">
            <w:pPr>
              <w:widowControl/>
              <w:jc w:val="left"/>
              <w:rPr>
                <w:rFonts w:ascii="Arial Narrow" w:hAnsi="Arial Narrow"/>
                <w:sz w:val="20"/>
              </w:rPr>
            </w:pPr>
          </w:p>
        </w:tc>
        <w:tc>
          <w:tcPr>
            <w:tcW w:w="4111" w:type="dxa"/>
            <w:gridSpan w:val="3"/>
            <w:vAlign w:val="center"/>
          </w:tcPr>
          <w:p w:rsidR="000C280E" w:rsidRPr="00337D90" w:rsidRDefault="000C280E" w:rsidP="00826A3D">
            <w:pPr>
              <w:widowControl/>
              <w:jc w:val="right"/>
              <w:rPr>
                <w:rFonts w:ascii="Arial Narrow" w:hAnsi="Arial Narrow" w:cstheme="minorBidi"/>
                <w:sz w:val="20"/>
                <w:vertAlign w:val="superscript"/>
              </w:rPr>
            </w:pPr>
            <w:r>
              <w:rPr>
                <w:rFonts w:ascii="Arial Narrow" w:hAnsi="Arial Narrow" w:cstheme="minorBidi"/>
                <w:sz w:val="20"/>
              </w:rPr>
              <w:t>Meta-analysis (ETC50)</w:t>
            </w:r>
            <w:r>
              <w:rPr>
                <w:rFonts w:ascii="Arial Narrow" w:hAnsi="Arial Narrow" w:cstheme="minorBidi"/>
                <w:sz w:val="20"/>
                <w:vertAlign w:val="superscript"/>
              </w:rPr>
              <w:t>d</w:t>
            </w:r>
          </w:p>
        </w:tc>
        <w:tc>
          <w:tcPr>
            <w:tcW w:w="1559" w:type="dxa"/>
            <w:vAlign w:val="center"/>
          </w:tcPr>
          <w:p w:rsidR="000C280E" w:rsidRPr="00E804BE" w:rsidRDefault="000C280E" w:rsidP="00826A3D">
            <w:pPr>
              <w:widowControl/>
              <w:jc w:val="center"/>
              <w:rPr>
                <w:rFonts w:ascii="Arial Narrow" w:hAnsi="Arial Narrow" w:cstheme="minorBidi"/>
                <w:b/>
                <w:sz w:val="20"/>
              </w:rPr>
            </w:pPr>
            <w:r>
              <w:rPr>
                <w:rFonts w:ascii="Arial Narrow" w:hAnsi="Arial Narrow" w:cstheme="minorBidi"/>
                <w:b/>
                <w:sz w:val="20"/>
              </w:rPr>
              <w:t>2.52 (1.64, 3.88)</w:t>
            </w:r>
          </w:p>
        </w:tc>
        <w:tc>
          <w:tcPr>
            <w:tcW w:w="1125" w:type="dxa"/>
            <w:vMerge/>
            <w:vAlign w:val="center"/>
          </w:tcPr>
          <w:p w:rsidR="000C280E" w:rsidRPr="00E804BE" w:rsidRDefault="000C280E" w:rsidP="00826A3D">
            <w:pPr>
              <w:widowControl/>
              <w:jc w:val="center"/>
              <w:rPr>
                <w:rFonts w:ascii="Arial Narrow" w:hAnsi="Arial Narrow" w:cstheme="minorBidi"/>
                <w:sz w:val="20"/>
              </w:rPr>
            </w:pPr>
          </w:p>
        </w:tc>
        <w:tc>
          <w:tcPr>
            <w:tcW w:w="983" w:type="dxa"/>
            <w:vMerge/>
            <w:vAlign w:val="center"/>
          </w:tcPr>
          <w:p w:rsidR="000C280E" w:rsidRPr="00E804BE" w:rsidRDefault="000C280E" w:rsidP="00826A3D">
            <w:pPr>
              <w:widowControl/>
              <w:jc w:val="center"/>
              <w:rPr>
                <w:rFonts w:ascii="Arial Narrow" w:hAnsi="Arial Narrow" w:cstheme="minorBidi"/>
                <w:sz w:val="20"/>
              </w:rPr>
            </w:pPr>
          </w:p>
        </w:tc>
      </w:tr>
      <w:tr w:rsidR="000C280E" w:rsidRPr="00E804BE" w:rsidTr="00CA5316">
        <w:trPr>
          <w:trHeight w:val="283"/>
        </w:trPr>
        <w:tc>
          <w:tcPr>
            <w:tcW w:w="567" w:type="dxa"/>
            <w:vAlign w:val="center"/>
          </w:tcPr>
          <w:p w:rsidR="000C280E" w:rsidRPr="00337D90" w:rsidRDefault="000C280E" w:rsidP="00826A3D">
            <w:pPr>
              <w:widowControl/>
              <w:jc w:val="left"/>
              <w:rPr>
                <w:rFonts w:ascii="Arial Narrow" w:hAnsi="Arial Narrow"/>
                <w:sz w:val="20"/>
                <w:vertAlign w:val="superscript"/>
              </w:rPr>
            </w:pPr>
            <w:r w:rsidRPr="00E804BE">
              <w:rPr>
                <w:rFonts w:ascii="Arial Narrow" w:hAnsi="Arial Narrow"/>
                <w:sz w:val="20"/>
              </w:rPr>
              <w:t>GOL</w:t>
            </w:r>
            <w:r>
              <w:rPr>
                <w:rFonts w:ascii="Arial Narrow" w:hAnsi="Arial Narrow"/>
                <w:sz w:val="20"/>
                <w:vertAlign w:val="superscript"/>
              </w:rPr>
              <w:t>b</w:t>
            </w:r>
          </w:p>
        </w:tc>
        <w:tc>
          <w:tcPr>
            <w:tcW w:w="1701" w:type="dxa"/>
            <w:vAlign w:val="center"/>
          </w:tcPr>
          <w:p w:rsidR="000C280E" w:rsidRPr="00E804BE" w:rsidRDefault="000C280E" w:rsidP="00826A3D">
            <w:pPr>
              <w:widowControl/>
              <w:jc w:val="left"/>
              <w:rPr>
                <w:rFonts w:ascii="Arial Narrow" w:hAnsi="Arial Narrow"/>
                <w:sz w:val="20"/>
              </w:rPr>
            </w:pPr>
            <w:r w:rsidRPr="00E804BE">
              <w:rPr>
                <w:rFonts w:ascii="Arial Narrow" w:hAnsi="Arial Narrow" w:cstheme="minorBidi"/>
                <w:sz w:val="20"/>
              </w:rPr>
              <w:t>Inman 2008 (GO RAISE)</w:t>
            </w:r>
          </w:p>
        </w:tc>
        <w:tc>
          <w:tcPr>
            <w:tcW w:w="1205" w:type="dxa"/>
            <w:vAlign w:val="center"/>
          </w:tcPr>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61/138 (44.2)</w:t>
            </w:r>
          </w:p>
        </w:tc>
        <w:tc>
          <w:tcPr>
            <w:tcW w:w="1205" w:type="dxa"/>
            <w:vAlign w:val="center"/>
          </w:tcPr>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12/78 (15.4)</w:t>
            </w:r>
          </w:p>
        </w:tc>
        <w:tc>
          <w:tcPr>
            <w:tcW w:w="1559" w:type="dxa"/>
            <w:vAlign w:val="center"/>
          </w:tcPr>
          <w:p w:rsidR="000C280E" w:rsidRPr="00337D90" w:rsidRDefault="000C280E" w:rsidP="00826A3D">
            <w:pPr>
              <w:widowControl/>
              <w:jc w:val="center"/>
              <w:rPr>
                <w:rFonts w:ascii="Arial Narrow" w:hAnsi="Arial Narrow" w:cstheme="minorBidi"/>
                <w:b/>
                <w:sz w:val="20"/>
              </w:rPr>
            </w:pPr>
            <w:r>
              <w:rPr>
                <w:rFonts w:ascii="Arial Narrow" w:hAnsi="Arial Narrow" w:cstheme="minorBidi"/>
                <w:b/>
                <w:sz w:val="20"/>
              </w:rPr>
              <w:t>2.87 (1.65, 5.00)</w:t>
            </w:r>
          </w:p>
        </w:tc>
        <w:tc>
          <w:tcPr>
            <w:tcW w:w="1125" w:type="dxa"/>
            <w:vAlign w:val="center"/>
          </w:tcPr>
          <w:p w:rsidR="000C280E" w:rsidRDefault="000C280E" w:rsidP="00826A3D">
            <w:pPr>
              <w:widowControl/>
              <w:jc w:val="center"/>
              <w:rPr>
                <w:rFonts w:ascii="Arial Narrow" w:hAnsi="Arial Narrow" w:cstheme="minorBidi"/>
                <w:sz w:val="20"/>
              </w:rPr>
            </w:pPr>
            <w:r>
              <w:rPr>
                <w:rFonts w:ascii="Arial Narrow" w:hAnsi="Arial Narrow" w:cstheme="minorBidi"/>
                <w:sz w:val="20"/>
              </w:rPr>
              <w:t>1.65</w:t>
            </w:r>
          </w:p>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(0.57, 4.79)</w:t>
            </w:r>
          </w:p>
        </w:tc>
        <w:tc>
          <w:tcPr>
            <w:tcW w:w="983" w:type="dxa"/>
            <w:vAlign w:val="center"/>
          </w:tcPr>
          <w:p w:rsidR="000C280E" w:rsidRDefault="000C280E" w:rsidP="00826A3D">
            <w:pPr>
              <w:widowControl/>
              <w:jc w:val="center"/>
              <w:rPr>
                <w:rFonts w:ascii="Arial Narrow" w:hAnsi="Arial Narrow" w:cstheme="minorBidi"/>
                <w:sz w:val="20"/>
              </w:rPr>
            </w:pPr>
            <w:r>
              <w:rPr>
                <w:rFonts w:ascii="Arial Narrow" w:hAnsi="Arial Narrow" w:cstheme="minorBidi"/>
                <w:sz w:val="20"/>
              </w:rPr>
              <w:t>1.90</w:t>
            </w:r>
          </w:p>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(0.53, 6.87)</w:t>
            </w:r>
          </w:p>
        </w:tc>
      </w:tr>
      <w:tr w:rsidR="000C280E" w:rsidRPr="00E804BE" w:rsidTr="00CA5316">
        <w:trPr>
          <w:trHeight w:val="283"/>
        </w:trPr>
        <w:tc>
          <w:tcPr>
            <w:tcW w:w="567" w:type="dxa"/>
            <w:vAlign w:val="center"/>
          </w:tcPr>
          <w:p w:rsidR="000C280E" w:rsidRPr="00E804BE" w:rsidRDefault="000C280E" w:rsidP="00826A3D">
            <w:pPr>
              <w:widowControl/>
              <w:jc w:val="left"/>
              <w:rPr>
                <w:rFonts w:ascii="Arial Narrow" w:hAnsi="Arial Narrow"/>
                <w:sz w:val="20"/>
              </w:rPr>
            </w:pPr>
            <w:r>
              <w:rPr>
                <w:rFonts w:ascii="Arial Narrow" w:hAnsi="Arial Narrow"/>
                <w:sz w:val="20"/>
              </w:rPr>
              <w:t>INF</w:t>
            </w:r>
          </w:p>
        </w:tc>
        <w:tc>
          <w:tcPr>
            <w:tcW w:w="1701" w:type="dxa"/>
            <w:vAlign w:val="center"/>
          </w:tcPr>
          <w:p w:rsidR="000C280E" w:rsidRPr="00E804BE" w:rsidRDefault="000C280E" w:rsidP="00826A3D">
            <w:pPr>
              <w:widowControl/>
              <w:jc w:val="left"/>
              <w:rPr>
                <w:rFonts w:ascii="Arial Narrow" w:hAnsi="Arial Narrow" w:cstheme="minorBidi"/>
                <w:sz w:val="20"/>
              </w:rPr>
            </w:pPr>
            <w:r>
              <w:rPr>
                <w:rFonts w:ascii="Arial Narrow" w:hAnsi="Arial Narrow" w:cstheme="minorBidi"/>
                <w:sz w:val="20"/>
              </w:rPr>
              <w:t>Braun 2002</w:t>
            </w:r>
          </w:p>
        </w:tc>
        <w:tc>
          <w:tcPr>
            <w:tcW w:w="1205" w:type="dxa"/>
            <w:vAlign w:val="center"/>
          </w:tcPr>
          <w:p w:rsidR="000C280E" w:rsidRDefault="000C280E" w:rsidP="00826A3D">
            <w:pPr>
              <w:widowControl/>
              <w:jc w:val="center"/>
              <w:rPr>
                <w:rFonts w:ascii="Arial Narrow" w:hAnsi="Arial Narrow" w:cstheme="minorBidi"/>
                <w:sz w:val="20"/>
              </w:rPr>
            </w:pPr>
            <w:r>
              <w:rPr>
                <w:rFonts w:ascii="Arial Narrow" w:hAnsi="Arial Narrow" w:cstheme="minorBidi"/>
                <w:sz w:val="20"/>
              </w:rPr>
              <w:t>18/34 (52.9)</w:t>
            </w:r>
          </w:p>
        </w:tc>
        <w:tc>
          <w:tcPr>
            <w:tcW w:w="1205" w:type="dxa"/>
            <w:vAlign w:val="center"/>
          </w:tcPr>
          <w:p w:rsidR="000C280E" w:rsidRDefault="000C280E" w:rsidP="00826A3D">
            <w:pPr>
              <w:widowControl/>
              <w:jc w:val="center"/>
              <w:rPr>
                <w:rFonts w:ascii="Arial Narrow" w:hAnsi="Arial Narrow" w:cstheme="minorBidi"/>
                <w:sz w:val="20"/>
              </w:rPr>
            </w:pPr>
            <w:r>
              <w:rPr>
                <w:rFonts w:ascii="Arial Narrow" w:hAnsi="Arial Narrow" w:cstheme="minorBidi"/>
                <w:sz w:val="20"/>
              </w:rPr>
              <w:t>3/35 (8.6)</w:t>
            </w:r>
          </w:p>
        </w:tc>
        <w:tc>
          <w:tcPr>
            <w:tcW w:w="1559" w:type="dxa"/>
            <w:vAlign w:val="center"/>
          </w:tcPr>
          <w:p w:rsidR="000C280E" w:rsidRDefault="000C280E" w:rsidP="00826A3D">
            <w:pPr>
              <w:widowControl/>
              <w:jc w:val="center"/>
              <w:rPr>
                <w:rFonts w:ascii="Arial Narrow" w:hAnsi="Arial Narrow" w:cstheme="minorBidi"/>
                <w:b/>
                <w:sz w:val="20"/>
              </w:rPr>
            </w:pPr>
            <w:r>
              <w:rPr>
                <w:rFonts w:ascii="Arial Narrow" w:hAnsi="Arial Narrow" w:cstheme="minorBidi"/>
                <w:b/>
                <w:sz w:val="20"/>
              </w:rPr>
              <w:t>6.18 (2.00, 19.07)</w:t>
            </w:r>
          </w:p>
        </w:tc>
        <w:tc>
          <w:tcPr>
            <w:tcW w:w="1125" w:type="dxa"/>
            <w:shd w:val="clear" w:color="auto" w:fill="FFFFFF" w:themeFill="background1"/>
            <w:vAlign w:val="center"/>
          </w:tcPr>
          <w:p w:rsidR="000C280E" w:rsidRPr="00D87D0E" w:rsidRDefault="000C280E" w:rsidP="00826A3D">
            <w:pPr>
              <w:widowControl/>
              <w:jc w:val="center"/>
              <w:rPr>
                <w:rFonts w:ascii="Arial Narrow" w:hAnsi="Arial Narrow" w:cstheme="minorBidi"/>
                <w:sz w:val="20"/>
              </w:rPr>
            </w:pPr>
            <w:r w:rsidRPr="00D87D0E">
              <w:rPr>
                <w:rFonts w:ascii="Arial Narrow" w:hAnsi="Arial Narrow" w:cstheme="minorBidi"/>
                <w:sz w:val="20"/>
              </w:rPr>
              <w:t>0.77</w:t>
            </w:r>
          </w:p>
          <w:p w:rsidR="000C280E" w:rsidRPr="00D87D0E" w:rsidRDefault="000C280E" w:rsidP="00826A3D">
            <w:pPr>
              <w:widowControl/>
              <w:jc w:val="center"/>
              <w:rPr>
                <w:rFonts w:ascii="Arial Narrow" w:hAnsi="Arial Narrow" w:cstheme="minorBidi"/>
                <w:sz w:val="20"/>
              </w:rPr>
            </w:pPr>
            <w:r w:rsidRPr="00D87D0E">
              <w:rPr>
                <w:rFonts w:ascii="Arial Narrow" w:hAnsi="Arial Narrow" w:cstheme="minorBidi"/>
                <w:sz w:val="20"/>
              </w:rPr>
              <w:t>(0.18, 3.26)</w:t>
            </w:r>
          </w:p>
        </w:tc>
        <w:tc>
          <w:tcPr>
            <w:tcW w:w="983" w:type="dxa"/>
            <w:shd w:val="clear" w:color="auto" w:fill="FFFFFF" w:themeFill="background1"/>
            <w:vAlign w:val="center"/>
          </w:tcPr>
          <w:p w:rsidR="000C280E" w:rsidRPr="00D87D0E" w:rsidRDefault="000C280E" w:rsidP="00826A3D">
            <w:pPr>
              <w:widowControl/>
              <w:jc w:val="center"/>
              <w:rPr>
                <w:rFonts w:ascii="Arial Narrow" w:hAnsi="Arial Narrow" w:cstheme="minorBidi"/>
                <w:sz w:val="20"/>
              </w:rPr>
            </w:pPr>
            <w:r w:rsidRPr="00D87D0E">
              <w:rPr>
                <w:rFonts w:ascii="Arial Narrow" w:hAnsi="Arial Narrow" w:cstheme="minorBidi"/>
                <w:sz w:val="20"/>
              </w:rPr>
              <w:t>0.88</w:t>
            </w:r>
          </w:p>
          <w:p w:rsidR="000C280E" w:rsidRPr="00D87D0E" w:rsidRDefault="000C280E" w:rsidP="00826A3D">
            <w:pPr>
              <w:widowControl/>
              <w:jc w:val="center"/>
              <w:rPr>
                <w:rFonts w:ascii="Arial Narrow" w:hAnsi="Arial Narrow" w:cstheme="minorBidi"/>
                <w:sz w:val="20"/>
              </w:rPr>
            </w:pPr>
            <w:r w:rsidRPr="00D87D0E">
              <w:rPr>
                <w:rFonts w:ascii="Arial Narrow" w:hAnsi="Arial Narrow" w:cstheme="minorBidi"/>
                <w:sz w:val="20"/>
              </w:rPr>
              <w:t>(0.18, 4.45)</w:t>
            </w:r>
          </w:p>
        </w:tc>
      </w:tr>
      <w:tr w:rsidR="000C280E" w:rsidRPr="00E804BE" w:rsidTr="00CA5316">
        <w:trPr>
          <w:trHeight w:val="283"/>
        </w:trPr>
        <w:tc>
          <w:tcPr>
            <w:tcW w:w="567" w:type="dxa"/>
            <w:vAlign w:val="center"/>
          </w:tcPr>
          <w:p w:rsidR="000C280E" w:rsidRPr="00E804BE" w:rsidRDefault="000C280E" w:rsidP="00826A3D">
            <w:pPr>
              <w:widowControl/>
              <w:jc w:val="left"/>
              <w:rPr>
                <w:rFonts w:ascii="Arial Narrow" w:hAnsi="Arial Narrow"/>
                <w:sz w:val="20"/>
              </w:rPr>
            </w:pPr>
            <w:r w:rsidRPr="00E804BE">
              <w:rPr>
                <w:rFonts w:ascii="Arial Narrow" w:hAnsi="Arial Narrow"/>
                <w:sz w:val="20"/>
              </w:rPr>
              <w:t>CZP</w:t>
            </w:r>
          </w:p>
        </w:tc>
        <w:tc>
          <w:tcPr>
            <w:tcW w:w="1701" w:type="dxa"/>
            <w:vAlign w:val="center"/>
          </w:tcPr>
          <w:p w:rsidR="000C280E" w:rsidRPr="009A3382" w:rsidRDefault="000C280E" w:rsidP="00826A3D">
            <w:pPr>
              <w:widowControl/>
              <w:jc w:val="left"/>
              <w:rPr>
                <w:rFonts w:ascii="Arial Narrow" w:hAnsi="Arial Narrow"/>
                <w:sz w:val="20"/>
              </w:rPr>
            </w:pPr>
            <w:r w:rsidRPr="00E804BE">
              <w:rPr>
                <w:rFonts w:ascii="Arial Narrow" w:hAnsi="Arial Narrow" w:cstheme="minorBidi"/>
                <w:sz w:val="20"/>
              </w:rPr>
              <w:t>Landewe 2014</w:t>
            </w:r>
            <w:r>
              <w:rPr>
                <w:rFonts w:ascii="Arial Narrow" w:hAnsi="Arial Narrow" w:cstheme="minorBidi"/>
                <w:sz w:val="20"/>
                <w:vertAlign w:val="superscript"/>
              </w:rPr>
              <w:t xml:space="preserve">c </w:t>
            </w:r>
            <w:r>
              <w:rPr>
                <w:rFonts w:ascii="Arial Narrow" w:hAnsi="Arial Narrow" w:cstheme="minorBidi"/>
                <w:sz w:val="20"/>
              </w:rPr>
              <w:t>(AS sub-group)</w:t>
            </w:r>
          </w:p>
        </w:tc>
        <w:tc>
          <w:tcPr>
            <w:tcW w:w="1205" w:type="dxa"/>
            <w:vAlign w:val="center"/>
          </w:tcPr>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50/121 (41.3)</w:t>
            </w:r>
          </w:p>
        </w:tc>
        <w:tc>
          <w:tcPr>
            <w:tcW w:w="1205" w:type="dxa"/>
            <w:vAlign w:val="center"/>
          </w:tcPr>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6/57 (10.5)</w:t>
            </w:r>
          </w:p>
        </w:tc>
        <w:tc>
          <w:tcPr>
            <w:tcW w:w="1559" w:type="dxa"/>
            <w:vAlign w:val="center"/>
          </w:tcPr>
          <w:p w:rsidR="000C280E" w:rsidRPr="00337D90" w:rsidRDefault="000C280E" w:rsidP="00826A3D">
            <w:pPr>
              <w:widowControl/>
              <w:jc w:val="center"/>
              <w:rPr>
                <w:rFonts w:ascii="Arial Narrow" w:hAnsi="Arial Narrow" w:cstheme="minorBidi"/>
                <w:b/>
                <w:sz w:val="20"/>
              </w:rPr>
            </w:pPr>
            <w:r>
              <w:rPr>
                <w:rFonts w:ascii="Arial Narrow" w:hAnsi="Arial Narrow" w:cstheme="minorBidi"/>
                <w:b/>
                <w:sz w:val="20"/>
              </w:rPr>
              <w:t>3.93 (1.79, 8.62)</w:t>
            </w:r>
          </w:p>
        </w:tc>
        <w:tc>
          <w:tcPr>
            <w:tcW w:w="1125" w:type="dxa"/>
            <w:vAlign w:val="center"/>
          </w:tcPr>
          <w:p w:rsidR="000C280E" w:rsidRDefault="000C280E" w:rsidP="00826A3D">
            <w:pPr>
              <w:widowControl/>
              <w:jc w:val="center"/>
              <w:rPr>
                <w:rFonts w:ascii="Arial Narrow" w:hAnsi="Arial Narrow" w:cstheme="minorBidi"/>
                <w:sz w:val="20"/>
              </w:rPr>
            </w:pPr>
            <w:r>
              <w:rPr>
                <w:rFonts w:ascii="Arial Narrow" w:hAnsi="Arial Narrow" w:cstheme="minorBidi"/>
                <w:sz w:val="20"/>
              </w:rPr>
              <w:t>1.20</w:t>
            </w:r>
          </w:p>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(0.36, 4.01)</w:t>
            </w:r>
          </w:p>
        </w:tc>
        <w:tc>
          <w:tcPr>
            <w:tcW w:w="983" w:type="dxa"/>
            <w:vAlign w:val="center"/>
          </w:tcPr>
          <w:p w:rsidR="000C280E" w:rsidRDefault="000C280E" w:rsidP="00826A3D">
            <w:pPr>
              <w:widowControl/>
              <w:jc w:val="center"/>
              <w:rPr>
                <w:rFonts w:ascii="Arial Narrow" w:hAnsi="Arial Narrow" w:cstheme="minorBidi"/>
                <w:sz w:val="20"/>
              </w:rPr>
            </w:pPr>
            <w:r>
              <w:rPr>
                <w:rFonts w:ascii="Arial Narrow" w:hAnsi="Arial Narrow" w:cstheme="minorBidi"/>
                <w:sz w:val="20"/>
              </w:rPr>
              <w:t>1.39</w:t>
            </w:r>
          </w:p>
          <w:p w:rsidR="000C280E" w:rsidRPr="00E804BE" w:rsidRDefault="000C280E" w:rsidP="00826A3D">
            <w:pPr>
              <w:widowControl/>
              <w:jc w:val="center"/>
              <w:rPr>
                <w:rFonts w:ascii="Arial Narrow" w:hAnsi="Arial Narrow" w:cstheme="minorBidi"/>
                <w:sz w:val="20"/>
              </w:rPr>
            </w:pPr>
            <w:r>
              <w:rPr>
                <w:rFonts w:ascii="Arial Narrow" w:hAnsi="Arial Narrow" w:cstheme="minorBidi"/>
                <w:sz w:val="20"/>
              </w:rPr>
              <w:t>(0.34, 5.63)</w:t>
            </w:r>
          </w:p>
        </w:tc>
      </w:tr>
      <w:tr w:rsidR="000C280E" w:rsidRPr="00E804BE" w:rsidTr="00CA5316">
        <w:trPr>
          <w:trHeight w:val="283"/>
        </w:trPr>
        <w:tc>
          <w:tcPr>
            <w:tcW w:w="4678" w:type="dxa"/>
            <w:gridSpan w:val="4"/>
            <w:vAlign w:val="center"/>
          </w:tcPr>
          <w:p w:rsidR="000C280E" w:rsidRPr="00337D90" w:rsidRDefault="000C280E" w:rsidP="00826A3D">
            <w:pPr>
              <w:widowControl/>
              <w:jc w:val="right"/>
              <w:rPr>
                <w:rFonts w:ascii="Arial Narrow" w:hAnsi="Arial Narrow" w:cstheme="minorBidi"/>
                <w:sz w:val="20"/>
                <w:vertAlign w:val="superscript"/>
              </w:rPr>
            </w:pPr>
            <w:r>
              <w:rPr>
                <w:rFonts w:ascii="Arial Narrow" w:hAnsi="Arial Narrow" w:cstheme="minorBidi"/>
                <w:sz w:val="20"/>
              </w:rPr>
              <w:t>Meta-analysis of all comparator bDMARDs</w:t>
            </w:r>
            <w:r>
              <w:rPr>
                <w:rFonts w:ascii="Arial Narrow" w:hAnsi="Arial Narrow" w:cstheme="minorBidi"/>
                <w:sz w:val="20"/>
                <w:vertAlign w:val="superscript"/>
              </w:rPr>
              <w:t>d</w:t>
            </w:r>
          </w:p>
        </w:tc>
        <w:tc>
          <w:tcPr>
            <w:tcW w:w="1559" w:type="dxa"/>
            <w:vAlign w:val="center"/>
          </w:tcPr>
          <w:p w:rsidR="000C280E" w:rsidRPr="00337D90" w:rsidRDefault="000C280E" w:rsidP="00826A3D">
            <w:pPr>
              <w:widowControl/>
              <w:jc w:val="center"/>
              <w:rPr>
                <w:rFonts w:ascii="Arial Narrow" w:hAnsi="Arial Narrow" w:cstheme="minorBidi"/>
                <w:b/>
                <w:i/>
                <w:sz w:val="20"/>
              </w:rPr>
            </w:pPr>
            <w:r>
              <w:rPr>
                <w:rFonts w:ascii="Arial Narrow" w:hAnsi="Arial Narrow" w:cstheme="minorBidi"/>
                <w:b/>
                <w:i/>
                <w:sz w:val="20"/>
              </w:rPr>
              <w:t>2.98 (2.44, 3.65)</w:t>
            </w:r>
          </w:p>
        </w:tc>
        <w:tc>
          <w:tcPr>
            <w:tcW w:w="1125" w:type="dxa"/>
            <w:vAlign w:val="center"/>
          </w:tcPr>
          <w:p w:rsidR="000C280E" w:rsidRDefault="000C280E" w:rsidP="00826A3D">
            <w:pPr>
              <w:widowControl/>
              <w:jc w:val="center"/>
              <w:rPr>
                <w:rFonts w:ascii="Arial Narrow" w:hAnsi="Arial Narrow" w:cstheme="minorBidi"/>
                <w:i/>
                <w:sz w:val="20"/>
              </w:rPr>
            </w:pPr>
            <w:r>
              <w:rPr>
                <w:rFonts w:ascii="Arial Narrow" w:hAnsi="Arial Narrow" w:cstheme="minorBidi"/>
                <w:i/>
                <w:sz w:val="20"/>
              </w:rPr>
              <w:t>1.59</w:t>
            </w:r>
          </w:p>
          <w:p w:rsidR="000C280E" w:rsidRPr="00337D90" w:rsidRDefault="000C280E" w:rsidP="00826A3D">
            <w:pPr>
              <w:widowControl/>
              <w:jc w:val="center"/>
              <w:rPr>
                <w:rFonts w:ascii="Arial Narrow" w:hAnsi="Arial Narrow" w:cstheme="minorBidi"/>
                <w:i/>
                <w:sz w:val="20"/>
              </w:rPr>
            </w:pPr>
            <w:r>
              <w:rPr>
                <w:rFonts w:ascii="Arial Narrow" w:hAnsi="Arial Narrow" w:cstheme="minorBidi"/>
                <w:i/>
                <w:sz w:val="20"/>
              </w:rPr>
              <w:t>(0.62, 4.04)</w:t>
            </w:r>
          </w:p>
        </w:tc>
        <w:tc>
          <w:tcPr>
            <w:tcW w:w="983" w:type="dxa"/>
            <w:vAlign w:val="center"/>
          </w:tcPr>
          <w:p w:rsidR="000C280E" w:rsidRDefault="000C280E" w:rsidP="00826A3D">
            <w:pPr>
              <w:widowControl/>
              <w:jc w:val="center"/>
              <w:rPr>
                <w:rFonts w:ascii="Arial Narrow" w:hAnsi="Arial Narrow" w:cstheme="minorBidi"/>
                <w:i/>
                <w:sz w:val="20"/>
              </w:rPr>
            </w:pPr>
            <w:r>
              <w:rPr>
                <w:rFonts w:ascii="Arial Narrow" w:hAnsi="Arial Narrow" w:cstheme="minorBidi"/>
                <w:i/>
                <w:sz w:val="20"/>
              </w:rPr>
              <w:t>1.83</w:t>
            </w:r>
          </w:p>
          <w:p w:rsidR="000C280E" w:rsidRPr="00337D90" w:rsidRDefault="000C280E" w:rsidP="00826A3D">
            <w:pPr>
              <w:widowControl/>
              <w:jc w:val="center"/>
              <w:rPr>
                <w:rFonts w:ascii="Arial Narrow" w:hAnsi="Arial Narrow" w:cstheme="minorBidi"/>
                <w:i/>
                <w:sz w:val="20"/>
              </w:rPr>
            </w:pPr>
            <w:r>
              <w:rPr>
                <w:rFonts w:ascii="Arial Narrow" w:hAnsi="Arial Narrow" w:cstheme="minorBidi"/>
                <w:i/>
                <w:sz w:val="20"/>
              </w:rPr>
              <w:t>(0.56, 5.94)</w:t>
            </w:r>
          </w:p>
        </w:tc>
      </w:tr>
    </w:tbl>
    <w:p w:rsidR="000C280E" w:rsidRPr="00337D90" w:rsidRDefault="00CA5316" w:rsidP="000C280E">
      <w:pPr>
        <w:widowControl/>
        <w:tabs>
          <w:tab w:val="left" w:pos="284"/>
        </w:tabs>
        <w:rPr>
          <w:rFonts w:ascii="Arial Narrow" w:hAnsi="Arial Narrow"/>
          <w:iCs/>
          <w:sz w:val="18"/>
          <w:szCs w:val="18"/>
        </w:rPr>
      </w:pPr>
      <w:r>
        <w:rPr>
          <w:rFonts w:ascii="Arial Narrow" w:hAnsi="Arial Narrow"/>
          <w:iCs/>
          <w:sz w:val="18"/>
          <w:szCs w:val="18"/>
          <w:vertAlign w:val="superscript"/>
        </w:rPr>
        <w:tab/>
      </w:r>
      <w:r>
        <w:rPr>
          <w:rFonts w:ascii="Arial Narrow" w:hAnsi="Arial Narrow"/>
          <w:iCs/>
          <w:sz w:val="18"/>
          <w:szCs w:val="18"/>
          <w:vertAlign w:val="superscript"/>
        </w:rPr>
        <w:tab/>
      </w:r>
      <w:r w:rsidR="000C280E" w:rsidRPr="00337D90">
        <w:rPr>
          <w:rFonts w:ascii="Arial Narrow" w:hAnsi="Arial Narrow"/>
          <w:iCs/>
          <w:sz w:val="18"/>
          <w:szCs w:val="18"/>
          <w:vertAlign w:val="superscript"/>
        </w:rPr>
        <w:t>a</w:t>
      </w:r>
      <w:r>
        <w:rPr>
          <w:rFonts w:ascii="Arial Narrow" w:hAnsi="Arial Narrow"/>
          <w:iCs/>
          <w:sz w:val="18"/>
          <w:szCs w:val="18"/>
        </w:rPr>
        <w:t xml:space="preserve"> </w:t>
      </w:r>
      <w:r w:rsidR="000C280E" w:rsidRPr="00337D90">
        <w:rPr>
          <w:rFonts w:ascii="Arial Narrow" w:hAnsi="Arial Narrow"/>
          <w:iCs/>
          <w:sz w:val="18"/>
          <w:szCs w:val="18"/>
        </w:rPr>
        <w:t xml:space="preserve">secukinumab versus the meta-analysis </w:t>
      </w:r>
      <w:r w:rsidR="000C280E">
        <w:rPr>
          <w:rFonts w:ascii="Arial Narrow" w:hAnsi="Arial Narrow"/>
          <w:iCs/>
          <w:sz w:val="18"/>
          <w:szCs w:val="18"/>
        </w:rPr>
        <w:t xml:space="preserve">(where relevant) </w:t>
      </w:r>
      <w:r w:rsidR="000C280E" w:rsidRPr="00337D90">
        <w:rPr>
          <w:rFonts w:ascii="Arial Narrow" w:hAnsi="Arial Narrow"/>
          <w:iCs/>
          <w:sz w:val="18"/>
          <w:szCs w:val="18"/>
        </w:rPr>
        <w:t>for the comparators</w:t>
      </w:r>
    </w:p>
    <w:p w:rsidR="000C280E" w:rsidRPr="00337D90" w:rsidRDefault="00CA5316" w:rsidP="000C280E">
      <w:pPr>
        <w:widowControl/>
        <w:tabs>
          <w:tab w:val="left" w:pos="284"/>
        </w:tabs>
        <w:rPr>
          <w:rFonts w:ascii="Arial Narrow" w:hAnsi="Arial Narrow"/>
          <w:iCs/>
          <w:sz w:val="18"/>
          <w:szCs w:val="18"/>
        </w:rPr>
      </w:pPr>
      <w:r>
        <w:rPr>
          <w:rFonts w:ascii="Arial Narrow" w:hAnsi="Arial Narrow"/>
          <w:iCs/>
          <w:sz w:val="18"/>
          <w:szCs w:val="18"/>
          <w:vertAlign w:val="superscript"/>
        </w:rPr>
        <w:tab/>
      </w:r>
      <w:r>
        <w:rPr>
          <w:rFonts w:ascii="Arial Narrow" w:hAnsi="Arial Narrow"/>
          <w:iCs/>
          <w:sz w:val="18"/>
          <w:szCs w:val="18"/>
          <w:vertAlign w:val="superscript"/>
        </w:rPr>
        <w:tab/>
      </w:r>
      <w:r w:rsidR="000C280E" w:rsidRPr="00337D90">
        <w:rPr>
          <w:rFonts w:ascii="Arial Narrow" w:hAnsi="Arial Narrow"/>
          <w:iCs/>
          <w:sz w:val="18"/>
          <w:szCs w:val="18"/>
          <w:vertAlign w:val="superscript"/>
        </w:rPr>
        <w:t>b</w:t>
      </w:r>
      <w:r>
        <w:rPr>
          <w:rFonts w:ascii="Arial Narrow" w:hAnsi="Arial Narrow"/>
          <w:iCs/>
          <w:sz w:val="18"/>
          <w:szCs w:val="18"/>
        </w:rPr>
        <w:t xml:space="preserve"> </w:t>
      </w:r>
      <w:r w:rsidR="000C280E" w:rsidRPr="00337D90">
        <w:rPr>
          <w:rFonts w:ascii="Arial Narrow" w:hAnsi="Arial Narrow"/>
          <w:iCs/>
          <w:sz w:val="18"/>
          <w:szCs w:val="18"/>
        </w:rPr>
        <w:t>measured at week 14</w:t>
      </w:r>
    </w:p>
    <w:p w:rsidR="000C280E" w:rsidRDefault="00CA5316" w:rsidP="000C280E">
      <w:pPr>
        <w:widowControl/>
        <w:tabs>
          <w:tab w:val="left" w:pos="284"/>
        </w:tabs>
        <w:rPr>
          <w:rFonts w:ascii="Arial Narrow" w:hAnsi="Arial Narrow"/>
          <w:iCs/>
          <w:sz w:val="18"/>
          <w:szCs w:val="18"/>
        </w:rPr>
      </w:pPr>
      <w:r>
        <w:rPr>
          <w:rFonts w:ascii="Arial Narrow" w:hAnsi="Arial Narrow"/>
          <w:iCs/>
          <w:sz w:val="18"/>
          <w:szCs w:val="18"/>
          <w:vertAlign w:val="superscript"/>
        </w:rPr>
        <w:tab/>
      </w:r>
      <w:r>
        <w:rPr>
          <w:rFonts w:ascii="Arial Narrow" w:hAnsi="Arial Narrow"/>
          <w:iCs/>
          <w:sz w:val="18"/>
          <w:szCs w:val="18"/>
          <w:vertAlign w:val="superscript"/>
        </w:rPr>
        <w:tab/>
      </w:r>
      <w:r w:rsidR="000C280E">
        <w:rPr>
          <w:rFonts w:ascii="Arial Narrow" w:hAnsi="Arial Narrow"/>
          <w:iCs/>
          <w:sz w:val="18"/>
          <w:szCs w:val="18"/>
          <w:vertAlign w:val="superscript"/>
        </w:rPr>
        <w:t>c</w:t>
      </w:r>
      <w:r>
        <w:rPr>
          <w:rFonts w:ascii="Arial Narrow" w:hAnsi="Arial Narrow"/>
          <w:iCs/>
          <w:sz w:val="18"/>
          <w:szCs w:val="18"/>
          <w:vertAlign w:val="superscript"/>
        </w:rPr>
        <w:t xml:space="preserve"> </w:t>
      </w:r>
      <w:r w:rsidR="000C280E" w:rsidRPr="00337D90">
        <w:rPr>
          <w:rFonts w:ascii="Arial Narrow" w:hAnsi="Arial Narrow"/>
          <w:iCs/>
          <w:sz w:val="18"/>
          <w:szCs w:val="18"/>
        </w:rPr>
        <w:t>includes 20</w:t>
      </w:r>
      <w:r w:rsidR="000C280E">
        <w:rPr>
          <w:rFonts w:ascii="Arial Narrow" w:hAnsi="Arial Narrow"/>
          <w:iCs/>
          <w:sz w:val="18"/>
          <w:szCs w:val="18"/>
        </w:rPr>
        <w:t>0 mg</w:t>
      </w:r>
      <w:r w:rsidR="000C280E" w:rsidRPr="00337D90">
        <w:rPr>
          <w:rFonts w:ascii="Arial Narrow" w:hAnsi="Arial Narrow"/>
          <w:iCs/>
          <w:sz w:val="18"/>
          <w:szCs w:val="18"/>
        </w:rPr>
        <w:t xml:space="preserve"> Q2W and 40</w:t>
      </w:r>
      <w:r w:rsidR="000C280E">
        <w:rPr>
          <w:rFonts w:ascii="Arial Narrow" w:hAnsi="Arial Narrow"/>
          <w:iCs/>
          <w:sz w:val="18"/>
          <w:szCs w:val="18"/>
        </w:rPr>
        <w:t>0 mg</w:t>
      </w:r>
      <w:r w:rsidR="000C280E" w:rsidRPr="00337D90">
        <w:rPr>
          <w:rFonts w:ascii="Arial Narrow" w:hAnsi="Arial Narrow"/>
          <w:iCs/>
          <w:sz w:val="18"/>
          <w:szCs w:val="18"/>
        </w:rPr>
        <w:t xml:space="preserve"> Q4W</w:t>
      </w:r>
    </w:p>
    <w:p w:rsidR="000C280E" w:rsidRPr="00337D90" w:rsidRDefault="00CA5316" w:rsidP="000C280E">
      <w:pPr>
        <w:widowControl/>
        <w:tabs>
          <w:tab w:val="left" w:pos="284"/>
        </w:tabs>
        <w:rPr>
          <w:rFonts w:ascii="Arial Narrow" w:hAnsi="Arial Narrow"/>
          <w:iCs/>
          <w:sz w:val="18"/>
          <w:szCs w:val="18"/>
        </w:rPr>
      </w:pPr>
      <w:r>
        <w:rPr>
          <w:rFonts w:ascii="Arial Narrow" w:hAnsi="Arial Narrow"/>
          <w:iCs/>
          <w:sz w:val="18"/>
          <w:szCs w:val="18"/>
          <w:vertAlign w:val="superscript"/>
        </w:rPr>
        <w:tab/>
      </w:r>
      <w:r>
        <w:rPr>
          <w:rFonts w:ascii="Arial Narrow" w:hAnsi="Arial Narrow"/>
          <w:iCs/>
          <w:sz w:val="18"/>
          <w:szCs w:val="18"/>
          <w:vertAlign w:val="superscript"/>
        </w:rPr>
        <w:tab/>
      </w:r>
      <w:r w:rsidR="000C280E">
        <w:rPr>
          <w:rFonts w:ascii="Arial Narrow" w:hAnsi="Arial Narrow"/>
          <w:iCs/>
          <w:sz w:val="18"/>
          <w:szCs w:val="18"/>
          <w:vertAlign w:val="superscript"/>
        </w:rPr>
        <w:t>d</w:t>
      </w:r>
      <w:r>
        <w:rPr>
          <w:rFonts w:ascii="Arial Narrow" w:hAnsi="Arial Narrow"/>
          <w:iCs/>
          <w:sz w:val="18"/>
          <w:szCs w:val="18"/>
        </w:rPr>
        <w:t xml:space="preserve"> </w:t>
      </w:r>
      <w:r w:rsidR="000C280E">
        <w:rPr>
          <w:rFonts w:ascii="Arial Narrow" w:hAnsi="Arial Narrow"/>
          <w:iCs/>
          <w:sz w:val="18"/>
          <w:szCs w:val="18"/>
        </w:rPr>
        <w:t>using a random effects model</w:t>
      </w:r>
    </w:p>
    <w:p w:rsidR="000C280E" w:rsidRDefault="000C280E" w:rsidP="000C280E">
      <w:pPr>
        <w:widowControl/>
        <w:rPr>
          <w:szCs w:val="18"/>
        </w:rPr>
      </w:pPr>
    </w:p>
    <w:p w:rsidR="000C280E" w:rsidRDefault="000C280E" w:rsidP="000C280E">
      <w:pPr>
        <w:widowControl/>
        <w:rPr>
          <w:szCs w:val="18"/>
        </w:rPr>
      </w:pPr>
    </w:p>
    <w:p w:rsidR="000C280E" w:rsidRPr="0001249A" w:rsidRDefault="000C280E" w:rsidP="000C280E">
      <w:pPr>
        <w:pStyle w:val="ListParagraph"/>
        <w:widowControl/>
        <w:numPr>
          <w:ilvl w:val="1"/>
          <w:numId w:val="1"/>
        </w:numPr>
        <w:rPr>
          <w:szCs w:val="22"/>
        </w:rPr>
      </w:pPr>
      <w:r w:rsidRPr="000C280E">
        <w:rPr>
          <w:szCs w:val="18"/>
        </w:rPr>
        <w:t xml:space="preserve">All trials (Table B.6.2) demonstrated that the active treatments resulted in a statistically significantly greater proportion of patients achieving a 50% improvement in the BASDAI score (BASDAI50) compared with placebo at week 12 or 14, with the exception of Barkham 2010 (an etanercept versus placebo study of 40 patients) using the relative risk </w:t>
      </w:r>
      <w:r w:rsidRPr="0001249A">
        <w:rPr>
          <w:szCs w:val="18"/>
        </w:rPr>
        <w:t xml:space="preserve">statistic.  The indirect comparisons indicated there was no statistically significant difference between secukinumab and any of the bDMARDs or the combined bDMARDs.  However, these results require consideration as </w:t>
      </w:r>
      <w:r w:rsidRPr="0001249A">
        <w:rPr>
          <w:szCs w:val="22"/>
        </w:rPr>
        <w:t>the placebo (common reference) response rates are different between the secukinumab and comparator trials and may indicate exchangeability issues.  The placebo rate of the MEASURE 2 trial is lower compared to the placebo arms of all the comparator trials.</w:t>
      </w:r>
    </w:p>
    <w:p w:rsidR="000C280E" w:rsidRPr="0001249A" w:rsidRDefault="000C280E" w:rsidP="000C280E">
      <w:pPr>
        <w:pStyle w:val="ListParagraph"/>
        <w:widowControl/>
        <w:rPr>
          <w:szCs w:val="22"/>
        </w:rPr>
      </w:pPr>
    </w:p>
    <w:p w:rsidR="000C280E" w:rsidRDefault="000C280E" w:rsidP="000C280E">
      <w:pPr>
        <w:pStyle w:val="ListParagraph"/>
        <w:widowControl/>
        <w:numPr>
          <w:ilvl w:val="1"/>
          <w:numId w:val="1"/>
        </w:numPr>
        <w:rPr>
          <w:szCs w:val="18"/>
        </w:rPr>
      </w:pPr>
      <w:r w:rsidRPr="000C280E">
        <w:rPr>
          <w:szCs w:val="18"/>
        </w:rPr>
        <w:t xml:space="preserve">The submission  presents the results for the BASDAI50 response outcome, measured at 16 weeks for the pivotal MEASURE 2 trial for the ITT (pp86-88) and anti-TNFα naïve patients (pp98-99), and measured at 12 weeks in all comparator trials with the exception of the golimumab trial (measured at 14 weeks) (pp93-94).  </w:t>
      </w:r>
      <w:r w:rsidRPr="000C280E">
        <w:rPr>
          <w:szCs w:val="18"/>
        </w:rPr>
        <w:lastRenderedPageBreak/>
        <w:t>The results of the indirect comparisons are consistent with the results of BASDAI50 response measured at 12 weeks in the MEASURE 2 trial.  The indirect comparisons indicated there was no statistically significant difference between secukinumab and any of the bDMARDs or the combined bDMARDs.</w:t>
      </w:r>
    </w:p>
    <w:p w:rsidR="000C280E" w:rsidRPr="000C280E" w:rsidRDefault="000C280E" w:rsidP="000C280E">
      <w:pPr>
        <w:pStyle w:val="ListParagraph"/>
        <w:rPr>
          <w:bCs/>
          <w:szCs w:val="22"/>
        </w:rPr>
      </w:pPr>
    </w:p>
    <w:p w:rsidR="001E3E92" w:rsidRPr="00CB21D6" w:rsidRDefault="001E3E92" w:rsidP="00D33470">
      <w:pPr>
        <w:pStyle w:val="ListParagraph"/>
        <w:widowControl/>
        <w:numPr>
          <w:ilvl w:val="1"/>
          <w:numId w:val="1"/>
        </w:numPr>
        <w:rPr>
          <w:szCs w:val="22"/>
        </w:rPr>
      </w:pPr>
      <w:r w:rsidRPr="00CB21D6">
        <w:rPr>
          <w:szCs w:val="22"/>
        </w:rPr>
        <w:t>The ESC considered that the issue of different placebo response rates was in part offset by use of the Bucher method which explicitly adjusted the indirect comparison for event rate differences in the common reference placebo arm of trials included in the indirect comparison.</w:t>
      </w:r>
    </w:p>
    <w:p w:rsidR="001E3E92" w:rsidRPr="00CB21D6" w:rsidRDefault="001E3E92" w:rsidP="001E3E92">
      <w:pPr>
        <w:pStyle w:val="ListParagraph"/>
        <w:widowControl/>
        <w:rPr>
          <w:szCs w:val="22"/>
        </w:rPr>
      </w:pPr>
    </w:p>
    <w:p w:rsidR="001E3E92" w:rsidRPr="00CB21D6" w:rsidRDefault="001E3E92" w:rsidP="00D33470">
      <w:pPr>
        <w:pStyle w:val="ListParagraph"/>
        <w:widowControl/>
        <w:numPr>
          <w:ilvl w:val="1"/>
          <w:numId w:val="1"/>
        </w:numPr>
        <w:rPr>
          <w:szCs w:val="22"/>
        </w:rPr>
      </w:pPr>
      <w:r w:rsidRPr="00CB21D6">
        <w:rPr>
          <w:szCs w:val="22"/>
        </w:rPr>
        <w:t>However, the ESC noted that</w:t>
      </w:r>
      <w:r w:rsidR="00E625F1" w:rsidRPr="00CB21D6">
        <w:rPr>
          <w:szCs w:val="22"/>
        </w:rPr>
        <w:t xml:space="preserve"> whilst such approach may provide broad adjustment for differences in baseline risk secondary to imbalance between trials with regards to key prognostic correlates of end-point,</w:t>
      </w:r>
      <w:r w:rsidRPr="00CB21D6">
        <w:rPr>
          <w:szCs w:val="22"/>
        </w:rPr>
        <w:t xml:space="preserve"> this adjustment </w:t>
      </w:r>
      <w:r w:rsidR="0052634A" w:rsidRPr="00CB21D6">
        <w:rPr>
          <w:szCs w:val="22"/>
        </w:rPr>
        <w:t>d</w:t>
      </w:r>
      <w:r w:rsidR="0052634A">
        <w:rPr>
          <w:szCs w:val="22"/>
        </w:rPr>
        <w:t>id</w:t>
      </w:r>
      <w:r w:rsidR="0052634A" w:rsidRPr="00CB21D6">
        <w:rPr>
          <w:szCs w:val="22"/>
        </w:rPr>
        <w:t xml:space="preserve"> </w:t>
      </w:r>
      <w:r w:rsidRPr="00CB21D6">
        <w:rPr>
          <w:szCs w:val="22"/>
        </w:rPr>
        <w:t xml:space="preserve">not </w:t>
      </w:r>
      <w:r w:rsidR="00D445AD" w:rsidRPr="00CB21D6">
        <w:rPr>
          <w:szCs w:val="22"/>
        </w:rPr>
        <w:t xml:space="preserve">directly adjust for differences in the distribution of baseline confounders between trials, nor </w:t>
      </w:r>
      <w:r w:rsidRPr="00CB21D6">
        <w:rPr>
          <w:szCs w:val="22"/>
        </w:rPr>
        <w:t>address systematic differences across several other exchangeability domains:</w:t>
      </w:r>
    </w:p>
    <w:p w:rsidR="001E3E92" w:rsidRPr="00CB21D6" w:rsidRDefault="001E3E92" w:rsidP="00D0758B">
      <w:pPr>
        <w:pStyle w:val="ListParagraph"/>
        <w:widowControl/>
        <w:numPr>
          <w:ilvl w:val="0"/>
          <w:numId w:val="5"/>
        </w:numPr>
        <w:ind w:left="993" w:hanging="284"/>
        <w:rPr>
          <w:szCs w:val="22"/>
        </w:rPr>
      </w:pPr>
      <w:r w:rsidRPr="00CB21D6">
        <w:rPr>
          <w:szCs w:val="22"/>
        </w:rPr>
        <w:t>Trial methods - concealment of randomisation, blinding, follow-up duration, loss to follow up, cross-over</w:t>
      </w:r>
      <w:r w:rsidR="00E625F1" w:rsidRPr="00CB21D6">
        <w:rPr>
          <w:szCs w:val="22"/>
        </w:rPr>
        <w:t>, differences in trial duration and sample size</w:t>
      </w:r>
    </w:p>
    <w:p w:rsidR="001E3E92" w:rsidRPr="00CB21D6" w:rsidRDefault="001E3E92" w:rsidP="00D0758B">
      <w:pPr>
        <w:pStyle w:val="ListParagraph"/>
        <w:widowControl/>
        <w:numPr>
          <w:ilvl w:val="0"/>
          <w:numId w:val="5"/>
        </w:numPr>
        <w:ind w:left="993" w:hanging="284"/>
        <w:rPr>
          <w:szCs w:val="22"/>
        </w:rPr>
      </w:pPr>
      <w:r w:rsidRPr="00CB21D6">
        <w:rPr>
          <w:szCs w:val="22"/>
        </w:rPr>
        <w:t xml:space="preserve">Setting confounders (health systems, geography, in- vs out-patient, </w:t>
      </w:r>
      <w:r w:rsidR="00D445AD" w:rsidRPr="00CB21D6">
        <w:rPr>
          <w:szCs w:val="22"/>
        </w:rPr>
        <w:t xml:space="preserve">mixture of </w:t>
      </w:r>
      <w:r w:rsidRPr="00CB21D6">
        <w:rPr>
          <w:szCs w:val="22"/>
        </w:rPr>
        <w:t>trial dates)</w:t>
      </w:r>
    </w:p>
    <w:p w:rsidR="001E3E92" w:rsidRPr="00CB21D6" w:rsidRDefault="001E3E92" w:rsidP="00D0758B">
      <w:pPr>
        <w:pStyle w:val="ListParagraph"/>
        <w:widowControl/>
        <w:numPr>
          <w:ilvl w:val="0"/>
          <w:numId w:val="5"/>
        </w:numPr>
        <w:ind w:left="993" w:hanging="284"/>
        <w:rPr>
          <w:szCs w:val="22"/>
        </w:rPr>
      </w:pPr>
      <w:r w:rsidRPr="00CB21D6">
        <w:rPr>
          <w:szCs w:val="22"/>
        </w:rPr>
        <w:t>Treatment arms (dose, duration, timing)</w:t>
      </w:r>
    </w:p>
    <w:p w:rsidR="001E3E92" w:rsidRPr="00CB21D6" w:rsidRDefault="001E3E92" w:rsidP="001E3E92">
      <w:pPr>
        <w:pStyle w:val="ListParagraph"/>
        <w:widowControl/>
        <w:rPr>
          <w:szCs w:val="22"/>
        </w:rPr>
      </w:pPr>
    </w:p>
    <w:p w:rsidR="00E25298" w:rsidRPr="00CB21D6" w:rsidRDefault="00E25298" w:rsidP="00D33470">
      <w:pPr>
        <w:pStyle w:val="ListParagraph"/>
        <w:widowControl/>
        <w:numPr>
          <w:ilvl w:val="1"/>
          <w:numId w:val="1"/>
        </w:numPr>
        <w:rPr>
          <w:szCs w:val="22"/>
        </w:rPr>
      </w:pPr>
      <w:r w:rsidRPr="00CB21D6">
        <w:rPr>
          <w:bCs/>
          <w:szCs w:val="22"/>
        </w:rPr>
        <w:t xml:space="preserve">The ESC noted that </w:t>
      </w:r>
      <w:r w:rsidR="00641795" w:rsidRPr="00CB21D6">
        <w:rPr>
          <w:bCs/>
          <w:szCs w:val="22"/>
        </w:rPr>
        <w:t xml:space="preserve">even with a </w:t>
      </w:r>
      <w:r w:rsidRPr="00CB21D6">
        <w:rPr>
          <w:bCs/>
          <w:szCs w:val="22"/>
        </w:rPr>
        <w:t>standard indirect (Bucher) comparison</w:t>
      </w:r>
      <w:r w:rsidR="00641795" w:rsidRPr="00CB21D6">
        <w:rPr>
          <w:bCs/>
          <w:szCs w:val="22"/>
        </w:rPr>
        <w:t xml:space="preserve"> for different event rates in the various placebo arms,</w:t>
      </w:r>
      <w:r w:rsidR="00051F16" w:rsidRPr="00CB21D6">
        <w:rPr>
          <w:bCs/>
          <w:szCs w:val="22"/>
        </w:rPr>
        <w:t xml:space="preserve"> </w:t>
      </w:r>
      <w:r w:rsidRPr="00CB21D6">
        <w:rPr>
          <w:bCs/>
          <w:szCs w:val="22"/>
        </w:rPr>
        <w:t xml:space="preserve">“placebo response rate”, </w:t>
      </w:r>
      <w:r w:rsidR="00641795" w:rsidRPr="00CB21D6">
        <w:rPr>
          <w:bCs/>
          <w:szCs w:val="22"/>
        </w:rPr>
        <w:t xml:space="preserve">the results </w:t>
      </w:r>
      <w:r w:rsidRPr="00CB21D6">
        <w:rPr>
          <w:bCs/>
          <w:szCs w:val="22"/>
        </w:rPr>
        <w:t xml:space="preserve">were likely to be subject to </w:t>
      </w:r>
      <w:r w:rsidR="00641795" w:rsidRPr="00CB21D6">
        <w:rPr>
          <w:bCs/>
          <w:szCs w:val="22"/>
        </w:rPr>
        <w:t xml:space="preserve">significant, residual </w:t>
      </w:r>
      <w:r w:rsidRPr="00CB21D6">
        <w:rPr>
          <w:bCs/>
          <w:szCs w:val="22"/>
        </w:rPr>
        <w:t xml:space="preserve">confounding and bias. This was because the transitivity assumption, that </w:t>
      </w:r>
      <w:r w:rsidR="0052634A">
        <w:rPr>
          <w:bCs/>
          <w:szCs w:val="22"/>
        </w:rPr>
        <w:t>was</w:t>
      </w:r>
      <w:r w:rsidRPr="00CB21D6">
        <w:rPr>
          <w:bCs/>
          <w:szCs w:val="22"/>
        </w:rPr>
        <w:t xml:space="preserve">, that a reliable comparison </w:t>
      </w:r>
      <w:r w:rsidR="0052634A">
        <w:rPr>
          <w:bCs/>
          <w:szCs w:val="22"/>
        </w:rPr>
        <w:t xml:space="preserve">could </w:t>
      </w:r>
      <w:r w:rsidRPr="00CB21D6">
        <w:rPr>
          <w:bCs/>
          <w:szCs w:val="22"/>
        </w:rPr>
        <w:t xml:space="preserve">be made through a common “anchor” treatment (i.e. placebo), may not </w:t>
      </w:r>
      <w:r w:rsidR="00B2738F">
        <w:rPr>
          <w:bCs/>
          <w:szCs w:val="22"/>
        </w:rPr>
        <w:t xml:space="preserve">be </w:t>
      </w:r>
      <w:r w:rsidRPr="00CB21D6">
        <w:rPr>
          <w:bCs/>
          <w:szCs w:val="22"/>
        </w:rPr>
        <w:t xml:space="preserve">maintained where there are genuine differences across the results for </w:t>
      </w:r>
      <w:r w:rsidR="00B2738F">
        <w:rPr>
          <w:bCs/>
          <w:szCs w:val="22"/>
        </w:rPr>
        <w:t xml:space="preserve">the </w:t>
      </w:r>
      <w:r w:rsidRPr="00CB21D6">
        <w:rPr>
          <w:bCs/>
          <w:szCs w:val="22"/>
        </w:rPr>
        <w:t xml:space="preserve">placebo.  Such differences would likely reflect the effect of other differences across the trials and </w:t>
      </w:r>
      <w:r w:rsidR="0052634A">
        <w:rPr>
          <w:bCs/>
          <w:szCs w:val="22"/>
        </w:rPr>
        <w:t xml:space="preserve">be </w:t>
      </w:r>
      <w:r w:rsidRPr="00CB21D6">
        <w:rPr>
          <w:bCs/>
          <w:szCs w:val="22"/>
        </w:rPr>
        <w:t>associated with time (such as co-interventions, baseline disease severity, patient comorbidities), rather than true variations in a “placebo response”. Adjustment for these differences was not possible as the true effect modifiers were unknown and as such, any adjusted analysis would not provide a confident estimate of comparative effectiveness.</w:t>
      </w:r>
    </w:p>
    <w:p w:rsidR="00E25298" w:rsidRPr="00CB21D6" w:rsidRDefault="00E25298" w:rsidP="00E25298">
      <w:pPr>
        <w:pStyle w:val="ListParagraph"/>
        <w:widowControl/>
        <w:rPr>
          <w:szCs w:val="22"/>
        </w:rPr>
      </w:pPr>
    </w:p>
    <w:p w:rsidR="001C1121" w:rsidRPr="00CB21D6" w:rsidRDefault="001C1121" w:rsidP="00D33470">
      <w:pPr>
        <w:pStyle w:val="ListParagraph"/>
        <w:widowControl/>
        <w:numPr>
          <w:ilvl w:val="1"/>
          <w:numId w:val="1"/>
        </w:numPr>
        <w:rPr>
          <w:szCs w:val="22"/>
        </w:rPr>
      </w:pPr>
      <w:r w:rsidRPr="00CB21D6">
        <w:rPr>
          <w:szCs w:val="18"/>
        </w:rPr>
        <w:t>The results for ASAS20 measured at 16 weeks (primary outcome) for both the FAS and αTNF-naïve population for the pivotal MEASURE 2 trial, and measured at 12 weeks in all comparator trials with the exception of the golimumab trials (measured at 14 weeks), are consistent with the results using ASAS20 at 12 weeks in the MEASURE 2 trial.  The results indicated there was no statistically significant difference between secukinumab and any of the bDMARDs or the combined bDMARDs.</w:t>
      </w:r>
    </w:p>
    <w:p w:rsidR="001C1121" w:rsidRPr="00CB21D6" w:rsidRDefault="001C1121" w:rsidP="00E92500">
      <w:pPr>
        <w:pStyle w:val="ListParagraph"/>
        <w:widowControl/>
        <w:rPr>
          <w:szCs w:val="22"/>
        </w:rPr>
      </w:pPr>
    </w:p>
    <w:p w:rsidR="001C1121" w:rsidRPr="00CB21D6" w:rsidRDefault="001C1121" w:rsidP="00D33470">
      <w:pPr>
        <w:pStyle w:val="ListParagraph"/>
        <w:widowControl/>
        <w:numPr>
          <w:ilvl w:val="1"/>
          <w:numId w:val="1"/>
        </w:numPr>
        <w:rPr>
          <w:szCs w:val="22"/>
        </w:rPr>
      </w:pPr>
      <w:r w:rsidRPr="00CB21D6">
        <w:t>The submission nominate</w:t>
      </w:r>
      <w:r w:rsidR="00AB2C1E" w:rsidRPr="00CB21D6">
        <w:t>d</w:t>
      </w:r>
      <w:r w:rsidRPr="00CB21D6">
        <w:t xml:space="preserve"> a non-inferiority criterion of 0.43 for the relative risk of ASAS20 at week 12 </w:t>
      </w:r>
      <w:r w:rsidRPr="00CB21D6">
        <w:rPr>
          <w:szCs w:val="18"/>
        </w:rPr>
        <w:t>based on the PSD for certolizumab and golimumab in AS (March 2014 and March 2010, respectively).  Th</w:t>
      </w:r>
      <w:r w:rsidR="00C223FB" w:rsidRPr="00CB21D6">
        <w:rPr>
          <w:szCs w:val="18"/>
        </w:rPr>
        <w:t>is</w:t>
      </w:r>
      <w:r w:rsidRPr="00CB21D6">
        <w:rPr>
          <w:szCs w:val="18"/>
        </w:rPr>
        <w:t xml:space="preserve"> nominated non-inferiority criterion of 0.43 was satisfied in all indirect comparisons.</w:t>
      </w:r>
    </w:p>
    <w:p w:rsidR="0082689F" w:rsidRPr="00CB21D6" w:rsidRDefault="0082689F" w:rsidP="0082689F">
      <w:pPr>
        <w:pStyle w:val="ListParagraph"/>
        <w:widowControl/>
        <w:rPr>
          <w:szCs w:val="22"/>
        </w:rPr>
      </w:pPr>
    </w:p>
    <w:p w:rsidR="001E3E92" w:rsidRPr="00CB21D6" w:rsidRDefault="001E3E92" w:rsidP="00D33470">
      <w:pPr>
        <w:pStyle w:val="ListParagraph"/>
        <w:widowControl/>
        <w:numPr>
          <w:ilvl w:val="1"/>
          <w:numId w:val="1"/>
        </w:numPr>
        <w:rPr>
          <w:szCs w:val="22"/>
        </w:rPr>
      </w:pPr>
      <w:r w:rsidRPr="00CB21D6">
        <w:t xml:space="preserve">Overall, the ESC considered that the clinical data regarding the comparative effectiveness of </w:t>
      </w:r>
      <w:r w:rsidR="00465642" w:rsidRPr="00CB21D6">
        <w:t>secukinumab</w:t>
      </w:r>
      <w:r w:rsidRPr="00CB21D6">
        <w:t xml:space="preserve"> should be interpreted with caution</w:t>
      </w:r>
      <w:r w:rsidR="00D445AD" w:rsidRPr="00CB21D6">
        <w:t xml:space="preserve">, secondary to </w:t>
      </w:r>
      <w:r w:rsidR="00D445AD" w:rsidRPr="00CB21D6">
        <w:lastRenderedPageBreak/>
        <w:t>several systematic differences between included trials, particularly with respect to trial methods, setting confounders and differences in end- and time-points</w:t>
      </w:r>
      <w:r w:rsidRPr="00CB21D6">
        <w:t>.</w:t>
      </w:r>
    </w:p>
    <w:p w:rsidR="001C1121" w:rsidRPr="00BA3352" w:rsidRDefault="001C1121" w:rsidP="00E92500">
      <w:pPr>
        <w:widowControl/>
        <w:rPr>
          <w:szCs w:val="22"/>
        </w:rPr>
      </w:pPr>
    </w:p>
    <w:p w:rsidR="001C1121" w:rsidRPr="00BA3352" w:rsidRDefault="001C1121" w:rsidP="00E92500">
      <w:pPr>
        <w:pStyle w:val="Heading2"/>
        <w:widowControl/>
        <w:rPr>
          <w:i/>
        </w:rPr>
      </w:pPr>
      <w:bookmarkStart w:id="11" w:name="_Toc441065565"/>
      <w:r w:rsidRPr="00BA3352">
        <w:rPr>
          <w:i/>
        </w:rPr>
        <w:t>Comparative harms</w:t>
      </w:r>
      <w:bookmarkEnd w:id="11"/>
    </w:p>
    <w:p w:rsidR="001C1121" w:rsidRPr="00BA3352" w:rsidRDefault="001C1121" w:rsidP="00E92500">
      <w:pPr>
        <w:widowControl/>
        <w:ind w:left="720" w:hanging="720"/>
        <w:rPr>
          <w:i/>
          <w:szCs w:val="22"/>
        </w:rPr>
      </w:pPr>
    </w:p>
    <w:p w:rsidR="001C1121" w:rsidRPr="00BA3352" w:rsidRDefault="001C1121" w:rsidP="00D33470">
      <w:pPr>
        <w:pStyle w:val="ListParagraph"/>
        <w:widowControl/>
        <w:numPr>
          <w:ilvl w:val="1"/>
          <w:numId w:val="1"/>
        </w:numPr>
        <w:rPr>
          <w:szCs w:val="22"/>
        </w:rPr>
      </w:pPr>
      <w:r w:rsidRPr="00BA3352">
        <w:t>The safety profile of secukinumab showed no new or unexpected safety signals.</w:t>
      </w:r>
    </w:p>
    <w:p w:rsidR="001C1121" w:rsidRPr="00BA3352" w:rsidRDefault="001C1121" w:rsidP="00AD0872">
      <w:pPr>
        <w:keepNext/>
        <w:widowControl/>
        <w:ind w:left="720" w:hanging="720"/>
        <w:rPr>
          <w:i/>
        </w:rPr>
      </w:pPr>
    </w:p>
    <w:p w:rsidR="001C1121" w:rsidRPr="007C0FC3" w:rsidRDefault="0082567A" w:rsidP="00E92500">
      <w:pPr>
        <w:widowControl/>
        <w:ind w:firstLine="709"/>
        <w:rPr>
          <w:rStyle w:val="CommentReference"/>
        </w:rPr>
      </w:pPr>
      <w:r w:rsidRPr="007C0FC3">
        <w:rPr>
          <w:rStyle w:val="CommentReference"/>
        </w:rPr>
        <w:t xml:space="preserve">Table </w:t>
      </w:r>
      <w:r w:rsidR="0001249A">
        <w:rPr>
          <w:rStyle w:val="CommentReference"/>
        </w:rPr>
        <w:t>5</w:t>
      </w:r>
      <w:r w:rsidR="00F71FFA" w:rsidRPr="007C0FC3">
        <w:rPr>
          <w:rStyle w:val="CommentReference"/>
        </w:rPr>
        <w:t xml:space="preserve">: </w:t>
      </w:r>
      <w:r w:rsidR="001C1121" w:rsidRPr="007C0FC3">
        <w:rPr>
          <w:rStyle w:val="CommentReference"/>
        </w:rPr>
        <w:t>Summary of key adverse events in MEASURE</w:t>
      </w:r>
      <w:r w:rsidR="00594992" w:rsidRPr="007C0FC3">
        <w:rPr>
          <w:rStyle w:val="CommentReference"/>
        </w:rPr>
        <w:t xml:space="preserve"> </w:t>
      </w:r>
      <w:r w:rsidR="001C1121" w:rsidRPr="007C0FC3">
        <w:rPr>
          <w:rStyle w:val="CommentReference"/>
        </w:rPr>
        <w:t>2 trial up to Week 16</w:t>
      </w:r>
    </w:p>
    <w:tbl>
      <w:tblPr>
        <w:tblW w:w="463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35"/>
        <w:gridCol w:w="1275"/>
        <w:gridCol w:w="1277"/>
        <w:gridCol w:w="1496"/>
        <w:gridCol w:w="1538"/>
      </w:tblGrid>
      <w:tr w:rsidR="001C1121" w:rsidRPr="00BA3352" w:rsidTr="00F71FFA">
        <w:tc>
          <w:tcPr>
            <w:tcW w:w="1683" w:type="pct"/>
            <w:vAlign w:val="center"/>
          </w:tcPr>
          <w:p w:rsidR="001C1121" w:rsidRPr="00BA3352" w:rsidRDefault="001C1121" w:rsidP="00E92500">
            <w:pPr>
              <w:widowControl/>
              <w:tabs>
                <w:tab w:val="left" w:pos="150"/>
              </w:tabs>
              <w:jc w:val="left"/>
              <w:rPr>
                <w:rFonts w:ascii="Arial Narrow" w:hAnsi="Arial Narrow"/>
                <w:sz w:val="20"/>
              </w:rPr>
            </w:pPr>
            <w:r w:rsidRPr="00BA3352">
              <w:rPr>
                <w:rFonts w:ascii="Arial Narrow" w:hAnsi="Arial Narrow"/>
                <w:b/>
                <w:sz w:val="20"/>
              </w:rPr>
              <w:t>Trial ID</w:t>
            </w:r>
          </w:p>
        </w:tc>
        <w:tc>
          <w:tcPr>
            <w:tcW w:w="757" w:type="pct"/>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Secukinumab 15</w:t>
            </w:r>
            <w:r w:rsidR="0072411B" w:rsidRPr="00BA3352">
              <w:rPr>
                <w:rFonts w:ascii="Arial Narrow" w:hAnsi="Arial Narrow"/>
                <w:b/>
                <w:sz w:val="20"/>
              </w:rPr>
              <w:t>0 mg</w:t>
            </w:r>
          </w:p>
          <w:p w:rsidR="001C1121" w:rsidRPr="00BA3352" w:rsidRDefault="001C1121" w:rsidP="00E92500">
            <w:pPr>
              <w:widowControl/>
              <w:jc w:val="center"/>
              <w:rPr>
                <w:rFonts w:ascii="Arial Narrow" w:hAnsi="Arial Narrow"/>
                <w:sz w:val="20"/>
              </w:rPr>
            </w:pPr>
            <w:r w:rsidRPr="00BA3352">
              <w:rPr>
                <w:rFonts w:ascii="Arial Narrow" w:hAnsi="Arial Narrow"/>
                <w:b/>
                <w:sz w:val="20"/>
              </w:rPr>
              <w:t>n/N (%)</w:t>
            </w:r>
          </w:p>
        </w:tc>
        <w:tc>
          <w:tcPr>
            <w:tcW w:w="758" w:type="pct"/>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Placebo</w:t>
            </w:r>
          </w:p>
          <w:p w:rsidR="00F71FFA" w:rsidRPr="00BA3352" w:rsidRDefault="00F71FFA" w:rsidP="00E92500">
            <w:pPr>
              <w:widowControl/>
              <w:jc w:val="center"/>
              <w:rPr>
                <w:rFonts w:ascii="Arial Narrow" w:hAnsi="Arial Narrow"/>
                <w:b/>
                <w:sz w:val="20"/>
              </w:rPr>
            </w:pPr>
          </w:p>
          <w:p w:rsidR="001C1121" w:rsidRPr="00BA3352" w:rsidRDefault="001C1121" w:rsidP="00E92500">
            <w:pPr>
              <w:widowControl/>
              <w:jc w:val="center"/>
              <w:rPr>
                <w:rFonts w:ascii="Arial Narrow" w:hAnsi="Arial Narrow"/>
                <w:b/>
                <w:sz w:val="20"/>
              </w:rPr>
            </w:pPr>
            <w:r w:rsidRPr="00BA3352">
              <w:rPr>
                <w:rFonts w:ascii="Arial Narrow" w:hAnsi="Arial Narrow"/>
                <w:b/>
                <w:sz w:val="20"/>
              </w:rPr>
              <w:t>n/N (%)</w:t>
            </w:r>
          </w:p>
        </w:tc>
        <w:tc>
          <w:tcPr>
            <w:tcW w:w="888" w:type="pct"/>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RD</w:t>
            </w:r>
          </w:p>
          <w:p w:rsidR="001C1121" w:rsidRPr="00BA3352" w:rsidRDefault="001C1121" w:rsidP="00E92500">
            <w:pPr>
              <w:widowControl/>
              <w:jc w:val="center"/>
              <w:rPr>
                <w:rFonts w:ascii="Arial Narrow" w:hAnsi="Arial Narrow"/>
                <w:b/>
                <w:sz w:val="20"/>
              </w:rPr>
            </w:pPr>
            <w:r w:rsidRPr="00BA3352">
              <w:rPr>
                <w:rFonts w:ascii="Arial Narrow" w:hAnsi="Arial Narrow"/>
                <w:b/>
                <w:sz w:val="20"/>
              </w:rPr>
              <w:t>(95% CI)</w:t>
            </w:r>
          </w:p>
        </w:tc>
        <w:tc>
          <w:tcPr>
            <w:tcW w:w="913" w:type="pct"/>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RR</w:t>
            </w:r>
          </w:p>
          <w:p w:rsidR="001C1121" w:rsidRPr="00BA3352" w:rsidRDefault="001C1121" w:rsidP="00E92500">
            <w:pPr>
              <w:widowControl/>
              <w:jc w:val="center"/>
              <w:rPr>
                <w:rFonts w:ascii="Arial Narrow" w:hAnsi="Arial Narrow"/>
                <w:sz w:val="20"/>
              </w:rPr>
            </w:pPr>
            <w:r w:rsidRPr="00BA3352">
              <w:rPr>
                <w:rFonts w:ascii="Arial Narrow" w:hAnsi="Arial Narrow"/>
                <w:b/>
                <w:sz w:val="20"/>
              </w:rPr>
              <w:t>(95% CI)</w:t>
            </w:r>
          </w:p>
        </w:tc>
      </w:tr>
      <w:tr w:rsidR="001C1121" w:rsidRPr="00BA3352" w:rsidTr="00F71FFA">
        <w:tc>
          <w:tcPr>
            <w:tcW w:w="1683" w:type="pct"/>
            <w:vAlign w:val="center"/>
          </w:tcPr>
          <w:p w:rsidR="001C1121" w:rsidRPr="00BA3352" w:rsidRDefault="001C1121" w:rsidP="00E92500">
            <w:pPr>
              <w:widowControl/>
              <w:tabs>
                <w:tab w:val="left" w:pos="150"/>
              </w:tabs>
              <w:jc w:val="left"/>
              <w:rPr>
                <w:rFonts w:ascii="Arial Narrow" w:hAnsi="Arial Narrow"/>
                <w:sz w:val="20"/>
              </w:rPr>
            </w:pPr>
            <w:r w:rsidRPr="00BA3352">
              <w:rPr>
                <w:rFonts w:ascii="Arial Narrow" w:hAnsi="Arial Narrow"/>
                <w:sz w:val="20"/>
              </w:rPr>
              <w:t>Any AEs</w:t>
            </w:r>
          </w:p>
          <w:p w:rsidR="001C1121" w:rsidRPr="00BA3352" w:rsidRDefault="001C1121" w:rsidP="00E92500">
            <w:pPr>
              <w:widowControl/>
              <w:tabs>
                <w:tab w:val="left" w:pos="150"/>
              </w:tabs>
              <w:jc w:val="left"/>
              <w:rPr>
                <w:rFonts w:ascii="Arial Narrow" w:hAnsi="Arial Narrow"/>
                <w:sz w:val="20"/>
              </w:rPr>
            </w:pPr>
            <w:r w:rsidRPr="00BA3352">
              <w:rPr>
                <w:rFonts w:ascii="Arial Narrow" w:hAnsi="Arial Narrow"/>
                <w:sz w:val="20"/>
              </w:rPr>
              <w:t>Treatment-related AEs</w:t>
            </w:r>
          </w:p>
          <w:p w:rsidR="001C1121" w:rsidRPr="00BA3352" w:rsidRDefault="001C1121" w:rsidP="00E92500">
            <w:pPr>
              <w:widowControl/>
              <w:tabs>
                <w:tab w:val="left" w:pos="150"/>
              </w:tabs>
              <w:jc w:val="left"/>
              <w:rPr>
                <w:rFonts w:ascii="Arial Narrow" w:hAnsi="Arial Narrow"/>
                <w:sz w:val="20"/>
              </w:rPr>
            </w:pPr>
            <w:r w:rsidRPr="00BA3352">
              <w:rPr>
                <w:rFonts w:ascii="Arial Narrow" w:hAnsi="Arial Narrow"/>
                <w:sz w:val="20"/>
              </w:rPr>
              <w:t>Severe AEs</w:t>
            </w:r>
          </w:p>
          <w:p w:rsidR="001C1121" w:rsidRPr="00BA3352" w:rsidRDefault="001C1121" w:rsidP="00E92500">
            <w:pPr>
              <w:widowControl/>
              <w:tabs>
                <w:tab w:val="left" w:pos="150"/>
              </w:tabs>
              <w:jc w:val="left"/>
              <w:rPr>
                <w:rFonts w:ascii="Arial Narrow" w:hAnsi="Arial Narrow"/>
                <w:sz w:val="20"/>
              </w:rPr>
            </w:pPr>
            <w:r w:rsidRPr="00BA3352">
              <w:rPr>
                <w:rFonts w:ascii="Arial Narrow" w:hAnsi="Arial Narrow"/>
                <w:sz w:val="20"/>
              </w:rPr>
              <w:t>Serious AEs</w:t>
            </w:r>
            <w:r w:rsidRPr="00BA3352">
              <w:rPr>
                <w:rFonts w:ascii="Arial Narrow" w:hAnsi="Arial Narrow"/>
                <w:sz w:val="20"/>
                <w:vertAlign w:val="superscript"/>
              </w:rPr>
              <w:t>a</w:t>
            </w:r>
          </w:p>
          <w:p w:rsidR="001C1121" w:rsidRPr="00BA3352" w:rsidRDefault="001C1121" w:rsidP="00E92500">
            <w:pPr>
              <w:widowControl/>
              <w:tabs>
                <w:tab w:val="left" w:pos="150"/>
              </w:tabs>
              <w:jc w:val="left"/>
              <w:rPr>
                <w:rFonts w:ascii="Arial Narrow" w:hAnsi="Arial Narrow"/>
                <w:sz w:val="20"/>
              </w:rPr>
            </w:pPr>
            <w:r w:rsidRPr="00BA3352">
              <w:rPr>
                <w:rFonts w:ascii="Arial Narrow" w:hAnsi="Arial Narrow"/>
                <w:sz w:val="20"/>
              </w:rPr>
              <w:t>Discontinued due to any AEs</w:t>
            </w:r>
          </w:p>
          <w:p w:rsidR="001C1121" w:rsidRPr="00BA3352" w:rsidRDefault="001C1121" w:rsidP="00E92500">
            <w:pPr>
              <w:widowControl/>
              <w:tabs>
                <w:tab w:val="left" w:pos="150"/>
              </w:tabs>
              <w:jc w:val="left"/>
              <w:rPr>
                <w:rFonts w:ascii="Arial Narrow" w:hAnsi="Arial Narrow"/>
                <w:sz w:val="20"/>
              </w:rPr>
            </w:pPr>
            <w:r w:rsidRPr="00BA3352">
              <w:rPr>
                <w:rFonts w:ascii="Arial Narrow" w:hAnsi="Arial Narrow"/>
                <w:sz w:val="20"/>
              </w:rPr>
              <w:t>Any AE resulting in hospitalisation</w:t>
            </w:r>
            <w:r w:rsidRPr="00BA3352">
              <w:rPr>
                <w:rFonts w:ascii="Arial Narrow" w:hAnsi="Arial Narrow"/>
                <w:sz w:val="20"/>
                <w:vertAlign w:val="superscript"/>
              </w:rPr>
              <w:t>b</w:t>
            </w:r>
          </w:p>
          <w:p w:rsidR="001C1121" w:rsidRPr="00BA3352" w:rsidRDefault="001C1121" w:rsidP="00E92500">
            <w:pPr>
              <w:widowControl/>
              <w:tabs>
                <w:tab w:val="left" w:pos="150"/>
              </w:tabs>
              <w:jc w:val="left"/>
              <w:rPr>
                <w:rFonts w:ascii="Arial Narrow" w:hAnsi="Arial Narrow"/>
                <w:sz w:val="20"/>
              </w:rPr>
            </w:pPr>
            <w:r w:rsidRPr="00BA3352">
              <w:rPr>
                <w:rFonts w:ascii="Arial Narrow" w:hAnsi="Arial Narrow"/>
                <w:sz w:val="20"/>
              </w:rPr>
              <w:t>Death</w:t>
            </w:r>
          </w:p>
          <w:p w:rsidR="001C1121" w:rsidRPr="00BA3352" w:rsidRDefault="001C1121" w:rsidP="00E92500">
            <w:pPr>
              <w:widowControl/>
              <w:tabs>
                <w:tab w:val="left" w:pos="150"/>
              </w:tabs>
              <w:jc w:val="left"/>
              <w:rPr>
                <w:rFonts w:ascii="Arial Narrow" w:hAnsi="Arial Narrow"/>
                <w:sz w:val="20"/>
              </w:rPr>
            </w:pPr>
            <w:r w:rsidRPr="00BA3352">
              <w:rPr>
                <w:rFonts w:ascii="Arial Narrow" w:hAnsi="Arial Narrow"/>
                <w:sz w:val="20"/>
              </w:rPr>
              <w:t>Infections and infestations</w:t>
            </w:r>
          </w:p>
        </w:tc>
        <w:tc>
          <w:tcPr>
            <w:tcW w:w="757" w:type="pct"/>
            <w:vAlign w:val="center"/>
          </w:tcPr>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w:t>
            </w:r>
            <w:r>
              <w:rPr>
                <w:rFonts w:ascii="Arial Narrow" w:hAnsi="Arial Narrow"/>
                <w:noProof/>
                <w:color w:val="000000"/>
                <w:sz w:val="20"/>
                <w:highlight w:val="black"/>
              </w:rPr>
              <w:t>''''''''''</w:t>
            </w:r>
            <w:r w:rsidR="001C1121" w:rsidRPr="00BA3352">
              <w:rPr>
                <w:rFonts w:ascii="Arial Narrow" w:hAnsi="Arial Narrow"/>
                <w:sz w:val="20"/>
              </w:rPr>
              <w:t>%)</w:t>
            </w:r>
          </w:p>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p w:rsidR="001C1121" w:rsidRPr="00BD1420" w:rsidRDefault="00BD1420" w:rsidP="00E92500">
            <w:pPr>
              <w:widowControl/>
              <w:jc w:val="center"/>
              <w:rPr>
                <w:rFonts w:ascii="Arial Narrow" w:hAnsi="Arial Narrow"/>
                <w:sz w:val="20"/>
                <w:highlight w:val="black"/>
              </w:rPr>
            </w:pPr>
            <w:r>
              <w:rPr>
                <w:rFonts w:ascii="Arial Narrow" w:hAnsi="Arial Narrow"/>
                <w:noProof/>
                <w:color w:val="000000"/>
                <w:sz w:val="20"/>
                <w:highlight w:val="black"/>
              </w:rPr>
              <w:t>'''</w:t>
            </w:r>
          </w:p>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tc>
        <w:tc>
          <w:tcPr>
            <w:tcW w:w="758" w:type="pct"/>
            <w:vAlign w:val="center"/>
          </w:tcPr>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p w:rsidR="001C1121" w:rsidRPr="00BD1420" w:rsidRDefault="00BD1420" w:rsidP="00E92500">
            <w:pPr>
              <w:widowControl/>
              <w:jc w:val="center"/>
              <w:rPr>
                <w:rFonts w:ascii="Arial Narrow" w:hAnsi="Arial Narrow"/>
                <w:sz w:val="20"/>
                <w:highlight w:val="black"/>
              </w:rPr>
            </w:pPr>
            <w:r>
              <w:rPr>
                <w:rFonts w:ascii="Arial Narrow" w:hAnsi="Arial Narrow"/>
                <w:noProof/>
                <w:color w:val="000000"/>
                <w:sz w:val="20"/>
                <w:highlight w:val="black"/>
              </w:rPr>
              <w:t>''''</w:t>
            </w:r>
          </w:p>
          <w:p w:rsidR="001C1121" w:rsidRPr="00BA3352" w:rsidRDefault="00BD1420" w:rsidP="00E92500">
            <w:pPr>
              <w:widowControl/>
              <w:jc w:val="center"/>
              <w:rPr>
                <w:rFonts w:ascii="Arial Narrow" w:hAnsi="Arial Narrow"/>
                <w:sz w:val="20"/>
              </w:rPr>
            </w:pPr>
            <w:r>
              <w:rPr>
                <w:rFonts w:ascii="Arial Narrow" w:hAnsi="Arial Narrow"/>
                <w:noProof/>
                <w:color w:val="000000"/>
                <w:sz w:val="20"/>
                <w:highlight w:val="black"/>
              </w:rPr>
              <w:t>''''''''''''</w:t>
            </w:r>
            <w:r w:rsidR="001C1121" w:rsidRPr="00BA3352">
              <w:rPr>
                <w:rFonts w:ascii="Arial Narrow" w:hAnsi="Arial Narrow"/>
                <w:sz w:val="20"/>
              </w:rPr>
              <w:t xml:space="preserve"> (</w:t>
            </w:r>
            <w:r>
              <w:rPr>
                <w:rFonts w:ascii="Arial Narrow" w:hAnsi="Arial Narrow"/>
                <w:noProof/>
                <w:color w:val="000000"/>
                <w:sz w:val="20"/>
                <w:highlight w:val="black"/>
              </w:rPr>
              <w:t>''''''''''</w:t>
            </w:r>
            <w:r w:rsidR="001C1121" w:rsidRPr="00BA3352">
              <w:rPr>
                <w:rFonts w:ascii="Arial Narrow" w:hAnsi="Arial Narrow"/>
                <w:sz w:val="20"/>
              </w:rPr>
              <w:t>%)</w:t>
            </w:r>
          </w:p>
        </w:tc>
        <w:tc>
          <w:tcPr>
            <w:tcW w:w="888" w:type="pct"/>
            <w:vAlign w:val="center"/>
          </w:tcPr>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r>
              <w:rPr>
                <w:rFonts w:ascii="Arial Narrow" w:hAnsi="Arial Narrow"/>
                <w:iCs/>
                <w:noProof/>
                <w:color w:val="000000"/>
                <w:sz w:val="20"/>
                <w:highlight w:val="black"/>
              </w:rPr>
              <w:t>'''''''''''</w:t>
            </w:r>
            <w:r w:rsidR="001C1121" w:rsidRPr="00BA3352">
              <w:rPr>
                <w:rFonts w:ascii="Arial Narrow" w:hAnsi="Arial Narrow"/>
                <w:iCs/>
                <w:sz w:val="20"/>
              </w:rPr>
              <w:t>)</w:t>
            </w:r>
          </w:p>
          <w:p w:rsidR="001C1121" w:rsidRPr="00BA3352" w:rsidRDefault="001C1121" w:rsidP="00E92500">
            <w:pPr>
              <w:widowControl/>
              <w:jc w:val="center"/>
              <w:rPr>
                <w:rFonts w:ascii="Arial Narrow" w:hAnsi="Arial Narrow"/>
                <w:iCs/>
                <w:sz w:val="20"/>
              </w:rPr>
            </w:pPr>
            <w:r w:rsidRPr="00BA3352">
              <w:rPr>
                <w:rFonts w:ascii="Arial Narrow" w:hAnsi="Arial Narrow"/>
                <w:iCs/>
                <w:sz w:val="20"/>
              </w:rPr>
              <w:t>-</w:t>
            </w:r>
            <w:r w:rsidR="00BD1420">
              <w:rPr>
                <w:rFonts w:ascii="Arial Narrow" w:hAnsi="Arial Narrow"/>
                <w:iCs/>
                <w:noProof/>
                <w:color w:val="000000"/>
                <w:sz w:val="20"/>
                <w:highlight w:val="black"/>
              </w:rPr>
              <w:t>''''''''''</w:t>
            </w:r>
            <w:r w:rsidRPr="00BA3352">
              <w:rPr>
                <w:rFonts w:ascii="Arial Narrow" w:hAnsi="Arial Narrow"/>
                <w:iCs/>
                <w:sz w:val="20"/>
              </w:rPr>
              <w:t xml:space="preserve"> (-</w:t>
            </w:r>
            <w:r w:rsidR="00BD1420">
              <w:rPr>
                <w:rFonts w:ascii="Arial Narrow" w:hAnsi="Arial Narrow"/>
                <w:iCs/>
                <w:noProof/>
                <w:color w:val="000000"/>
                <w:sz w:val="20"/>
                <w:highlight w:val="black"/>
              </w:rPr>
              <w:t>''''''''''</w:t>
            </w:r>
            <w:r w:rsidRPr="00BA3352">
              <w:rPr>
                <w:rFonts w:ascii="Arial Narrow" w:hAnsi="Arial Narrow"/>
                <w:iCs/>
                <w:sz w:val="20"/>
              </w:rPr>
              <w:t xml:space="preserve">, </w:t>
            </w:r>
            <w:r w:rsidR="00BD1420">
              <w:rPr>
                <w:rFonts w:ascii="Arial Narrow" w:hAnsi="Arial Narrow"/>
                <w:iCs/>
                <w:noProof/>
                <w:color w:val="000000"/>
                <w:sz w:val="20"/>
                <w:highlight w:val="black"/>
              </w:rPr>
              <w:t>''''''''''</w:t>
            </w:r>
            <w:r w:rsidRPr="00BA3352">
              <w:rPr>
                <w:rFonts w:ascii="Arial Narrow" w:hAnsi="Arial Narrow"/>
                <w:iCs/>
                <w:sz w:val="20"/>
              </w:rPr>
              <w:t>)</w:t>
            </w:r>
          </w:p>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p>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p>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p>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p>
          <w:p w:rsidR="001C1121" w:rsidRPr="00BA3352" w:rsidRDefault="001C1121" w:rsidP="00E92500">
            <w:pPr>
              <w:widowControl/>
              <w:jc w:val="center"/>
              <w:rPr>
                <w:rFonts w:ascii="Arial Narrow" w:hAnsi="Arial Narrow"/>
                <w:iCs/>
                <w:sz w:val="20"/>
              </w:rPr>
            </w:pPr>
            <w:r w:rsidRPr="00BA3352">
              <w:rPr>
                <w:rFonts w:ascii="Arial Narrow" w:hAnsi="Arial Narrow"/>
                <w:iCs/>
                <w:sz w:val="20"/>
              </w:rPr>
              <w:t>-</w:t>
            </w:r>
          </w:p>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p>
        </w:tc>
        <w:tc>
          <w:tcPr>
            <w:tcW w:w="913" w:type="pct"/>
            <w:vAlign w:val="center"/>
          </w:tcPr>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p>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p>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p>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p>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p>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p>
          <w:p w:rsidR="001C1121" w:rsidRPr="00BA3352" w:rsidRDefault="001C1121" w:rsidP="00E92500">
            <w:pPr>
              <w:widowControl/>
              <w:jc w:val="center"/>
              <w:rPr>
                <w:rFonts w:ascii="Arial Narrow" w:hAnsi="Arial Narrow"/>
                <w:iCs/>
                <w:sz w:val="20"/>
              </w:rPr>
            </w:pPr>
            <w:r w:rsidRPr="00BA3352">
              <w:rPr>
                <w:rFonts w:ascii="Arial Narrow" w:hAnsi="Arial Narrow"/>
                <w:iCs/>
                <w:sz w:val="20"/>
              </w:rPr>
              <w:t>-</w:t>
            </w:r>
          </w:p>
          <w:p w:rsidR="001C1121" w:rsidRPr="00BA3352" w:rsidRDefault="00BD1420" w:rsidP="00E92500">
            <w:pPr>
              <w:widowControl/>
              <w:jc w:val="center"/>
              <w:rPr>
                <w:rFonts w:ascii="Arial Narrow" w:hAnsi="Arial Narrow"/>
                <w:iCs/>
                <w:sz w:val="20"/>
              </w:rPr>
            </w:pP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 xml:space="preserve">, </w:t>
            </w:r>
            <w:r>
              <w:rPr>
                <w:rFonts w:ascii="Arial Narrow" w:hAnsi="Arial Narrow"/>
                <w:iCs/>
                <w:noProof/>
                <w:color w:val="000000"/>
                <w:sz w:val="20"/>
                <w:highlight w:val="black"/>
              </w:rPr>
              <w:t>''''''''''''</w:t>
            </w:r>
            <w:r w:rsidR="001C1121" w:rsidRPr="00BA3352">
              <w:rPr>
                <w:rFonts w:ascii="Arial Narrow" w:hAnsi="Arial Narrow"/>
                <w:iCs/>
                <w:sz w:val="20"/>
              </w:rPr>
              <w:t>)</w:t>
            </w:r>
          </w:p>
        </w:tc>
      </w:tr>
    </w:tbl>
    <w:p w:rsidR="001C1121" w:rsidRPr="00BA3352" w:rsidRDefault="001C1121" w:rsidP="00E92500">
      <w:pPr>
        <w:pStyle w:val="TableFooter"/>
        <w:widowControl/>
        <w:ind w:firstLine="709"/>
      </w:pPr>
      <w:r w:rsidRPr="00BA3352">
        <w:t>Source: pp.155, 163, 164, 166 of the trial report.</w:t>
      </w:r>
    </w:p>
    <w:p w:rsidR="001C1121" w:rsidRPr="00BA3352" w:rsidRDefault="001C1121" w:rsidP="00E92500">
      <w:pPr>
        <w:widowControl/>
        <w:autoSpaceDE w:val="0"/>
        <w:autoSpaceDN w:val="0"/>
        <w:adjustRightInd w:val="0"/>
        <w:ind w:left="993" w:hanging="284"/>
        <w:rPr>
          <w:rFonts w:ascii="Arial Narrow" w:eastAsia="TimesNewRoman" w:hAnsi="Arial Narrow" w:cs="TimesNewRoman"/>
          <w:snapToGrid/>
          <w:sz w:val="18"/>
          <w:szCs w:val="18"/>
          <w:lang w:eastAsia="en-AU"/>
        </w:rPr>
      </w:pPr>
      <w:r w:rsidRPr="00BA3352">
        <w:rPr>
          <w:sz w:val="18"/>
          <w:vertAlign w:val="superscript"/>
        </w:rPr>
        <w:t>a</w:t>
      </w:r>
      <w:r w:rsidRPr="00BA3352">
        <w:rPr>
          <w:vertAlign w:val="superscript"/>
        </w:rPr>
        <w:tab/>
      </w:r>
      <w:r w:rsidR="00225238">
        <w:rPr>
          <w:rFonts w:ascii="Arial Narrow" w:hAnsi="Arial Narrow"/>
          <w:sz w:val="18"/>
          <w:szCs w:val="18"/>
        </w:rPr>
        <w:t xml:space="preserve">secukinumab: </w:t>
      </w:r>
      <w:r w:rsidRPr="00BA3352">
        <w:rPr>
          <w:rFonts w:ascii="Arial Narrow" w:hAnsi="Arial Narrow"/>
          <w:sz w:val="18"/>
          <w:szCs w:val="18"/>
        </w:rPr>
        <w:t>hepatic enzyme increased, NMR imaging brain abnormal, costochondritis and malignant melanoma.</w:t>
      </w:r>
      <w:r w:rsidRPr="00BA3352">
        <w:rPr>
          <w:rFonts w:ascii="Arial Narrow" w:eastAsia="TimesNewRoman" w:hAnsi="Arial Narrow" w:cs="TimesNewRoman"/>
          <w:snapToGrid/>
          <w:sz w:val="18"/>
          <w:szCs w:val="18"/>
          <w:lang w:eastAsia="en-AU"/>
        </w:rPr>
        <w:t xml:space="preserve"> The event of hepatic enzyme increase was suspected to be related to the study medication by the investigator</w:t>
      </w:r>
      <w:r w:rsidR="00225238">
        <w:rPr>
          <w:rFonts w:ascii="Arial Narrow" w:hAnsi="Arial Narrow"/>
          <w:sz w:val="18"/>
          <w:szCs w:val="18"/>
        </w:rPr>
        <w:t>. P</w:t>
      </w:r>
      <w:r w:rsidRPr="00BA3352">
        <w:rPr>
          <w:rFonts w:ascii="Arial Narrow" w:hAnsi="Arial Narrow"/>
          <w:sz w:val="18"/>
          <w:szCs w:val="18"/>
        </w:rPr>
        <w:t xml:space="preserve">lacebo: concussion, arthritis&amp; intervertebral disc protrusion, and depression.  </w:t>
      </w:r>
    </w:p>
    <w:p w:rsidR="001C1121" w:rsidRPr="00BA3352" w:rsidRDefault="001C1121" w:rsidP="00E92500">
      <w:pPr>
        <w:pStyle w:val="TableFooter"/>
        <w:widowControl/>
        <w:ind w:left="993" w:hanging="284"/>
      </w:pPr>
      <w:r w:rsidRPr="00BA3352">
        <w:rPr>
          <w:vertAlign w:val="superscript"/>
        </w:rPr>
        <w:t>b</w:t>
      </w:r>
      <w:r w:rsidRPr="00BA3352">
        <w:tab/>
        <w:t xml:space="preserve">No relationship between the event and study medication was suspected. </w:t>
      </w:r>
    </w:p>
    <w:p w:rsidR="001C1121" w:rsidRPr="00BA3352" w:rsidRDefault="001C1121" w:rsidP="00AD0872">
      <w:pPr>
        <w:keepNext/>
        <w:widowControl/>
        <w:ind w:left="720" w:hanging="720"/>
      </w:pPr>
    </w:p>
    <w:p w:rsidR="001C1121" w:rsidRPr="00BA3352" w:rsidRDefault="001C1121" w:rsidP="00D33470">
      <w:pPr>
        <w:pStyle w:val="ListParagraph"/>
        <w:widowControl/>
        <w:numPr>
          <w:ilvl w:val="1"/>
          <w:numId w:val="1"/>
        </w:numPr>
        <w:rPr>
          <w:szCs w:val="22"/>
        </w:rPr>
      </w:pPr>
      <w:r w:rsidRPr="00BA3352">
        <w:rPr>
          <w:szCs w:val="22"/>
        </w:rPr>
        <w:t>An indirect comparison of secukinumab and any of the bDMARDs or the combined bDMARDs (using placebo as the common reference) indicated no statistically significant differences in the proportion of patients experiencing at least one adverse event between the treatments.</w:t>
      </w:r>
    </w:p>
    <w:p w:rsidR="00D50C3C" w:rsidRDefault="00D50C3C" w:rsidP="00D50C3C">
      <w:pPr>
        <w:widowControl/>
        <w:jc w:val="left"/>
        <w:rPr>
          <w:szCs w:val="22"/>
        </w:rPr>
      </w:pPr>
      <w:bookmarkStart w:id="12" w:name="_Toc441065566"/>
    </w:p>
    <w:p w:rsidR="001C1121" w:rsidRPr="0082610F" w:rsidRDefault="001C1121" w:rsidP="0082610F">
      <w:pPr>
        <w:pStyle w:val="Heading2"/>
        <w:widowControl/>
        <w:rPr>
          <w:i/>
        </w:rPr>
      </w:pPr>
      <w:r w:rsidRPr="00D50C3C">
        <w:rPr>
          <w:i/>
        </w:rPr>
        <w:t>Clinical claim</w:t>
      </w:r>
      <w:bookmarkEnd w:id="12"/>
    </w:p>
    <w:p w:rsidR="001C1121" w:rsidRPr="00BA3352" w:rsidRDefault="001C1121" w:rsidP="007C0FC3">
      <w:pPr>
        <w:keepNext/>
        <w:widowControl/>
        <w:ind w:left="720" w:hanging="720"/>
        <w:rPr>
          <w:szCs w:val="22"/>
        </w:rPr>
      </w:pPr>
    </w:p>
    <w:p w:rsidR="00BA3352" w:rsidRPr="00CB21D6" w:rsidRDefault="001C1121" w:rsidP="00D33470">
      <w:pPr>
        <w:pStyle w:val="ListParagraph"/>
        <w:widowControl/>
        <w:numPr>
          <w:ilvl w:val="1"/>
          <w:numId w:val="1"/>
        </w:numPr>
        <w:rPr>
          <w:iCs/>
          <w:szCs w:val="22"/>
        </w:rPr>
      </w:pPr>
      <w:r w:rsidRPr="00CB21D6">
        <w:t>The submission claim</w:t>
      </w:r>
      <w:r w:rsidR="00C42D1E">
        <w:t>ed</w:t>
      </w:r>
      <w:r w:rsidRPr="00CB21D6">
        <w:t xml:space="preserve"> that secukinumab </w:t>
      </w:r>
      <w:r w:rsidR="0052634A">
        <w:t xml:space="preserve">was </w:t>
      </w:r>
      <w:r w:rsidRPr="00CB21D6">
        <w:rPr>
          <w:szCs w:val="22"/>
          <w:u w:val="single"/>
        </w:rPr>
        <w:t>non-inferior</w:t>
      </w:r>
      <w:r w:rsidRPr="00CB21D6">
        <w:rPr>
          <w:szCs w:val="22"/>
        </w:rPr>
        <w:t xml:space="preserve"> to adalimumab, etanercept, golimumab, infliximab and certolizumab in comparative effectiveness and </w:t>
      </w:r>
      <w:r w:rsidRPr="00CB21D6">
        <w:rPr>
          <w:szCs w:val="22"/>
          <w:u w:val="single"/>
        </w:rPr>
        <w:t>equivalent</w:t>
      </w:r>
      <w:r w:rsidRPr="00CB21D6">
        <w:rPr>
          <w:szCs w:val="22"/>
        </w:rPr>
        <w:t xml:space="preserve"> in comparative safety.  </w:t>
      </w:r>
      <w:r w:rsidRPr="00CB21D6">
        <w:rPr>
          <w:iCs/>
          <w:szCs w:val="22"/>
        </w:rPr>
        <w:t xml:space="preserve">This claim </w:t>
      </w:r>
      <w:r w:rsidR="0052634A">
        <w:rPr>
          <w:iCs/>
          <w:szCs w:val="22"/>
        </w:rPr>
        <w:t>wa</w:t>
      </w:r>
      <w:r w:rsidRPr="00CB21D6">
        <w:rPr>
          <w:iCs/>
          <w:szCs w:val="22"/>
        </w:rPr>
        <w:t>s adequately supported by the data presented in the submission</w:t>
      </w:r>
      <w:r w:rsidR="00FE78FC" w:rsidRPr="00CB21D6">
        <w:rPr>
          <w:iCs/>
          <w:szCs w:val="22"/>
        </w:rPr>
        <w:t>,</w:t>
      </w:r>
      <w:r w:rsidR="00FE78FC" w:rsidRPr="00CB21D6">
        <w:t xml:space="preserve"> if the trials </w:t>
      </w:r>
      <w:r w:rsidR="00175E23">
        <w:t>we</w:t>
      </w:r>
      <w:r w:rsidR="00FE78FC" w:rsidRPr="00CB21D6">
        <w:t xml:space="preserve">re considered to be sufficiently comparable </w:t>
      </w:r>
      <w:r w:rsidR="00A9785A" w:rsidRPr="00CB21D6">
        <w:t xml:space="preserve">and/or </w:t>
      </w:r>
      <w:r w:rsidR="00FC1106">
        <w:t xml:space="preserve">had </w:t>
      </w:r>
      <w:r w:rsidR="00A9785A" w:rsidRPr="00CB21D6">
        <w:t xml:space="preserve">been appropriately adjusted in the indirect comparison for differences in baseline risk and other systematic differences in design or setting </w:t>
      </w:r>
      <w:r w:rsidR="00FE78FC" w:rsidRPr="00CB21D6">
        <w:t xml:space="preserve">to inform a valid indirect comparison and that a </w:t>
      </w:r>
      <w:r w:rsidR="00FE78FC" w:rsidRPr="00CB21D6">
        <w:rPr>
          <w:iCs/>
        </w:rPr>
        <w:t>non-stringent non-inferiority margin of 0.43 on the relative risk statistic for the ASAS20 outcome is considered reasonable</w:t>
      </w:r>
      <w:r w:rsidRPr="00CB21D6">
        <w:rPr>
          <w:iCs/>
          <w:szCs w:val="22"/>
        </w:rPr>
        <w:t>.</w:t>
      </w:r>
    </w:p>
    <w:p w:rsidR="001C1121" w:rsidRDefault="001C1121" w:rsidP="00E92500">
      <w:pPr>
        <w:widowControl/>
        <w:ind w:left="720" w:hanging="720"/>
        <w:rPr>
          <w:szCs w:val="22"/>
        </w:rPr>
      </w:pPr>
    </w:p>
    <w:p w:rsidR="00CB21D6" w:rsidRPr="00694343" w:rsidRDefault="00CB21D6" w:rsidP="00D33470">
      <w:pPr>
        <w:pStyle w:val="ListParagraph"/>
        <w:widowControl/>
        <w:numPr>
          <w:ilvl w:val="1"/>
          <w:numId w:val="1"/>
        </w:numPr>
        <w:jc w:val="left"/>
        <w:rPr>
          <w:bCs/>
        </w:rPr>
      </w:pPr>
      <w:r w:rsidRPr="00694343">
        <w:rPr>
          <w:bCs/>
          <w:szCs w:val="22"/>
        </w:rPr>
        <w:t>The PBAC considered that the claim of non-inferior comparati</w:t>
      </w:r>
      <w:r w:rsidR="00D50C3C" w:rsidRPr="00694343">
        <w:rPr>
          <w:bCs/>
          <w:szCs w:val="22"/>
        </w:rPr>
        <w:t xml:space="preserve">ve effectiveness </w:t>
      </w:r>
      <w:r w:rsidR="00C42D1E">
        <w:rPr>
          <w:bCs/>
          <w:szCs w:val="22"/>
        </w:rPr>
        <w:t>and safety were reasonably supported.</w:t>
      </w:r>
    </w:p>
    <w:p w:rsidR="00CB21D6" w:rsidRPr="00CB21D6" w:rsidRDefault="00CB21D6" w:rsidP="00E92500">
      <w:pPr>
        <w:widowControl/>
        <w:ind w:left="720" w:hanging="720"/>
        <w:rPr>
          <w:szCs w:val="22"/>
        </w:rPr>
      </w:pPr>
    </w:p>
    <w:p w:rsidR="001C1121" w:rsidRPr="00BA3352" w:rsidRDefault="001C1121" w:rsidP="00E92500">
      <w:pPr>
        <w:pStyle w:val="Heading2"/>
        <w:widowControl/>
        <w:rPr>
          <w:i/>
        </w:rPr>
      </w:pPr>
      <w:bookmarkStart w:id="13" w:name="_Toc441065567"/>
      <w:r w:rsidRPr="00BA3352">
        <w:rPr>
          <w:i/>
        </w:rPr>
        <w:t>Economic analysis</w:t>
      </w:r>
      <w:bookmarkEnd w:id="13"/>
      <w:r w:rsidRPr="00BA3352">
        <w:rPr>
          <w:i/>
        </w:rPr>
        <w:t xml:space="preserve"> </w:t>
      </w:r>
    </w:p>
    <w:p w:rsidR="001C1121" w:rsidRPr="001831AD" w:rsidRDefault="001C1121" w:rsidP="001831AD">
      <w:pPr>
        <w:widowControl/>
        <w:rPr>
          <w:szCs w:val="22"/>
        </w:rPr>
      </w:pPr>
    </w:p>
    <w:p w:rsidR="001831AD" w:rsidRPr="001831AD" w:rsidRDefault="001831AD" w:rsidP="00D33470">
      <w:pPr>
        <w:pStyle w:val="ListParagraph"/>
        <w:widowControl/>
        <w:numPr>
          <w:ilvl w:val="1"/>
          <w:numId w:val="1"/>
        </w:numPr>
        <w:rPr>
          <w:szCs w:val="22"/>
        </w:rPr>
      </w:pPr>
      <w:r>
        <w:rPr>
          <w:szCs w:val="22"/>
        </w:rPr>
        <w:t xml:space="preserve">The </w:t>
      </w:r>
      <w:r>
        <w:t>submission presented a</w:t>
      </w:r>
      <w:r w:rsidRPr="00CB21D6">
        <w:t xml:space="preserve"> cost minimisation</w:t>
      </w:r>
      <w:r>
        <w:t xml:space="preserve"> analysis</w:t>
      </w:r>
      <w:r w:rsidRPr="00CB21D6">
        <w:t xml:space="preserve"> versus adalimumab over 2 years of treatment</w:t>
      </w:r>
      <w:r>
        <w:t>.</w:t>
      </w:r>
    </w:p>
    <w:p w:rsidR="001831AD" w:rsidRPr="001831AD" w:rsidRDefault="001831AD" w:rsidP="001831AD">
      <w:pPr>
        <w:pStyle w:val="ListParagraph"/>
        <w:widowControl/>
        <w:rPr>
          <w:szCs w:val="22"/>
        </w:rPr>
      </w:pPr>
    </w:p>
    <w:p w:rsidR="001C1121" w:rsidRPr="00CB21D6" w:rsidRDefault="001C1121" w:rsidP="00D33470">
      <w:pPr>
        <w:pStyle w:val="ListParagraph"/>
        <w:widowControl/>
        <w:numPr>
          <w:ilvl w:val="1"/>
          <w:numId w:val="1"/>
        </w:numPr>
        <w:rPr>
          <w:szCs w:val="22"/>
        </w:rPr>
      </w:pPr>
      <w:r w:rsidRPr="00CB21D6">
        <w:t xml:space="preserve">The equi-effective doses </w:t>
      </w:r>
      <w:r w:rsidR="00B2738F">
        <w:t>we</w:t>
      </w:r>
      <w:r w:rsidR="00B2738F" w:rsidRPr="00CB21D6">
        <w:t xml:space="preserve">re </w:t>
      </w:r>
      <w:r w:rsidRPr="00CB21D6">
        <w:t>estimated as secukinumab 15</w:t>
      </w:r>
      <w:r w:rsidR="0072411B" w:rsidRPr="00CB21D6">
        <w:t>0 mg</w:t>
      </w:r>
      <w:r w:rsidRPr="00CB21D6">
        <w:t xml:space="preserve"> for Weeks 0, 1, 2, 3, and 4 followed by 15</w:t>
      </w:r>
      <w:r w:rsidR="0072411B" w:rsidRPr="00CB21D6">
        <w:t>0 mg</w:t>
      </w:r>
      <w:r w:rsidRPr="00CB21D6">
        <w:t xml:space="preserve"> every month over 2 years of therapy and adalimumab 4</w:t>
      </w:r>
      <w:r w:rsidR="0072411B" w:rsidRPr="00CB21D6">
        <w:t>0 mg</w:t>
      </w:r>
      <w:r w:rsidRPr="00CB21D6">
        <w:t xml:space="preserve"> once every 2 weeks over 2 years of therapy.  The submission claim</w:t>
      </w:r>
      <w:r w:rsidR="001831AD">
        <w:t>ed</w:t>
      </w:r>
      <w:r w:rsidRPr="00CB21D6">
        <w:t xml:space="preserve"> that this </w:t>
      </w:r>
      <w:r w:rsidR="00175E23">
        <w:lastRenderedPageBreak/>
        <w:t>wa</w:t>
      </w:r>
      <w:r w:rsidRPr="00CB21D6">
        <w:t xml:space="preserve">s based on clinical trials.  </w:t>
      </w:r>
      <w:r w:rsidRPr="00CB21D6">
        <w:rPr>
          <w:iCs/>
        </w:rPr>
        <w:t>However, the secukinumab dosing appear</w:t>
      </w:r>
      <w:r w:rsidR="00175E23">
        <w:rPr>
          <w:iCs/>
        </w:rPr>
        <w:t>ed</w:t>
      </w:r>
      <w:r w:rsidRPr="00CB21D6">
        <w:rPr>
          <w:iCs/>
        </w:rPr>
        <w:t xml:space="preserve"> to be based on the proposed PI as the maintenance dosing in the pivotal secukinumab trial was 15</w:t>
      </w:r>
      <w:r w:rsidR="0072411B" w:rsidRPr="00CB21D6">
        <w:rPr>
          <w:iCs/>
        </w:rPr>
        <w:t>0 mg</w:t>
      </w:r>
      <w:r w:rsidRPr="00CB21D6">
        <w:rPr>
          <w:iCs/>
        </w:rPr>
        <w:t xml:space="preserve"> every 4 weeks from Week 4.</w:t>
      </w:r>
    </w:p>
    <w:p w:rsidR="001C1121" w:rsidRPr="00CB21D6" w:rsidRDefault="001C1121" w:rsidP="00E92500">
      <w:pPr>
        <w:widowControl/>
        <w:rPr>
          <w:szCs w:val="22"/>
        </w:rPr>
      </w:pPr>
    </w:p>
    <w:p w:rsidR="001E3E92" w:rsidRPr="00CB21D6" w:rsidRDefault="001C1121" w:rsidP="00D33470">
      <w:pPr>
        <w:pStyle w:val="ListParagraph"/>
        <w:widowControl/>
        <w:numPr>
          <w:ilvl w:val="1"/>
          <w:numId w:val="1"/>
        </w:numPr>
        <w:rPr>
          <w:szCs w:val="22"/>
        </w:rPr>
      </w:pPr>
      <w:r w:rsidRPr="00CB21D6">
        <w:t>The results of the cost minimisation presented by the submission are presented in Table</w:t>
      </w:r>
      <w:r w:rsidR="001831AD">
        <w:t xml:space="preserve"> </w:t>
      </w:r>
      <w:r w:rsidR="00F71FFA" w:rsidRPr="00CB21D6">
        <w:t>5</w:t>
      </w:r>
      <w:r w:rsidRPr="00CB21D6">
        <w:t xml:space="preserve">.  The submission’s analysis and proposed price of secukinumab </w:t>
      </w:r>
      <w:r w:rsidR="00175E23">
        <w:t>wa</w:t>
      </w:r>
      <w:r w:rsidRPr="00CB21D6">
        <w:t xml:space="preserve">s based on </w:t>
      </w:r>
      <w:r w:rsidR="00A9785A" w:rsidRPr="00CB21D6">
        <w:t xml:space="preserve">cost neutrality with adalimumab </w:t>
      </w:r>
      <w:r w:rsidR="000C3182" w:rsidRPr="00CB21D6">
        <w:t>assuming 12</w:t>
      </w:r>
      <w:r w:rsidRPr="00CB21D6">
        <w:t xml:space="preserve"> scripts per patient per year for maintenance therapy for secukinumab (monthly dosing)</w:t>
      </w:r>
      <w:r w:rsidR="00A9785A" w:rsidRPr="00CB21D6">
        <w:t xml:space="preserve"> based on the proposed PI</w:t>
      </w:r>
      <w:r w:rsidRPr="00CB21D6">
        <w:t xml:space="preserve">.  The submission also incorrectly assumes 9.5, instead of 9 packs of adalimumab in the 36-week period </w:t>
      </w:r>
      <w:r w:rsidR="00FF3F38">
        <w:t>following the initial 16 weeks.</w:t>
      </w:r>
    </w:p>
    <w:p w:rsidR="001E3E92" w:rsidRPr="00CB21D6" w:rsidRDefault="001E3E92" w:rsidP="001E3E92">
      <w:pPr>
        <w:pStyle w:val="ListParagraph"/>
      </w:pPr>
    </w:p>
    <w:p w:rsidR="001C1121" w:rsidRPr="00CB21D6" w:rsidRDefault="00A9785A" w:rsidP="00D33470">
      <w:pPr>
        <w:pStyle w:val="ListParagraph"/>
        <w:widowControl/>
        <w:numPr>
          <w:ilvl w:val="1"/>
          <w:numId w:val="1"/>
        </w:numPr>
        <w:rPr>
          <w:szCs w:val="22"/>
        </w:rPr>
      </w:pPr>
      <w:r w:rsidRPr="00CB21D6">
        <w:t>The PSCR state</w:t>
      </w:r>
      <w:r w:rsidR="001E3E92" w:rsidRPr="00CB21D6">
        <w:t>d</w:t>
      </w:r>
      <w:r w:rsidRPr="00CB21D6">
        <w:t xml:space="preserve"> that </w:t>
      </w:r>
      <w:r w:rsidR="0073466F" w:rsidRPr="00CB21D6">
        <w:t xml:space="preserve">for the 36-week continuing treatment period in year 1, 9 scripts of adalimumab should be assumed because the last script in this period should be counted in year </w:t>
      </w:r>
      <w:r w:rsidR="00806758" w:rsidRPr="00CB21D6">
        <w:t>2 therefore;</w:t>
      </w:r>
      <w:r w:rsidR="0073466F" w:rsidRPr="00CB21D6">
        <w:t xml:space="preserve"> the year 2 scripts should be increased from 13 to 13.5. </w:t>
      </w:r>
      <w:r w:rsidR="00806758" w:rsidRPr="00CB21D6">
        <w:t>When</w:t>
      </w:r>
      <w:r w:rsidR="0073466F" w:rsidRPr="00CB21D6">
        <w:t xml:space="preserve"> this adjustment </w:t>
      </w:r>
      <w:r w:rsidR="00FC1106">
        <w:t>wa</w:t>
      </w:r>
      <w:r w:rsidR="0073466F" w:rsidRPr="00CB21D6">
        <w:t xml:space="preserve">s made to both year 1 and 2 </w:t>
      </w:r>
      <w:r w:rsidR="00806758" w:rsidRPr="00CB21D6">
        <w:t>figures the ne</w:t>
      </w:r>
      <w:r w:rsidR="001831AD">
        <w:t>t</w:t>
      </w:r>
      <w:r w:rsidR="00806758" w:rsidRPr="00CB21D6">
        <w:t xml:space="preserve"> effect on the cost minimisation analysis </w:t>
      </w:r>
      <w:r w:rsidR="00FC1106">
        <w:t xml:space="preserve">was </w:t>
      </w:r>
      <w:r w:rsidR="00806758" w:rsidRPr="00CB21D6">
        <w:t xml:space="preserve">nil. </w:t>
      </w:r>
      <w:r w:rsidR="001E3E92" w:rsidRPr="00CB21D6">
        <w:t>The ESC considered that this was reasonable</w:t>
      </w:r>
    </w:p>
    <w:p w:rsidR="00F71FFA" w:rsidRPr="00CB21D6" w:rsidRDefault="00F71FFA" w:rsidP="00E92500">
      <w:pPr>
        <w:pStyle w:val="ListParagraph"/>
        <w:widowControl/>
        <w:rPr>
          <w:szCs w:val="22"/>
        </w:rPr>
      </w:pPr>
    </w:p>
    <w:p w:rsidR="00F71FFA" w:rsidRPr="00CB21D6" w:rsidRDefault="00F71FFA" w:rsidP="00D33470">
      <w:pPr>
        <w:pStyle w:val="ListParagraph"/>
        <w:widowControl/>
        <w:numPr>
          <w:ilvl w:val="1"/>
          <w:numId w:val="1"/>
        </w:numPr>
        <w:rPr>
          <w:szCs w:val="22"/>
        </w:rPr>
      </w:pPr>
      <w:r w:rsidRPr="00CB21D6">
        <w:rPr>
          <w:szCs w:val="22"/>
        </w:rPr>
        <w:t xml:space="preserve">An ex-manufacturer price for secukinumab was estimated during the evaluation assuming 9 scripts for adalimumab for continuing treatment for 36 weeks in </w:t>
      </w:r>
      <w:r w:rsidR="00AB2C1E" w:rsidRPr="00CB21D6">
        <w:rPr>
          <w:szCs w:val="22"/>
        </w:rPr>
        <w:t>Y</w:t>
      </w:r>
      <w:r w:rsidRPr="00CB21D6">
        <w:rPr>
          <w:szCs w:val="22"/>
        </w:rPr>
        <w:t>ear 1 and</w:t>
      </w:r>
      <w:r w:rsidR="00AB2C1E" w:rsidRPr="00CB21D6">
        <w:rPr>
          <w:szCs w:val="22"/>
        </w:rPr>
        <w:t xml:space="preserve"> 13 scripts for secukinumab in Y</w:t>
      </w:r>
      <w:r w:rsidRPr="00CB21D6">
        <w:rPr>
          <w:szCs w:val="22"/>
        </w:rPr>
        <w:t xml:space="preserve">ear 2, both with and without </w:t>
      </w:r>
      <w:r w:rsidR="00A440B7" w:rsidRPr="00CB21D6">
        <w:rPr>
          <w:szCs w:val="22"/>
        </w:rPr>
        <w:t xml:space="preserve">the application of </w:t>
      </w:r>
      <w:r w:rsidRPr="00CB21D6">
        <w:rPr>
          <w:szCs w:val="22"/>
        </w:rPr>
        <w:t>discou</w:t>
      </w:r>
      <w:r w:rsidR="00A440B7" w:rsidRPr="00CB21D6">
        <w:rPr>
          <w:szCs w:val="22"/>
        </w:rPr>
        <w:t>n</w:t>
      </w:r>
      <w:r w:rsidRPr="00CB21D6">
        <w:rPr>
          <w:szCs w:val="22"/>
        </w:rPr>
        <w:t>ting in year 2.</w:t>
      </w:r>
      <w:r w:rsidR="00806758" w:rsidRPr="00CB21D6">
        <w:rPr>
          <w:szCs w:val="22"/>
        </w:rPr>
        <w:t xml:space="preserve"> The PSCR state</w:t>
      </w:r>
      <w:r w:rsidR="0010502E">
        <w:rPr>
          <w:szCs w:val="22"/>
        </w:rPr>
        <w:t>d</w:t>
      </w:r>
      <w:r w:rsidR="00806758" w:rsidRPr="00CB21D6">
        <w:rPr>
          <w:szCs w:val="22"/>
        </w:rPr>
        <w:t xml:space="preserve"> that 12 </w:t>
      </w:r>
      <w:r w:rsidR="0028632B" w:rsidRPr="00CB21D6">
        <w:rPr>
          <w:szCs w:val="22"/>
        </w:rPr>
        <w:t>scripts</w:t>
      </w:r>
      <w:r w:rsidR="00806758" w:rsidRPr="00CB21D6">
        <w:rPr>
          <w:szCs w:val="22"/>
        </w:rPr>
        <w:t xml:space="preserve"> of secukinumab per calendar year </w:t>
      </w:r>
      <w:r w:rsidR="0010502E">
        <w:rPr>
          <w:szCs w:val="22"/>
        </w:rPr>
        <w:t>wa</w:t>
      </w:r>
      <w:r w:rsidR="00806758" w:rsidRPr="00CB21D6">
        <w:rPr>
          <w:szCs w:val="22"/>
        </w:rPr>
        <w:t xml:space="preserve">s appropriate </w:t>
      </w:r>
      <w:r w:rsidR="0028632B" w:rsidRPr="00CB21D6">
        <w:rPr>
          <w:szCs w:val="22"/>
        </w:rPr>
        <w:t xml:space="preserve">given Australian prescribers will be influenced by the TGA-approved PI recommending dosing </w:t>
      </w:r>
      <w:r w:rsidR="0010502E">
        <w:rPr>
          <w:szCs w:val="22"/>
        </w:rPr>
        <w:t>be</w:t>
      </w:r>
      <w:r w:rsidR="0010502E" w:rsidRPr="00CB21D6">
        <w:rPr>
          <w:szCs w:val="22"/>
        </w:rPr>
        <w:t xml:space="preserve"> </w:t>
      </w:r>
      <w:r w:rsidR="0028632B" w:rsidRPr="00CB21D6">
        <w:rPr>
          <w:szCs w:val="22"/>
        </w:rPr>
        <w:t>done monthly, not four-weekly</w:t>
      </w:r>
      <w:r w:rsidR="00BF4ED8" w:rsidRPr="00CB21D6">
        <w:rPr>
          <w:szCs w:val="22"/>
        </w:rPr>
        <w:t xml:space="preserve"> which is consistent with that for psoriasis indication. Thus 12 </w:t>
      </w:r>
      <w:r w:rsidR="009B1C11" w:rsidRPr="00CB21D6">
        <w:rPr>
          <w:szCs w:val="22"/>
        </w:rPr>
        <w:t>injections</w:t>
      </w:r>
      <w:r w:rsidR="00BF4ED8" w:rsidRPr="00CB21D6">
        <w:rPr>
          <w:szCs w:val="22"/>
        </w:rPr>
        <w:t xml:space="preserve"> per year in the maintenance phase are used in cost-minimi</w:t>
      </w:r>
      <w:r w:rsidR="00FF3F38">
        <w:rPr>
          <w:szCs w:val="22"/>
        </w:rPr>
        <w:t>sation analysis.</w:t>
      </w:r>
    </w:p>
    <w:p w:rsidR="001C1121" w:rsidRDefault="001C1121" w:rsidP="00E92500">
      <w:pPr>
        <w:pStyle w:val="ListParagraph"/>
        <w:widowControl/>
        <w:rPr>
          <w:szCs w:val="22"/>
        </w:rPr>
      </w:pPr>
    </w:p>
    <w:p w:rsidR="00B05C54" w:rsidRDefault="00B05C54" w:rsidP="00B05C54">
      <w:pPr>
        <w:widowControl/>
        <w:ind w:left="720"/>
        <w:rPr>
          <w:rFonts w:ascii="Arial Narrow" w:hAnsi="Arial Narrow"/>
          <w:b/>
          <w:bCs/>
          <w:sz w:val="20"/>
        </w:rPr>
      </w:pPr>
      <w:r>
        <w:rPr>
          <w:rFonts w:ascii="Arial Narrow" w:hAnsi="Arial Narrow"/>
          <w:b/>
          <w:bCs/>
          <w:sz w:val="20"/>
        </w:rPr>
        <w:br w:type="page"/>
      </w:r>
    </w:p>
    <w:p w:rsidR="001C1121" w:rsidRPr="00264209" w:rsidRDefault="0082567A" w:rsidP="000A3478">
      <w:pPr>
        <w:widowControl/>
        <w:rPr>
          <w:rFonts w:ascii="Arial Narrow" w:hAnsi="Arial Narrow"/>
          <w:b/>
          <w:bCs/>
          <w:sz w:val="20"/>
        </w:rPr>
      </w:pPr>
      <w:r w:rsidRPr="00264209">
        <w:rPr>
          <w:rFonts w:ascii="Arial Narrow" w:hAnsi="Arial Narrow"/>
          <w:b/>
          <w:bCs/>
          <w:sz w:val="20"/>
        </w:rPr>
        <w:lastRenderedPageBreak/>
        <w:t xml:space="preserve">Table </w:t>
      </w:r>
      <w:r w:rsidR="0001249A" w:rsidRPr="00264209">
        <w:rPr>
          <w:rFonts w:ascii="Arial Narrow" w:hAnsi="Arial Narrow"/>
          <w:b/>
          <w:bCs/>
          <w:sz w:val="20"/>
        </w:rPr>
        <w:t>6</w:t>
      </w:r>
      <w:r w:rsidR="00F71FFA" w:rsidRPr="00264209">
        <w:rPr>
          <w:rFonts w:ascii="Arial Narrow" w:hAnsi="Arial Narrow"/>
          <w:b/>
          <w:bCs/>
          <w:sz w:val="20"/>
        </w:rPr>
        <w:t xml:space="preserve">: </w:t>
      </w:r>
      <w:r w:rsidR="001C1121" w:rsidRPr="00264209">
        <w:rPr>
          <w:rFonts w:ascii="Arial Narrow" w:hAnsi="Arial Narrow"/>
          <w:b/>
          <w:bCs/>
          <w:sz w:val="20"/>
        </w:rPr>
        <w:t xml:space="preserve">Cost-minimisation analysis of secukinumab versus adalimumab – 2 years of treatment – ex-manufacturer prices - </w:t>
      </w:r>
      <w:r w:rsidR="001C1121" w:rsidRPr="00264209">
        <w:rPr>
          <w:rFonts w:ascii="Arial Narrow" w:hAnsi="Arial Narrow"/>
          <w:b/>
          <w:sz w:val="20"/>
        </w:rPr>
        <w:t>provided by the submission and two alternative cost analyses performed during the evaluation</w:t>
      </w:r>
    </w:p>
    <w:tbl>
      <w:tblPr>
        <w:tblStyle w:val="TableGrid"/>
        <w:tblW w:w="5000" w:type="pct"/>
        <w:tblLayout w:type="fixed"/>
        <w:tblCellMar>
          <w:left w:w="28" w:type="dxa"/>
          <w:right w:w="28" w:type="dxa"/>
        </w:tblCellMar>
        <w:tblLook w:val="04A0" w:firstRow="1" w:lastRow="0" w:firstColumn="1" w:lastColumn="0" w:noHBand="0" w:noVBand="1"/>
        <w:tblCaption w:val="Table 6: Cost-minimisation analysis of secukinumab versus adalimumab – 2 years of treatment – ex-manufacturer prices - provided by the submission and two alternative cost analyses performed during the evaluation"/>
      </w:tblPr>
      <w:tblGrid>
        <w:gridCol w:w="454"/>
        <w:gridCol w:w="850"/>
        <w:gridCol w:w="559"/>
        <w:gridCol w:w="575"/>
        <w:gridCol w:w="608"/>
        <w:gridCol w:w="917"/>
        <w:gridCol w:w="601"/>
        <w:gridCol w:w="583"/>
        <w:gridCol w:w="917"/>
        <w:gridCol w:w="627"/>
        <w:gridCol w:w="557"/>
        <w:gridCol w:w="10"/>
        <w:gridCol w:w="907"/>
        <w:gridCol w:w="917"/>
      </w:tblGrid>
      <w:tr w:rsidR="001C1121" w:rsidRPr="00BA3352" w:rsidTr="00763C4D">
        <w:trPr>
          <w:tblHeader/>
        </w:trPr>
        <w:tc>
          <w:tcPr>
            <w:tcW w:w="454" w:type="dxa"/>
            <w:vMerge w:val="restart"/>
          </w:tcPr>
          <w:p w:rsidR="001C1121" w:rsidRPr="00BA3352" w:rsidRDefault="001C1121" w:rsidP="00E92500">
            <w:pPr>
              <w:widowControl/>
              <w:rPr>
                <w:rFonts w:ascii="Arial Narrow" w:hAnsi="Arial Narrow"/>
                <w:b/>
                <w:sz w:val="20"/>
              </w:rPr>
            </w:pPr>
          </w:p>
        </w:tc>
        <w:tc>
          <w:tcPr>
            <w:tcW w:w="850" w:type="dxa"/>
            <w:vMerge w:val="restart"/>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Unit cost (ex-man)</w:t>
            </w:r>
          </w:p>
        </w:tc>
        <w:tc>
          <w:tcPr>
            <w:tcW w:w="559" w:type="dxa"/>
            <w:vMerge w:val="restart"/>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Mg/ pack</w:t>
            </w:r>
          </w:p>
        </w:tc>
        <w:tc>
          <w:tcPr>
            <w:tcW w:w="4201" w:type="dxa"/>
            <w:gridSpan w:val="6"/>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Year 1 (52 weeks)</w:t>
            </w:r>
          </w:p>
        </w:tc>
        <w:tc>
          <w:tcPr>
            <w:tcW w:w="2101" w:type="dxa"/>
            <w:gridSpan w:val="4"/>
            <w:vMerge w:val="restart"/>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Year 2 (52 weeks)</w:t>
            </w:r>
          </w:p>
        </w:tc>
        <w:tc>
          <w:tcPr>
            <w:tcW w:w="917" w:type="dxa"/>
            <w:vMerge w:val="restart"/>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Total cost over 2 years</w:t>
            </w:r>
          </w:p>
        </w:tc>
      </w:tr>
      <w:tr w:rsidR="001C1121" w:rsidRPr="00BA3352" w:rsidTr="00763C4D">
        <w:trPr>
          <w:tblHeader/>
        </w:trPr>
        <w:tc>
          <w:tcPr>
            <w:tcW w:w="454" w:type="dxa"/>
            <w:vMerge/>
          </w:tcPr>
          <w:p w:rsidR="001C1121" w:rsidRPr="00BA3352" w:rsidRDefault="001C1121" w:rsidP="00E92500">
            <w:pPr>
              <w:widowControl/>
              <w:rPr>
                <w:rFonts w:ascii="Arial Narrow" w:hAnsi="Arial Narrow"/>
                <w:b/>
                <w:sz w:val="20"/>
              </w:rPr>
            </w:pPr>
          </w:p>
        </w:tc>
        <w:tc>
          <w:tcPr>
            <w:tcW w:w="850" w:type="dxa"/>
            <w:vMerge/>
          </w:tcPr>
          <w:p w:rsidR="001C1121" w:rsidRPr="00BA3352" w:rsidRDefault="001C1121" w:rsidP="00E92500">
            <w:pPr>
              <w:widowControl/>
              <w:jc w:val="center"/>
              <w:rPr>
                <w:rFonts w:ascii="Arial Narrow" w:hAnsi="Arial Narrow"/>
                <w:b/>
                <w:sz w:val="20"/>
              </w:rPr>
            </w:pPr>
          </w:p>
        </w:tc>
        <w:tc>
          <w:tcPr>
            <w:tcW w:w="559" w:type="dxa"/>
            <w:vMerge/>
          </w:tcPr>
          <w:p w:rsidR="001C1121" w:rsidRPr="00BA3352" w:rsidRDefault="001C1121" w:rsidP="00E92500">
            <w:pPr>
              <w:widowControl/>
              <w:jc w:val="center"/>
              <w:rPr>
                <w:rFonts w:ascii="Arial Narrow" w:hAnsi="Arial Narrow"/>
                <w:b/>
                <w:sz w:val="20"/>
              </w:rPr>
            </w:pPr>
          </w:p>
        </w:tc>
        <w:tc>
          <w:tcPr>
            <w:tcW w:w="2100" w:type="dxa"/>
            <w:gridSpan w:val="3"/>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Initial</w:t>
            </w:r>
          </w:p>
        </w:tc>
        <w:tc>
          <w:tcPr>
            <w:tcW w:w="2101" w:type="dxa"/>
            <w:gridSpan w:val="3"/>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 xml:space="preserve">Continuing </w:t>
            </w:r>
          </w:p>
        </w:tc>
        <w:tc>
          <w:tcPr>
            <w:tcW w:w="2101" w:type="dxa"/>
            <w:gridSpan w:val="4"/>
            <w:vMerge/>
            <w:vAlign w:val="center"/>
          </w:tcPr>
          <w:p w:rsidR="001C1121" w:rsidRPr="00BA3352" w:rsidRDefault="001C1121" w:rsidP="00E92500">
            <w:pPr>
              <w:widowControl/>
              <w:jc w:val="center"/>
              <w:rPr>
                <w:rFonts w:ascii="Arial Narrow" w:hAnsi="Arial Narrow"/>
                <w:b/>
                <w:sz w:val="20"/>
              </w:rPr>
            </w:pPr>
          </w:p>
        </w:tc>
        <w:tc>
          <w:tcPr>
            <w:tcW w:w="917" w:type="dxa"/>
            <w:vMerge/>
          </w:tcPr>
          <w:p w:rsidR="001C1121" w:rsidRPr="00BA3352" w:rsidRDefault="001C1121" w:rsidP="00E92500">
            <w:pPr>
              <w:widowControl/>
              <w:jc w:val="center"/>
              <w:rPr>
                <w:rFonts w:ascii="Arial Narrow" w:hAnsi="Arial Narrow"/>
                <w:b/>
                <w:sz w:val="20"/>
              </w:rPr>
            </w:pPr>
          </w:p>
        </w:tc>
      </w:tr>
      <w:tr w:rsidR="001C1121" w:rsidRPr="00BA3352" w:rsidTr="00763C4D">
        <w:trPr>
          <w:tblHeader/>
        </w:trPr>
        <w:tc>
          <w:tcPr>
            <w:tcW w:w="454" w:type="dxa"/>
            <w:vMerge/>
          </w:tcPr>
          <w:p w:rsidR="001C1121" w:rsidRPr="00BA3352" w:rsidRDefault="001C1121" w:rsidP="00E92500">
            <w:pPr>
              <w:widowControl/>
              <w:rPr>
                <w:rFonts w:ascii="Arial Narrow" w:hAnsi="Arial Narrow"/>
                <w:b/>
                <w:sz w:val="20"/>
              </w:rPr>
            </w:pPr>
          </w:p>
        </w:tc>
        <w:tc>
          <w:tcPr>
            <w:tcW w:w="850" w:type="dxa"/>
            <w:vMerge/>
            <w:vAlign w:val="center"/>
          </w:tcPr>
          <w:p w:rsidR="001C1121" w:rsidRPr="00BA3352" w:rsidRDefault="001C1121" w:rsidP="00E92500">
            <w:pPr>
              <w:widowControl/>
              <w:jc w:val="center"/>
              <w:rPr>
                <w:rFonts w:ascii="Arial Narrow" w:hAnsi="Arial Narrow"/>
                <w:b/>
                <w:sz w:val="20"/>
              </w:rPr>
            </w:pPr>
          </w:p>
        </w:tc>
        <w:tc>
          <w:tcPr>
            <w:tcW w:w="559" w:type="dxa"/>
            <w:vMerge/>
            <w:vAlign w:val="center"/>
          </w:tcPr>
          <w:p w:rsidR="001C1121" w:rsidRPr="00BA3352" w:rsidRDefault="001C1121" w:rsidP="00E92500">
            <w:pPr>
              <w:widowControl/>
              <w:jc w:val="center"/>
              <w:rPr>
                <w:rFonts w:ascii="Arial Narrow" w:hAnsi="Arial Narrow"/>
                <w:b/>
                <w:sz w:val="20"/>
              </w:rPr>
            </w:pPr>
          </w:p>
        </w:tc>
        <w:tc>
          <w:tcPr>
            <w:tcW w:w="575"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Packs</w:t>
            </w:r>
          </w:p>
        </w:tc>
        <w:tc>
          <w:tcPr>
            <w:tcW w:w="608"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Weeks</w:t>
            </w:r>
          </w:p>
        </w:tc>
        <w:tc>
          <w:tcPr>
            <w:tcW w:w="917"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Cost</w:t>
            </w:r>
          </w:p>
        </w:tc>
        <w:tc>
          <w:tcPr>
            <w:tcW w:w="601"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Packs</w:t>
            </w:r>
          </w:p>
        </w:tc>
        <w:tc>
          <w:tcPr>
            <w:tcW w:w="583"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Weeks</w:t>
            </w:r>
          </w:p>
        </w:tc>
        <w:tc>
          <w:tcPr>
            <w:tcW w:w="917"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Cost</w:t>
            </w:r>
          </w:p>
        </w:tc>
        <w:tc>
          <w:tcPr>
            <w:tcW w:w="627"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Packs</w:t>
            </w:r>
          </w:p>
        </w:tc>
        <w:tc>
          <w:tcPr>
            <w:tcW w:w="567" w:type="dxa"/>
            <w:gridSpan w:val="2"/>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Weeks</w:t>
            </w:r>
          </w:p>
        </w:tc>
        <w:tc>
          <w:tcPr>
            <w:tcW w:w="907"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Cost</w:t>
            </w:r>
          </w:p>
        </w:tc>
        <w:tc>
          <w:tcPr>
            <w:tcW w:w="917" w:type="dxa"/>
            <w:vMerge/>
          </w:tcPr>
          <w:p w:rsidR="001C1121" w:rsidRPr="00BA3352" w:rsidRDefault="001C1121" w:rsidP="00E92500">
            <w:pPr>
              <w:widowControl/>
              <w:jc w:val="center"/>
              <w:rPr>
                <w:rFonts w:ascii="Arial Narrow" w:hAnsi="Arial Narrow"/>
                <w:b/>
                <w:sz w:val="20"/>
              </w:rPr>
            </w:pPr>
          </w:p>
        </w:tc>
      </w:tr>
      <w:tr w:rsidR="001C1121" w:rsidRPr="00BA3352" w:rsidTr="00B05C54">
        <w:tc>
          <w:tcPr>
            <w:tcW w:w="9082" w:type="dxa"/>
            <w:gridSpan w:val="14"/>
          </w:tcPr>
          <w:p w:rsidR="001C1121" w:rsidRPr="00BA3352" w:rsidRDefault="001C1121" w:rsidP="00E92500">
            <w:pPr>
              <w:widowControl/>
              <w:jc w:val="left"/>
              <w:rPr>
                <w:rFonts w:ascii="Arial Narrow" w:hAnsi="Arial Narrow"/>
                <w:b/>
                <w:bCs/>
                <w:sz w:val="20"/>
                <w:szCs w:val="14"/>
              </w:rPr>
            </w:pPr>
            <w:r w:rsidRPr="00BA3352">
              <w:rPr>
                <w:rFonts w:ascii="Arial Narrow" w:hAnsi="Arial Narrow"/>
                <w:b/>
                <w:bCs/>
                <w:sz w:val="20"/>
                <w:szCs w:val="14"/>
              </w:rPr>
              <w:t>Submission’s assumptions (Table 45, p124 of the submission)</w:t>
            </w:r>
          </w:p>
        </w:tc>
      </w:tr>
      <w:tr w:rsidR="001C1121" w:rsidRPr="00BA3352" w:rsidTr="00DD4B6E">
        <w:tc>
          <w:tcPr>
            <w:tcW w:w="454" w:type="dxa"/>
          </w:tcPr>
          <w:p w:rsidR="001C1121" w:rsidRPr="00BA3352" w:rsidRDefault="001C1121" w:rsidP="00E92500">
            <w:pPr>
              <w:widowControl/>
              <w:rPr>
                <w:rFonts w:ascii="Arial Narrow" w:hAnsi="Arial Narrow"/>
                <w:b/>
                <w:sz w:val="20"/>
              </w:rPr>
            </w:pPr>
            <w:r w:rsidRPr="00BA3352">
              <w:rPr>
                <w:rFonts w:ascii="Arial Narrow" w:hAnsi="Arial Narrow"/>
                <w:b/>
                <w:sz w:val="20"/>
              </w:rPr>
              <w:t>SEC</w:t>
            </w:r>
          </w:p>
        </w:tc>
        <w:tc>
          <w:tcPr>
            <w:tcW w:w="850"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w:t>
            </w:r>
            <w:r w:rsidR="00BD1420">
              <w:rPr>
                <w:rFonts w:ascii="Arial Narrow" w:hAnsi="Arial Narrow"/>
                <w:noProof/>
                <w:color w:val="000000"/>
                <w:sz w:val="20"/>
                <w:highlight w:val="black"/>
              </w:rPr>
              <w:t>'''''''''''''''''''''''</w:t>
            </w:r>
          </w:p>
        </w:tc>
        <w:tc>
          <w:tcPr>
            <w:tcW w:w="559"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150</w:t>
            </w:r>
          </w:p>
        </w:tc>
        <w:tc>
          <w:tcPr>
            <w:tcW w:w="575"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7</w:t>
            </w:r>
          </w:p>
        </w:tc>
        <w:tc>
          <w:tcPr>
            <w:tcW w:w="608"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16</w:t>
            </w:r>
          </w:p>
        </w:tc>
        <w:tc>
          <w:tcPr>
            <w:tcW w:w="917"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szCs w:val="14"/>
              </w:rPr>
              <w:t>$</w:t>
            </w:r>
            <w:r w:rsidR="00BD1420">
              <w:rPr>
                <w:rFonts w:ascii="Arial Narrow" w:hAnsi="Arial Narrow"/>
                <w:noProof/>
                <w:color w:val="000000"/>
                <w:sz w:val="20"/>
                <w:szCs w:val="14"/>
                <w:highlight w:val="black"/>
              </w:rPr>
              <w:t>'''''''''''''''''''''''</w:t>
            </w:r>
          </w:p>
        </w:tc>
        <w:tc>
          <w:tcPr>
            <w:tcW w:w="601"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9</w:t>
            </w:r>
          </w:p>
        </w:tc>
        <w:tc>
          <w:tcPr>
            <w:tcW w:w="583"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36</w:t>
            </w:r>
          </w:p>
        </w:tc>
        <w:tc>
          <w:tcPr>
            <w:tcW w:w="917"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szCs w:val="14"/>
              </w:rPr>
              <w:t>$</w:t>
            </w:r>
            <w:r w:rsidR="00BD1420">
              <w:rPr>
                <w:rFonts w:ascii="Arial Narrow" w:hAnsi="Arial Narrow"/>
                <w:noProof/>
                <w:color w:val="000000"/>
                <w:sz w:val="20"/>
                <w:szCs w:val="14"/>
                <w:highlight w:val="black"/>
              </w:rPr>
              <w:t>''''''''''''''''''''''''''</w:t>
            </w:r>
          </w:p>
        </w:tc>
        <w:tc>
          <w:tcPr>
            <w:tcW w:w="627"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12</w:t>
            </w:r>
          </w:p>
        </w:tc>
        <w:tc>
          <w:tcPr>
            <w:tcW w:w="557"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52</w:t>
            </w:r>
          </w:p>
        </w:tc>
        <w:tc>
          <w:tcPr>
            <w:tcW w:w="917" w:type="dxa"/>
            <w:gridSpan w:val="2"/>
            <w:vAlign w:val="center"/>
          </w:tcPr>
          <w:p w:rsidR="001C1121" w:rsidRPr="00BA3352" w:rsidRDefault="001C1121" w:rsidP="00E92500">
            <w:pPr>
              <w:widowControl/>
              <w:jc w:val="center"/>
              <w:rPr>
                <w:rFonts w:ascii="Arial Narrow" w:hAnsi="Arial Narrow"/>
                <w:sz w:val="20"/>
              </w:rPr>
            </w:pPr>
            <w:r w:rsidRPr="00BA3352">
              <w:rPr>
                <w:rFonts w:ascii="Arial Narrow" w:hAnsi="Arial Narrow"/>
                <w:bCs/>
                <w:sz w:val="20"/>
                <w:szCs w:val="14"/>
              </w:rPr>
              <w:t>$</w:t>
            </w:r>
            <w:r w:rsidR="00BD1420">
              <w:rPr>
                <w:rFonts w:ascii="Arial Narrow" w:hAnsi="Arial Narrow"/>
                <w:bCs/>
                <w:noProof/>
                <w:color w:val="000000"/>
                <w:sz w:val="20"/>
                <w:szCs w:val="14"/>
                <w:highlight w:val="black"/>
              </w:rPr>
              <w:t>''''''''''''''''''''''</w:t>
            </w:r>
          </w:p>
        </w:tc>
        <w:tc>
          <w:tcPr>
            <w:tcW w:w="917" w:type="dxa"/>
          </w:tcPr>
          <w:p w:rsidR="001C1121" w:rsidRPr="00BA3352" w:rsidRDefault="001C1121" w:rsidP="00E92500">
            <w:pPr>
              <w:widowControl/>
              <w:jc w:val="center"/>
              <w:rPr>
                <w:rFonts w:ascii="Arial Narrow" w:hAnsi="Arial Narrow"/>
                <w:bCs/>
                <w:sz w:val="20"/>
                <w:szCs w:val="14"/>
              </w:rPr>
            </w:pPr>
            <w:r w:rsidRPr="00BA3352">
              <w:rPr>
                <w:rFonts w:ascii="Arial Narrow" w:hAnsi="Arial Narrow"/>
                <w:b/>
                <w:bCs/>
                <w:sz w:val="20"/>
                <w:szCs w:val="14"/>
              </w:rPr>
              <w:t>$</w:t>
            </w:r>
            <w:r w:rsidR="00BD1420">
              <w:rPr>
                <w:rFonts w:ascii="Arial Narrow" w:hAnsi="Arial Narrow"/>
                <w:b/>
                <w:bCs/>
                <w:noProof/>
                <w:color w:val="000000"/>
                <w:sz w:val="20"/>
                <w:szCs w:val="14"/>
                <w:highlight w:val="black"/>
              </w:rPr>
              <w:t>''''''''''''''''''</w:t>
            </w:r>
          </w:p>
        </w:tc>
      </w:tr>
      <w:tr w:rsidR="001C1121" w:rsidRPr="00BA3352" w:rsidTr="00DD4B6E">
        <w:tc>
          <w:tcPr>
            <w:tcW w:w="454" w:type="dxa"/>
          </w:tcPr>
          <w:p w:rsidR="001C1121" w:rsidRPr="00BA3352" w:rsidRDefault="001C1121" w:rsidP="00E92500">
            <w:pPr>
              <w:widowControl/>
              <w:rPr>
                <w:rFonts w:ascii="Arial Narrow" w:hAnsi="Arial Narrow"/>
                <w:b/>
                <w:sz w:val="20"/>
              </w:rPr>
            </w:pPr>
            <w:r w:rsidRPr="00BA3352">
              <w:rPr>
                <w:rFonts w:ascii="Arial Narrow" w:hAnsi="Arial Narrow"/>
                <w:b/>
                <w:sz w:val="20"/>
              </w:rPr>
              <w:t>ADA</w:t>
            </w:r>
          </w:p>
        </w:tc>
        <w:tc>
          <w:tcPr>
            <w:tcW w:w="850"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$1,630.00</w:t>
            </w:r>
          </w:p>
        </w:tc>
        <w:tc>
          <w:tcPr>
            <w:tcW w:w="559"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80</w:t>
            </w:r>
          </w:p>
        </w:tc>
        <w:tc>
          <w:tcPr>
            <w:tcW w:w="575"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4</w:t>
            </w:r>
          </w:p>
        </w:tc>
        <w:tc>
          <w:tcPr>
            <w:tcW w:w="608"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16</w:t>
            </w:r>
          </w:p>
        </w:tc>
        <w:tc>
          <w:tcPr>
            <w:tcW w:w="917"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szCs w:val="14"/>
              </w:rPr>
              <w:t>$6,520.00</w:t>
            </w:r>
          </w:p>
        </w:tc>
        <w:tc>
          <w:tcPr>
            <w:tcW w:w="601"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9.5</w:t>
            </w:r>
          </w:p>
        </w:tc>
        <w:tc>
          <w:tcPr>
            <w:tcW w:w="583"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36</w:t>
            </w:r>
          </w:p>
        </w:tc>
        <w:tc>
          <w:tcPr>
            <w:tcW w:w="917"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szCs w:val="14"/>
              </w:rPr>
              <w:t>$15,485.00</w:t>
            </w:r>
          </w:p>
        </w:tc>
        <w:tc>
          <w:tcPr>
            <w:tcW w:w="627"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13</w:t>
            </w:r>
          </w:p>
        </w:tc>
        <w:tc>
          <w:tcPr>
            <w:tcW w:w="557"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52</w:t>
            </w:r>
          </w:p>
        </w:tc>
        <w:tc>
          <w:tcPr>
            <w:tcW w:w="917" w:type="dxa"/>
            <w:gridSpan w:val="2"/>
            <w:vAlign w:val="center"/>
          </w:tcPr>
          <w:p w:rsidR="001C1121" w:rsidRPr="00BA3352" w:rsidRDefault="001C1121" w:rsidP="00E92500">
            <w:pPr>
              <w:widowControl/>
              <w:jc w:val="center"/>
              <w:rPr>
                <w:rFonts w:ascii="Arial Narrow" w:hAnsi="Arial Narrow"/>
                <w:sz w:val="20"/>
              </w:rPr>
            </w:pPr>
            <w:r w:rsidRPr="00BA3352">
              <w:rPr>
                <w:rFonts w:ascii="Arial Narrow" w:hAnsi="Arial Narrow"/>
                <w:bCs/>
                <w:sz w:val="20"/>
                <w:szCs w:val="14"/>
              </w:rPr>
              <w:t>$21,190.00</w:t>
            </w:r>
          </w:p>
        </w:tc>
        <w:tc>
          <w:tcPr>
            <w:tcW w:w="917" w:type="dxa"/>
          </w:tcPr>
          <w:p w:rsidR="001C1121" w:rsidRPr="00BA3352" w:rsidRDefault="001C1121" w:rsidP="00E92500">
            <w:pPr>
              <w:widowControl/>
              <w:jc w:val="center"/>
              <w:rPr>
                <w:rFonts w:ascii="Arial Narrow" w:hAnsi="Arial Narrow"/>
                <w:bCs/>
                <w:sz w:val="20"/>
                <w:szCs w:val="14"/>
              </w:rPr>
            </w:pPr>
            <w:r w:rsidRPr="00BA3352">
              <w:rPr>
                <w:rFonts w:ascii="Arial Narrow" w:hAnsi="Arial Narrow"/>
                <w:b/>
                <w:bCs/>
                <w:sz w:val="20"/>
                <w:szCs w:val="14"/>
              </w:rPr>
              <w:t>$43,195.00</w:t>
            </w:r>
          </w:p>
        </w:tc>
      </w:tr>
      <w:tr w:rsidR="001C1121" w:rsidRPr="00BA3352" w:rsidTr="00B05C54">
        <w:tc>
          <w:tcPr>
            <w:tcW w:w="3046" w:type="dxa"/>
            <w:gridSpan w:val="5"/>
            <w:vAlign w:val="center"/>
          </w:tcPr>
          <w:p w:rsidR="001C1121" w:rsidRPr="00BA3352" w:rsidRDefault="001C1121" w:rsidP="00E92500">
            <w:pPr>
              <w:widowControl/>
              <w:jc w:val="right"/>
              <w:rPr>
                <w:rFonts w:ascii="Arial Narrow" w:hAnsi="Arial Narrow"/>
                <w:b/>
                <w:sz w:val="20"/>
              </w:rPr>
            </w:pPr>
            <w:r w:rsidRPr="00BA3352">
              <w:rPr>
                <w:rFonts w:ascii="Arial Narrow" w:hAnsi="Arial Narrow"/>
                <w:b/>
                <w:sz w:val="20"/>
              </w:rPr>
              <w:t xml:space="preserve">Difference </w:t>
            </w:r>
          </w:p>
        </w:tc>
        <w:tc>
          <w:tcPr>
            <w:tcW w:w="917"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szCs w:val="14"/>
              </w:rPr>
              <w:t>$</w:t>
            </w:r>
            <w:r w:rsidR="00BD1420">
              <w:rPr>
                <w:rFonts w:ascii="Arial Narrow" w:hAnsi="Arial Narrow"/>
                <w:noProof/>
                <w:color w:val="000000"/>
                <w:sz w:val="20"/>
                <w:szCs w:val="14"/>
                <w:highlight w:val="black"/>
              </w:rPr>
              <w:t>'''''''''''''''''''''''</w:t>
            </w:r>
          </w:p>
        </w:tc>
        <w:tc>
          <w:tcPr>
            <w:tcW w:w="1184" w:type="dxa"/>
            <w:gridSpan w:val="2"/>
            <w:vAlign w:val="center"/>
          </w:tcPr>
          <w:p w:rsidR="001C1121" w:rsidRPr="00BA3352" w:rsidRDefault="001C1121" w:rsidP="00E92500">
            <w:pPr>
              <w:widowControl/>
              <w:jc w:val="center"/>
              <w:rPr>
                <w:rFonts w:ascii="Arial Narrow" w:hAnsi="Arial Narrow"/>
                <w:sz w:val="20"/>
              </w:rPr>
            </w:pPr>
          </w:p>
        </w:tc>
        <w:tc>
          <w:tcPr>
            <w:tcW w:w="917"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iCs/>
                <w:sz w:val="20"/>
                <w:szCs w:val="14"/>
              </w:rPr>
              <w:t>-$</w:t>
            </w:r>
            <w:r w:rsidR="00BD1420">
              <w:rPr>
                <w:rFonts w:ascii="Arial Narrow" w:hAnsi="Arial Narrow"/>
                <w:iCs/>
                <w:noProof/>
                <w:color w:val="000000"/>
                <w:sz w:val="20"/>
                <w:szCs w:val="14"/>
                <w:highlight w:val="black"/>
              </w:rPr>
              <w:t>''''''''''''''''''''''</w:t>
            </w:r>
          </w:p>
        </w:tc>
        <w:tc>
          <w:tcPr>
            <w:tcW w:w="1184" w:type="dxa"/>
            <w:gridSpan w:val="2"/>
            <w:vAlign w:val="center"/>
          </w:tcPr>
          <w:p w:rsidR="001C1121" w:rsidRPr="00BA3352" w:rsidRDefault="001C1121" w:rsidP="00E92500">
            <w:pPr>
              <w:widowControl/>
              <w:jc w:val="center"/>
              <w:rPr>
                <w:rFonts w:ascii="Arial Narrow" w:hAnsi="Arial Narrow"/>
                <w:sz w:val="20"/>
              </w:rPr>
            </w:pPr>
          </w:p>
        </w:tc>
        <w:tc>
          <w:tcPr>
            <w:tcW w:w="917" w:type="dxa"/>
            <w:gridSpan w:val="2"/>
            <w:vAlign w:val="center"/>
          </w:tcPr>
          <w:p w:rsidR="001C1121" w:rsidRPr="00BA3352" w:rsidRDefault="001C1121" w:rsidP="00E92500">
            <w:pPr>
              <w:widowControl/>
              <w:jc w:val="center"/>
              <w:rPr>
                <w:rFonts w:ascii="Arial Narrow" w:hAnsi="Arial Narrow"/>
                <w:sz w:val="20"/>
              </w:rPr>
            </w:pPr>
            <w:r w:rsidRPr="00BA3352">
              <w:rPr>
                <w:rFonts w:ascii="Arial Narrow" w:hAnsi="Arial Narrow"/>
                <w:bCs/>
                <w:sz w:val="20"/>
                <w:szCs w:val="14"/>
              </w:rPr>
              <w:t>-$</w:t>
            </w:r>
            <w:r w:rsidR="00BD1420">
              <w:rPr>
                <w:rFonts w:ascii="Arial Narrow" w:hAnsi="Arial Narrow"/>
                <w:bCs/>
                <w:noProof/>
                <w:color w:val="000000"/>
                <w:sz w:val="20"/>
                <w:szCs w:val="14"/>
                <w:highlight w:val="black"/>
              </w:rPr>
              <w:t>'''''''''''''''''''''</w:t>
            </w:r>
          </w:p>
        </w:tc>
        <w:tc>
          <w:tcPr>
            <w:tcW w:w="917" w:type="dxa"/>
          </w:tcPr>
          <w:p w:rsidR="001C1121" w:rsidRPr="00BA3352" w:rsidRDefault="001C1121" w:rsidP="00E92500">
            <w:pPr>
              <w:widowControl/>
              <w:jc w:val="center"/>
              <w:rPr>
                <w:rFonts w:ascii="Arial Narrow" w:hAnsi="Arial Narrow"/>
                <w:bCs/>
                <w:sz w:val="20"/>
                <w:szCs w:val="14"/>
              </w:rPr>
            </w:pPr>
            <w:r w:rsidRPr="00BA3352">
              <w:rPr>
                <w:rFonts w:ascii="Arial Narrow" w:hAnsi="Arial Narrow"/>
                <w:bCs/>
                <w:sz w:val="20"/>
                <w:szCs w:val="14"/>
              </w:rPr>
              <w:t>$</w:t>
            </w:r>
            <w:r w:rsidR="00BD1420">
              <w:rPr>
                <w:rFonts w:ascii="Arial Narrow" w:hAnsi="Arial Narrow"/>
                <w:bCs/>
                <w:noProof/>
                <w:color w:val="000000"/>
                <w:sz w:val="20"/>
                <w:szCs w:val="14"/>
                <w:highlight w:val="black"/>
              </w:rPr>
              <w:t>''''''''''</w:t>
            </w:r>
          </w:p>
        </w:tc>
      </w:tr>
      <w:tr w:rsidR="001C1121" w:rsidRPr="00BA3352" w:rsidTr="00B05C54">
        <w:tc>
          <w:tcPr>
            <w:tcW w:w="9082" w:type="dxa"/>
            <w:gridSpan w:val="14"/>
          </w:tcPr>
          <w:p w:rsidR="001C1121" w:rsidRPr="00BA3352" w:rsidRDefault="001C1121" w:rsidP="00E92500">
            <w:pPr>
              <w:widowControl/>
              <w:rPr>
                <w:rFonts w:ascii="Arial Narrow" w:hAnsi="Arial Narrow"/>
                <w:b/>
                <w:sz w:val="20"/>
              </w:rPr>
            </w:pPr>
            <w:r w:rsidRPr="00BA3352">
              <w:rPr>
                <w:rFonts w:ascii="Arial Narrow" w:hAnsi="Arial Narrow"/>
                <w:b/>
                <w:sz w:val="20"/>
              </w:rPr>
              <w:t>Alternative assumption – 9 continuing scripts of adalimumab in Year 1 and 13 scripts of secukinumab in Year 2 (undiscounted)</w:t>
            </w:r>
          </w:p>
        </w:tc>
      </w:tr>
      <w:tr w:rsidR="001C1121" w:rsidRPr="00BA3352" w:rsidTr="00DD4B6E">
        <w:tc>
          <w:tcPr>
            <w:tcW w:w="454" w:type="dxa"/>
          </w:tcPr>
          <w:p w:rsidR="001C1121" w:rsidRPr="00BA3352" w:rsidRDefault="001C1121" w:rsidP="00E92500">
            <w:pPr>
              <w:widowControl/>
              <w:rPr>
                <w:rFonts w:ascii="Arial Narrow" w:hAnsi="Arial Narrow"/>
                <w:b/>
                <w:sz w:val="20"/>
              </w:rPr>
            </w:pPr>
            <w:r w:rsidRPr="00BA3352">
              <w:rPr>
                <w:rFonts w:ascii="Arial Narrow" w:hAnsi="Arial Narrow"/>
                <w:b/>
                <w:sz w:val="20"/>
              </w:rPr>
              <w:t>SEC</w:t>
            </w:r>
          </w:p>
        </w:tc>
        <w:tc>
          <w:tcPr>
            <w:tcW w:w="850" w:type="dxa"/>
            <w:shd w:val="clear" w:color="auto" w:fill="D9D9D9" w:themeFill="background1" w:themeFillShade="D9"/>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w:t>
            </w:r>
            <w:r w:rsidR="00BD1420">
              <w:rPr>
                <w:rFonts w:ascii="Arial Narrow" w:hAnsi="Arial Narrow"/>
                <w:noProof/>
                <w:color w:val="000000"/>
                <w:sz w:val="20"/>
                <w:highlight w:val="black"/>
              </w:rPr>
              <w:t>'''''''''''''''''''''</w:t>
            </w:r>
          </w:p>
        </w:tc>
        <w:tc>
          <w:tcPr>
            <w:tcW w:w="559"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150</w:t>
            </w:r>
          </w:p>
        </w:tc>
        <w:tc>
          <w:tcPr>
            <w:tcW w:w="575"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7</w:t>
            </w:r>
          </w:p>
        </w:tc>
        <w:tc>
          <w:tcPr>
            <w:tcW w:w="608"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16</w:t>
            </w: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szCs w:val="14"/>
              </w:rPr>
              <w:t>$</w:t>
            </w:r>
            <w:r w:rsidR="00BD1420">
              <w:rPr>
                <w:rFonts w:ascii="Arial Narrow" w:hAnsi="Arial Narrow"/>
                <w:noProof/>
                <w:color w:val="000000"/>
                <w:sz w:val="20"/>
                <w:szCs w:val="14"/>
                <w:highlight w:val="black"/>
              </w:rPr>
              <w:t>'''''''''''''''''''''''''</w:t>
            </w:r>
          </w:p>
        </w:tc>
        <w:tc>
          <w:tcPr>
            <w:tcW w:w="601"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9</w:t>
            </w:r>
          </w:p>
        </w:tc>
        <w:tc>
          <w:tcPr>
            <w:tcW w:w="583"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36</w:t>
            </w: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szCs w:val="14"/>
              </w:rPr>
              <w:t>$</w:t>
            </w:r>
            <w:r w:rsidR="00BD1420">
              <w:rPr>
                <w:rFonts w:ascii="Arial Narrow" w:hAnsi="Arial Narrow"/>
                <w:noProof/>
                <w:color w:val="000000"/>
                <w:sz w:val="20"/>
                <w:szCs w:val="14"/>
                <w:highlight w:val="black"/>
              </w:rPr>
              <w:t>'''''''''''''''''''''''</w:t>
            </w:r>
          </w:p>
        </w:tc>
        <w:tc>
          <w:tcPr>
            <w:tcW w:w="627" w:type="dxa"/>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13</w:t>
            </w:r>
          </w:p>
        </w:tc>
        <w:tc>
          <w:tcPr>
            <w:tcW w:w="557"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52</w:t>
            </w:r>
          </w:p>
        </w:tc>
        <w:tc>
          <w:tcPr>
            <w:tcW w:w="917" w:type="dxa"/>
            <w:gridSpan w:val="2"/>
            <w:shd w:val="clear" w:color="auto" w:fill="D9D9D9" w:themeFill="background1" w:themeFillShade="D9"/>
            <w:vAlign w:val="center"/>
          </w:tcPr>
          <w:p w:rsidR="001C1121" w:rsidRPr="00BA3352" w:rsidRDefault="001C1121" w:rsidP="00E92500">
            <w:pPr>
              <w:widowControl/>
              <w:jc w:val="center"/>
              <w:rPr>
                <w:rFonts w:ascii="Arial Narrow" w:hAnsi="Arial Narrow"/>
                <w:sz w:val="20"/>
              </w:rPr>
            </w:pPr>
            <w:r w:rsidRPr="00BA3352">
              <w:rPr>
                <w:rFonts w:ascii="Arial Narrow" w:hAnsi="Arial Narrow"/>
                <w:bCs/>
                <w:iCs/>
                <w:sz w:val="20"/>
                <w:szCs w:val="14"/>
              </w:rPr>
              <w:t>$</w:t>
            </w:r>
            <w:r w:rsidR="00BD1420">
              <w:rPr>
                <w:rFonts w:ascii="Arial Narrow" w:hAnsi="Arial Narrow"/>
                <w:bCs/>
                <w:iCs/>
                <w:noProof/>
                <w:color w:val="000000"/>
                <w:sz w:val="20"/>
                <w:szCs w:val="14"/>
                <w:highlight w:val="black"/>
              </w:rPr>
              <w:t>'''''''''''''''''''''''</w:t>
            </w:r>
          </w:p>
        </w:tc>
        <w:tc>
          <w:tcPr>
            <w:tcW w:w="917" w:type="dxa"/>
            <w:shd w:val="clear" w:color="auto" w:fill="D9D9D9" w:themeFill="background1" w:themeFillShade="D9"/>
          </w:tcPr>
          <w:p w:rsidR="001C1121" w:rsidRPr="00BA3352" w:rsidRDefault="001C1121" w:rsidP="00E92500">
            <w:pPr>
              <w:widowControl/>
              <w:jc w:val="center"/>
              <w:rPr>
                <w:rFonts w:ascii="Arial Narrow" w:hAnsi="Arial Narrow"/>
                <w:b/>
                <w:sz w:val="20"/>
              </w:rPr>
            </w:pPr>
            <w:r w:rsidRPr="00BA3352">
              <w:rPr>
                <w:rFonts w:ascii="Arial Narrow" w:hAnsi="Arial Narrow"/>
                <w:b/>
                <w:bCs/>
                <w:sz w:val="20"/>
                <w:szCs w:val="14"/>
              </w:rPr>
              <w:t>$</w:t>
            </w:r>
            <w:r w:rsidR="00BD1420">
              <w:rPr>
                <w:rFonts w:ascii="Arial Narrow" w:hAnsi="Arial Narrow"/>
                <w:b/>
                <w:bCs/>
                <w:noProof/>
                <w:color w:val="000000"/>
                <w:sz w:val="20"/>
                <w:szCs w:val="14"/>
                <w:highlight w:val="black"/>
              </w:rPr>
              <w:t>''''''''''''''''''''</w:t>
            </w:r>
          </w:p>
        </w:tc>
      </w:tr>
      <w:tr w:rsidR="001C1121" w:rsidRPr="00BA3352" w:rsidTr="00DD4B6E">
        <w:tc>
          <w:tcPr>
            <w:tcW w:w="454" w:type="dxa"/>
          </w:tcPr>
          <w:p w:rsidR="001C1121" w:rsidRPr="00BA3352" w:rsidRDefault="001C1121" w:rsidP="00E92500">
            <w:pPr>
              <w:widowControl/>
              <w:rPr>
                <w:rFonts w:ascii="Arial Narrow" w:hAnsi="Arial Narrow"/>
                <w:b/>
                <w:sz w:val="20"/>
              </w:rPr>
            </w:pPr>
            <w:r w:rsidRPr="00BA3352">
              <w:rPr>
                <w:rFonts w:ascii="Arial Narrow" w:hAnsi="Arial Narrow"/>
                <w:b/>
                <w:sz w:val="20"/>
              </w:rPr>
              <w:t>ADA</w:t>
            </w:r>
          </w:p>
        </w:tc>
        <w:tc>
          <w:tcPr>
            <w:tcW w:w="850"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$1,630.00</w:t>
            </w:r>
          </w:p>
        </w:tc>
        <w:tc>
          <w:tcPr>
            <w:tcW w:w="559"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80</w:t>
            </w:r>
          </w:p>
        </w:tc>
        <w:tc>
          <w:tcPr>
            <w:tcW w:w="575"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4</w:t>
            </w:r>
          </w:p>
        </w:tc>
        <w:tc>
          <w:tcPr>
            <w:tcW w:w="608"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16</w:t>
            </w:r>
          </w:p>
        </w:tc>
        <w:tc>
          <w:tcPr>
            <w:tcW w:w="917"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szCs w:val="14"/>
              </w:rPr>
              <w:t>$6,520.00</w:t>
            </w:r>
          </w:p>
        </w:tc>
        <w:tc>
          <w:tcPr>
            <w:tcW w:w="601" w:type="dxa"/>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9</w:t>
            </w:r>
          </w:p>
        </w:tc>
        <w:tc>
          <w:tcPr>
            <w:tcW w:w="583"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36</w:t>
            </w: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iCs/>
                <w:sz w:val="20"/>
                <w:szCs w:val="14"/>
              </w:rPr>
              <w:t>$14,670.00</w:t>
            </w:r>
          </w:p>
        </w:tc>
        <w:tc>
          <w:tcPr>
            <w:tcW w:w="627"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13</w:t>
            </w:r>
          </w:p>
        </w:tc>
        <w:tc>
          <w:tcPr>
            <w:tcW w:w="557"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52</w:t>
            </w:r>
          </w:p>
        </w:tc>
        <w:tc>
          <w:tcPr>
            <w:tcW w:w="917" w:type="dxa"/>
            <w:gridSpan w:val="2"/>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Cs/>
                <w:sz w:val="20"/>
                <w:szCs w:val="14"/>
              </w:rPr>
              <w:t>$21,190.00</w:t>
            </w: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bCs/>
                <w:iCs/>
                <w:sz w:val="20"/>
                <w:szCs w:val="14"/>
              </w:rPr>
              <w:t>$42,380.00</w:t>
            </w:r>
          </w:p>
        </w:tc>
      </w:tr>
      <w:tr w:rsidR="001C1121" w:rsidRPr="00BA3352" w:rsidTr="00B05C54">
        <w:tc>
          <w:tcPr>
            <w:tcW w:w="3046" w:type="dxa"/>
            <w:gridSpan w:val="5"/>
            <w:vAlign w:val="center"/>
          </w:tcPr>
          <w:p w:rsidR="001C1121" w:rsidRPr="00BA3352" w:rsidRDefault="001C1121" w:rsidP="00E92500">
            <w:pPr>
              <w:widowControl/>
              <w:jc w:val="right"/>
              <w:rPr>
                <w:rFonts w:ascii="Arial Narrow" w:hAnsi="Arial Narrow"/>
                <w:sz w:val="20"/>
              </w:rPr>
            </w:pPr>
            <w:r w:rsidRPr="00BA3352">
              <w:rPr>
                <w:rFonts w:ascii="Arial Narrow" w:hAnsi="Arial Narrow"/>
                <w:b/>
                <w:sz w:val="20"/>
              </w:rPr>
              <w:t xml:space="preserve">Difference </w:t>
            </w: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sz w:val="20"/>
                <w:szCs w:val="14"/>
              </w:rPr>
            </w:pPr>
            <w:r w:rsidRPr="00BA3352">
              <w:rPr>
                <w:rFonts w:ascii="Arial Narrow" w:hAnsi="Arial Narrow"/>
                <w:sz w:val="20"/>
                <w:szCs w:val="14"/>
              </w:rPr>
              <w:t>$</w:t>
            </w:r>
            <w:r w:rsidR="00BD1420">
              <w:rPr>
                <w:rFonts w:ascii="Arial Narrow" w:hAnsi="Arial Narrow"/>
                <w:noProof/>
                <w:color w:val="000000"/>
                <w:sz w:val="20"/>
                <w:szCs w:val="14"/>
                <w:highlight w:val="black"/>
              </w:rPr>
              <w:t>''''''''''''''''''''''</w:t>
            </w:r>
          </w:p>
        </w:tc>
        <w:tc>
          <w:tcPr>
            <w:tcW w:w="1184" w:type="dxa"/>
            <w:gridSpan w:val="2"/>
            <w:shd w:val="clear" w:color="auto" w:fill="FFFFFF" w:themeFill="background1"/>
            <w:vAlign w:val="center"/>
          </w:tcPr>
          <w:p w:rsidR="001C1121" w:rsidRPr="00BA3352" w:rsidRDefault="001C1121" w:rsidP="00E92500">
            <w:pPr>
              <w:widowControl/>
              <w:jc w:val="center"/>
              <w:rPr>
                <w:rFonts w:ascii="Arial Narrow" w:hAnsi="Arial Narrow"/>
                <w:sz w:val="20"/>
              </w:rPr>
            </w:pP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iCs/>
                <w:sz w:val="20"/>
                <w:szCs w:val="14"/>
              </w:rPr>
            </w:pPr>
            <w:r w:rsidRPr="00BA3352">
              <w:rPr>
                <w:rFonts w:ascii="Arial Narrow" w:hAnsi="Arial Narrow"/>
                <w:iCs/>
                <w:sz w:val="20"/>
                <w:szCs w:val="14"/>
              </w:rPr>
              <w:t>-$</w:t>
            </w:r>
            <w:r w:rsidR="00BD1420">
              <w:rPr>
                <w:rFonts w:ascii="Arial Narrow" w:hAnsi="Arial Narrow"/>
                <w:iCs/>
                <w:noProof/>
                <w:color w:val="000000"/>
                <w:sz w:val="20"/>
                <w:szCs w:val="14"/>
                <w:highlight w:val="black"/>
              </w:rPr>
              <w:t>'''''''''''''''''''''</w:t>
            </w:r>
          </w:p>
        </w:tc>
        <w:tc>
          <w:tcPr>
            <w:tcW w:w="1184" w:type="dxa"/>
            <w:gridSpan w:val="2"/>
            <w:vAlign w:val="center"/>
          </w:tcPr>
          <w:p w:rsidR="001C1121" w:rsidRPr="00BA3352" w:rsidRDefault="001C1121" w:rsidP="00E92500">
            <w:pPr>
              <w:widowControl/>
              <w:jc w:val="center"/>
              <w:rPr>
                <w:rFonts w:ascii="Arial Narrow" w:hAnsi="Arial Narrow"/>
                <w:sz w:val="20"/>
              </w:rPr>
            </w:pPr>
          </w:p>
        </w:tc>
        <w:tc>
          <w:tcPr>
            <w:tcW w:w="917" w:type="dxa"/>
            <w:gridSpan w:val="2"/>
            <w:vAlign w:val="center"/>
          </w:tcPr>
          <w:p w:rsidR="001C1121" w:rsidRPr="00BA3352" w:rsidRDefault="001C1121" w:rsidP="00E92500">
            <w:pPr>
              <w:widowControl/>
              <w:jc w:val="center"/>
              <w:rPr>
                <w:rFonts w:ascii="Arial Narrow" w:hAnsi="Arial Narrow"/>
                <w:bCs/>
                <w:sz w:val="20"/>
                <w:szCs w:val="14"/>
              </w:rPr>
            </w:pPr>
            <w:r w:rsidRPr="00BA3352">
              <w:rPr>
                <w:rFonts w:ascii="Arial Narrow" w:hAnsi="Arial Narrow"/>
                <w:sz w:val="20"/>
                <w:szCs w:val="14"/>
              </w:rPr>
              <w:t>-$</w:t>
            </w:r>
            <w:r w:rsidR="00BD1420">
              <w:rPr>
                <w:rFonts w:ascii="Arial Narrow" w:hAnsi="Arial Narrow"/>
                <w:noProof/>
                <w:color w:val="000000"/>
                <w:sz w:val="20"/>
                <w:szCs w:val="14"/>
                <w:highlight w:val="black"/>
              </w:rPr>
              <w:t>'''''''''''''''''''</w:t>
            </w: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iCs/>
                <w:sz w:val="20"/>
                <w:szCs w:val="14"/>
              </w:rPr>
            </w:pPr>
            <w:r w:rsidRPr="00BA3352">
              <w:rPr>
                <w:rFonts w:ascii="Arial Narrow" w:hAnsi="Arial Narrow"/>
                <w:iCs/>
                <w:sz w:val="20"/>
                <w:szCs w:val="14"/>
              </w:rPr>
              <w:t>$</w:t>
            </w:r>
            <w:r w:rsidR="00BD1420">
              <w:rPr>
                <w:rFonts w:ascii="Arial Narrow" w:hAnsi="Arial Narrow"/>
                <w:iCs/>
                <w:noProof/>
                <w:color w:val="000000"/>
                <w:sz w:val="20"/>
                <w:szCs w:val="14"/>
                <w:highlight w:val="black"/>
              </w:rPr>
              <w:t>'''''''''''</w:t>
            </w:r>
          </w:p>
        </w:tc>
      </w:tr>
      <w:tr w:rsidR="001C1121" w:rsidRPr="00BA3352" w:rsidTr="00B05C54">
        <w:tc>
          <w:tcPr>
            <w:tcW w:w="9082" w:type="dxa"/>
            <w:gridSpan w:val="14"/>
          </w:tcPr>
          <w:p w:rsidR="001C1121" w:rsidRPr="00BA3352" w:rsidRDefault="001C1121" w:rsidP="00E92500">
            <w:pPr>
              <w:widowControl/>
              <w:rPr>
                <w:rFonts w:ascii="Arial Narrow" w:hAnsi="Arial Narrow"/>
                <w:b/>
                <w:sz w:val="20"/>
              </w:rPr>
            </w:pPr>
            <w:r w:rsidRPr="00BA3352">
              <w:rPr>
                <w:rFonts w:ascii="Arial Narrow" w:hAnsi="Arial Narrow"/>
                <w:b/>
                <w:sz w:val="20"/>
              </w:rPr>
              <w:t>Alternative assumption – 9 continuing scripts of adalimumab in Year 1 and 13 scripts of secukinumab in Year 2 (second year discounted at 5%)</w:t>
            </w:r>
          </w:p>
        </w:tc>
      </w:tr>
      <w:tr w:rsidR="001C1121" w:rsidRPr="00BA3352" w:rsidTr="00DD4B6E">
        <w:tc>
          <w:tcPr>
            <w:tcW w:w="454" w:type="dxa"/>
          </w:tcPr>
          <w:p w:rsidR="001C1121" w:rsidRPr="00BA3352" w:rsidRDefault="001C1121" w:rsidP="00E92500">
            <w:pPr>
              <w:widowControl/>
              <w:rPr>
                <w:rFonts w:ascii="Arial Narrow" w:hAnsi="Arial Narrow"/>
                <w:b/>
                <w:sz w:val="20"/>
              </w:rPr>
            </w:pPr>
            <w:r w:rsidRPr="00BA3352">
              <w:rPr>
                <w:rFonts w:ascii="Arial Narrow" w:hAnsi="Arial Narrow"/>
                <w:b/>
                <w:sz w:val="20"/>
              </w:rPr>
              <w:t>SEC</w:t>
            </w:r>
          </w:p>
        </w:tc>
        <w:tc>
          <w:tcPr>
            <w:tcW w:w="850" w:type="dxa"/>
            <w:shd w:val="clear" w:color="auto" w:fill="D9D9D9" w:themeFill="background1" w:themeFillShade="D9"/>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w:t>
            </w:r>
            <w:r w:rsidR="00BD1420">
              <w:rPr>
                <w:rFonts w:ascii="Arial Narrow" w:hAnsi="Arial Narrow"/>
                <w:noProof/>
                <w:color w:val="000000"/>
                <w:sz w:val="20"/>
                <w:highlight w:val="black"/>
              </w:rPr>
              <w:t>''''''''''''''''''''''</w:t>
            </w:r>
          </w:p>
        </w:tc>
        <w:tc>
          <w:tcPr>
            <w:tcW w:w="559"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150</w:t>
            </w:r>
          </w:p>
        </w:tc>
        <w:tc>
          <w:tcPr>
            <w:tcW w:w="575"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7</w:t>
            </w:r>
          </w:p>
        </w:tc>
        <w:tc>
          <w:tcPr>
            <w:tcW w:w="608"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16</w:t>
            </w: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szCs w:val="14"/>
              </w:rPr>
              <w:t>$</w:t>
            </w:r>
            <w:r w:rsidR="00BD1420">
              <w:rPr>
                <w:rFonts w:ascii="Arial Narrow" w:hAnsi="Arial Narrow"/>
                <w:noProof/>
                <w:color w:val="000000"/>
                <w:sz w:val="20"/>
                <w:szCs w:val="14"/>
                <w:highlight w:val="black"/>
              </w:rPr>
              <w:t>''''''''''''''''''''''</w:t>
            </w:r>
          </w:p>
        </w:tc>
        <w:tc>
          <w:tcPr>
            <w:tcW w:w="601"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9</w:t>
            </w:r>
          </w:p>
        </w:tc>
        <w:tc>
          <w:tcPr>
            <w:tcW w:w="583"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36</w:t>
            </w: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szCs w:val="14"/>
              </w:rPr>
              <w:t>$</w:t>
            </w:r>
            <w:r w:rsidR="00BD1420">
              <w:rPr>
                <w:rFonts w:ascii="Arial Narrow" w:hAnsi="Arial Narrow"/>
                <w:noProof/>
                <w:color w:val="000000"/>
                <w:sz w:val="20"/>
                <w:szCs w:val="14"/>
                <w:highlight w:val="black"/>
              </w:rPr>
              <w:t>'''''''''''''''''''''</w:t>
            </w:r>
          </w:p>
        </w:tc>
        <w:tc>
          <w:tcPr>
            <w:tcW w:w="627" w:type="dxa"/>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13</w:t>
            </w:r>
          </w:p>
        </w:tc>
        <w:tc>
          <w:tcPr>
            <w:tcW w:w="557"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52</w:t>
            </w:r>
          </w:p>
        </w:tc>
        <w:tc>
          <w:tcPr>
            <w:tcW w:w="917" w:type="dxa"/>
            <w:gridSpan w:val="2"/>
            <w:shd w:val="clear" w:color="auto" w:fill="D9D9D9" w:themeFill="background1" w:themeFillShade="D9"/>
            <w:vAlign w:val="center"/>
          </w:tcPr>
          <w:p w:rsidR="001C1121" w:rsidRPr="00BA3352" w:rsidRDefault="001C1121" w:rsidP="00E92500">
            <w:pPr>
              <w:widowControl/>
              <w:jc w:val="center"/>
              <w:rPr>
                <w:rFonts w:ascii="Arial Narrow" w:hAnsi="Arial Narrow"/>
                <w:sz w:val="20"/>
              </w:rPr>
            </w:pPr>
            <w:r w:rsidRPr="00BA3352">
              <w:rPr>
                <w:rFonts w:ascii="Arial Narrow" w:hAnsi="Arial Narrow"/>
                <w:bCs/>
                <w:sz w:val="20"/>
                <w:szCs w:val="14"/>
              </w:rPr>
              <w:t>$</w:t>
            </w:r>
            <w:r w:rsidR="00BD1420">
              <w:rPr>
                <w:rFonts w:ascii="Arial Narrow" w:hAnsi="Arial Narrow"/>
                <w:bCs/>
                <w:iCs/>
                <w:noProof/>
                <w:color w:val="000000"/>
                <w:sz w:val="20"/>
                <w:szCs w:val="14"/>
                <w:highlight w:val="black"/>
              </w:rPr>
              <w:t>'''''''''''''''''''''''</w:t>
            </w:r>
          </w:p>
        </w:tc>
        <w:tc>
          <w:tcPr>
            <w:tcW w:w="917" w:type="dxa"/>
            <w:shd w:val="clear" w:color="auto" w:fill="D9D9D9" w:themeFill="background1" w:themeFillShade="D9"/>
          </w:tcPr>
          <w:p w:rsidR="001C1121" w:rsidRPr="00BA3352" w:rsidRDefault="001C1121" w:rsidP="00E92500">
            <w:pPr>
              <w:widowControl/>
              <w:jc w:val="center"/>
              <w:rPr>
                <w:rFonts w:ascii="Arial Narrow" w:hAnsi="Arial Narrow"/>
                <w:b/>
                <w:sz w:val="20"/>
              </w:rPr>
            </w:pPr>
            <w:r w:rsidRPr="00BA3352">
              <w:rPr>
                <w:rFonts w:ascii="Arial Narrow" w:hAnsi="Arial Narrow"/>
                <w:b/>
                <w:bCs/>
                <w:iCs/>
                <w:sz w:val="20"/>
                <w:szCs w:val="14"/>
              </w:rPr>
              <w:t>$</w:t>
            </w:r>
            <w:r w:rsidR="00BD1420">
              <w:rPr>
                <w:rFonts w:ascii="Arial Narrow" w:hAnsi="Arial Narrow"/>
                <w:b/>
                <w:bCs/>
                <w:iCs/>
                <w:noProof/>
                <w:color w:val="000000"/>
                <w:sz w:val="20"/>
                <w:szCs w:val="14"/>
                <w:highlight w:val="black"/>
              </w:rPr>
              <w:t>''''''''''''''''''</w:t>
            </w:r>
          </w:p>
        </w:tc>
      </w:tr>
      <w:tr w:rsidR="001C1121" w:rsidRPr="00BA3352" w:rsidTr="00DD4B6E">
        <w:tc>
          <w:tcPr>
            <w:tcW w:w="454" w:type="dxa"/>
          </w:tcPr>
          <w:p w:rsidR="001C1121" w:rsidRPr="00BA3352" w:rsidRDefault="001C1121" w:rsidP="00E92500">
            <w:pPr>
              <w:widowControl/>
              <w:rPr>
                <w:rFonts w:ascii="Arial Narrow" w:hAnsi="Arial Narrow"/>
                <w:b/>
                <w:sz w:val="20"/>
              </w:rPr>
            </w:pPr>
            <w:r w:rsidRPr="00BA3352">
              <w:rPr>
                <w:rFonts w:ascii="Arial Narrow" w:hAnsi="Arial Narrow"/>
                <w:b/>
                <w:sz w:val="20"/>
              </w:rPr>
              <w:t>ADA</w:t>
            </w:r>
          </w:p>
        </w:tc>
        <w:tc>
          <w:tcPr>
            <w:tcW w:w="850"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$1,630.00</w:t>
            </w:r>
          </w:p>
        </w:tc>
        <w:tc>
          <w:tcPr>
            <w:tcW w:w="559"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80</w:t>
            </w:r>
          </w:p>
        </w:tc>
        <w:tc>
          <w:tcPr>
            <w:tcW w:w="575"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4</w:t>
            </w:r>
          </w:p>
        </w:tc>
        <w:tc>
          <w:tcPr>
            <w:tcW w:w="608"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16</w:t>
            </w:r>
          </w:p>
        </w:tc>
        <w:tc>
          <w:tcPr>
            <w:tcW w:w="917"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szCs w:val="14"/>
              </w:rPr>
              <w:t>$6,520.00</w:t>
            </w:r>
          </w:p>
        </w:tc>
        <w:tc>
          <w:tcPr>
            <w:tcW w:w="601" w:type="dxa"/>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9</w:t>
            </w:r>
          </w:p>
        </w:tc>
        <w:tc>
          <w:tcPr>
            <w:tcW w:w="583"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36</w:t>
            </w: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iCs/>
                <w:sz w:val="20"/>
                <w:szCs w:val="14"/>
              </w:rPr>
              <w:t>$14,670.00</w:t>
            </w:r>
          </w:p>
        </w:tc>
        <w:tc>
          <w:tcPr>
            <w:tcW w:w="627"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13</w:t>
            </w:r>
          </w:p>
        </w:tc>
        <w:tc>
          <w:tcPr>
            <w:tcW w:w="557"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sz w:val="20"/>
              </w:rPr>
              <w:t>52</w:t>
            </w:r>
          </w:p>
        </w:tc>
        <w:tc>
          <w:tcPr>
            <w:tcW w:w="917" w:type="dxa"/>
            <w:gridSpan w:val="2"/>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Cs/>
                <w:sz w:val="20"/>
                <w:szCs w:val="14"/>
              </w:rPr>
              <w:t>$20,180.95</w:t>
            </w: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bCs/>
                <w:iCs/>
                <w:sz w:val="20"/>
                <w:szCs w:val="14"/>
              </w:rPr>
              <w:t>$41,370.95</w:t>
            </w:r>
          </w:p>
        </w:tc>
      </w:tr>
      <w:tr w:rsidR="001C1121" w:rsidRPr="00BA3352" w:rsidTr="00B05C54">
        <w:tc>
          <w:tcPr>
            <w:tcW w:w="3046" w:type="dxa"/>
            <w:gridSpan w:val="5"/>
            <w:vAlign w:val="center"/>
          </w:tcPr>
          <w:p w:rsidR="001C1121" w:rsidRPr="00BA3352" w:rsidRDefault="001C1121" w:rsidP="00E92500">
            <w:pPr>
              <w:widowControl/>
              <w:jc w:val="right"/>
              <w:rPr>
                <w:rFonts w:ascii="Arial Narrow" w:hAnsi="Arial Narrow"/>
                <w:sz w:val="20"/>
              </w:rPr>
            </w:pPr>
            <w:r w:rsidRPr="00BA3352">
              <w:rPr>
                <w:rFonts w:ascii="Arial Narrow" w:hAnsi="Arial Narrow"/>
                <w:b/>
                <w:sz w:val="20"/>
              </w:rPr>
              <w:t xml:space="preserve">Difference </w:t>
            </w: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sz w:val="20"/>
                <w:szCs w:val="14"/>
              </w:rPr>
            </w:pPr>
            <w:r w:rsidRPr="00BA3352">
              <w:rPr>
                <w:rFonts w:ascii="Arial Narrow" w:hAnsi="Arial Narrow"/>
                <w:sz w:val="20"/>
                <w:szCs w:val="14"/>
              </w:rPr>
              <w:t>$</w:t>
            </w:r>
            <w:r w:rsidR="00BD1420">
              <w:rPr>
                <w:rFonts w:ascii="Arial Narrow" w:hAnsi="Arial Narrow"/>
                <w:noProof/>
                <w:color w:val="000000"/>
                <w:sz w:val="20"/>
                <w:szCs w:val="14"/>
                <w:highlight w:val="black"/>
              </w:rPr>
              <w:t>'''''''''''''''''''''</w:t>
            </w:r>
          </w:p>
        </w:tc>
        <w:tc>
          <w:tcPr>
            <w:tcW w:w="1184" w:type="dxa"/>
            <w:gridSpan w:val="2"/>
            <w:vAlign w:val="center"/>
          </w:tcPr>
          <w:p w:rsidR="001C1121" w:rsidRPr="00BA3352" w:rsidRDefault="001C1121" w:rsidP="00E92500">
            <w:pPr>
              <w:widowControl/>
              <w:jc w:val="center"/>
              <w:rPr>
                <w:rFonts w:ascii="Arial Narrow" w:hAnsi="Arial Narrow"/>
                <w:sz w:val="20"/>
              </w:rPr>
            </w:pP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iCs/>
                <w:sz w:val="20"/>
                <w:szCs w:val="14"/>
              </w:rPr>
            </w:pPr>
            <w:r w:rsidRPr="00BA3352">
              <w:rPr>
                <w:rFonts w:ascii="Arial Narrow" w:hAnsi="Arial Narrow"/>
                <w:iCs/>
                <w:sz w:val="20"/>
                <w:szCs w:val="14"/>
              </w:rPr>
              <w:t>-$</w:t>
            </w:r>
            <w:r w:rsidR="00BD1420">
              <w:rPr>
                <w:rFonts w:ascii="Arial Narrow" w:hAnsi="Arial Narrow"/>
                <w:iCs/>
                <w:noProof/>
                <w:color w:val="000000"/>
                <w:sz w:val="20"/>
                <w:szCs w:val="14"/>
                <w:highlight w:val="black"/>
              </w:rPr>
              <w:t>''''''''''''''''''''''</w:t>
            </w:r>
          </w:p>
        </w:tc>
        <w:tc>
          <w:tcPr>
            <w:tcW w:w="1184" w:type="dxa"/>
            <w:gridSpan w:val="2"/>
            <w:vAlign w:val="center"/>
          </w:tcPr>
          <w:p w:rsidR="001C1121" w:rsidRPr="00BA3352" w:rsidRDefault="001C1121" w:rsidP="00E92500">
            <w:pPr>
              <w:widowControl/>
              <w:jc w:val="center"/>
              <w:rPr>
                <w:rFonts w:ascii="Arial Narrow" w:hAnsi="Arial Narrow"/>
                <w:sz w:val="20"/>
              </w:rPr>
            </w:pPr>
          </w:p>
        </w:tc>
        <w:tc>
          <w:tcPr>
            <w:tcW w:w="917" w:type="dxa"/>
            <w:gridSpan w:val="2"/>
            <w:shd w:val="clear" w:color="auto" w:fill="D9D9D9" w:themeFill="background1" w:themeFillShade="D9"/>
            <w:vAlign w:val="center"/>
          </w:tcPr>
          <w:p w:rsidR="001C1121" w:rsidRPr="00BA3352" w:rsidRDefault="001C1121" w:rsidP="00E92500">
            <w:pPr>
              <w:widowControl/>
              <w:jc w:val="center"/>
              <w:rPr>
                <w:rFonts w:ascii="Arial Narrow" w:hAnsi="Arial Narrow"/>
                <w:bCs/>
                <w:sz w:val="20"/>
                <w:szCs w:val="14"/>
              </w:rPr>
            </w:pPr>
            <w:r w:rsidRPr="00BA3352">
              <w:rPr>
                <w:rFonts w:ascii="Arial Narrow" w:hAnsi="Arial Narrow"/>
                <w:bCs/>
                <w:sz w:val="20"/>
                <w:szCs w:val="14"/>
              </w:rPr>
              <w:t>-$</w:t>
            </w:r>
            <w:r w:rsidR="00BD1420">
              <w:rPr>
                <w:rFonts w:ascii="Arial Narrow" w:hAnsi="Arial Narrow"/>
                <w:bCs/>
                <w:noProof/>
                <w:color w:val="000000"/>
                <w:sz w:val="20"/>
                <w:szCs w:val="14"/>
                <w:highlight w:val="black"/>
              </w:rPr>
              <w:t>''''''''''''''''''''''</w:t>
            </w:r>
          </w:p>
        </w:tc>
        <w:tc>
          <w:tcPr>
            <w:tcW w:w="917" w:type="dxa"/>
            <w:shd w:val="clear" w:color="auto" w:fill="D9D9D9" w:themeFill="background1" w:themeFillShade="D9"/>
            <w:vAlign w:val="center"/>
          </w:tcPr>
          <w:p w:rsidR="001C1121" w:rsidRPr="00BA3352" w:rsidRDefault="001C1121" w:rsidP="00E92500">
            <w:pPr>
              <w:widowControl/>
              <w:jc w:val="center"/>
              <w:rPr>
                <w:rFonts w:ascii="Arial Narrow" w:hAnsi="Arial Narrow"/>
                <w:iCs/>
                <w:sz w:val="20"/>
                <w:szCs w:val="14"/>
              </w:rPr>
            </w:pPr>
            <w:r w:rsidRPr="00BA3352">
              <w:rPr>
                <w:rFonts w:ascii="Arial Narrow" w:hAnsi="Arial Narrow"/>
                <w:iCs/>
                <w:sz w:val="20"/>
                <w:szCs w:val="14"/>
              </w:rPr>
              <w:t>-$</w:t>
            </w:r>
            <w:r w:rsidR="00BD1420">
              <w:rPr>
                <w:rFonts w:ascii="Arial Narrow" w:hAnsi="Arial Narrow"/>
                <w:iCs/>
                <w:noProof/>
                <w:color w:val="000000"/>
                <w:sz w:val="20"/>
                <w:szCs w:val="14"/>
                <w:highlight w:val="black"/>
              </w:rPr>
              <w:t>''''''''''</w:t>
            </w:r>
          </w:p>
        </w:tc>
      </w:tr>
    </w:tbl>
    <w:p w:rsidR="00F45DAB" w:rsidRDefault="00F45DAB" w:rsidP="009B1C11">
      <w:pPr>
        <w:widowControl/>
        <w:jc w:val="left"/>
        <w:rPr>
          <w:b/>
          <w:i/>
        </w:rPr>
      </w:pPr>
      <w:bookmarkStart w:id="14" w:name="_Toc441065568"/>
    </w:p>
    <w:p w:rsidR="001C1121" w:rsidRPr="009B1C11" w:rsidRDefault="001C1121" w:rsidP="009B1C11">
      <w:pPr>
        <w:widowControl/>
        <w:jc w:val="left"/>
        <w:rPr>
          <w:b/>
          <w:i/>
        </w:rPr>
      </w:pPr>
      <w:r w:rsidRPr="009B1C11">
        <w:rPr>
          <w:b/>
          <w:i/>
        </w:rPr>
        <w:t>Drug cost/patient/year:</w:t>
      </w:r>
      <w:bookmarkEnd w:id="14"/>
    </w:p>
    <w:p w:rsidR="001C1121" w:rsidRPr="00BA3352" w:rsidRDefault="001C1121" w:rsidP="00E92500">
      <w:pPr>
        <w:widowControl/>
        <w:rPr>
          <w:i/>
          <w:sz w:val="20"/>
        </w:rPr>
      </w:pPr>
    </w:p>
    <w:p w:rsidR="001C1121" w:rsidRPr="00CB21D6" w:rsidRDefault="001C1121" w:rsidP="00D33470">
      <w:pPr>
        <w:pStyle w:val="ListParagraph"/>
        <w:widowControl/>
        <w:numPr>
          <w:ilvl w:val="1"/>
          <w:numId w:val="1"/>
        </w:numPr>
        <w:rPr>
          <w:szCs w:val="22"/>
        </w:rPr>
      </w:pPr>
      <w:r w:rsidRPr="00CB21D6">
        <w:t>At the requested DPMQ of secukinumab and using the current adalimumab price:</w:t>
      </w:r>
    </w:p>
    <w:tbl>
      <w:tblPr>
        <w:tblStyle w:val="TableGrid"/>
        <w:tblW w:w="0" w:type="auto"/>
        <w:tblInd w:w="737" w:type="dxa"/>
        <w:tblCellMar>
          <w:left w:w="28" w:type="dxa"/>
          <w:right w:w="28" w:type="dxa"/>
        </w:tblCellMar>
        <w:tblLook w:val="04A0" w:firstRow="1" w:lastRow="0" w:firstColumn="1" w:lastColumn="0" w:noHBand="0" w:noVBand="1"/>
        <w:tblCaption w:val="6.28 At the requested DPMQ of secukinumab and using the current adalimumab price:"/>
      </w:tblPr>
      <w:tblGrid>
        <w:gridCol w:w="1833"/>
        <w:gridCol w:w="2954"/>
        <w:gridCol w:w="3492"/>
      </w:tblGrid>
      <w:tr w:rsidR="001C1121" w:rsidRPr="00BA3352" w:rsidTr="00763C4D">
        <w:trPr>
          <w:tblHeader/>
        </w:trPr>
        <w:tc>
          <w:tcPr>
            <w:tcW w:w="1833" w:type="dxa"/>
          </w:tcPr>
          <w:p w:rsidR="001C1121" w:rsidRPr="00BA3352" w:rsidRDefault="001C1121" w:rsidP="00E92500">
            <w:pPr>
              <w:widowControl/>
              <w:rPr>
                <w:rFonts w:ascii="Arial Narrow" w:hAnsi="Arial Narrow"/>
                <w:sz w:val="20"/>
              </w:rPr>
            </w:pPr>
          </w:p>
        </w:tc>
        <w:tc>
          <w:tcPr>
            <w:tcW w:w="2954"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Initiation (16 weeks)</w:t>
            </w:r>
          </w:p>
        </w:tc>
        <w:tc>
          <w:tcPr>
            <w:tcW w:w="3492" w:type="dxa"/>
            <w:vAlign w:val="center"/>
          </w:tcPr>
          <w:p w:rsidR="001C1121" w:rsidRPr="00BA3352" w:rsidRDefault="001C1121" w:rsidP="00E92500">
            <w:pPr>
              <w:widowControl/>
              <w:jc w:val="center"/>
              <w:rPr>
                <w:rFonts w:ascii="Arial Narrow" w:hAnsi="Arial Narrow"/>
                <w:b/>
                <w:sz w:val="20"/>
              </w:rPr>
            </w:pPr>
            <w:r w:rsidRPr="00BA3352">
              <w:rPr>
                <w:rFonts w:ascii="Arial Narrow" w:hAnsi="Arial Narrow"/>
                <w:b/>
                <w:sz w:val="20"/>
              </w:rPr>
              <w:t>12 months of maintenance</w:t>
            </w:r>
          </w:p>
        </w:tc>
      </w:tr>
      <w:tr w:rsidR="001C1121" w:rsidRPr="00BA3352" w:rsidTr="007C0FC3">
        <w:tc>
          <w:tcPr>
            <w:tcW w:w="1833" w:type="dxa"/>
          </w:tcPr>
          <w:p w:rsidR="001C1121" w:rsidRPr="00BA3352" w:rsidRDefault="001C1121" w:rsidP="00E92500">
            <w:pPr>
              <w:widowControl/>
              <w:rPr>
                <w:rFonts w:ascii="Arial Narrow" w:hAnsi="Arial Narrow"/>
                <w:sz w:val="20"/>
              </w:rPr>
            </w:pPr>
            <w:r w:rsidRPr="00BA3352">
              <w:rPr>
                <w:rFonts w:ascii="Arial Narrow" w:hAnsi="Arial Narrow"/>
                <w:sz w:val="20"/>
              </w:rPr>
              <w:t xml:space="preserve">Secukinumab </w:t>
            </w:r>
          </w:p>
        </w:tc>
        <w:tc>
          <w:tcPr>
            <w:tcW w:w="2954"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w:t>
            </w:r>
            <w:r w:rsidR="00BD1420">
              <w:rPr>
                <w:rFonts w:ascii="Arial Narrow" w:hAnsi="Arial Narrow"/>
                <w:noProof/>
                <w:color w:val="000000"/>
                <w:sz w:val="20"/>
                <w:highlight w:val="black"/>
              </w:rPr>
              <w:t>'''''''''''''''''''''''</w:t>
            </w:r>
            <w:r w:rsidRPr="00BA3352">
              <w:rPr>
                <w:rFonts w:ascii="Arial Narrow" w:hAnsi="Arial Narrow"/>
                <w:sz w:val="20"/>
              </w:rPr>
              <w:t xml:space="preserve"> (1 pack at $</w:t>
            </w:r>
            <w:r w:rsidR="00BD1420">
              <w:rPr>
                <w:rFonts w:ascii="Arial Narrow" w:hAnsi="Arial Narrow"/>
                <w:noProof/>
                <w:color w:val="000000"/>
                <w:sz w:val="20"/>
                <w:highlight w:val="black"/>
              </w:rPr>
              <w:t>'''''''''''''''''''''''</w:t>
            </w:r>
            <w:r w:rsidRPr="00BA3352">
              <w:rPr>
                <w:rFonts w:ascii="Arial Narrow" w:hAnsi="Arial Narrow"/>
                <w:sz w:val="20"/>
              </w:rPr>
              <w:t>/pack + 2 packs at $</w:t>
            </w:r>
            <w:r w:rsidR="00BD1420">
              <w:rPr>
                <w:rFonts w:ascii="Arial Narrow" w:hAnsi="Arial Narrow"/>
                <w:noProof/>
                <w:color w:val="000000"/>
                <w:sz w:val="20"/>
                <w:highlight w:val="black"/>
              </w:rPr>
              <w:t>'''''''''''''''''''</w:t>
            </w:r>
            <w:r w:rsidRPr="00BA3352">
              <w:rPr>
                <w:rFonts w:ascii="Arial Narrow" w:hAnsi="Arial Narrow"/>
                <w:sz w:val="20"/>
              </w:rPr>
              <w:t>/pack)</w:t>
            </w:r>
          </w:p>
        </w:tc>
        <w:tc>
          <w:tcPr>
            <w:tcW w:w="3492"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w:t>
            </w:r>
            <w:r w:rsidR="00BD1420">
              <w:rPr>
                <w:rFonts w:ascii="Arial Narrow" w:hAnsi="Arial Narrow"/>
                <w:noProof/>
                <w:color w:val="000000"/>
                <w:sz w:val="20"/>
                <w:highlight w:val="black"/>
              </w:rPr>
              <w:t>''''''''''''''''''''''</w:t>
            </w:r>
            <w:r w:rsidRPr="00BA3352">
              <w:rPr>
                <w:rFonts w:ascii="Arial Narrow" w:hAnsi="Arial Narrow"/>
                <w:sz w:val="20"/>
              </w:rPr>
              <w:t xml:space="preserve"> (13 packs</w:t>
            </w:r>
            <w:r w:rsidRPr="00BA3352">
              <w:rPr>
                <w:rFonts w:ascii="Arial Narrow" w:hAnsi="Arial Narrow"/>
                <w:sz w:val="20"/>
                <w:vertAlign w:val="superscript"/>
              </w:rPr>
              <w:t>#</w:t>
            </w:r>
            <w:r w:rsidRPr="00BA3352">
              <w:rPr>
                <w:rFonts w:ascii="Arial Narrow" w:hAnsi="Arial Narrow"/>
                <w:sz w:val="20"/>
              </w:rPr>
              <w:t xml:space="preserve"> at $</w:t>
            </w:r>
            <w:r w:rsidR="00BD1420">
              <w:rPr>
                <w:rFonts w:ascii="Arial Narrow" w:hAnsi="Arial Narrow"/>
                <w:noProof/>
                <w:color w:val="000000"/>
                <w:sz w:val="20"/>
                <w:highlight w:val="black"/>
              </w:rPr>
              <w:t>'''''''''''''''''''''</w:t>
            </w:r>
            <w:r w:rsidRPr="00BA3352">
              <w:rPr>
                <w:rFonts w:ascii="Arial Narrow" w:hAnsi="Arial Narrow"/>
                <w:sz w:val="20"/>
              </w:rPr>
              <w:t>/pack)</w:t>
            </w:r>
          </w:p>
        </w:tc>
      </w:tr>
      <w:tr w:rsidR="001C1121" w:rsidRPr="00BA3352" w:rsidTr="007C0FC3">
        <w:tc>
          <w:tcPr>
            <w:tcW w:w="1833" w:type="dxa"/>
          </w:tcPr>
          <w:p w:rsidR="001C1121" w:rsidRPr="00BA3352" w:rsidRDefault="001C1121" w:rsidP="00E92500">
            <w:pPr>
              <w:widowControl/>
              <w:rPr>
                <w:rFonts w:ascii="Arial Narrow" w:hAnsi="Arial Narrow"/>
                <w:sz w:val="20"/>
              </w:rPr>
            </w:pPr>
            <w:r w:rsidRPr="00BA3352">
              <w:rPr>
                <w:rFonts w:ascii="Arial Narrow" w:hAnsi="Arial Narrow"/>
                <w:sz w:val="20"/>
              </w:rPr>
              <w:t xml:space="preserve">Adalimumab </w:t>
            </w:r>
          </w:p>
        </w:tc>
        <w:tc>
          <w:tcPr>
            <w:tcW w:w="2954"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 xml:space="preserve">$7,054.23 </w:t>
            </w:r>
          </w:p>
          <w:p w:rsidR="001C1121" w:rsidRPr="00BA3352" w:rsidRDefault="001C1121" w:rsidP="00E92500">
            <w:pPr>
              <w:widowControl/>
              <w:jc w:val="center"/>
              <w:rPr>
                <w:rFonts w:ascii="Arial Narrow" w:hAnsi="Arial Narrow"/>
                <w:sz w:val="20"/>
              </w:rPr>
            </w:pPr>
            <w:r w:rsidRPr="00BA3352">
              <w:rPr>
                <w:rFonts w:ascii="Arial Narrow" w:hAnsi="Arial Narrow"/>
                <w:sz w:val="20"/>
              </w:rPr>
              <w:t>(4 packs at $1,763.56/pack)</w:t>
            </w:r>
          </w:p>
        </w:tc>
        <w:tc>
          <w:tcPr>
            <w:tcW w:w="3492" w:type="dxa"/>
            <w:vAlign w:val="center"/>
          </w:tcPr>
          <w:p w:rsidR="001C1121" w:rsidRPr="00BA3352" w:rsidRDefault="001C1121" w:rsidP="00E92500">
            <w:pPr>
              <w:widowControl/>
              <w:jc w:val="center"/>
              <w:rPr>
                <w:rFonts w:ascii="Arial Narrow" w:hAnsi="Arial Narrow"/>
                <w:sz w:val="20"/>
              </w:rPr>
            </w:pPr>
            <w:r w:rsidRPr="00BA3352">
              <w:rPr>
                <w:rFonts w:ascii="Arial Narrow" w:hAnsi="Arial Narrow"/>
                <w:sz w:val="20"/>
              </w:rPr>
              <w:t xml:space="preserve">$22,926.25 </w:t>
            </w:r>
          </w:p>
          <w:p w:rsidR="001C1121" w:rsidRPr="00BA3352" w:rsidRDefault="001C1121" w:rsidP="00E92500">
            <w:pPr>
              <w:widowControl/>
              <w:jc w:val="center"/>
              <w:rPr>
                <w:rFonts w:ascii="Arial Narrow" w:hAnsi="Arial Narrow"/>
                <w:sz w:val="20"/>
              </w:rPr>
            </w:pPr>
            <w:r w:rsidRPr="00BA3352">
              <w:rPr>
                <w:rFonts w:ascii="Arial Narrow" w:hAnsi="Arial Narrow"/>
                <w:sz w:val="20"/>
              </w:rPr>
              <w:t>(13 packs at $1,763.56/pack)</w:t>
            </w:r>
          </w:p>
        </w:tc>
      </w:tr>
    </w:tbl>
    <w:p w:rsidR="00D606C2" w:rsidRPr="009502C5" w:rsidRDefault="001C1121" w:rsidP="007C0FC3">
      <w:pPr>
        <w:widowControl/>
        <w:ind w:firstLine="709"/>
        <w:rPr>
          <w:sz w:val="20"/>
        </w:rPr>
      </w:pPr>
      <w:r w:rsidRPr="009502C5">
        <w:rPr>
          <w:rFonts w:ascii="Arial Narrow" w:hAnsi="Arial Narrow"/>
          <w:sz w:val="18"/>
          <w:vertAlign w:val="superscript"/>
        </w:rPr>
        <w:t>#</w:t>
      </w:r>
      <w:r w:rsidRPr="009502C5">
        <w:rPr>
          <w:rFonts w:ascii="Arial Narrow" w:hAnsi="Arial Narrow"/>
          <w:sz w:val="18"/>
        </w:rPr>
        <w:t xml:space="preserve"> based on maintenance dosing once every 4 weeks from Week 4 in the pivotal trial</w:t>
      </w:r>
      <w:bookmarkStart w:id="15" w:name="_Toc441065569"/>
    </w:p>
    <w:p w:rsidR="001831AD" w:rsidRDefault="001831AD">
      <w:pPr>
        <w:widowControl/>
        <w:jc w:val="left"/>
        <w:rPr>
          <w:b/>
          <w:i/>
        </w:rPr>
      </w:pPr>
    </w:p>
    <w:p w:rsidR="001C1121" w:rsidRPr="00D606C2" w:rsidRDefault="001C1121" w:rsidP="00D606C2">
      <w:pPr>
        <w:widowControl/>
        <w:rPr>
          <w:b/>
        </w:rPr>
      </w:pPr>
      <w:r w:rsidRPr="00D606C2">
        <w:rPr>
          <w:b/>
          <w:i/>
        </w:rPr>
        <w:t>Estimated PBS usage &amp; financial implications</w:t>
      </w:r>
      <w:bookmarkEnd w:id="15"/>
    </w:p>
    <w:p w:rsidR="001C1121" w:rsidRPr="00BA3352" w:rsidRDefault="001C1121" w:rsidP="00E92500">
      <w:pPr>
        <w:widowControl/>
        <w:ind w:left="720" w:hanging="720"/>
        <w:rPr>
          <w:b/>
          <w:szCs w:val="22"/>
        </w:rPr>
      </w:pPr>
    </w:p>
    <w:p w:rsidR="001C1121" w:rsidRPr="00CB21D6" w:rsidRDefault="00F926C2" w:rsidP="00D33470">
      <w:pPr>
        <w:pStyle w:val="ListParagraph"/>
        <w:widowControl/>
        <w:numPr>
          <w:ilvl w:val="1"/>
          <w:numId w:val="1"/>
        </w:numPr>
        <w:rPr>
          <w:szCs w:val="22"/>
        </w:rPr>
      </w:pPr>
      <w:r w:rsidRPr="00CB21D6">
        <w:t xml:space="preserve"> </w:t>
      </w:r>
      <w:r w:rsidR="00FF6E6F">
        <w:t xml:space="preserve">The </w:t>
      </w:r>
      <w:r w:rsidRPr="00CB21D6">
        <w:t>submission was</w:t>
      </w:r>
      <w:r w:rsidR="001C1121" w:rsidRPr="00CB21D6">
        <w:t xml:space="preserve"> not considered by DUSC</w:t>
      </w:r>
      <w:r w:rsidR="001C1121" w:rsidRPr="00CB21D6">
        <w:rPr>
          <w:color w:val="0070C0"/>
        </w:rPr>
        <w:t>.</w:t>
      </w:r>
      <w:r w:rsidR="001C1121" w:rsidRPr="00CB21D6">
        <w:rPr>
          <w:color w:val="3366FF"/>
        </w:rPr>
        <w:t xml:space="preserve">  </w:t>
      </w:r>
      <w:r w:rsidR="001C1121" w:rsidRPr="00CB21D6">
        <w:t>The submission use</w:t>
      </w:r>
      <w:r w:rsidR="0010502E">
        <w:t>d</w:t>
      </w:r>
      <w:r w:rsidR="001C1121" w:rsidRPr="00CB21D6">
        <w:t xml:space="preserve"> a market share approach to estimate PBS usage and financial implications, relying primarily on PBS data.  </w:t>
      </w:r>
      <w:r w:rsidR="00A440B7" w:rsidRPr="00CB21D6">
        <w:t xml:space="preserve">Although secukinumab </w:t>
      </w:r>
      <w:r w:rsidR="00BC5FA3" w:rsidRPr="00CB21D6">
        <w:t>will</w:t>
      </w:r>
      <w:r w:rsidR="00A440B7" w:rsidRPr="00CB21D6">
        <w:t xml:space="preserve"> substitute for the currently PBS-listed bDMARDs for the treatment of AS, the submission assume</w:t>
      </w:r>
      <w:r w:rsidR="0010502E">
        <w:t>d</w:t>
      </w:r>
      <w:r w:rsidR="00A440B7" w:rsidRPr="00CB21D6">
        <w:t xml:space="preserve"> no market growth which may not be reasonable as </w:t>
      </w:r>
      <w:r w:rsidR="00BC5FA3" w:rsidRPr="00CB21D6">
        <w:t xml:space="preserve">secukinumab offers an alternate mechanism of action </w:t>
      </w:r>
      <w:r w:rsidR="003E1BFD" w:rsidRPr="00CB21D6">
        <w:t xml:space="preserve">(selectively binds to interleukin-17A or IL-17A) </w:t>
      </w:r>
      <w:r w:rsidR="00BC5FA3" w:rsidRPr="00CB21D6">
        <w:t>to the currently listed bDMARDs (all anti-TNF-α</w:t>
      </w:r>
      <w:r w:rsidR="003E1BFD" w:rsidRPr="00CB21D6">
        <w:t xml:space="preserve"> treatments).  As such, secukinumab </w:t>
      </w:r>
      <w:r w:rsidR="001E3E92" w:rsidRPr="00CB21D6">
        <w:t>has a different adverse event profile to other bDMARDs currently listed for AS.</w:t>
      </w:r>
      <w:r w:rsidR="003E1BFD" w:rsidRPr="00CB21D6">
        <w:t xml:space="preserve">  The size of this additional population </w:t>
      </w:r>
      <w:r w:rsidR="00FC1106">
        <w:t xml:space="preserve">was </w:t>
      </w:r>
      <w:r w:rsidR="003E1BFD" w:rsidRPr="00CB21D6">
        <w:t>unknown.</w:t>
      </w:r>
      <w:r w:rsidR="00BC5FA3" w:rsidRPr="00CB21D6">
        <w:t xml:space="preserve"> </w:t>
      </w:r>
      <w:r w:rsidR="009B1C11" w:rsidRPr="00CB21D6">
        <w:t>The PSCR state</w:t>
      </w:r>
      <w:r w:rsidR="001E3E92" w:rsidRPr="00CB21D6">
        <w:t>d</w:t>
      </w:r>
      <w:r w:rsidR="009B1C11" w:rsidRPr="00CB21D6">
        <w:t xml:space="preserve"> that </w:t>
      </w:r>
      <w:r w:rsidR="009B003F" w:rsidRPr="00CB21D6">
        <w:t xml:space="preserve">the </w:t>
      </w:r>
      <w:r w:rsidR="000C3182" w:rsidRPr="00CB21D6">
        <w:t>estimates presented in the submission assume</w:t>
      </w:r>
      <w:r w:rsidR="00FC1106">
        <w:t>d</w:t>
      </w:r>
      <w:r w:rsidR="005D19EB" w:rsidRPr="00CB21D6">
        <w:t xml:space="preserve"> no additional growth </w:t>
      </w:r>
      <w:r w:rsidR="002A3892" w:rsidRPr="00CB21D6">
        <w:t xml:space="preserve">beyond that already in the market </w:t>
      </w:r>
      <w:r w:rsidR="001E3E92" w:rsidRPr="00CB21D6">
        <w:t xml:space="preserve">(estimated </w:t>
      </w:r>
      <w:r w:rsidR="002A3892" w:rsidRPr="00CB21D6">
        <w:t>at around 20% annually</w:t>
      </w:r>
      <w:r w:rsidR="001E3E92" w:rsidRPr="00CB21D6">
        <w:t>)</w:t>
      </w:r>
      <w:r w:rsidR="00FF3F38">
        <w:t>.</w:t>
      </w:r>
    </w:p>
    <w:p w:rsidR="001C1121" w:rsidRPr="00BA3352" w:rsidRDefault="001C1121" w:rsidP="00CB21D6">
      <w:pPr>
        <w:pStyle w:val="ListParagraph"/>
        <w:widowControl/>
        <w:rPr>
          <w:szCs w:val="22"/>
        </w:rPr>
      </w:pPr>
    </w:p>
    <w:p w:rsidR="001C1121" w:rsidRPr="00BA3352" w:rsidRDefault="001C1121" w:rsidP="007C0FC3">
      <w:pPr>
        <w:keepNext/>
        <w:widowControl/>
        <w:ind w:firstLine="720"/>
        <w:jc w:val="left"/>
        <w:rPr>
          <w:rStyle w:val="CommentReference"/>
        </w:rPr>
      </w:pPr>
      <w:r w:rsidRPr="00BA3352">
        <w:rPr>
          <w:rStyle w:val="CommentReference"/>
        </w:rPr>
        <w:lastRenderedPageBreak/>
        <w:t xml:space="preserve">Table </w:t>
      </w:r>
      <w:r w:rsidR="0001249A">
        <w:rPr>
          <w:rStyle w:val="CommentReference"/>
        </w:rPr>
        <w:t>7</w:t>
      </w:r>
      <w:r w:rsidRPr="00BA3352">
        <w:rPr>
          <w:rStyle w:val="CommentReference"/>
        </w:rPr>
        <w:t>: Estimated use and financial implications</w:t>
      </w:r>
    </w:p>
    <w:tbl>
      <w:tblPr>
        <w:tblW w:w="456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1049"/>
        <w:gridCol w:w="1050"/>
        <w:gridCol w:w="1050"/>
        <w:gridCol w:w="1050"/>
        <w:gridCol w:w="1050"/>
        <w:gridCol w:w="1049"/>
      </w:tblGrid>
      <w:tr w:rsidR="001C1121" w:rsidRPr="00BA3352" w:rsidTr="00A440B7">
        <w:trPr>
          <w:tblHeader/>
        </w:trPr>
        <w:tc>
          <w:tcPr>
            <w:tcW w:w="1198" w:type="pct"/>
            <w:shd w:val="clear" w:color="auto" w:fill="auto"/>
            <w:vAlign w:val="center"/>
          </w:tcPr>
          <w:p w:rsidR="001C1121" w:rsidRPr="00BA3352" w:rsidRDefault="001C1121" w:rsidP="007C0FC3">
            <w:pPr>
              <w:keepNext/>
              <w:widowControl/>
              <w:tabs>
                <w:tab w:val="left" w:pos="142"/>
              </w:tabs>
              <w:jc w:val="left"/>
              <w:rPr>
                <w:rFonts w:ascii="Arial Narrow" w:hAnsi="Arial Narrow"/>
                <w:b/>
                <w:sz w:val="20"/>
              </w:rPr>
            </w:pPr>
            <w:r w:rsidRPr="00BA3352">
              <w:rPr>
                <w:rFonts w:ascii="Arial Narrow" w:hAnsi="Arial Narrow"/>
                <w:b/>
                <w:sz w:val="20"/>
              </w:rPr>
              <w:t>Year</w:t>
            </w:r>
            <w:r w:rsidRPr="00BA3352">
              <w:rPr>
                <w:rFonts w:ascii="Arial Narrow" w:hAnsi="Arial Narrow"/>
                <w:b/>
                <w:sz w:val="20"/>
                <w:vertAlign w:val="superscript"/>
              </w:rPr>
              <w:t xml:space="preserve"> b</w:t>
            </w:r>
          </w:p>
        </w:tc>
        <w:tc>
          <w:tcPr>
            <w:tcW w:w="633" w:type="pct"/>
            <w:shd w:val="clear" w:color="auto" w:fill="auto"/>
            <w:vAlign w:val="center"/>
          </w:tcPr>
          <w:p w:rsidR="001C1121" w:rsidRPr="00BA3352" w:rsidRDefault="001C1121" w:rsidP="007C0FC3">
            <w:pPr>
              <w:keepNext/>
              <w:widowControl/>
              <w:jc w:val="center"/>
              <w:rPr>
                <w:rFonts w:ascii="Arial Narrow" w:hAnsi="Arial Narrow"/>
                <w:b/>
                <w:sz w:val="20"/>
              </w:rPr>
            </w:pPr>
            <w:r w:rsidRPr="00BA3352">
              <w:rPr>
                <w:rFonts w:ascii="Arial Narrow" w:hAnsi="Arial Narrow"/>
                <w:b/>
                <w:sz w:val="20"/>
              </w:rPr>
              <w:t>Year 1</w:t>
            </w:r>
          </w:p>
        </w:tc>
        <w:tc>
          <w:tcPr>
            <w:tcW w:w="634" w:type="pct"/>
            <w:shd w:val="clear" w:color="auto" w:fill="auto"/>
            <w:vAlign w:val="center"/>
          </w:tcPr>
          <w:p w:rsidR="001C1121" w:rsidRPr="00BA3352" w:rsidRDefault="001C1121" w:rsidP="007C0FC3">
            <w:pPr>
              <w:keepNext/>
              <w:widowControl/>
              <w:jc w:val="center"/>
              <w:rPr>
                <w:rFonts w:ascii="Arial Narrow" w:hAnsi="Arial Narrow"/>
                <w:b/>
                <w:sz w:val="20"/>
              </w:rPr>
            </w:pPr>
            <w:r w:rsidRPr="00BA3352">
              <w:rPr>
                <w:rFonts w:ascii="Arial Narrow" w:hAnsi="Arial Narrow"/>
                <w:b/>
                <w:sz w:val="20"/>
              </w:rPr>
              <w:t>Year 2</w:t>
            </w:r>
          </w:p>
        </w:tc>
        <w:tc>
          <w:tcPr>
            <w:tcW w:w="634" w:type="pct"/>
            <w:shd w:val="clear" w:color="auto" w:fill="auto"/>
            <w:vAlign w:val="center"/>
          </w:tcPr>
          <w:p w:rsidR="001C1121" w:rsidRPr="00BA3352" w:rsidRDefault="001C1121" w:rsidP="007C0FC3">
            <w:pPr>
              <w:keepNext/>
              <w:widowControl/>
              <w:jc w:val="center"/>
              <w:rPr>
                <w:rFonts w:ascii="Arial Narrow" w:hAnsi="Arial Narrow"/>
                <w:b/>
                <w:sz w:val="20"/>
              </w:rPr>
            </w:pPr>
            <w:r w:rsidRPr="00BA3352">
              <w:rPr>
                <w:rFonts w:ascii="Arial Narrow" w:hAnsi="Arial Narrow"/>
                <w:b/>
                <w:sz w:val="20"/>
              </w:rPr>
              <w:t>Year 3</w:t>
            </w:r>
          </w:p>
        </w:tc>
        <w:tc>
          <w:tcPr>
            <w:tcW w:w="634" w:type="pct"/>
            <w:shd w:val="clear" w:color="auto" w:fill="auto"/>
            <w:vAlign w:val="center"/>
          </w:tcPr>
          <w:p w:rsidR="001C1121" w:rsidRPr="00BA3352" w:rsidRDefault="001C1121" w:rsidP="007C0FC3">
            <w:pPr>
              <w:keepNext/>
              <w:widowControl/>
              <w:jc w:val="center"/>
              <w:rPr>
                <w:rFonts w:ascii="Arial Narrow" w:hAnsi="Arial Narrow"/>
                <w:b/>
                <w:sz w:val="20"/>
              </w:rPr>
            </w:pPr>
            <w:r w:rsidRPr="00BA3352">
              <w:rPr>
                <w:rFonts w:ascii="Arial Narrow" w:hAnsi="Arial Narrow"/>
                <w:b/>
                <w:sz w:val="20"/>
              </w:rPr>
              <w:t>Year 4</w:t>
            </w:r>
          </w:p>
        </w:tc>
        <w:tc>
          <w:tcPr>
            <w:tcW w:w="634" w:type="pct"/>
            <w:shd w:val="clear" w:color="auto" w:fill="auto"/>
            <w:vAlign w:val="center"/>
          </w:tcPr>
          <w:p w:rsidR="001C1121" w:rsidRPr="00BA3352" w:rsidRDefault="001C1121" w:rsidP="007C0FC3">
            <w:pPr>
              <w:keepNext/>
              <w:widowControl/>
              <w:jc w:val="center"/>
              <w:rPr>
                <w:rFonts w:ascii="Arial Narrow" w:hAnsi="Arial Narrow"/>
                <w:b/>
                <w:sz w:val="20"/>
              </w:rPr>
            </w:pPr>
            <w:r w:rsidRPr="00BA3352">
              <w:rPr>
                <w:rFonts w:ascii="Arial Narrow" w:hAnsi="Arial Narrow"/>
                <w:b/>
                <w:sz w:val="20"/>
              </w:rPr>
              <w:t>Year 5</w:t>
            </w:r>
          </w:p>
        </w:tc>
        <w:tc>
          <w:tcPr>
            <w:tcW w:w="633" w:type="pct"/>
          </w:tcPr>
          <w:p w:rsidR="001C1121" w:rsidRPr="00BA3352" w:rsidRDefault="001C1121" w:rsidP="007C0FC3">
            <w:pPr>
              <w:keepNext/>
              <w:widowControl/>
              <w:jc w:val="center"/>
              <w:rPr>
                <w:rFonts w:ascii="Arial Narrow" w:hAnsi="Arial Narrow"/>
                <w:b/>
                <w:sz w:val="20"/>
              </w:rPr>
            </w:pPr>
            <w:r w:rsidRPr="00BA3352">
              <w:rPr>
                <w:rFonts w:ascii="Arial Narrow" w:hAnsi="Arial Narrow"/>
                <w:b/>
                <w:sz w:val="20"/>
              </w:rPr>
              <w:t>Year 6</w:t>
            </w:r>
          </w:p>
        </w:tc>
      </w:tr>
      <w:tr w:rsidR="00A440B7" w:rsidRPr="00BA3352" w:rsidTr="00A440B7">
        <w:tc>
          <w:tcPr>
            <w:tcW w:w="5000" w:type="pct"/>
            <w:gridSpan w:val="7"/>
            <w:shd w:val="clear" w:color="auto" w:fill="auto"/>
          </w:tcPr>
          <w:p w:rsidR="00A440B7" w:rsidRPr="00BA3352" w:rsidRDefault="00A440B7" w:rsidP="007C0FC3">
            <w:pPr>
              <w:keepNext/>
              <w:widowControl/>
              <w:jc w:val="left"/>
              <w:rPr>
                <w:rFonts w:ascii="Arial Narrow" w:hAnsi="Arial Narrow"/>
                <w:b/>
                <w:bCs/>
                <w:color w:val="000000"/>
                <w:sz w:val="20"/>
              </w:rPr>
            </w:pPr>
            <w:r w:rsidRPr="00BA3352">
              <w:rPr>
                <w:rFonts w:ascii="Arial Narrow" w:hAnsi="Arial Narrow"/>
                <w:b/>
                <w:bCs/>
                <w:color w:val="000000"/>
                <w:sz w:val="20"/>
              </w:rPr>
              <w:t>Estimated extent of use</w:t>
            </w:r>
          </w:p>
        </w:tc>
      </w:tr>
      <w:tr w:rsidR="001C1121" w:rsidRPr="00BA3352" w:rsidTr="00A440B7">
        <w:tc>
          <w:tcPr>
            <w:tcW w:w="1198" w:type="pct"/>
            <w:shd w:val="clear" w:color="auto" w:fill="auto"/>
            <w:vAlign w:val="center"/>
          </w:tcPr>
          <w:p w:rsidR="001C1121" w:rsidRPr="00BA3352" w:rsidRDefault="001C1121" w:rsidP="007C0FC3">
            <w:pPr>
              <w:keepNext/>
              <w:widowControl/>
              <w:tabs>
                <w:tab w:val="left" w:pos="142"/>
              </w:tabs>
              <w:jc w:val="left"/>
              <w:rPr>
                <w:rFonts w:ascii="Arial Narrow" w:hAnsi="Arial Narrow"/>
                <w:sz w:val="20"/>
              </w:rPr>
            </w:pPr>
            <w:r w:rsidRPr="00BA3352">
              <w:rPr>
                <w:rFonts w:ascii="Arial Narrow" w:hAnsi="Arial Narrow"/>
                <w:sz w:val="20"/>
              </w:rPr>
              <w:t>Number treated - init</w:t>
            </w:r>
            <w:r w:rsidR="00A440B7" w:rsidRPr="00BA3352">
              <w:rPr>
                <w:rFonts w:ascii="Arial Narrow" w:hAnsi="Arial Narrow"/>
                <w:sz w:val="20"/>
              </w:rPr>
              <w:t>i</w:t>
            </w:r>
            <w:r w:rsidRPr="00BA3352">
              <w:rPr>
                <w:rFonts w:ascii="Arial Narrow" w:hAnsi="Arial Narrow"/>
                <w:sz w:val="20"/>
              </w:rPr>
              <w:t>ation</w:t>
            </w:r>
          </w:p>
        </w:tc>
        <w:tc>
          <w:tcPr>
            <w:tcW w:w="633" w:type="pct"/>
            <w:shd w:val="clear" w:color="auto" w:fill="auto"/>
            <w:vAlign w:val="center"/>
          </w:tcPr>
          <w:p w:rsidR="001C1121" w:rsidRPr="00BD1420" w:rsidRDefault="00BD1420" w:rsidP="007C0FC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34" w:type="pct"/>
            <w:shd w:val="clear" w:color="auto" w:fill="auto"/>
            <w:vAlign w:val="center"/>
          </w:tcPr>
          <w:p w:rsidR="001C1121" w:rsidRPr="00BD1420" w:rsidRDefault="00BD1420" w:rsidP="007C0FC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34" w:type="pct"/>
            <w:shd w:val="clear" w:color="auto" w:fill="auto"/>
            <w:vAlign w:val="center"/>
          </w:tcPr>
          <w:p w:rsidR="001C1121" w:rsidRPr="00BD1420" w:rsidRDefault="00BD1420" w:rsidP="007C0FC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34" w:type="pct"/>
            <w:shd w:val="clear" w:color="auto" w:fill="auto"/>
            <w:vAlign w:val="center"/>
          </w:tcPr>
          <w:p w:rsidR="001C1121" w:rsidRPr="00BD1420" w:rsidRDefault="00BD1420" w:rsidP="007C0FC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34" w:type="pct"/>
            <w:shd w:val="clear" w:color="auto" w:fill="auto"/>
            <w:vAlign w:val="center"/>
          </w:tcPr>
          <w:p w:rsidR="001C1121" w:rsidRPr="00BD1420" w:rsidRDefault="00BD1420" w:rsidP="007C0FC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33" w:type="pct"/>
          </w:tcPr>
          <w:p w:rsidR="001C1121" w:rsidRPr="00BD1420" w:rsidRDefault="00BD1420" w:rsidP="007C0FC3">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1C1121" w:rsidRPr="00BA3352" w:rsidTr="00A440B7">
        <w:tc>
          <w:tcPr>
            <w:tcW w:w="1198" w:type="pct"/>
            <w:shd w:val="clear" w:color="auto" w:fill="auto"/>
            <w:vAlign w:val="center"/>
          </w:tcPr>
          <w:p w:rsidR="001C1121" w:rsidRPr="00BA3352" w:rsidRDefault="001C1121" w:rsidP="007C0FC3">
            <w:pPr>
              <w:keepNext/>
              <w:widowControl/>
              <w:tabs>
                <w:tab w:val="left" w:pos="142"/>
              </w:tabs>
              <w:jc w:val="left"/>
              <w:rPr>
                <w:rFonts w:ascii="Arial Narrow" w:hAnsi="Arial Narrow"/>
                <w:sz w:val="20"/>
              </w:rPr>
            </w:pPr>
            <w:r w:rsidRPr="00BA3352">
              <w:rPr>
                <w:rFonts w:ascii="Arial Narrow" w:hAnsi="Arial Narrow"/>
                <w:sz w:val="20"/>
              </w:rPr>
              <w:t>Market share</w:t>
            </w:r>
          </w:p>
        </w:tc>
        <w:tc>
          <w:tcPr>
            <w:tcW w:w="633" w:type="pct"/>
            <w:shd w:val="clear" w:color="auto" w:fill="auto"/>
            <w:vAlign w:val="center"/>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bCs/>
                <w:color w:val="000000"/>
                <w:sz w:val="20"/>
              </w:rPr>
              <w:t>5%</w:t>
            </w:r>
          </w:p>
        </w:tc>
        <w:tc>
          <w:tcPr>
            <w:tcW w:w="634" w:type="pct"/>
            <w:shd w:val="clear" w:color="auto" w:fill="auto"/>
            <w:vAlign w:val="center"/>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bCs/>
                <w:color w:val="000000"/>
                <w:sz w:val="20"/>
              </w:rPr>
              <w:t>9%</w:t>
            </w:r>
          </w:p>
        </w:tc>
        <w:tc>
          <w:tcPr>
            <w:tcW w:w="634" w:type="pct"/>
            <w:shd w:val="clear" w:color="auto" w:fill="auto"/>
            <w:vAlign w:val="center"/>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bCs/>
                <w:color w:val="000000"/>
                <w:sz w:val="20"/>
              </w:rPr>
              <w:t>11%</w:t>
            </w:r>
          </w:p>
        </w:tc>
        <w:tc>
          <w:tcPr>
            <w:tcW w:w="634" w:type="pct"/>
            <w:shd w:val="clear" w:color="auto" w:fill="auto"/>
            <w:vAlign w:val="center"/>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bCs/>
                <w:color w:val="000000"/>
                <w:sz w:val="20"/>
              </w:rPr>
              <w:t>13%</w:t>
            </w:r>
          </w:p>
        </w:tc>
        <w:tc>
          <w:tcPr>
            <w:tcW w:w="634" w:type="pct"/>
            <w:shd w:val="clear" w:color="auto" w:fill="auto"/>
            <w:vAlign w:val="center"/>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bCs/>
                <w:color w:val="000000"/>
                <w:sz w:val="20"/>
              </w:rPr>
              <w:t>14%</w:t>
            </w:r>
          </w:p>
        </w:tc>
        <w:tc>
          <w:tcPr>
            <w:tcW w:w="633" w:type="pct"/>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bCs/>
                <w:color w:val="000000"/>
                <w:sz w:val="20"/>
              </w:rPr>
              <w:t>15%</w:t>
            </w:r>
          </w:p>
        </w:tc>
      </w:tr>
      <w:tr w:rsidR="001C1121" w:rsidRPr="00BA3352" w:rsidTr="00A440B7">
        <w:tc>
          <w:tcPr>
            <w:tcW w:w="1198" w:type="pct"/>
            <w:shd w:val="clear" w:color="auto" w:fill="auto"/>
            <w:vAlign w:val="center"/>
          </w:tcPr>
          <w:p w:rsidR="001C1121" w:rsidRPr="00BA3352" w:rsidRDefault="001C1121" w:rsidP="007C0FC3">
            <w:pPr>
              <w:keepNext/>
              <w:widowControl/>
              <w:tabs>
                <w:tab w:val="left" w:pos="142"/>
              </w:tabs>
              <w:jc w:val="left"/>
              <w:rPr>
                <w:rFonts w:ascii="Arial Narrow" w:hAnsi="Arial Narrow"/>
                <w:sz w:val="20"/>
              </w:rPr>
            </w:pPr>
            <w:r w:rsidRPr="00BA3352">
              <w:rPr>
                <w:rFonts w:ascii="Arial Narrow" w:hAnsi="Arial Narrow"/>
                <w:sz w:val="20"/>
              </w:rPr>
              <w:t>Scripts</w:t>
            </w:r>
            <w:r w:rsidRPr="00BA3352">
              <w:rPr>
                <w:rFonts w:ascii="Arial Narrow" w:hAnsi="Arial Narrow"/>
                <w:sz w:val="20"/>
                <w:vertAlign w:val="superscript"/>
              </w:rPr>
              <w:t>a</w:t>
            </w:r>
          </w:p>
        </w:tc>
        <w:tc>
          <w:tcPr>
            <w:tcW w:w="633" w:type="pct"/>
            <w:shd w:val="clear" w:color="auto" w:fill="D9D9D9"/>
          </w:tcPr>
          <w:p w:rsidR="001C1121" w:rsidRPr="00BD1420" w:rsidRDefault="00BD1420" w:rsidP="007C0FC3">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34" w:type="pct"/>
            <w:shd w:val="clear" w:color="auto" w:fill="D9D9D9"/>
          </w:tcPr>
          <w:p w:rsidR="001C1121" w:rsidRPr="00BD1420" w:rsidRDefault="00BD1420" w:rsidP="007C0FC3">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34" w:type="pct"/>
            <w:shd w:val="clear" w:color="auto" w:fill="D9D9D9"/>
          </w:tcPr>
          <w:p w:rsidR="001C1121" w:rsidRPr="00BD1420" w:rsidRDefault="00BD1420" w:rsidP="007C0FC3">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34" w:type="pct"/>
            <w:shd w:val="clear" w:color="auto" w:fill="D9D9D9"/>
          </w:tcPr>
          <w:p w:rsidR="001C1121" w:rsidRPr="00BD1420" w:rsidRDefault="00BD1420" w:rsidP="007C0FC3">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34" w:type="pct"/>
            <w:shd w:val="clear" w:color="auto" w:fill="D9D9D9"/>
          </w:tcPr>
          <w:p w:rsidR="001C1121" w:rsidRPr="00BD1420" w:rsidRDefault="00BD1420" w:rsidP="007C0FC3">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33" w:type="pct"/>
            <w:shd w:val="clear" w:color="auto" w:fill="D9D9D9"/>
          </w:tcPr>
          <w:p w:rsidR="001C1121" w:rsidRPr="00BD1420" w:rsidRDefault="00BD1420" w:rsidP="007C0FC3">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A440B7" w:rsidRPr="00BA3352" w:rsidTr="00A440B7">
        <w:tc>
          <w:tcPr>
            <w:tcW w:w="5000" w:type="pct"/>
            <w:gridSpan w:val="7"/>
            <w:shd w:val="clear" w:color="auto" w:fill="auto"/>
            <w:vAlign w:val="center"/>
          </w:tcPr>
          <w:p w:rsidR="00A440B7" w:rsidRPr="00BA3352" w:rsidRDefault="00A440B7" w:rsidP="007C0FC3">
            <w:pPr>
              <w:keepNext/>
              <w:widowControl/>
              <w:jc w:val="left"/>
              <w:rPr>
                <w:rFonts w:ascii="Arial Narrow" w:hAnsi="Arial Narrow"/>
                <w:b/>
                <w:bCs/>
                <w:color w:val="000000"/>
                <w:sz w:val="20"/>
              </w:rPr>
            </w:pPr>
            <w:r w:rsidRPr="00BA3352">
              <w:rPr>
                <w:rFonts w:ascii="Arial Narrow" w:hAnsi="Arial Narrow"/>
                <w:b/>
                <w:bCs/>
                <w:color w:val="000000"/>
                <w:sz w:val="20"/>
              </w:rPr>
              <w:t>Estimated net cost to PBS/RPBS/MBS</w:t>
            </w:r>
          </w:p>
        </w:tc>
      </w:tr>
      <w:tr w:rsidR="001C1121" w:rsidRPr="00BA3352" w:rsidTr="00A440B7">
        <w:tc>
          <w:tcPr>
            <w:tcW w:w="1198" w:type="pct"/>
            <w:shd w:val="clear" w:color="auto" w:fill="auto"/>
            <w:vAlign w:val="center"/>
          </w:tcPr>
          <w:p w:rsidR="001C1121" w:rsidRPr="00BA3352" w:rsidRDefault="001C1121" w:rsidP="007C0FC3">
            <w:pPr>
              <w:keepNext/>
              <w:widowControl/>
              <w:tabs>
                <w:tab w:val="left" w:pos="142"/>
              </w:tabs>
              <w:jc w:val="left"/>
              <w:rPr>
                <w:rFonts w:ascii="Arial Narrow" w:hAnsi="Arial Narrow"/>
                <w:sz w:val="20"/>
              </w:rPr>
            </w:pPr>
            <w:r w:rsidRPr="00BA3352">
              <w:rPr>
                <w:rFonts w:ascii="Arial Narrow" w:hAnsi="Arial Narrow"/>
                <w:sz w:val="19"/>
                <w:szCs w:val="19"/>
              </w:rPr>
              <w:t>Net cost to PBS/RPBS</w:t>
            </w:r>
          </w:p>
        </w:tc>
        <w:tc>
          <w:tcPr>
            <w:tcW w:w="633" w:type="pct"/>
            <w:shd w:val="clear" w:color="auto" w:fill="D9D9D9"/>
            <w:vAlign w:val="bottom"/>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b/>
                <w:bCs/>
                <w:sz w:val="20"/>
              </w:rPr>
              <w:t>$</w:t>
            </w:r>
            <w:r w:rsidR="00BD1420">
              <w:rPr>
                <w:rFonts w:ascii="Arial Narrow" w:hAnsi="Arial Narrow"/>
                <w:b/>
                <w:bCs/>
                <w:noProof/>
                <w:color w:val="000000"/>
                <w:sz w:val="20"/>
                <w:highlight w:val="black"/>
              </w:rPr>
              <w:t>'''''''''''''''''''''</w:t>
            </w:r>
          </w:p>
        </w:tc>
        <w:tc>
          <w:tcPr>
            <w:tcW w:w="634" w:type="pct"/>
            <w:shd w:val="clear" w:color="auto" w:fill="D9D9D9"/>
            <w:vAlign w:val="bottom"/>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b/>
                <w:bCs/>
                <w:sz w:val="20"/>
              </w:rPr>
              <w:t>$</w:t>
            </w:r>
            <w:r w:rsidR="00BD1420">
              <w:rPr>
                <w:rFonts w:ascii="Arial Narrow" w:hAnsi="Arial Narrow"/>
                <w:b/>
                <w:bCs/>
                <w:noProof/>
                <w:color w:val="000000"/>
                <w:sz w:val="20"/>
                <w:highlight w:val="black"/>
              </w:rPr>
              <w:t>'''''''''''''''</w:t>
            </w:r>
          </w:p>
        </w:tc>
        <w:tc>
          <w:tcPr>
            <w:tcW w:w="634" w:type="pct"/>
            <w:shd w:val="clear" w:color="auto" w:fill="D9D9D9"/>
            <w:vAlign w:val="bottom"/>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b/>
                <w:bCs/>
                <w:sz w:val="20"/>
              </w:rPr>
              <w:t>$</w:t>
            </w:r>
            <w:r w:rsidR="00BD1420">
              <w:rPr>
                <w:rFonts w:ascii="Arial Narrow" w:hAnsi="Arial Narrow"/>
                <w:b/>
                <w:bCs/>
                <w:noProof/>
                <w:color w:val="000000"/>
                <w:sz w:val="20"/>
                <w:highlight w:val="black"/>
              </w:rPr>
              <w:t>'''''''''''''''</w:t>
            </w:r>
          </w:p>
        </w:tc>
        <w:tc>
          <w:tcPr>
            <w:tcW w:w="634" w:type="pct"/>
            <w:shd w:val="clear" w:color="auto" w:fill="D9D9D9"/>
            <w:vAlign w:val="bottom"/>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b/>
                <w:bCs/>
                <w:sz w:val="20"/>
              </w:rPr>
              <w:t>$</w:t>
            </w:r>
            <w:r w:rsidR="00BD1420">
              <w:rPr>
                <w:rFonts w:ascii="Arial Narrow" w:hAnsi="Arial Narrow"/>
                <w:b/>
                <w:bCs/>
                <w:noProof/>
                <w:color w:val="000000"/>
                <w:sz w:val="20"/>
                <w:highlight w:val="black"/>
              </w:rPr>
              <w:t>''''''''''''''''</w:t>
            </w:r>
          </w:p>
        </w:tc>
        <w:tc>
          <w:tcPr>
            <w:tcW w:w="634" w:type="pct"/>
            <w:shd w:val="clear" w:color="auto" w:fill="D9D9D9"/>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b/>
                <w:bCs/>
                <w:sz w:val="20"/>
              </w:rPr>
              <w:t>$</w:t>
            </w:r>
            <w:r w:rsidR="00BD1420">
              <w:rPr>
                <w:rFonts w:ascii="Arial Narrow" w:hAnsi="Arial Narrow"/>
                <w:b/>
                <w:bCs/>
                <w:noProof/>
                <w:color w:val="000000"/>
                <w:sz w:val="20"/>
                <w:highlight w:val="black"/>
              </w:rPr>
              <w:t>''''''''''''''''</w:t>
            </w:r>
          </w:p>
        </w:tc>
        <w:tc>
          <w:tcPr>
            <w:tcW w:w="633" w:type="pct"/>
            <w:shd w:val="clear" w:color="auto" w:fill="D9D9D9"/>
            <w:vAlign w:val="bottom"/>
          </w:tcPr>
          <w:p w:rsidR="001C1121" w:rsidRPr="00BA3352" w:rsidRDefault="001C1121" w:rsidP="007C0FC3">
            <w:pPr>
              <w:keepNext/>
              <w:widowControl/>
              <w:jc w:val="center"/>
              <w:rPr>
                <w:rFonts w:ascii="Arial Narrow" w:hAnsi="Arial Narrow"/>
                <w:sz w:val="19"/>
                <w:szCs w:val="19"/>
              </w:rPr>
            </w:pPr>
            <w:r w:rsidRPr="00BA3352">
              <w:rPr>
                <w:rFonts w:ascii="Arial Narrow" w:hAnsi="Arial Narrow"/>
                <w:b/>
                <w:bCs/>
                <w:sz w:val="20"/>
              </w:rPr>
              <w:t>-$</w:t>
            </w:r>
            <w:r w:rsidR="00BD1420">
              <w:rPr>
                <w:rFonts w:ascii="Arial Narrow" w:hAnsi="Arial Narrow"/>
                <w:b/>
                <w:bCs/>
                <w:noProof/>
                <w:color w:val="000000"/>
                <w:sz w:val="20"/>
                <w:highlight w:val="black"/>
              </w:rPr>
              <w:t>'''''''''''''''''</w:t>
            </w:r>
          </w:p>
        </w:tc>
      </w:tr>
      <w:tr w:rsidR="00A440B7" w:rsidRPr="00BA3352" w:rsidTr="00A440B7">
        <w:tc>
          <w:tcPr>
            <w:tcW w:w="1198" w:type="pct"/>
            <w:shd w:val="clear" w:color="auto" w:fill="auto"/>
            <w:vAlign w:val="center"/>
          </w:tcPr>
          <w:p w:rsidR="001C1121" w:rsidRPr="00BA3352" w:rsidRDefault="001C1121" w:rsidP="007C0FC3">
            <w:pPr>
              <w:keepNext/>
              <w:widowControl/>
              <w:tabs>
                <w:tab w:val="left" w:pos="142"/>
              </w:tabs>
              <w:jc w:val="left"/>
              <w:rPr>
                <w:rFonts w:ascii="Arial Narrow" w:hAnsi="Arial Narrow"/>
                <w:sz w:val="20"/>
              </w:rPr>
            </w:pPr>
            <w:r w:rsidRPr="00BA3352">
              <w:rPr>
                <w:rFonts w:ascii="Arial Narrow" w:hAnsi="Arial Narrow"/>
                <w:sz w:val="19"/>
                <w:szCs w:val="19"/>
              </w:rPr>
              <w:t>Net cost to MBS</w:t>
            </w:r>
          </w:p>
        </w:tc>
        <w:tc>
          <w:tcPr>
            <w:tcW w:w="633" w:type="pct"/>
            <w:shd w:val="clear" w:color="auto" w:fill="auto"/>
            <w:vAlign w:val="center"/>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sz w:val="20"/>
              </w:rPr>
              <w:t>-$</w:t>
            </w:r>
            <w:r w:rsidR="00BD1420">
              <w:rPr>
                <w:rFonts w:ascii="Arial Narrow" w:hAnsi="Arial Narrow"/>
                <w:noProof/>
                <w:color w:val="000000"/>
                <w:sz w:val="20"/>
                <w:highlight w:val="black"/>
              </w:rPr>
              <w:t>'''''''''''''</w:t>
            </w:r>
          </w:p>
        </w:tc>
        <w:tc>
          <w:tcPr>
            <w:tcW w:w="634" w:type="pct"/>
            <w:shd w:val="clear" w:color="auto" w:fill="auto"/>
            <w:vAlign w:val="center"/>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sz w:val="20"/>
              </w:rPr>
              <w:t>-$</w:t>
            </w:r>
            <w:r w:rsidR="00BD1420">
              <w:rPr>
                <w:rFonts w:ascii="Arial Narrow" w:hAnsi="Arial Narrow"/>
                <w:noProof/>
                <w:color w:val="000000"/>
                <w:sz w:val="20"/>
                <w:highlight w:val="black"/>
              </w:rPr>
              <w:t>'''''''''''''</w:t>
            </w:r>
          </w:p>
        </w:tc>
        <w:tc>
          <w:tcPr>
            <w:tcW w:w="634" w:type="pct"/>
            <w:shd w:val="clear" w:color="auto" w:fill="auto"/>
            <w:vAlign w:val="center"/>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sz w:val="20"/>
              </w:rPr>
              <w:t>-$</w:t>
            </w:r>
            <w:r w:rsidR="00BD1420">
              <w:rPr>
                <w:rFonts w:ascii="Arial Narrow" w:hAnsi="Arial Narrow"/>
                <w:noProof/>
                <w:color w:val="000000"/>
                <w:sz w:val="20"/>
                <w:highlight w:val="black"/>
              </w:rPr>
              <w:t>''''''''''''''''''</w:t>
            </w:r>
          </w:p>
        </w:tc>
        <w:tc>
          <w:tcPr>
            <w:tcW w:w="634" w:type="pct"/>
            <w:shd w:val="clear" w:color="auto" w:fill="auto"/>
            <w:vAlign w:val="center"/>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sz w:val="20"/>
              </w:rPr>
              <w:t>-$</w:t>
            </w:r>
            <w:r w:rsidR="00BD1420">
              <w:rPr>
                <w:rFonts w:ascii="Arial Narrow" w:hAnsi="Arial Narrow"/>
                <w:noProof/>
                <w:color w:val="000000"/>
                <w:sz w:val="20"/>
                <w:highlight w:val="black"/>
              </w:rPr>
              <w:t>'''''''''''''''''</w:t>
            </w:r>
          </w:p>
        </w:tc>
        <w:tc>
          <w:tcPr>
            <w:tcW w:w="634" w:type="pct"/>
            <w:shd w:val="clear" w:color="auto" w:fill="auto"/>
            <w:vAlign w:val="center"/>
          </w:tcPr>
          <w:p w:rsidR="001C1121" w:rsidRPr="00BA3352" w:rsidRDefault="001C1121" w:rsidP="007C0FC3">
            <w:pPr>
              <w:keepNext/>
              <w:widowControl/>
              <w:jc w:val="center"/>
              <w:rPr>
                <w:rFonts w:ascii="Arial Narrow" w:hAnsi="Arial Narrow"/>
                <w:bCs/>
                <w:color w:val="000000"/>
                <w:sz w:val="20"/>
              </w:rPr>
            </w:pPr>
            <w:r w:rsidRPr="00BA3352">
              <w:rPr>
                <w:rFonts w:ascii="Arial Narrow" w:hAnsi="Arial Narrow"/>
                <w:sz w:val="20"/>
              </w:rPr>
              <w:t>-$</w:t>
            </w:r>
            <w:r w:rsidR="00BD1420">
              <w:rPr>
                <w:rFonts w:ascii="Arial Narrow" w:hAnsi="Arial Narrow"/>
                <w:noProof/>
                <w:color w:val="000000"/>
                <w:sz w:val="20"/>
                <w:highlight w:val="black"/>
              </w:rPr>
              <w:t>'''''''''''''''''</w:t>
            </w:r>
          </w:p>
        </w:tc>
        <w:tc>
          <w:tcPr>
            <w:tcW w:w="633" w:type="pct"/>
            <w:shd w:val="clear" w:color="auto" w:fill="auto"/>
            <w:vAlign w:val="center"/>
          </w:tcPr>
          <w:p w:rsidR="001C1121" w:rsidRPr="00BA3352" w:rsidRDefault="001C1121" w:rsidP="007C0FC3">
            <w:pPr>
              <w:keepNext/>
              <w:widowControl/>
              <w:jc w:val="center"/>
              <w:rPr>
                <w:rFonts w:ascii="Arial Narrow" w:hAnsi="Arial Narrow"/>
                <w:bCs/>
                <w:sz w:val="19"/>
                <w:szCs w:val="19"/>
              </w:rPr>
            </w:pPr>
            <w:r w:rsidRPr="00BA3352">
              <w:rPr>
                <w:rFonts w:ascii="Arial Narrow" w:hAnsi="Arial Narrow"/>
                <w:sz w:val="20"/>
              </w:rPr>
              <w:t>-$</w:t>
            </w:r>
            <w:r w:rsidR="00BD1420">
              <w:rPr>
                <w:rFonts w:ascii="Arial Narrow" w:hAnsi="Arial Narrow"/>
                <w:noProof/>
                <w:color w:val="000000"/>
                <w:sz w:val="20"/>
                <w:highlight w:val="black"/>
              </w:rPr>
              <w:t>''''''''''''''''</w:t>
            </w:r>
          </w:p>
        </w:tc>
      </w:tr>
      <w:tr w:rsidR="00A440B7" w:rsidRPr="00BA3352" w:rsidTr="00A440B7">
        <w:tc>
          <w:tcPr>
            <w:tcW w:w="5000" w:type="pct"/>
            <w:gridSpan w:val="7"/>
            <w:shd w:val="clear" w:color="auto" w:fill="auto"/>
          </w:tcPr>
          <w:p w:rsidR="00A440B7" w:rsidRPr="00BA3352" w:rsidRDefault="00A440B7" w:rsidP="007C0FC3">
            <w:pPr>
              <w:keepNext/>
              <w:widowControl/>
              <w:jc w:val="left"/>
              <w:rPr>
                <w:rFonts w:ascii="Arial Narrow" w:hAnsi="Arial Narrow"/>
                <w:b/>
                <w:color w:val="000000"/>
                <w:sz w:val="20"/>
              </w:rPr>
            </w:pPr>
            <w:r w:rsidRPr="00BA3352">
              <w:rPr>
                <w:rFonts w:ascii="Arial Narrow" w:hAnsi="Arial Narrow"/>
                <w:b/>
                <w:color w:val="000000"/>
                <w:sz w:val="20"/>
              </w:rPr>
              <w:t>Estimated total net cost</w:t>
            </w:r>
          </w:p>
        </w:tc>
      </w:tr>
      <w:tr w:rsidR="00A440B7" w:rsidRPr="00BA3352" w:rsidTr="00A440B7">
        <w:tc>
          <w:tcPr>
            <w:tcW w:w="1198" w:type="pct"/>
            <w:shd w:val="clear" w:color="auto" w:fill="auto"/>
            <w:vAlign w:val="center"/>
          </w:tcPr>
          <w:p w:rsidR="001C1121" w:rsidRPr="00BA3352" w:rsidRDefault="001C1121" w:rsidP="007C0FC3">
            <w:pPr>
              <w:keepNext/>
              <w:widowControl/>
              <w:tabs>
                <w:tab w:val="left" w:pos="142"/>
              </w:tabs>
              <w:jc w:val="left"/>
              <w:rPr>
                <w:rFonts w:ascii="Arial Narrow" w:hAnsi="Arial Narrow"/>
                <w:b/>
                <w:sz w:val="20"/>
              </w:rPr>
            </w:pPr>
            <w:r w:rsidRPr="00BA3352">
              <w:rPr>
                <w:rFonts w:ascii="Arial Narrow" w:hAnsi="Arial Narrow"/>
                <w:b/>
                <w:bCs/>
                <w:color w:val="000000"/>
                <w:sz w:val="20"/>
              </w:rPr>
              <w:t>Net cost to PBS/RPBS/MBS</w:t>
            </w:r>
          </w:p>
        </w:tc>
        <w:tc>
          <w:tcPr>
            <w:tcW w:w="633" w:type="pct"/>
            <w:shd w:val="clear" w:color="auto" w:fill="D9D9D9"/>
            <w:vAlign w:val="center"/>
          </w:tcPr>
          <w:p w:rsidR="001C1121" w:rsidRPr="00BA3352" w:rsidRDefault="001C1121" w:rsidP="007C0FC3">
            <w:pPr>
              <w:keepNext/>
              <w:widowControl/>
              <w:jc w:val="center"/>
              <w:rPr>
                <w:rFonts w:ascii="Arial Narrow" w:hAnsi="Arial Narrow"/>
                <w:color w:val="000000"/>
                <w:sz w:val="20"/>
              </w:rPr>
            </w:pPr>
            <w:r w:rsidRPr="00BA3352">
              <w:rPr>
                <w:rFonts w:ascii="Arial Narrow" w:hAnsi="Arial Narrow"/>
                <w:b/>
                <w:bCs/>
                <w:sz w:val="20"/>
              </w:rPr>
              <w:t>$</w:t>
            </w:r>
            <w:r w:rsidR="00BD1420">
              <w:rPr>
                <w:rFonts w:ascii="Arial Narrow" w:hAnsi="Arial Narrow"/>
                <w:b/>
                <w:bCs/>
                <w:noProof/>
                <w:color w:val="000000"/>
                <w:sz w:val="20"/>
                <w:highlight w:val="black"/>
              </w:rPr>
              <w:t>''''''''''''''''''''</w:t>
            </w:r>
          </w:p>
        </w:tc>
        <w:tc>
          <w:tcPr>
            <w:tcW w:w="634" w:type="pct"/>
            <w:shd w:val="clear" w:color="auto" w:fill="D9D9D9"/>
            <w:vAlign w:val="center"/>
          </w:tcPr>
          <w:p w:rsidR="001C1121" w:rsidRPr="00BA3352" w:rsidRDefault="001C1121" w:rsidP="007C0FC3">
            <w:pPr>
              <w:keepNext/>
              <w:widowControl/>
              <w:jc w:val="center"/>
              <w:rPr>
                <w:rFonts w:ascii="Arial Narrow" w:hAnsi="Arial Narrow"/>
                <w:color w:val="000000"/>
                <w:sz w:val="20"/>
              </w:rPr>
            </w:pPr>
            <w:r w:rsidRPr="00BA3352">
              <w:rPr>
                <w:rFonts w:ascii="Arial Narrow" w:hAnsi="Arial Narrow"/>
                <w:b/>
                <w:bCs/>
                <w:sz w:val="20"/>
              </w:rPr>
              <w:t>$</w:t>
            </w:r>
            <w:r w:rsidR="00BD1420">
              <w:rPr>
                <w:rFonts w:ascii="Arial Narrow" w:hAnsi="Arial Narrow"/>
                <w:b/>
                <w:bCs/>
                <w:noProof/>
                <w:color w:val="000000"/>
                <w:sz w:val="20"/>
                <w:highlight w:val="black"/>
              </w:rPr>
              <w:t>'''''''''''''''</w:t>
            </w:r>
          </w:p>
        </w:tc>
        <w:tc>
          <w:tcPr>
            <w:tcW w:w="634" w:type="pct"/>
            <w:shd w:val="clear" w:color="auto" w:fill="D9D9D9"/>
            <w:vAlign w:val="center"/>
          </w:tcPr>
          <w:p w:rsidR="001C1121" w:rsidRPr="00BA3352" w:rsidRDefault="001C1121" w:rsidP="007C0FC3">
            <w:pPr>
              <w:keepNext/>
              <w:widowControl/>
              <w:jc w:val="center"/>
              <w:rPr>
                <w:rFonts w:ascii="Arial Narrow" w:hAnsi="Arial Narrow"/>
                <w:color w:val="000000"/>
                <w:sz w:val="20"/>
              </w:rPr>
            </w:pPr>
            <w:r w:rsidRPr="00BA3352">
              <w:rPr>
                <w:rFonts w:ascii="Arial Narrow" w:hAnsi="Arial Narrow"/>
                <w:b/>
                <w:bCs/>
                <w:sz w:val="20"/>
              </w:rPr>
              <w:t>$</w:t>
            </w:r>
            <w:r w:rsidR="00BD1420">
              <w:rPr>
                <w:rFonts w:ascii="Arial Narrow" w:hAnsi="Arial Narrow"/>
                <w:b/>
                <w:bCs/>
                <w:noProof/>
                <w:color w:val="000000"/>
                <w:sz w:val="20"/>
                <w:highlight w:val="black"/>
              </w:rPr>
              <w:t>''''''''''''''''</w:t>
            </w:r>
          </w:p>
        </w:tc>
        <w:tc>
          <w:tcPr>
            <w:tcW w:w="634" w:type="pct"/>
            <w:shd w:val="clear" w:color="auto" w:fill="D9D9D9"/>
            <w:vAlign w:val="center"/>
          </w:tcPr>
          <w:p w:rsidR="001C1121" w:rsidRPr="00BA3352" w:rsidRDefault="001C1121" w:rsidP="007C0FC3">
            <w:pPr>
              <w:keepNext/>
              <w:widowControl/>
              <w:jc w:val="center"/>
              <w:rPr>
                <w:rFonts w:ascii="Arial Narrow" w:hAnsi="Arial Narrow"/>
                <w:color w:val="000000"/>
                <w:sz w:val="20"/>
              </w:rPr>
            </w:pPr>
            <w:r w:rsidRPr="00826A3D">
              <w:rPr>
                <w:rFonts w:ascii="Arial Narrow" w:hAnsi="Arial Narrow"/>
                <w:b/>
                <w:bCs/>
                <w:sz w:val="20"/>
              </w:rPr>
              <w:t>$</w:t>
            </w:r>
            <w:r w:rsidR="00BD1420">
              <w:rPr>
                <w:rFonts w:ascii="Arial Narrow" w:hAnsi="Arial Narrow"/>
                <w:b/>
                <w:bCs/>
                <w:noProof/>
                <w:color w:val="000000"/>
                <w:sz w:val="20"/>
                <w:highlight w:val="black"/>
              </w:rPr>
              <w:t>''''''''''''''</w:t>
            </w:r>
          </w:p>
        </w:tc>
        <w:tc>
          <w:tcPr>
            <w:tcW w:w="634" w:type="pct"/>
            <w:shd w:val="clear" w:color="auto" w:fill="D9D9D9"/>
            <w:vAlign w:val="center"/>
          </w:tcPr>
          <w:p w:rsidR="001C1121" w:rsidRPr="00BA3352" w:rsidRDefault="001C1121" w:rsidP="007C0FC3">
            <w:pPr>
              <w:keepNext/>
              <w:widowControl/>
              <w:jc w:val="center"/>
              <w:rPr>
                <w:rFonts w:ascii="Arial Narrow" w:hAnsi="Arial Narrow"/>
                <w:color w:val="000000"/>
                <w:sz w:val="20"/>
              </w:rPr>
            </w:pPr>
            <w:r w:rsidRPr="00BA3352">
              <w:rPr>
                <w:rFonts w:ascii="Arial Narrow" w:hAnsi="Arial Narrow"/>
                <w:b/>
                <w:bCs/>
                <w:sz w:val="20"/>
              </w:rPr>
              <w:t>$</w:t>
            </w:r>
            <w:r w:rsidR="00BD1420">
              <w:rPr>
                <w:rFonts w:ascii="Arial Narrow" w:hAnsi="Arial Narrow"/>
                <w:b/>
                <w:bCs/>
                <w:noProof/>
                <w:color w:val="000000"/>
                <w:sz w:val="20"/>
                <w:highlight w:val="black"/>
              </w:rPr>
              <w:t>''''''''''''''''</w:t>
            </w:r>
          </w:p>
        </w:tc>
        <w:tc>
          <w:tcPr>
            <w:tcW w:w="633" w:type="pct"/>
            <w:shd w:val="clear" w:color="auto" w:fill="D9D9D9"/>
            <w:vAlign w:val="center"/>
          </w:tcPr>
          <w:p w:rsidR="001C1121" w:rsidRPr="00BA3352" w:rsidRDefault="001C1121" w:rsidP="007C0FC3">
            <w:pPr>
              <w:keepNext/>
              <w:widowControl/>
              <w:jc w:val="center"/>
              <w:rPr>
                <w:rFonts w:ascii="Arial Narrow" w:hAnsi="Arial Narrow"/>
                <w:b/>
                <w:bCs/>
                <w:sz w:val="19"/>
                <w:szCs w:val="19"/>
              </w:rPr>
            </w:pPr>
            <w:r w:rsidRPr="00BA3352">
              <w:rPr>
                <w:rFonts w:ascii="Arial Narrow" w:hAnsi="Arial Narrow"/>
                <w:b/>
                <w:bCs/>
                <w:sz w:val="20"/>
              </w:rPr>
              <w:t>-$</w:t>
            </w:r>
            <w:r w:rsidR="00BD1420">
              <w:rPr>
                <w:rFonts w:ascii="Arial Narrow" w:hAnsi="Arial Narrow"/>
                <w:b/>
                <w:bCs/>
                <w:noProof/>
                <w:color w:val="000000"/>
                <w:sz w:val="20"/>
                <w:highlight w:val="black"/>
              </w:rPr>
              <w:t>''''''''''''''''</w:t>
            </w:r>
          </w:p>
        </w:tc>
      </w:tr>
    </w:tbl>
    <w:p w:rsidR="001C1121" w:rsidRPr="00BA3352" w:rsidRDefault="001C1121" w:rsidP="007C0FC3">
      <w:pPr>
        <w:pStyle w:val="TableFooter"/>
        <w:keepNext/>
        <w:widowControl/>
        <w:tabs>
          <w:tab w:val="left" w:pos="993"/>
        </w:tabs>
        <w:ind w:left="993" w:hanging="273"/>
      </w:pPr>
      <w:r w:rsidRPr="00BA3352">
        <w:rPr>
          <w:vertAlign w:val="superscript"/>
        </w:rPr>
        <w:t>a</w:t>
      </w:r>
      <w:r w:rsidR="00A440B7" w:rsidRPr="00BA3352">
        <w:tab/>
      </w:r>
      <w:r w:rsidRPr="00BA3352">
        <w:t>Assuming 7 initiation scripts (initial 16-week treatment period) and 12 continuation sc</w:t>
      </w:r>
      <w:r w:rsidR="00992FFA" w:rsidRPr="00BA3352">
        <w:t>r</w:t>
      </w:r>
      <w:r w:rsidRPr="00BA3352">
        <w:t>ipts per year in maintenance as estimated by the submission.</w:t>
      </w:r>
    </w:p>
    <w:p w:rsidR="001C1121" w:rsidRPr="00BA3352" w:rsidRDefault="001C1121" w:rsidP="007C0FC3">
      <w:pPr>
        <w:pStyle w:val="TableFooter"/>
        <w:keepNext/>
        <w:widowControl/>
        <w:tabs>
          <w:tab w:val="left" w:pos="993"/>
        </w:tabs>
        <w:ind w:left="993" w:hanging="273"/>
        <w:rPr>
          <w:sz w:val="16"/>
          <w:szCs w:val="18"/>
        </w:rPr>
      </w:pPr>
      <w:r w:rsidRPr="00BA3352">
        <w:rPr>
          <w:vertAlign w:val="superscript"/>
        </w:rPr>
        <w:t>b</w:t>
      </w:r>
      <w:r w:rsidR="00A440B7" w:rsidRPr="00BA3352">
        <w:tab/>
      </w:r>
      <w:r w:rsidRPr="00BA3352">
        <w:rPr>
          <w:iCs/>
        </w:rPr>
        <w:t>The submission inappropriately assumes Year 1 corresponds to 2015/2016, and estimates 6 years of financial implic</w:t>
      </w:r>
      <w:r w:rsidR="00A440B7" w:rsidRPr="00BA3352">
        <w:rPr>
          <w:iCs/>
        </w:rPr>
        <w:t>a</w:t>
      </w:r>
      <w:r w:rsidRPr="00BA3352">
        <w:rPr>
          <w:iCs/>
        </w:rPr>
        <w:t>tions.  The actual first year of PBS listing roughly aligns to “Year 2” in the submission.</w:t>
      </w:r>
    </w:p>
    <w:p w:rsidR="001C1121" w:rsidRDefault="001C1121" w:rsidP="007C0FC3">
      <w:pPr>
        <w:pStyle w:val="TableFooter"/>
        <w:keepNext/>
        <w:widowControl/>
        <w:ind w:left="720"/>
        <w:rPr>
          <w:szCs w:val="18"/>
        </w:rPr>
      </w:pPr>
      <w:r w:rsidRPr="00BA3352">
        <w:rPr>
          <w:sz w:val="16"/>
          <w:szCs w:val="18"/>
        </w:rPr>
        <w:t xml:space="preserve">Source: </w:t>
      </w:r>
      <w:r w:rsidRPr="00BA3352">
        <w:rPr>
          <w:szCs w:val="18"/>
        </w:rPr>
        <w:t>pp137-147 of the submission; Excel workbook Usage and financial estimates Ankylosing Spondylitis Final, Market Share Model worksheet</w:t>
      </w:r>
    </w:p>
    <w:p w:rsidR="00826A3D" w:rsidRDefault="00826A3D" w:rsidP="007C0FC3">
      <w:pPr>
        <w:pStyle w:val="TableFooter"/>
        <w:keepNext/>
        <w:widowControl/>
        <w:ind w:left="720"/>
        <w:rPr>
          <w:szCs w:val="18"/>
        </w:rPr>
      </w:pPr>
    </w:p>
    <w:p w:rsidR="00826A3D" w:rsidRPr="00283107" w:rsidRDefault="00826A3D" w:rsidP="007C0FC3">
      <w:pPr>
        <w:pStyle w:val="TableFooter"/>
        <w:keepNext/>
        <w:widowControl/>
        <w:ind w:left="720"/>
        <w:rPr>
          <w:rFonts w:ascii="Arial" w:hAnsi="Arial"/>
          <w:iCs/>
          <w:sz w:val="22"/>
        </w:rPr>
      </w:pPr>
      <w:r w:rsidRPr="00283107">
        <w:rPr>
          <w:rFonts w:ascii="Arial" w:hAnsi="Arial"/>
          <w:iCs/>
          <w:sz w:val="22"/>
        </w:rPr>
        <w:t xml:space="preserve">The redacted table above shows that at year 6, the estimated number of scripts was 10,000 – 50,000 and the net savings to PBS would be </w:t>
      </w:r>
      <w:r w:rsidR="00283107" w:rsidRPr="00283107">
        <w:rPr>
          <w:rFonts w:ascii="Arial" w:hAnsi="Arial"/>
          <w:iCs/>
          <w:sz w:val="22"/>
        </w:rPr>
        <w:t>less than $10 million</w:t>
      </w:r>
      <w:r w:rsidR="003572D8">
        <w:rPr>
          <w:rFonts w:ascii="Arial" w:hAnsi="Arial"/>
          <w:iCs/>
          <w:sz w:val="22"/>
        </w:rPr>
        <w:t xml:space="preserve"> per year</w:t>
      </w:r>
      <w:r w:rsidR="00283107" w:rsidRPr="00283107">
        <w:rPr>
          <w:rFonts w:ascii="Arial" w:hAnsi="Arial"/>
          <w:iCs/>
          <w:sz w:val="22"/>
        </w:rPr>
        <w:t>.</w:t>
      </w:r>
    </w:p>
    <w:p w:rsidR="001C1121" w:rsidRPr="00BA3352" w:rsidRDefault="001C1121" w:rsidP="00E92500">
      <w:pPr>
        <w:widowControl/>
        <w:rPr>
          <w:szCs w:val="22"/>
        </w:rPr>
      </w:pPr>
    </w:p>
    <w:p w:rsidR="003E1BFD" w:rsidRPr="00CB21D6" w:rsidRDefault="001C1121" w:rsidP="00D33470">
      <w:pPr>
        <w:pStyle w:val="ListParagraph"/>
        <w:widowControl/>
        <w:numPr>
          <w:ilvl w:val="1"/>
          <w:numId w:val="1"/>
        </w:numPr>
        <w:rPr>
          <w:iCs/>
          <w:szCs w:val="22"/>
        </w:rPr>
      </w:pPr>
      <w:r w:rsidRPr="00CB21D6">
        <w:rPr>
          <w:iCs/>
        </w:rPr>
        <w:t xml:space="preserve">The submission’s estimate of </w:t>
      </w:r>
      <w:r w:rsidR="006B0B4C">
        <w:rPr>
          <w:iCs/>
        </w:rPr>
        <w:t>the</w:t>
      </w:r>
      <w:r w:rsidR="006B0B4C" w:rsidRPr="00CB21D6">
        <w:rPr>
          <w:iCs/>
        </w:rPr>
        <w:t xml:space="preserve"> </w:t>
      </w:r>
      <w:r w:rsidRPr="00CB21D6">
        <w:rPr>
          <w:iCs/>
        </w:rPr>
        <w:t xml:space="preserve">financial impact may not </w:t>
      </w:r>
      <w:r w:rsidR="006B0B4C">
        <w:rPr>
          <w:iCs/>
        </w:rPr>
        <w:t>have</w:t>
      </w:r>
      <w:r w:rsidR="006B0B4C" w:rsidRPr="00CB21D6">
        <w:rPr>
          <w:iCs/>
        </w:rPr>
        <w:t xml:space="preserve"> </w:t>
      </w:r>
      <w:r w:rsidRPr="00CB21D6">
        <w:rPr>
          <w:iCs/>
        </w:rPr>
        <w:t>be</w:t>
      </w:r>
      <w:r w:rsidR="006B0B4C">
        <w:rPr>
          <w:iCs/>
        </w:rPr>
        <w:t>en</w:t>
      </w:r>
      <w:r w:rsidRPr="00CB21D6">
        <w:rPr>
          <w:iCs/>
        </w:rPr>
        <w:t xml:space="preserve"> reasonable as</w:t>
      </w:r>
      <w:r w:rsidR="003E1BFD" w:rsidRPr="00CB21D6">
        <w:rPr>
          <w:iCs/>
        </w:rPr>
        <w:t>:</w:t>
      </w:r>
    </w:p>
    <w:p w:rsidR="003E1BFD" w:rsidRPr="00CB21D6" w:rsidRDefault="001C1121" w:rsidP="00D33470">
      <w:pPr>
        <w:pStyle w:val="ListParagraph"/>
        <w:widowControl/>
        <w:numPr>
          <w:ilvl w:val="0"/>
          <w:numId w:val="4"/>
        </w:numPr>
        <w:ind w:left="993" w:hanging="284"/>
        <w:rPr>
          <w:iCs/>
          <w:szCs w:val="22"/>
        </w:rPr>
      </w:pPr>
      <w:r w:rsidRPr="00CB21D6">
        <w:rPr>
          <w:iCs/>
        </w:rPr>
        <w:t xml:space="preserve">the cost per patient year of secukinumab </w:t>
      </w:r>
      <w:r w:rsidR="0010502E">
        <w:rPr>
          <w:iCs/>
        </w:rPr>
        <w:t>wa</w:t>
      </w:r>
      <w:r w:rsidRPr="00CB21D6">
        <w:rPr>
          <w:iCs/>
        </w:rPr>
        <w:t>s likely to be an underestimate since the submission assume</w:t>
      </w:r>
      <w:r w:rsidR="0010502E">
        <w:rPr>
          <w:iCs/>
        </w:rPr>
        <w:t>d</w:t>
      </w:r>
      <w:r w:rsidRPr="00CB21D6">
        <w:rPr>
          <w:iCs/>
        </w:rPr>
        <w:t xml:space="preserve"> only 12 scripts per patient</w:t>
      </w:r>
      <w:r w:rsidR="0010502E">
        <w:rPr>
          <w:iCs/>
        </w:rPr>
        <w:t xml:space="preserve"> per</w:t>
      </w:r>
      <w:r w:rsidRPr="00CB21D6">
        <w:rPr>
          <w:iCs/>
        </w:rPr>
        <w:t xml:space="preserve"> year (monthly dosing according to the proposed PI) for continuation instead of 13 scripts per patient</w:t>
      </w:r>
      <w:r w:rsidR="0010502E">
        <w:rPr>
          <w:iCs/>
        </w:rPr>
        <w:t xml:space="preserve"> per</w:t>
      </w:r>
      <w:r w:rsidRPr="00CB21D6">
        <w:rPr>
          <w:iCs/>
        </w:rPr>
        <w:t xml:space="preserve"> year (maintenance dosing once every 4 weeks according to the pivotal secukinumab trial</w:t>
      </w:r>
      <w:r w:rsidR="002D4986" w:rsidRPr="00CB21D6">
        <w:rPr>
          <w:iCs/>
        </w:rPr>
        <w:t xml:space="preserve"> vs monthly dosing as per PI</w:t>
      </w:r>
      <w:r w:rsidRPr="00CB21D6">
        <w:rPr>
          <w:iCs/>
        </w:rPr>
        <w:t>)</w:t>
      </w:r>
      <w:r w:rsidR="003E1BFD" w:rsidRPr="00CB21D6">
        <w:rPr>
          <w:iCs/>
        </w:rPr>
        <w:t>; and</w:t>
      </w:r>
    </w:p>
    <w:p w:rsidR="001C1121" w:rsidRPr="00CB21D6" w:rsidRDefault="003E1BFD" w:rsidP="00D33470">
      <w:pPr>
        <w:pStyle w:val="ListParagraph"/>
        <w:widowControl/>
        <w:numPr>
          <w:ilvl w:val="0"/>
          <w:numId w:val="4"/>
        </w:numPr>
        <w:ind w:left="993" w:hanging="284"/>
        <w:rPr>
          <w:iCs/>
          <w:szCs w:val="22"/>
        </w:rPr>
      </w:pPr>
      <w:r w:rsidRPr="00CB21D6">
        <w:rPr>
          <w:iCs/>
        </w:rPr>
        <w:t>the assumption of no market growth.</w:t>
      </w:r>
    </w:p>
    <w:p w:rsidR="001831AD" w:rsidRDefault="001831AD">
      <w:pPr>
        <w:widowControl/>
        <w:jc w:val="left"/>
        <w:rPr>
          <w:b/>
          <w:u w:val="single"/>
        </w:rPr>
      </w:pPr>
    </w:p>
    <w:p w:rsidR="00C74BAB" w:rsidRPr="00BA3352" w:rsidRDefault="00C74BAB" w:rsidP="00E92500">
      <w:pPr>
        <w:widowControl/>
        <w:jc w:val="left"/>
        <w:rPr>
          <w:b/>
          <w:u w:val="single"/>
        </w:rPr>
      </w:pPr>
    </w:p>
    <w:p w:rsidR="007F4261" w:rsidRDefault="00D33470" w:rsidP="00D33470">
      <w:pPr>
        <w:pStyle w:val="PBACHeading1"/>
        <w:rPr>
          <w:bCs/>
          <w:lang w:val="en-GB"/>
        </w:rPr>
      </w:pPr>
      <w:r w:rsidRPr="00D33470">
        <w:rPr>
          <w:bCs/>
          <w:lang w:val="en-GB"/>
        </w:rPr>
        <w:t>PBAC Outcome</w:t>
      </w:r>
    </w:p>
    <w:p w:rsidR="00D33470" w:rsidRPr="00D33470" w:rsidRDefault="00D33470" w:rsidP="00AD0872">
      <w:pPr>
        <w:ind w:left="720"/>
        <w:contextualSpacing/>
        <w:rPr>
          <w:bCs/>
          <w:lang w:val="en-GB"/>
        </w:rPr>
      </w:pPr>
    </w:p>
    <w:p w:rsidR="0044610F" w:rsidRDefault="0058699E" w:rsidP="00CA09ED">
      <w:pPr>
        <w:numPr>
          <w:ilvl w:val="1"/>
          <w:numId w:val="1"/>
        </w:numPr>
        <w:contextualSpacing/>
        <w:rPr>
          <w:bCs/>
          <w:szCs w:val="22"/>
          <w:lang w:val="en-GB"/>
        </w:rPr>
      </w:pPr>
      <w:r w:rsidRPr="0010502E">
        <w:rPr>
          <w:bCs/>
          <w:szCs w:val="22"/>
          <w:lang w:val="en-GB"/>
        </w:rPr>
        <w:t xml:space="preserve">The PBAC recommended </w:t>
      </w:r>
      <w:r w:rsidR="00FC1106">
        <w:rPr>
          <w:bCs/>
          <w:szCs w:val="22"/>
          <w:lang w:val="en-GB"/>
        </w:rPr>
        <w:t>General Schedule</w:t>
      </w:r>
      <w:r w:rsidR="00FC1106" w:rsidRPr="0010502E">
        <w:rPr>
          <w:bCs/>
          <w:szCs w:val="22"/>
          <w:lang w:val="en-GB"/>
        </w:rPr>
        <w:t xml:space="preserve"> </w:t>
      </w:r>
      <w:r w:rsidRPr="0010502E">
        <w:rPr>
          <w:bCs/>
          <w:szCs w:val="22"/>
          <w:lang w:val="en-GB"/>
        </w:rPr>
        <w:t xml:space="preserve">Authority Required listing of secukinumab for the treatment of ankylosing spondylitis </w:t>
      </w:r>
      <w:r w:rsidR="003709C8" w:rsidRPr="00BE74F3">
        <w:rPr>
          <w:szCs w:val="22"/>
        </w:rPr>
        <w:t xml:space="preserve">on a cost minimisation basis </w:t>
      </w:r>
      <w:r w:rsidR="00267B10">
        <w:rPr>
          <w:szCs w:val="22"/>
        </w:rPr>
        <w:t xml:space="preserve">with infliximab.  The PBAC considered that any </w:t>
      </w:r>
      <w:r w:rsidR="003709C8" w:rsidRPr="00BE74F3">
        <w:rPr>
          <w:szCs w:val="22"/>
        </w:rPr>
        <w:t>biological disease modifying antirheumatic drug (bDMARD)</w:t>
      </w:r>
      <w:r w:rsidR="003709C8" w:rsidRPr="001F7380">
        <w:rPr>
          <w:bCs/>
          <w:szCs w:val="22"/>
          <w:lang w:val="en-GB"/>
        </w:rPr>
        <w:t xml:space="preserve"> </w:t>
      </w:r>
      <w:r w:rsidR="000C280E">
        <w:rPr>
          <w:bCs/>
          <w:szCs w:val="22"/>
          <w:lang w:val="en-GB"/>
        </w:rPr>
        <w:t>on</w:t>
      </w:r>
      <w:r w:rsidR="00267B10">
        <w:rPr>
          <w:bCs/>
          <w:szCs w:val="22"/>
          <w:lang w:val="en-GB"/>
        </w:rPr>
        <w:t xml:space="preserve"> the PBS for </w:t>
      </w:r>
      <w:r w:rsidR="00465642">
        <w:rPr>
          <w:bCs/>
          <w:szCs w:val="22"/>
          <w:lang w:val="en-GB"/>
        </w:rPr>
        <w:t>ankylosing</w:t>
      </w:r>
      <w:r w:rsidR="00267B10">
        <w:rPr>
          <w:bCs/>
          <w:szCs w:val="22"/>
          <w:lang w:val="en-GB"/>
        </w:rPr>
        <w:t xml:space="preserve"> spondylitis could be an</w:t>
      </w:r>
      <w:r w:rsidR="003709C8" w:rsidRPr="001F7380">
        <w:rPr>
          <w:bCs/>
          <w:szCs w:val="22"/>
          <w:lang w:val="en-GB"/>
        </w:rPr>
        <w:t xml:space="preserve"> appropriate comparator and noted that infliximab </w:t>
      </w:r>
      <w:r w:rsidR="00267B10">
        <w:rPr>
          <w:bCs/>
          <w:szCs w:val="22"/>
          <w:lang w:val="en-GB"/>
        </w:rPr>
        <w:t xml:space="preserve">had </w:t>
      </w:r>
      <w:r w:rsidR="003709C8">
        <w:rPr>
          <w:bCs/>
          <w:szCs w:val="22"/>
          <w:lang w:val="en-GB"/>
        </w:rPr>
        <w:t xml:space="preserve">the lowest </w:t>
      </w:r>
      <w:r w:rsidR="00705932">
        <w:rPr>
          <w:bCs/>
          <w:szCs w:val="22"/>
          <w:lang w:val="en-GB"/>
        </w:rPr>
        <w:t>cost</w:t>
      </w:r>
      <w:r w:rsidR="00267B10">
        <w:rPr>
          <w:bCs/>
          <w:szCs w:val="22"/>
          <w:lang w:val="en-GB"/>
        </w:rPr>
        <w:t xml:space="preserve"> of these</w:t>
      </w:r>
      <w:r w:rsidR="003709C8">
        <w:rPr>
          <w:bCs/>
          <w:szCs w:val="22"/>
          <w:lang w:val="en-GB"/>
        </w:rPr>
        <w:t xml:space="preserve"> comparator</w:t>
      </w:r>
      <w:r w:rsidR="00267B10">
        <w:rPr>
          <w:bCs/>
          <w:szCs w:val="22"/>
          <w:lang w:val="en-GB"/>
        </w:rPr>
        <w:t>s</w:t>
      </w:r>
      <w:r w:rsidR="003709C8" w:rsidRPr="001F7380">
        <w:rPr>
          <w:bCs/>
          <w:szCs w:val="22"/>
          <w:lang w:val="en-GB"/>
        </w:rPr>
        <w:t xml:space="preserve">. </w:t>
      </w:r>
      <w:r w:rsidR="003709C8">
        <w:rPr>
          <w:bCs/>
          <w:szCs w:val="22"/>
          <w:lang w:val="en-GB"/>
        </w:rPr>
        <w:t xml:space="preserve"> </w:t>
      </w:r>
      <w:r w:rsidR="003709C8" w:rsidRPr="001F7380">
        <w:rPr>
          <w:bCs/>
          <w:szCs w:val="22"/>
          <w:lang w:val="en-GB"/>
        </w:rPr>
        <w:t>Based on the evide</w:t>
      </w:r>
      <w:r w:rsidR="003709C8">
        <w:rPr>
          <w:bCs/>
          <w:szCs w:val="22"/>
          <w:lang w:val="en-GB"/>
        </w:rPr>
        <w:t>nce presented in the submission</w:t>
      </w:r>
      <w:r w:rsidR="003709C8" w:rsidRPr="001F7380">
        <w:rPr>
          <w:bCs/>
          <w:szCs w:val="22"/>
          <w:lang w:val="en-GB"/>
        </w:rPr>
        <w:t xml:space="preserve">, the PBAC was not satisfied that </w:t>
      </w:r>
      <w:r w:rsidR="003709C8" w:rsidRPr="0010502E">
        <w:rPr>
          <w:bCs/>
          <w:szCs w:val="22"/>
          <w:lang w:val="en-GB"/>
        </w:rPr>
        <w:t xml:space="preserve">secukinumab </w:t>
      </w:r>
      <w:r w:rsidR="003709C8" w:rsidRPr="001F7380">
        <w:rPr>
          <w:bCs/>
          <w:szCs w:val="22"/>
          <w:lang w:val="en-GB"/>
        </w:rPr>
        <w:t>provides a significant improvement in efficacy or reduction of toxicity over infliximab</w:t>
      </w:r>
      <w:r w:rsidR="00705932">
        <w:rPr>
          <w:bCs/>
          <w:szCs w:val="22"/>
          <w:lang w:val="en-GB"/>
        </w:rPr>
        <w:t xml:space="preserve"> for some patients</w:t>
      </w:r>
      <w:r w:rsidR="003709C8">
        <w:rPr>
          <w:bCs/>
          <w:szCs w:val="22"/>
          <w:lang w:val="en-GB"/>
        </w:rPr>
        <w:t xml:space="preserve">. </w:t>
      </w:r>
      <w:r w:rsidR="003709C8" w:rsidRPr="001F7380">
        <w:rPr>
          <w:bCs/>
          <w:szCs w:val="22"/>
          <w:lang w:val="en-GB"/>
        </w:rPr>
        <w:t xml:space="preserve">Therefore, there was no basis for </w:t>
      </w:r>
      <w:r w:rsidR="003709C8" w:rsidRPr="0010502E">
        <w:rPr>
          <w:bCs/>
          <w:szCs w:val="22"/>
          <w:lang w:val="en-GB"/>
        </w:rPr>
        <w:t xml:space="preserve">secukinumab </w:t>
      </w:r>
      <w:r w:rsidR="003709C8" w:rsidRPr="001F7380">
        <w:rPr>
          <w:bCs/>
          <w:szCs w:val="22"/>
          <w:lang w:val="en-GB"/>
        </w:rPr>
        <w:t xml:space="preserve">to have a price advantage over infliximab </w:t>
      </w:r>
      <w:r w:rsidR="003709C8" w:rsidRPr="001F7380">
        <w:rPr>
          <w:szCs w:val="22"/>
        </w:rPr>
        <w:t>for an equivalent treatment period</w:t>
      </w:r>
      <w:r w:rsidR="00025A5D">
        <w:rPr>
          <w:bCs/>
          <w:szCs w:val="22"/>
          <w:lang w:val="en-GB"/>
        </w:rPr>
        <w:t>.</w:t>
      </w:r>
      <w:r w:rsidR="00CA09ED">
        <w:rPr>
          <w:bCs/>
          <w:szCs w:val="22"/>
          <w:lang w:val="en-GB"/>
        </w:rPr>
        <w:t xml:space="preserve"> </w:t>
      </w:r>
    </w:p>
    <w:p w:rsidR="0044610F" w:rsidRDefault="0044610F" w:rsidP="0044610F">
      <w:pPr>
        <w:ind w:left="720"/>
        <w:contextualSpacing/>
        <w:rPr>
          <w:bCs/>
          <w:szCs w:val="22"/>
          <w:lang w:val="en-GB"/>
        </w:rPr>
      </w:pPr>
    </w:p>
    <w:p w:rsidR="0044610F" w:rsidRDefault="0044610F" w:rsidP="00CA09ED">
      <w:pPr>
        <w:numPr>
          <w:ilvl w:val="1"/>
          <w:numId w:val="1"/>
        </w:numPr>
        <w:contextualSpacing/>
        <w:rPr>
          <w:bCs/>
          <w:szCs w:val="22"/>
          <w:lang w:val="en-GB"/>
        </w:rPr>
      </w:pPr>
      <w:r>
        <w:rPr>
          <w:bCs/>
          <w:szCs w:val="22"/>
          <w:lang w:val="en-GB"/>
        </w:rPr>
        <w:t>The PBAC noted the submission’s arguments fav</w:t>
      </w:r>
      <w:r w:rsidR="007C0FC3">
        <w:rPr>
          <w:bCs/>
          <w:szCs w:val="22"/>
          <w:lang w:val="en-GB"/>
        </w:rPr>
        <w:t>ouring monthly dosing over four</w:t>
      </w:r>
      <w:r w:rsidR="007C0FC3">
        <w:rPr>
          <w:bCs/>
          <w:szCs w:val="22"/>
          <w:lang w:val="en-GB"/>
        </w:rPr>
        <w:noBreakHyphen/>
      </w:r>
      <w:r>
        <w:rPr>
          <w:bCs/>
          <w:szCs w:val="22"/>
          <w:lang w:val="en-GB"/>
        </w:rPr>
        <w:t xml:space="preserve">weekly dosing.  The PBAC considered that in practice patients would </w:t>
      </w:r>
      <w:r w:rsidR="00D80B79">
        <w:rPr>
          <w:bCs/>
          <w:szCs w:val="22"/>
          <w:lang w:val="en-GB"/>
        </w:rPr>
        <w:t>likely find four-weekly less confusing, noting that monthly use would lead to dosing on different days of the w</w:t>
      </w:r>
      <w:r w:rsidR="007C0FC3">
        <w:rPr>
          <w:bCs/>
          <w:szCs w:val="22"/>
          <w:lang w:val="en-GB"/>
        </w:rPr>
        <w:t xml:space="preserve">eek. </w:t>
      </w:r>
      <w:r w:rsidR="00D80B79">
        <w:rPr>
          <w:bCs/>
          <w:szCs w:val="22"/>
          <w:lang w:val="en-GB"/>
        </w:rPr>
        <w:t>The PBAC therefore considered</w:t>
      </w:r>
      <w:r>
        <w:rPr>
          <w:bCs/>
          <w:szCs w:val="22"/>
          <w:lang w:val="en-GB"/>
        </w:rPr>
        <w:t xml:space="preserve"> four-weekly dosing was the most appropriate frame of reference for con</w:t>
      </w:r>
      <w:r w:rsidR="007C0FC3">
        <w:rPr>
          <w:bCs/>
          <w:szCs w:val="22"/>
          <w:lang w:val="en-GB"/>
        </w:rPr>
        <w:t>sidering equi-effective doses.</w:t>
      </w:r>
    </w:p>
    <w:p w:rsidR="0044610F" w:rsidRDefault="0044610F" w:rsidP="0044610F">
      <w:pPr>
        <w:pStyle w:val="ListParagraph"/>
        <w:rPr>
          <w:bCs/>
          <w:szCs w:val="22"/>
          <w:lang w:val="en-GB"/>
        </w:rPr>
      </w:pPr>
    </w:p>
    <w:p w:rsidR="001D532B" w:rsidRDefault="00CA09ED" w:rsidP="001D532B">
      <w:pPr>
        <w:numPr>
          <w:ilvl w:val="1"/>
          <w:numId w:val="1"/>
        </w:numPr>
        <w:contextualSpacing/>
        <w:rPr>
          <w:bCs/>
          <w:szCs w:val="22"/>
          <w:lang w:val="en-GB"/>
        </w:rPr>
      </w:pPr>
      <w:r w:rsidRPr="00AD4EAF">
        <w:rPr>
          <w:bCs/>
          <w:szCs w:val="22"/>
          <w:lang w:val="en-GB"/>
        </w:rPr>
        <w:t xml:space="preserve">The equi-effective doses </w:t>
      </w:r>
      <w:r w:rsidR="0044610F" w:rsidRPr="00AD4EAF">
        <w:rPr>
          <w:bCs/>
          <w:szCs w:val="22"/>
          <w:lang w:val="en-GB"/>
        </w:rPr>
        <w:t>were considered to be</w:t>
      </w:r>
      <w:r w:rsidRPr="00AD4EAF">
        <w:rPr>
          <w:bCs/>
          <w:szCs w:val="22"/>
          <w:lang w:val="en-GB"/>
        </w:rPr>
        <w:t xml:space="preserve"> secukinumab 150 mg administered at weeks 0, 1, 2, 3, and 4 </w:t>
      </w:r>
      <w:r w:rsidR="0038302B" w:rsidRPr="00AD4EAF">
        <w:rPr>
          <w:bCs/>
          <w:szCs w:val="22"/>
          <w:lang w:val="en-GB"/>
        </w:rPr>
        <w:t xml:space="preserve">and </w:t>
      </w:r>
      <w:r w:rsidRPr="00AD4EAF">
        <w:rPr>
          <w:bCs/>
          <w:szCs w:val="22"/>
          <w:lang w:val="en-GB"/>
        </w:rPr>
        <w:t xml:space="preserve">followed by 150 mg every </w:t>
      </w:r>
      <w:r w:rsidR="0044610F" w:rsidRPr="00AD4EAF">
        <w:rPr>
          <w:bCs/>
          <w:szCs w:val="22"/>
          <w:lang w:val="en-GB"/>
        </w:rPr>
        <w:t>four weeks</w:t>
      </w:r>
      <w:r w:rsidRPr="00AD4EAF">
        <w:rPr>
          <w:bCs/>
          <w:szCs w:val="22"/>
          <w:lang w:val="en-GB"/>
        </w:rPr>
        <w:t xml:space="preserve"> over 2 years</w:t>
      </w:r>
      <w:r w:rsidR="0038302B" w:rsidRPr="00AD4EAF">
        <w:rPr>
          <w:bCs/>
          <w:szCs w:val="22"/>
          <w:lang w:val="en-GB"/>
        </w:rPr>
        <w:t>,</w:t>
      </w:r>
      <w:r w:rsidRPr="00AD4EAF">
        <w:rPr>
          <w:bCs/>
          <w:szCs w:val="22"/>
          <w:lang w:val="en-GB"/>
        </w:rPr>
        <w:t xml:space="preserve"> </w:t>
      </w:r>
      <w:r w:rsidRPr="00AD4EAF">
        <w:rPr>
          <w:bCs/>
          <w:szCs w:val="22"/>
          <w:lang w:val="en-GB"/>
        </w:rPr>
        <w:lastRenderedPageBreak/>
        <w:t xml:space="preserve">and </w:t>
      </w:r>
      <w:r w:rsidR="00EA3AFC" w:rsidRPr="00AD4EAF">
        <w:rPr>
          <w:bCs/>
          <w:szCs w:val="22"/>
          <w:lang w:val="en-GB"/>
        </w:rPr>
        <w:t>infliximab</w:t>
      </w:r>
      <w:r w:rsidR="00AD4EAF" w:rsidRPr="00AD4EAF">
        <w:rPr>
          <w:bCs/>
          <w:szCs w:val="22"/>
          <w:lang w:val="en-GB"/>
        </w:rPr>
        <w:t xml:space="preserve"> 5mg/kg at weeks 0, 2 and 6 followed by 5mg/kg every six weeks.</w:t>
      </w:r>
      <w:r w:rsidR="00EA3AFC" w:rsidRPr="00AD4EAF">
        <w:rPr>
          <w:bCs/>
          <w:szCs w:val="22"/>
          <w:lang w:val="en-GB"/>
        </w:rPr>
        <w:t xml:space="preserve"> </w:t>
      </w:r>
    </w:p>
    <w:p w:rsidR="00AD4EAF" w:rsidRPr="00AD4EAF" w:rsidRDefault="00AD4EAF" w:rsidP="00AD4EAF">
      <w:pPr>
        <w:contextualSpacing/>
        <w:rPr>
          <w:bCs/>
          <w:szCs w:val="22"/>
          <w:lang w:val="en-GB"/>
        </w:rPr>
      </w:pPr>
    </w:p>
    <w:p w:rsidR="002C0CFA" w:rsidRDefault="0058699E" w:rsidP="001D532B">
      <w:pPr>
        <w:numPr>
          <w:ilvl w:val="1"/>
          <w:numId w:val="1"/>
        </w:numPr>
        <w:contextualSpacing/>
        <w:rPr>
          <w:bCs/>
          <w:szCs w:val="22"/>
          <w:lang w:val="en-GB"/>
        </w:rPr>
      </w:pPr>
      <w:r w:rsidRPr="001D532B">
        <w:rPr>
          <w:bCs/>
          <w:szCs w:val="22"/>
          <w:lang w:val="en-GB"/>
        </w:rPr>
        <w:t>The PBAC</w:t>
      </w:r>
      <w:r w:rsidR="00BB0192" w:rsidRPr="001D532B">
        <w:rPr>
          <w:bCs/>
          <w:szCs w:val="22"/>
          <w:lang w:val="en-GB"/>
        </w:rPr>
        <w:t xml:space="preserve"> </w:t>
      </w:r>
      <w:r w:rsidR="002C0CFA" w:rsidRPr="001D532B">
        <w:rPr>
          <w:bCs/>
          <w:szCs w:val="22"/>
          <w:lang w:val="en-GB"/>
        </w:rPr>
        <w:t>noted</w:t>
      </w:r>
      <w:r w:rsidR="00BB0192" w:rsidRPr="001D532B">
        <w:rPr>
          <w:bCs/>
          <w:szCs w:val="22"/>
          <w:lang w:val="en-GB"/>
        </w:rPr>
        <w:t xml:space="preserve"> the clinical claim of non-inferior </w:t>
      </w:r>
      <w:r w:rsidR="00265109" w:rsidRPr="001D532B">
        <w:rPr>
          <w:bCs/>
          <w:szCs w:val="22"/>
        </w:rPr>
        <w:t xml:space="preserve">comparative effectiveness and safety </w:t>
      </w:r>
      <w:r w:rsidR="002C0CFA" w:rsidRPr="001D532B">
        <w:rPr>
          <w:bCs/>
          <w:szCs w:val="22"/>
        </w:rPr>
        <w:t>compared with</w:t>
      </w:r>
      <w:r w:rsidR="00265109" w:rsidRPr="001D532B">
        <w:rPr>
          <w:bCs/>
          <w:szCs w:val="22"/>
        </w:rPr>
        <w:t xml:space="preserve"> </w:t>
      </w:r>
      <w:r w:rsidR="00265109" w:rsidRPr="001D532B">
        <w:rPr>
          <w:bCs/>
          <w:szCs w:val="22"/>
          <w:lang w:val="en-GB"/>
        </w:rPr>
        <w:t>adalimumab</w:t>
      </w:r>
      <w:r w:rsidR="00BB0192" w:rsidRPr="001D532B">
        <w:rPr>
          <w:bCs/>
          <w:szCs w:val="22"/>
          <w:lang w:val="en-GB"/>
        </w:rPr>
        <w:t>, etanercept, golimumab, infliximab and certolizumab</w:t>
      </w:r>
      <w:r w:rsidR="002C0CFA" w:rsidRPr="001D532B">
        <w:rPr>
          <w:bCs/>
          <w:szCs w:val="22"/>
          <w:lang w:val="en-GB"/>
        </w:rPr>
        <w:t xml:space="preserve">.  The PBAC </w:t>
      </w:r>
      <w:r w:rsidR="00EA3AFC" w:rsidRPr="001D532B">
        <w:rPr>
          <w:bCs/>
          <w:szCs w:val="22"/>
          <w:lang w:val="en-GB"/>
        </w:rPr>
        <w:t>also noted the issues raised by the ESC about differences in placebo response rates and potential</w:t>
      </w:r>
      <w:r w:rsidR="00EA3AFC" w:rsidRPr="00CB21D6">
        <w:t xml:space="preserve"> systematic differences between </w:t>
      </w:r>
      <w:r w:rsidR="00EA3AFC">
        <w:t xml:space="preserve">the </w:t>
      </w:r>
      <w:r w:rsidR="00EA3AFC" w:rsidRPr="00CB21D6">
        <w:t>included trials, particularly trial methods, setting confounders and differ</w:t>
      </w:r>
      <w:r w:rsidR="007C0FC3">
        <w:t xml:space="preserve">ences in end- and time-points. </w:t>
      </w:r>
      <w:r w:rsidR="00EA3AFC">
        <w:t>The PBAC considered that t</w:t>
      </w:r>
      <w:r w:rsidR="00EA3AFC" w:rsidRPr="001D532B">
        <w:rPr>
          <w:szCs w:val="22"/>
        </w:rPr>
        <w:t xml:space="preserve">he differences in the placebo response rates between the trials </w:t>
      </w:r>
      <w:r w:rsidR="001D532B" w:rsidRPr="001D532B">
        <w:rPr>
          <w:szCs w:val="22"/>
        </w:rPr>
        <w:t xml:space="preserve">were reasonably </w:t>
      </w:r>
      <w:r w:rsidR="00EA3AFC" w:rsidRPr="001D532B">
        <w:rPr>
          <w:szCs w:val="22"/>
        </w:rPr>
        <w:t xml:space="preserve">offset by use of the Bucher method </w:t>
      </w:r>
      <w:r w:rsidR="001D532B" w:rsidRPr="001D532B">
        <w:rPr>
          <w:szCs w:val="22"/>
        </w:rPr>
        <w:t xml:space="preserve">to </w:t>
      </w:r>
      <w:r w:rsidR="00EA3AFC" w:rsidRPr="001D532B">
        <w:rPr>
          <w:szCs w:val="22"/>
        </w:rPr>
        <w:t xml:space="preserve">adjust the indirect comparison for event rate differences in the common reference placebo arm of </w:t>
      </w:r>
      <w:r w:rsidR="001831AD" w:rsidRPr="001D532B">
        <w:rPr>
          <w:szCs w:val="22"/>
        </w:rPr>
        <w:t xml:space="preserve">included </w:t>
      </w:r>
      <w:r w:rsidR="007C0FC3">
        <w:rPr>
          <w:szCs w:val="22"/>
        </w:rPr>
        <w:t xml:space="preserve">trials. </w:t>
      </w:r>
      <w:r w:rsidR="001D532B" w:rsidRPr="001D532B">
        <w:rPr>
          <w:szCs w:val="22"/>
        </w:rPr>
        <w:t xml:space="preserve">Overall, the PBAC considered that </w:t>
      </w:r>
      <w:r w:rsidR="001D532B">
        <w:rPr>
          <w:szCs w:val="22"/>
        </w:rPr>
        <w:t>a conclusion of</w:t>
      </w:r>
      <w:r w:rsidR="001D532B" w:rsidRPr="001D532B">
        <w:rPr>
          <w:szCs w:val="22"/>
        </w:rPr>
        <w:t xml:space="preserve"> non-inferior comparative effectiveness</w:t>
      </w:r>
      <w:r w:rsidR="001D532B">
        <w:rPr>
          <w:szCs w:val="22"/>
        </w:rPr>
        <w:t xml:space="preserve"> was reasonable</w:t>
      </w:r>
      <w:r w:rsidR="00FF3F38">
        <w:rPr>
          <w:bCs/>
          <w:szCs w:val="22"/>
          <w:lang w:val="en-GB"/>
        </w:rPr>
        <w:t>.</w:t>
      </w:r>
    </w:p>
    <w:p w:rsidR="001D532B" w:rsidRDefault="001D532B" w:rsidP="001D532B">
      <w:pPr>
        <w:pStyle w:val="ListParagraph"/>
        <w:rPr>
          <w:bCs/>
          <w:szCs w:val="22"/>
          <w:lang w:val="en-GB"/>
        </w:rPr>
      </w:pPr>
    </w:p>
    <w:p w:rsidR="001D532B" w:rsidRPr="001D532B" w:rsidRDefault="001D532B" w:rsidP="001D532B">
      <w:pPr>
        <w:numPr>
          <w:ilvl w:val="1"/>
          <w:numId w:val="1"/>
        </w:numPr>
        <w:contextualSpacing/>
        <w:rPr>
          <w:bCs/>
          <w:szCs w:val="22"/>
          <w:lang w:val="en-GB"/>
        </w:rPr>
      </w:pPr>
      <w:r>
        <w:rPr>
          <w:bCs/>
          <w:szCs w:val="22"/>
          <w:lang w:val="en-GB"/>
        </w:rPr>
        <w:t>The PBAC noted that in light of secukinumab’s different mechanism of action compared to the other bDMARDs, it would be reasonable to expect a di</w:t>
      </w:r>
      <w:r w:rsidR="007C0FC3">
        <w:rPr>
          <w:bCs/>
          <w:szCs w:val="22"/>
          <w:lang w:val="en-GB"/>
        </w:rPr>
        <w:t xml:space="preserve">fferent adverse event profile. </w:t>
      </w:r>
      <w:r>
        <w:rPr>
          <w:bCs/>
          <w:szCs w:val="22"/>
          <w:lang w:val="en-GB"/>
        </w:rPr>
        <w:t>The PBAC considered that the claim of non-inferior comparative safety was adequately supported.</w:t>
      </w:r>
    </w:p>
    <w:p w:rsidR="002C0CFA" w:rsidRDefault="002C0CFA" w:rsidP="002C0CFA">
      <w:pPr>
        <w:pStyle w:val="ListParagraph"/>
        <w:rPr>
          <w:bCs/>
          <w:szCs w:val="22"/>
          <w:lang w:val="en-GB"/>
        </w:rPr>
      </w:pPr>
    </w:p>
    <w:p w:rsidR="001D532B" w:rsidRDefault="001D532B" w:rsidP="00EB6F71">
      <w:pPr>
        <w:numPr>
          <w:ilvl w:val="1"/>
          <w:numId w:val="1"/>
        </w:numPr>
        <w:contextualSpacing/>
        <w:rPr>
          <w:bCs/>
          <w:szCs w:val="22"/>
          <w:lang w:val="en-GB"/>
        </w:rPr>
      </w:pPr>
      <w:r>
        <w:rPr>
          <w:bCs/>
          <w:szCs w:val="22"/>
          <w:lang w:val="en-GB"/>
        </w:rPr>
        <w:t>The PBAC noted the ESC’s advice regarding market growth for bDMARDs for AS.  The PBAC considered that the submission’s estimates of market growth were reasonable.</w:t>
      </w:r>
    </w:p>
    <w:p w:rsidR="001D532B" w:rsidRDefault="001D532B" w:rsidP="001D532B">
      <w:pPr>
        <w:pStyle w:val="ListParagraph"/>
        <w:rPr>
          <w:bCs/>
          <w:szCs w:val="22"/>
          <w:lang w:val="en-GB"/>
        </w:rPr>
      </w:pPr>
    </w:p>
    <w:p w:rsidR="001D532B" w:rsidRDefault="003C197D" w:rsidP="00EB6F71">
      <w:pPr>
        <w:numPr>
          <w:ilvl w:val="1"/>
          <w:numId w:val="1"/>
        </w:numPr>
        <w:contextualSpacing/>
        <w:rPr>
          <w:bCs/>
          <w:szCs w:val="22"/>
          <w:lang w:val="en-GB"/>
        </w:rPr>
      </w:pPr>
      <w:r>
        <w:rPr>
          <w:szCs w:val="22"/>
        </w:rPr>
        <w:t xml:space="preserve">The PBAC recommended the same restriction for secukinumab as for the other bDMARDs for </w:t>
      </w:r>
      <w:r w:rsidR="00465642">
        <w:rPr>
          <w:szCs w:val="22"/>
        </w:rPr>
        <w:t>ankylosing</w:t>
      </w:r>
      <w:r>
        <w:rPr>
          <w:szCs w:val="22"/>
        </w:rPr>
        <w:t xml:space="preserve"> </w:t>
      </w:r>
      <w:r w:rsidR="00465642">
        <w:rPr>
          <w:szCs w:val="22"/>
        </w:rPr>
        <w:t>spondylitis</w:t>
      </w:r>
      <w:r>
        <w:rPr>
          <w:szCs w:val="22"/>
        </w:rPr>
        <w:t xml:space="preserve">, noting that the availability of this will allow clinicians to choose from a range of bDMARDs depending on the circumstances of individual patients. </w:t>
      </w:r>
      <w:r w:rsidR="001D532B">
        <w:rPr>
          <w:bCs/>
          <w:szCs w:val="22"/>
          <w:lang w:val="en-GB"/>
        </w:rPr>
        <w:t xml:space="preserve">The PBAC noted the submission’s request for a grandfather restriction for secukinumab for AS.  The PBAC </w:t>
      </w:r>
      <w:r w:rsidR="00830201">
        <w:rPr>
          <w:bCs/>
          <w:szCs w:val="22"/>
          <w:lang w:val="en-GB"/>
        </w:rPr>
        <w:t>considered</w:t>
      </w:r>
      <w:r w:rsidR="001D532B">
        <w:rPr>
          <w:bCs/>
          <w:szCs w:val="22"/>
          <w:lang w:val="en-GB"/>
        </w:rPr>
        <w:t xml:space="preserve"> </w:t>
      </w:r>
      <w:r w:rsidR="00830201">
        <w:rPr>
          <w:bCs/>
          <w:szCs w:val="22"/>
          <w:lang w:val="en-GB"/>
        </w:rPr>
        <w:t xml:space="preserve">this to be reasonable. </w:t>
      </w:r>
    </w:p>
    <w:p w:rsidR="001D532B" w:rsidRDefault="001D532B" w:rsidP="001D532B">
      <w:pPr>
        <w:pStyle w:val="ListParagraph"/>
        <w:rPr>
          <w:bCs/>
          <w:szCs w:val="22"/>
          <w:lang w:val="en-GB"/>
        </w:rPr>
      </w:pPr>
    </w:p>
    <w:p w:rsidR="000B1BF9" w:rsidRPr="0010502E" w:rsidRDefault="00057357" w:rsidP="00EB6F71">
      <w:pPr>
        <w:numPr>
          <w:ilvl w:val="1"/>
          <w:numId w:val="1"/>
        </w:numPr>
        <w:contextualSpacing/>
        <w:rPr>
          <w:bCs/>
          <w:szCs w:val="22"/>
          <w:lang w:val="en-GB"/>
        </w:rPr>
      </w:pPr>
      <w:r w:rsidRPr="0010502E">
        <w:rPr>
          <w:bCs/>
          <w:szCs w:val="22"/>
          <w:lang w:val="en-GB"/>
        </w:rPr>
        <w:t xml:space="preserve">The </w:t>
      </w:r>
      <w:r w:rsidR="0063168A" w:rsidRPr="0010502E">
        <w:rPr>
          <w:bCs/>
          <w:szCs w:val="22"/>
          <w:lang w:val="en-GB"/>
        </w:rPr>
        <w:t>PBAC advised, under Section 101</w:t>
      </w:r>
      <w:r w:rsidRPr="0010502E">
        <w:rPr>
          <w:bCs/>
          <w:szCs w:val="22"/>
          <w:lang w:val="en-GB"/>
        </w:rPr>
        <w:t xml:space="preserve">(3BA) of the </w:t>
      </w:r>
      <w:r w:rsidRPr="0010502E">
        <w:rPr>
          <w:bCs/>
          <w:i/>
          <w:szCs w:val="22"/>
          <w:lang w:val="en-GB"/>
        </w:rPr>
        <w:t>National Act 1953</w:t>
      </w:r>
      <w:r w:rsidRPr="0010502E">
        <w:rPr>
          <w:bCs/>
          <w:szCs w:val="22"/>
          <w:lang w:val="en-GB"/>
        </w:rPr>
        <w:t xml:space="preserve">, secukinumab for the </w:t>
      </w:r>
      <w:r w:rsidR="0063168A" w:rsidRPr="0010502E">
        <w:rPr>
          <w:bCs/>
          <w:szCs w:val="22"/>
          <w:lang w:val="en-GB"/>
        </w:rPr>
        <w:t>treatment</w:t>
      </w:r>
      <w:r w:rsidRPr="0010502E">
        <w:rPr>
          <w:bCs/>
          <w:szCs w:val="22"/>
          <w:lang w:val="en-GB"/>
        </w:rPr>
        <w:t xml:space="preserve"> of ankylosing </w:t>
      </w:r>
      <w:r w:rsidR="0063168A" w:rsidRPr="0010502E">
        <w:rPr>
          <w:bCs/>
          <w:szCs w:val="22"/>
          <w:lang w:val="en-GB"/>
        </w:rPr>
        <w:t xml:space="preserve">spondylitis should be treated as interchangeable </w:t>
      </w:r>
      <w:r w:rsidR="0063168A" w:rsidRPr="0010502E">
        <w:t>on an individual patient basis</w:t>
      </w:r>
      <w:r w:rsidR="002C0CFA">
        <w:t xml:space="preserve"> with </w:t>
      </w:r>
      <w:r w:rsidR="002C0CFA" w:rsidRPr="0010502E">
        <w:rPr>
          <w:bCs/>
          <w:szCs w:val="22"/>
          <w:lang w:val="en-GB"/>
        </w:rPr>
        <w:t>adalimumab, etanercept, golimumab, infliximab and certolizumab</w:t>
      </w:r>
      <w:r w:rsidR="0063168A" w:rsidRPr="0010502E">
        <w:t>.</w:t>
      </w:r>
    </w:p>
    <w:p w:rsidR="00EB6F71" w:rsidRPr="0010502E" w:rsidRDefault="00EB6F71" w:rsidP="00EB6F71">
      <w:pPr>
        <w:pStyle w:val="ListParagraph"/>
        <w:rPr>
          <w:sz w:val="20"/>
          <w:szCs w:val="22"/>
        </w:rPr>
      </w:pPr>
    </w:p>
    <w:p w:rsidR="00EB6F71" w:rsidRPr="005654CF" w:rsidRDefault="002C0CFA" w:rsidP="00612016">
      <w:pPr>
        <w:pStyle w:val="ListParagraph"/>
        <w:widowControl/>
        <w:numPr>
          <w:ilvl w:val="1"/>
          <w:numId w:val="1"/>
        </w:numPr>
        <w:rPr>
          <w:sz w:val="20"/>
          <w:szCs w:val="22"/>
        </w:rPr>
      </w:pPr>
      <w:r>
        <w:rPr>
          <w:lang w:eastAsia="en-AU"/>
        </w:rPr>
        <w:t>T</w:t>
      </w:r>
      <w:r w:rsidR="00612016" w:rsidRPr="0010502E">
        <w:rPr>
          <w:lang w:eastAsia="en-AU"/>
        </w:rPr>
        <w:t xml:space="preserve">he </w:t>
      </w:r>
      <w:r w:rsidR="00EB6F71" w:rsidRPr="0010502E">
        <w:rPr>
          <w:lang w:eastAsia="en-AU"/>
        </w:rPr>
        <w:t xml:space="preserve">PBAC </w:t>
      </w:r>
      <w:r>
        <w:rPr>
          <w:lang w:eastAsia="en-AU"/>
        </w:rPr>
        <w:t xml:space="preserve">advised </w:t>
      </w:r>
      <w:r w:rsidR="00EB6F71" w:rsidRPr="0010502E">
        <w:rPr>
          <w:lang w:eastAsia="en-AU"/>
        </w:rPr>
        <w:t>that the</w:t>
      </w:r>
      <w:r>
        <w:rPr>
          <w:lang w:eastAsia="en-AU"/>
        </w:rPr>
        <w:t>re was no reason to exempt secukinumab for AS from the</w:t>
      </w:r>
      <w:r w:rsidR="00EB6F71" w:rsidRPr="0010502E">
        <w:rPr>
          <w:lang w:eastAsia="en-AU"/>
        </w:rPr>
        <w:t xml:space="preserve"> Early Supply Rule</w:t>
      </w:r>
      <w:r w:rsidR="00612016" w:rsidRPr="0010502E">
        <w:rPr>
          <w:lang w:eastAsia="en-AU"/>
        </w:rPr>
        <w:t xml:space="preserve">. </w:t>
      </w:r>
    </w:p>
    <w:p w:rsidR="005654CF" w:rsidRPr="0010502E" w:rsidRDefault="005654CF" w:rsidP="005654CF">
      <w:pPr>
        <w:pStyle w:val="ListParagraph"/>
        <w:widowControl/>
        <w:rPr>
          <w:sz w:val="20"/>
          <w:szCs w:val="22"/>
        </w:rPr>
      </w:pPr>
    </w:p>
    <w:p w:rsidR="000B1BF9" w:rsidRPr="0010502E" w:rsidRDefault="000B1BF9" w:rsidP="00D33470">
      <w:pPr>
        <w:numPr>
          <w:ilvl w:val="1"/>
          <w:numId w:val="1"/>
        </w:numPr>
        <w:contextualSpacing/>
        <w:rPr>
          <w:bCs/>
          <w:szCs w:val="22"/>
          <w:lang w:val="en-GB"/>
        </w:rPr>
      </w:pPr>
      <w:r w:rsidRPr="0010502E">
        <w:rPr>
          <w:bCs/>
          <w:szCs w:val="22"/>
          <w:lang w:val="en-GB"/>
        </w:rPr>
        <w:t>The PBAC advised that secukinumab is not suitable for prescribing by nurse practitioners.</w:t>
      </w:r>
    </w:p>
    <w:p w:rsidR="000B1BF9" w:rsidRPr="0010502E" w:rsidRDefault="000B1BF9" w:rsidP="000B1BF9">
      <w:pPr>
        <w:widowControl/>
        <w:rPr>
          <w:sz w:val="20"/>
          <w:szCs w:val="22"/>
        </w:rPr>
      </w:pPr>
    </w:p>
    <w:p w:rsidR="000B1BF9" w:rsidRPr="0010502E" w:rsidRDefault="000B1BF9" w:rsidP="00D33470">
      <w:pPr>
        <w:numPr>
          <w:ilvl w:val="1"/>
          <w:numId w:val="1"/>
        </w:numPr>
        <w:spacing w:after="120"/>
        <w:contextualSpacing/>
        <w:rPr>
          <w:bCs/>
          <w:szCs w:val="22"/>
          <w:lang w:val="en-GB"/>
        </w:rPr>
      </w:pPr>
      <w:r w:rsidRPr="0010502E">
        <w:rPr>
          <w:bCs/>
          <w:szCs w:val="22"/>
          <w:lang w:val="en-GB"/>
        </w:rPr>
        <w:t xml:space="preserve">The </w:t>
      </w:r>
      <w:r w:rsidR="00690DB1">
        <w:rPr>
          <w:bCs/>
          <w:szCs w:val="22"/>
          <w:lang w:val="en-GB"/>
        </w:rPr>
        <w:t xml:space="preserve">PBAC noted that this </w:t>
      </w:r>
      <w:r w:rsidRPr="0010502E">
        <w:rPr>
          <w:bCs/>
          <w:szCs w:val="22"/>
          <w:lang w:val="en-GB"/>
        </w:rPr>
        <w:t xml:space="preserve">submission </w:t>
      </w:r>
      <w:r w:rsidR="00690DB1">
        <w:rPr>
          <w:bCs/>
          <w:szCs w:val="22"/>
          <w:lang w:val="en-GB"/>
        </w:rPr>
        <w:t>i</w:t>
      </w:r>
      <w:r w:rsidR="002C0CFA">
        <w:rPr>
          <w:bCs/>
          <w:szCs w:val="22"/>
          <w:lang w:val="en-GB"/>
        </w:rPr>
        <w:t>s</w:t>
      </w:r>
      <w:r w:rsidRPr="0010502E">
        <w:rPr>
          <w:bCs/>
          <w:szCs w:val="22"/>
          <w:lang w:val="en-GB"/>
        </w:rPr>
        <w:t xml:space="preserve"> not eligible for an Independent Review</w:t>
      </w:r>
      <w:r w:rsidR="00690DB1">
        <w:rPr>
          <w:bCs/>
          <w:szCs w:val="22"/>
          <w:lang w:val="en-GB"/>
        </w:rPr>
        <w:t>, because</w:t>
      </w:r>
      <w:r w:rsidRPr="0010502E">
        <w:rPr>
          <w:bCs/>
          <w:szCs w:val="22"/>
          <w:lang w:val="en-GB"/>
        </w:rPr>
        <w:t xml:space="preserve"> the PBAC </w:t>
      </w:r>
      <w:r w:rsidR="00690DB1">
        <w:rPr>
          <w:bCs/>
          <w:szCs w:val="22"/>
          <w:lang w:val="en-GB"/>
        </w:rPr>
        <w:t xml:space="preserve">has </w:t>
      </w:r>
      <w:r w:rsidRPr="0010502E">
        <w:rPr>
          <w:bCs/>
          <w:szCs w:val="22"/>
          <w:lang w:val="en-GB"/>
        </w:rPr>
        <w:t>made a positive recommendation.</w:t>
      </w:r>
    </w:p>
    <w:p w:rsidR="007F4261" w:rsidRPr="00BB199D" w:rsidRDefault="007F4261" w:rsidP="007F4261">
      <w:pPr>
        <w:rPr>
          <w:b/>
          <w:bCs/>
          <w:szCs w:val="22"/>
          <w:lang w:val="en-GB"/>
        </w:rPr>
      </w:pPr>
    </w:p>
    <w:p w:rsidR="007F4261" w:rsidRPr="00BB199D" w:rsidRDefault="007F4261" w:rsidP="007F4261">
      <w:pPr>
        <w:rPr>
          <w:b/>
          <w:bCs/>
          <w:szCs w:val="22"/>
          <w:lang w:val="en-GB"/>
        </w:rPr>
      </w:pPr>
      <w:r w:rsidRPr="00BB199D">
        <w:rPr>
          <w:b/>
          <w:bCs/>
          <w:szCs w:val="22"/>
          <w:lang w:val="en-GB"/>
        </w:rPr>
        <w:t>Outcome:</w:t>
      </w:r>
    </w:p>
    <w:p w:rsidR="007F4261" w:rsidRPr="00BB199D" w:rsidRDefault="007F4261" w:rsidP="007F4261">
      <w:pPr>
        <w:rPr>
          <w:bCs/>
          <w:szCs w:val="22"/>
          <w:lang w:val="en-GB"/>
        </w:rPr>
      </w:pPr>
      <w:r w:rsidRPr="00BB199D">
        <w:rPr>
          <w:bCs/>
          <w:szCs w:val="22"/>
          <w:lang w:val="en-GB"/>
        </w:rPr>
        <w:t xml:space="preserve">Recommended </w:t>
      </w:r>
    </w:p>
    <w:p w:rsidR="00316B39" w:rsidRDefault="00316B39" w:rsidP="00316B39">
      <w:pPr>
        <w:widowControl/>
        <w:jc w:val="left"/>
        <w:rPr>
          <w:b/>
          <w:bCs/>
          <w:szCs w:val="22"/>
        </w:rPr>
      </w:pPr>
    </w:p>
    <w:p w:rsidR="007F4261" w:rsidRPr="00316B39" w:rsidRDefault="007F4261" w:rsidP="00316B39">
      <w:pPr>
        <w:pStyle w:val="PBACHeading1"/>
        <w:rPr>
          <w:b w:val="0"/>
          <w:bCs/>
        </w:rPr>
      </w:pPr>
      <w:r w:rsidRPr="00BB199D">
        <w:rPr>
          <w:bCs/>
          <w:lang w:val="en-GB"/>
        </w:rPr>
        <w:t>Recommended listing</w:t>
      </w:r>
    </w:p>
    <w:p w:rsidR="007F4261" w:rsidRPr="00BB199D" w:rsidRDefault="007F4261" w:rsidP="007F4261">
      <w:pPr>
        <w:rPr>
          <w:b/>
          <w:bCs/>
          <w:i/>
          <w:szCs w:val="22"/>
          <w:lang w:val="en-GB"/>
        </w:rPr>
      </w:pPr>
    </w:p>
    <w:p w:rsidR="000E75F9" w:rsidRPr="00520F3A" w:rsidRDefault="007F4261" w:rsidP="000E75F9">
      <w:pPr>
        <w:numPr>
          <w:ilvl w:val="1"/>
          <w:numId w:val="1"/>
        </w:numPr>
        <w:spacing w:after="120"/>
        <w:contextualSpacing/>
        <w:rPr>
          <w:lang w:val="en-GB"/>
        </w:rPr>
      </w:pPr>
      <w:r w:rsidRPr="007C4F63">
        <w:rPr>
          <w:bCs/>
          <w:szCs w:val="22"/>
          <w:lang w:val="en-GB"/>
        </w:rPr>
        <w:t xml:space="preserve">Add new </w:t>
      </w:r>
      <w:r w:rsidR="007C4F63" w:rsidRPr="007C4F63">
        <w:rPr>
          <w:bCs/>
          <w:szCs w:val="22"/>
          <w:lang w:val="en-GB"/>
        </w:rPr>
        <w:t>indication</w:t>
      </w:r>
      <w:r w:rsidR="000E75F9">
        <w:rPr>
          <w:bCs/>
          <w:szCs w:val="22"/>
          <w:lang w:val="en-GB"/>
        </w:rPr>
        <w:t xml:space="preserve">: </w:t>
      </w:r>
    </w:p>
    <w:p w:rsidR="00520F3A" w:rsidRPr="000E75F9" w:rsidRDefault="00520F3A" w:rsidP="00520F3A">
      <w:pPr>
        <w:spacing w:after="120"/>
        <w:ind w:left="720"/>
        <w:contextualSpacing/>
        <w:rPr>
          <w:lang w:val="en-GB"/>
        </w:rPr>
      </w:pPr>
    </w:p>
    <w:p w:rsidR="008E75CF" w:rsidRDefault="00316B39" w:rsidP="00316B39">
      <w:pPr>
        <w:spacing w:after="120"/>
        <w:ind w:firstLine="720"/>
        <w:contextualSpacing/>
        <w:rPr>
          <w:lang w:val="en-GB"/>
        </w:rPr>
      </w:pPr>
      <w:r>
        <w:rPr>
          <w:lang w:val="en-GB"/>
        </w:rPr>
        <w:t>Restriction to be finalised</w:t>
      </w:r>
    </w:p>
    <w:p w:rsidR="00AD0872" w:rsidRDefault="00AD0872" w:rsidP="00316B39">
      <w:pPr>
        <w:spacing w:after="120"/>
        <w:ind w:firstLine="720"/>
        <w:contextualSpacing/>
        <w:rPr>
          <w:lang w:val="en-GB"/>
        </w:rPr>
      </w:pPr>
    </w:p>
    <w:p w:rsidR="00AD0872" w:rsidRPr="00AD0872" w:rsidRDefault="00AD0872" w:rsidP="00AD0872">
      <w:pPr>
        <w:pStyle w:val="PBACHeading1"/>
      </w:pPr>
      <w:r w:rsidRPr="00AD0872">
        <w:t>Context for Decision</w:t>
      </w:r>
    </w:p>
    <w:p w:rsidR="00AD0872" w:rsidRDefault="00AD0872" w:rsidP="00AD0872">
      <w:pPr>
        <w:ind w:left="720"/>
      </w:pPr>
    </w:p>
    <w:p w:rsidR="00AD0872" w:rsidRDefault="00AD0872" w:rsidP="00AD0872">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D0872" w:rsidRDefault="00AD0872" w:rsidP="00AD0872">
      <w:pPr>
        <w:ind w:left="720"/>
      </w:pPr>
    </w:p>
    <w:p w:rsidR="00AD0872" w:rsidRDefault="00AD0872" w:rsidP="00AD0872">
      <w:pPr>
        <w:pStyle w:val="PBACHeading1"/>
      </w:pPr>
      <w:r w:rsidRPr="00AD0872">
        <w:t>Sponsor’s Comment</w:t>
      </w:r>
    </w:p>
    <w:p w:rsidR="00AD0872" w:rsidRDefault="00AD0872" w:rsidP="00AD0872">
      <w:pPr>
        <w:ind w:left="720"/>
        <w:rPr>
          <w:bCs/>
          <w:highlight w:val="yellow"/>
          <w:lang w:val="en-GB"/>
        </w:rPr>
      </w:pPr>
    </w:p>
    <w:p w:rsidR="00AD0872" w:rsidRDefault="00AD0872" w:rsidP="00AD0872">
      <w:pPr>
        <w:spacing w:after="120"/>
        <w:ind w:left="720"/>
        <w:rPr>
          <w:bCs/>
        </w:rPr>
      </w:pPr>
      <w:r w:rsidRPr="003035CC">
        <w:rPr>
          <w:bCs/>
        </w:rPr>
        <w:t>The sponsor had no comment.</w:t>
      </w:r>
    </w:p>
    <w:p w:rsidR="00AD0872" w:rsidRDefault="00AD0872" w:rsidP="00316B39">
      <w:pPr>
        <w:spacing w:after="120"/>
        <w:ind w:firstLine="720"/>
        <w:contextualSpacing/>
        <w:rPr>
          <w:lang w:val="en-GB"/>
        </w:rPr>
      </w:pPr>
    </w:p>
    <w:sectPr w:rsidR="00AD0872" w:rsidSect="00136B3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420" w:rsidRDefault="00BD1420" w:rsidP="00124A51">
      <w:r>
        <w:separator/>
      </w:r>
    </w:p>
  </w:endnote>
  <w:endnote w:type="continuationSeparator" w:id="0">
    <w:p w:rsidR="00BD1420" w:rsidRDefault="00BD142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bon">
    <w:altName w:val="Goudy Old Style"/>
    <w:charset w:val="00"/>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0" w:rsidRDefault="00BD14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007505"/>
      <w:docPartObj>
        <w:docPartGallery w:val="Page Numbers (Bottom of Page)"/>
        <w:docPartUnique/>
      </w:docPartObj>
    </w:sdtPr>
    <w:sdtEndPr>
      <w:rPr>
        <w:noProof/>
      </w:rPr>
    </w:sdtEndPr>
    <w:sdtContent>
      <w:p w:rsidR="00826A3D" w:rsidRDefault="00826A3D">
        <w:pPr>
          <w:pStyle w:val="Footer"/>
          <w:jc w:val="center"/>
        </w:pPr>
      </w:p>
      <w:p w:rsidR="00826A3D" w:rsidRDefault="00826A3D">
        <w:pPr>
          <w:pStyle w:val="Footer"/>
          <w:jc w:val="center"/>
        </w:pPr>
        <w:r>
          <w:fldChar w:fldCharType="begin"/>
        </w:r>
        <w:r>
          <w:instrText xml:space="preserve"> PAGE   \* MERGEFORMAT </w:instrText>
        </w:r>
        <w:r>
          <w:fldChar w:fldCharType="separate"/>
        </w:r>
        <w:r w:rsidR="00022F48">
          <w:rPr>
            <w:noProof/>
          </w:rPr>
          <w:t>1</w:t>
        </w:r>
        <w:r>
          <w:rPr>
            <w:noProof/>
          </w:rPr>
          <w:fldChar w:fldCharType="end"/>
        </w:r>
      </w:p>
    </w:sdtContent>
  </w:sdt>
  <w:p w:rsidR="00826A3D" w:rsidRPr="00B45567" w:rsidRDefault="00826A3D">
    <w:pPr>
      <w:pStyle w:val="Foo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0" w:rsidRDefault="00BD1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420" w:rsidRDefault="00BD1420" w:rsidP="00124A51">
      <w:r>
        <w:separator/>
      </w:r>
    </w:p>
  </w:footnote>
  <w:footnote w:type="continuationSeparator" w:id="0">
    <w:p w:rsidR="00BD1420" w:rsidRDefault="00BD1420"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0" w:rsidRDefault="00BD14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A3D" w:rsidRPr="00DF217D" w:rsidRDefault="00826A3D" w:rsidP="00F45DAB">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w:t>
    </w:r>
    <w:r w:rsidRPr="00DF217D">
      <w:rPr>
        <w:i/>
        <w:color w:val="808080"/>
      </w:rPr>
      <w:t>Meeting</w:t>
    </w:r>
  </w:p>
  <w:p w:rsidR="00826A3D" w:rsidRDefault="00826A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20" w:rsidRDefault="00BD14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09C"/>
    <w:multiLevelType w:val="hybridMultilevel"/>
    <w:tmpl w:val="36A49CE2"/>
    <w:lvl w:ilvl="0" w:tplc="DFC8BF7E">
      <w:start w:val="2000"/>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4462CA"/>
    <w:multiLevelType w:val="hybridMultilevel"/>
    <w:tmpl w:val="3EE67DCC"/>
    <w:lvl w:ilvl="0" w:tplc="0C090001">
      <w:start w:val="1"/>
      <w:numFmt w:val="bullet"/>
      <w:lvlText w:val=""/>
      <w:lvlJc w:val="left"/>
      <w:pPr>
        <w:ind w:left="1509" w:hanging="360"/>
      </w:pPr>
      <w:rPr>
        <w:rFonts w:ascii="Symbol" w:hAnsi="Symbol"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2">
    <w:nsid w:val="387C3D8C"/>
    <w:multiLevelType w:val="hybridMultilevel"/>
    <w:tmpl w:val="B2341F42"/>
    <w:lvl w:ilvl="0" w:tplc="0C090001">
      <w:start w:val="1"/>
      <w:numFmt w:val="bullet"/>
      <w:lvlText w:val=""/>
      <w:lvlJc w:val="left"/>
      <w:pPr>
        <w:ind w:left="1502" w:hanging="360"/>
      </w:pPr>
      <w:rPr>
        <w:rFonts w:ascii="Symbol" w:hAnsi="Symbol" w:hint="default"/>
      </w:rPr>
    </w:lvl>
    <w:lvl w:ilvl="1" w:tplc="0C090003" w:tentative="1">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3">
    <w:nsid w:val="702E62EC"/>
    <w:multiLevelType w:val="hybridMultilevel"/>
    <w:tmpl w:val="F1025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84D033C"/>
    <w:multiLevelType w:val="multilevel"/>
    <w:tmpl w:val="ACDC075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0"/>
  </w:num>
  <w:num w:numId="4">
    <w:abstractNumId w:val="2"/>
  </w:num>
  <w:num w:numId="5">
    <w:abstractNumId w:val="1"/>
  </w:num>
  <w:num w:numId="6">
    <w:abstractNumId w:val="4"/>
  </w:num>
  <w:num w:numId="7">
    <w:abstractNumId w:val="4"/>
  </w:num>
  <w:num w:numId="8">
    <w:abstractNumId w:val="4"/>
  </w:num>
  <w:num w:numId="9">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lva Zavarsek">
    <w15:presenceInfo w15:providerId="AD" w15:userId="S-1-5-21-948756243-734778046-674738317-20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3AC"/>
    <w:rsid w:val="00000790"/>
    <w:rsid w:val="000008FB"/>
    <w:rsid w:val="0000110B"/>
    <w:rsid w:val="000020F9"/>
    <w:rsid w:val="0000211F"/>
    <w:rsid w:val="00003499"/>
    <w:rsid w:val="00003F9F"/>
    <w:rsid w:val="00004B69"/>
    <w:rsid w:val="00005804"/>
    <w:rsid w:val="0000700F"/>
    <w:rsid w:val="00010772"/>
    <w:rsid w:val="00010E46"/>
    <w:rsid w:val="00011720"/>
    <w:rsid w:val="0001249A"/>
    <w:rsid w:val="000128F8"/>
    <w:rsid w:val="000129A4"/>
    <w:rsid w:val="00012BB2"/>
    <w:rsid w:val="00013247"/>
    <w:rsid w:val="00013710"/>
    <w:rsid w:val="00014829"/>
    <w:rsid w:val="00014C95"/>
    <w:rsid w:val="00015048"/>
    <w:rsid w:val="00015078"/>
    <w:rsid w:val="00015742"/>
    <w:rsid w:val="00015886"/>
    <w:rsid w:val="000162EF"/>
    <w:rsid w:val="00016CAA"/>
    <w:rsid w:val="000174E9"/>
    <w:rsid w:val="00017769"/>
    <w:rsid w:val="000204A8"/>
    <w:rsid w:val="0002086B"/>
    <w:rsid w:val="0002122D"/>
    <w:rsid w:val="00021E01"/>
    <w:rsid w:val="0002225F"/>
    <w:rsid w:val="0002288B"/>
    <w:rsid w:val="00022F48"/>
    <w:rsid w:val="00023763"/>
    <w:rsid w:val="00024652"/>
    <w:rsid w:val="0002486D"/>
    <w:rsid w:val="0002593B"/>
    <w:rsid w:val="00025A5D"/>
    <w:rsid w:val="00026F23"/>
    <w:rsid w:val="00027BEE"/>
    <w:rsid w:val="00030E39"/>
    <w:rsid w:val="000312E1"/>
    <w:rsid w:val="000318C4"/>
    <w:rsid w:val="000320E5"/>
    <w:rsid w:val="00033243"/>
    <w:rsid w:val="0003358A"/>
    <w:rsid w:val="0003630A"/>
    <w:rsid w:val="00036E99"/>
    <w:rsid w:val="00036EED"/>
    <w:rsid w:val="00040895"/>
    <w:rsid w:val="0004096A"/>
    <w:rsid w:val="00042006"/>
    <w:rsid w:val="0004215B"/>
    <w:rsid w:val="0004268B"/>
    <w:rsid w:val="0004331B"/>
    <w:rsid w:val="00043818"/>
    <w:rsid w:val="00043C37"/>
    <w:rsid w:val="0004511C"/>
    <w:rsid w:val="00046517"/>
    <w:rsid w:val="00047116"/>
    <w:rsid w:val="00047F48"/>
    <w:rsid w:val="00050328"/>
    <w:rsid w:val="00050993"/>
    <w:rsid w:val="00051121"/>
    <w:rsid w:val="000519E4"/>
    <w:rsid w:val="00051F16"/>
    <w:rsid w:val="000527F2"/>
    <w:rsid w:val="00052EEC"/>
    <w:rsid w:val="0005302C"/>
    <w:rsid w:val="000546D7"/>
    <w:rsid w:val="0005635A"/>
    <w:rsid w:val="000569D8"/>
    <w:rsid w:val="00056CB0"/>
    <w:rsid w:val="00057357"/>
    <w:rsid w:val="00057503"/>
    <w:rsid w:val="00057C45"/>
    <w:rsid w:val="00057FFE"/>
    <w:rsid w:val="000606F1"/>
    <w:rsid w:val="0006176E"/>
    <w:rsid w:val="000619E0"/>
    <w:rsid w:val="00062DA8"/>
    <w:rsid w:val="000640D8"/>
    <w:rsid w:val="0006430C"/>
    <w:rsid w:val="00064845"/>
    <w:rsid w:val="00064F9A"/>
    <w:rsid w:val="000650A8"/>
    <w:rsid w:val="0006537D"/>
    <w:rsid w:val="000658A0"/>
    <w:rsid w:val="00065B99"/>
    <w:rsid w:val="0006628F"/>
    <w:rsid w:val="00066E0E"/>
    <w:rsid w:val="000674FE"/>
    <w:rsid w:val="0007062E"/>
    <w:rsid w:val="0007069A"/>
    <w:rsid w:val="00071248"/>
    <w:rsid w:val="00071ED2"/>
    <w:rsid w:val="00071F51"/>
    <w:rsid w:val="000720B9"/>
    <w:rsid w:val="00072EF1"/>
    <w:rsid w:val="000730CC"/>
    <w:rsid w:val="00073374"/>
    <w:rsid w:val="000735E1"/>
    <w:rsid w:val="00074141"/>
    <w:rsid w:val="00074848"/>
    <w:rsid w:val="00074FF1"/>
    <w:rsid w:val="000754E1"/>
    <w:rsid w:val="00075E36"/>
    <w:rsid w:val="0007649E"/>
    <w:rsid w:val="00076E28"/>
    <w:rsid w:val="00077672"/>
    <w:rsid w:val="000812CA"/>
    <w:rsid w:val="00081782"/>
    <w:rsid w:val="000831A4"/>
    <w:rsid w:val="00083F23"/>
    <w:rsid w:val="00084209"/>
    <w:rsid w:val="000858D1"/>
    <w:rsid w:val="00085DE1"/>
    <w:rsid w:val="00086A07"/>
    <w:rsid w:val="000877BF"/>
    <w:rsid w:val="000902AE"/>
    <w:rsid w:val="00090C7E"/>
    <w:rsid w:val="0009103B"/>
    <w:rsid w:val="00096C82"/>
    <w:rsid w:val="00097CE7"/>
    <w:rsid w:val="000A070A"/>
    <w:rsid w:val="000A23CA"/>
    <w:rsid w:val="000A257C"/>
    <w:rsid w:val="000A2B77"/>
    <w:rsid w:val="000A31AC"/>
    <w:rsid w:val="000A3478"/>
    <w:rsid w:val="000A45F5"/>
    <w:rsid w:val="000A5A8F"/>
    <w:rsid w:val="000A5C00"/>
    <w:rsid w:val="000A6354"/>
    <w:rsid w:val="000A6997"/>
    <w:rsid w:val="000A6B06"/>
    <w:rsid w:val="000A7914"/>
    <w:rsid w:val="000A7F29"/>
    <w:rsid w:val="000B114C"/>
    <w:rsid w:val="000B1AA1"/>
    <w:rsid w:val="000B1BF9"/>
    <w:rsid w:val="000B30FF"/>
    <w:rsid w:val="000B50CB"/>
    <w:rsid w:val="000B534F"/>
    <w:rsid w:val="000B59F0"/>
    <w:rsid w:val="000B5EC0"/>
    <w:rsid w:val="000B7920"/>
    <w:rsid w:val="000C2186"/>
    <w:rsid w:val="000C280E"/>
    <w:rsid w:val="000C2A72"/>
    <w:rsid w:val="000C3182"/>
    <w:rsid w:val="000C3C06"/>
    <w:rsid w:val="000C598C"/>
    <w:rsid w:val="000C67EA"/>
    <w:rsid w:val="000D1686"/>
    <w:rsid w:val="000D18D6"/>
    <w:rsid w:val="000D1BFC"/>
    <w:rsid w:val="000D2176"/>
    <w:rsid w:val="000D2B8B"/>
    <w:rsid w:val="000D3EAA"/>
    <w:rsid w:val="000D420C"/>
    <w:rsid w:val="000D6973"/>
    <w:rsid w:val="000D79FE"/>
    <w:rsid w:val="000E14C2"/>
    <w:rsid w:val="000E241E"/>
    <w:rsid w:val="000E2565"/>
    <w:rsid w:val="000E272C"/>
    <w:rsid w:val="000E3901"/>
    <w:rsid w:val="000E3E51"/>
    <w:rsid w:val="000E5D4C"/>
    <w:rsid w:val="000E6936"/>
    <w:rsid w:val="000E75F9"/>
    <w:rsid w:val="000E78A4"/>
    <w:rsid w:val="000E7CD2"/>
    <w:rsid w:val="000F0922"/>
    <w:rsid w:val="000F0AC1"/>
    <w:rsid w:val="000F16DC"/>
    <w:rsid w:val="000F2B2A"/>
    <w:rsid w:val="000F2BF8"/>
    <w:rsid w:val="000F32B8"/>
    <w:rsid w:val="000F468E"/>
    <w:rsid w:val="000F4AF0"/>
    <w:rsid w:val="000F4BB8"/>
    <w:rsid w:val="000F57BB"/>
    <w:rsid w:val="000F5F50"/>
    <w:rsid w:val="000F6F60"/>
    <w:rsid w:val="000F7127"/>
    <w:rsid w:val="0010035B"/>
    <w:rsid w:val="00100F8A"/>
    <w:rsid w:val="001016D5"/>
    <w:rsid w:val="0010235D"/>
    <w:rsid w:val="00102701"/>
    <w:rsid w:val="001027DA"/>
    <w:rsid w:val="00102D85"/>
    <w:rsid w:val="0010390C"/>
    <w:rsid w:val="00103CE0"/>
    <w:rsid w:val="00104FC6"/>
    <w:rsid w:val="0010502E"/>
    <w:rsid w:val="00106A85"/>
    <w:rsid w:val="0011032E"/>
    <w:rsid w:val="0011071D"/>
    <w:rsid w:val="00110758"/>
    <w:rsid w:val="00110DFF"/>
    <w:rsid w:val="00111A81"/>
    <w:rsid w:val="00111B84"/>
    <w:rsid w:val="00112CD3"/>
    <w:rsid w:val="0011348B"/>
    <w:rsid w:val="001137D4"/>
    <w:rsid w:val="001143BF"/>
    <w:rsid w:val="001146CC"/>
    <w:rsid w:val="00115971"/>
    <w:rsid w:val="00117DD4"/>
    <w:rsid w:val="00120613"/>
    <w:rsid w:val="00121799"/>
    <w:rsid w:val="00121A5C"/>
    <w:rsid w:val="00121D5F"/>
    <w:rsid w:val="001222FC"/>
    <w:rsid w:val="00122392"/>
    <w:rsid w:val="00122696"/>
    <w:rsid w:val="00122D45"/>
    <w:rsid w:val="001233B7"/>
    <w:rsid w:val="001238B0"/>
    <w:rsid w:val="00123C80"/>
    <w:rsid w:val="001241A3"/>
    <w:rsid w:val="00124A51"/>
    <w:rsid w:val="00124E06"/>
    <w:rsid w:val="00126383"/>
    <w:rsid w:val="00126621"/>
    <w:rsid w:val="001270D2"/>
    <w:rsid w:val="001301E9"/>
    <w:rsid w:val="00131E32"/>
    <w:rsid w:val="00131E5A"/>
    <w:rsid w:val="001323F8"/>
    <w:rsid w:val="00132956"/>
    <w:rsid w:val="00132FB8"/>
    <w:rsid w:val="0013355B"/>
    <w:rsid w:val="001347F9"/>
    <w:rsid w:val="00135007"/>
    <w:rsid w:val="001352E7"/>
    <w:rsid w:val="00136828"/>
    <w:rsid w:val="00136B35"/>
    <w:rsid w:val="00137645"/>
    <w:rsid w:val="00137D9A"/>
    <w:rsid w:val="0014015A"/>
    <w:rsid w:val="001405E4"/>
    <w:rsid w:val="001406AA"/>
    <w:rsid w:val="00140B6E"/>
    <w:rsid w:val="00140E99"/>
    <w:rsid w:val="00141AC4"/>
    <w:rsid w:val="00141D53"/>
    <w:rsid w:val="00142782"/>
    <w:rsid w:val="00142912"/>
    <w:rsid w:val="001433A5"/>
    <w:rsid w:val="0014355E"/>
    <w:rsid w:val="001449D3"/>
    <w:rsid w:val="00144FB9"/>
    <w:rsid w:val="00145540"/>
    <w:rsid w:val="001456B0"/>
    <w:rsid w:val="00146EEA"/>
    <w:rsid w:val="0015049C"/>
    <w:rsid w:val="00150C25"/>
    <w:rsid w:val="00150FC8"/>
    <w:rsid w:val="00151D36"/>
    <w:rsid w:val="00151F51"/>
    <w:rsid w:val="00153EDA"/>
    <w:rsid w:val="00154CC1"/>
    <w:rsid w:val="00155713"/>
    <w:rsid w:val="00155D12"/>
    <w:rsid w:val="00156337"/>
    <w:rsid w:val="00156CA8"/>
    <w:rsid w:val="00157130"/>
    <w:rsid w:val="00157B87"/>
    <w:rsid w:val="00157E3B"/>
    <w:rsid w:val="0016002C"/>
    <w:rsid w:val="001600CA"/>
    <w:rsid w:val="00160239"/>
    <w:rsid w:val="00160F8F"/>
    <w:rsid w:val="00161044"/>
    <w:rsid w:val="001612E9"/>
    <w:rsid w:val="00162827"/>
    <w:rsid w:val="00162913"/>
    <w:rsid w:val="00163EFF"/>
    <w:rsid w:val="0016475A"/>
    <w:rsid w:val="00165089"/>
    <w:rsid w:val="00165A2E"/>
    <w:rsid w:val="00165D8D"/>
    <w:rsid w:val="001661FB"/>
    <w:rsid w:val="00166405"/>
    <w:rsid w:val="001665DD"/>
    <w:rsid w:val="0016672F"/>
    <w:rsid w:val="0016690E"/>
    <w:rsid w:val="00170462"/>
    <w:rsid w:val="00170E0B"/>
    <w:rsid w:val="00171573"/>
    <w:rsid w:val="001717D4"/>
    <w:rsid w:val="00171844"/>
    <w:rsid w:val="00174011"/>
    <w:rsid w:val="00174569"/>
    <w:rsid w:val="001750F0"/>
    <w:rsid w:val="00175E23"/>
    <w:rsid w:val="0017644C"/>
    <w:rsid w:val="00177068"/>
    <w:rsid w:val="00177B4E"/>
    <w:rsid w:val="00177EC2"/>
    <w:rsid w:val="00180242"/>
    <w:rsid w:val="00180383"/>
    <w:rsid w:val="001804A7"/>
    <w:rsid w:val="00180795"/>
    <w:rsid w:val="00180CF9"/>
    <w:rsid w:val="0018208B"/>
    <w:rsid w:val="001821D9"/>
    <w:rsid w:val="001821DD"/>
    <w:rsid w:val="001823A7"/>
    <w:rsid w:val="001831AD"/>
    <w:rsid w:val="00183EBC"/>
    <w:rsid w:val="00184A8A"/>
    <w:rsid w:val="001859E5"/>
    <w:rsid w:val="00185A7D"/>
    <w:rsid w:val="00186752"/>
    <w:rsid w:val="00186A23"/>
    <w:rsid w:val="0018752F"/>
    <w:rsid w:val="00187995"/>
    <w:rsid w:val="00190B13"/>
    <w:rsid w:val="001942FF"/>
    <w:rsid w:val="001944CC"/>
    <w:rsid w:val="0019455B"/>
    <w:rsid w:val="00194C16"/>
    <w:rsid w:val="00195222"/>
    <w:rsid w:val="00195843"/>
    <w:rsid w:val="001964D5"/>
    <w:rsid w:val="001975D8"/>
    <w:rsid w:val="001A03EB"/>
    <w:rsid w:val="001A0684"/>
    <w:rsid w:val="001A094F"/>
    <w:rsid w:val="001A106F"/>
    <w:rsid w:val="001A2552"/>
    <w:rsid w:val="001A4106"/>
    <w:rsid w:val="001A50D8"/>
    <w:rsid w:val="001A5CD5"/>
    <w:rsid w:val="001A5FB0"/>
    <w:rsid w:val="001A6124"/>
    <w:rsid w:val="001A62E3"/>
    <w:rsid w:val="001A650E"/>
    <w:rsid w:val="001A7017"/>
    <w:rsid w:val="001B03ED"/>
    <w:rsid w:val="001B0DC9"/>
    <w:rsid w:val="001B1B33"/>
    <w:rsid w:val="001B31CD"/>
    <w:rsid w:val="001B3443"/>
    <w:rsid w:val="001B3DB0"/>
    <w:rsid w:val="001B47EE"/>
    <w:rsid w:val="001B49CA"/>
    <w:rsid w:val="001B5482"/>
    <w:rsid w:val="001B5B84"/>
    <w:rsid w:val="001B6E19"/>
    <w:rsid w:val="001B7CC0"/>
    <w:rsid w:val="001B7FB8"/>
    <w:rsid w:val="001C0B13"/>
    <w:rsid w:val="001C0B4D"/>
    <w:rsid w:val="001C1121"/>
    <w:rsid w:val="001C22AF"/>
    <w:rsid w:val="001C4690"/>
    <w:rsid w:val="001C4D56"/>
    <w:rsid w:val="001C52E5"/>
    <w:rsid w:val="001C65F3"/>
    <w:rsid w:val="001C6ADD"/>
    <w:rsid w:val="001C6B75"/>
    <w:rsid w:val="001C6D69"/>
    <w:rsid w:val="001C6E66"/>
    <w:rsid w:val="001C70F5"/>
    <w:rsid w:val="001C7260"/>
    <w:rsid w:val="001C7C59"/>
    <w:rsid w:val="001D026F"/>
    <w:rsid w:val="001D09E3"/>
    <w:rsid w:val="001D0A9A"/>
    <w:rsid w:val="001D10DD"/>
    <w:rsid w:val="001D17FB"/>
    <w:rsid w:val="001D26D4"/>
    <w:rsid w:val="001D36BF"/>
    <w:rsid w:val="001D409E"/>
    <w:rsid w:val="001D41B6"/>
    <w:rsid w:val="001D4D28"/>
    <w:rsid w:val="001D4DB1"/>
    <w:rsid w:val="001D4F1F"/>
    <w:rsid w:val="001D51D4"/>
    <w:rsid w:val="001D532B"/>
    <w:rsid w:val="001D6035"/>
    <w:rsid w:val="001D6BA7"/>
    <w:rsid w:val="001D7307"/>
    <w:rsid w:val="001D743F"/>
    <w:rsid w:val="001E02B1"/>
    <w:rsid w:val="001E18E2"/>
    <w:rsid w:val="001E1E84"/>
    <w:rsid w:val="001E238E"/>
    <w:rsid w:val="001E2497"/>
    <w:rsid w:val="001E2B1E"/>
    <w:rsid w:val="001E3E92"/>
    <w:rsid w:val="001E4E19"/>
    <w:rsid w:val="001E52EB"/>
    <w:rsid w:val="001E6F00"/>
    <w:rsid w:val="001E740C"/>
    <w:rsid w:val="001F06C7"/>
    <w:rsid w:val="001F1146"/>
    <w:rsid w:val="001F1235"/>
    <w:rsid w:val="001F1CB3"/>
    <w:rsid w:val="001F2751"/>
    <w:rsid w:val="001F2D3B"/>
    <w:rsid w:val="001F3493"/>
    <w:rsid w:val="001F5482"/>
    <w:rsid w:val="001F54C6"/>
    <w:rsid w:val="001F69AE"/>
    <w:rsid w:val="001F7361"/>
    <w:rsid w:val="00200848"/>
    <w:rsid w:val="0020157A"/>
    <w:rsid w:val="00201643"/>
    <w:rsid w:val="0020325D"/>
    <w:rsid w:val="002033CF"/>
    <w:rsid w:val="0020385F"/>
    <w:rsid w:val="00204421"/>
    <w:rsid w:val="002048D0"/>
    <w:rsid w:val="002049D2"/>
    <w:rsid w:val="0020571C"/>
    <w:rsid w:val="00205BF6"/>
    <w:rsid w:val="00205F63"/>
    <w:rsid w:val="00206008"/>
    <w:rsid w:val="00206815"/>
    <w:rsid w:val="00207021"/>
    <w:rsid w:val="00207D00"/>
    <w:rsid w:val="00210515"/>
    <w:rsid w:val="002105C1"/>
    <w:rsid w:val="00211BAC"/>
    <w:rsid w:val="00211BF7"/>
    <w:rsid w:val="00212800"/>
    <w:rsid w:val="002136D7"/>
    <w:rsid w:val="00213A9A"/>
    <w:rsid w:val="00213F3D"/>
    <w:rsid w:val="00214153"/>
    <w:rsid w:val="00215053"/>
    <w:rsid w:val="00215834"/>
    <w:rsid w:val="0022017B"/>
    <w:rsid w:val="002204B5"/>
    <w:rsid w:val="00220F9B"/>
    <w:rsid w:val="00221D16"/>
    <w:rsid w:val="00221DB8"/>
    <w:rsid w:val="0022216E"/>
    <w:rsid w:val="00223B49"/>
    <w:rsid w:val="002244B6"/>
    <w:rsid w:val="002249B0"/>
    <w:rsid w:val="00224C97"/>
    <w:rsid w:val="00224DD4"/>
    <w:rsid w:val="00224EAD"/>
    <w:rsid w:val="00225238"/>
    <w:rsid w:val="00225924"/>
    <w:rsid w:val="002266A9"/>
    <w:rsid w:val="00227722"/>
    <w:rsid w:val="00227CE5"/>
    <w:rsid w:val="0023095B"/>
    <w:rsid w:val="002309CC"/>
    <w:rsid w:val="00230FDD"/>
    <w:rsid w:val="00231446"/>
    <w:rsid w:val="00233EA1"/>
    <w:rsid w:val="00233F52"/>
    <w:rsid w:val="00234091"/>
    <w:rsid w:val="002349F4"/>
    <w:rsid w:val="00234C67"/>
    <w:rsid w:val="00234CB8"/>
    <w:rsid w:val="00236314"/>
    <w:rsid w:val="00240D4F"/>
    <w:rsid w:val="0024135E"/>
    <w:rsid w:val="002415D9"/>
    <w:rsid w:val="002428B1"/>
    <w:rsid w:val="002431D2"/>
    <w:rsid w:val="0024367B"/>
    <w:rsid w:val="00243A4A"/>
    <w:rsid w:val="002448BE"/>
    <w:rsid w:val="002453BD"/>
    <w:rsid w:val="002455D6"/>
    <w:rsid w:val="00245627"/>
    <w:rsid w:val="002465CF"/>
    <w:rsid w:val="00246857"/>
    <w:rsid w:val="002471F9"/>
    <w:rsid w:val="00247337"/>
    <w:rsid w:val="0024739E"/>
    <w:rsid w:val="002506A2"/>
    <w:rsid w:val="002512F7"/>
    <w:rsid w:val="00251E68"/>
    <w:rsid w:val="00252EB5"/>
    <w:rsid w:val="00253551"/>
    <w:rsid w:val="002536F8"/>
    <w:rsid w:val="00253CEF"/>
    <w:rsid w:val="00254306"/>
    <w:rsid w:val="00254308"/>
    <w:rsid w:val="00254DCF"/>
    <w:rsid w:val="0025534B"/>
    <w:rsid w:val="00255AC3"/>
    <w:rsid w:val="00255B10"/>
    <w:rsid w:val="00255BB7"/>
    <w:rsid w:val="002563F5"/>
    <w:rsid w:val="00256774"/>
    <w:rsid w:val="00256B43"/>
    <w:rsid w:val="00257BED"/>
    <w:rsid w:val="00257F3D"/>
    <w:rsid w:val="002612E1"/>
    <w:rsid w:val="00262A87"/>
    <w:rsid w:val="0026351A"/>
    <w:rsid w:val="00264209"/>
    <w:rsid w:val="00264737"/>
    <w:rsid w:val="00265109"/>
    <w:rsid w:val="002663E4"/>
    <w:rsid w:val="0026692B"/>
    <w:rsid w:val="00266D1C"/>
    <w:rsid w:val="00266DED"/>
    <w:rsid w:val="00267B10"/>
    <w:rsid w:val="00267C1C"/>
    <w:rsid w:val="00270325"/>
    <w:rsid w:val="002718C0"/>
    <w:rsid w:val="0027238F"/>
    <w:rsid w:val="00273CAA"/>
    <w:rsid w:val="00273EC4"/>
    <w:rsid w:val="00274356"/>
    <w:rsid w:val="00274EFD"/>
    <w:rsid w:val="00275C5A"/>
    <w:rsid w:val="002760EF"/>
    <w:rsid w:val="00276A59"/>
    <w:rsid w:val="002771B0"/>
    <w:rsid w:val="00277229"/>
    <w:rsid w:val="0027742D"/>
    <w:rsid w:val="00277D58"/>
    <w:rsid w:val="00280297"/>
    <w:rsid w:val="0028084E"/>
    <w:rsid w:val="00281014"/>
    <w:rsid w:val="00281642"/>
    <w:rsid w:val="00281A0F"/>
    <w:rsid w:val="00281CA4"/>
    <w:rsid w:val="0028284B"/>
    <w:rsid w:val="00283107"/>
    <w:rsid w:val="0028465A"/>
    <w:rsid w:val="0028470D"/>
    <w:rsid w:val="0028489F"/>
    <w:rsid w:val="00284A63"/>
    <w:rsid w:val="00285B61"/>
    <w:rsid w:val="0028620C"/>
    <w:rsid w:val="0028632B"/>
    <w:rsid w:val="00286700"/>
    <w:rsid w:val="00286A73"/>
    <w:rsid w:val="0028726E"/>
    <w:rsid w:val="002879C3"/>
    <w:rsid w:val="00287C74"/>
    <w:rsid w:val="00290FF9"/>
    <w:rsid w:val="00291121"/>
    <w:rsid w:val="002912E2"/>
    <w:rsid w:val="002914D1"/>
    <w:rsid w:val="0029178C"/>
    <w:rsid w:val="002922C5"/>
    <w:rsid w:val="00293BE6"/>
    <w:rsid w:val="002947ED"/>
    <w:rsid w:val="00294DE6"/>
    <w:rsid w:val="00294F3C"/>
    <w:rsid w:val="00297CBB"/>
    <w:rsid w:val="002A0E7C"/>
    <w:rsid w:val="002A0EB9"/>
    <w:rsid w:val="002A14AB"/>
    <w:rsid w:val="002A2ECB"/>
    <w:rsid w:val="002A3193"/>
    <w:rsid w:val="002A3892"/>
    <w:rsid w:val="002A4798"/>
    <w:rsid w:val="002A68C4"/>
    <w:rsid w:val="002A6C53"/>
    <w:rsid w:val="002A778C"/>
    <w:rsid w:val="002B0834"/>
    <w:rsid w:val="002B1C1F"/>
    <w:rsid w:val="002B2588"/>
    <w:rsid w:val="002B432F"/>
    <w:rsid w:val="002B49BD"/>
    <w:rsid w:val="002B5F93"/>
    <w:rsid w:val="002B683F"/>
    <w:rsid w:val="002B6B2F"/>
    <w:rsid w:val="002B6CCE"/>
    <w:rsid w:val="002B7008"/>
    <w:rsid w:val="002B781D"/>
    <w:rsid w:val="002C001E"/>
    <w:rsid w:val="002C03D1"/>
    <w:rsid w:val="002C0482"/>
    <w:rsid w:val="002C0CFA"/>
    <w:rsid w:val="002C0E02"/>
    <w:rsid w:val="002C1FA5"/>
    <w:rsid w:val="002C2101"/>
    <w:rsid w:val="002C2775"/>
    <w:rsid w:val="002C27C1"/>
    <w:rsid w:val="002C2EC3"/>
    <w:rsid w:val="002C2F1F"/>
    <w:rsid w:val="002C54F2"/>
    <w:rsid w:val="002C77D1"/>
    <w:rsid w:val="002D0D76"/>
    <w:rsid w:val="002D104F"/>
    <w:rsid w:val="002D145F"/>
    <w:rsid w:val="002D279E"/>
    <w:rsid w:val="002D284B"/>
    <w:rsid w:val="002D28A7"/>
    <w:rsid w:val="002D4655"/>
    <w:rsid w:val="002D46B3"/>
    <w:rsid w:val="002D495A"/>
    <w:rsid w:val="002D4986"/>
    <w:rsid w:val="002D61E2"/>
    <w:rsid w:val="002D639F"/>
    <w:rsid w:val="002D6E79"/>
    <w:rsid w:val="002D72C7"/>
    <w:rsid w:val="002D791A"/>
    <w:rsid w:val="002E06E7"/>
    <w:rsid w:val="002E2457"/>
    <w:rsid w:val="002E2D81"/>
    <w:rsid w:val="002E4191"/>
    <w:rsid w:val="002E4421"/>
    <w:rsid w:val="002E49CF"/>
    <w:rsid w:val="002E53C5"/>
    <w:rsid w:val="002E714B"/>
    <w:rsid w:val="002E79AB"/>
    <w:rsid w:val="002F02C3"/>
    <w:rsid w:val="002F0A43"/>
    <w:rsid w:val="002F26D4"/>
    <w:rsid w:val="002F397B"/>
    <w:rsid w:val="002F47B0"/>
    <w:rsid w:val="002F4D7A"/>
    <w:rsid w:val="002F517E"/>
    <w:rsid w:val="002F6BF1"/>
    <w:rsid w:val="002F6CA3"/>
    <w:rsid w:val="002F7003"/>
    <w:rsid w:val="003005A5"/>
    <w:rsid w:val="00301017"/>
    <w:rsid w:val="0030194B"/>
    <w:rsid w:val="00302C41"/>
    <w:rsid w:val="00304240"/>
    <w:rsid w:val="003047F4"/>
    <w:rsid w:val="003048DA"/>
    <w:rsid w:val="00304F5A"/>
    <w:rsid w:val="0030516F"/>
    <w:rsid w:val="003052A3"/>
    <w:rsid w:val="003062D3"/>
    <w:rsid w:val="00306DAF"/>
    <w:rsid w:val="0030786C"/>
    <w:rsid w:val="0031031A"/>
    <w:rsid w:val="003108D1"/>
    <w:rsid w:val="00310981"/>
    <w:rsid w:val="003109C9"/>
    <w:rsid w:val="00311B27"/>
    <w:rsid w:val="0031379A"/>
    <w:rsid w:val="003148FB"/>
    <w:rsid w:val="00315441"/>
    <w:rsid w:val="00315498"/>
    <w:rsid w:val="0031595C"/>
    <w:rsid w:val="003167ED"/>
    <w:rsid w:val="00316B39"/>
    <w:rsid w:val="00316C3A"/>
    <w:rsid w:val="0032085B"/>
    <w:rsid w:val="00321051"/>
    <w:rsid w:val="00323FFF"/>
    <w:rsid w:val="0032442F"/>
    <w:rsid w:val="003250B0"/>
    <w:rsid w:val="003256F6"/>
    <w:rsid w:val="00326C1E"/>
    <w:rsid w:val="00326D6D"/>
    <w:rsid w:val="0032750E"/>
    <w:rsid w:val="00327874"/>
    <w:rsid w:val="0033076B"/>
    <w:rsid w:val="0033119C"/>
    <w:rsid w:val="00331478"/>
    <w:rsid w:val="003322CA"/>
    <w:rsid w:val="003349AC"/>
    <w:rsid w:val="003366C9"/>
    <w:rsid w:val="003371B0"/>
    <w:rsid w:val="00337D90"/>
    <w:rsid w:val="00337F21"/>
    <w:rsid w:val="003402F7"/>
    <w:rsid w:val="00341686"/>
    <w:rsid w:val="00341C1C"/>
    <w:rsid w:val="00341F15"/>
    <w:rsid w:val="003421FA"/>
    <w:rsid w:val="00344CCC"/>
    <w:rsid w:val="00345417"/>
    <w:rsid w:val="003460A9"/>
    <w:rsid w:val="00347D92"/>
    <w:rsid w:val="00347F94"/>
    <w:rsid w:val="003515A6"/>
    <w:rsid w:val="00351C31"/>
    <w:rsid w:val="00352EAD"/>
    <w:rsid w:val="00353799"/>
    <w:rsid w:val="00353EDF"/>
    <w:rsid w:val="003559E4"/>
    <w:rsid w:val="0035620E"/>
    <w:rsid w:val="00356318"/>
    <w:rsid w:val="00356535"/>
    <w:rsid w:val="00356539"/>
    <w:rsid w:val="00356DBA"/>
    <w:rsid w:val="00356F5B"/>
    <w:rsid w:val="003572D8"/>
    <w:rsid w:val="003574E2"/>
    <w:rsid w:val="00357519"/>
    <w:rsid w:val="0036003C"/>
    <w:rsid w:val="003602D4"/>
    <w:rsid w:val="003619EA"/>
    <w:rsid w:val="00364253"/>
    <w:rsid w:val="0036483D"/>
    <w:rsid w:val="00364F49"/>
    <w:rsid w:val="003658C6"/>
    <w:rsid w:val="003675C2"/>
    <w:rsid w:val="003676F0"/>
    <w:rsid w:val="00367A48"/>
    <w:rsid w:val="0037069D"/>
    <w:rsid w:val="003709C8"/>
    <w:rsid w:val="003711A7"/>
    <w:rsid w:val="0037345F"/>
    <w:rsid w:val="00373580"/>
    <w:rsid w:val="00373F08"/>
    <w:rsid w:val="003763BE"/>
    <w:rsid w:val="00376EF6"/>
    <w:rsid w:val="003775C4"/>
    <w:rsid w:val="00377F3F"/>
    <w:rsid w:val="0038076D"/>
    <w:rsid w:val="0038302B"/>
    <w:rsid w:val="0038365C"/>
    <w:rsid w:val="003837B0"/>
    <w:rsid w:val="00384291"/>
    <w:rsid w:val="00384613"/>
    <w:rsid w:val="00384972"/>
    <w:rsid w:val="00386AEE"/>
    <w:rsid w:val="003879D1"/>
    <w:rsid w:val="003904AE"/>
    <w:rsid w:val="00390D63"/>
    <w:rsid w:val="00391EEE"/>
    <w:rsid w:val="00392FBF"/>
    <w:rsid w:val="003936A7"/>
    <w:rsid w:val="003946D1"/>
    <w:rsid w:val="00395988"/>
    <w:rsid w:val="0039628B"/>
    <w:rsid w:val="00396FD0"/>
    <w:rsid w:val="00397FDC"/>
    <w:rsid w:val="003A13EE"/>
    <w:rsid w:val="003A1A7A"/>
    <w:rsid w:val="003A2038"/>
    <w:rsid w:val="003A372D"/>
    <w:rsid w:val="003A54DA"/>
    <w:rsid w:val="003A57B7"/>
    <w:rsid w:val="003A5B06"/>
    <w:rsid w:val="003A71C2"/>
    <w:rsid w:val="003A7487"/>
    <w:rsid w:val="003A7DD4"/>
    <w:rsid w:val="003B02F3"/>
    <w:rsid w:val="003B1EE3"/>
    <w:rsid w:val="003B22FB"/>
    <w:rsid w:val="003B345A"/>
    <w:rsid w:val="003B3A60"/>
    <w:rsid w:val="003B42D3"/>
    <w:rsid w:val="003B4FDD"/>
    <w:rsid w:val="003B6141"/>
    <w:rsid w:val="003B62E6"/>
    <w:rsid w:val="003B6FCD"/>
    <w:rsid w:val="003B7776"/>
    <w:rsid w:val="003B7B9C"/>
    <w:rsid w:val="003C0734"/>
    <w:rsid w:val="003C16FA"/>
    <w:rsid w:val="003C197D"/>
    <w:rsid w:val="003C24B1"/>
    <w:rsid w:val="003C4367"/>
    <w:rsid w:val="003C4B2E"/>
    <w:rsid w:val="003C4F9A"/>
    <w:rsid w:val="003C5F55"/>
    <w:rsid w:val="003C6AFD"/>
    <w:rsid w:val="003C6F9C"/>
    <w:rsid w:val="003D0B20"/>
    <w:rsid w:val="003D13C8"/>
    <w:rsid w:val="003D1828"/>
    <w:rsid w:val="003D2422"/>
    <w:rsid w:val="003D557A"/>
    <w:rsid w:val="003D6293"/>
    <w:rsid w:val="003D635B"/>
    <w:rsid w:val="003D6EBA"/>
    <w:rsid w:val="003E1886"/>
    <w:rsid w:val="003E1BFD"/>
    <w:rsid w:val="003E2ECB"/>
    <w:rsid w:val="003E4691"/>
    <w:rsid w:val="003E52D0"/>
    <w:rsid w:val="003E587F"/>
    <w:rsid w:val="003E5BF5"/>
    <w:rsid w:val="003E6C15"/>
    <w:rsid w:val="003E6F71"/>
    <w:rsid w:val="003E73B7"/>
    <w:rsid w:val="003E7B49"/>
    <w:rsid w:val="003F0B26"/>
    <w:rsid w:val="003F131C"/>
    <w:rsid w:val="003F2BC8"/>
    <w:rsid w:val="003F3531"/>
    <w:rsid w:val="003F35EB"/>
    <w:rsid w:val="003F3861"/>
    <w:rsid w:val="003F389D"/>
    <w:rsid w:val="003F3CF1"/>
    <w:rsid w:val="003F3ECC"/>
    <w:rsid w:val="003F4156"/>
    <w:rsid w:val="003F4961"/>
    <w:rsid w:val="003F6191"/>
    <w:rsid w:val="003F6309"/>
    <w:rsid w:val="003F6B3D"/>
    <w:rsid w:val="003F6ED9"/>
    <w:rsid w:val="003F7981"/>
    <w:rsid w:val="00400539"/>
    <w:rsid w:val="00401A14"/>
    <w:rsid w:val="00401B75"/>
    <w:rsid w:val="00402B67"/>
    <w:rsid w:val="0040306D"/>
    <w:rsid w:val="00403606"/>
    <w:rsid w:val="004039A8"/>
    <w:rsid w:val="004042E9"/>
    <w:rsid w:val="00404A3F"/>
    <w:rsid w:val="0040606E"/>
    <w:rsid w:val="004063FB"/>
    <w:rsid w:val="004064A0"/>
    <w:rsid w:val="004066CE"/>
    <w:rsid w:val="00406C54"/>
    <w:rsid w:val="0040733F"/>
    <w:rsid w:val="004076BF"/>
    <w:rsid w:val="004106D0"/>
    <w:rsid w:val="00410708"/>
    <w:rsid w:val="0041098A"/>
    <w:rsid w:val="00410EC7"/>
    <w:rsid w:val="00411253"/>
    <w:rsid w:val="00411C9D"/>
    <w:rsid w:val="004122AA"/>
    <w:rsid w:val="00412EA9"/>
    <w:rsid w:val="00414476"/>
    <w:rsid w:val="00414583"/>
    <w:rsid w:val="00414E4E"/>
    <w:rsid w:val="004169EF"/>
    <w:rsid w:val="00420172"/>
    <w:rsid w:val="0042054D"/>
    <w:rsid w:val="00420B9F"/>
    <w:rsid w:val="00421597"/>
    <w:rsid w:val="004227BB"/>
    <w:rsid w:val="004227FF"/>
    <w:rsid w:val="00422A2F"/>
    <w:rsid w:val="00422DF1"/>
    <w:rsid w:val="004238E0"/>
    <w:rsid w:val="00425A91"/>
    <w:rsid w:val="004265FC"/>
    <w:rsid w:val="00426BC5"/>
    <w:rsid w:val="0042769F"/>
    <w:rsid w:val="004319F8"/>
    <w:rsid w:val="00431D86"/>
    <w:rsid w:val="004325F1"/>
    <w:rsid w:val="0043272F"/>
    <w:rsid w:val="00433044"/>
    <w:rsid w:val="0043440F"/>
    <w:rsid w:val="00434FF2"/>
    <w:rsid w:val="00435E4C"/>
    <w:rsid w:val="00440000"/>
    <w:rsid w:val="004407A0"/>
    <w:rsid w:val="00441E35"/>
    <w:rsid w:val="0044239F"/>
    <w:rsid w:val="0044263D"/>
    <w:rsid w:val="004436D2"/>
    <w:rsid w:val="00443A5C"/>
    <w:rsid w:val="004443A7"/>
    <w:rsid w:val="0044610F"/>
    <w:rsid w:val="004464EB"/>
    <w:rsid w:val="004465A1"/>
    <w:rsid w:val="00446796"/>
    <w:rsid w:val="00446D9B"/>
    <w:rsid w:val="00446EAC"/>
    <w:rsid w:val="00447336"/>
    <w:rsid w:val="00450014"/>
    <w:rsid w:val="00451D09"/>
    <w:rsid w:val="00452531"/>
    <w:rsid w:val="004527FD"/>
    <w:rsid w:val="00453C2C"/>
    <w:rsid w:val="00453FF2"/>
    <w:rsid w:val="00454644"/>
    <w:rsid w:val="00454D9A"/>
    <w:rsid w:val="00455535"/>
    <w:rsid w:val="004557B2"/>
    <w:rsid w:val="00455D45"/>
    <w:rsid w:val="00457E82"/>
    <w:rsid w:val="00461082"/>
    <w:rsid w:val="00463CC9"/>
    <w:rsid w:val="00464595"/>
    <w:rsid w:val="00464A68"/>
    <w:rsid w:val="004651DE"/>
    <w:rsid w:val="00465642"/>
    <w:rsid w:val="00465C5D"/>
    <w:rsid w:val="00466888"/>
    <w:rsid w:val="00466AE9"/>
    <w:rsid w:val="00467532"/>
    <w:rsid w:val="004677D1"/>
    <w:rsid w:val="00473015"/>
    <w:rsid w:val="00473AC5"/>
    <w:rsid w:val="00475532"/>
    <w:rsid w:val="004757A8"/>
    <w:rsid w:val="00475996"/>
    <w:rsid w:val="00477635"/>
    <w:rsid w:val="00477B56"/>
    <w:rsid w:val="00477FCF"/>
    <w:rsid w:val="004805FE"/>
    <w:rsid w:val="00480A63"/>
    <w:rsid w:val="0048157E"/>
    <w:rsid w:val="00481ED8"/>
    <w:rsid w:val="00482781"/>
    <w:rsid w:val="00483B6A"/>
    <w:rsid w:val="00484A44"/>
    <w:rsid w:val="0048528B"/>
    <w:rsid w:val="00485D6A"/>
    <w:rsid w:val="00486483"/>
    <w:rsid w:val="004867E2"/>
    <w:rsid w:val="004869C4"/>
    <w:rsid w:val="00487332"/>
    <w:rsid w:val="0048758A"/>
    <w:rsid w:val="004875C2"/>
    <w:rsid w:val="00487AEF"/>
    <w:rsid w:val="00487B0A"/>
    <w:rsid w:val="00490008"/>
    <w:rsid w:val="00490AEE"/>
    <w:rsid w:val="004912B0"/>
    <w:rsid w:val="00491552"/>
    <w:rsid w:val="00491B3A"/>
    <w:rsid w:val="00491D07"/>
    <w:rsid w:val="004920E7"/>
    <w:rsid w:val="00492CFD"/>
    <w:rsid w:val="00493B61"/>
    <w:rsid w:val="00495370"/>
    <w:rsid w:val="004962D2"/>
    <w:rsid w:val="00496A84"/>
    <w:rsid w:val="004A03B6"/>
    <w:rsid w:val="004A0DA1"/>
    <w:rsid w:val="004A12D4"/>
    <w:rsid w:val="004A2139"/>
    <w:rsid w:val="004A4D6C"/>
    <w:rsid w:val="004A54AF"/>
    <w:rsid w:val="004A6597"/>
    <w:rsid w:val="004A6B3C"/>
    <w:rsid w:val="004A79AF"/>
    <w:rsid w:val="004A7FDA"/>
    <w:rsid w:val="004B007D"/>
    <w:rsid w:val="004B17FA"/>
    <w:rsid w:val="004B1905"/>
    <w:rsid w:val="004B1CB4"/>
    <w:rsid w:val="004B1F52"/>
    <w:rsid w:val="004B2911"/>
    <w:rsid w:val="004B2AA7"/>
    <w:rsid w:val="004B2C62"/>
    <w:rsid w:val="004B2F18"/>
    <w:rsid w:val="004B310C"/>
    <w:rsid w:val="004B3739"/>
    <w:rsid w:val="004B374D"/>
    <w:rsid w:val="004B3DDB"/>
    <w:rsid w:val="004B40E8"/>
    <w:rsid w:val="004B428C"/>
    <w:rsid w:val="004B4394"/>
    <w:rsid w:val="004B44FD"/>
    <w:rsid w:val="004B4674"/>
    <w:rsid w:val="004B4EF5"/>
    <w:rsid w:val="004B5503"/>
    <w:rsid w:val="004B55A3"/>
    <w:rsid w:val="004B5B2A"/>
    <w:rsid w:val="004B5CFC"/>
    <w:rsid w:val="004B6471"/>
    <w:rsid w:val="004B6555"/>
    <w:rsid w:val="004B6B3F"/>
    <w:rsid w:val="004B7D31"/>
    <w:rsid w:val="004C0120"/>
    <w:rsid w:val="004C0C5B"/>
    <w:rsid w:val="004C0D01"/>
    <w:rsid w:val="004C15E4"/>
    <w:rsid w:val="004C2402"/>
    <w:rsid w:val="004C2435"/>
    <w:rsid w:val="004C281F"/>
    <w:rsid w:val="004C31A0"/>
    <w:rsid w:val="004C36D0"/>
    <w:rsid w:val="004C4AED"/>
    <w:rsid w:val="004C5011"/>
    <w:rsid w:val="004C534C"/>
    <w:rsid w:val="004C535E"/>
    <w:rsid w:val="004C61FA"/>
    <w:rsid w:val="004C68D3"/>
    <w:rsid w:val="004C6ED4"/>
    <w:rsid w:val="004D144C"/>
    <w:rsid w:val="004D1687"/>
    <w:rsid w:val="004D1C2D"/>
    <w:rsid w:val="004D21FA"/>
    <w:rsid w:val="004D2BAB"/>
    <w:rsid w:val="004D2FD1"/>
    <w:rsid w:val="004D30ED"/>
    <w:rsid w:val="004D400B"/>
    <w:rsid w:val="004D437E"/>
    <w:rsid w:val="004D4E5E"/>
    <w:rsid w:val="004D60AB"/>
    <w:rsid w:val="004D727B"/>
    <w:rsid w:val="004D7356"/>
    <w:rsid w:val="004E0EB8"/>
    <w:rsid w:val="004E167F"/>
    <w:rsid w:val="004E2ADC"/>
    <w:rsid w:val="004E3636"/>
    <w:rsid w:val="004E3D77"/>
    <w:rsid w:val="004E4220"/>
    <w:rsid w:val="004E43B2"/>
    <w:rsid w:val="004E577B"/>
    <w:rsid w:val="004E7FF0"/>
    <w:rsid w:val="004F0D41"/>
    <w:rsid w:val="004F1511"/>
    <w:rsid w:val="004F1D02"/>
    <w:rsid w:val="004F232B"/>
    <w:rsid w:val="004F2679"/>
    <w:rsid w:val="004F2B03"/>
    <w:rsid w:val="004F3C24"/>
    <w:rsid w:val="004F453A"/>
    <w:rsid w:val="004F5B84"/>
    <w:rsid w:val="004F698A"/>
    <w:rsid w:val="004F6A4E"/>
    <w:rsid w:val="004F6D4D"/>
    <w:rsid w:val="004F72DA"/>
    <w:rsid w:val="004F7487"/>
    <w:rsid w:val="004F7865"/>
    <w:rsid w:val="004F7A05"/>
    <w:rsid w:val="005002AA"/>
    <w:rsid w:val="00500AF1"/>
    <w:rsid w:val="00500FCC"/>
    <w:rsid w:val="00502C84"/>
    <w:rsid w:val="0050326D"/>
    <w:rsid w:val="00503599"/>
    <w:rsid w:val="00504032"/>
    <w:rsid w:val="005041CA"/>
    <w:rsid w:val="00504464"/>
    <w:rsid w:val="005052A2"/>
    <w:rsid w:val="00505842"/>
    <w:rsid w:val="00505DAD"/>
    <w:rsid w:val="00506928"/>
    <w:rsid w:val="00507CEF"/>
    <w:rsid w:val="00507E97"/>
    <w:rsid w:val="00510B91"/>
    <w:rsid w:val="00510FE1"/>
    <w:rsid w:val="005110EC"/>
    <w:rsid w:val="00511DDE"/>
    <w:rsid w:val="005126F3"/>
    <w:rsid w:val="0051294D"/>
    <w:rsid w:val="00512B0E"/>
    <w:rsid w:val="00512B43"/>
    <w:rsid w:val="00513F33"/>
    <w:rsid w:val="005152B5"/>
    <w:rsid w:val="00515487"/>
    <w:rsid w:val="00515898"/>
    <w:rsid w:val="005167CA"/>
    <w:rsid w:val="00520CF3"/>
    <w:rsid w:val="00520F3A"/>
    <w:rsid w:val="00521319"/>
    <w:rsid w:val="00521970"/>
    <w:rsid w:val="00522915"/>
    <w:rsid w:val="00522B2D"/>
    <w:rsid w:val="00523955"/>
    <w:rsid w:val="00523C28"/>
    <w:rsid w:val="00524FA7"/>
    <w:rsid w:val="0052584A"/>
    <w:rsid w:val="00525A48"/>
    <w:rsid w:val="0052634A"/>
    <w:rsid w:val="00526468"/>
    <w:rsid w:val="0052646D"/>
    <w:rsid w:val="00526C0C"/>
    <w:rsid w:val="00526F25"/>
    <w:rsid w:val="0052700A"/>
    <w:rsid w:val="0052754A"/>
    <w:rsid w:val="00527E0A"/>
    <w:rsid w:val="0053048F"/>
    <w:rsid w:val="0053206C"/>
    <w:rsid w:val="00532488"/>
    <w:rsid w:val="00532755"/>
    <w:rsid w:val="00532A4C"/>
    <w:rsid w:val="00532C92"/>
    <w:rsid w:val="00535040"/>
    <w:rsid w:val="005353FB"/>
    <w:rsid w:val="00535D8D"/>
    <w:rsid w:val="00536C62"/>
    <w:rsid w:val="0053725B"/>
    <w:rsid w:val="005378E5"/>
    <w:rsid w:val="005401D5"/>
    <w:rsid w:val="00541821"/>
    <w:rsid w:val="00541D91"/>
    <w:rsid w:val="005429BE"/>
    <w:rsid w:val="005429F3"/>
    <w:rsid w:val="00542C37"/>
    <w:rsid w:val="00543039"/>
    <w:rsid w:val="00544A99"/>
    <w:rsid w:val="00544DFB"/>
    <w:rsid w:val="005450EA"/>
    <w:rsid w:val="00545117"/>
    <w:rsid w:val="005456C8"/>
    <w:rsid w:val="00547A70"/>
    <w:rsid w:val="00550232"/>
    <w:rsid w:val="005505E2"/>
    <w:rsid w:val="00551254"/>
    <w:rsid w:val="00551E52"/>
    <w:rsid w:val="00552BD3"/>
    <w:rsid w:val="00552C55"/>
    <w:rsid w:val="00553395"/>
    <w:rsid w:val="005549FD"/>
    <w:rsid w:val="00555109"/>
    <w:rsid w:val="00555548"/>
    <w:rsid w:val="00556CB8"/>
    <w:rsid w:val="00556F91"/>
    <w:rsid w:val="00556FA9"/>
    <w:rsid w:val="00557648"/>
    <w:rsid w:val="005577F5"/>
    <w:rsid w:val="00560484"/>
    <w:rsid w:val="005605CE"/>
    <w:rsid w:val="005608FB"/>
    <w:rsid w:val="00561F7E"/>
    <w:rsid w:val="00562012"/>
    <w:rsid w:val="00562A0A"/>
    <w:rsid w:val="00563935"/>
    <w:rsid w:val="00564727"/>
    <w:rsid w:val="005654CF"/>
    <w:rsid w:val="00565E14"/>
    <w:rsid w:val="0056614C"/>
    <w:rsid w:val="00566511"/>
    <w:rsid w:val="0056696F"/>
    <w:rsid w:val="00567B67"/>
    <w:rsid w:val="005710F4"/>
    <w:rsid w:val="005727B9"/>
    <w:rsid w:val="00572C57"/>
    <w:rsid w:val="00572FEA"/>
    <w:rsid w:val="00573E23"/>
    <w:rsid w:val="00574D9A"/>
    <w:rsid w:val="00575D8D"/>
    <w:rsid w:val="00576972"/>
    <w:rsid w:val="00577217"/>
    <w:rsid w:val="0057745D"/>
    <w:rsid w:val="00580EAE"/>
    <w:rsid w:val="005811B2"/>
    <w:rsid w:val="00581302"/>
    <w:rsid w:val="00582038"/>
    <w:rsid w:val="00582E5F"/>
    <w:rsid w:val="00583180"/>
    <w:rsid w:val="00583699"/>
    <w:rsid w:val="00583C12"/>
    <w:rsid w:val="00584718"/>
    <w:rsid w:val="005851F3"/>
    <w:rsid w:val="00585D58"/>
    <w:rsid w:val="00585E20"/>
    <w:rsid w:val="0058699E"/>
    <w:rsid w:val="0058738E"/>
    <w:rsid w:val="0058746C"/>
    <w:rsid w:val="00587DA3"/>
    <w:rsid w:val="00587EBF"/>
    <w:rsid w:val="00587F3C"/>
    <w:rsid w:val="0059075B"/>
    <w:rsid w:val="00590AF1"/>
    <w:rsid w:val="00590F02"/>
    <w:rsid w:val="00591C58"/>
    <w:rsid w:val="005924ED"/>
    <w:rsid w:val="0059250A"/>
    <w:rsid w:val="0059455C"/>
    <w:rsid w:val="00594768"/>
    <w:rsid w:val="00594992"/>
    <w:rsid w:val="00594C6D"/>
    <w:rsid w:val="00596AEA"/>
    <w:rsid w:val="00597C2F"/>
    <w:rsid w:val="00597F6E"/>
    <w:rsid w:val="005A0E2D"/>
    <w:rsid w:val="005A4C55"/>
    <w:rsid w:val="005A625D"/>
    <w:rsid w:val="005A6EE1"/>
    <w:rsid w:val="005A723F"/>
    <w:rsid w:val="005B10F6"/>
    <w:rsid w:val="005B1BA5"/>
    <w:rsid w:val="005B2CEA"/>
    <w:rsid w:val="005B3453"/>
    <w:rsid w:val="005B3AB8"/>
    <w:rsid w:val="005B578A"/>
    <w:rsid w:val="005B5857"/>
    <w:rsid w:val="005B5CC0"/>
    <w:rsid w:val="005B630F"/>
    <w:rsid w:val="005B69F5"/>
    <w:rsid w:val="005C1B83"/>
    <w:rsid w:val="005C1EBB"/>
    <w:rsid w:val="005C223E"/>
    <w:rsid w:val="005C2CC7"/>
    <w:rsid w:val="005C2D91"/>
    <w:rsid w:val="005C346B"/>
    <w:rsid w:val="005C3889"/>
    <w:rsid w:val="005C3F9F"/>
    <w:rsid w:val="005C4F3F"/>
    <w:rsid w:val="005C51FD"/>
    <w:rsid w:val="005C5309"/>
    <w:rsid w:val="005C5D1E"/>
    <w:rsid w:val="005C60DE"/>
    <w:rsid w:val="005C67E5"/>
    <w:rsid w:val="005C77E8"/>
    <w:rsid w:val="005C782B"/>
    <w:rsid w:val="005D044D"/>
    <w:rsid w:val="005D11F3"/>
    <w:rsid w:val="005D18AD"/>
    <w:rsid w:val="005D19EB"/>
    <w:rsid w:val="005D1FBB"/>
    <w:rsid w:val="005D3CA8"/>
    <w:rsid w:val="005D3E79"/>
    <w:rsid w:val="005D582E"/>
    <w:rsid w:val="005D629E"/>
    <w:rsid w:val="005E0195"/>
    <w:rsid w:val="005E1BCF"/>
    <w:rsid w:val="005E3435"/>
    <w:rsid w:val="005E43A2"/>
    <w:rsid w:val="005E4740"/>
    <w:rsid w:val="005E5CCC"/>
    <w:rsid w:val="005E62C9"/>
    <w:rsid w:val="005E6D94"/>
    <w:rsid w:val="005E705A"/>
    <w:rsid w:val="005E73C0"/>
    <w:rsid w:val="005E794D"/>
    <w:rsid w:val="005F03B6"/>
    <w:rsid w:val="005F0965"/>
    <w:rsid w:val="005F0F2E"/>
    <w:rsid w:val="005F2706"/>
    <w:rsid w:val="005F3C1A"/>
    <w:rsid w:val="005F3DC8"/>
    <w:rsid w:val="005F3E21"/>
    <w:rsid w:val="005F49AF"/>
    <w:rsid w:val="005F4A16"/>
    <w:rsid w:val="005F5A87"/>
    <w:rsid w:val="005F6A8F"/>
    <w:rsid w:val="005F6D91"/>
    <w:rsid w:val="005F7704"/>
    <w:rsid w:val="00600914"/>
    <w:rsid w:val="006011D0"/>
    <w:rsid w:val="00601ED6"/>
    <w:rsid w:val="0060253E"/>
    <w:rsid w:val="00603018"/>
    <w:rsid w:val="00603ACF"/>
    <w:rsid w:val="00603C5E"/>
    <w:rsid w:val="0060676F"/>
    <w:rsid w:val="00606A7A"/>
    <w:rsid w:val="00607564"/>
    <w:rsid w:val="00607669"/>
    <w:rsid w:val="00610271"/>
    <w:rsid w:val="00610A31"/>
    <w:rsid w:val="00611DC7"/>
    <w:rsid w:val="00612016"/>
    <w:rsid w:val="00612F97"/>
    <w:rsid w:val="00614747"/>
    <w:rsid w:val="006159DD"/>
    <w:rsid w:val="00616036"/>
    <w:rsid w:val="00616319"/>
    <w:rsid w:val="00616706"/>
    <w:rsid w:val="00616802"/>
    <w:rsid w:val="0061787E"/>
    <w:rsid w:val="00617E12"/>
    <w:rsid w:val="00621477"/>
    <w:rsid w:val="00622C04"/>
    <w:rsid w:val="00623AA4"/>
    <w:rsid w:val="00623D39"/>
    <w:rsid w:val="006253F3"/>
    <w:rsid w:val="00625D6F"/>
    <w:rsid w:val="00625E51"/>
    <w:rsid w:val="00626094"/>
    <w:rsid w:val="00627337"/>
    <w:rsid w:val="006315DF"/>
    <w:rsid w:val="0063168A"/>
    <w:rsid w:val="00631D6B"/>
    <w:rsid w:val="0063323F"/>
    <w:rsid w:val="00633B8E"/>
    <w:rsid w:val="00634288"/>
    <w:rsid w:val="0063479F"/>
    <w:rsid w:val="006362B8"/>
    <w:rsid w:val="006364A1"/>
    <w:rsid w:val="00637772"/>
    <w:rsid w:val="00637BE1"/>
    <w:rsid w:val="00637BFD"/>
    <w:rsid w:val="006406F5"/>
    <w:rsid w:val="00640D42"/>
    <w:rsid w:val="0064157D"/>
    <w:rsid w:val="00641795"/>
    <w:rsid w:val="00642A54"/>
    <w:rsid w:val="006430F7"/>
    <w:rsid w:val="006433AF"/>
    <w:rsid w:val="00643D40"/>
    <w:rsid w:val="006445DA"/>
    <w:rsid w:val="0064522A"/>
    <w:rsid w:val="006453C2"/>
    <w:rsid w:val="00645421"/>
    <w:rsid w:val="006471CC"/>
    <w:rsid w:val="00650675"/>
    <w:rsid w:val="0065079F"/>
    <w:rsid w:val="00650CAD"/>
    <w:rsid w:val="006510BB"/>
    <w:rsid w:val="00651EE2"/>
    <w:rsid w:val="006520B9"/>
    <w:rsid w:val="00652A19"/>
    <w:rsid w:val="00653697"/>
    <w:rsid w:val="00654644"/>
    <w:rsid w:val="00654BC8"/>
    <w:rsid w:val="00655046"/>
    <w:rsid w:val="006559E7"/>
    <w:rsid w:val="00661A34"/>
    <w:rsid w:val="0066219C"/>
    <w:rsid w:val="00664136"/>
    <w:rsid w:val="00664809"/>
    <w:rsid w:val="0066508A"/>
    <w:rsid w:val="00665248"/>
    <w:rsid w:val="0066547E"/>
    <w:rsid w:val="00665CB5"/>
    <w:rsid w:val="00665F89"/>
    <w:rsid w:val="00665FED"/>
    <w:rsid w:val="00666446"/>
    <w:rsid w:val="006674E1"/>
    <w:rsid w:val="00670314"/>
    <w:rsid w:val="006712DB"/>
    <w:rsid w:val="00671987"/>
    <w:rsid w:val="00672D6E"/>
    <w:rsid w:val="00672F4C"/>
    <w:rsid w:val="00673903"/>
    <w:rsid w:val="0067481C"/>
    <w:rsid w:val="00674E42"/>
    <w:rsid w:val="00674E7F"/>
    <w:rsid w:val="00675442"/>
    <w:rsid w:val="00675D12"/>
    <w:rsid w:val="00675D4B"/>
    <w:rsid w:val="00677EBC"/>
    <w:rsid w:val="00680705"/>
    <w:rsid w:val="00680B2B"/>
    <w:rsid w:val="00682112"/>
    <w:rsid w:val="006822A6"/>
    <w:rsid w:val="0068272A"/>
    <w:rsid w:val="00682985"/>
    <w:rsid w:val="0068302A"/>
    <w:rsid w:val="006835EB"/>
    <w:rsid w:val="00683ED3"/>
    <w:rsid w:val="006845F3"/>
    <w:rsid w:val="00685601"/>
    <w:rsid w:val="00686FEC"/>
    <w:rsid w:val="006872BA"/>
    <w:rsid w:val="00687FE5"/>
    <w:rsid w:val="006909CE"/>
    <w:rsid w:val="00690D09"/>
    <w:rsid w:val="00690DB1"/>
    <w:rsid w:val="006917D7"/>
    <w:rsid w:val="0069212C"/>
    <w:rsid w:val="00693140"/>
    <w:rsid w:val="006940C7"/>
    <w:rsid w:val="00694343"/>
    <w:rsid w:val="0069434F"/>
    <w:rsid w:val="00694A7F"/>
    <w:rsid w:val="00694F44"/>
    <w:rsid w:val="0069758D"/>
    <w:rsid w:val="006A1A64"/>
    <w:rsid w:val="006A1BB4"/>
    <w:rsid w:val="006A230D"/>
    <w:rsid w:val="006A2861"/>
    <w:rsid w:val="006A28A0"/>
    <w:rsid w:val="006A2FAD"/>
    <w:rsid w:val="006A325B"/>
    <w:rsid w:val="006A3B1E"/>
    <w:rsid w:val="006A5A16"/>
    <w:rsid w:val="006A5B23"/>
    <w:rsid w:val="006A5BFB"/>
    <w:rsid w:val="006A5F8C"/>
    <w:rsid w:val="006A682E"/>
    <w:rsid w:val="006A7CB4"/>
    <w:rsid w:val="006B08FC"/>
    <w:rsid w:val="006B0B4C"/>
    <w:rsid w:val="006B0EDA"/>
    <w:rsid w:val="006B10E4"/>
    <w:rsid w:val="006B183E"/>
    <w:rsid w:val="006B261B"/>
    <w:rsid w:val="006B300D"/>
    <w:rsid w:val="006B354D"/>
    <w:rsid w:val="006B3A12"/>
    <w:rsid w:val="006B4A9A"/>
    <w:rsid w:val="006B4F0E"/>
    <w:rsid w:val="006B53DE"/>
    <w:rsid w:val="006B5EB5"/>
    <w:rsid w:val="006B704E"/>
    <w:rsid w:val="006C1A72"/>
    <w:rsid w:val="006C2203"/>
    <w:rsid w:val="006C22B0"/>
    <w:rsid w:val="006C22FC"/>
    <w:rsid w:val="006C2556"/>
    <w:rsid w:val="006C26B9"/>
    <w:rsid w:val="006C2A8E"/>
    <w:rsid w:val="006C2C6D"/>
    <w:rsid w:val="006C4054"/>
    <w:rsid w:val="006C47AC"/>
    <w:rsid w:val="006C4E7C"/>
    <w:rsid w:val="006C4FC4"/>
    <w:rsid w:val="006C4FFA"/>
    <w:rsid w:val="006C5330"/>
    <w:rsid w:val="006C5BB0"/>
    <w:rsid w:val="006C62D8"/>
    <w:rsid w:val="006C6340"/>
    <w:rsid w:val="006C6416"/>
    <w:rsid w:val="006C68C5"/>
    <w:rsid w:val="006C6EE6"/>
    <w:rsid w:val="006C70E0"/>
    <w:rsid w:val="006D026B"/>
    <w:rsid w:val="006D0673"/>
    <w:rsid w:val="006D22AD"/>
    <w:rsid w:val="006D231A"/>
    <w:rsid w:val="006D3C7D"/>
    <w:rsid w:val="006D5D5F"/>
    <w:rsid w:val="006D6753"/>
    <w:rsid w:val="006D6A60"/>
    <w:rsid w:val="006D726D"/>
    <w:rsid w:val="006D74E4"/>
    <w:rsid w:val="006E03C0"/>
    <w:rsid w:val="006E04CA"/>
    <w:rsid w:val="006E0720"/>
    <w:rsid w:val="006E1026"/>
    <w:rsid w:val="006E1E47"/>
    <w:rsid w:val="006E2554"/>
    <w:rsid w:val="006E2781"/>
    <w:rsid w:val="006E2B52"/>
    <w:rsid w:val="006E2C09"/>
    <w:rsid w:val="006E2E71"/>
    <w:rsid w:val="006E3357"/>
    <w:rsid w:val="006E3648"/>
    <w:rsid w:val="006E397C"/>
    <w:rsid w:val="006E3A00"/>
    <w:rsid w:val="006E4E75"/>
    <w:rsid w:val="006E5477"/>
    <w:rsid w:val="006E6CCA"/>
    <w:rsid w:val="006F1120"/>
    <w:rsid w:val="006F1C29"/>
    <w:rsid w:val="006F454D"/>
    <w:rsid w:val="006F45AC"/>
    <w:rsid w:val="006F4EC5"/>
    <w:rsid w:val="006F5399"/>
    <w:rsid w:val="006F5855"/>
    <w:rsid w:val="006F6054"/>
    <w:rsid w:val="006F63A5"/>
    <w:rsid w:val="006F6D5F"/>
    <w:rsid w:val="006F742D"/>
    <w:rsid w:val="006F7618"/>
    <w:rsid w:val="006F7F8C"/>
    <w:rsid w:val="00700F0A"/>
    <w:rsid w:val="00701A56"/>
    <w:rsid w:val="0070276E"/>
    <w:rsid w:val="00702F8F"/>
    <w:rsid w:val="00703AB2"/>
    <w:rsid w:val="00703C23"/>
    <w:rsid w:val="00703C43"/>
    <w:rsid w:val="00703DB0"/>
    <w:rsid w:val="00704494"/>
    <w:rsid w:val="00704F05"/>
    <w:rsid w:val="00705411"/>
    <w:rsid w:val="00705932"/>
    <w:rsid w:val="00705CFD"/>
    <w:rsid w:val="007062E0"/>
    <w:rsid w:val="00707420"/>
    <w:rsid w:val="007101AC"/>
    <w:rsid w:val="00710419"/>
    <w:rsid w:val="0071129C"/>
    <w:rsid w:val="007119AC"/>
    <w:rsid w:val="00711A36"/>
    <w:rsid w:val="00711CF5"/>
    <w:rsid w:val="00713097"/>
    <w:rsid w:val="00713E43"/>
    <w:rsid w:val="007153BC"/>
    <w:rsid w:val="00715672"/>
    <w:rsid w:val="007172AD"/>
    <w:rsid w:val="00720954"/>
    <w:rsid w:val="00723113"/>
    <w:rsid w:val="00723DB6"/>
    <w:rsid w:val="0072411B"/>
    <w:rsid w:val="0072416F"/>
    <w:rsid w:val="007247D9"/>
    <w:rsid w:val="00725863"/>
    <w:rsid w:val="00725B97"/>
    <w:rsid w:val="00725FAE"/>
    <w:rsid w:val="0072609F"/>
    <w:rsid w:val="007272A5"/>
    <w:rsid w:val="00727C1C"/>
    <w:rsid w:val="00727F4D"/>
    <w:rsid w:val="00727F5F"/>
    <w:rsid w:val="00730010"/>
    <w:rsid w:val="0073062F"/>
    <w:rsid w:val="00731543"/>
    <w:rsid w:val="00731D8B"/>
    <w:rsid w:val="0073209A"/>
    <w:rsid w:val="0073372D"/>
    <w:rsid w:val="00733A0B"/>
    <w:rsid w:val="0073466F"/>
    <w:rsid w:val="00734678"/>
    <w:rsid w:val="00735323"/>
    <w:rsid w:val="00735328"/>
    <w:rsid w:val="007367E9"/>
    <w:rsid w:val="0073685B"/>
    <w:rsid w:val="00736A61"/>
    <w:rsid w:val="00736CAD"/>
    <w:rsid w:val="00736F69"/>
    <w:rsid w:val="0073797C"/>
    <w:rsid w:val="00737AE7"/>
    <w:rsid w:val="0074158C"/>
    <w:rsid w:val="007419E2"/>
    <w:rsid w:val="00742AE4"/>
    <w:rsid w:val="00742E16"/>
    <w:rsid w:val="007434BF"/>
    <w:rsid w:val="007435E2"/>
    <w:rsid w:val="00746BC0"/>
    <w:rsid w:val="007472F7"/>
    <w:rsid w:val="00747B3F"/>
    <w:rsid w:val="00750229"/>
    <w:rsid w:val="00750874"/>
    <w:rsid w:val="00750D31"/>
    <w:rsid w:val="0075172D"/>
    <w:rsid w:val="00751DD8"/>
    <w:rsid w:val="00751E0E"/>
    <w:rsid w:val="007525CA"/>
    <w:rsid w:val="0075411F"/>
    <w:rsid w:val="0075516F"/>
    <w:rsid w:val="007554F4"/>
    <w:rsid w:val="00755EBA"/>
    <w:rsid w:val="00755F35"/>
    <w:rsid w:val="00756209"/>
    <w:rsid w:val="00756462"/>
    <w:rsid w:val="007568F3"/>
    <w:rsid w:val="007572BD"/>
    <w:rsid w:val="007579A6"/>
    <w:rsid w:val="00762C14"/>
    <w:rsid w:val="00762F50"/>
    <w:rsid w:val="007633A3"/>
    <w:rsid w:val="00763C4D"/>
    <w:rsid w:val="007641DB"/>
    <w:rsid w:val="00764304"/>
    <w:rsid w:val="0076461E"/>
    <w:rsid w:val="00767D4D"/>
    <w:rsid w:val="00771396"/>
    <w:rsid w:val="0077217B"/>
    <w:rsid w:val="007734F3"/>
    <w:rsid w:val="007737B5"/>
    <w:rsid w:val="00774536"/>
    <w:rsid w:val="00774B88"/>
    <w:rsid w:val="00775492"/>
    <w:rsid w:val="007758E9"/>
    <w:rsid w:val="00775AE8"/>
    <w:rsid w:val="0077726B"/>
    <w:rsid w:val="007815DC"/>
    <w:rsid w:val="007816BB"/>
    <w:rsid w:val="00781B95"/>
    <w:rsid w:val="0078231D"/>
    <w:rsid w:val="00782BCA"/>
    <w:rsid w:val="0078373A"/>
    <w:rsid w:val="00784761"/>
    <w:rsid w:val="00784CB2"/>
    <w:rsid w:val="0078676C"/>
    <w:rsid w:val="00786FBA"/>
    <w:rsid w:val="007877FB"/>
    <w:rsid w:val="007906EE"/>
    <w:rsid w:val="007908F2"/>
    <w:rsid w:val="00790968"/>
    <w:rsid w:val="00793035"/>
    <w:rsid w:val="007933E3"/>
    <w:rsid w:val="00793478"/>
    <w:rsid w:val="00793638"/>
    <w:rsid w:val="00793D99"/>
    <w:rsid w:val="00794629"/>
    <w:rsid w:val="007953C0"/>
    <w:rsid w:val="007958F4"/>
    <w:rsid w:val="00795C97"/>
    <w:rsid w:val="00796373"/>
    <w:rsid w:val="00796ACB"/>
    <w:rsid w:val="0079717B"/>
    <w:rsid w:val="007978B9"/>
    <w:rsid w:val="007A06C6"/>
    <w:rsid w:val="007A06C8"/>
    <w:rsid w:val="007A0A12"/>
    <w:rsid w:val="007A0CFB"/>
    <w:rsid w:val="007A0FE7"/>
    <w:rsid w:val="007A1CCF"/>
    <w:rsid w:val="007A22BF"/>
    <w:rsid w:val="007A2B26"/>
    <w:rsid w:val="007A37E8"/>
    <w:rsid w:val="007A41EE"/>
    <w:rsid w:val="007A560F"/>
    <w:rsid w:val="007A56E7"/>
    <w:rsid w:val="007A7338"/>
    <w:rsid w:val="007A7527"/>
    <w:rsid w:val="007B072C"/>
    <w:rsid w:val="007B0966"/>
    <w:rsid w:val="007B1978"/>
    <w:rsid w:val="007B20F4"/>
    <w:rsid w:val="007B2182"/>
    <w:rsid w:val="007B2217"/>
    <w:rsid w:val="007B251D"/>
    <w:rsid w:val="007B27E9"/>
    <w:rsid w:val="007B34EB"/>
    <w:rsid w:val="007B3634"/>
    <w:rsid w:val="007B3D41"/>
    <w:rsid w:val="007B4803"/>
    <w:rsid w:val="007B4C8C"/>
    <w:rsid w:val="007B6228"/>
    <w:rsid w:val="007B772B"/>
    <w:rsid w:val="007B77D1"/>
    <w:rsid w:val="007B7A93"/>
    <w:rsid w:val="007C0967"/>
    <w:rsid w:val="007C0DC8"/>
    <w:rsid w:val="007C0FC3"/>
    <w:rsid w:val="007C1136"/>
    <w:rsid w:val="007C18F0"/>
    <w:rsid w:val="007C27F8"/>
    <w:rsid w:val="007C2963"/>
    <w:rsid w:val="007C361D"/>
    <w:rsid w:val="007C3E3C"/>
    <w:rsid w:val="007C4F63"/>
    <w:rsid w:val="007C5093"/>
    <w:rsid w:val="007C58E1"/>
    <w:rsid w:val="007C62F9"/>
    <w:rsid w:val="007C70BF"/>
    <w:rsid w:val="007D044D"/>
    <w:rsid w:val="007D08EC"/>
    <w:rsid w:val="007D0B38"/>
    <w:rsid w:val="007D0BB0"/>
    <w:rsid w:val="007D189C"/>
    <w:rsid w:val="007D1B10"/>
    <w:rsid w:val="007D3731"/>
    <w:rsid w:val="007D57F4"/>
    <w:rsid w:val="007D5A3D"/>
    <w:rsid w:val="007D6323"/>
    <w:rsid w:val="007D68D6"/>
    <w:rsid w:val="007D692D"/>
    <w:rsid w:val="007E0363"/>
    <w:rsid w:val="007E07F7"/>
    <w:rsid w:val="007E171C"/>
    <w:rsid w:val="007E19EF"/>
    <w:rsid w:val="007E1A36"/>
    <w:rsid w:val="007E4A9C"/>
    <w:rsid w:val="007E4F0D"/>
    <w:rsid w:val="007E506B"/>
    <w:rsid w:val="007E61E9"/>
    <w:rsid w:val="007E6245"/>
    <w:rsid w:val="007E71AB"/>
    <w:rsid w:val="007E7714"/>
    <w:rsid w:val="007F019A"/>
    <w:rsid w:val="007F077E"/>
    <w:rsid w:val="007F1017"/>
    <w:rsid w:val="007F13A6"/>
    <w:rsid w:val="007F154C"/>
    <w:rsid w:val="007F31FC"/>
    <w:rsid w:val="007F4261"/>
    <w:rsid w:val="007F4A3F"/>
    <w:rsid w:val="007F4D67"/>
    <w:rsid w:val="007F55B4"/>
    <w:rsid w:val="007F6C60"/>
    <w:rsid w:val="00800854"/>
    <w:rsid w:val="00800973"/>
    <w:rsid w:val="00801878"/>
    <w:rsid w:val="0080214A"/>
    <w:rsid w:val="00802FC3"/>
    <w:rsid w:val="0080313B"/>
    <w:rsid w:val="00804D91"/>
    <w:rsid w:val="00805142"/>
    <w:rsid w:val="0080577B"/>
    <w:rsid w:val="00805EFF"/>
    <w:rsid w:val="00806758"/>
    <w:rsid w:val="00807A8B"/>
    <w:rsid w:val="00807BAF"/>
    <w:rsid w:val="00807D77"/>
    <w:rsid w:val="008112CC"/>
    <w:rsid w:val="00812102"/>
    <w:rsid w:val="00812149"/>
    <w:rsid w:val="00812524"/>
    <w:rsid w:val="00812D67"/>
    <w:rsid w:val="00812F78"/>
    <w:rsid w:val="008166EF"/>
    <w:rsid w:val="008172C9"/>
    <w:rsid w:val="00817FB1"/>
    <w:rsid w:val="0082059D"/>
    <w:rsid w:val="008224BB"/>
    <w:rsid w:val="00823D75"/>
    <w:rsid w:val="008249A9"/>
    <w:rsid w:val="0082567A"/>
    <w:rsid w:val="0082610F"/>
    <w:rsid w:val="008264EB"/>
    <w:rsid w:val="0082689F"/>
    <w:rsid w:val="00826A3D"/>
    <w:rsid w:val="00827B88"/>
    <w:rsid w:val="00827C7E"/>
    <w:rsid w:val="00827D69"/>
    <w:rsid w:val="00830201"/>
    <w:rsid w:val="00830D7C"/>
    <w:rsid w:val="008314FC"/>
    <w:rsid w:val="0083174E"/>
    <w:rsid w:val="00831C46"/>
    <w:rsid w:val="00832343"/>
    <w:rsid w:val="00832961"/>
    <w:rsid w:val="008336AF"/>
    <w:rsid w:val="008337CD"/>
    <w:rsid w:val="00833B05"/>
    <w:rsid w:val="00833DBC"/>
    <w:rsid w:val="00834645"/>
    <w:rsid w:val="00834D16"/>
    <w:rsid w:val="00835277"/>
    <w:rsid w:val="00837870"/>
    <w:rsid w:val="008402D5"/>
    <w:rsid w:val="00840CA2"/>
    <w:rsid w:val="008411C2"/>
    <w:rsid w:val="00841260"/>
    <w:rsid w:val="00842C0D"/>
    <w:rsid w:val="008432E2"/>
    <w:rsid w:val="00843909"/>
    <w:rsid w:val="00845DC9"/>
    <w:rsid w:val="00845E4C"/>
    <w:rsid w:val="00846B16"/>
    <w:rsid w:val="008475C7"/>
    <w:rsid w:val="00847E8E"/>
    <w:rsid w:val="00850595"/>
    <w:rsid w:val="008512D7"/>
    <w:rsid w:val="0085321A"/>
    <w:rsid w:val="008533D3"/>
    <w:rsid w:val="008533EE"/>
    <w:rsid w:val="00854529"/>
    <w:rsid w:val="00854E7B"/>
    <w:rsid w:val="00855894"/>
    <w:rsid w:val="0085667B"/>
    <w:rsid w:val="008566FA"/>
    <w:rsid w:val="00856E9A"/>
    <w:rsid w:val="00857ADB"/>
    <w:rsid w:val="00857D4D"/>
    <w:rsid w:val="00857E5B"/>
    <w:rsid w:val="008603BB"/>
    <w:rsid w:val="008604A0"/>
    <w:rsid w:val="00860C1A"/>
    <w:rsid w:val="0086171A"/>
    <w:rsid w:val="008618E6"/>
    <w:rsid w:val="00862502"/>
    <w:rsid w:val="00863263"/>
    <w:rsid w:val="00863F6C"/>
    <w:rsid w:val="0086464E"/>
    <w:rsid w:val="00864EEF"/>
    <w:rsid w:val="008653C3"/>
    <w:rsid w:val="00865F82"/>
    <w:rsid w:val="00866921"/>
    <w:rsid w:val="00866D28"/>
    <w:rsid w:val="008702A9"/>
    <w:rsid w:val="008707AC"/>
    <w:rsid w:val="008731F8"/>
    <w:rsid w:val="008741F8"/>
    <w:rsid w:val="0087453B"/>
    <w:rsid w:val="00875117"/>
    <w:rsid w:val="00876239"/>
    <w:rsid w:val="00877485"/>
    <w:rsid w:val="00877745"/>
    <w:rsid w:val="00880B2C"/>
    <w:rsid w:val="00882183"/>
    <w:rsid w:val="00882874"/>
    <w:rsid w:val="00882A9B"/>
    <w:rsid w:val="00883787"/>
    <w:rsid w:val="0088455A"/>
    <w:rsid w:val="00885C26"/>
    <w:rsid w:val="00886D26"/>
    <w:rsid w:val="00886F39"/>
    <w:rsid w:val="008901B3"/>
    <w:rsid w:val="00890901"/>
    <w:rsid w:val="00890F26"/>
    <w:rsid w:val="00891C8A"/>
    <w:rsid w:val="0089207A"/>
    <w:rsid w:val="00892913"/>
    <w:rsid w:val="00892ADD"/>
    <w:rsid w:val="00893E5B"/>
    <w:rsid w:val="00894489"/>
    <w:rsid w:val="008963A5"/>
    <w:rsid w:val="008964B0"/>
    <w:rsid w:val="0089689E"/>
    <w:rsid w:val="00896D63"/>
    <w:rsid w:val="008975B2"/>
    <w:rsid w:val="00897C1C"/>
    <w:rsid w:val="00897D9B"/>
    <w:rsid w:val="008A0317"/>
    <w:rsid w:val="008A0D8E"/>
    <w:rsid w:val="008A1066"/>
    <w:rsid w:val="008A2CFB"/>
    <w:rsid w:val="008A3483"/>
    <w:rsid w:val="008A39D6"/>
    <w:rsid w:val="008A3C3E"/>
    <w:rsid w:val="008A4559"/>
    <w:rsid w:val="008A4F48"/>
    <w:rsid w:val="008A5FF3"/>
    <w:rsid w:val="008A79DE"/>
    <w:rsid w:val="008A7A25"/>
    <w:rsid w:val="008B034C"/>
    <w:rsid w:val="008B06AA"/>
    <w:rsid w:val="008B1C00"/>
    <w:rsid w:val="008B1D8D"/>
    <w:rsid w:val="008B2C11"/>
    <w:rsid w:val="008B2D58"/>
    <w:rsid w:val="008B2F29"/>
    <w:rsid w:val="008B4BAA"/>
    <w:rsid w:val="008B4F75"/>
    <w:rsid w:val="008B5324"/>
    <w:rsid w:val="008B5589"/>
    <w:rsid w:val="008B66D9"/>
    <w:rsid w:val="008B6C2B"/>
    <w:rsid w:val="008B7BCC"/>
    <w:rsid w:val="008B7D7E"/>
    <w:rsid w:val="008C0E84"/>
    <w:rsid w:val="008C1B7D"/>
    <w:rsid w:val="008C5430"/>
    <w:rsid w:val="008C61AA"/>
    <w:rsid w:val="008C72FF"/>
    <w:rsid w:val="008C7ECB"/>
    <w:rsid w:val="008D0108"/>
    <w:rsid w:val="008D076D"/>
    <w:rsid w:val="008D202B"/>
    <w:rsid w:val="008D2C57"/>
    <w:rsid w:val="008D2F4E"/>
    <w:rsid w:val="008D3D87"/>
    <w:rsid w:val="008D46CF"/>
    <w:rsid w:val="008D5575"/>
    <w:rsid w:val="008D5E52"/>
    <w:rsid w:val="008D6FB3"/>
    <w:rsid w:val="008D7A56"/>
    <w:rsid w:val="008D7C9B"/>
    <w:rsid w:val="008E1B9E"/>
    <w:rsid w:val="008E3699"/>
    <w:rsid w:val="008E3783"/>
    <w:rsid w:val="008E4A0E"/>
    <w:rsid w:val="008E6338"/>
    <w:rsid w:val="008E65FF"/>
    <w:rsid w:val="008E6827"/>
    <w:rsid w:val="008E6EED"/>
    <w:rsid w:val="008E75CF"/>
    <w:rsid w:val="008E79A5"/>
    <w:rsid w:val="008E7A2E"/>
    <w:rsid w:val="008E7BC2"/>
    <w:rsid w:val="008E7E29"/>
    <w:rsid w:val="008F0906"/>
    <w:rsid w:val="008F120A"/>
    <w:rsid w:val="008F124E"/>
    <w:rsid w:val="008F1C53"/>
    <w:rsid w:val="008F2F42"/>
    <w:rsid w:val="008F39E0"/>
    <w:rsid w:val="008F455C"/>
    <w:rsid w:val="008F45CD"/>
    <w:rsid w:val="008F4667"/>
    <w:rsid w:val="008F48EB"/>
    <w:rsid w:val="008F4F0B"/>
    <w:rsid w:val="008F50F4"/>
    <w:rsid w:val="008F6BBA"/>
    <w:rsid w:val="0090283F"/>
    <w:rsid w:val="00905301"/>
    <w:rsid w:val="00905B92"/>
    <w:rsid w:val="009062A5"/>
    <w:rsid w:val="0090748F"/>
    <w:rsid w:val="0090769D"/>
    <w:rsid w:val="00907E38"/>
    <w:rsid w:val="00910129"/>
    <w:rsid w:val="00910722"/>
    <w:rsid w:val="0091089A"/>
    <w:rsid w:val="00910E2E"/>
    <w:rsid w:val="00911272"/>
    <w:rsid w:val="00912081"/>
    <w:rsid w:val="00912826"/>
    <w:rsid w:val="00912A63"/>
    <w:rsid w:val="00912F3B"/>
    <w:rsid w:val="0091434B"/>
    <w:rsid w:val="009147C7"/>
    <w:rsid w:val="00914DAC"/>
    <w:rsid w:val="0091658B"/>
    <w:rsid w:val="00916897"/>
    <w:rsid w:val="00916A4E"/>
    <w:rsid w:val="00917C77"/>
    <w:rsid w:val="00920123"/>
    <w:rsid w:val="0092062C"/>
    <w:rsid w:val="00923688"/>
    <w:rsid w:val="00923F12"/>
    <w:rsid w:val="00923F45"/>
    <w:rsid w:val="00924A43"/>
    <w:rsid w:val="00925081"/>
    <w:rsid w:val="00925568"/>
    <w:rsid w:val="00925CE7"/>
    <w:rsid w:val="00926822"/>
    <w:rsid w:val="009321A3"/>
    <w:rsid w:val="0093256A"/>
    <w:rsid w:val="00932858"/>
    <w:rsid w:val="009335F8"/>
    <w:rsid w:val="00933D94"/>
    <w:rsid w:val="00934559"/>
    <w:rsid w:val="00934A13"/>
    <w:rsid w:val="009365BB"/>
    <w:rsid w:val="009376C9"/>
    <w:rsid w:val="009378AB"/>
    <w:rsid w:val="00940482"/>
    <w:rsid w:val="00940862"/>
    <w:rsid w:val="009412F2"/>
    <w:rsid w:val="00942E67"/>
    <w:rsid w:val="009437D4"/>
    <w:rsid w:val="009441F4"/>
    <w:rsid w:val="00944439"/>
    <w:rsid w:val="00944490"/>
    <w:rsid w:val="00944585"/>
    <w:rsid w:val="009455C6"/>
    <w:rsid w:val="00945738"/>
    <w:rsid w:val="00945C7C"/>
    <w:rsid w:val="00946310"/>
    <w:rsid w:val="00947399"/>
    <w:rsid w:val="0095012E"/>
    <w:rsid w:val="009501F4"/>
    <w:rsid w:val="009502C5"/>
    <w:rsid w:val="009506D0"/>
    <w:rsid w:val="00950F61"/>
    <w:rsid w:val="00951E26"/>
    <w:rsid w:val="009527C7"/>
    <w:rsid w:val="00953E7B"/>
    <w:rsid w:val="0095659A"/>
    <w:rsid w:val="009569BB"/>
    <w:rsid w:val="0095731A"/>
    <w:rsid w:val="009578D2"/>
    <w:rsid w:val="00957D10"/>
    <w:rsid w:val="009605F4"/>
    <w:rsid w:val="00960D1F"/>
    <w:rsid w:val="00961061"/>
    <w:rsid w:val="0096179F"/>
    <w:rsid w:val="00961DCF"/>
    <w:rsid w:val="00962765"/>
    <w:rsid w:val="00962CB9"/>
    <w:rsid w:val="00964312"/>
    <w:rsid w:val="0096556E"/>
    <w:rsid w:val="00965F00"/>
    <w:rsid w:val="00966E29"/>
    <w:rsid w:val="0096712E"/>
    <w:rsid w:val="0096716B"/>
    <w:rsid w:val="00967368"/>
    <w:rsid w:val="0096762D"/>
    <w:rsid w:val="00967D1C"/>
    <w:rsid w:val="009704FE"/>
    <w:rsid w:val="00970F54"/>
    <w:rsid w:val="009714C3"/>
    <w:rsid w:val="009721D2"/>
    <w:rsid w:val="00972B66"/>
    <w:rsid w:val="00972EFF"/>
    <w:rsid w:val="009753DA"/>
    <w:rsid w:val="00975B47"/>
    <w:rsid w:val="009763BE"/>
    <w:rsid w:val="00976A6A"/>
    <w:rsid w:val="009771C8"/>
    <w:rsid w:val="009801AC"/>
    <w:rsid w:val="0098253D"/>
    <w:rsid w:val="00982CB3"/>
    <w:rsid w:val="00983E57"/>
    <w:rsid w:val="00984432"/>
    <w:rsid w:val="00987013"/>
    <w:rsid w:val="009871F1"/>
    <w:rsid w:val="009874C7"/>
    <w:rsid w:val="009875C5"/>
    <w:rsid w:val="00990126"/>
    <w:rsid w:val="00990756"/>
    <w:rsid w:val="00990FFC"/>
    <w:rsid w:val="009913C8"/>
    <w:rsid w:val="0099196F"/>
    <w:rsid w:val="0099247B"/>
    <w:rsid w:val="00992B72"/>
    <w:rsid w:val="00992FFA"/>
    <w:rsid w:val="009936C1"/>
    <w:rsid w:val="009942C4"/>
    <w:rsid w:val="00994C07"/>
    <w:rsid w:val="00996B1A"/>
    <w:rsid w:val="00996BE4"/>
    <w:rsid w:val="00997C07"/>
    <w:rsid w:val="00997C28"/>
    <w:rsid w:val="009A0B7B"/>
    <w:rsid w:val="009A10E9"/>
    <w:rsid w:val="009A144C"/>
    <w:rsid w:val="009A164D"/>
    <w:rsid w:val="009A1C5D"/>
    <w:rsid w:val="009A3382"/>
    <w:rsid w:val="009A422D"/>
    <w:rsid w:val="009A5151"/>
    <w:rsid w:val="009A59C6"/>
    <w:rsid w:val="009A6F5E"/>
    <w:rsid w:val="009A73E2"/>
    <w:rsid w:val="009A7AA7"/>
    <w:rsid w:val="009B003F"/>
    <w:rsid w:val="009B0A09"/>
    <w:rsid w:val="009B17DE"/>
    <w:rsid w:val="009B1C11"/>
    <w:rsid w:val="009B2696"/>
    <w:rsid w:val="009B2CDC"/>
    <w:rsid w:val="009B3E26"/>
    <w:rsid w:val="009B3F55"/>
    <w:rsid w:val="009B4806"/>
    <w:rsid w:val="009B5F0E"/>
    <w:rsid w:val="009B6B4F"/>
    <w:rsid w:val="009B7F70"/>
    <w:rsid w:val="009C00AF"/>
    <w:rsid w:val="009C11B5"/>
    <w:rsid w:val="009C14C4"/>
    <w:rsid w:val="009C1A89"/>
    <w:rsid w:val="009C24EA"/>
    <w:rsid w:val="009C3E64"/>
    <w:rsid w:val="009C4F29"/>
    <w:rsid w:val="009C4FA9"/>
    <w:rsid w:val="009C5663"/>
    <w:rsid w:val="009C5E11"/>
    <w:rsid w:val="009C6F9A"/>
    <w:rsid w:val="009C70A4"/>
    <w:rsid w:val="009C715A"/>
    <w:rsid w:val="009C751D"/>
    <w:rsid w:val="009C7DC5"/>
    <w:rsid w:val="009D0081"/>
    <w:rsid w:val="009D016A"/>
    <w:rsid w:val="009D01E8"/>
    <w:rsid w:val="009D06A5"/>
    <w:rsid w:val="009D0D16"/>
    <w:rsid w:val="009D1CE5"/>
    <w:rsid w:val="009D28BD"/>
    <w:rsid w:val="009D44B4"/>
    <w:rsid w:val="009D5B91"/>
    <w:rsid w:val="009D63F4"/>
    <w:rsid w:val="009D7270"/>
    <w:rsid w:val="009D763D"/>
    <w:rsid w:val="009E0018"/>
    <w:rsid w:val="009E0D84"/>
    <w:rsid w:val="009E1646"/>
    <w:rsid w:val="009E27B9"/>
    <w:rsid w:val="009E2C33"/>
    <w:rsid w:val="009E3A52"/>
    <w:rsid w:val="009E3ED1"/>
    <w:rsid w:val="009E42FD"/>
    <w:rsid w:val="009E4720"/>
    <w:rsid w:val="009E47DA"/>
    <w:rsid w:val="009E47DD"/>
    <w:rsid w:val="009E4899"/>
    <w:rsid w:val="009E4C07"/>
    <w:rsid w:val="009E5439"/>
    <w:rsid w:val="009E5606"/>
    <w:rsid w:val="009E7365"/>
    <w:rsid w:val="009E76B0"/>
    <w:rsid w:val="009E77A6"/>
    <w:rsid w:val="009E7BAD"/>
    <w:rsid w:val="009F02C5"/>
    <w:rsid w:val="009F0ABC"/>
    <w:rsid w:val="009F11C0"/>
    <w:rsid w:val="009F1AD2"/>
    <w:rsid w:val="009F26D2"/>
    <w:rsid w:val="009F362D"/>
    <w:rsid w:val="009F45B7"/>
    <w:rsid w:val="009F6A41"/>
    <w:rsid w:val="009F7890"/>
    <w:rsid w:val="009F7D14"/>
    <w:rsid w:val="00A006EE"/>
    <w:rsid w:val="00A0089B"/>
    <w:rsid w:val="00A00FBE"/>
    <w:rsid w:val="00A01A2F"/>
    <w:rsid w:val="00A02972"/>
    <w:rsid w:val="00A03D43"/>
    <w:rsid w:val="00A04380"/>
    <w:rsid w:val="00A05C55"/>
    <w:rsid w:val="00A066ED"/>
    <w:rsid w:val="00A0745C"/>
    <w:rsid w:val="00A13948"/>
    <w:rsid w:val="00A13DB8"/>
    <w:rsid w:val="00A14E5E"/>
    <w:rsid w:val="00A15478"/>
    <w:rsid w:val="00A1566E"/>
    <w:rsid w:val="00A1599B"/>
    <w:rsid w:val="00A15C88"/>
    <w:rsid w:val="00A16626"/>
    <w:rsid w:val="00A1687B"/>
    <w:rsid w:val="00A16C55"/>
    <w:rsid w:val="00A2045A"/>
    <w:rsid w:val="00A2103D"/>
    <w:rsid w:val="00A215BB"/>
    <w:rsid w:val="00A217F9"/>
    <w:rsid w:val="00A22B66"/>
    <w:rsid w:val="00A22DC6"/>
    <w:rsid w:val="00A25BD7"/>
    <w:rsid w:val="00A27AEC"/>
    <w:rsid w:val="00A27DE5"/>
    <w:rsid w:val="00A30E72"/>
    <w:rsid w:val="00A30FFC"/>
    <w:rsid w:val="00A31C19"/>
    <w:rsid w:val="00A324BF"/>
    <w:rsid w:val="00A32884"/>
    <w:rsid w:val="00A32ADA"/>
    <w:rsid w:val="00A34446"/>
    <w:rsid w:val="00A3467B"/>
    <w:rsid w:val="00A359E5"/>
    <w:rsid w:val="00A35C3C"/>
    <w:rsid w:val="00A35D16"/>
    <w:rsid w:val="00A35EC0"/>
    <w:rsid w:val="00A372A1"/>
    <w:rsid w:val="00A3754F"/>
    <w:rsid w:val="00A40426"/>
    <w:rsid w:val="00A405D2"/>
    <w:rsid w:val="00A40AB3"/>
    <w:rsid w:val="00A4145C"/>
    <w:rsid w:val="00A417C9"/>
    <w:rsid w:val="00A43C59"/>
    <w:rsid w:val="00A440B7"/>
    <w:rsid w:val="00A44800"/>
    <w:rsid w:val="00A44A6C"/>
    <w:rsid w:val="00A45877"/>
    <w:rsid w:val="00A45CCB"/>
    <w:rsid w:val="00A46032"/>
    <w:rsid w:val="00A46882"/>
    <w:rsid w:val="00A4713E"/>
    <w:rsid w:val="00A50998"/>
    <w:rsid w:val="00A50ECD"/>
    <w:rsid w:val="00A512C5"/>
    <w:rsid w:val="00A52729"/>
    <w:rsid w:val="00A53243"/>
    <w:rsid w:val="00A53675"/>
    <w:rsid w:val="00A53682"/>
    <w:rsid w:val="00A53A1C"/>
    <w:rsid w:val="00A53EF0"/>
    <w:rsid w:val="00A541BE"/>
    <w:rsid w:val="00A55052"/>
    <w:rsid w:val="00A5589E"/>
    <w:rsid w:val="00A56692"/>
    <w:rsid w:val="00A56B6A"/>
    <w:rsid w:val="00A56E1B"/>
    <w:rsid w:val="00A57820"/>
    <w:rsid w:val="00A578DC"/>
    <w:rsid w:val="00A60647"/>
    <w:rsid w:val="00A60B99"/>
    <w:rsid w:val="00A621ED"/>
    <w:rsid w:val="00A62900"/>
    <w:rsid w:val="00A62A41"/>
    <w:rsid w:val="00A63004"/>
    <w:rsid w:val="00A64734"/>
    <w:rsid w:val="00A64C7D"/>
    <w:rsid w:val="00A65078"/>
    <w:rsid w:val="00A650B1"/>
    <w:rsid w:val="00A6725B"/>
    <w:rsid w:val="00A6795A"/>
    <w:rsid w:val="00A67DE2"/>
    <w:rsid w:val="00A70BA9"/>
    <w:rsid w:val="00A73580"/>
    <w:rsid w:val="00A73BAF"/>
    <w:rsid w:val="00A768D8"/>
    <w:rsid w:val="00A76B62"/>
    <w:rsid w:val="00A772C2"/>
    <w:rsid w:val="00A77CC0"/>
    <w:rsid w:val="00A82612"/>
    <w:rsid w:val="00A833C8"/>
    <w:rsid w:val="00A84561"/>
    <w:rsid w:val="00A845AA"/>
    <w:rsid w:val="00A85085"/>
    <w:rsid w:val="00A85686"/>
    <w:rsid w:val="00A86800"/>
    <w:rsid w:val="00A8687A"/>
    <w:rsid w:val="00A86BA8"/>
    <w:rsid w:val="00A86E8B"/>
    <w:rsid w:val="00A872C7"/>
    <w:rsid w:val="00A876C5"/>
    <w:rsid w:val="00A87730"/>
    <w:rsid w:val="00A87826"/>
    <w:rsid w:val="00A9022B"/>
    <w:rsid w:val="00A90373"/>
    <w:rsid w:val="00A90E3C"/>
    <w:rsid w:val="00A92219"/>
    <w:rsid w:val="00A93072"/>
    <w:rsid w:val="00A93329"/>
    <w:rsid w:val="00A9358A"/>
    <w:rsid w:val="00A935AD"/>
    <w:rsid w:val="00A93994"/>
    <w:rsid w:val="00A93C1F"/>
    <w:rsid w:val="00A93CA9"/>
    <w:rsid w:val="00A94CAD"/>
    <w:rsid w:val="00A94D3B"/>
    <w:rsid w:val="00A959D8"/>
    <w:rsid w:val="00A95A78"/>
    <w:rsid w:val="00A95AB2"/>
    <w:rsid w:val="00A9785A"/>
    <w:rsid w:val="00AA00F1"/>
    <w:rsid w:val="00AA17E7"/>
    <w:rsid w:val="00AA1F6C"/>
    <w:rsid w:val="00AA20B5"/>
    <w:rsid w:val="00AA2C0E"/>
    <w:rsid w:val="00AA2FDB"/>
    <w:rsid w:val="00AA3154"/>
    <w:rsid w:val="00AA3DB8"/>
    <w:rsid w:val="00AA3F8B"/>
    <w:rsid w:val="00AA41BF"/>
    <w:rsid w:val="00AA4A97"/>
    <w:rsid w:val="00AA6785"/>
    <w:rsid w:val="00AA6985"/>
    <w:rsid w:val="00AA79F1"/>
    <w:rsid w:val="00AA7C59"/>
    <w:rsid w:val="00AB03CD"/>
    <w:rsid w:val="00AB042A"/>
    <w:rsid w:val="00AB1291"/>
    <w:rsid w:val="00AB13B1"/>
    <w:rsid w:val="00AB16D3"/>
    <w:rsid w:val="00AB2C1E"/>
    <w:rsid w:val="00AB2D34"/>
    <w:rsid w:val="00AB2E9E"/>
    <w:rsid w:val="00AB31B8"/>
    <w:rsid w:val="00AB327F"/>
    <w:rsid w:val="00AB3430"/>
    <w:rsid w:val="00AB3869"/>
    <w:rsid w:val="00AB5E02"/>
    <w:rsid w:val="00AB5E2D"/>
    <w:rsid w:val="00AB76E5"/>
    <w:rsid w:val="00AB77DD"/>
    <w:rsid w:val="00AB7CFA"/>
    <w:rsid w:val="00AC0DC3"/>
    <w:rsid w:val="00AC28F6"/>
    <w:rsid w:val="00AC2F10"/>
    <w:rsid w:val="00AC73E0"/>
    <w:rsid w:val="00AD05CB"/>
    <w:rsid w:val="00AD0872"/>
    <w:rsid w:val="00AD0F91"/>
    <w:rsid w:val="00AD22BC"/>
    <w:rsid w:val="00AD2A26"/>
    <w:rsid w:val="00AD3372"/>
    <w:rsid w:val="00AD3EBF"/>
    <w:rsid w:val="00AD48B3"/>
    <w:rsid w:val="00AD4EAF"/>
    <w:rsid w:val="00AD562F"/>
    <w:rsid w:val="00AD5797"/>
    <w:rsid w:val="00AD5A7C"/>
    <w:rsid w:val="00AD7D60"/>
    <w:rsid w:val="00AE0143"/>
    <w:rsid w:val="00AE0610"/>
    <w:rsid w:val="00AE0665"/>
    <w:rsid w:val="00AE0AA1"/>
    <w:rsid w:val="00AE0BA4"/>
    <w:rsid w:val="00AE104B"/>
    <w:rsid w:val="00AE185D"/>
    <w:rsid w:val="00AE2D19"/>
    <w:rsid w:val="00AE3142"/>
    <w:rsid w:val="00AE35C6"/>
    <w:rsid w:val="00AE3A03"/>
    <w:rsid w:val="00AE4212"/>
    <w:rsid w:val="00AE4FD7"/>
    <w:rsid w:val="00AE5AA9"/>
    <w:rsid w:val="00AE5E7E"/>
    <w:rsid w:val="00AE7716"/>
    <w:rsid w:val="00AF1613"/>
    <w:rsid w:val="00AF1E8D"/>
    <w:rsid w:val="00AF25C2"/>
    <w:rsid w:val="00AF4214"/>
    <w:rsid w:val="00AF5287"/>
    <w:rsid w:val="00AF6420"/>
    <w:rsid w:val="00AF6F32"/>
    <w:rsid w:val="00AF7257"/>
    <w:rsid w:val="00AF732A"/>
    <w:rsid w:val="00AF7ECA"/>
    <w:rsid w:val="00AF7F54"/>
    <w:rsid w:val="00B0061F"/>
    <w:rsid w:val="00B018F3"/>
    <w:rsid w:val="00B033E0"/>
    <w:rsid w:val="00B03D94"/>
    <w:rsid w:val="00B03E77"/>
    <w:rsid w:val="00B05159"/>
    <w:rsid w:val="00B05793"/>
    <w:rsid w:val="00B05C54"/>
    <w:rsid w:val="00B05C7F"/>
    <w:rsid w:val="00B0619D"/>
    <w:rsid w:val="00B0732D"/>
    <w:rsid w:val="00B111A7"/>
    <w:rsid w:val="00B11524"/>
    <w:rsid w:val="00B11EFE"/>
    <w:rsid w:val="00B1248F"/>
    <w:rsid w:val="00B126EF"/>
    <w:rsid w:val="00B14861"/>
    <w:rsid w:val="00B155BF"/>
    <w:rsid w:val="00B15CFA"/>
    <w:rsid w:val="00B15E72"/>
    <w:rsid w:val="00B169D3"/>
    <w:rsid w:val="00B16ADE"/>
    <w:rsid w:val="00B16F53"/>
    <w:rsid w:val="00B20314"/>
    <w:rsid w:val="00B203AD"/>
    <w:rsid w:val="00B20799"/>
    <w:rsid w:val="00B2095D"/>
    <w:rsid w:val="00B20F1E"/>
    <w:rsid w:val="00B21B6C"/>
    <w:rsid w:val="00B222C4"/>
    <w:rsid w:val="00B231BC"/>
    <w:rsid w:val="00B24754"/>
    <w:rsid w:val="00B2477C"/>
    <w:rsid w:val="00B25477"/>
    <w:rsid w:val="00B25CBD"/>
    <w:rsid w:val="00B25D62"/>
    <w:rsid w:val="00B26A74"/>
    <w:rsid w:val="00B26CBE"/>
    <w:rsid w:val="00B26D90"/>
    <w:rsid w:val="00B26E7F"/>
    <w:rsid w:val="00B26E88"/>
    <w:rsid w:val="00B2738F"/>
    <w:rsid w:val="00B2747F"/>
    <w:rsid w:val="00B3262A"/>
    <w:rsid w:val="00B32EA1"/>
    <w:rsid w:val="00B336F4"/>
    <w:rsid w:val="00B34224"/>
    <w:rsid w:val="00B345F9"/>
    <w:rsid w:val="00B347E2"/>
    <w:rsid w:val="00B35302"/>
    <w:rsid w:val="00B357EB"/>
    <w:rsid w:val="00B35A0A"/>
    <w:rsid w:val="00B368CC"/>
    <w:rsid w:val="00B36FAF"/>
    <w:rsid w:val="00B37B79"/>
    <w:rsid w:val="00B37FEB"/>
    <w:rsid w:val="00B40A83"/>
    <w:rsid w:val="00B41B30"/>
    <w:rsid w:val="00B42851"/>
    <w:rsid w:val="00B42977"/>
    <w:rsid w:val="00B43A39"/>
    <w:rsid w:val="00B43C55"/>
    <w:rsid w:val="00B45448"/>
    <w:rsid w:val="00B45567"/>
    <w:rsid w:val="00B4653C"/>
    <w:rsid w:val="00B505EA"/>
    <w:rsid w:val="00B50CFF"/>
    <w:rsid w:val="00B50DB8"/>
    <w:rsid w:val="00B51439"/>
    <w:rsid w:val="00B519A6"/>
    <w:rsid w:val="00B5291F"/>
    <w:rsid w:val="00B52A9E"/>
    <w:rsid w:val="00B5317F"/>
    <w:rsid w:val="00B535CE"/>
    <w:rsid w:val="00B53905"/>
    <w:rsid w:val="00B5484F"/>
    <w:rsid w:val="00B54B5B"/>
    <w:rsid w:val="00B5562E"/>
    <w:rsid w:val="00B556DC"/>
    <w:rsid w:val="00B56606"/>
    <w:rsid w:val="00B56BBC"/>
    <w:rsid w:val="00B57000"/>
    <w:rsid w:val="00B57B2B"/>
    <w:rsid w:val="00B6058E"/>
    <w:rsid w:val="00B605D0"/>
    <w:rsid w:val="00B60939"/>
    <w:rsid w:val="00B60AFD"/>
    <w:rsid w:val="00B61517"/>
    <w:rsid w:val="00B61AA4"/>
    <w:rsid w:val="00B62715"/>
    <w:rsid w:val="00B62E1F"/>
    <w:rsid w:val="00B64618"/>
    <w:rsid w:val="00B65FDB"/>
    <w:rsid w:val="00B66182"/>
    <w:rsid w:val="00B66385"/>
    <w:rsid w:val="00B66B36"/>
    <w:rsid w:val="00B67BAD"/>
    <w:rsid w:val="00B67D19"/>
    <w:rsid w:val="00B67E18"/>
    <w:rsid w:val="00B70547"/>
    <w:rsid w:val="00B70556"/>
    <w:rsid w:val="00B70847"/>
    <w:rsid w:val="00B70D3C"/>
    <w:rsid w:val="00B719C0"/>
    <w:rsid w:val="00B71CE8"/>
    <w:rsid w:val="00B7246B"/>
    <w:rsid w:val="00B72586"/>
    <w:rsid w:val="00B728D1"/>
    <w:rsid w:val="00B72CD0"/>
    <w:rsid w:val="00B73BA2"/>
    <w:rsid w:val="00B73D95"/>
    <w:rsid w:val="00B73F4A"/>
    <w:rsid w:val="00B741FC"/>
    <w:rsid w:val="00B74FA7"/>
    <w:rsid w:val="00B750F3"/>
    <w:rsid w:val="00B75390"/>
    <w:rsid w:val="00B757CF"/>
    <w:rsid w:val="00B757ED"/>
    <w:rsid w:val="00B75DE1"/>
    <w:rsid w:val="00B75F9C"/>
    <w:rsid w:val="00B770FF"/>
    <w:rsid w:val="00B77C0A"/>
    <w:rsid w:val="00B80B65"/>
    <w:rsid w:val="00B81026"/>
    <w:rsid w:val="00B8128B"/>
    <w:rsid w:val="00B818A4"/>
    <w:rsid w:val="00B818E0"/>
    <w:rsid w:val="00B82254"/>
    <w:rsid w:val="00B83026"/>
    <w:rsid w:val="00B83C4F"/>
    <w:rsid w:val="00B846C3"/>
    <w:rsid w:val="00B84C17"/>
    <w:rsid w:val="00B84DA4"/>
    <w:rsid w:val="00B8649C"/>
    <w:rsid w:val="00B86D23"/>
    <w:rsid w:val="00B87A86"/>
    <w:rsid w:val="00B87C56"/>
    <w:rsid w:val="00B87D0B"/>
    <w:rsid w:val="00B87EA6"/>
    <w:rsid w:val="00B9005A"/>
    <w:rsid w:val="00B905C1"/>
    <w:rsid w:val="00B90C1E"/>
    <w:rsid w:val="00B90E0B"/>
    <w:rsid w:val="00B92C47"/>
    <w:rsid w:val="00B92D0B"/>
    <w:rsid w:val="00B93585"/>
    <w:rsid w:val="00B948F0"/>
    <w:rsid w:val="00B94945"/>
    <w:rsid w:val="00B95788"/>
    <w:rsid w:val="00B9626B"/>
    <w:rsid w:val="00B96DB7"/>
    <w:rsid w:val="00B970D8"/>
    <w:rsid w:val="00B977B9"/>
    <w:rsid w:val="00B97EBD"/>
    <w:rsid w:val="00B97ED4"/>
    <w:rsid w:val="00BA081A"/>
    <w:rsid w:val="00BA1498"/>
    <w:rsid w:val="00BA211D"/>
    <w:rsid w:val="00BA3352"/>
    <w:rsid w:val="00BA3873"/>
    <w:rsid w:val="00BA3BB6"/>
    <w:rsid w:val="00BA3E13"/>
    <w:rsid w:val="00BA3E5E"/>
    <w:rsid w:val="00BA3E85"/>
    <w:rsid w:val="00BA3FBC"/>
    <w:rsid w:val="00BA5048"/>
    <w:rsid w:val="00BA5107"/>
    <w:rsid w:val="00BA5AD0"/>
    <w:rsid w:val="00BA5B68"/>
    <w:rsid w:val="00BA6812"/>
    <w:rsid w:val="00BA6C12"/>
    <w:rsid w:val="00BA73F4"/>
    <w:rsid w:val="00BB0192"/>
    <w:rsid w:val="00BB0A0C"/>
    <w:rsid w:val="00BB0E7E"/>
    <w:rsid w:val="00BB199D"/>
    <w:rsid w:val="00BB34EC"/>
    <w:rsid w:val="00BB3757"/>
    <w:rsid w:val="00BB3B67"/>
    <w:rsid w:val="00BB4010"/>
    <w:rsid w:val="00BB412A"/>
    <w:rsid w:val="00BB42E5"/>
    <w:rsid w:val="00BB4BB3"/>
    <w:rsid w:val="00BB606B"/>
    <w:rsid w:val="00BB636F"/>
    <w:rsid w:val="00BB7322"/>
    <w:rsid w:val="00BB7405"/>
    <w:rsid w:val="00BB7E32"/>
    <w:rsid w:val="00BC070D"/>
    <w:rsid w:val="00BC0977"/>
    <w:rsid w:val="00BC0F57"/>
    <w:rsid w:val="00BC1640"/>
    <w:rsid w:val="00BC1650"/>
    <w:rsid w:val="00BC170E"/>
    <w:rsid w:val="00BC179D"/>
    <w:rsid w:val="00BC1B5E"/>
    <w:rsid w:val="00BC2D35"/>
    <w:rsid w:val="00BC3DAE"/>
    <w:rsid w:val="00BC5FA3"/>
    <w:rsid w:val="00BC6BC3"/>
    <w:rsid w:val="00BC6F50"/>
    <w:rsid w:val="00BC70D2"/>
    <w:rsid w:val="00BD0B37"/>
    <w:rsid w:val="00BD1420"/>
    <w:rsid w:val="00BD1D70"/>
    <w:rsid w:val="00BD2038"/>
    <w:rsid w:val="00BD31CB"/>
    <w:rsid w:val="00BD3AF2"/>
    <w:rsid w:val="00BD4B69"/>
    <w:rsid w:val="00BD4FA5"/>
    <w:rsid w:val="00BD597C"/>
    <w:rsid w:val="00BD5E4E"/>
    <w:rsid w:val="00BD670E"/>
    <w:rsid w:val="00BD6CF3"/>
    <w:rsid w:val="00BD72BB"/>
    <w:rsid w:val="00BD7C41"/>
    <w:rsid w:val="00BE0311"/>
    <w:rsid w:val="00BE1DC4"/>
    <w:rsid w:val="00BE211D"/>
    <w:rsid w:val="00BE2180"/>
    <w:rsid w:val="00BE2389"/>
    <w:rsid w:val="00BE2AB3"/>
    <w:rsid w:val="00BE2B43"/>
    <w:rsid w:val="00BE3732"/>
    <w:rsid w:val="00BE400A"/>
    <w:rsid w:val="00BE4275"/>
    <w:rsid w:val="00BE46B2"/>
    <w:rsid w:val="00BE585D"/>
    <w:rsid w:val="00BE60E6"/>
    <w:rsid w:val="00BE62AC"/>
    <w:rsid w:val="00BE73F0"/>
    <w:rsid w:val="00BE769B"/>
    <w:rsid w:val="00BF1B68"/>
    <w:rsid w:val="00BF1FD1"/>
    <w:rsid w:val="00BF2433"/>
    <w:rsid w:val="00BF2475"/>
    <w:rsid w:val="00BF2DB3"/>
    <w:rsid w:val="00BF4163"/>
    <w:rsid w:val="00BF4ED8"/>
    <w:rsid w:val="00BF6075"/>
    <w:rsid w:val="00BF61C9"/>
    <w:rsid w:val="00C00A48"/>
    <w:rsid w:val="00C01D5F"/>
    <w:rsid w:val="00C028B6"/>
    <w:rsid w:val="00C03207"/>
    <w:rsid w:val="00C03FD9"/>
    <w:rsid w:val="00C04A3D"/>
    <w:rsid w:val="00C057BF"/>
    <w:rsid w:val="00C06184"/>
    <w:rsid w:val="00C07034"/>
    <w:rsid w:val="00C0717E"/>
    <w:rsid w:val="00C078DA"/>
    <w:rsid w:val="00C10420"/>
    <w:rsid w:val="00C1090C"/>
    <w:rsid w:val="00C10AD2"/>
    <w:rsid w:val="00C11FEB"/>
    <w:rsid w:val="00C1349C"/>
    <w:rsid w:val="00C140C8"/>
    <w:rsid w:val="00C142F8"/>
    <w:rsid w:val="00C1433C"/>
    <w:rsid w:val="00C1482F"/>
    <w:rsid w:val="00C14DC5"/>
    <w:rsid w:val="00C14FCF"/>
    <w:rsid w:val="00C151AB"/>
    <w:rsid w:val="00C157E7"/>
    <w:rsid w:val="00C15EF1"/>
    <w:rsid w:val="00C16BC8"/>
    <w:rsid w:val="00C17385"/>
    <w:rsid w:val="00C2005D"/>
    <w:rsid w:val="00C2052D"/>
    <w:rsid w:val="00C20EC3"/>
    <w:rsid w:val="00C216C3"/>
    <w:rsid w:val="00C21EA7"/>
    <w:rsid w:val="00C223FB"/>
    <w:rsid w:val="00C22E85"/>
    <w:rsid w:val="00C23429"/>
    <w:rsid w:val="00C23CEE"/>
    <w:rsid w:val="00C241FE"/>
    <w:rsid w:val="00C243B1"/>
    <w:rsid w:val="00C24FE2"/>
    <w:rsid w:val="00C25418"/>
    <w:rsid w:val="00C256EF"/>
    <w:rsid w:val="00C25D9C"/>
    <w:rsid w:val="00C2656B"/>
    <w:rsid w:val="00C2705B"/>
    <w:rsid w:val="00C27446"/>
    <w:rsid w:val="00C3068D"/>
    <w:rsid w:val="00C31649"/>
    <w:rsid w:val="00C32373"/>
    <w:rsid w:val="00C32C9E"/>
    <w:rsid w:val="00C33FEA"/>
    <w:rsid w:val="00C34088"/>
    <w:rsid w:val="00C34969"/>
    <w:rsid w:val="00C34C0A"/>
    <w:rsid w:val="00C3508B"/>
    <w:rsid w:val="00C350DF"/>
    <w:rsid w:val="00C3540F"/>
    <w:rsid w:val="00C3582A"/>
    <w:rsid w:val="00C361F8"/>
    <w:rsid w:val="00C36700"/>
    <w:rsid w:val="00C36713"/>
    <w:rsid w:val="00C36EDC"/>
    <w:rsid w:val="00C37039"/>
    <w:rsid w:val="00C374DF"/>
    <w:rsid w:val="00C40385"/>
    <w:rsid w:val="00C40A3C"/>
    <w:rsid w:val="00C42462"/>
    <w:rsid w:val="00C425CB"/>
    <w:rsid w:val="00C42D1E"/>
    <w:rsid w:val="00C448B6"/>
    <w:rsid w:val="00C46164"/>
    <w:rsid w:val="00C46D64"/>
    <w:rsid w:val="00C47507"/>
    <w:rsid w:val="00C50A85"/>
    <w:rsid w:val="00C5204F"/>
    <w:rsid w:val="00C5252E"/>
    <w:rsid w:val="00C5284C"/>
    <w:rsid w:val="00C52934"/>
    <w:rsid w:val="00C52A2C"/>
    <w:rsid w:val="00C53273"/>
    <w:rsid w:val="00C53BB1"/>
    <w:rsid w:val="00C54590"/>
    <w:rsid w:val="00C54D38"/>
    <w:rsid w:val="00C55942"/>
    <w:rsid w:val="00C5673C"/>
    <w:rsid w:val="00C56BDF"/>
    <w:rsid w:val="00C57535"/>
    <w:rsid w:val="00C60659"/>
    <w:rsid w:val="00C62459"/>
    <w:rsid w:val="00C6301D"/>
    <w:rsid w:val="00C64F35"/>
    <w:rsid w:val="00C65576"/>
    <w:rsid w:val="00C65A1B"/>
    <w:rsid w:val="00C66165"/>
    <w:rsid w:val="00C66355"/>
    <w:rsid w:val="00C668F0"/>
    <w:rsid w:val="00C66D48"/>
    <w:rsid w:val="00C677C5"/>
    <w:rsid w:val="00C7025C"/>
    <w:rsid w:val="00C70E36"/>
    <w:rsid w:val="00C70FE7"/>
    <w:rsid w:val="00C71EF7"/>
    <w:rsid w:val="00C74344"/>
    <w:rsid w:val="00C74B84"/>
    <w:rsid w:val="00C74BAB"/>
    <w:rsid w:val="00C750C8"/>
    <w:rsid w:val="00C75454"/>
    <w:rsid w:val="00C77072"/>
    <w:rsid w:val="00C77B59"/>
    <w:rsid w:val="00C80D55"/>
    <w:rsid w:val="00C81A02"/>
    <w:rsid w:val="00C81B36"/>
    <w:rsid w:val="00C81C2A"/>
    <w:rsid w:val="00C8213F"/>
    <w:rsid w:val="00C83D14"/>
    <w:rsid w:val="00C8438F"/>
    <w:rsid w:val="00C854BF"/>
    <w:rsid w:val="00C8668B"/>
    <w:rsid w:val="00C8797A"/>
    <w:rsid w:val="00C90445"/>
    <w:rsid w:val="00C9055F"/>
    <w:rsid w:val="00C905DB"/>
    <w:rsid w:val="00C90FCC"/>
    <w:rsid w:val="00C9269C"/>
    <w:rsid w:val="00C938CF"/>
    <w:rsid w:val="00C93FC3"/>
    <w:rsid w:val="00C94474"/>
    <w:rsid w:val="00C95A8D"/>
    <w:rsid w:val="00C95AD4"/>
    <w:rsid w:val="00C95AEA"/>
    <w:rsid w:val="00C97C49"/>
    <w:rsid w:val="00CA067D"/>
    <w:rsid w:val="00CA09ED"/>
    <w:rsid w:val="00CA1953"/>
    <w:rsid w:val="00CA1E0A"/>
    <w:rsid w:val="00CA207E"/>
    <w:rsid w:val="00CA2F9E"/>
    <w:rsid w:val="00CA3246"/>
    <w:rsid w:val="00CA3B01"/>
    <w:rsid w:val="00CA43C8"/>
    <w:rsid w:val="00CA49B9"/>
    <w:rsid w:val="00CA5245"/>
    <w:rsid w:val="00CA5316"/>
    <w:rsid w:val="00CA6720"/>
    <w:rsid w:val="00CA79B4"/>
    <w:rsid w:val="00CA7B09"/>
    <w:rsid w:val="00CB0135"/>
    <w:rsid w:val="00CB037F"/>
    <w:rsid w:val="00CB0440"/>
    <w:rsid w:val="00CB0679"/>
    <w:rsid w:val="00CB0AC4"/>
    <w:rsid w:val="00CB1CB9"/>
    <w:rsid w:val="00CB21D6"/>
    <w:rsid w:val="00CB287D"/>
    <w:rsid w:val="00CB3FCD"/>
    <w:rsid w:val="00CB40CE"/>
    <w:rsid w:val="00CB4CFE"/>
    <w:rsid w:val="00CB5086"/>
    <w:rsid w:val="00CB5B1A"/>
    <w:rsid w:val="00CB6898"/>
    <w:rsid w:val="00CB6ED6"/>
    <w:rsid w:val="00CB7560"/>
    <w:rsid w:val="00CC0552"/>
    <w:rsid w:val="00CC13FC"/>
    <w:rsid w:val="00CC2037"/>
    <w:rsid w:val="00CC32AC"/>
    <w:rsid w:val="00CC416C"/>
    <w:rsid w:val="00CC51FF"/>
    <w:rsid w:val="00CC5774"/>
    <w:rsid w:val="00CC7586"/>
    <w:rsid w:val="00CD085A"/>
    <w:rsid w:val="00CD0CC6"/>
    <w:rsid w:val="00CD0D1F"/>
    <w:rsid w:val="00CD15EF"/>
    <w:rsid w:val="00CD3B75"/>
    <w:rsid w:val="00CD5F78"/>
    <w:rsid w:val="00CD69C8"/>
    <w:rsid w:val="00CD6AA9"/>
    <w:rsid w:val="00CD6ADC"/>
    <w:rsid w:val="00CD73F5"/>
    <w:rsid w:val="00CE0332"/>
    <w:rsid w:val="00CE2325"/>
    <w:rsid w:val="00CE2590"/>
    <w:rsid w:val="00CE270E"/>
    <w:rsid w:val="00CE3D34"/>
    <w:rsid w:val="00CE4D7D"/>
    <w:rsid w:val="00CE5093"/>
    <w:rsid w:val="00CE5A0C"/>
    <w:rsid w:val="00CE6274"/>
    <w:rsid w:val="00CE7BE2"/>
    <w:rsid w:val="00CF02BA"/>
    <w:rsid w:val="00CF03FE"/>
    <w:rsid w:val="00CF082C"/>
    <w:rsid w:val="00CF088B"/>
    <w:rsid w:val="00CF0F27"/>
    <w:rsid w:val="00CF1175"/>
    <w:rsid w:val="00CF1573"/>
    <w:rsid w:val="00CF456B"/>
    <w:rsid w:val="00CF4775"/>
    <w:rsid w:val="00CF5A22"/>
    <w:rsid w:val="00CF5FFC"/>
    <w:rsid w:val="00D01A1A"/>
    <w:rsid w:val="00D01BFE"/>
    <w:rsid w:val="00D0236C"/>
    <w:rsid w:val="00D0262E"/>
    <w:rsid w:val="00D02F32"/>
    <w:rsid w:val="00D03927"/>
    <w:rsid w:val="00D03B02"/>
    <w:rsid w:val="00D03D17"/>
    <w:rsid w:val="00D04595"/>
    <w:rsid w:val="00D04B88"/>
    <w:rsid w:val="00D066F8"/>
    <w:rsid w:val="00D06DF6"/>
    <w:rsid w:val="00D073E2"/>
    <w:rsid w:val="00D0740C"/>
    <w:rsid w:val="00D0758B"/>
    <w:rsid w:val="00D10DAB"/>
    <w:rsid w:val="00D110BD"/>
    <w:rsid w:val="00D12EA0"/>
    <w:rsid w:val="00D14987"/>
    <w:rsid w:val="00D14B27"/>
    <w:rsid w:val="00D14D28"/>
    <w:rsid w:val="00D1534D"/>
    <w:rsid w:val="00D17D6C"/>
    <w:rsid w:val="00D2022C"/>
    <w:rsid w:val="00D211EB"/>
    <w:rsid w:val="00D21E09"/>
    <w:rsid w:val="00D22E6D"/>
    <w:rsid w:val="00D22FC4"/>
    <w:rsid w:val="00D24770"/>
    <w:rsid w:val="00D25195"/>
    <w:rsid w:val="00D258AF"/>
    <w:rsid w:val="00D26249"/>
    <w:rsid w:val="00D26597"/>
    <w:rsid w:val="00D31CAF"/>
    <w:rsid w:val="00D33470"/>
    <w:rsid w:val="00D357FF"/>
    <w:rsid w:val="00D359F5"/>
    <w:rsid w:val="00D373D6"/>
    <w:rsid w:val="00D375F4"/>
    <w:rsid w:val="00D419B9"/>
    <w:rsid w:val="00D4272A"/>
    <w:rsid w:val="00D43562"/>
    <w:rsid w:val="00D445AD"/>
    <w:rsid w:val="00D45490"/>
    <w:rsid w:val="00D459FE"/>
    <w:rsid w:val="00D45CC6"/>
    <w:rsid w:val="00D46174"/>
    <w:rsid w:val="00D46889"/>
    <w:rsid w:val="00D4771A"/>
    <w:rsid w:val="00D506BB"/>
    <w:rsid w:val="00D50B9E"/>
    <w:rsid w:val="00D50C3C"/>
    <w:rsid w:val="00D52706"/>
    <w:rsid w:val="00D56A51"/>
    <w:rsid w:val="00D56B9D"/>
    <w:rsid w:val="00D5785A"/>
    <w:rsid w:val="00D57A4F"/>
    <w:rsid w:val="00D57EA4"/>
    <w:rsid w:val="00D600D2"/>
    <w:rsid w:val="00D606C2"/>
    <w:rsid w:val="00D61452"/>
    <w:rsid w:val="00D620BC"/>
    <w:rsid w:val="00D628AA"/>
    <w:rsid w:val="00D62E41"/>
    <w:rsid w:val="00D639FF"/>
    <w:rsid w:val="00D63E14"/>
    <w:rsid w:val="00D6748E"/>
    <w:rsid w:val="00D67525"/>
    <w:rsid w:val="00D6753E"/>
    <w:rsid w:val="00D703FF"/>
    <w:rsid w:val="00D71187"/>
    <w:rsid w:val="00D73630"/>
    <w:rsid w:val="00D75529"/>
    <w:rsid w:val="00D75B35"/>
    <w:rsid w:val="00D768A8"/>
    <w:rsid w:val="00D76A44"/>
    <w:rsid w:val="00D76AF4"/>
    <w:rsid w:val="00D76CC5"/>
    <w:rsid w:val="00D771DE"/>
    <w:rsid w:val="00D80644"/>
    <w:rsid w:val="00D80B79"/>
    <w:rsid w:val="00D82816"/>
    <w:rsid w:val="00D82BEF"/>
    <w:rsid w:val="00D84106"/>
    <w:rsid w:val="00D84A39"/>
    <w:rsid w:val="00D84ACD"/>
    <w:rsid w:val="00D850D8"/>
    <w:rsid w:val="00D85ADE"/>
    <w:rsid w:val="00D85E57"/>
    <w:rsid w:val="00D8635A"/>
    <w:rsid w:val="00D869CB"/>
    <w:rsid w:val="00D86A58"/>
    <w:rsid w:val="00D86BD6"/>
    <w:rsid w:val="00D871B7"/>
    <w:rsid w:val="00D87D0E"/>
    <w:rsid w:val="00D902DC"/>
    <w:rsid w:val="00D90B3E"/>
    <w:rsid w:val="00D90F8E"/>
    <w:rsid w:val="00D918AC"/>
    <w:rsid w:val="00D91981"/>
    <w:rsid w:val="00D92903"/>
    <w:rsid w:val="00D93753"/>
    <w:rsid w:val="00D94664"/>
    <w:rsid w:val="00D94FCF"/>
    <w:rsid w:val="00D953B9"/>
    <w:rsid w:val="00D95840"/>
    <w:rsid w:val="00D95D5F"/>
    <w:rsid w:val="00DA06D9"/>
    <w:rsid w:val="00DA0E9C"/>
    <w:rsid w:val="00DA1980"/>
    <w:rsid w:val="00DA1E94"/>
    <w:rsid w:val="00DA4BE6"/>
    <w:rsid w:val="00DA5A5F"/>
    <w:rsid w:val="00DA5B8C"/>
    <w:rsid w:val="00DA6620"/>
    <w:rsid w:val="00DA77A5"/>
    <w:rsid w:val="00DA7946"/>
    <w:rsid w:val="00DA7A87"/>
    <w:rsid w:val="00DB17A8"/>
    <w:rsid w:val="00DB18A3"/>
    <w:rsid w:val="00DB259A"/>
    <w:rsid w:val="00DB4276"/>
    <w:rsid w:val="00DB43CA"/>
    <w:rsid w:val="00DB4B48"/>
    <w:rsid w:val="00DB4C8C"/>
    <w:rsid w:val="00DB4E84"/>
    <w:rsid w:val="00DB5877"/>
    <w:rsid w:val="00DB6555"/>
    <w:rsid w:val="00DB670F"/>
    <w:rsid w:val="00DB6C56"/>
    <w:rsid w:val="00DB6DFE"/>
    <w:rsid w:val="00DC03C7"/>
    <w:rsid w:val="00DC0E34"/>
    <w:rsid w:val="00DC1BE9"/>
    <w:rsid w:val="00DC3267"/>
    <w:rsid w:val="00DC37D1"/>
    <w:rsid w:val="00DC5501"/>
    <w:rsid w:val="00DC5745"/>
    <w:rsid w:val="00DC5795"/>
    <w:rsid w:val="00DC645C"/>
    <w:rsid w:val="00DC739D"/>
    <w:rsid w:val="00DC7481"/>
    <w:rsid w:val="00DC7B4B"/>
    <w:rsid w:val="00DD0D03"/>
    <w:rsid w:val="00DD0E73"/>
    <w:rsid w:val="00DD21CE"/>
    <w:rsid w:val="00DD2D1F"/>
    <w:rsid w:val="00DD3F28"/>
    <w:rsid w:val="00DD4537"/>
    <w:rsid w:val="00DD46F2"/>
    <w:rsid w:val="00DD4B6E"/>
    <w:rsid w:val="00DD4D50"/>
    <w:rsid w:val="00DD4E15"/>
    <w:rsid w:val="00DD5403"/>
    <w:rsid w:val="00DD62B1"/>
    <w:rsid w:val="00DE05E5"/>
    <w:rsid w:val="00DE0B0A"/>
    <w:rsid w:val="00DE1C4E"/>
    <w:rsid w:val="00DE3439"/>
    <w:rsid w:val="00DE4FCB"/>
    <w:rsid w:val="00DE5185"/>
    <w:rsid w:val="00DE6208"/>
    <w:rsid w:val="00DE63C3"/>
    <w:rsid w:val="00DE6B5D"/>
    <w:rsid w:val="00DE6D1D"/>
    <w:rsid w:val="00DE6E58"/>
    <w:rsid w:val="00DE6ECD"/>
    <w:rsid w:val="00DF004D"/>
    <w:rsid w:val="00DF01C9"/>
    <w:rsid w:val="00DF11EB"/>
    <w:rsid w:val="00DF1EE0"/>
    <w:rsid w:val="00DF2376"/>
    <w:rsid w:val="00DF2F81"/>
    <w:rsid w:val="00DF4667"/>
    <w:rsid w:val="00DF59A3"/>
    <w:rsid w:val="00DF5D2B"/>
    <w:rsid w:val="00DF5EAA"/>
    <w:rsid w:val="00DF69E5"/>
    <w:rsid w:val="00DF6DBF"/>
    <w:rsid w:val="00DF7D36"/>
    <w:rsid w:val="00E01BC8"/>
    <w:rsid w:val="00E0200A"/>
    <w:rsid w:val="00E02346"/>
    <w:rsid w:val="00E027A7"/>
    <w:rsid w:val="00E04187"/>
    <w:rsid w:val="00E0486D"/>
    <w:rsid w:val="00E0681B"/>
    <w:rsid w:val="00E07529"/>
    <w:rsid w:val="00E07BF5"/>
    <w:rsid w:val="00E07D79"/>
    <w:rsid w:val="00E10149"/>
    <w:rsid w:val="00E11D48"/>
    <w:rsid w:val="00E131B9"/>
    <w:rsid w:val="00E13262"/>
    <w:rsid w:val="00E132CF"/>
    <w:rsid w:val="00E14250"/>
    <w:rsid w:val="00E14FA8"/>
    <w:rsid w:val="00E16138"/>
    <w:rsid w:val="00E16372"/>
    <w:rsid w:val="00E16973"/>
    <w:rsid w:val="00E17433"/>
    <w:rsid w:val="00E17E2E"/>
    <w:rsid w:val="00E17EAD"/>
    <w:rsid w:val="00E17F39"/>
    <w:rsid w:val="00E2060E"/>
    <w:rsid w:val="00E20A48"/>
    <w:rsid w:val="00E20ED6"/>
    <w:rsid w:val="00E21358"/>
    <w:rsid w:val="00E2249B"/>
    <w:rsid w:val="00E22A0D"/>
    <w:rsid w:val="00E25263"/>
    <w:rsid w:val="00E25298"/>
    <w:rsid w:val="00E25A7E"/>
    <w:rsid w:val="00E26F3B"/>
    <w:rsid w:val="00E276BE"/>
    <w:rsid w:val="00E2771E"/>
    <w:rsid w:val="00E30C4D"/>
    <w:rsid w:val="00E30C76"/>
    <w:rsid w:val="00E31CA5"/>
    <w:rsid w:val="00E32569"/>
    <w:rsid w:val="00E32A40"/>
    <w:rsid w:val="00E32D51"/>
    <w:rsid w:val="00E32F35"/>
    <w:rsid w:val="00E330FF"/>
    <w:rsid w:val="00E336AB"/>
    <w:rsid w:val="00E33961"/>
    <w:rsid w:val="00E34F48"/>
    <w:rsid w:val="00E37569"/>
    <w:rsid w:val="00E40457"/>
    <w:rsid w:val="00E4053D"/>
    <w:rsid w:val="00E40814"/>
    <w:rsid w:val="00E41E30"/>
    <w:rsid w:val="00E43451"/>
    <w:rsid w:val="00E438FF"/>
    <w:rsid w:val="00E43D70"/>
    <w:rsid w:val="00E43F70"/>
    <w:rsid w:val="00E44C4D"/>
    <w:rsid w:val="00E44CD6"/>
    <w:rsid w:val="00E45A8C"/>
    <w:rsid w:val="00E47B2C"/>
    <w:rsid w:val="00E5073C"/>
    <w:rsid w:val="00E51560"/>
    <w:rsid w:val="00E51ED1"/>
    <w:rsid w:val="00E52E52"/>
    <w:rsid w:val="00E5452A"/>
    <w:rsid w:val="00E55156"/>
    <w:rsid w:val="00E5519A"/>
    <w:rsid w:val="00E55424"/>
    <w:rsid w:val="00E55BB5"/>
    <w:rsid w:val="00E55DD2"/>
    <w:rsid w:val="00E56CD1"/>
    <w:rsid w:val="00E57035"/>
    <w:rsid w:val="00E57CE2"/>
    <w:rsid w:val="00E57FEB"/>
    <w:rsid w:val="00E604C9"/>
    <w:rsid w:val="00E60CB4"/>
    <w:rsid w:val="00E61274"/>
    <w:rsid w:val="00E615BD"/>
    <w:rsid w:val="00E625F1"/>
    <w:rsid w:val="00E62AFF"/>
    <w:rsid w:val="00E62F95"/>
    <w:rsid w:val="00E631BE"/>
    <w:rsid w:val="00E6349A"/>
    <w:rsid w:val="00E64ABE"/>
    <w:rsid w:val="00E65428"/>
    <w:rsid w:val="00E65B1E"/>
    <w:rsid w:val="00E65E79"/>
    <w:rsid w:val="00E65ED2"/>
    <w:rsid w:val="00E66080"/>
    <w:rsid w:val="00E663A4"/>
    <w:rsid w:val="00E66893"/>
    <w:rsid w:val="00E669F9"/>
    <w:rsid w:val="00E67416"/>
    <w:rsid w:val="00E70B90"/>
    <w:rsid w:val="00E718B6"/>
    <w:rsid w:val="00E72524"/>
    <w:rsid w:val="00E728D0"/>
    <w:rsid w:val="00E73581"/>
    <w:rsid w:val="00E74597"/>
    <w:rsid w:val="00E74704"/>
    <w:rsid w:val="00E74C21"/>
    <w:rsid w:val="00E755AA"/>
    <w:rsid w:val="00E758AA"/>
    <w:rsid w:val="00E761F2"/>
    <w:rsid w:val="00E766F7"/>
    <w:rsid w:val="00E767F8"/>
    <w:rsid w:val="00E76DA2"/>
    <w:rsid w:val="00E77497"/>
    <w:rsid w:val="00E77E1B"/>
    <w:rsid w:val="00E80100"/>
    <w:rsid w:val="00E804BE"/>
    <w:rsid w:val="00E810F5"/>
    <w:rsid w:val="00E8227B"/>
    <w:rsid w:val="00E82F37"/>
    <w:rsid w:val="00E83537"/>
    <w:rsid w:val="00E83AB1"/>
    <w:rsid w:val="00E83BDF"/>
    <w:rsid w:val="00E83C6B"/>
    <w:rsid w:val="00E8458A"/>
    <w:rsid w:val="00E850CE"/>
    <w:rsid w:val="00E854E7"/>
    <w:rsid w:val="00E857EF"/>
    <w:rsid w:val="00E86496"/>
    <w:rsid w:val="00E8688C"/>
    <w:rsid w:val="00E86B21"/>
    <w:rsid w:val="00E87CCC"/>
    <w:rsid w:val="00E90DB0"/>
    <w:rsid w:val="00E91CF7"/>
    <w:rsid w:val="00E92500"/>
    <w:rsid w:val="00E92FCB"/>
    <w:rsid w:val="00E9489F"/>
    <w:rsid w:val="00E94B06"/>
    <w:rsid w:val="00E94FF9"/>
    <w:rsid w:val="00EA04F7"/>
    <w:rsid w:val="00EA1A4E"/>
    <w:rsid w:val="00EA26F3"/>
    <w:rsid w:val="00EA3864"/>
    <w:rsid w:val="00EA3AFC"/>
    <w:rsid w:val="00EA4872"/>
    <w:rsid w:val="00EA5DAB"/>
    <w:rsid w:val="00EA7FFA"/>
    <w:rsid w:val="00EB10F7"/>
    <w:rsid w:val="00EB15B6"/>
    <w:rsid w:val="00EB187F"/>
    <w:rsid w:val="00EB1CA7"/>
    <w:rsid w:val="00EB220A"/>
    <w:rsid w:val="00EB222A"/>
    <w:rsid w:val="00EB285B"/>
    <w:rsid w:val="00EB30CC"/>
    <w:rsid w:val="00EB4916"/>
    <w:rsid w:val="00EB4D89"/>
    <w:rsid w:val="00EB51AB"/>
    <w:rsid w:val="00EB535C"/>
    <w:rsid w:val="00EB658F"/>
    <w:rsid w:val="00EB6F71"/>
    <w:rsid w:val="00EB793D"/>
    <w:rsid w:val="00EC00C9"/>
    <w:rsid w:val="00EC04B4"/>
    <w:rsid w:val="00EC06F5"/>
    <w:rsid w:val="00EC1839"/>
    <w:rsid w:val="00EC27A2"/>
    <w:rsid w:val="00EC28B5"/>
    <w:rsid w:val="00EC2BB4"/>
    <w:rsid w:val="00EC320F"/>
    <w:rsid w:val="00EC33D0"/>
    <w:rsid w:val="00EC33F9"/>
    <w:rsid w:val="00EC4B2F"/>
    <w:rsid w:val="00EC4CA6"/>
    <w:rsid w:val="00EC6049"/>
    <w:rsid w:val="00EC6536"/>
    <w:rsid w:val="00EC72FC"/>
    <w:rsid w:val="00ED030B"/>
    <w:rsid w:val="00ED167B"/>
    <w:rsid w:val="00ED210D"/>
    <w:rsid w:val="00ED23B2"/>
    <w:rsid w:val="00ED298C"/>
    <w:rsid w:val="00ED468A"/>
    <w:rsid w:val="00ED53E8"/>
    <w:rsid w:val="00ED58F8"/>
    <w:rsid w:val="00ED670D"/>
    <w:rsid w:val="00ED687B"/>
    <w:rsid w:val="00ED6C11"/>
    <w:rsid w:val="00ED7256"/>
    <w:rsid w:val="00ED73C3"/>
    <w:rsid w:val="00EE07D3"/>
    <w:rsid w:val="00EE08AC"/>
    <w:rsid w:val="00EE1587"/>
    <w:rsid w:val="00EE162B"/>
    <w:rsid w:val="00EE2DB9"/>
    <w:rsid w:val="00EE2FF8"/>
    <w:rsid w:val="00EE4B05"/>
    <w:rsid w:val="00EE4E4F"/>
    <w:rsid w:val="00EE54A6"/>
    <w:rsid w:val="00EE5EDB"/>
    <w:rsid w:val="00EE5F5C"/>
    <w:rsid w:val="00EE6076"/>
    <w:rsid w:val="00EE62CA"/>
    <w:rsid w:val="00EE67DE"/>
    <w:rsid w:val="00EE781B"/>
    <w:rsid w:val="00EF0586"/>
    <w:rsid w:val="00EF1DFF"/>
    <w:rsid w:val="00EF247A"/>
    <w:rsid w:val="00EF3CD3"/>
    <w:rsid w:val="00EF3FE5"/>
    <w:rsid w:val="00EF4067"/>
    <w:rsid w:val="00EF4D48"/>
    <w:rsid w:val="00EF59A4"/>
    <w:rsid w:val="00EF6134"/>
    <w:rsid w:val="00EF614C"/>
    <w:rsid w:val="00EF7E38"/>
    <w:rsid w:val="00F00CBF"/>
    <w:rsid w:val="00F0213B"/>
    <w:rsid w:val="00F04633"/>
    <w:rsid w:val="00F046DD"/>
    <w:rsid w:val="00F04F31"/>
    <w:rsid w:val="00F05B62"/>
    <w:rsid w:val="00F067A2"/>
    <w:rsid w:val="00F07C91"/>
    <w:rsid w:val="00F11F03"/>
    <w:rsid w:val="00F13A58"/>
    <w:rsid w:val="00F15365"/>
    <w:rsid w:val="00F158B0"/>
    <w:rsid w:val="00F15942"/>
    <w:rsid w:val="00F16D6D"/>
    <w:rsid w:val="00F20316"/>
    <w:rsid w:val="00F20811"/>
    <w:rsid w:val="00F216F1"/>
    <w:rsid w:val="00F21B7B"/>
    <w:rsid w:val="00F21D4C"/>
    <w:rsid w:val="00F226B3"/>
    <w:rsid w:val="00F23EFB"/>
    <w:rsid w:val="00F23FF5"/>
    <w:rsid w:val="00F24837"/>
    <w:rsid w:val="00F24A9D"/>
    <w:rsid w:val="00F253F7"/>
    <w:rsid w:val="00F2553E"/>
    <w:rsid w:val="00F2575F"/>
    <w:rsid w:val="00F25F57"/>
    <w:rsid w:val="00F26FFA"/>
    <w:rsid w:val="00F27859"/>
    <w:rsid w:val="00F3117C"/>
    <w:rsid w:val="00F31CE3"/>
    <w:rsid w:val="00F32C96"/>
    <w:rsid w:val="00F33DE9"/>
    <w:rsid w:val="00F343A6"/>
    <w:rsid w:val="00F345A4"/>
    <w:rsid w:val="00F346E3"/>
    <w:rsid w:val="00F34D60"/>
    <w:rsid w:val="00F35AEA"/>
    <w:rsid w:val="00F3619A"/>
    <w:rsid w:val="00F37A69"/>
    <w:rsid w:val="00F37C93"/>
    <w:rsid w:val="00F40566"/>
    <w:rsid w:val="00F40599"/>
    <w:rsid w:val="00F408EC"/>
    <w:rsid w:val="00F41639"/>
    <w:rsid w:val="00F429E1"/>
    <w:rsid w:val="00F42C25"/>
    <w:rsid w:val="00F430AA"/>
    <w:rsid w:val="00F43253"/>
    <w:rsid w:val="00F437D8"/>
    <w:rsid w:val="00F44366"/>
    <w:rsid w:val="00F44738"/>
    <w:rsid w:val="00F45DAB"/>
    <w:rsid w:val="00F46677"/>
    <w:rsid w:val="00F46CB6"/>
    <w:rsid w:val="00F47415"/>
    <w:rsid w:val="00F50463"/>
    <w:rsid w:val="00F52555"/>
    <w:rsid w:val="00F525CB"/>
    <w:rsid w:val="00F548FF"/>
    <w:rsid w:val="00F54BDD"/>
    <w:rsid w:val="00F55B22"/>
    <w:rsid w:val="00F55C7A"/>
    <w:rsid w:val="00F55E73"/>
    <w:rsid w:val="00F55F99"/>
    <w:rsid w:val="00F5613F"/>
    <w:rsid w:val="00F56913"/>
    <w:rsid w:val="00F56DC2"/>
    <w:rsid w:val="00F57FE9"/>
    <w:rsid w:val="00F60092"/>
    <w:rsid w:val="00F609EA"/>
    <w:rsid w:val="00F61405"/>
    <w:rsid w:val="00F619E0"/>
    <w:rsid w:val="00F63BC9"/>
    <w:rsid w:val="00F63CA6"/>
    <w:rsid w:val="00F67515"/>
    <w:rsid w:val="00F67A3B"/>
    <w:rsid w:val="00F71599"/>
    <w:rsid w:val="00F71669"/>
    <w:rsid w:val="00F71B1C"/>
    <w:rsid w:val="00F71FFA"/>
    <w:rsid w:val="00F72499"/>
    <w:rsid w:val="00F73503"/>
    <w:rsid w:val="00F73C7D"/>
    <w:rsid w:val="00F742FD"/>
    <w:rsid w:val="00F7501C"/>
    <w:rsid w:val="00F75C2A"/>
    <w:rsid w:val="00F75F0E"/>
    <w:rsid w:val="00F75F35"/>
    <w:rsid w:val="00F767AA"/>
    <w:rsid w:val="00F771D1"/>
    <w:rsid w:val="00F8075B"/>
    <w:rsid w:val="00F80D73"/>
    <w:rsid w:val="00F80E5D"/>
    <w:rsid w:val="00F81021"/>
    <w:rsid w:val="00F81597"/>
    <w:rsid w:val="00F81AB0"/>
    <w:rsid w:val="00F81B76"/>
    <w:rsid w:val="00F829EA"/>
    <w:rsid w:val="00F837B4"/>
    <w:rsid w:val="00F851CE"/>
    <w:rsid w:val="00F85382"/>
    <w:rsid w:val="00F856DE"/>
    <w:rsid w:val="00F85888"/>
    <w:rsid w:val="00F86905"/>
    <w:rsid w:val="00F90822"/>
    <w:rsid w:val="00F90F97"/>
    <w:rsid w:val="00F91B46"/>
    <w:rsid w:val="00F923B8"/>
    <w:rsid w:val="00F926C2"/>
    <w:rsid w:val="00F92C50"/>
    <w:rsid w:val="00F9362E"/>
    <w:rsid w:val="00F93FBB"/>
    <w:rsid w:val="00F94FC6"/>
    <w:rsid w:val="00F97615"/>
    <w:rsid w:val="00F97A78"/>
    <w:rsid w:val="00F97D89"/>
    <w:rsid w:val="00F97DA6"/>
    <w:rsid w:val="00FA00A7"/>
    <w:rsid w:val="00FA033E"/>
    <w:rsid w:val="00FA04CB"/>
    <w:rsid w:val="00FA04FF"/>
    <w:rsid w:val="00FA06F7"/>
    <w:rsid w:val="00FA12A5"/>
    <w:rsid w:val="00FA1B05"/>
    <w:rsid w:val="00FA22F2"/>
    <w:rsid w:val="00FA2323"/>
    <w:rsid w:val="00FA24E7"/>
    <w:rsid w:val="00FA3FB2"/>
    <w:rsid w:val="00FA4A8F"/>
    <w:rsid w:val="00FA53D9"/>
    <w:rsid w:val="00FA68F3"/>
    <w:rsid w:val="00FA7149"/>
    <w:rsid w:val="00FA72A0"/>
    <w:rsid w:val="00FB0C73"/>
    <w:rsid w:val="00FB10D2"/>
    <w:rsid w:val="00FB12A2"/>
    <w:rsid w:val="00FB19BD"/>
    <w:rsid w:val="00FB1A71"/>
    <w:rsid w:val="00FB1AD1"/>
    <w:rsid w:val="00FB1B73"/>
    <w:rsid w:val="00FB210A"/>
    <w:rsid w:val="00FB2A8C"/>
    <w:rsid w:val="00FB2FCB"/>
    <w:rsid w:val="00FB3051"/>
    <w:rsid w:val="00FB3530"/>
    <w:rsid w:val="00FB4747"/>
    <w:rsid w:val="00FB5A82"/>
    <w:rsid w:val="00FB664B"/>
    <w:rsid w:val="00FB71A8"/>
    <w:rsid w:val="00FB7248"/>
    <w:rsid w:val="00FC0023"/>
    <w:rsid w:val="00FC08A3"/>
    <w:rsid w:val="00FC0F7D"/>
    <w:rsid w:val="00FC1074"/>
    <w:rsid w:val="00FC1106"/>
    <w:rsid w:val="00FC13D0"/>
    <w:rsid w:val="00FC1884"/>
    <w:rsid w:val="00FC1B0F"/>
    <w:rsid w:val="00FC2556"/>
    <w:rsid w:val="00FC2E02"/>
    <w:rsid w:val="00FC383E"/>
    <w:rsid w:val="00FC3F70"/>
    <w:rsid w:val="00FC453D"/>
    <w:rsid w:val="00FC4837"/>
    <w:rsid w:val="00FC5C3E"/>
    <w:rsid w:val="00FC6068"/>
    <w:rsid w:val="00FC654C"/>
    <w:rsid w:val="00FC6FAE"/>
    <w:rsid w:val="00FC723D"/>
    <w:rsid w:val="00FC7246"/>
    <w:rsid w:val="00FC7283"/>
    <w:rsid w:val="00FD089A"/>
    <w:rsid w:val="00FD2100"/>
    <w:rsid w:val="00FD3A95"/>
    <w:rsid w:val="00FD3E67"/>
    <w:rsid w:val="00FD40D2"/>
    <w:rsid w:val="00FD43A3"/>
    <w:rsid w:val="00FD446D"/>
    <w:rsid w:val="00FD4ACB"/>
    <w:rsid w:val="00FD505F"/>
    <w:rsid w:val="00FD5F49"/>
    <w:rsid w:val="00FD65F1"/>
    <w:rsid w:val="00FD6ECB"/>
    <w:rsid w:val="00FD77E9"/>
    <w:rsid w:val="00FE0D23"/>
    <w:rsid w:val="00FE0D93"/>
    <w:rsid w:val="00FE1179"/>
    <w:rsid w:val="00FE1728"/>
    <w:rsid w:val="00FE29BF"/>
    <w:rsid w:val="00FE2AF4"/>
    <w:rsid w:val="00FE300E"/>
    <w:rsid w:val="00FE348B"/>
    <w:rsid w:val="00FE3CA2"/>
    <w:rsid w:val="00FE4821"/>
    <w:rsid w:val="00FE4A77"/>
    <w:rsid w:val="00FE4C92"/>
    <w:rsid w:val="00FE5147"/>
    <w:rsid w:val="00FE5C6D"/>
    <w:rsid w:val="00FE5D21"/>
    <w:rsid w:val="00FE5DDF"/>
    <w:rsid w:val="00FE638A"/>
    <w:rsid w:val="00FE7172"/>
    <w:rsid w:val="00FE78FC"/>
    <w:rsid w:val="00FF0020"/>
    <w:rsid w:val="00FF0F5A"/>
    <w:rsid w:val="00FF1D9F"/>
    <w:rsid w:val="00FF21D7"/>
    <w:rsid w:val="00FF2AC9"/>
    <w:rsid w:val="00FF35B8"/>
    <w:rsid w:val="00FF39B7"/>
    <w:rsid w:val="00FF3DCF"/>
    <w:rsid w:val="00FF3F38"/>
    <w:rsid w:val="00FF4172"/>
    <w:rsid w:val="00FF4A7F"/>
    <w:rsid w:val="00FF4AD7"/>
    <w:rsid w:val="00FF5711"/>
    <w:rsid w:val="00FF5AA3"/>
    <w:rsid w:val="00FF68B7"/>
    <w:rsid w:val="00FF6E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D0872"/>
    <w:pPr>
      <w:numPr>
        <w:numId w:val="1"/>
      </w:numPr>
      <w:outlineLvl w:val="0"/>
    </w:pPr>
    <w:rPr>
      <w:rFonts w:ascii="Arial" w:hAnsi="Arial" w:cs="Arial"/>
      <w:b/>
      <w:snapToGrid w:val="0"/>
      <w:sz w:val="22"/>
      <w:szCs w:val="22"/>
      <w:lang w:eastAsia="en-US"/>
    </w:rPr>
  </w:style>
  <w:style w:type="paragraph" w:customStyle="1" w:styleId="Default">
    <w:name w:val="Default"/>
    <w:rsid w:val="003763BE"/>
    <w:pPr>
      <w:autoSpaceDE w:val="0"/>
      <w:autoSpaceDN w:val="0"/>
      <w:adjustRightInd w:val="0"/>
    </w:pPr>
    <w:rPr>
      <w:rFonts w:ascii="Arial" w:hAnsi="Arial" w:cs="Arial"/>
      <w:color w:val="000000"/>
      <w:sz w:val="24"/>
      <w:szCs w:val="24"/>
    </w:rPr>
  </w:style>
  <w:style w:type="paragraph" w:customStyle="1" w:styleId="StylePBACTableTextArialNarrow">
    <w:name w:val="Style PBAC Table Text + Arial Narrow"/>
    <w:basedOn w:val="Normal"/>
    <w:rsid w:val="001C22AF"/>
    <w:pPr>
      <w:widowControl/>
      <w:spacing w:before="40" w:after="40"/>
      <w:jc w:val="left"/>
    </w:pPr>
    <w:rPr>
      <w:rFonts w:ascii="Arial Narrow" w:hAnsi="Arial Narrow" w:cs="Times New Roman"/>
      <w:snapToGrid/>
      <w:sz w:val="20"/>
      <w:lang w:val="en-US"/>
    </w:rPr>
  </w:style>
  <w:style w:type="character" w:customStyle="1" w:styleId="texto">
    <w:name w:val="texto"/>
    <w:basedOn w:val="DefaultParagraphFont"/>
    <w:rsid w:val="004C535E"/>
  </w:style>
  <w:style w:type="paragraph" w:customStyle="1" w:styleId="PBACTableText">
    <w:name w:val="PBAC Table Text"/>
    <w:basedOn w:val="Normal"/>
    <w:link w:val="PBACTableTextChar"/>
    <w:qFormat/>
    <w:rsid w:val="004D2FD1"/>
    <w:pPr>
      <w:widowControl/>
      <w:spacing w:before="40" w:after="40"/>
      <w:jc w:val="left"/>
    </w:pPr>
    <w:rPr>
      <w:rFonts w:ascii="Sabon" w:hAnsi="Sabon" w:cs="Times New Roman"/>
      <w:snapToGrid/>
      <w:sz w:val="20"/>
      <w:lang w:val="en-US"/>
    </w:rPr>
  </w:style>
  <w:style w:type="character" w:customStyle="1" w:styleId="PBACTableTextChar">
    <w:name w:val="PBAC Table Text Char"/>
    <w:basedOn w:val="DefaultParagraphFont"/>
    <w:link w:val="PBACTableText"/>
    <w:rsid w:val="004D2FD1"/>
    <w:rPr>
      <w:rFonts w:ascii="Sabon" w:hAnsi="Sabon"/>
      <w:lang w:val="en-US" w:eastAsia="en-US"/>
    </w:rPr>
  </w:style>
  <w:style w:type="paragraph" w:customStyle="1" w:styleId="COMBody">
    <w:name w:val="COMBody"/>
    <w:basedOn w:val="Normal"/>
    <w:link w:val="COMBodyChar"/>
    <w:qFormat/>
    <w:rsid w:val="00BE46B2"/>
    <w:rPr>
      <w:snapToGrid/>
      <w:szCs w:val="22"/>
    </w:rPr>
  </w:style>
  <w:style w:type="character" w:customStyle="1" w:styleId="COMBodyChar">
    <w:name w:val="COMBody Char"/>
    <w:basedOn w:val="DefaultParagraphFont"/>
    <w:link w:val="COMBody"/>
    <w:rsid w:val="00BE46B2"/>
    <w:rPr>
      <w:rFonts w:ascii="Arial" w:hAnsi="Arial" w:cs="Arial"/>
      <w:sz w:val="22"/>
      <w:szCs w:val="22"/>
      <w:lang w:eastAsia="en-US"/>
    </w:rPr>
  </w:style>
  <w:style w:type="table" w:customStyle="1" w:styleId="TableGrid1">
    <w:name w:val="Table Grid1"/>
    <w:basedOn w:val="TableNormal"/>
    <w:next w:val="TableGrid"/>
    <w:uiPriority w:val="59"/>
    <w:rsid w:val="009F11C0"/>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rsid w:val="004B428C"/>
  </w:style>
  <w:style w:type="character" w:customStyle="1" w:styleId="titles-source">
    <w:name w:val="titles-source"/>
    <w:basedOn w:val="DefaultParagraphFont"/>
    <w:rsid w:val="004B428C"/>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91C58"/>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CB21D6"/>
    <w:rPr>
      <w:rFonts w:ascii="Arial" w:hAnsi="Arial" w:cs="Arial"/>
      <w:snapToGrid w:val="0"/>
      <w:sz w:val="22"/>
      <w:lang w:eastAsia="en-US"/>
    </w:rPr>
  </w:style>
  <w:style w:type="character" w:styleId="IntenseReference">
    <w:name w:val="Intense Reference"/>
    <w:uiPriority w:val="32"/>
    <w:qFormat/>
    <w:rsid w:val="00694343"/>
    <w:rPr>
      <w:b/>
      <w:bCs/>
      <w:i/>
      <w:smallCaps/>
      <w:color w:val="C0504D"/>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D0872"/>
    <w:pPr>
      <w:numPr>
        <w:numId w:val="1"/>
      </w:numPr>
      <w:outlineLvl w:val="0"/>
    </w:pPr>
    <w:rPr>
      <w:rFonts w:ascii="Arial" w:hAnsi="Arial" w:cs="Arial"/>
      <w:b/>
      <w:snapToGrid w:val="0"/>
      <w:sz w:val="22"/>
      <w:szCs w:val="22"/>
      <w:lang w:eastAsia="en-US"/>
    </w:rPr>
  </w:style>
  <w:style w:type="paragraph" w:customStyle="1" w:styleId="Default">
    <w:name w:val="Default"/>
    <w:rsid w:val="003763BE"/>
    <w:pPr>
      <w:autoSpaceDE w:val="0"/>
      <w:autoSpaceDN w:val="0"/>
      <w:adjustRightInd w:val="0"/>
    </w:pPr>
    <w:rPr>
      <w:rFonts w:ascii="Arial" w:hAnsi="Arial" w:cs="Arial"/>
      <w:color w:val="000000"/>
      <w:sz w:val="24"/>
      <w:szCs w:val="24"/>
    </w:rPr>
  </w:style>
  <w:style w:type="paragraph" w:customStyle="1" w:styleId="StylePBACTableTextArialNarrow">
    <w:name w:val="Style PBAC Table Text + Arial Narrow"/>
    <w:basedOn w:val="Normal"/>
    <w:rsid w:val="001C22AF"/>
    <w:pPr>
      <w:widowControl/>
      <w:spacing w:before="40" w:after="40"/>
      <w:jc w:val="left"/>
    </w:pPr>
    <w:rPr>
      <w:rFonts w:ascii="Arial Narrow" w:hAnsi="Arial Narrow" w:cs="Times New Roman"/>
      <w:snapToGrid/>
      <w:sz w:val="20"/>
      <w:lang w:val="en-US"/>
    </w:rPr>
  </w:style>
  <w:style w:type="character" w:customStyle="1" w:styleId="texto">
    <w:name w:val="texto"/>
    <w:basedOn w:val="DefaultParagraphFont"/>
    <w:rsid w:val="004C535E"/>
  </w:style>
  <w:style w:type="paragraph" w:customStyle="1" w:styleId="PBACTableText">
    <w:name w:val="PBAC Table Text"/>
    <w:basedOn w:val="Normal"/>
    <w:link w:val="PBACTableTextChar"/>
    <w:qFormat/>
    <w:rsid w:val="004D2FD1"/>
    <w:pPr>
      <w:widowControl/>
      <w:spacing w:before="40" w:after="40"/>
      <w:jc w:val="left"/>
    </w:pPr>
    <w:rPr>
      <w:rFonts w:ascii="Sabon" w:hAnsi="Sabon" w:cs="Times New Roman"/>
      <w:snapToGrid/>
      <w:sz w:val="20"/>
      <w:lang w:val="en-US"/>
    </w:rPr>
  </w:style>
  <w:style w:type="character" w:customStyle="1" w:styleId="PBACTableTextChar">
    <w:name w:val="PBAC Table Text Char"/>
    <w:basedOn w:val="DefaultParagraphFont"/>
    <w:link w:val="PBACTableText"/>
    <w:rsid w:val="004D2FD1"/>
    <w:rPr>
      <w:rFonts w:ascii="Sabon" w:hAnsi="Sabon"/>
      <w:lang w:val="en-US" w:eastAsia="en-US"/>
    </w:rPr>
  </w:style>
  <w:style w:type="paragraph" w:customStyle="1" w:styleId="COMBody">
    <w:name w:val="COMBody"/>
    <w:basedOn w:val="Normal"/>
    <w:link w:val="COMBodyChar"/>
    <w:qFormat/>
    <w:rsid w:val="00BE46B2"/>
    <w:rPr>
      <w:snapToGrid/>
      <w:szCs w:val="22"/>
    </w:rPr>
  </w:style>
  <w:style w:type="character" w:customStyle="1" w:styleId="COMBodyChar">
    <w:name w:val="COMBody Char"/>
    <w:basedOn w:val="DefaultParagraphFont"/>
    <w:link w:val="COMBody"/>
    <w:rsid w:val="00BE46B2"/>
    <w:rPr>
      <w:rFonts w:ascii="Arial" w:hAnsi="Arial" w:cs="Arial"/>
      <w:sz w:val="22"/>
      <w:szCs w:val="22"/>
      <w:lang w:eastAsia="en-US"/>
    </w:rPr>
  </w:style>
  <w:style w:type="table" w:customStyle="1" w:styleId="TableGrid1">
    <w:name w:val="Table Grid1"/>
    <w:basedOn w:val="TableNormal"/>
    <w:next w:val="TableGrid"/>
    <w:uiPriority w:val="59"/>
    <w:rsid w:val="009F11C0"/>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rsid w:val="004B428C"/>
  </w:style>
  <w:style w:type="character" w:customStyle="1" w:styleId="titles-source">
    <w:name w:val="titles-source"/>
    <w:basedOn w:val="DefaultParagraphFont"/>
    <w:rsid w:val="004B428C"/>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91C58"/>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CB21D6"/>
    <w:rPr>
      <w:rFonts w:ascii="Arial" w:hAnsi="Arial" w:cs="Arial"/>
      <w:snapToGrid w:val="0"/>
      <w:sz w:val="22"/>
      <w:lang w:eastAsia="en-US"/>
    </w:rPr>
  </w:style>
  <w:style w:type="character" w:styleId="IntenseReference">
    <w:name w:val="Intense Reference"/>
    <w:uiPriority w:val="32"/>
    <w:qFormat/>
    <w:rsid w:val="00694343"/>
    <w:rPr>
      <w:b/>
      <w:bCs/>
      <w:i/>
      <w:smallCaps/>
      <w:color w:val="C0504D"/>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359357316">
      <w:bodyDiv w:val="1"/>
      <w:marLeft w:val="0"/>
      <w:marRight w:val="0"/>
      <w:marTop w:val="0"/>
      <w:marBottom w:val="0"/>
      <w:divBdr>
        <w:top w:val="none" w:sz="0" w:space="0" w:color="auto"/>
        <w:left w:val="none" w:sz="0" w:space="0" w:color="auto"/>
        <w:bottom w:val="none" w:sz="0" w:space="0" w:color="auto"/>
        <w:right w:val="none" w:sz="0" w:space="0" w:color="auto"/>
      </w:divBdr>
      <w:divsChild>
        <w:div w:id="1959680013">
          <w:marLeft w:val="0"/>
          <w:marRight w:val="0"/>
          <w:marTop w:val="240"/>
          <w:marBottom w:val="480"/>
          <w:divBdr>
            <w:top w:val="none" w:sz="0" w:space="0" w:color="auto"/>
            <w:left w:val="none" w:sz="0" w:space="0" w:color="auto"/>
            <w:bottom w:val="none" w:sz="0" w:space="0" w:color="auto"/>
            <w:right w:val="none" w:sz="0" w:space="0" w:color="auto"/>
          </w:divBdr>
          <w:divsChild>
            <w:div w:id="1130898644">
              <w:marLeft w:val="0"/>
              <w:marRight w:val="0"/>
              <w:marTop w:val="0"/>
              <w:marBottom w:val="0"/>
              <w:divBdr>
                <w:top w:val="none" w:sz="0" w:space="0" w:color="auto"/>
                <w:left w:val="none" w:sz="0" w:space="0" w:color="auto"/>
                <w:bottom w:val="none" w:sz="0" w:space="0" w:color="auto"/>
                <w:right w:val="none" w:sz="0" w:space="0" w:color="auto"/>
              </w:divBdr>
              <w:divsChild>
                <w:div w:id="731660312">
                  <w:marLeft w:val="0"/>
                  <w:marRight w:val="0"/>
                  <w:marTop w:val="0"/>
                  <w:marBottom w:val="0"/>
                  <w:divBdr>
                    <w:top w:val="none" w:sz="0" w:space="0" w:color="auto"/>
                    <w:left w:val="none" w:sz="0" w:space="0" w:color="auto"/>
                    <w:bottom w:val="none" w:sz="0" w:space="0" w:color="auto"/>
                    <w:right w:val="none" w:sz="0" w:space="0" w:color="auto"/>
                  </w:divBdr>
                  <w:divsChild>
                    <w:div w:id="800728231">
                      <w:marLeft w:val="0"/>
                      <w:marRight w:val="0"/>
                      <w:marTop w:val="0"/>
                      <w:marBottom w:val="0"/>
                      <w:divBdr>
                        <w:top w:val="none" w:sz="0" w:space="0" w:color="auto"/>
                        <w:left w:val="none" w:sz="0" w:space="0" w:color="auto"/>
                        <w:bottom w:val="none" w:sz="0" w:space="0" w:color="auto"/>
                        <w:right w:val="none" w:sz="0" w:space="0" w:color="auto"/>
                      </w:divBdr>
                      <w:divsChild>
                        <w:div w:id="2008242604">
                          <w:marLeft w:val="0"/>
                          <w:marRight w:val="0"/>
                          <w:marTop w:val="0"/>
                          <w:marBottom w:val="0"/>
                          <w:divBdr>
                            <w:top w:val="none" w:sz="0" w:space="0" w:color="auto"/>
                            <w:left w:val="none" w:sz="0" w:space="0" w:color="auto"/>
                            <w:bottom w:val="none" w:sz="0" w:space="0" w:color="auto"/>
                            <w:right w:val="none" w:sz="0" w:space="0" w:color="auto"/>
                          </w:divBdr>
                          <w:divsChild>
                            <w:div w:id="903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789372">
      <w:bodyDiv w:val="1"/>
      <w:marLeft w:val="0"/>
      <w:marRight w:val="0"/>
      <w:marTop w:val="0"/>
      <w:marBottom w:val="0"/>
      <w:divBdr>
        <w:top w:val="none" w:sz="0" w:space="0" w:color="auto"/>
        <w:left w:val="none" w:sz="0" w:space="0" w:color="auto"/>
        <w:bottom w:val="none" w:sz="0" w:space="0" w:color="auto"/>
        <w:right w:val="none" w:sz="0" w:space="0" w:color="auto"/>
      </w:divBdr>
    </w:div>
    <w:div w:id="2075545634">
      <w:bodyDiv w:val="1"/>
      <w:marLeft w:val="0"/>
      <w:marRight w:val="0"/>
      <w:marTop w:val="0"/>
      <w:marBottom w:val="0"/>
      <w:divBdr>
        <w:top w:val="none" w:sz="0" w:space="0" w:color="auto"/>
        <w:left w:val="none" w:sz="0" w:space="0" w:color="auto"/>
        <w:bottom w:val="none" w:sz="0" w:space="0" w:color="auto"/>
        <w:right w:val="none" w:sz="0" w:space="0" w:color="auto"/>
      </w:divBdr>
      <w:divsChild>
        <w:div w:id="230193500">
          <w:marLeft w:val="0"/>
          <w:marRight w:val="0"/>
          <w:marTop w:val="240"/>
          <w:marBottom w:val="480"/>
          <w:divBdr>
            <w:top w:val="none" w:sz="0" w:space="0" w:color="auto"/>
            <w:left w:val="none" w:sz="0" w:space="0" w:color="auto"/>
            <w:bottom w:val="none" w:sz="0" w:space="0" w:color="auto"/>
            <w:right w:val="none" w:sz="0" w:space="0" w:color="auto"/>
          </w:divBdr>
          <w:divsChild>
            <w:div w:id="1733891711">
              <w:marLeft w:val="0"/>
              <w:marRight w:val="0"/>
              <w:marTop w:val="0"/>
              <w:marBottom w:val="0"/>
              <w:divBdr>
                <w:top w:val="none" w:sz="0" w:space="0" w:color="auto"/>
                <w:left w:val="none" w:sz="0" w:space="0" w:color="auto"/>
                <w:bottom w:val="none" w:sz="0" w:space="0" w:color="auto"/>
                <w:right w:val="none" w:sz="0" w:space="0" w:color="auto"/>
              </w:divBdr>
              <w:divsChild>
                <w:div w:id="165751479">
                  <w:marLeft w:val="0"/>
                  <w:marRight w:val="0"/>
                  <w:marTop w:val="0"/>
                  <w:marBottom w:val="0"/>
                  <w:divBdr>
                    <w:top w:val="none" w:sz="0" w:space="0" w:color="auto"/>
                    <w:left w:val="none" w:sz="0" w:space="0" w:color="auto"/>
                    <w:bottom w:val="none" w:sz="0" w:space="0" w:color="auto"/>
                    <w:right w:val="none" w:sz="0" w:space="0" w:color="auto"/>
                  </w:divBdr>
                  <w:divsChild>
                    <w:div w:id="1048066596">
                      <w:marLeft w:val="0"/>
                      <w:marRight w:val="0"/>
                      <w:marTop w:val="0"/>
                      <w:marBottom w:val="0"/>
                      <w:divBdr>
                        <w:top w:val="none" w:sz="0" w:space="0" w:color="auto"/>
                        <w:left w:val="none" w:sz="0" w:space="0" w:color="auto"/>
                        <w:bottom w:val="none" w:sz="0" w:space="0" w:color="auto"/>
                        <w:right w:val="none" w:sz="0" w:space="0" w:color="auto"/>
                      </w:divBdr>
                      <w:divsChild>
                        <w:div w:id="1693218492">
                          <w:marLeft w:val="0"/>
                          <w:marRight w:val="0"/>
                          <w:marTop w:val="0"/>
                          <w:marBottom w:val="0"/>
                          <w:divBdr>
                            <w:top w:val="none" w:sz="0" w:space="0" w:color="auto"/>
                            <w:left w:val="none" w:sz="0" w:space="0" w:color="auto"/>
                            <w:bottom w:val="none" w:sz="0" w:space="0" w:color="auto"/>
                            <w:right w:val="none" w:sz="0" w:space="0" w:color="auto"/>
                          </w:divBdr>
                          <w:divsChild>
                            <w:div w:id="12137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4FAA2-3690-4321-B3A2-8DF6F087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5288</Words>
  <Characters>30562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2016-06-21T04:30:00Z</dcterms:created>
  <dcterms:modified xsi:type="dcterms:W3CDTF">2016-06-22T03:44:00Z</dcterms:modified>
</cp:coreProperties>
</file>