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8F35DD" w:rsidRDefault="00D84806" w:rsidP="00333C23">
      <w:pPr>
        <w:pStyle w:val="Title"/>
        <w:jc w:val="left"/>
      </w:pPr>
      <w:bookmarkStart w:id="0" w:name="_Toc440894559"/>
      <w:r w:rsidRPr="008F35DD">
        <w:t>5</w:t>
      </w:r>
      <w:r w:rsidR="00433044" w:rsidRPr="008F35DD">
        <w:t>.</w:t>
      </w:r>
      <w:r w:rsidRPr="008F35DD">
        <w:t>10</w:t>
      </w:r>
      <w:r w:rsidR="00B60939" w:rsidRPr="008F35DD">
        <w:tab/>
      </w:r>
      <w:r w:rsidR="008F35DD">
        <w:t>SACUBITRIL WITH VALSARTAN</w:t>
      </w:r>
      <w:r w:rsidR="00B60939" w:rsidRPr="008F35DD">
        <w:t xml:space="preserve">, </w:t>
      </w:r>
      <w:r w:rsidR="009A0512" w:rsidRPr="008F35DD">
        <w:t>tablets</w:t>
      </w:r>
      <w:r w:rsidR="00B60939" w:rsidRPr="008F35DD">
        <w:t xml:space="preserve">, </w:t>
      </w:r>
      <w:r w:rsidR="00333C23">
        <w:br/>
      </w:r>
      <w:r w:rsidR="00013F44" w:rsidRPr="008F35DD">
        <w:t>sacubitril 24 mg</w:t>
      </w:r>
      <w:r w:rsidR="00927C7A" w:rsidRPr="008F35DD">
        <w:t xml:space="preserve"> +</w:t>
      </w:r>
      <w:r w:rsidR="00013F44" w:rsidRPr="008F35DD">
        <w:t xml:space="preserve"> valsartan 26 mg, sacubitril 49 mg</w:t>
      </w:r>
      <w:r w:rsidR="00927C7A" w:rsidRPr="008F35DD">
        <w:t xml:space="preserve"> +</w:t>
      </w:r>
      <w:r w:rsidR="00013F44" w:rsidRPr="008F35DD">
        <w:t xml:space="preserve"> valsartan 51 mg</w:t>
      </w:r>
      <w:r w:rsidR="009A0512" w:rsidRPr="008F35DD">
        <w:t xml:space="preserve">, </w:t>
      </w:r>
      <w:r w:rsidR="00013F44" w:rsidRPr="008F35DD">
        <w:t>sacubitril 97 mg</w:t>
      </w:r>
      <w:r w:rsidR="00927C7A" w:rsidRPr="008F35DD">
        <w:t xml:space="preserve"> +</w:t>
      </w:r>
      <w:r w:rsidR="00013F44" w:rsidRPr="008F35DD">
        <w:t xml:space="preserve"> valsartan 103 mg</w:t>
      </w:r>
      <w:r w:rsidR="009A0512" w:rsidRPr="008F35DD">
        <w:t xml:space="preserve">, </w:t>
      </w:r>
      <w:r w:rsidR="00013F44" w:rsidRPr="008F35DD">
        <w:t>Entresto</w:t>
      </w:r>
      <w:r w:rsidR="00B60939" w:rsidRPr="008F35DD">
        <w:t xml:space="preserve">®, </w:t>
      </w:r>
      <w:r w:rsidR="00333C23">
        <w:br/>
      </w:r>
      <w:r w:rsidR="00013F44" w:rsidRPr="008F35DD">
        <w:t>Novartis</w:t>
      </w:r>
      <w:bookmarkEnd w:id="0"/>
    </w:p>
    <w:p w:rsidR="000A2928" w:rsidRPr="0049764D" w:rsidRDefault="000A2928" w:rsidP="00631BEB"/>
    <w:p w:rsidR="00B60939" w:rsidRPr="0049764D" w:rsidRDefault="00B60939" w:rsidP="00207D00"/>
    <w:p w:rsidR="00B50DB8" w:rsidRPr="0049764D" w:rsidRDefault="00B50DB8" w:rsidP="001611C7">
      <w:pPr>
        <w:pStyle w:val="PBACHeading1"/>
        <w:keepNext/>
        <w:numPr>
          <w:ilvl w:val="0"/>
          <w:numId w:val="3"/>
        </w:numPr>
      </w:pPr>
      <w:bookmarkStart w:id="1" w:name="_Toc440894561"/>
      <w:r w:rsidRPr="0049764D">
        <w:t>Purpose of Application</w:t>
      </w:r>
      <w:bookmarkEnd w:id="1"/>
    </w:p>
    <w:p w:rsidR="00B60939" w:rsidRPr="0049764D" w:rsidRDefault="00B60939" w:rsidP="00427C4B">
      <w:pPr>
        <w:keepNext/>
        <w:rPr>
          <w:szCs w:val="22"/>
        </w:rPr>
      </w:pPr>
    </w:p>
    <w:p w:rsidR="002C2775" w:rsidRPr="0049764D" w:rsidRDefault="00013F44" w:rsidP="001611C7">
      <w:pPr>
        <w:pStyle w:val="ListParagraph"/>
        <w:keepNext/>
        <w:widowControl/>
        <w:numPr>
          <w:ilvl w:val="1"/>
          <w:numId w:val="2"/>
        </w:numPr>
        <w:rPr>
          <w:szCs w:val="22"/>
        </w:rPr>
      </w:pPr>
      <w:r w:rsidRPr="0049764D">
        <w:t xml:space="preserve">The </w:t>
      </w:r>
      <w:r w:rsidR="00255A7D">
        <w:t>submission requested Section 85</w:t>
      </w:r>
      <w:r w:rsidRPr="0049764D">
        <w:t xml:space="preserve"> Authority Required (STREAMLINED) listing of </w:t>
      </w:r>
      <w:r w:rsidR="001E6686">
        <w:t xml:space="preserve">sacubitril with </w:t>
      </w:r>
      <w:r w:rsidR="00447FBE" w:rsidRPr="0049764D">
        <w:t xml:space="preserve">valsartan </w:t>
      </w:r>
      <w:r w:rsidRPr="0049764D">
        <w:t xml:space="preserve">for the treatment of </w:t>
      </w:r>
      <w:r w:rsidR="00447FBE" w:rsidRPr="0049764D">
        <w:t>chronic heart failure with reduced ejection fraction.</w:t>
      </w:r>
    </w:p>
    <w:p w:rsidR="00B60939" w:rsidRPr="0049764D" w:rsidRDefault="00B60939" w:rsidP="004B1CB4"/>
    <w:p w:rsidR="003B5468" w:rsidRPr="0049764D" w:rsidRDefault="003B5468" w:rsidP="004B1CB4"/>
    <w:p w:rsidR="00B50DB8" w:rsidRPr="0049764D" w:rsidRDefault="00B50DB8" w:rsidP="00BD6CF3">
      <w:pPr>
        <w:pStyle w:val="PBACHeading1"/>
      </w:pPr>
      <w:bookmarkStart w:id="2" w:name="_Toc440894562"/>
      <w:r w:rsidRPr="0049764D">
        <w:t>Requested listing</w:t>
      </w:r>
      <w:bookmarkEnd w:id="2"/>
    </w:p>
    <w:p w:rsidR="00B60939" w:rsidRPr="0049764D" w:rsidRDefault="00B60939" w:rsidP="004B1CB4"/>
    <w:p w:rsidR="00E12862" w:rsidRPr="0049764D" w:rsidRDefault="002B1096" w:rsidP="001611C7">
      <w:pPr>
        <w:pStyle w:val="ListParagraph"/>
        <w:widowControl/>
        <w:numPr>
          <w:ilvl w:val="1"/>
          <w:numId w:val="2"/>
        </w:numPr>
        <w:rPr>
          <w:szCs w:val="22"/>
        </w:rPr>
      </w:pPr>
      <w:r w:rsidRPr="0049764D">
        <w:t>The requested PBS listing is presented below.</w:t>
      </w:r>
      <w:r w:rsidRPr="0049764D">
        <w:rPr>
          <w:color w:val="0000FF"/>
        </w:rPr>
        <w:t xml:space="preserve">  </w:t>
      </w:r>
    </w:p>
    <w:p w:rsidR="00E12862" w:rsidRPr="0049764D" w:rsidRDefault="00E12862" w:rsidP="00E12862">
      <w:pPr>
        <w:pStyle w:val="ListParagraph"/>
        <w:widowControl/>
        <w:rPr>
          <w:szCs w:val="22"/>
        </w:rPr>
      </w:pPr>
      <w:r w:rsidRPr="0049764D">
        <w:rPr>
          <w:szCs w:val="22"/>
        </w:rPr>
        <w:t>Suggestions and additions are in</w:t>
      </w:r>
      <w:r w:rsidRPr="0049764D">
        <w:rPr>
          <w:i/>
          <w:szCs w:val="22"/>
        </w:rPr>
        <w:t xml:space="preserve"> italics </w:t>
      </w:r>
      <w:r w:rsidRPr="0049764D">
        <w:rPr>
          <w:szCs w:val="22"/>
        </w:rPr>
        <w:t xml:space="preserve">and in </w:t>
      </w:r>
      <w:r w:rsidRPr="0049764D">
        <w:rPr>
          <w:strike/>
          <w:szCs w:val="22"/>
        </w:rPr>
        <w:t>strikethrough</w:t>
      </w:r>
      <w:r w:rsidRPr="0049764D">
        <w:rPr>
          <w:szCs w:val="22"/>
        </w:rPr>
        <w:t xml:space="preserve"> for deletions.</w:t>
      </w:r>
    </w:p>
    <w:p w:rsidR="00E12862" w:rsidRPr="0049764D" w:rsidRDefault="00E12862" w:rsidP="00E12862">
      <w:pPr>
        <w:rPr>
          <w:szCs w:val="22"/>
        </w:rPr>
      </w:pPr>
    </w:p>
    <w:p w:rsidR="00E12862" w:rsidRPr="0049764D" w:rsidRDefault="00E12862" w:rsidP="00E12862">
      <w:pPr>
        <w:rPr>
          <w:szCs w:val="22"/>
        </w:rPr>
      </w:pPr>
    </w:p>
    <w:tbl>
      <w:tblPr>
        <w:tblW w:w="8363" w:type="dxa"/>
        <w:tblInd w:w="817" w:type="dxa"/>
        <w:tblLayout w:type="fixed"/>
        <w:tblLook w:val="0000" w:firstRow="0" w:lastRow="0" w:firstColumn="0" w:lastColumn="0" w:noHBand="0" w:noVBand="0"/>
      </w:tblPr>
      <w:tblGrid>
        <w:gridCol w:w="2835"/>
        <w:gridCol w:w="567"/>
        <w:gridCol w:w="567"/>
        <w:gridCol w:w="709"/>
        <w:gridCol w:w="1701"/>
        <w:gridCol w:w="1134"/>
        <w:gridCol w:w="850"/>
      </w:tblGrid>
      <w:tr w:rsidR="00E12862" w:rsidRPr="0049764D" w:rsidTr="008F5DCA">
        <w:trPr>
          <w:cantSplit/>
          <w:trHeight w:val="471"/>
        </w:trPr>
        <w:tc>
          <w:tcPr>
            <w:tcW w:w="3402" w:type="dxa"/>
            <w:gridSpan w:val="2"/>
            <w:tcBorders>
              <w:bottom w:val="single" w:sz="4" w:space="0" w:color="auto"/>
            </w:tcBorders>
          </w:tcPr>
          <w:p w:rsidR="00E12862" w:rsidRPr="0049764D" w:rsidRDefault="00E12862" w:rsidP="000D54C5">
            <w:pPr>
              <w:keepNext/>
              <w:ind w:left="-108"/>
              <w:rPr>
                <w:rFonts w:ascii="Arial Narrow" w:hAnsi="Arial Narrow"/>
                <w:sz w:val="20"/>
              </w:rPr>
            </w:pPr>
            <w:r w:rsidRPr="0049764D">
              <w:rPr>
                <w:rFonts w:ascii="Arial Narrow" w:hAnsi="Arial Narrow"/>
                <w:sz w:val="20"/>
              </w:rPr>
              <w:t>Name, Restriction,</w:t>
            </w:r>
          </w:p>
          <w:p w:rsidR="00E12862" w:rsidRPr="0049764D" w:rsidRDefault="00E12862" w:rsidP="000D54C5">
            <w:pPr>
              <w:keepNext/>
              <w:ind w:left="-108"/>
              <w:rPr>
                <w:rFonts w:ascii="Arial Narrow" w:hAnsi="Arial Narrow"/>
                <w:sz w:val="20"/>
              </w:rPr>
            </w:pPr>
            <w:r w:rsidRPr="0049764D">
              <w:rPr>
                <w:rFonts w:ascii="Arial Narrow" w:hAnsi="Arial Narrow"/>
                <w:sz w:val="20"/>
              </w:rPr>
              <w:t>Manner of administration and form</w:t>
            </w:r>
          </w:p>
        </w:tc>
        <w:tc>
          <w:tcPr>
            <w:tcW w:w="567" w:type="dxa"/>
            <w:tcBorders>
              <w:bottom w:val="single" w:sz="4" w:space="0" w:color="auto"/>
            </w:tcBorders>
          </w:tcPr>
          <w:p w:rsidR="00E12862" w:rsidRPr="0049764D" w:rsidRDefault="00E12862" w:rsidP="000D54C5">
            <w:pPr>
              <w:keepNext/>
              <w:ind w:left="-108"/>
              <w:rPr>
                <w:rFonts w:ascii="Arial Narrow" w:hAnsi="Arial Narrow"/>
                <w:sz w:val="20"/>
              </w:rPr>
            </w:pPr>
            <w:r w:rsidRPr="0049764D">
              <w:rPr>
                <w:rFonts w:ascii="Arial Narrow" w:hAnsi="Arial Narrow"/>
                <w:sz w:val="20"/>
              </w:rPr>
              <w:t>Max.</w:t>
            </w:r>
          </w:p>
          <w:p w:rsidR="00E12862" w:rsidRPr="0049764D" w:rsidRDefault="00E12862" w:rsidP="000D54C5">
            <w:pPr>
              <w:keepNext/>
              <w:ind w:left="-108"/>
              <w:rPr>
                <w:rFonts w:ascii="Arial Narrow" w:hAnsi="Arial Narrow"/>
                <w:sz w:val="20"/>
              </w:rPr>
            </w:pPr>
            <w:r w:rsidRPr="0049764D">
              <w:rPr>
                <w:rFonts w:ascii="Arial Narrow" w:hAnsi="Arial Narrow"/>
                <w:sz w:val="20"/>
              </w:rPr>
              <w:t>Qty</w:t>
            </w:r>
          </w:p>
        </w:tc>
        <w:tc>
          <w:tcPr>
            <w:tcW w:w="709" w:type="dxa"/>
            <w:tcBorders>
              <w:bottom w:val="single" w:sz="4" w:space="0" w:color="auto"/>
            </w:tcBorders>
          </w:tcPr>
          <w:p w:rsidR="00E12862" w:rsidRPr="0049764D" w:rsidRDefault="00E12862" w:rsidP="000D54C5">
            <w:pPr>
              <w:keepNext/>
              <w:ind w:left="-108"/>
              <w:rPr>
                <w:rFonts w:ascii="Arial Narrow" w:hAnsi="Arial Narrow"/>
                <w:sz w:val="20"/>
              </w:rPr>
            </w:pPr>
            <w:r w:rsidRPr="0049764D">
              <w:rPr>
                <w:rFonts w:ascii="Arial Narrow" w:hAnsi="Arial Narrow"/>
                <w:sz w:val="20"/>
              </w:rPr>
              <w:t>№.of</w:t>
            </w:r>
          </w:p>
          <w:p w:rsidR="00E12862" w:rsidRPr="0049764D" w:rsidRDefault="00E12862" w:rsidP="000D54C5">
            <w:pPr>
              <w:keepNext/>
              <w:ind w:left="-108"/>
              <w:rPr>
                <w:rFonts w:ascii="Arial Narrow" w:hAnsi="Arial Narrow"/>
                <w:sz w:val="20"/>
              </w:rPr>
            </w:pPr>
            <w:r w:rsidRPr="0049764D">
              <w:rPr>
                <w:rFonts w:ascii="Arial Narrow" w:hAnsi="Arial Narrow"/>
                <w:sz w:val="20"/>
              </w:rPr>
              <w:t>Rpts</w:t>
            </w:r>
          </w:p>
        </w:tc>
        <w:tc>
          <w:tcPr>
            <w:tcW w:w="1701" w:type="dxa"/>
            <w:tcBorders>
              <w:bottom w:val="single" w:sz="4" w:space="0" w:color="auto"/>
            </w:tcBorders>
          </w:tcPr>
          <w:p w:rsidR="00E12862" w:rsidRPr="0049764D" w:rsidRDefault="00E12862" w:rsidP="000D54C5">
            <w:pPr>
              <w:keepNext/>
              <w:ind w:left="-108"/>
              <w:rPr>
                <w:rFonts w:ascii="Arial Narrow" w:hAnsi="Arial Narrow"/>
                <w:sz w:val="20"/>
              </w:rPr>
            </w:pPr>
            <w:r w:rsidRPr="0049764D">
              <w:rPr>
                <w:rFonts w:ascii="Arial Narrow" w:hAnsi="Arial Narrow"/>
                <w:sz w:val="20"/>
              </w:rPr>
              <w:t>Dispensed Price for Max. Qty</w:t>
            </w:r>
          </w:p>
        </w:tc>
        <w:tc>
          <w:tcPr>
            <w:tcW w:w="1984" w:type="dxa"/>
            <w:gridSpan w:val="2"/>
            <w:tcBorders>
              <w:bottom w:val="single" w:sz="4" w:space="0" w:color="auto"/>
            </w:tcBorders>
          </w:tcPr>
          <w:p w:rsidR="00E12862" w:rsidRPr="00BC0C24" w:rsidRDefault="00E12862" w:rsidP="000D54C5">
            <w:pPr>
              <w:keepNext/>
              <w:rPr>
                <w:rFonts w:ascii="Arial Narrow" w:hAnsi="Arial Narrow"/>
                <w:sz w:val="20"/>
              </w:rPr>
            </w:pPr>
            <w:r w:rsidRPr="0049764D">
              <w:rPr>
                <w:rFonts w:ascii="Arial Narrow" w:hAnsi="Arial Narrow"/>
                <w:sz w:val="20"/>
              </w:rPr>
              <w:t>Proprietary Name and Manufacturer</w:t>
            </w:r>
          </w:p>
        </w:tc>
      </w:tr>
      <w:tr w:rsidR="00E12862" w:rsidRPr="0049764D" w:rsidTr="008F5DCA">
        <w:trPr>
          <w:cantSplit/>
          <w:trHeight w:val="577"/>
        </w:trPr>
        <w:tc>
          <w:tcPr>
            <w:tcW w:w="3402" w:type="dxa"/>
            <w:gridSpan w:val="2"/>
          </w:tcPr>
          <w:p w:rsidR="00E12862" w:rsidRPr="0049764D" w:rsidRDefault="001E6686" w:rsidP="000D54C5">
            <w:pPr>
              <w:keepNext/>
              <w:ind w:left="-108"/>
              <w:rPr>
                <w:rFonts w:ascii="Arial Narrow" w:hAnsi="Arial Narrow"/>
                <w:sz w:val="20"/>
              </w:rPr>
            </w:pPr>
            <w:r>
              <w:rPr>
                <w:rFonts w:ascii="Arial Narrow" w:hAnsi="Arial Narrow"/>
                <w:smallCaps/>
                <w:sz w:val="20"/>
              </w:rPr>
              <w:t xml:space="preserve">SACUBITRIL + </w:t>
            </w:r>
            <w:r w:rsidR="00E12862" w:rsidRPr="0049764D">
              <w:rPr>
                <w:rFonts w:ascii="Arial Narrow" w:hAnsi="Arial Narrow"/>
                <w:smallCaps/>
                <w:sz w:val="20"/>
              </w:rPr>
              <w:t>VALSARTAN</w:t>
            </w:r>
          </w:p>
          <w:p w:rsidR="00E12862" w:rsidRPr="0049764D" w:rsidRDefault="00E12862" w:rsidP="000D54C5">
            <w:pPr>
              <w:keepNext/>
              <w:ind w:left="-108"/>
              <w:rPr>
                <w:rFonts w:ascii="Arial Narrow" w:hAnsi="Arial Narrow"/>
                <w:sz w:val="20"/>
              </w:rPr>
            </w:pPr>
            <w:r w:rsidRPr="0049764D">
              <w:rPr>
                <w:rFonts w:ascii="Arial Narrow" w:hAnsi="Arial Narrow"/>
                <w:sz w:val="20"/>
              </w:rPr>
              <w:t>sacubitril 24 mg + valsartan 26 mg tablet, 56</w:t>
            </w:r>
          </w:p>
          <w:p w:rsidR="00E12862" w:rsidRPr="0049764D" w:rsidRDefault="00E12862" w:rsidP="000D54C5">
            <w:pPr>
              <w:keepNext/>
              <w:ind w:left="-108"/>
              <w:rPr>
                <w:rFonts w:ascii="Arial Narrow" w:hAnsi="Arial Narrow"/>
                <w:sz w:val="20"/>
              </w:rPr>
            </w:pPr>
            <w:r w:rsidRPr="0049764D">
              <w:rPr>
                <w:rFonts w:ascii="Arial Narrow" w:hAnsi="Arial Narrow"/>
                <w:sz w:val="20"/>
              </w:rPr>
              <w:t>sacubitril 49 mg + valsartan 51 mg, tablet, 56</w:t>
            </w:r>
          </w:p>
          <w:p w:rsidR="00E12862" w:rsidRPr="0049764D" w:rsidRDefault="00E12862" w:rsidP="000D54C5">
            <w:pPr>
              <w:keepNext/>
              <w:ind w:left="-108"/>
              <w:rPr>
                <w:rFonts w:ascii="Arial Narrow" w:hAnsi="Arial Narrow"/>
                <w:sz w:val="20"/>
              </w:rPr>
            </w:pPr>
            <w:r w:rsidRPr="0049764D">
              <w:rPr>
                <w:rFonts w:ascii="Arial Narrow" w:hAnsi="Arial Narrow"/>
                <w:sz w:val="20"/>
              </w:rPr>
              <w:t>sacubitril 97 mg + valsartan 103 mg, tablet, 56"</w:t>
            </w:r>
          </w:p>
        </w:tc>
        <w:tc>
          <w:tcPr>
            <w:tcW w:w="567" w:type="dxa"/>
          </w:tcPr>
          <w:p w:rsidR="00E12862" w:rsidRPr="0049764D" w:rsidRDefault="00E12862" w:rsidP="000D54C5">
            <w:pPr>
              <w:keepNext/>
              <w:ind w:left="-108"/>
              <w:rPr>
                <w:rFonts w:ascii="Arial Narrow" w:hAnsi="Arial Narrow"/>
                <w:sz w:val="20"/>
              </w:rPr>
            </w:pPr>
          </w:p>
          <w:p w:rsidR="00E12862" w:rsidRPr="0049764D" w:rsidRDefault="00E12862" w:rsidP="000D54C5">
            <w:pPr>
              <w:keepNext/>
              <w:ind w:left="-108"/>
              <w:rPr>
                <w:rFonts w:ascii="Arial Narrow" w:hAnsi="Arial Narrow"/>
                <w:sz w:val="20"/>
              </w:rPr>
            </w:pPr>
            <w:r w:rsidRPr="0049764D">
              <w:rPr>
                <w:rFonts w:ascii="Arial Narrow" w:hAnsi="Arial Narrow"/>
                <w:sz w:val="20"/>
              </w:rPr>
              <w:t>1</w:t>
            </w:r>
          </w:p>
        </w:tc>
        <w:tc>
          <w:tcPr>
            <w:tcW w:w="709" w:type="dxa"/>
          </w:tcPr>
          <w:p w:rsidR="00E12862" w:rsidRPr="0049764D" w:rsidRDefault="00E12862" w:rsidP="000D54C5">
            <w:pPr>
              <w:keepNext/>
              <w:ind w:left="-108"/>
              <w:rPr>
                <w:rFonts w:ascii="Arial Narrow" w:hAnsi="Arial Narrow"/>
                <w:sz w:val="20"/>
              </w:rPr>
            </w:pPr>
          </w:p>
          <w:p w:rsidR="00E12862" w:rsidRPr="0049764D" w:rsidRDefault="00E12862" w:rsidP="000D54C5">
            <w:pPr>
              <w:keepNext/>
              <w:ind w:left="-108"/>
              <w:rPr>
                <w:rFonts w:ascii="Arial Narrow" w:hAnsi="Arial Narrow"/>
                <w:sz w:val="20"/>
              </w:rPr>
            </w:pPr>
            <w:r w:rsidRPr="0049764D">
              <w:rPr>
                <w:rFonts w:ascii="Arial Narrow" w:hAnsi="Arial Narrow"/>
                <w:sz w:val="20"/>
              </w:rPr>
              <w:t>5</w:t>
            </w:r>
          </w:p>
        </w:tc>
        <w:tc>
          <w:tcPr>
            <w:tcW w:w="1701" w:type="dxa"/>
          </w:tcPr>
          <w:p w:rsidR="00E12862" w:rsidRPr="0049764D" w:rsidRDefault="00E12862" w:rsidP="000D54C5">
            <w:pPr>
              <w:keepNext/>
              <w:ind w:left="-108"/>
              <w:rPr>
                <w:rFonts w:ascii="Arial Narrow" w:hAnsi="Arial Narrow"/>
                <w:sz w:val="20"/>
              </w:rPr>
            </w:pPr>
          </w:p>
          <w:p w:rsidR="00E12862" w:rsidRPr="0049764D" w:rsidRDefault="00E12862" w:rsidP="000D54C5">
            <w:pPr>
              <w:keepNext/>
              <w:ind w:left="-108"/>
              <w:rPr>
                <w:rFonts w:ascii="Arial Narrow" w:hAnsi="Arial Narrow"/>
                <w:sz w:val="20"/>
              </w:rPr>
            </w:pPr>
            <w:r w:rsidRPr="0049764D">
              <w:rPr>
                <w:rFonts w:ascii="Arial Narrow" w:hAnsi="Arial Narrow"/>
                <w:sz w:val="20"/>
              </w:rPr>
              <w:t>$</w:t>
            </w:r>
            <w:r w:rsidR="0016314E">
              <w:rPr>
                <w:rFonts w:ascii="Arial Narrow" w:hAnsi="Arial Narrow"/>
                <w:noProof/>
                <w:color w:val="000000"/>
                <w:sz w:val="20"/>
                <w:highlight w:val="black"/>
              </w:rPr>
              <w:t>''''''''''''</w:t>
            </w:r>
          </w:p>
          <w:p w:rsidR="00E12862" w:rsidRPr="0016314E" w:rsidRDefault="00E12862" w:rsidP="000D54C5">
            <w:pPr>
              <w:keepNext/>
              <w:ind w:left="-108"/>
              <w:rPr>
                <w:rFonts w:ascii="Arial Narrow" w:hAnsi="Arial Narrow"/>
                <w:sz w:val="20"/>
              </w:rPr>
            </w:pPr>
            <w:r w:rsidRPr="0049764D">
              <w:rPr>
                <w:rFonts w:ascii="Arial Narrow" w:hAnsi="Arial Narrow"/>
                <w:sz w:val="20"/>
              </w:rPr>
              <w:t>$</w:t>
            </w:r>
            <w:r w:rsidR="0016314E">
              <w:rPr>
                <w:rFonts w:ascii="Arial Narrow" w:hAnsi="Arial Narrow"/>
                <w:noProof/>
                <w:color w:val="000000"/>
                <w:sz w:val="20"/>
                <w:highlight w:val="black"/>
              </w:rPr>
              <w:t>'''''''''''''''''</w:t>
            </w:r>
          </w:p>
          <w:p w:rsidR="00E12862" w:rsidRPr="0049764D" w:rsidRDefault="00E12862" w:rsidP="000D54C5">
            <w:pPr>
              <w:keepNext/>
              <w:ind w:left="-108"/>
              <w:rPr>
                <w:rFonts w:ascii="Arial Narrow" w:hAnsi="Arial Narrow"/>
                <w:sz w:val="20"/>
              </w:rPr>
            </w:pPr>
            <w:r w:rsidRPr="0049764D">
              <w:rPr>
                <w:rFonts w:ascii="Arial Narrow" w:hAnsi="Arial Narrow"/>
                <w:sz w:val="20"/>
              </w:rPr>
              <w:t>$</w:t>
            </w:r>
            <w:r w:rsidR="0016314E">
              <w:rPr>
                <w:rFonts w:ascii="Arial Narrow" w:hAnsi="Arial Narrow"/>
                <w:noProof/>
                <w:color w:val="000000"/>
                <w:sz w:val="20"/>
                <w:highlight w:val="black"/>
              </w:rPr>
              <w:t>''''''''''''''''''</w:t>
            </w:r>
          </w:p>
        </w:tc>
        <w:tc>
          <w:tcPr>
            <w:tcW w:w="1134" w:type="dxa"/>
          </w:tcPr>
          <w:p w:rsidR="00E12862" w:rsidRPr="0049764D" w:rsidRDefault="00E12862" w:rsidP="000D54C5">
            <w:pPr>
              <w:keepNext/>
              <w:rPr>
                <w:rFonts w:ascii="Arial Narrow" w:hAnsi="Arial Narrow"/>
                <w:sz w:val="20"/>
              </w:rPr>
            </w:pPr>
          </w:p>
          <w:p w:rsidR="00E12862" w:rsidRPr="0049764D" w:rsidRDefault="00E12862" w:rsidP="000D54C5">
            <w:pPr>
              <w:keepNext/>
              <w:rPr>
                <w:rFonts w:ascii="Arial Narrow" w:hAnsi="Arial Narrow"/>
                <w:sz w:val="20"/>
              </w:rPr>
            </w:pPr>
            <w:r w:rsidRPr="0049764D">
              <w:rPr>
                <w:rFonts w:ascii="Arial Narrow" w:hAnsi="Arial Narrow"/>
                <w:sz w:val="20"/>
              </w:rPr>
              <w:t>Entresto®</w:t>
            </w:r>
          </w:p>
        </w:tc>
        <w:tc>
          <w:tcPr>
            <w:tcW w:w="850" w:type="dxa"/>
          </w:tcPr>
          <w:p w:rsidR="00E12862" w:rsidRPr="0049764D" w:rsidRDefault="00E12862" w:rsidP="000D54C5">
            <w:pPr>
              <w:keepNext/>
              <w:rPr>
                <w:rFonts w:ascii="Arial Narrow" w:hAnsi="Arial Narrow"/>
                <w:sz w:val="20"/>
              </w:rPr>
            </w:pPr>
          </w:p>
          <w:p w:rsidR="00E12862" w:rsidRPr="0049764D" w:rsidRDefault="00E12862" w:rsidP="000D54C5">
            <w:pPr>
              <w:keepNext/>
              <w:rPr>
                <w:rFonts w:ascii="Arial Narrow" w:hAnsi="Arial Narrow"/>
                <w:sz w:val="20"/>
              </w:rPr>
            </w:pPr>
            <w:r w:rsidRPr="0049764D">
              <w:rPr>
                <w:rFonts w:ascii="Arial Narrow" w:hAnsi="Arial Narrow"/>
                <w:sz w:val="20"/>
              </w:rPr>
              <w:t>NV</w:t>
            </w:r>
          </w:p>
        </w:tc>
      </w:tr>
      <w:tr w:rsidR="00E12862" w:rsidRPr="0049764D" w:rsidTr="008F5DCA">
        <w:trPr>
          <w:cantSplit/>
          <w:trHeight w:val="360"/>
        </w:trPr>
        <w:tc>
          <w:tcPr>
            <w:tcW w:w="8363" w:type="dxa"/>
            <w:gridSpan w:val="7"/>
            <w:tcBorders>
              <w:bottom w:val="single" w:sz="4" w:space="0" w:color="auto"/>
            </w:tcBorders>
          </w:tcPr>
          <w:p w:rsidR="00E12862" w:rsidRPr="0049764D" w:rsidRDefault="00E12862" w:rsidP="000D54C5">
            <w:pPr>
              <w:rPr>
                <w:rFonts w:ascii="Arial Narrow" w:hAnsi="Arial Narrow"/>
                <w:sz w:val="20"/>
              </w:rPr>
            </w:pPr>
          </w:p>
        </w:tc>
      </w:tr>
      <w:tr w:rsidR="00E12862" w:rsidRPr="0049764D" w:rsidTr="008F5DCA">
        <w:trPr>
          <w:cantSplit/>
          <w:trHeight w:val="360"/>
        </w:trPr>
        <w:tc>
          <w:tcPr>
            <w:tcW w:w="2835" w:type="dxa"/>
            <w:tcBorders>
              <w:top w:val="single" w:sz="4" w:space="0" w:color="auto"/>
              <w:left w:val="single" w:sz="4" w:space="0" w:color="auto"/>
              <w:bottom w:val="single" w:sz="4" w:space="0" w:color="auto"/>
              <w:right w:val="single" w:sz="4" w:space="0" w:color="auto"/>
            </w:tcBorders>
          </w:tcPr>
          <w:p w:rsidR="00E12862" w:rsidRPr="0049764D" w:rsidRDefault="00E12862" w:rsidP="000D54C5">
            <w:pPr>
              <w:rPr>
                <w:rFonts w:ascii="Arial Narrow" w:hAnsi="Arial Narrow"/>
                <w:b/>
                <w:sz w:val="20"/>
              </w:rPr>
            </w:pPr>
            <w:r w:rsidRPr="0049764D">
              <w:rPr>
                <w:rFonts w:ascii="Arial Narrow" w:hAnsi="Arial Narrow"/>
                <w:b/>
                <w:sz w:val="20"/>
              </w:rPr>
              <w:t xml:space="preserve">Category / </w:t>
            </w:r>
          </w:p>
          <w:p w:rsidR="00E12862" w:rsidRPr="0049764D" w:rsidRDefault="00E12862" w:rsidP="000D54C5">
            <w:pPr>
              <w:rPr>
                <w:rFonts w:ascii="Arial Narrow" w:hAnsi="Arial Narrow"/>
                <w:b/>
                <w:sz w:val="20"/>
              </w:rPr>
            </w:pPr>
            <w:r w:rsidRPr="0049764D">
              <w:rPr>
                <w:rFonts w:ascii="Arial Narrow" w:hAnsi="Arial Narrow"/>
                <w:b/>
                <w:sz w:val="20"/>
              </w:rPr>
              <w:t>Program</w:t>
            </w:r>
          </w:p>
        </w:tc>
        <w:tc>
          <w:tcPr>
            <w:tcW w:w="5528" w:type="dxa"/>
            <w:gridSpan w:val="6"/>
            <w:tcBorders>
              <w:top w:val="single" w:sz="4" w:space="0" w:color="auto"/>
              <w:left w:val="single" w:sz="4" w:space="0" w:color="auto"/>
              <w:bottom w:val="single" w:sz="4" w:space="0" w:color="auto"/>
              <w:right w:val="single" w:sz="4" w:space="0" w:color="auto"/>
            </w:tcBorders>
          </w:tcPr>
          <w:p w:rsidR="00E12862" w:rsidRPr="0049764D" w:rsidRDefault="00E12862" w:rsidP="000D54C5">
            <w:pPr>
              <w:rPr>
                <w:rFonts w:ascii="Arial Narrow" w:hAnsi="Arial Narrow"/>
                <w:sz w:val="20"/>
              </w:rPr>
            </w:pPr>
            <w:r w:rsidRPr="0049764D">
              <w:rPr>
                <w:rFonts w:ascii="Arial Narrow" w:hAnsi="Arial Narrow"/>
                <w:sz w:val="20"/>
              </w:rPr>
              <w:t>GENERAL – General Schedule (Code GE)</w:t>
            </w:r>
          </w:p>
          <w:p w:rsidR="00E12862" w:rsidRPr="0049764D" w:rsidRDefault="00E12862" w:rsidP="000D54C5">
            <w:pPr>
              <w:rPr>
                <w:rFonts w:ascii="Arial Narrow" w:hAnsi="Arial Narrow"/>
                <w:sz w:val="20"/>
              </w:rPr>
            </w:pPr>
          </w:p>
        </w:tc>
      </w:tr>
      <w:tr w:rsidR="00E12862" w:rsidRPr="0049764D" w:rsidTr="008F5DCA">
        <w:trPr>
          <w:cantSplit/>
          <w:trHeight w:val="360"/>
        </w:trPr>
        <w:tc>
          <w:tcPr>
            <w:tcW w:w="2835" w:type="dxa"/>
            <w:tcBorders>
              <w:top w:val="single" w:sz="4" w:space="0" w:color="auto"/>
              <w:left w:val="single" w:sz="4" w:space="0" w:color="auto"/>
              <w:bottom w:val="single" w:sz="4" w:space="0" w:color="auto"/>
              <w:right w:val="single" w:sz="4" w:space="0" w:color="auto"/>
            </w:tcBorders>
          </w:tcPr>
          <w:p w:rsidR="00E12862" w:rsidRPr="0049764D" w:rsidRDefault="00E12862" w:rsidP="000D54C5">
            <w:pPr>
              <w:rPr>
                <w:rFonts w:ascii="Arial Narrow" w:hAnsi="Arial Narrow"/>
                <w:b/>
                <w:sz w:val="20"/>
              </w:rPr>
            </w:pPr>
            <w:r w:rsidRPr="0049764D">
              <w:rPr>
                <w:rFonts w:ascii="Arial Narrow" w:hAnsi="Arial Narrow"/>
                <w:b/>
                <w:sz w:val="20"/>
              </w:rPr>
              <w:t>Prescriber type:</w:t>
            </w:r>
          </w:p>
        </w:tc>
        <w:tc>
          <w:tcPr>
            <w:tcW w:w="5528" w:type="dxa"/>
            <w:gridSpan w:val="6"/>
            <w:tcBorders>
              <w:top w:val="single" w:sz="4" w:space="0" w:color="auto"/>
              <w:left w:val="single" w:sz="4" w:space="0" w:color="auto"/>
              <w:bottom w:val="single" w:sz="4" w:space="0" w:color="auto"/>
              <w:right w:val="single" w:sz="4" w:space="0" w:color="auto"/>
            </w:tcBorders>
          </w:tcPr>
          <w:p w:rsidR="008F5DCA" w:rsidRDefault="00E12862" w:rsidP="008F5DCA">
            <w:pPr>
              <w:rPr>
                <w:rFonts w:ascii="Arial Narrow" w:hAnsi="Arial Narrow"/>
                <w:sz w:val="20"/>
              </w:rPr>
            </w:pPr>
            <w:r w:rsidRPr="00BC0C24">
              <w:rPr>
                <w:rFonts w:ascii="Arial Narrow" w:hAnsi="Arial Narrow"/>
                <w:sz w:val="20"/>
              </w:rPr>
              <w:fldChar w:fldCharType="begin">
                <w:ffData>
                  <w:name w:val="Check1"/>
                  <w:enabled/>
                  <w:calcOnExit w:val="0"/>
                  <w:checkBox>
                    <w:sizeAuto/>
                    <w:default w:val="0"/>
                  </w:checkBox>
                </w:ffData>
              </w:fldChar>
            </w:r>
            <w:r w:rsidRPr="0049764D">
              <w:rPr>
                <w:rFonts w:ascii="Arial Narrow" w:hAnsi="Arial Narrow"/>
                <w:sz w:val="20"/>
              </w:rPr>
              <w:instrText xml:space="preserve"> FORMCHECKBOX </w:instrText>
            </w:r>
            <w:r w:rsidR="002F3E21">
              <w:rPr>
                <w:rFonts w:ascii="Arial Narrow" w:hAnsi="Arial Narrow"/>
                <w:sz w:val="20"/>
              </w:rPr>
            </w:r>
            <w:r w:rsidR="002F3E21">
              <w:rPr>
                <w:rFonts w:ascii="Arial Narrow" w:hAnsi="Arial Narrow"/>
                <w:sz w:val="20"/>
              </w:rPr>
              <w:fldChar w:fldCharType="separate"/>
            </w:r>
            <w:r w:rsidRPr="00BC0C24">
              <w:rPr>
                <w:rFonts w:ascii="Arial Narrow" w:hAnsi="Arial Narrow"/>
                <w:sz w:val="20"/>
              </w:rPr>
              <w:fldChar w:fldCharType="end"/>
            </w:r>
            <w:r w:rsidRPr="0049764D">
              <w:rPr>
                <w:rFonts w:ascii="Arial Narrow" w:hAnsi="Arial Narrow"/>
                <w:sz w:val="20"/>
              </w:rPr>
              <w:t xml:space="preserve">Dental  </w:t>
            </w:r>
            <w:r w:rsidRPr="00BC0C24">
              <w:rPr>
                <w:rFonts w:ascii="Arial Narrow" w:hAnsi="Arial Narrow"/>
                <w:sz w:val="20"/>
              </w:rPr>
              <w:fldChar w:fldCharType="begin">
                <w:ffData>
                  <w:name w:val=""/>
                  <w:enabled/>
                  <w:calcOnExit w:val="0"/>
                  <w:checkBox>
                    <w:sizeAuto/>
                    <w:default w:val="1"/>
                  </w:checkBox>
                </w:ffData>
              </w:fldChar>
            </w:r>
            <w:r w:rsidRPr="0049764D">
              <w:rPr>
                <w:rFonts w:ascii="Arial Narrow" w:hAnsi="Arial Narrow"/>
                <w:sz w:val="20"/>
              </w:rPr>
              <w:instrText xml:space="preserve"> FORMCHECKBOX </w:instrText>
            </w:r>
            <w:r w:rsidR="002F3E21">
              <w:rPr>
                <w:rFonts w:ascii="Arial Narrow" w:hAnsi="Arial Narrow"/>
                <w:sz w:val="20"/>
              </w:rPr>
            </w:r>
            <w:r w:rsidR="002F3E21">
              <w:rPr>
                <w:rFonts w:ascii="Arial Narrow" w:hAnsi="Arial Narrow"/>
                <w:sz w:val="20"/>
              </w:rPr>
              <w:fldChar w:fldCharType="separate"/>
            </w:r>
            <w:r w:rsidRPr="00BC0C24">
              <w:rPr>
                <w:rFonts w:ascii="Arial Narrow" w:hAnsi="Arial Narrow"/>
                <w:sz w:val="20"/>
              </w:rPr>
              <w:fldChar w:fldCharType="end"/>
            </w:r>
            <w:r w:rsidRPr="0049764D">
              <w:rPr>
                <w:rFonts w:ascii="Arial Narrow" w:hAnsi="Arial Narrow"/>
                <w:sz w:val="20"/>
              </w:rPr>
              <w:t xml:space="preserve">Medical Practitioners  </w:t>
            </w:r>
            <w:r w:rsidRPr="00BC0C24">
              <w:rPr>
                <w:rFonts w:ascii="Arial Narrow" w:hAnsi="Arial Narrow"/>
                <w:sz w:val="20"/>
              </w:rPr>
              <w:fldChar w:fldCharType="begin">
                <w:ffData>
                  <w:name w:val="Check3"/>
                  <w:enabled/>
                  <w:calcOnExit w:val="0"/>
                  <w:checkBox>
                    <w:sizeAuto/>
                    <w:default w:val="0"/>
                  </w:checkBox>
                </w:ffData>
              </w:fldChar>
            </w:r>
            <w:r w:rsidRPr="0049764D">
              <w:rPr>
                <w:rFonts w:ascii="Arial Narrow" w:hAnsi="Arial Narrow"/>
                <w:sz w:val="20"/>
              </w:rPr>
              <w:instrText xml:space="preserve"> FORMCHECKBOX </w:instrText>
            </w:r>
            <w:r w:rsidR="002F3E21">
              <w:rPr>
                <w:rFonts w:ascii="Arial Narrow" w:hAnsi="Arial Narrow"/>
                <w:sz w:val="20"/>
              </w:rPr>
            </w:r>
            <w:r w:rsidR="002F3E21">
              <w:rPr>
                <w:rFonts w:ascii="Arial Narrow" w:hAnsi="Arial Narrow"/>
                <w:sz w:val="20"/>
              </w:rPr>
              <w:fldChar w:fldCharType="separate"/>
            </w:r>
            <w:r w:rsidRPr="00BC0C24">
              <w:rPr>
                <w:rFonts w:ascii="Arial Narrow" w:hAnsi="Arial Narrow"/>
                <w:sz w:val="20"/>
              </w:rPr>
              <w:fldChar w:fldCharType="end"/>
            </w:r>
            <w:r w:rsidRPr="0049764D">
              <w:rPr>
                <w:rFonts w:ascii="Arial Narrow" w:hAnsi="Arial Narrow"/>
                <w:sz w:val="20"/>
              </w:rPr>
              <w:t xml:space="preserve">Nurse practitioners  </w:t>
            </w:r>
          </w:p>
          <w:p w:rsidR="00E12862" w:rsidRPr="00E52AB7" w:rsidRDefault="00E12862" w:rsidP="008F5DCA">
            <w:pPr>
              <w:rPr>
                <w:rFonts w:ascii="Arial Narrow" w:hAnsi="Arial Narrow"/>
                <w:sz w:val="20"/>
              </w:rPr>
            </w:pPr>
            <w:r w:rsidRPr="00BC0C24">
              <w:rPr>
                <w:rFonts w:ascii="Arial Narrow" w:hAnsi="Arial Narrow"/>
                <w:sz w:val="20"/>
              </w:rPr>
              <w:fldChar w:fldCharType="begin">
                <w:ffData>
                  <w:name w:val=""/>
                  <w:enabled/>
                  <w:calcOnExit w:val="0"/>
                  <w:checkBox>
                    <w:sizeAuto/>
                    <w:default w:val="0"/>
                  </w:checkBox>
                </w:ffData>
              </w:fldChar>
            </w:r>
            <w:r w:rsidRPr="0049764D">
              <w:rPr>
                <w:rFonts w:ascii="Arial Narrow" w:hAnsi="Arial Narrow"/>
                <w:sz w:val="20"/>
              </w:rPr>
              <w:instrText xml:space="preserve"> FORMCHECKBOX </w:instrText>
            </w:r>
            <w:r w:rsidR="002F3E21">
              <w:rPr>
                <w:rFonts w:ascii="Arial Narrow" w:hAnsi="Arial Narrow"/>
                <w:sz w:val="20"/>
              </w:rPr>
            </w:r>
            <w:r w:rsidR="002F3E21">
              <w:rPr>
                <w:rFonts w:ascii="Arial Narrow" w:hAnsi="Arial Narrow"/>
                <w:sz w:val="20"/>
              </w:rPr>
              <w:fldChar w:fldCharType="separate"/>
            </w:r>
            <w:r w:rsidRPr="00BC0C24">
              <w:rPr>
                <w:rFonts w:ascii="Arial Narrow" w:hAnsi="Arial Narrow"/>
                <w:sz w:val="20"/>
              </w:rPr>
              <w:fldChar w:fldCharType="end"/>
            </w:r>
            <w:r w:rsidRPr="0049764D">
              <w:rPr>
                <w:rFonts w:ascii="Arial Narrow" w:hAnsi="Arial Narrow"/>
                <w:sz w:val="20"/>
              </w:rPr>
              <w:t>Optometrists</w:t>
            </w:r>
            <w:r w:rsidR="008F5DCA">
              <w:rPr>
                <w:rFonts w:ascii="Arial Narrow" w:hAnsi="Arial Narrow"/>
                <w:sz w:val="20"/>
              </w:rPr>
              <w:t xml:space="preserve"> </w:t>
            </w:r>
            <w:r w:rsidRPr="00BC0C24">
              <w:rPr>
                <w:rFonts w:ascii="Arial Narrow" w:hAnsi="Arial Narrow"/>
                <w:sz w:val="20"/>
              </w:rPr>
              <w:fldChar w:fldCharType="begin">
                <w:ffData>
                  <w:name w:val="Check5"/>
                  <w:enabled/>
                  <w:calcOnExit w:val="0"/>
                  <w:checkBox>
                    <w:sizeAuto/>
                    <w:default w:val="0"/>
                  </w:checkBox>
                </w:ffData>
              </w:fldChar>
            </w:r>
            <w:r w:rsidRPr="0049764D">
              <w:rPr>
                <w:rFonts w:ascii="Arial Narrow" w:hAnsi="Arial Narrow"/>
                <w:sz w:val="20"/>
              </w:rPr>
              <w:instrText xml:space="preserve"> FORMCHECKBOX </w:instrText>
            </w:r>
            <w:r w:rsidR="002F3E21">
              <w:rPr>
                <w:rFonts w:ascii="Arial Narrow" w:hAnsi="Arial Narrow"/>
                <w:sz w:val="20"/>
              </w:rPr>
            </w:r>
            <w:r w:rsidR="002F3E21">
              <w:rPr>
                <w:rFonts w:ascii="Arial Narrow" w:hAnsi="Arial Narrow"/>
                <w:sz w:val="20"/>
              </w:rPr>
              <w:fldChar w:fldCharType="separate"/>
            </w:r>
            <w:r w:rsidRPr="00BC0C24">
              <w:rPr>
                <w:rFonts w:ascii="Arial Narrow" w:hAnsi="Arial Narrow"/>
                <w:sz w:val="20"/>
              </w:rPr>
              <w:fldChar w:fldCharType="end"/>
            </w:r>
            <w:r w:rsidRPr="0049764D">
              <w:rPr>
                <w:rFonts w:ascii="Arial Narrow" w:hAnsi="Arial Narrow"/>
                <w:sz w:val="20"/>
              </w:rPr>
              <w:t>Midwives</w:t>
            </w:r>
          </w:p>
        </w:tc>
      </w:tr>
      <w:tr w:rsidR="00E12862" w:rsidRPr="0049764D" w:rsidTr="008F5DCA">
        <w:trPr>
          <w:cantSplit/>
          <w:trHeight w:val="360"/>
        </w:trPr>
        <w:tc>
          <w:tcPr>
            <w:tcW w:w="2835" w:type="dxa"/>
            <w:tcBorders>
              <w:top w:val="single" w:sz="4" w:space="0" w:color="auto"/>
              <w:left w:val="single" w:sz="4" w:space="0" w:color="auto"/>
              <w:bottom w:val="single" w:sz="4" w:space="0" w:color="auto"/>
              <w:right w:val="single" w:sz="4" w:space="0" w:color="auto"/>
            </w:tcBorders>
          </w:tcPr>
          <w:p w:rsidR="00E12862" w:rsidRPr="0049764D" w:rsidRDefault="00E12862" w:rsidP="000D54C5">
            <w:pPr>
              <w:rPr>
                <w:rFonts w:ascii="Arial Narrow" w:hAnsi="Arial Narrow"/>
                <w:b/>
                <w:sz w:val="20"/>
              </w:rPr>
            </w:pPr>
            <w:r w:rsidRPr="0049764D">
              <w:rPr>
                <w:rFonts w:ascii="Arial Narrow" w:hAnsi="Arial Narrow"/>
                <w:b/>
                <w:sz w:val="20"/>
              </w:rPr>
              <w:t>Severity:</w:t>
            </w:r>
          </w:p>
        </w:tc>
        <w:tc>
          <w:tcPr>
            <w:tcW w:w="5528" w:type="dxa"/>
            <w:gridSpan w:val="6"/>
            <w:tcBorders>
              <w:top w:val="single" w:sz="4" w:space="0" w:color="auto"/>
              <w:left w:val="single" w:sz="4" w:space="0" w:color="auto"/>
              <w:bottom w:val="single" w:sz="4" w:space="0" w:color="auto"/>
              <w:right w:val="single" w:sz="4" w:space="0" w:color="auto"/>
            </w:tcBorders>
          </w:tcPr>
          <w:p w:rsidR="00E12862" w:rsidRPr="0049764D" w:rsidRDefault="00E12862" w:rsidP="000D54C5">
            <w:pPr>
              <w:rPr>
                <w:rFonts w:ascii="Arial Narrow" w:hAnsi="Arial Narrow"/>
                <w:sz w:val="20"/>
              </w:rPr>
            </w:pPr>
            <w:r w:rsidRPr="0049764D">
              <w:rPr>
                <w:rFonts w:ascii="Arial Narrow" w:hAnsi="Arial Narrow"/>
                <w:sz w:val="20"/>
              </w:rPr>
              <w:t>Chronic</w:t>
            </w:r>
          </w:p>
        </w:tc>
      </w:tr>
      <w:tr w:rsidR="00E12862" w:rsidRPr="0049764D" w:rsidTr="008F5DCA">
        <w:trPr>
          <w:cantSplit/>
          <w:trHeight w:val="360"/>
        </w:trPr>
        <w:tc>
          <w:tcPr>
            <w:tcW w:w="2835" w:type="dxa"/>
            <w:tcBorders>
              <w:top w:val="single" w:sz="4" w:space="0" w:color="auto"/>
              <w:left w:val="single" w:sz="4" w:space="0" w:color="auto"/>
              <w:bottom w:val="single" w:sz="4" w:space="0" w:color="auto"/>
              <w:right w:val="single" w:sz="4" w:space="0" w:color="auto"/>
            </w:tcBorders>
          </w:tcPr>
          <w:p w:rsidR="00E12862" w:rsidRPr="0049764D" w:rsidRDefault="00E12862" w:rsidP="000D54C5">
            <w:pPr>
              <w:rPr>
                <w:rFonts w:ascii="Arial Narrow" w:hAnsi="Arial Narrow"/>
                <w:b/>
                <w:sz w:val="20"/>
              </w:rPr>
            </w:pPr>
            <w:r w:rsidRPr="0049764D">
              <w:rPr>
                <w:rFonts w:ascii="Arial Narrow" w:hAnsi="Arial Narrow"/>
                <w:b/>
                <w:sz w:val="20"/>
              </w:rPr>
              <w:t>Condition:</w:t>
            </w:r>
          </w:p>
        </w:tc>
        <w:tc>
          <w:tcPr>
            <w:tcW w:w="5528" w:type="dxa"/>
            <w:gridSpan w:val="6"/>
            <w:tcBorders>
              <w:top w:val="single" w:sz="4" w:space="0" w:color="auto"/>
              <w:left w:val="single" w:sz="4" w:space="0" w:color="auto"/>
              <w:bottom w:val="single" w:sz="4" w:space="0" w:color="auto"/>
              <w:right w:val="single" w:sz="4" w:space="0" w:color="auto"/>
            </w:tcBorders>
          </w:tcPr>
          <w:p w:rsidR="00E12862" w:rsidRPr="0049764D" w:rsidRDefault="00E12862" w:rsidP="000D54C5">
            <w:pPr>
              <w:rPr>
                <w:rFonts w:ascii="Arial Narrow" w:hAnsi="Arial Narrow"/>
                <w:sz w:val="20"/>
              </w:rPr>
            </w:pPr>
            <w:r w:rsidRPr="0049764D">
              <w:rPr>
                <w:rFonts w:ascii="Arial Narrow" w:hAnsi="Arial Narrow"/>
                <w:sz w:val="20"/>
              </w:rPr>
              <w:t>Heart failure</w:t>
            </w:r>
          </w:p>
        </w:tc>
      </w:tr>
      <w:tr w:rsidR="00E12862" w:rsidRPr="0049764D" w:rsidTr="008F5DCA">
        <w:trPr>
          <w:cantSplit/>
          <w:trHeight w:val="360"/>
        </w:trPr>
        <w:tc>
          <w:tcPr>
            <w:tcW w:w="2835" w:type="dxa"/>
            <w:tcBorders>
              <w:top w:val="single" w:sz="4" w:space="0" w:color="auto"/>
              <w:left w:val="single" w:sz="4" w:space="0" w:color="auto"/>
              <w:bottom w:val="single" w:sz="4" w:space="0" w:color="auto"/>
              <w:right w:val="single" w:sz="4" w:space="0" w:color="auto"/>
            </w:tcBorders>
          </w:tcPr>
          <w:p w:rsidR="00E12862" w:rsidRPr="0049764D" w:rsidRDefault="00E12862" w:rsidP="000D54C5">
            <w:pPr>
              <w:rPr>
                <w:rFonts w:ascii="Arial Narrow" w:hAnsi="Arial Narrow"/>
                <w:b/>
                <w:sz w:val="20"/>
              </w:rPr>
            </w:pPr>
            <w:r w:rsidRPr="0049764D">
              <w:rPr>
                <w:rFonts w:ascii="Arial Narrow" w:hAnsi="Arial Narrow"/>
                <w:b/>
                <w:sz w:val="20"/>
              </w:rPr>
              <w:t>PBS Indication:</w:t>
            </w:r>
          </w:p>
        </w:tc>
        <w:tc>
          <w:tcPr>
            <w:tcW w:w="5528" w:type="dxa"/>
            <w:gridSpan w:val="6"/>
            <w:tcBorders>
              <w:top w:val="single" w:sz="4" w:space="0" w:color="auto"/>
              <w:left w:val="single" w:sz="4" w:space="0" w:color="auto"/>
              <w:bottom w:val="single" w:sz="4" w:space="0" w:color="auto"/>
              <w:right w:val="single" w:sz="4" w:space="0" w:color="auto"/>
            </w:tcBorders>
          </w:tcPr>
          <w:p w:rsidR="00E12862" w:rsidRPr="0049764D" w:rsidRDefault="00E12862" w:rsidP="000D54C5">
            <w:pPr>
              <w:rPr>
                <w:rFonts w:ascii="Arial Narrow" w:hAnsi="Arial Narrow"/>
                <w:sz w:val="20"/>
              </w:rPr>
            </w:pPr>
            <w:r w:rsidRPr="0049764D">
              <w:rPr>
                <w:rFonts w:ascii="Arial Narrow" w:hAnsi="Arial Narrow"/>
                <w:sz w:val="20"/>
              </w:rPr>
              <w:t>Chronic heart failure</w:t>
            </w:r>
          </w:p>
        </w:tc>
      </w:tr>
      <w:tr w:rsidR="00E12862" w:rsidRPr="0049764D" w:rsidTr="008F5DCA">
        <w:trPr>
          <w:cantSplit/>
          <w:trHeight w:val="360"/>
        </w:trPr>
        <w:tc>
          <w:tcPr>
            <w:tcW w:w="2835" w:type="dxa"/>
            <w:tcBorders>
              <w:top w:val="single" w:sz="4" w:space="0" w:color="auto"/>
              <w:left w:val="single" w:sz="4" w:space="0" w:color="auto"/>
              <w:bottom w:val="single" w:sz="4" w:space="0" w:color="auto"/>
              <w:right w:val="single" w:sz="4" w:space="0" w:color="auto"/>
            </w:tcBorders>
          </w:tcPr>
          <w:p w:rsidR="00E12862" w:rsidRPr="0049764D" w:rsidRDefault="00E12862" w:rsidP="000D54C5">
            <w:pPr>
              <w:rPr>
                <w:rFonts w:ascii="Arial Narrow" w:hAnsi="Arial Narrow"/>
                <w:b/>
                <w:sz w:val="20"/>
              </w:rPr>
            </w:pPr>
            <w:r w:rsidRPr="0049764D">
              <w:rPr>
                <w:rFonts w:ascii="Arial Narrow" w:hAnsi="Arial Narrow"/>
                <w:b/>
                <w:sz w:val="20"/>
              </w:rPr>
              <w:t>Treatment phase:</w:t>
            </w:r>
          </w:p>
        </w:tc>
        <w:tc>
          <w:tcPr>
            <w:tcW w:w="5528" w:type="dxa"/>
            <w:gridSpan w:val="6"/>
            <w:tcBorders>
              <w:top w:val="single" w:sz="4" w:space="0" w:color="auto"/>
              <w:left w:val="single" w:sz="4" w:space="0" w:color="auto"/>
              <w:bottom w:val="single" w:sz="4" w:space="0" w:color="auto"/>
              <w:right w:val="single" w:sz="4" w:space="0" w:color="auto"/>
            </w:tcBorders>
          </w:tcPr>
          <w:p w:rsidR="00E12862" w:rsidRPr="0049764D" w:rsidRDefault="00E12862" w:rsidP="000D54C5">
            <w:pPr>
              <w:rPr>
                <w:rFonts w:ascii="Arial Narrow" w:hAnsi="Arial Narrow"/>
                <w:sz w:val="20"/>
              </w:rPr>
            </w:pPr>
            <w:r w:rsidRPr="0049764D">
              <w:rPr>
                <w:rFonts w:ascii="Arial Narrow" w:hAnsi="Arial Narrow"/>
                <w:sz w:val="20"/>
              </w:rPr>
              <w:t>Initiation</w:t>
            </w:r>
          </w:p>
        </w:tc>
      </w:tr>
      <w:tr w:rsidR="00E12862" w:rsidRPr="0049764D" w:rsidTr="008F5DCA">
        <w:trPr>
          <w:cantSplit/>
          <w:trHeight w:val="360"/>
        </w:trPr>
        <w:tc>
          <w:tcPr>
            <w:tcW w:w="2835" w:type="dxa"/>
            <w:tcBorders>
              <w:top w:val="single" w:sz="4" w:space="0" w:color="auto"/>
              <w:left w:val="single" w:sz="4" w:space="0" w:color="auto"/>
              <w:bottom w:val="single" w:sz="4" w:space="0" w:color="auto"/>
              <w:right w:val="single" w:sz="4" w:space="0" w:color="auto"/>
            </w:tcBorders>
          </w:tcPr>
          <w:p w:rsidR="00E12862" w:rsidRPr="0049764D" w:rsidRDefault="00E12862" w:rsidP="000D54C5">
            <w:pPr>
              <w:rPr>
                <w:rFonts w:ascii="Arial Narrow" w:hAnsi="Arial Narrow"/>
                <w:b/>
                <w:sz w:val="20"/>
              </w:rPr>
            </w:pPr>
            <w:r w:rsidRPr="0049764D">
              <w:rPr>
                <w:rFonts w:ascii="Arial Narrow" w:hAnsi="Arial Narrow"/>
                <w:b/>
                <w:sz w:val="20"/>
              </w:rPr>
              <w:t>Restriction Level / Method:</w:t>
            </w:r>
          </w:p>
          <w:p w:rsidR="00E12862" w:rsidRPr="0049764D" w:rsidRDefault="00E12862" w:rsidP="000D54C5">
            <w:pPr>
              <w:rPr>
                <w:rFonts w:ascii="Arial Narrow" w:hAnsi="Arial Narrow"/>
                <w:i/>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E12862" w:rsidRPr="0049764D" w:rsidRDefault="00E12862" w:rsidP="000D54C5">
            <w:pPr>
              <w:rPr>
                <w:rFonts w:ascii="Arial Narrow" w:hAnsi="Arial Narrow"/>
                <w:sz w:val="20"/>
              </w:rPr>
            </w:pPr>
            <w:r w:rsidRPr="00BC0C24">
              <w:rPr>
                <w:rFonts w:ascii="Arial Narrow" w:hAnsi="Arial Narrow"/>
                <w:sz w:val="20"/>
              </w:rPr>
              <w:fldChar w:fldCharType="begin">
                <w:ffData>
                  <w:name w:val="Check1"/>
                  <w:enabled/>
                  <w:calcOnExit w:val="0"/>
                  <w:checkBox>
                    <w:sizeAuto/>
                    <w:default w:val="0"/>
                  </w:checkBox>
                </w:ffData>
              </w:fldChar>
            </w:r>
            <w:r w:rsidRPr="0049764D">
              <w:rPr>
                <w:rFonts w:ascii="Arial Narrow" w:hAnsi="Arial Narrow"/>
                <w:sz w:val="20"/>
              </w:rPr>
              <w:instrText xml:space="preserve"> FORMCHECKBOX </w:instrText>
            </w:r>
            <w:r w:rsidR="002F3E21">
              <w:rPr>
                <w:rFonts w:ascii="Arial Narrow" w:hAnsi="Arial Narrow"/>
                <w:sz w:val="20"/>
              </w:rPr>
            </w:r>
            <w:r w:rsidR="002F3E21">
              <w:rPr>
                <w:rFonts w:ascii="Arial Narrow" w:hAnsi="Arial Narrow"/>
                <w:sz w:val="20"/>
              </w:rPr>
              <w:fldChar w:fldCharType="separate"/>
            </w:r>
            <w:r w:rsidRPr="00BC0C24">
              <w:rPr>
                <w:rFonts w:ascii="Arial Narrow" w:hAnsi="Arial Narrow"/>
                <w:sz w:val="20"/>
              </w:rPr>
              <w:fldChar w:fldCharType="end"/>
            </w:r>
            <w:r w:rsidRPr="0049764D">
              <w:rPr>
                <w:rFonts w:ascii="Arial Narrow" w:hAnsi="Arial Narrow"/>
                <w:sz w:val="20"/>
              </w:rPr>
              <w:t>Restricted benefit</w:t>
            </w:r>
          </w:p>
          <w:p w:rsidR="00E12862" w:rsidRPr="0049764D" w:rsidRDefault="00E12862" w:rsidP="000D54C5">
            <w:pPr>
              <w:rPr>
                <w:rFonts w:ascii="Arial Narrow" w:hAnsi="Arial Narrow"/>
                <w:sz w:val="20"/>
              </w:rPr>
            </w:pPr>
            <w:r w:rsidRPr="00BC0C24">
              <w:rPr>
                <w:rFonts w:ascii="Arial Narrow" w:hAnsi="Arial Narrow"/>
                <w:sz w:val="20"/>
              </w:rPr>
              <w:fldChar w:fldCharType="begin">
                <w:ffData>
                  <w:name w:val=""/>
                  <w:enabled/>
                  <w:calcOnExit w:val="0"/>
                  <w:checkBox>
                    <w:sizeAuto/>
                    <w:default w:val="0"/>
                  </w:checkBox>
                </w:ffData>
              </w:fldChar>
            </w:r>
            <w:r w:rsidRPr="0049764D">
              <w:rPr>
                <w:rFonts w:ascii="Arial Narrow" w:hAnsi="Arial Narrow"/>
                <w:sz w:val="20"/>
              </w:rPr>
              <w:instrText xml:space="preserve"> FORMCHECKBOX </w:instrText>
            </w:r>
            <w:r w:rsidR="002F3E21">
              <w:rPr>
                <w:rFonts w:ascii="Arial Narrow" w:hAnsi="Arial Narrow"/>
                <w:sz w:val="20"/>
              </w:rPr>
            </w:r>
            <w:r w:rsidR="002F3E21">
              <w:rPr>
                <w:rFonts w:ascii="Arial Narrow" w:hAnsi="Arial Narrow"/>
                <w:sz w:val="20"/>
              </w:rPr>
              <w:fldChar w:fldCharType="separate"/>
            </w:r>
            <w:r w:rsidRPr="00BC0C24">
              <w:rPr>
                <w:rFonts w:ascii="Arial Narrow" w:hAnsi="Arial Narrow"/>
                <w:sz w:val="20"/>
              </w:rPr>
              <w:fldChar w:fldCharType="end"/>
            </w:r>
            <w:r w:rsidRPr="0049764D">
              <w:rPr>
                <w:rFonts w:ascii="Arial Narrow" w:hAnsi="Arial Narrow"/>
                <w:sz w:val="20"/>
              </w:rPr>
              <w:t>Authority Required - In Writing</w:t>
            </w:r>
          </w:p>
          <w:p w:rsidR="00E12862" w:rsidRPr="0049764D" w:rsidRDefault="00E12862" w:rsidP="000D54C5">
            <w:pPr>
              <w:rPr>
                <w:rFonts w:ascii="Arial Narrow" w:hAnsi="Arial Narrow"/>
                <w:sz w:val="20"/>
              </w:rPr>
            </w:pPr>
            <w:r w:rsidRPr="00BC0C24">
              <w:rPr>
                <w:rFonts w:ascii="Arial Narrow" w:hAnsi="Arial Narrow"/>
                <w:sz w:val="20"/>
              </w:rPr>
              <w:fldChar w:fldCharType="begin">
                <w:ffData>
                  <w:name w:val="Check3"/>
                  <w:enabled/>
                  <w:calcOnExit w:val="0"/>
                  <w:checkBox>
                    <w:sizeAuto/>
                    <w:default w:val="0"/>
                  </w:checkBox>
                </w:ffData>
              </w:fldChar>
            </w:r>
            <w:r w:rsidRPr="0049764D">
              <w:rPr>
                <w:rFonts w:ascii="Arial Narrow" w:hAnsi="Arial Narrow"/>
                <w:sz w:val="20"/>
              </w:rPr>
              <w:instrText xml:space="preserve"> FORMCHECKBOX </w:instrText>
            </w:r>
            <w:r w:rsidR="002F3E21">
              <w:rPr>
                <w:rFonts w:ascii="Arial Narrow" w:hAnsi="Arial Narrow"/>
                <w:sz w:val="20"/>
              </w:rPr>
            </w:r>
            <w:r w:rsidR="002F3E21">
              <w:rPr>
                <w:rFonts w:ascii="Arial Narrow" w:hAnsi="Arial Narrow"/>
                <w:sz w:val="20"/>
              </w:rPr>
              <w:fldChar w:fldCharType="separate"/>
            </w:r>
            <w:r w:rsidRPr="00BC0C24">
              <w:rPr>
                <w:rFonts w:ascii="Arial Narrow" w:hAnsi="Arial Narrow"/>
                <w:sz w:val="20"/>
              </w:rPr>
              <w:fldChar w:fldCharType="end"/>
            </w:r>
            <w:r w:rsidRPr="0049764D">
              <w:rPr>
                <w:rFonts w:ascii="Arial Narrow" w:hAnsi="Arial Narrow"/>
                <w:sz w:val="20"/>
              </w:rPr>
              <w:t>Authority Required - Telephone</w:t>
            </w:r>
          </w:p>
          <w:p w:rsidR="00E12862" w:rsidRPr="0049764D" w:rsidRDefault="00E12862" w:rsidP="000D54C5">
            <w:pPr>
              <w:rPr>
                <w:rFonts w:ascii="Arial Narrow" w:hAnsi="Arial Narrow"/>
                <w:sz w:val="20"/>
              </w:rPr>
            </w:pPr>
            <w:r w:rsidRPr="00BC0C24">
              <w:rPr>
                <w:rFonts w:ascii="Arial Narrow" w:hAnsi="Arial Narrow"/>
                <w:sz w:val="20"/>
              </w:rPr>
              <w:fldChar w:fldCharType="begin">
                <w:ffData>
                  <w:name w:val=""/>
                  <w:enabled/>
                  <w:calcOnExit w:val="0"/>
                  <w:checkBox>
                    <w:sizeAuto/>
                    <w:default w:val="0"/>
                  </w:checkBox>
                </w:ffData>
              </w:fldChar>
            </w:r>
            <w:r w:rsidRPr="0049764D">
              <w:rPr>
                <w:rFonts w:ascii="Arial Narrow" w:hAnsi="Arial Narrow"/>
                <w:sz w:val="20"/>
              </w:rPr>
              <w:instrText xml:space="preserve"> FORMCHECKBOX </w:instrText>
            </w:r>
            <w:r w:rsidR="002F3E21">
              <w:rPr>
                <w:rFonts w:ascii="Arial Narrow" w:hAnsi="Arial Narrow"/>
                <w:sz w:val="20"/>
              </w:rPr>
            </w:r>
            <w:r w:rsidR="002F3E21">
              <w:rPr>
                <w:rFonts w:ascii="Arial Narrow" w:hAnsi="Arial Narrow"/>
                <w:sz w:val="20"/>
              </w:rPr>
              <w:fldChar w:fldCharType="separate"/>
            </w:r>
            <w:r w:rsidRPr="00BC0C24">
              <w:rPr>
                <w:rFonts w:ascii="Arial Narrow" w:hAnsi="Arial Narrow"/>
                <w:sz w:val="20"/>
              </w:rPr>
              <w:fldChar w:fldCharType="end"/>
            </w:r>
            <w:r w:rsidRPr="0049764D">
              <w:rPr>
                <w:rFonts w:ascii="Arial Narrow" w:hAnsi="Arial Narrow"/>
                <w:sz w:val="20"/>
              </w:rPr>
              <w:t>Authority Required – Emergency</w:t>
            </w:r>
          </w:p>
          <w:p w:rsidR="00E12862" w:rsidRPr="0049764D" w:rsidRDefault="00E12862" w:rsidP="000D54C5">
            <w:pPr>
              <w:rPr>
                <w:rFonts w:ascii="Arial Narrow" w:hAnsi="Arial Narrow"/>
                <w:sz w:val="20"/>
              </w:rPr>
            </w:pPr>
            <w:r w:rsidRPr="00BC0C24">
              <w:rPr>
                <w:rFonts w:ascii="Arial Narrow" w:hAnsi="Arial Narrow"/>
                <w:sz w:val="20"/>
              </w:rPr>
              <w:fldChar w:fldCharType="begin">
                <w:ffData>
                  <w:name w:val="Check5"/>
                  <w:enabled/>
                  <w:calcOnExit w:val="0"/>
                  <w:checkBox>
                    <w:sizeAuto/>
                    <w:default w:val="0"/>
                  </w:checkBox>
                </w:ffData>
              </w:fldChar>
            </w:r>
            <w:r w:rsidRPr="0049764D">
              <w:rPr>
                <w:rFonts w:ascii="Arial Narrow" w:hAnsi="Arial Narrow"/>
                <w:sz w:val="20"/>
              </w:rPr>
              <w:instrText xml:space="preserve"> FORMCHECKBOX </w:instrText>
            </w:r>
            <w:r w:rsidR="002F3E21">
              <w:rPr>
                <w:rFonts w:ascii="Arial Narrow" w:hAnsi="Arial Narrow"/>
                <w:sz w:val="20"/>
              </w:rPr>
            </w:r>
            <w:r w:rsidR="002F3E21">
              <w:rPr>
                <w:rFonts w:ascii="Arial Narrow" w:hAnsi="Arial Narrow"/>
                <w:sz w:val="20"/>
              </w:rPr>
              <w:fldChar w:fldCharType="separate"/>
            </w:r>
            <w:r w:rsidRPr="00BC0C24">
              <w:rPr>
                <w:rFonts w:ascii="Arial Narrow" w:hAnsi="Arial Narrow"/>
                <w:sz w:val="20"/>
              </w:rPr>
              <w:fldChar w:fldCharType="end"/>
            </w:r>
            <w:r w:rsidRPr="0049764D">
              <w:rPr>
                <w:rFonts w:ascii="Arial Narrow" w:hAnsi="Arial Narrow"/>
                <w:sz w:val="20"/>
              </w:rPr>
              <w:t>Authority Required - Electronic</w:t>
            </w:r>
          </w:p>
          <w:p w:rsidR="00E12862" w:rsidRPr="0049764D" w:rsidRDefault="00E12862" w:rsidP="000D54C5">
            <w:pPr>
              <w:rPr>
                <w:rFonts w:ascii="Arial Narrow" w:hAnsi="Arial Narrow"/>
                <w:sz w:val="20"/>
              </w:rPr>
            </w:pPr>
            <w:r w:rsidRPr="00BC0C24">
              <w:rPr>
                <w:rFonts w:ascii="Arial Narrow" w:hAnsi="Arial Narrow"/>
                <w:sz w:val="20"/>
              </w:rPr>
              <w:fldChar w:fldCharType="begin">
                <w:ffData>
                  <w:name w:val=""/>
                  <w:enabled/>
                  <w:calcOnExit w:val="0"/>
                  <w:checkBox>
                    <w:sizeAuto/>
                    <w:default w:val="1"/>
                  </w:checkBox>
                </w:ffData>
              </w:fldChar>
            </w:r>
            <w:r w:rsidRPr="0049764D">
              <w:rPr>
                <w:rFonts w:ascii="Arial Narrow" w:hAnsi="Arial Narrow"/>
                <w:sz w:val="20"/>
              </w:rPr>
              <w:instrText xml:space="preserve"> FORMCHECKBOX </w:instrText>
            </w:r>
            <w:r w:rsidR="002F3E21">
              <w:rPr>
                <w:rFonts w:ascii="Arial Narrow" w:hAnsi="Arial Narrow"/>
                <w:sz w:val="20"/>
              </w:rPr>
            </w:r>
            <w:r w:rsidR="002F3E21">
              <w:rPr>
                <w:rFonts w:ascii="Arial Narrow" w:hAnsi="Arial Narrow"/>
                <w:sz w:val="20"/>
              </w:rPr>
              <w:fldChar w:fldCharType="separate"/>
            </w:r>
            <w:r w:rsidRPr="00BC0C24">
              <w:rPr>
                <w:rFonts w:ascii="Arial Narrow" w:hAnsi="Arial Narrow"/>
                <w:sz w:val="20"/>
              </w:rPr>
              <w:fldChar w:fldCharType="end"/>
            </w:r>
            <w:r w:rsidRPr="0049764D">
              <w:rPr>
                <w:rFonts w:ascii="Arial Narrow" w:hAnsi="Arial Narrow"/>
                <w:sz w:val="20"/>
              </w:rPr>
              <w:t>Streamlined</w:t>
            </w:r>
          </w:p>
        </w:tc>
      </w:tr>
      <w:tr w:rsidR="00E12862" w:rsidRPr="0049764D" w:rsidTr="008F5DCA">
        <w:trPr>
          <w:cantSplit/>
          <w:trHeight w:val="360"/>
        </w:trPr>
        <w:tc>
          <w:tcPr>
            <w:tcW w:w="2835" w:type="dxa"/>
            <w:tcBorders>
              <w:top w:val="single" w:sz="4" w:space="0" w:color="auto"/>
              <w:left w:val="single" w:sz="4" w:space="0" w:color="auto"/>
              <w:bottom w:val="single" w:sz="4" w:space="0" w:color="auto"/>
              <w:right w:val="single" w:sz="4" w:space="0" w:color="auto"/>
            </w:tcBorders>
          </w:tcPr>
          <w:p w:rsidR="00E12862" w:rsidRPr="0049764D" w:rsidRDefault="00E12862" w:rsidP="000D54C5">
            <w:pPr>
              <w:rPr>
                <w:rFonts w:ascii="Arial Narrow" w:hAnsi="Arial Narrow"/>
                <w:b/>
                <w:sz w:val="20"/>
              </w:rPr>
            </w:pPr>
            <w:r w:rsidRPr="0049764D">
              <w:rPr>
                <w:rFonts w:ascii="Arial Narrow" w:hAnsi="Arial Narrow"/>
                <w:b/>
                <w:sz w:val="20"/>
              </w:rPr>
              <w:lastRenderedPageBreak/>
              <w:t>Clinical criteria:</w:t>
            </w:r>
          </w:p>
          <w:p w:rsidR="00E12862" w:rsidRPr="0049764D" w:rsidRDefault="00E12862" w:rsidP="000D54C5">
            <w:pPr>
              <w:rPr>
                <w:rFonts w:ascii="Arial Narrow" w:hAnsi="Arial Narrow"/>
                <w:i/>
                <w:sz w:val="20"/>
              </w:rPr>
            </w:pPr>
          </w:p>
          <w:p w:rsidR="00E12862" w:rsidRPr="0049764D" w:rsidRDefault="00E12862" w:rsidP="000D54C5">
            <w:pPr>
              <w:rPr>
                <w:rFonts w:ascii="Arial Narrow" w:hAnsi="Arial Narrow"/>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E12862" w:rsidRPr="0049764D" w:rsidRDefault="00E12862" w:rsidP="000D54C5">
            <w:pPr>
              <w:rPr>
                <w:rFonts w:ascii="Arial Narrow" w:hAnsi="Arial Narrow"/>
                <w:sz w:val="20"/>
              </w:rPr>
            </w:pPr>
          </w:p>
          <w:p w:rsidR="00E12862" w:rsidRPr="0049764D" w:rsidRDefault="00E12862" w:rsidP="000D54C5">
            <w:pPr>
              <w:rPr>
                <w:rFonts w:ascii="Arial Narrow" w:hAnsi="Arial Narrow"/>
                <w:sz w:val="20"/>
              </w:rPr>
            </w:pPr>
            <w:r w:rsidRPr="0049764D">
              <w:rPr>
                <w:rFonts w:ascii="Arial Narrow" w:hAnsi="Arial Narrow"/>
                <w:sz w:val="20"/>
              </w:rPr>
              <w:t xml:space="preserve">Patient </w:t>
            </w:r>
            <w:r w:rsidRPr="0049764D">
              <w:rPr>
                <w:rFonts w:ascii="Arial Narrow" w:hAnsi="Arial Narrow"/>
                <w:i/>
                <w:sz w:val="20"/>
              </w:rPr>
              <w:t>must be symptomatic with</w:t>
            </w:r>
            <w:r w:rsidRPr="0049764D">
              <w:rPr>
                <w:rFonts w:ascii="Arial Narrow" w:hAnsi="Arial Narrow"/>
                <w:sz w:val="20"/>
              </w:rPr>
              <w:t xml:space="preserve"> NYHA classes II, III or IV</w:t>
            </w:r>
          </w:p>
          <w:p w:rsidR="00E12862" w:rsidRPr="0049764D" w:rsidRDefault="00E12862" w:rsidP="000D54C5">
            <w:pPr>
              <w:rPr>
                <w:rFonts w:ascii="Arial Narrow" w:hAnsi="Arial Narrow"/>
                <w:sz w:val="20"/>
              </w:rPr>
            </w:pPr>
          </w:p>
          <w:p w:rsidR="00E12862" w:rsidRPr="0049764D" w:rsidRDefault="00E12862" w:rsidP="000D54C5">
            <w:pPr>
              <w:rPr>
                <w:rFonts w:ascii="Arial Narrow" w:hAnsi="Arial Narrow"/>
                <w:sz w:val="20"/>
              </w:rPr>
            </w:pPr>
            <w:r w:rsidRPr="0049764D">
              <w:rPr>
                <w:rFonts w:ascii="Arial Narrow" w:hAnsi="Arial Narrow"/>
                <w:sz w:val="20"/>
              </w:rPr>
              <w:t xml:space="preserve">AND </w:t>
            </w:r>
          </w:p>
          <w:p w:rsidR="00E12862" w:rsidRPr="0049764D" w:rsidRDefault="00E12862" w:rsidP="000D54C5">
            <w:pPr>
              <w:rPr>
                <w:rFonts w:ascii="Arial Narrow" w:hAnsi="Arial Narrow"/>
                <w:sz w:val="20"/>
              </w:rPr>
            </w:pPr>
          </w:p>
          <w:p w:rsidR="00E12862" w:rsidRPr="0049764D" w:rsidRDefault="00E12862" w:rsidP="000D54C5">
            <w:pPr>
              <w:rPr>
                <w:rFonts w:ascii="Arial Narrow" w:hAnsi="Arial Narrow"/>
                <w:sz w:val="20"/>
              </w:rPr>
            </w:pPr>
            <w:r w:rsidRPr="0049764D">
              <w:rPr>
                <w:rFonts w:ascii="Arial Narrow" w:hAnsi="Arial Narrow"/>
                <w:sz w:val="20"/>
              </w:rPr>
              <w:t>Patient must have a documented left ventricular ejection fraction (LVEF) of less than or equal to 40%</w:t>
            </w:r>
          </w:p>
          <w:p w:rsidR="00E12862" w:rsidRPr="0049764D" w:rsidRDefault="00E12862" w:rsidP="000D54C5">
            <w:pPr>
              <w:rPr>
                <w:rFonts w:ascii="Arial Narrow" w:hAnsi="Arial Narrow"/>
                <w:sz w:val="20"/>
              </w:rPr>
            </w:pPr>
          </w:p>
          <w:p w:rsidR="00E12862" w:rsidRPr="0049764D" w:rsidRDefault="00E12862" w:rsidP="000D54C5">
            <w:pPr>
              <w:rPr>
                <w:rFonts w:ascii="Arial Narrow" w:hAnsi="Arial Narrow"/>
                <w:sz w:val="20"/>
              </w:rPr>
            </w:pPr>
            <w:r w:rsidRPr="0049764D">
              <w:rPr>
                <w:rFonts w:ascii="Arial Narrow" w:hAnsi="Arial Narrow"/>
                <w:sz w:val="20"/>
              </w:rPr>
              <w:t xml:space="preserve">AND </w:t>
            </w:r>
          </w:p>
          <w:p w:rsidR="00E12862" w:rsidRPr="0049764D" w:rsidRDefault="00E12862" w:rsidP="000D54C5">
            <w:pPr>
              <w:rPr>
                <w:rFonts w:ascii="Arial Narrow" w:hAnsi="Arial Narrow"/>
                <w:sz w:val="20"/>
              </w:rPr>
            </w:pPr>
          </w:p>
          <w:p w:rsidR="00E12862" w:rsidRPr="0049764D" w:rsidRDefault="00E12862" w:rsidP="000D54C5">
            <w:pPr>
              <w:rPr>
                <w:rFonts w:ascii="Arial Narrow" w:hAnsi="Arial Narrow"/>
                <w:sz w:val="20"/>
              </w:rPr>
            </w:pPr>
            <w:r w:rsidRPr="0049764D">
              <w:rPr>
                <w:rFonts w:ascii="Arial Narrow" w:hAnsi="Arial Narrow"/>
                <w:sz w:val="20"/>
              </w:rPr>
              <w:t xml:space="preserve">Patient must receive concomitant optimal standard chronic heart failure treatment, which must include the maximum tolerated dose of a beta-blocker, unless contraindicated or not tolerated. </w:t>
            </w:r>
          </w:p>
          <w:p w:rsidR="00E12862" w:rsidRPr="0049764D" w:rsidRDefault="00E12862" w:rsidP="000D54C5">
            <w:pPr>
              <w:rPr>
                <w:rFonts w:ascii="Arial Narrow" w:hAnsi="Arial Narrow"/>
                <w:sz w:val="20"/>
              </w:rPr>
            </w:pPr>
          </w:p>
          <w:p w:rsidR="00E12862" w:rsidRPr="0049764D" w:rsidRDefault="00E12862" w:rsidP="000D54C5">
            <w:pPr>
              <w:rPr>
                <w:rFonts w:ascii="Arial Narrow" w:hAnsi="Arial Narrow"/>
                <w:sz w:val="20"/>
              </w:rPr>
            </w:pPr>
            <w:r w:rsidRPr="0049764D">
              <w:rPr>
                <w:rFonts w:ascii="Arial Narrow" w:hAnsi="Arial Narrow"/>
                <w:sz w:val="20"/>
              </w:rPr>
              <w:t xml:space="preserve">AND </w:t>
            </w:r>
          </w:p>
          <w:p w:rsidR="00E12862" w:rsidRPr="0049764D" w:rsidRDefault="00E12862" w:rsidP="000D54C5">
            <w:pPr>
              <w:rPr>
                <w:rFonts w:ascii="Arial Narrow" w:hAnsi="Arial Narrow"/>
                <w:sz w:val="20"/>
              </w:rPr>
            </w:pPr>
          </w:p>
          <w:p w:rsidR="00E12862" w:rsidRPr="0049764D" w:rsidRDefault="00E12862" w:rsidP="000D54C5">
            <w:pPr>
              <w:rPr>
                <w:rFonts w:ascii="Arial Narrow" w:hAnsi="Arial Narrow"/>
                <w:i/>
                <w:sz w:val="20"/>
              </w:rPr>
            </w:pPr>
            <w:r w:rsidRPr="0049764D">
              <w:rPr>
                <w:rFonts w:ascii="Arial Narrow" w:hAnsi="Arial Narrow"/>
                <w:i/>
                <w:sz w:val="20"/>
              </w:rPr>
              <w:t xml:space="preserve">The treatment must not be co-administered with an ace inhibitor (ACE-I) or an angiotensin II receptor blocker (ARB). </w:t>
            </w:r>
          </w:p>
        </w:tc>
      </w:tr>
      <w:tr w:rsidR="00E12862" w:rsidRPr="0049764D" w:rsidTr="008F5DCA">
        <w:trPr>
          <w:cantSplit/>
          <w:trHeight w:val="360"/>
        </w:trPr>
        <w:tc>
          <w:tcPr>
            <w:tcW w:w="2835" w:type="dxa"/>
            <w:tcBorders>
              <w:top w:val="single" w:sz="4" w:space="0" w:color="auto"/>
              <w:left w:val="single" w:sz="4" w:space="0" w:color="auto"/>
              <w:bottom w:val="single" w:sz="4" w:space="0" w:color="auto"/>
              <w:right w:val="single" w:sz="4" w:space="0" w:color="auto"/>
            </w:tcBorders>
          </w:tcPr>
          <w:p w:rsidR="00E12862" w:rsidRPr="0049764D" w:rsidRDefault="00E12862" w:rsidP="000D54C5">
            <w:pPr>
              <w:rPr>
                <w:rFonts w:ascii="Arial Narrow" w:hAnsi="Arial Narrow"/>
                <w:b/>
                <w:sz w:val="20"/>
              </w:rPr>
            </w:pPr>
            <w:r w:rsidRPr="0049764D">
              <w:rPr>
                <w:rFonts w:ascii="Arial Narrow" w:hAnsi="Arial Narrow"/>
                <w:b/>
                <w:sz w:val="20"/>
              </w:rPr>
              <w:t>Administrative Advice</w:t>
            </w:r>
          </w:p>
          <w:p w:rsidR="00E12862" w:rsidRPr="0049764D" w:rsidRDefault="00E12862" w:rsidP="000D54C5">
            <w:pPr>
              <w:rPr>
                <w:rFonts w:ascii="Arial Narrow" w:hAnsi="Arial Narrow"/>
                <w:i/>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E12862" w:rsidRPr="0049764D" w:rsidRDefault="00E12862" w:rsidP="000D54C5">
            <w:pPr>
              <w:rPr>
                <w:rFonts w:ascii="Arial Narrow" w:hAnsi="Arial Narrow"/>
                <w:b/>
                <w:sz w:val="20"/>
              </w:rPr>
            </w:pPr>
            <w:r w:rsidRPr="0049764D">
              <w:rPr>
                <w:rFonts w:ascii="Arial Narrow" w:hAnsi="Arial Narrow"/>
                <w:b/>
                <w:sz w:val="20"/>
              </w:rPr>
              <w:t>Continuing therapy only</w:t>
            </w:r>
          </w:p>
          <w:p w:rsidR="00E12862" w:rsidRPr="0049764D" w:rsidRDefault="00E12862" w:rsidP="000D54C5">
            <w:pPr>
              <w:rPr>
                <w:rFonts w:ascii="Arial Narrow" w:hAnsi="Arial Narrow"/>
                <w:sz w:val="20"/>
              </w:rPr>
            </w:pPr>
            <w:r w:rsidRPr="0049764D">
              <w:rPr>
                <w:rFonts w:ascii="Arial Narrow" w:hAnsi="Arial Narrow"/>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B60939" w:rsidRPr="0049764D" w:rsidRDefault="006F506C" w:rsidP="006F506C">
      <w:pPr>
        <w:tabs>
          <w:tab w:val="left" w:pos="1114"/>
        </w:tabs>
      </w:pPr>
      <w:r w:rsidRPr="0049764D">
        <w:tab/>
      </w:r>
    </w:p>
    <w:p w:rsidR="00447FBE" w:rsidRPr="0049764D" w:rsidRDefault="00447FBE" w:rsidP="001611C7">
      <w:pPr>
        <w:pStyle w:val="ListParagraph"/>
        <w:numPr>
          <w:ilvl w:val="1"/>
          <w:numId w:val="2"/>
        </w:numPr>
        <w:rPr>
          <w:szCs w:val="22"/>
        </w:rPr>
      </w:pPr>
      <w:r w:rsidRPr="0049764D">
        <w:rPr>
          <w:szCs w:val="22"/>
        </w:rPr>
        <w:t xml:space="preserve">The submission presented a cost-utility analysis of sacubitril/valsartan compared with enalapril, as a proxy for all </w:t>
      </w:r>
      <w:r w:rsidR="00107917" w:rsidRPr="0049764D">
        <w:rPr>
          <w:szCs w:val="22"/>
        </w:rPr>
        <w:t>angiotensin converting enzyme (</w:t>
      </w:r>
      <w:r w:rsidRPr="0049764D">
        <w:rPr>
          <w:szCs w:val="22"/>
        </w:rPr>
        <w:t>ACE</w:t>
      </w:r>
      <w:r w:rsidR="00107917" w:rsidRPr="0049764D">
        <w:rPr>
          <w:szCs w:val="22"/>
        </w:rPr>
        <w:t>)</w:t>
      </w:r>
      <w:r w:rsidR="009959EE" w:rsidRPr="0049764D">
        <w:rPr>
          <w:szCs w:val="22"/>
        </w:rPr>
        <w:t xml:space="preserve"> i</w:t>
      </w:r>
      <w:r w:rsidRPr="0049764D">
        <w:rPr>
          <w:szCs w:val="22"/>
        </w:rPr>
        <w:t>nhibitors.</w:t>
      </w:r>
    </w:p>
    <w:p w:rsidR="00913372" w:rsidRPr="0049764D" w:rsidRDefault="00913372" w:rsidP="00913372">
      <w:pPr>
        <w:pStyle w:val="ListParagraph"/>
        <w:rPr>
          <w:szCs w:val="22"/>
        </w:rPr>
      </w:pPr>
    </w:p>
    <w:p w:rsidR="00913372" w:rsidRPr="0049764D" w:rsidRDefault="00913372" w:rsidP="001611C7">
      <w:pPr>
        <w:pStyle w:val="ListParagraph"/>
        <w:numPr>
          <w:ilvl w:val="1"/>
          <w:numId w:val="2"/>
        </w:numPr>
        <w:rPr>
          <w:szCs w:val="22"/>
        </w:rPr>
      </w:pPr>
      <w:r w:rsidRPr="0049764D">
        <w:rPr>
          <w:szCs w:val="22"/>
        </w:rPr>
        <w:t>The PBAC considered that it would be appropriate for the restriction to require that patients already be stabilised on ACE</w:t>
      </w:r>
      <w:r w:rsidR="00FE53D7" w:rsidRPr="0049764D">
        <w:rPr>
          <w:szCs w:val="22"/>
        </w:rPr>
        <w:t xml:space="preserve"> </w:t>
      </w:r>
      <w:r w:rsidRPr="0049764D">
        <w:rPr>
          <w:szCs w:val="22"/>
        </w:rPr>
        <w:t>i</w:t>
      </w:r>
      <w:r w:rsidR="00FE53D7" w:rsidRPr="0049764D">
        <w:rPr>
          <w:szCs w:val="22"/>
        </w:rPr>
        <w:t>nhibitor</w:t>
      </w:r>
      <w:r w:rsidRPr="0049764D">
        <w:rPr>
          <w:szCs w:val="22"/>
        </w:rPr>
        <w:t xml:space="preserve"> or ATRA therapy</w:t>
      </w:r>
      <w:r w:rsidR="00B26810" w:rsidRPr="0049764D">
        <w:rPr>
          <w:szCs w:val="22"/>
        </w:rPr>
        <w:t>.</w:t>
      </w:r>
    </w:p>
    <w:p w:rsidR="000D4494" w:rsidRPr="0049764D" w:rsidRDefault="000D4494" w:rsidP="000D4494">
      <w:pPr>
        <w:pStyle w:val="ListParagraph"/>
        <w:ind w:left="709"/>
        <w:rPr>
          <w:szCs w:val="22"/>
        </w:rPr>
      </w:pPr>
    </w:p>
    <w:p w:rsidR="000D4494" w:rsidRPr="0049764D" w:rsidRDefault="000D4494" w:rsidP="00C94943">
      <w:pPr>
        <w:pStyle w:val="ListParagraph"/>
        <w:ind w:left="709"/>
        <w:rPr>
          <w:i/>
          <w:szCs w:val="22"/>
        </w:rPr>
      </w:pPr>
      <w:r w:rsidRPr="0049764D">
        <w:rPr>
          <w:i/>
          <w:szCs w:val="22"/>
        </w:rPr>
        <w:t>For more detail on PBAC’s view, see section 7 “PBAC outcome”</w:t>
      </w:r>
    </w:p>
    <w:p w:rsidR="004E43B2" w:rsidRPr="0049764D" w:rsidRDefault="004E43B2" w:rsidP="004B1CB4"/>
    <w:p w:rsidR="000D4494" w:rsidRPr="0049764D" w:rsidRDefault="000D4494" w:rsidP="004B1CB4"/>
    <w:p w:rsidR="00B50DB8" w:rsidRPr="0049764D" w:rsidRDefault="00B50DB8" w:rsidP="00BD6CF3">
      <w:pPr>
        <w:pStyle w:val="PBACHeading1"/>
      </w:pPr>
      <w:bookmarkStart w:id="3" w:name="_Toc440894563"/>
      <w:r w:rsidRPr="0049764D">
        <w:t>Background</w:t>
      </w:r>
      <w:bookmarkEnd w:id="3"/>
    </w:p>
    <w:p w:rsidR="00B60939" w:rsidRPr="0049764D" w:rsidRDefault="00B60939" w:rsidP="00B60939">
      <w:pPr>
        <w:rPr>
          <w:szCs w:val="22"/>
        </w:rPr>
      </w:pPr>
    </w:p>
    <w:p w:rsidR="004D559A" w:rsidRPr="0049764D" w:rsidRDefault="003A743D" w:rsidP="001611C7">
      <w:pPr>
        <w:pStyle w:val="ListParagraph"/>
        <w:widowControl/>
        <w:numPr>
          <w:ilvl w:val="1"/>
          <w:numId w:val="2"/>
        </w:numPr>
        <w:rPr>
          <w:szCs w:val="22"/>
        </w:rPr>
      </w:pPr>
      <w:r w:rsidRPr="0049764D">
        <w:rPr>
          <w:szCs w:val="22"/>
        </w:rPr>
        <w:t xml:space="preserve">The submission was made under TGA/PBAC Parallel Process.  At the time of PBAC consideration, </w:t>
      </w:r>
      <w:r w:rsidR="00913372" w:rsidRPr="0049764D">
        <w:rPr>
          <w:szCs w:val="22"/>
        </w:rPr>
        <w:t xml:space="preserve">sacubitril/valsartan had been registered. The approved TGA indication was for use in </w:t>
      </w:r>
      <w:r w:rsidR="004D559A" w:rsidRPr="0049764D">
        <w:t xml:space="preserve">adult patients for the treatment of chronic heart failure (New York Heart Association </w:t>
      </w:r>
      <w:r w:rsidR="00107917" w:rsidRPr="0049764D">
        <w:t xml:space="preserve">(NYHA) </w:t>
      </w:r>
      <w:r w:rsidR="004D559A" w:rsidRPr="0049764D">
        <w:t>class II-IV) with reduced ejection fraction.</w:t>
      </w:r>
    </w:p>
    <w:p w:rsidR="004D559A" w:rsidRPr="0049764D" w:rsidRDefault="004D559A" w:rsidP="004D559A">
      <w:pPr>
        <w:pStyle w:val="ListParagraph"/>
        <w:rPr>
          <w:szCs w:val="22"/>
        </w:rPr>
      </w:pPr>
    </w:p>
    <w:p w:rsidR="004D559A" w:rsidRPr="0049764D" w:rsidRDefault="004D559A" w:rsidP="001611C7">
      <w:pPr>
        <w:pStyle w:val="ListParagraph"/>
        <w:widowControl/>
        <w:numPr>
          <w:ilvl w:val="1"/>
          <w:numId w:val="2"/>
        </w:numPr>
        <w:rPr>
          <w:szCs w:val="22"/>
        </w:rPr>
      </w:pPr>
      <w:r w:rsidRPr="0049764D">
        <w:t>Sacubitril/valsartan is a fixed</w:t>
      </w:r>
      <w:r w:rsidR="00107917" w:rsidRPr="0049764D">
        <w:t>-</w:t>
      </w:r>
      <w:r w:rsidRPr="0049764D">
        <w:t xml:space="preserve">dose combination of sacubitril, a neprilysin inhibitor, and valsartan, an off-patent angiotensin II receptor antagonist (ATRA). Sacubitril monotherapy has not demonstrated clinically meaningful reductions in blood pressure. It is given with an ATRA because sacubitril increases angiotensin II. </w:t>
      </w:r>
      <w:r w:rsidR="00272BEC" w:rsidRPr="0049764D">
        <w:t xml:space="preserve">It is not given with an </w:t>
      </w:r>
      <w:r w:rsidR="0060305C" w:rsidRPr="0049764D">
        <w:rPr>
          <w:szCs w:val="22"/>
        </w:rPr>
        <w:t>ACE inhibitor</w:t>
      </w:r>
      <w:r w:rsidR="0060305C" w:rsidRPr="0049764D">
        <w:t xml:space="preserve"> </w:t>
      </w:r>
      <w:r w:rsidR="00272BEC" w:rsidRPr="0049764D">
        <w:t xml:space="preserve">because </w:t>
      </w:r>
      <w:r w:rsidR="0060305C" w:rsidRPr="0049764D">
        <w:t>the combination</w:t>
      </w:r>
      <w:r w:rsidRPr="0049764D">
        <w:t xml:space="preserve"> increases the risk of angioedema.</w:t>
      </w:r>
      <w:r w:rsidR="00CB1E7B">
        <w:t xml:space="preserve"> </w:t>
      </w:r>
    </w:p>
    <w:p w:rsidR="004D559A" w:rsidRPr="0049764D" w:rsidRDefault="004D559A" w:rsidP="004D559A">
      <w:pPr>
        <w:pStyle w:val="ListParagraph"/>
        <w:rPr>
          <w:szCs w:val="22"/>
        </w:rPr>
      </w:pPr>
    </w:p>
    <w:p w:rsidR="002C2775" w:rsidRPr="0049764D" w:rsidRDefault="00013F44" w:rsidP="001611C7">
      <w:pPr>
        <w:pStyle w:val="ListParagraph"/>
        <w:widowControl/>
        <w:numPr>
          <w:ilvl w:val="1"/>
          <w:numId w:val="2"/>
        </w:numPr>
        <w:rPr>
          <w:szCs w:val="22"/>
        </w:rPr>
      </w:pPr>
      <w:r w:rsidRPr="0049764D">
        <w:rPr>
          <w:szCs w:val="22"/>
        </w:rPr>
        <w:t xml:space="preserve">The PBAC </w:t>
      </w:r>
      <w:r w:rsidR="00255A7D">
        <w:rPr>
          <w:szCs w:val="22"/>
        </w:rPr>
        <w:t>had</w:t>
      </w:r>
      <w:r w:rsidR="00C95EC8" w:rsidRPr="0049764D">
        <w:rPr>
          <w:szCs w:val="22"/>
        </w:rPr>
        <w:t xml:space="preserve"> </w:t>
      </w:r>
      <w:r w:rsidRPr="0049764D">
        <w:rPr>
          <w:szCs w:val="22"/>
        </w:rPr>
        <w:t>not previously considered sacubitril/valsartan.</w:t>
      </w:r>
    </w:p>
    <w:p w:rsidR="00333C23" w:rsidRDefault="00333C23">
      <w:pPr>
        <w:widowControl/>
        <w:jc w:val="left"/>
      </w:pPr>
      <w:r>
        <w:br w:type="page"/>
      </w:r>
    </w:p>
    <w:p w:rsidR="004D559A" w:rsidRPr="0049764D" w:rsidRDefault="004D559A" w:rsidP="004B1CB4"/>
    <w:p w:rsidR="000D4494" w:rsidRPr="0049764D" w:rsidRDefault="000D4494" w:rsidP="004B1CB4"/>
    <w:p w:rsidR="00B50DB8" w:rsidRPr="0049764D" w:rsidRDefault="00B50DB8" w:rsidP="00BD6CF3">
      <w:pPr>
        <w:pStyle w:val="PBACHeading1"/>
      </w:pPr>
      <w:bookmarkStart w:id="4" w:name="_Toc440894564"/>
      <w:r w:rsidRPr="0049764D">
        <w:t>Clinical place for the proposed therapy</w:t>
      </w:r>
      <w:bookmarkEnd w:id="4"/>
    </w:p>
    <w:p w:rsidR="00B60939" w:rsidRPr="0049764D" w:rsidRDefault="00B60939" w:rsidP="00B60939">
      <w:pPr>
        <w:rPr>
          <w:szCs w:val="22"/>
        </w:rPr>
      </w:pPr>
    </w:p>
    <w:p w:rsidR="00977056" w:rsidRPr="0049764D" w:rsidRDefault="00097911" w:rsidP="001611C7">
      <w:pPr>
        <w:pStyle w:val="ListParagraph"/>
        <w:widowControl/>
        <w:numPr>
          <w:ilvl w:val="1"/>
          <w:numId w:val="2"/>
        </w:numPr>
        <w:rPr>
          <w:szCs w:val="22"/>
        </w:rPr>
      </w:pPr>
      <w:r w:rsidRPr="0049764D">
        <w:rPr>
          <w:szCs w:val="22"/>
        </w:rPr>
        <w:t>Chronic h</w:t>
      </w:r>
      <w:r w:rsidR="00977056" w:rsidRPr="0049764D">
        <w:rPr>
          <w:szCs w:val="22"/>
        </w:rPr>
        <w:t xml:space="preserve">eart failure </w:t>
      </w:r>
      <w:r w:rsidRPr="0049764D">
        <w:rPr>
          <w:szCs w:val="22"/>
        </w:rPr>
        <w:t xml:space="preserve">is characterised by </w:t>
      </w:r>
      <w:r w:rsidR="001832FB" w:rsidRPr="0049764D">
        <w:rPr>
          <w:szCs w:val="22"/>
        </w:rPr>
        <w:t>a</w:t>
      </w:r>
      <w:r w:rsidRPr="0049764D">
        <w:rPr>
          <w:szCs w:val="22"/>
        </w:rPr>
        <w:t xml:space="preserve"> structural abnormality or cardiac dysfunction that impairs the ability of the </w:t>
      </w:r>
      <w:r w:rsidR="001832FB" w:rsidRPr="0049764D">
        <w:rPr>
          <w:szCs w:val="22"/>
        </w:rPr>
        <w:t xml:space="preserve">heart </w:t>
      </w:r>
      <w:r w:rsidRPr="0049764D">
        <w:rPr>
          <w:szCs w:val="22"/>
        </w:rPr>
        <w:t>ventricle to fill with or eject blood</w:t>
      </w:r>
      <w:r w:rsidR="00977056" w:rsidRPr="0049764D">
        <w:rPr>
          <w:szCs w:val="22"/>
        </w:rPr>
        <w:t>.</w:t>
      </w:r>
      <w:r w:rsidRPr="0049764D">
        <w:rPr>
          <w:szCs w:val="22"/>
        </w:rPr>
        <w:t xml:space="preserve"> </w:t>
      </w:r>
      <w:r w:rsidR="001832FB" w:rsidRPr="0049764D">
        <w:rPr>
          <w:szCs w:val="22"/>
        </w:rPr>
        <w:t>Reduced ejection fraction, or s</w:t>
      </w:r>
      <w:r w:rsidRPr="0049764D">
        <w:rPr>
          <w:szCs w:val="22"/>
        </w:rPr>
        <w:t>ystolic</w:t>
      </w:r>
      <w:r w:rsidR="001832FB" w:rsidRPr="0049764D">
        <w:rPr>
          <w:szCs w:val="22"/>
        </w:rPr>
        <w:t>,</w:t>
      </w:r>
      <w:r w:rsidRPr="0049764D">
        <w:rPr>
          <w:szCs w:val="22"/>
        </w:rPr>
        <w:t xml:space="preserve"> heart failure refers to a weakened ability of the heart</w:t>
      </w:r>
      <w:r w:rsidR="001832FB" w:rsidRPr="0049764D">
        <w:rPr>
          <w:szCs w:val="22"/>
        </w:rPr>
        <w:t xml:space="preserve"> </w:t>
      </w:r>
      <w:r w:rsidRPr="0049764D">
        <w:rPr>
          <w:szCs w:val="22"/>
        </w:rPr>
        <w:t>to contract in systo</w:t>
      </w:r>
      <w:r w:rsidR="001832FB" w:rsidRPr="0049764D">
        <w:rPr>
          <w:szCs w:val="22"/>
        </w:rPr>
        <w:t>le. Symptoms are classified into four levels (I to IV) using the NYHA grading system. NYHA class I refers to no limitations, while class IV refers to symptoms at rest.</w:t>
      </w:r>
    </w:p>
    <w:p w:rsidR="001832FB" w:rsidRPr="0049764D" w:rsidRDefault="001832FB" w:rsidP="001832FB">
      <w:pPr>
        <w:pStyle w:val="ListParagraph"/>
        <w:widowControl/>
        <w:rPr>
          <w:szCs w:val="22"/>
        </w:rPr>
      </w:pPr>
    </w:p>
    <w:p w:rsidR="00B60939" w:rsidRPr="0049764D" w:rsidRDefault="00977056" w:rsidP="001611C7">
      <w:pPr>
        <w:pStyle w:val="ListParagraph"/>
        <w:widowControl/>
        <w:numPr>
          <w:ilvl w:val="1"/>
          <w:numId w:val="2"/>
        </w:numPr>
        <w:rPr>
          <w:szCs w:val="22"/>
        </w:rPr>
      </w:pPr>
      <w:r w:rsidRPr="0049764D">
        <w:rPr>
          <w:szCs w:val="22"/>
        </w:rPr>
        <w:t xml:space="preserve">Treatment for NYHA classes II to IV typically consists of ACE inhibitors, beta-blockers and, if there is fluid overload, a diuretic. </w:t>
      </w:r>
      <w:r w:rsidRPr="0049764D">
        <w:t>ATRA</w:t>
      </w:r>
      <w:r w:rsidR="00EF4492" w:rsidRPr="0049764D">
        <w:t>s</w:t>
      </w:r>
      <w:r w:rsidRPr="0049764D">
        <w:t xml:space="preserve"> are recommended as an alternative to ACE inhibitors in patients who cannot tolerate ACE inhibitors.</w:t>
      </w:r>
    </w:p>
    <w:p w:rsidR="00894489" w:rsidRPr="0049764D" w:rsidRDefault="00894489" w:rsidP="00894489">
      <w:pPr>
        <w:widowControl/>
        <w:rPr>
          <w:szCs w:val="22"/>
        </w:rPr>
      </w:pPr>
    </w:p>
    <w:p w:rsidR="005442EB" w:rsidRPr="0049764D" w:rsidRDefault="00C341CB" w:rsidP="001611C7">
      <w:pPr>
        <w:pStyle w:val="ListParagraph"/>
        <w:widowControl/>
        <w:numPr>
          <w:ilvl w:val="1"/>
          <w:numId w:val="2"/>
        </w:numPr>
        <w:rPr>
          <w:szCs w:val="22"/>
        </w:rPr>
      </w:pPr>
      <w:r w:rsidRPr="0049764D">
        <w:rPr>
          <w:szCs w:val="22"/>
        </w:rPr>
        <w:t xml:space="preserve">The submission proposed that sacubitril/valsartan be used in </w:t>
      </w:r>
      <w:r w:rsidR="005442EB" w:rsidRPr="0049764D">
        <w:rPr>
          <w:szCs w:val="22"/>
        </w:rPr>
        <w:t>patients with</w:t>
      </w:r>
      <w:r w:rsidRPr="0049764D">
        <w:rPr>
          <w:szCs w:val="22"/>
        </w:rPr>
        <w:t xml:space="preserve"> </w:t>
      </w:r>
      <w:r w:rsidRPr="0049764D">
        <w:t>chronic heart failure (</w:t>
      </w:r>
      <w:r w:rsidR="0060305C" w:rsidRPr="0049764D">
        <w:t>NYHA</w:t>
      </w:r>
      <w:r w:rsidRPr="0049764D">
        <w:t xml:space="preserve"> class II-IV) with an ejection fraction of 40% or less. The drug was proposed </w:t>
      </w:r>
      <w:r w:rsidR="00375255" w:rsidRPr="0049764D">
        <w:t xml:space="preserve">as a first-line treatment </w:t>
      </w:r>
      <w:r w:rsidR="00977056" w:rsidRPr="0049764D">
        <w:t xml:space="preserve">replacing the maximally tolerated dose of </w:t>
      </w:r>
      <w:r w:rsidR="003770C8" w:rsidRPr="0049764D">
        <w:t xml:space="preserve">an </w:t>
      </w:r>
      <w:r w:rsidR="00977056" w:rsidRPr="0049764D">
        <w:t xml:space="preserve">ACE inhibitor or </w:t>
      </w:r>
      <w:r w:rsidR="003770C8" w:rsidRPr="0049764D">
        <w:t xml:space="preserve">an </w:t>
      </w:r>
      <w:r w:rsidR="00977056" w:rsidRPr="0049764D">
        <w:t xml:space="preserve">ATRA. </w:t>
      </w:r>
    </w:p>
    <w:p w:rsidR="005442EB" w:rsidRPr="0049764D" w:rsidRDefault="005442EB" w:rsidP="005442EB">
      <w:pPr>
        <w:pStyle w:val="ListParagraph"/>
      </w:pPr>
    </w:p>
    <w:p w:rsidR="00B60939" w:rsidRPr="0049764D" w:rsidRDefault="005442EB" w:rsidP="001611C7">
      <w:pPr>
        <w:pStyle w:val="ListParagraph"/>
        <w:widowControl/>
        <w:numPr>
          <w:ilvl w:val="1"/>
          <w:numId w:val="2"/>
        </w:numPr>
        <w:rPr>
          <w:szCs w:val="22"/>
        </w:rPr>
      </w:pPr>
      <w:r w:rsidRPr="0049764D">
        <w:t xml:space="preserve">The submission stated that listing of sacubitril/valsartan would not impact the use of other co-administered therapies, such as </w:t>
      </w:r>
      <w:r w:rsidR="005D028F" w:rsidRPr="0049764D">
        <w:t>cardio</w:t>
      </w:r>
      <w:r w:rsidR="001D6A31" w:rsidRPr="0049764D">
        <w:t>-</w:t>
      </w:r>
      <w:r w:rsidR="005D028F" w:rsidRPr="0049764D">
        <w:t xml:space="preserve">selective </w:t>
      </w:r>
      <w:r w:rsidRPr="0049764D">
        <w:t>beta-blockers, diuretics, and later-line therapies such as spironolactone, digoxin and ivabradine.</w:t>
      </w:r>
    </w:p>
    <w:p w:rsidR="000D4494" w:rsidRPr="0049764D" w:rsidRDefault="000D4494" w:rsidP="000D4494">
      <w:pPr>
        <w:pStyle w:val="ListParagraph"/>
        <w:ind w:left="709"/>
        <w:rPr>
          <w:i/>
          <w:szCs w:val="22"/>
        </w:rPr>
      </w:pPr>
    </w:p>
    <w:p w:rsidR="000D4494" w:rsidRPr="0049764D" w:rsidRDefault="000D4494" w:rsidP="00C94943">
      <w:pPr>
        <w:pStyle w:val="ListParagraph"/>
        <w:ind w:left="709"/>
        <w:rPr>
          <w:i/>
          <w:szCs w:val="22"/>
        </w:rPr>
      </w:pPr>
      <w:r w:rsidRPr="0049764D">
        <w:rPr>
          <w:i/>
          <w:szCs w:val="22"/>
        </w:rPr>
        <w:t>For more detail on PBAC’s view, see section 7 “PBAC outcome”</w:t>
      </w:r>
    </w:p>
    <w:p w:rsidR="003B5468" w:rsidRPr="0049764D" w:rsidRDefault="003B5468" w:rsidP="00B60939">
      <w:pPr>
        <w:pStyle w:val="Header"/>
        <w:rPr>
          <w:szCs w:val="22"/>
        </w:rPr>
      </w:pPr>
    </w:p>
    <w:p w:rsidR="000D4494" w:rsidRPr="0049764D" w:rsidRDefault="000D4494" w:rsidP="00B60939">
      <w:pPr>
        <w:pStyle w:val="Header"/>
        <w:rPr>
          <w:szCs w:val="22"/>
        </w:rPr>
      </w:pPr>
    </w:p>
    <w:p w:rsidR="00B50DB8" w:rsidRPr="0049764D" w:rsidRDefault="00B50DB8" w:rsidP="00C90094">
      <w:pPr>
        <w:pStyle w:val="PBACHeading1"/>
        <w:rPr>
          <w:b w:val="0"/>
        </w:rPr>
      </w:pPr>
      <w:bookmarkStart w:id="5" w:name="_Toc440894565"/>
      <w:r w:rsidRPr="0049764D">
        <w:t>Comparator</w:t>
      </w:r>
      <w:bookmarkEnd w:id="5"/>
    </w:p>
    <w:p w:rsidR="00B60939" w:rsidRPr="0049764D" w:rsidRDefault="00B60939" w:rsidP="004B1CB4"/>
    <w:p w:rsidR="009E541A" w:rsidRPr="0049764D" w:rsidRDefault="001832FB" w:rsidP="001611C7">
      <w:pPr>
        <w:pStyle w:val="ListParagraph"/>
        <w:widowControl/>
        <w:numPr>
          <w:ilvl w:val="1"/>
          <w:numId w:val="2"/>
        </w:numPr>
      </w:pPr>
      <w:r w:rsidRPr="0049764D">
        <w:t xml:space="preserve">Enalapril, as a proxy for all ACE inhibitors, was nominated as the main comparator. </w:t>
      </w:r>
      <w:r w:rsidR="009E541A" w:rsidRPr="0049764D">
        <w:t>ACE inhibitors, at appropriate doses, are appropriate comparators for a first-line place in therapy.</w:t>
      </w:r>
    </w:p>
    <w:p w:rsidR="009E541A" w:rsidRPr="0049764D" w:rsidRDefault="009E541A" w:rsidP="009E541A">
      <w:pPr>
        <w:pStyle w:val="ListParagraph"/>
        <w:widowControl/>
        <w:rPr>
          <w:szCs w:val="22"/>
        </w:rPr>
      </w:pPr>
    </w:p>
    <w:p w:rsidR="00E12862" w:rsidRPr="0049764D" w:rsidRDefault="009E541A" w:rsidP="001611C7">
      <w:pPr>
        <w:pStyle w:val="ListParagraph"/>
        <w:widowControl/>
        <w:numPr>
          <w:ilvl w:val="1"/>
          <w:numId w:val="2"/>
        </w:numPr>
        <w:rPr>
          <w:szCs w:val="22"/>
        </w:rPr>
      </w:pPr>
      <w:r w:rsidRPr="0049764D">
        <w:t xml:space="preserve">The submission appropriately nominated ATRAs as a secondary comparator. However, due to a lack of evidence, the submission did not conduct a </w:t>
      </w:r>
      <w:r w:rsidR="005442EB" w:rsidRPr="0049764D">
        <w:t xml:space="preserve">formal </w:t>
      </w:r>
      <w:r w:rsidRPr="0049764D">
        <w:t>clinical comparison of the two treatments, and</w:t>
      </w:r>
      <w:r w:rsidR="00B1462E" w:rsidRPr="0049764D">
        <w:t xml:space="preserve"> </w:t>
      </w:r>
      <w:r w:rsidRPr="0049764D">
        <w:t xml:space="preserve">no economic comparisons were made. </w:t>
      </w:r>
    </w:p>
    <w:p w:rsidR="000012CC" w:rsidRPr="0049764D" w:rsidRDefault="000012CC" w:rsidP="000012CC">
      <w:pPr>
        <w:pStyle w:val="ListParagraph"/>
        <w:rPr>
          <w:szCs w:val="22"/>
        </w:rPr>
      </w:pPr>
    </w:p>
    <w:p w:rsidR="000012CC" w:rsidRPr="0049764D" w:rsidRDefault="000012CC" w:rsidP="001611C7">
      <w:pPr>
        <w:pStyle w:val="ListParagraph"/>
        <w:widowControl/>
        <w:numPr>
          <w:ilvl w:val="1"/>
          <w:numId w:val="2"/>
        </w:numPr>
        <w:rPr>
          <w:szCs w:val="22"/>
        </w:rPr>
      </w:pPr>
      <w:r w:rsidRPr="0049764D">
        <w:rPr>
          <w:szCs w:val="22"/>
        </w:rPr>
        <w:t>A comparison with valsartan alone would have assisted in determining the value of adding sacubitril to valsartan alone.</w:t>
      </w:r>
    </w:p>
    <w:p w:rsidR="000D4494" w:rsidRPr="0049764D" w:rsidRDefault="000D4494" w:rsidP="000D4494">
      <w:pPr>
        <w:rPr>
          <w:i/>
          <w:szCs w:val="22"/>
        </w:rPr>
      </w:pPr>
    </w:p>
    <w:p w:rsidR="000D4494" w:rsidRPr="0049764D" w:rsidRDefault="000D4494" w:rsidP="00C94943">
      <w:pPr>
        <w:pStyle w:val="ListParagraph"/>
        <w:ind w:left="709"/>
        <w:rPr>
          <w:i/>
          <w:szCs w:val="22"/>
        </w:rPr>
      </w:pPr>
      <w:r w:rsidRPr="0049764D">
        <w:rPr>
          <w:i/>
          <w:szCs w:val="22"/>
        </w:rPr>
        <w:t>For more detail on PBAC’s view, see section 7 “PBAC outcome”</w:t>
      </w:r>
    </w:p>
    <w:p w:rsidR="003B5468" w:rsidRPr="0049764D" w:rsidRDefault="003B5468" w:rsidP="00DF5D2B">
      <w:pPr>
        <w:rPr>
          <w:szCs w:val="22"/>
        </w:rPr>
      </w:pPr>
    </w:p>
    <w:p w:rsidR="009E541A" w:rsidRPr="0049764D" w:rsidRDefault="009E541A" w:rsidP="00631BEB">
      <w:pPr>
        <w:widowControl/>
        <w:jc w:val="left"/>
        <w:rPr>
          <w:szCs w:val="22"/>
        </w:rPr>
      </w:pPr>
    </w:p>
    <w:p w:rsidR="00B50DB8" w:rsidRPr="0049764D" w:rsidRDefault="00BD6CF3" w:rsidP="00BD6CF3">
      <w:pPr>
        <w:pStyle w:val="PBACHeading1"/>
      </w:pPr>
      <w:bookmarkStart w:id="6" w:name="_Toc440894566"/>
      <w:r w:rsidRPr="0049764D">
        <w:t>C</w:t>
      </w:r>
      <w:r w:rsidR="00B50DB8" w:rsidRPr="0049764D">
        <w:t>onsideration of the evidence</w:t>
      </w:r>
      <w:bookmarkEnd w:id="6"/>
    </w:p>
    <w:p w:rsidR="00B60939" w:rsidRPr="0049764D" w:rsidRDefault="00B60939" w:rsidP="004B1CB4"/>
    <w:p w:rsidR="003B5468" w:rsidRPr="00665967" w:rsidRDefault="003B5468" w:rsidP="003B5468">
      <w:pPr>
        <w:spacing w:after="200" w:line="276" w:lineRule="auto"/>
        <w:rPr>
          <w:b/>
          <w:bCs/>
          <w:i/>
          <w:szCs w:val="22"/>
        </w:rPr>
      </w:pPr>
      <w:r w:rsidRPr="00665967">
        <w:rPr>
          <w:b/>
          <w:bCs/>
          <w:i/>
          <w:szCs w:val="22"/>
        </w:rPr>
        <w:t>Sponsor hearing</w:t>
      </w:r>
    </w:p>
    <w:p w:rsidR="003E324B" w:rsidRPr="0049764D" w:rsidRDefault="003B5468" w:rsidP="001611C7">
      <w:pPr>
        <w:numPr>
          <w:ilvl w:val="1"/>
          <w:numId w:val="2"/>
        </w:numPr>
        <w:contextualSpacing/>
        <w:rPr>
          <w:bCs/>
          <w:szCs w:val="22"/>
        </w:rPr>
      </w:pPr>
      <w:r w:rsidRPr="0049764D">
        <w:rPr>
          <w:bCs/>
          <w:szCs w:val="22"/>
        </w:rPr>
        <w:t>The sponsor requested a hearing for this item.</w:t>
      </w:r>
      <w:r w:rsidRPr="0049764D">
        <w:rPr>
          <w:bCs/>
          <w:i/>
          <w:szCs w:val="22"/>
        </w:rPr>
        <w:t xml:space="preserve">  </w:t>
      </w:r>
      <w:r w:rsidRPr="0049764D">
        <w:rPr>
          <w:bCs/>
          <w:szCs w:val="22"/>
        </w:rPr>
        <w:t>The clinician discussed the</w:t>
      </w:r>
      <w:r w:rsidR="003E324B" w:rsidRPr="0049764D">
        <w:rPr>
          <w:bCs/>
          <w:szCs w:val="22"/>
        </w:rPr>
        <w:t xml:space="preserve"> clinical need in this condition, when patient prognosis is often poor despite the availability of a number of therapies. The clinician also responded to concerns in the Commentary and ESC Advice about the doses used in the key trial, discussing the doses likely to </w:t>
      </w:r>
      <w:r w:rsidR="003E324B" w:rsidRPr="0049764D">
        <w:rPr>
          <w:bCs/>
          <w:szCs w:val="22"/>
        </w:rPr>
        <w:lastRenderedPageBreak/>
        <w:t xml:space="preserve">be used for this product and current clinical practice for existing therapies, and </w:t>
      </w:r>
      <w:r w:rsidRPr="0049764D">
        <w:rPr>
          <w:bCs/>
          <w:szCs w:val="22"/>
        </w:rPr>
        <w:t>addressed other matters in response to the Committee’s questions.</w:t>
      </w:r>
      <w:r w:rsidR="00A239BC">
        <w:rPr>
          <w:bCs/>
          <w:szCs w:val="22"/>
        </w:rPr>
        <w:t xml:space="preserve"> </w:t>
      </w:r>
      <w:r w:rsidR="00A239BC">
        <w:t>The clinician provided useful information on dose-response data from the trial. The hearing was useful</w:t>
      </w:r>
    </w:p>
    <w:p w:rsidR="003B5468" w:rsidRPr="00E52AB7" w:rsidRDefault="003B5468" w:rsidP="003B5468">
      <w:pPr>
        <w:rPr>
          <w:bCs/>
          <w:szCs w:val="22"/>
        </w:rPr>
      </w:pPr>
    </w:p>
    <w:p w:rsidR="003B5468" w:rsidRDefault="003B5468" w:rsidP="00665967">
      <w:pPr>
        <w:pStyle w:val="Heading2"/>
      </w:pPr>
      <w:r w:rsidRPr="0049764D">
        <w:t>Consumer comments</w:t>
      </w:r>
    </w:p>
    <w:p w:rsidR="00665967" w:rsidRPr="00665967" w:rsidRDefault="00665967" w:rsidP="00665967"/>
    <w:p w:rsidR="003B5468" w:rsidRPr="0049764D" w:rsidRDefault="00430B9D" w:rsidP="001611C7">
      <w:pPr>
        <w:numPr>
          <w:ilvl w:val="1"/>
          <w:numId w:val="2"/>
        </w:numPr>
        <w:contextualSpacing/>
        <w:rPr>
          <w:bCs/>
          <w:szCs w:val="22"/>
        </w:rPr>
      </w:pPr>
      <w:r w:rsidRPr="0049764D">
        <w:rPr>
          <w:bCs/>
          <w:szCs w:val="22"/>
        </w:rPr>
        <w:t>The PBAC noted that no consumer comments were received for this item</w:t>
      </w:r>
      <w:r w:rsidR="003B5468" w:rsidRPr="0049764D">
        <w:rPr>
          <w:bCs/>
          <w:i/>
          <w:szCs w:val="22"/>
        </w:rPr>
        <w:t xml:space="preserve"> </w:t>
      </w:r>
    </w:p>
    <w:p w:rsidR="003B5468" w:rsidRPr="0049764D" w:rsidRDefault="003B5468" w:rsidP="003B5468">
      <w:pPr>
        <w:pStyle w:val="ListParagraph"/>
        <w:rPr>
          <w:bCs/>
          <w:szCs w:val="22"/>
        </w:rPr>
      </w:pPr>
    </w:p>
    <w:p w:rsidR="003B5468" w:rsidRPr="00665967" w:rsidRDefault="003B5468" w:rsidP="00665967">
      <w:pPr>
        <w:pStyle w:val="Heading2"/>
      </w:pPr>
      <w:r w:rsidRPr="00665967">
        <w:t>Clinical trials</w:t>
      </w:r>
    </w:p>
    <w:p w:rsidR="003B5468" w:rsidRPr="0049764D" w:rsidRDefault="003B5468" w:rsidP="003B5468">
      <w:pPr>
        <w:ind w:left="720"/>
        <w:contextualSpacing/>
        <w:rPr>
          <w:bCs/>
          <w:szCs w:val="22"/>
          <w:highlight w:val="yellow"/>
        </w:rPr>
      </w:pPr>
    </w:p>
    <w:p w:rsidR="007F1017" w:rsidRPr="0049764D" w:rsidRDefault="00E13B37" w:rsidP="001611C7">
      <w:pPr>
        <w:pStyle w:val="ListParagraph"/>
        <w:widowControl/>
        <w:numPr>
          <w:ilvl w:val="1"/>
          <w:numId w:val="2"/>
        </w:numPr>
        <w:rPr>
          <w:szCs w:val="22"/>
        </w:rPr>
      </w:pPr>
      <w:r w:rsidRPr="0049764D">
        <w:t>T</w:t>
      </w:r>
      <w:r w:rsidR="00B1462E" w:rsidRPr="0049764D">
        <w:t>he submission wa</w:t>
      </w:r>
      <w:r w:rsidR="00862502" w:rsidRPr="0049764D">
        <w:t xml:space="preserve">s based on one head-to-head trial comparing </w:t>
      </w:r>
      <w:r w:rsidRPr="0049764D">
        <w:t>sacubitril/valsartan with enalapril</w:t>
      </w:r>
      <w:r w:rsidR="00862502" w:rsidRPr="0049764D">
        <w:t xml:space="preserve"> (</w:t>
      </w:r>
      <w:r w:rsidRPr="0049764D">
        <w:t>8,442</w:t>
      </w:r>
      <w:r w:rsidR="00B1462E" w:rsidRPr="0049764D">
        <w:t xml:space="preserve"> patients randomised</w:t>
      </w:r>
      <w:r w:rsidR="00862502" w:rsidRPr="0049764D">
        <w:t>).</w:t>
      </w:r>
      <w:r w:rsidR="00702F8F" w:rsidRPr="0049764D">
        <w:rPr>
          <w:color w:val="3366FF"/>
        </w:rPr>
        <w:t xml:space="preserve"> </w:t>
      </w:r>
    </w:p>
    <w:p w:rsidR="00862502" w:rsidRPr="0049764D" w:rsidRDefault="00862502" w:rsidP="00862502">
      <w:pPr>
        <w:widowControl/>
        <w:rPr>
          <w:szCs w:val="22"/>
        </w:rPr>
      </w:pPr>
    </w:p>
    <w:p w:rsidR="00862502" w:rsidRPr="0049764D" w:rsidRDefault="00862502" w:rsidP="001611C7">
      <w:pPr>
        <w:pStyle w:val="ListParagraph"/>
        <w:widowControl/>
        <w:numPr>
          <w:ilvl w:val="1"/>
          <w:numId w:val="2"/>
        </w:numPr>
        <w:rPr>
          <w:szCs w:val="22"/>
        </w:rPr>
      </w:pPr>
      <w:r w:rsidRPr="0049764D">
        <w:rPr>
          <w:szCs w:val="22"/>
        </w:rPr>
        <w:t>Details of the trial presented in the submission are provided in the table below.</w:t>
      </w:r>
      <w:r w:rsidR="00CB1E7B">
        <w:rPr>
          <w:szCs w:val="22"/>
        </w:rPr>
        <w:t xml:space="preserve"> </w:t>
      </w:r>
    </w:p>
    <w:p w:rsidR="00862502" w:rsidRPr="0049764D" w:rsidRDefault="00862502" w:rsidP="00862502">
      <w:pPr>
        <w:widowControl/>
        <w:rPr>
          <w:szCs w:val="22"/>
        </w:rPr>
      </w:pPr>
    </w:p>
    <w:p w:rsidR="00E13B37" w:rsidRPr="0049764D" w:rsidRDefault="00E13B37" w:rsidP="00E13B37">
      <w:pPr>
        <w:ind w:firstLine="720"/>
        <w:rPr>
          <w:rStyle w:val="CommentReference"/>
        </w:rPr>
      </w:pPr>
      <w:r w:rsidRPr="0049764D">
        <w:rPr>
          <w:rStyle w:val="CommentReference"/>
        </w:rPr>
        <w:t>Table 1: Trial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7"/>
        <w:gridCol w:w="5104"/>
        <w:gridCol w:w="1964"/>
      </w:tblGrid>
      <w:tr w:rsidR="00E13B37" w:rsidRPr="0049764D" w:rsidTr="00B811AE">
        <w:trPr>
          <w:tblHeader/>
        </w:trPr>
        <w:tc>
          <w:tcPr>
            <w:tcW w:w="765" w:type="pct"/>
          </w:tcPr>
          <w:p w:rsidR="00E13B37" w:rsidRPr="0049764D" w:rsidRDefault="00E13B37" w:rsidP="00A12D40">
            <w:pPr>
              <w:jc w:val="left"/>
              <w:rPr>
                <w:rFonts w:ascii="Arial Narrow" w:hAnsi="Arial Narrow"/>
                <w:b/>
                <w:sz w:val="20"/>
              </w:rPr>
            </w:pPr>
            <w:r w:rsidRPr="0049764D">
              <w:rPr>
                <w:rFonts w:ascii="Arial Narrow" w:hAnsi="Arial Narrow"/>
                <w:b/>
                <w:sz w:val="20"/>
              </w:rPr>
              <w:t>Trial ID</w:t>
            </w:r>
          </w:p>
        </w:tc>
        <w:tc>
          <w:tcPr>
            <w:tcW w:w="3058" w:type="pct"/>
          </w:tcPr>
          <w:p w:rsidR="00E13B37" w:rsidRPr="0049764D" w:rsidRDefault="00E13B37" w:rsidP="00A12D40">
            <w:pPr>
              <w:jc w:val="center"/>
              <w:rPr>
                <w:rFonts w:ascii="Arial Narrow" w:hAnsi="Arial Narrow"/>
                <w:b/>
                <w:sz w:val="20"/>
              </w:rPr>
            </w:pPr>
            <w:r w:rsidRPr="0049764D">
              <w:rPr>
                <w:rFonts w:ascii="Arial Narrow" w:hAnsi="Arial Narrow"/>
                <w:b/>
                <w:sz w:val="20"/>
              </w:rPr>
              <w:t>Protocol title/ Publication title</w:t>
            </w:r>
          </w:p>
        </w:tc>
        <w:tc>
          <w:tcPr>
            <w:tcW w:w="1178" w:type="pct"/>
          </w:tcPr>
          <w:p w:rsidR="00E13B37" w:rsidRPr="0049764D" w:rsidRDefault="00E13B37" w:rsidP="00A12D40">
            <w:pPr>
              <w:jc w:val="center"/>
              <w:rPr>
                <w:rFonts w:ascii="Arial Narrow" w:hAnsi="Arial Narrow"/>
                <w:b/>
                <w:sz w:val="20"/>
              </w:rPr>
            </w:pPr>
            <w:r w:rsidRPr="0049764D">
              <w:rPr>
                <w:rFonts w:ascii="Arial Narrow" w:hAnsi="Arial Narrow"/>
                <w:b/>
                <w:sz w:val="20"/>
              </w:rPr>
              <w:t>Publication citation</w:t>
            </w:r>
          </w:p>
        </w:tc>
      </w:tr>
      <w:tr w:rsidR="00E13B37" w:rsidRPr="0049764D" w:rsidTr="00E13B37">
        <w:tc>
          <w:tcPr>
            <w:tcW w:w="5000" w:type="pct"/>
            <w:gridSpan w:val="3"/>
          </w:tcPr>
          <w:p w:rsidR="00E13B37" w:rsidRPr="0049764D" w:rsidRDefault="00E13B37" w:rsidP="00A12D40">
            <w:pPr>
              <w:jc w:val="left"/>
              <w:rPr>
                <w:rFonts w:ascii="Arial Narrow" w:hAnsi="Arial Narrow"/>
                <w:b/>
                <w:sz w:val="20"/>
              </w:rPr>
            </w:pPr>
            <w:r w:rsidRPr="0049764D">
              <w:rPr>
                <w:rFonts w:ascii="Arial Narrow" w:hAnsi="Arial Narrow"/>
                <w:b/>
                <w:sz w:val="20"/>
              </w:rPr>
              <w:t>Direct randomised trial(s)</w:t>
            </w:r>
          </w:p>
        </w:tc>
      </w:tr>
      <w:tr w:rsidR="00E13B37" w:rsidRPr="0049764D" w:rsidTr="00B811AE">
        <w:tc>
          <w:tcPr>
            <w:tcW w:w="765" w:type="pct"/>
          </w:tcPr>
          <w:p w:rsidR="00E13B37" w:rsidRPr="0049764D" w:rsidRDefault="00E13B37" w:rsidP="00A12D40">
            <w:pPr>
              <w:jc w:val="left"/>
              <w:rPr>
                <w:rFonts w:ascii="Arial Narrow" w:hAnsi="Arial Narrow"/>
                <w:sz w:val="20"/>
              </w:rPr>
            </w:pPr>
            <w:r w:rsidRPr="0049764D">
              <w:rPr>
                <w:rFonts w:ascii="Arial Narrow" w:hAnsi="Arial Narrow"/>
                <w:sz w:val="20"/>
              </w:rPr>
              <w:t>PARADIGM-HF</w:t>
            </w:r>
          </w:p>
        </w:tc>
        <w:tc>
          <w:tcPr>
            <w:tcW w:w="3058" w:type="pct"/>
          </w:tcPr>
          <w:p w:rsidR="00E13B37" w:rsidRPr="0049764D" w:rsidRDefault="00C038E7" w:rsidP="00C038E7">
            <w:pPr>
              <w:jc w:val="left"/>
              <w:rPr>
                <w:rFonts w:ascii="Arial Narrow" w:hAnsi="Arial Narrow"/>
                <w:sz w:val="20"/>
              </w:rPr>
            </w:pPr>
            <w:r w:rsidRPr="0049764D">
              <w:rPr>
                <w:rFonts w:ascii="Arial Narrow" w:hAnsi="Arial Narrow"/>
                <w:sz w:val="20"/>
              </w:rPr>
              <w:t>A multicenter, randomized, double-blind, parallel group, active-controlled study to evaluate the efficacy and safety of LCZ696 compared to enalapril on morbidity and mortality in patients with chronic heart failure and reduced ejection fraction (</w:t>
            </w:r>
            <w:r w:rsidR="00E13B37" w:rsidRPr="0049764D">
              <w:rPr>
                <w:rFonts w:ascii="Arial Narrow" w:hAnsi="Arial Narrow"/>
                <w:sz w:val="20"/>
              </w:rPr>
              <w:t>NCT01035255</w:t>
            </w:r>
            <w:r w:rsidRPr="0049764D">
              <w:rPr>
                <w:rFonts w:ascii="Arial Narrow" w:hAnsi="Arial Narrow"/>
                <w:sz w:val="20"/>
              </w:rPr>
              <w:t>)</w:t>
            </w:r>
            <w:r w:rsidR="00E13B37" w:rsidRPr="0049764D">
              <w:rPr>
                <w:rFonts w:ascii="Arial Narrow" w:hAnsi="Arial Narrow"/>
                <w:sz w:val="20"/>
              </w:rPr>
              <w:t xml:space="preserve"> </w:t>
            </w:r>
          </w:p>
          <w:p w:rsidR="00E13B37" w:rsidRPr="0049764D" w:rsidRDefault="00E13B37" w:rsidP="00A12D40">
            <w:pPr>
              <w:jc w:val="left"/>
              <w:rPr>
                <w:rFonts w:ascii="Arial Narrow" w:hAnsi="Arial Narrow"/>
                <w:sz w:val="20"/>
              </w:rPr>
            </w:pPr>
          </w:p>
          <w:p w:rsidR="00E13B37" w:rsidRPr="0049764D" w:rsidRDefault="00E13B37" w:rsidP="00A12D40">
            <w:pPr>
              <w:jc w:val="left"/>
              <w:rPr>
                <w:rFonts w:ascii="Arial Narrow" w:hAnsi="Arial Narrow"/>
                <w:sz w:val="20"/>
              </w:rPr>
            </w:pPr>
            <w:r w:rsidRPr="0049764D">
              <w:rPr>
                <w:rFonts w:ascii="Arial Narrow" w:hAnsi="Arial Narrow"/>
                <w:sz w:val="20"/>
              </w:rPr>
              <w:t xml:space="preserve">McMurray J, Packer M, Desai A, et al. Angiotensin-neprilysin inhibition versus enalapril in heart failure. </w:t>
            </w:r>
          </w:p>
          <w:p w:rsidR="003770C8" w:rsidRPr="0049764D" w:rsidRDefault="003770C8" w:rsidP="00A12D40">
            <w:pPr>
              <w:jc w:val="left"/>
              <w:rPr>
                <w:rFonts w:ascii="Arial Narrow" w:hAnsi="Arial Narrow"/>
                <w:sz w:val="20"/>
              </w:rPr>
            </w:pPr>
          </w:p>
          <w:p w:rsidR="003770C8" w:rsidRPr="0049764D" w:rsidRDefault="003770C8" w:rsidP="00197289">
            <w:pPr>
              <w:jc w:val="left"/>
              <w:rPr>
                <w:rFonts w:ascii="Arial Narrow" w:hAnsi="Arial Narrow"/>
                <w:sz w:val="20"/>
              </w:rPr>
            </w:pPr>
            <w:r w:rsidRPr="0049764D">
              <w:rPr>
                <w:rFonts w:ascii="Arial Narrow" w:hAnsi="Arial Narrow"/>
                <w:sz w:val="20"/>
              </w:rPr>
              <w:t>Claggett B,</w:t>
            </w:r>
            <w:r w:rsidR="00197289" w:rsidRPr="0049764D">
              <w:rPr>
                <w:rFonts w:ascii="Arial Narrow" w:hAnsi="Arial Narrow"/>
                <w:sz w:val="20"/>
              </w:rPr>
              <w:t xml:space="preserve"> Packer M, McMurray J,</w:t>
            </w:r>
            <w:r w:rsidRPr="0049764D">
              <w:rPr>
                <w:rFonts w:ascii="Arial Narrow" w:hAnsi="Arial Narrow"/>
                <w:sz w:val="20"/>
              </w:rPr>
              <w:t xml:space="preserve"> et a</w:t>
            </w:r>
            <w:r w:rsidR="00197289" w:rsidRPr="0049764D">
              <w:rPr>
                <w:rFonts w:ascii="Arial Narrow" w:hAnsi="Arial Narrow"/>
                <w:sz w:val="20"/>
              </w:rPr>
              <w:t>l</w:t>
            </w:r>
            <w:r w:rsidRPr="0049764D">
              <w:rPr>
                <w:rFonts w:ascii="Arial Narrow" w:hAnsi="Arial Narrow"/>
                <w:sz w:val="20"/>
              </w:rPr>
              <w:t xml:space="preserve">. Estimating the Long-Term Treatment Benefits of Sacubitril–Valsartan. </w:t>
            </w:r>
          </w:p>
        </w:tc>
        <w:tc>
          <w:tcPr>
            <w:tcW w:w="1178" w:type="pct"/>
          </w:tcPr>
          <w:p w:rsidR="00E13B37" w:rsidRPr="0049764D" w:rsidRDefault="00990C0E" w:rsidP="00A12D40">
            <w:pPr>
              <w:jc w:val="left"/>
              <w:rPr>
                <w:rFonts w:ascii="Arial Narrow" w:hAnsi="Arial Narrow"/>
                <w:sz w:val="20"/>
              </w:rPr>
            </w:pPr>
            <w:r w:rsidRPr="0049764D">
              <w:rPr>
                <w:rFonts w:ascii="Arial Narrow" w:hAnsi="Arial Narrow"/>
                <w:sz w:val="20"/>
              </w:rPr>
              <w:t>31 October 2014</w:t>
            </w:r>
            <w:bookmarkStart w:id="7" w:name="_GoBack"/>
          </w:p>
          <w:p w:rsidR="00E13B37" w:rsidRPr="0049764D" w:rsidRDefault="00E13B37" w:rsidP="00A12D40">
            <w:pPr>
              <w:jc w:val="left"/>
              <w:rPr>
                <w:rFonts w:ascii="Arial Narrow" w:hAnsi="Arial Narrow"/>
                <w:sz w:val="20"/>
              </w:rPr>
            </w:pPr>
          </w:p>
          <w:p w:rsidR="00E13B37" w:rsidRPr="0049764D" w:rsidRDefault="00E13B37" w:rsidP="00A12D40">
            <w:pPr>
              <w:jc w:val="left"/>
              <w:rPr>
                <w:rFonts w:ascii="Arial Narrow" w:hAnsi="Arial Narrow"/>
                <w:sz w:val="20"/>
              </w:rPr>
            </w:pPr>
          </w:p>
          <w:p w:rsidR="00E13B37" w:rsidRPr="0049764D" w:rsidRDefault="00E13B37" w:rsidP="00A12D40">
            <w:pPr>
              <w:jc w:val="left"/>
              <w:rPr>
                <w:rFonts w:ascii="Arial Narrow" w:hAnsi="Arial Narrow"/>
                <w:sz w:val="20"/>
              </w:rPr>
            </w:pPr>
          </w:p>
          <w:p w:rsidR="005D028F" w:rsidRPr="0049764D" w:rsidRDefault="005D028F" w:rsidP="00A12D40">
            <w:pPr>
              <w:jc w:val="left"/>
              <w:rPr>
                <w:rFonts w:ascii="Arial Narrow" w:hAnsi="Arial Narrow"/>
                <w:sz w:val="20"/>
              </w:rPr>
            </w:pPr>
          </w:p>
          <w:bookmarkEnd w:id="7"/>
          <w:p w:rsidR="003770C8" w:rsidRPr="0049764D" w:rsidRDefault="00E13B37" w:rsidP="00A12D40">
            <w:pPr>
              <w:jc w:val="left"/>
              <w:rPr>
                <w:rFonts w:ascii="Arial Narrow" w:hAnsi="Arial Narrow"/>
                <w:sz w:val="20"/>
              </w:rPr>
            </w:pPr>
            <w:r w:rsidRPr="0049764D">
              <w:rPr>
                <w:rFonts w:ascii="Arial Narrow" w:hAnsi="Arial Narrow"/>
                <w:sz w:val="20"/>
              </w:rPr>
              <w:t>NEJM 2014; 371 (11):</w:t>
            </w:r>
            <w:r w:rsidR="00197289" w:rsidRPr="0049764D">
              <w:rPr>
                <w:rFonts w:ascii="Arial Narrow" w:hAnsi="Arial Narrow"/>
                <w:sz w:val="20"/>
              </w:rPr>
              <w:t xml:space="preserve"> </w:t>
            </w:r>
            <w:r w:rsidRPr="0049764D">
              <w:rPr>
                <w:rFonts w:ascii="Arial Narrow" w:hAnsi="Arial Narrow"/>
                <w:sz w:val="20"/>
              </w:rPr>
              <w:t>993-1004</w:t>
            </w:r>
            <w:r w:rsidR="003770C8" w:rsidRPr="0049764D">
              <w:rPr>
                <w:rFonts w:ascii="Arial Narrow" w:hAnsi="Arial Narrow"/>
                <w:sz w:val="20"/>
              </w:rPr>
              <w:t xml:space="preserve"> </w:t>
            </w:r>
          </w:p>
          <w:p w:rsidR="003770C8" w:rsidRPr="0049764D" w:rsidRDefault="003770C8" w:rsidP="00A12D40">
            <w:pPr>
              <w:jc w:val="left"/>
              <w:rPr>
                <w:rFonts w:ascii="Arial Narrow" w:hAnsi="Arial Narrow"/>
                <w:sz w:val="20"/>
              </w:rPr>
            </w:pPr>
          </w:p>
          <w:p w:rsidR="00E13B37" w:rsidRPr="0049764D" w:rsidRDefault="003770C8" w:rsidP="00197289">
            <w:pPr>
              <w:jc w:val="left"/>
              <w:rPr>
                <w:rFonts w:ascii="Arial Narrow" w:hAnsi="Arial Narrow"/>
                <w:b/>
                <w:sz w:val="20"/>
              </w:rPr>
            </w:pPr>
            <w:r w:rsidRPr="0049764D">
              <w:rPr>
                <w:rFonts w:ascii="Arial Narrow" w:hAnsi="Arial Narrow"/>
                <w:sz w:val="20"/>
              </w:rPr>
              <w:t>NEJM 2015</w:t>
            </w:r>
            <w:r w:rsidR="00197289" w:rsidRPr="0049764D">
              <w:rPr>
                <w:rFonts w:ascii="Arial Narrow" w:hAnsi="Arial Narrow"/>
                <w:sz w:val="20"/>
              </w:rPr>
              <w:t>;</w:t>
            </w:r>
            <w:r w:rsidRPr="0049764D">
              <w:rPr>
                <w:rFonts w:ascii="Arial Narrow" w:hAnsi="Arial Narrow"/>
                <w:sz w:val="20"/>
              </w:rPr>
              <w:t xml:space="preserve"> 373</w:t>
            </w:r>
            <w:r w:rsidR="00197289" w:rsidRPr="0049764D">
              <w:rPr>
                <w:rFonts w:ascii="Arial Narrow" w:hAnsi="Arial Narrow"/>
                <w:sz w:val="20"/>
              </w:rPr>
              <w:t xml:space="preserve"> </w:t>
            </w:r>
            <w:r w:rsidRPr="0049764D">
              <w:rPr>
                <w:rFonts w:ascii="Arial Narrow" w:hAnsi="Arial Narrow"/>
                <w:sz w:val="20"/>
              </w:rPr>
              <w:t>(23):  289-2290</w:t>
            </w:r>
          </w:p>
        </w:tc>
      </w:tr>
    </w:tbl>
    <w:p w:rsidR="00E13B37" w:rsidRPr="0049764D" w:rsidRDefault="00E13B37" w:rsidP="00E13B37">
      <w:pPr>
        <w:pStyle w:val="TableFooter"/>
        <w:ind w:firstLine="720"/>
      </w:pPr>
      <w:r w:rsidRPr="0049764D">
        <w:t>Source: Table 14, pp49-50 of the submission</w:t>
      </w:r>
    </w:p>
    <w:p w:rsidR="00E13B37" w:rsidRPr="0049764D" w:rsidRDefault="00E13B37" w:rsidP="00862502">
      <w:pPr>
        <w:widowControl/>
        <w:rPr>
          <w:szCs w:val="22"/>
        </w:rPr>
      </w:pPr>
    </w:p>
    <w:p w:rsidR="007F1017" w:rsidRPr="0049764D" w:rsidRDefault="008F120A" w:rsidP="001611C7">
      <w:pPr>
        <w:pStyle w:val="ListParagraph"/>
        <w:widowControl/>
        <w:numPr>
          <w:ilvl w:val="1"/>
          <w:numId w:val="2"/>
        </w:numPr>
        <w:rPr>
          <w:szCs w:val="22"/>
        </w:rPr>
      </w:pPr>
      <w:r w:rsidRPr="0049764D">
        <w:rPr>
          <w:szCs w:val="22"/>
        </w:rPr>
        <w:t>The key features of the direct randomised trial are summarised in the table below.</w:t>
      </w:r>
      <w:r w:rsidR="00CB1E7B">
        <w:rPr>
          <w:szCs w:val="22"/>
        </w:rPr>
        <w:t xml:space="preserve"> </w:t>
      </w:r>
    </w:p>
    <w:p w:rsidR="00E13B37" w:rsidRPr="0049764D" w:rsidRDefault="00E13B37" w:rsidP="00E13B37">
      <w:pPr>
        <w:pStyle w:val="ListParagraph"/>
        <w:widowControl/>
        <w:rPr>
          <w:szCs w:val="22"/>
        </w:rPr>
      </w:pPr>
    </w:p>
    <w:p w:rsidR="007F1017" w:rsidRPr="0049764D" w:rsidRDefault="007F1017" w:rsidP="00FD4368">
      <w:pPr>
        <w:keepNext/>
        <w:keepLines/>
        <w:ind w:firstLine="720"/>
        <w:rPr>
          <w:rStyle w:val="CommentReference"/>
        </w:rPr>
      </w:pPr>
      <w:r w:rsidRPr="0049764D">
        <w:rPr>
          <w:rStyle w:val="CommentReference"/>
        </w:rPr>
        <w:t xml:space="preserve">Table </w:t>
      </w:r>
      <w:r w:rsidR="00E13B37" w:rsidRPr="0049764D">
        <w:rPr>
          <w:rStyle w:val="CommentReference"/>
        </w:rPr>
        <w:t>2</w:t>
      </w:r>
      <w:r w:rsidRPr="0049764D">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1"/>
        <w:gridCol w:w="709"/>
        <w:gridCol w:w="1419"/>
        <w:gridCol w:w="708"/>
        <w:gridCol w:w="1417"/>
        <w:gridCol w:w="1419"/>
        <w:gridCol w:w="1682"/>
      </w:tblGrid>
      <w:tr w:rsidR="002F587D" w:rsidRPr="0049764D" w:rsidTr="00F80A50">
        <w:trPr>
          <w:tblHeader/>
        </w:trPr>
        <w:tc>
          <w:tcPr>
            <w:tcW w:w="594" w:type="pct"/>
            <w:shd w:val="clear" w:color="auto" w:fill="auto"/>
            <w:vAlign w:val="center"/>
          </w:tcPr>
          <w:p w:rsidR="007F1017" w:rsidRPr="00BC0C24" w:rsidRDefault="007F1017" w:rsidP="00FD4368">
            <w:pPr>
              <w:keepNext/>
              <w:keepLines/>
              <w:jc w:val="left"/>
              <w:rPr>
                <w:rFonts w:ascii="Arial Narrow" w:hAnsi="Arial Narrow"/>
                <w:b/>
                <w:sz w:val="20"/>
              </w:rPr>
            </w:pPr>
            <w:r w:rsidRPr="00BC0C24">
              <w:rPr>
                <w:rFonts w:ascii="Arial Narrow" w:hAnsi="Arial Narrow"/>
                <w:b/>
                <w:sz w:val="20"/>
              </w:rPr>
              <w:t>Trial</w:t>
            </w:r>
          </w:p>
        </w:tc>
        <w:tc>
          <w:tcPr>
            <w:tcW w:w="425" w:type="pct"/>
            <w:shd w:val="clear" w:color="auto" w:fill="auto"/>
            <w:vAlign w:val="center"/>
          </w:tcPr>
          <w:p w:rsidR="007F1017" w:rsidRPr="00BC0C24" w:rsidRDefault="007F1017" w:rsidP="00FD4368">
            <w:pPr>
              <w:keepNext/>
              <w:keepLines/>
              <w:jc w:val="center"/>
              <w:rPr>
                <w:rFonts w:ascii="Arial Narrow" w:hAnsi="Arial Narrow"/>
                <w:b/>
                <w:sz w:val="20"/>
              </w:rPr>
            </w:pPr>
            <w:r w:rsidRPr="00BC0C24">
              <w:rPr>
                <w:rFonts w:ascii="Arial Narrow" w:hAnsi="Arial Narrow"/>
                <w:b/>
                <w:sz w:val="20"/>
              </w:rPr>
              <w:t>N</w:t>
            </w:r>
          </w:p>
        </w:tc>
        <w:tc>
          <w:tcPr>
            <w:tcW w:w="850" w:type="pct"/>
            <w:shd w:val="clear" w:color="auto" w:fill="auto"/>
            <w:vAlign w:val="center"/>
          </w:tcPr>
          <w:p w:rsidR="007F1017" w:rsidRPr="00BC0C24" w:rsidRDefault="007F1017" w:rsidP="00FD4368">
            <w:pPr>
              <w:keepNext/>
              <w:keepLines/>
              <w:jc w:val="center"/>
              <w:rPr>
                <w:rFonts w:ascii="Arial Narrow" w:hAnsi="Arial Narrow"/>
                <w:b/>
                <w:sz w:val="20"/>
              </w:rPr>
            </w:pPr>
            <w:r w:rsidRPr="00BC0C24">
              <w:rPr>
                <w:rFonts w:ascii="Arial Narrow" w:hAnsi="Arial Narrow"/>
                <w:b/>
                <w:sz w:val="20"/>
              </w:rPr>
              <w:t>Design/ duration</w:t>
            </w:r>
          </w:p>
        </w:tc>
        <w:tc>
          <w:tcPr>
            <w:tcW w:w="424" w:type="pct"/>
            <w:shd w:val="clear" w:color="auto" w:fill="auto"/>
            <w:vAlign w:val="center"/>
          </w:tcPr>
          <w:p w:rsidR="007F1017" w:rsidRPr="00BC0C24" w:rsidRDefault="007F1017" w:rsidP="00FD4368">
            <w:pPr>
              <w:keepNext/>
              <w:keepLines/>
              <w:jc w:val="center"/>
              <w:rPr>
                <w:rFonts w:ascii="Arial Narrow" w:hAnsi="Arial Narrow"/>
                <w:b/>
                <w:sz w:val="20"/>
              </w:rPr>
            </w:pPr>
            <w:r w:rsidRPr="00BC0C24">
              <w:rPr>
                <w:rFonts w:ascii="Arial Narrow" w:hAnsi="Arial Narrow"/>
                <w:b/>
                <w:sz w:val="20"/>
              </w:rPr>
              <w:t>Risk of bias</w:t>
            </w:r>
          </w:p>
        </w:tc>
        <w:tc>
          <w:tcPr>
            <w:tcW w:w="849" w:type="pct"/>
            <w:shd w:val="clear" w:color="auto" w:fill="auto"/>
            <w:vAlign w:val="center"/>
          </w:tcPr>
          <w:p w:rsidR="007F1017" w:rsidRPr="00BC0C24" w:rsidRDefault="007F1017" w:rsidP="00FD4368">
            <w:pPr>
              <w:keepNext/>
              <w:keepLines/>
              <w:jc w:val="center"/>
              <w:rPr>
                <w:rFonts w:ascii="Arial Narrow" w:hAnsi="Arial Narrow"/>
                <w:b/>
                <w:sz w:val="20"/>
              </w:rPr>
            </w:pPr>
            <w:r w:rsidRPr="00BC0C24">
              <w:rPr>
                <w:rFonts w:ascii="Arial Narrow" w:hAnsi="Arial Narrow"/>
                <w:b/>
                <w:sz w:val="20"/>
              </w:rPr>
              <w:t>Patient population</w:t>
            </w:r>
          </w:p>
        </w:tc>
        <w:tc>
          <w:tcPr>
            <w:tcW w:w="850" w:type="pct"/>
            <w:shd w:val="clear" w:color="auto" w:fill="auto"/>
            <w:vAlign w:val="center"/>
          </w:tcPr>
          <w:p w:rsidR="007F1017" w:rsidRPr="00BC0C24" w:rsidRDefault="007F1017" w:rsidP="00FD4368">
            <w:pPr>
              <w:keepNext/>
              <w:keepLines/>
              <w:jc w:val="center"/>
              <w:rPr>
                <w:rFonts w:ascii="Arial Narrow" w:hAnsi="Arial Narrow"/>
                <w:b/>
                <w:sz w:val="20"/>
              </w:rPr>
            </w:pPr>
            <w:r w:rsidRPr="00BC0C24">
              <w:rPr>
                <w:rFonts w:ascii="Arial Narrow" w:hAnsi="Arial Narrow"/>
                <w:b/>
                <w:sz w:val="20"/>
              </w:rPr>
              <w:t>Outcome(s)</w:t>
            </w:r>
          </w:p>
        </w:tc>
        <w:tc>
          <w:tcPr>
            <w:tcW w:w="1008" w:type="pct"/>
            <w:shd w:val="clear" w:color="auto" w:fill="auto"/>
            <w:vAlign w:val="center"/>
          </w:tcPr>
          <w:p w:rsidR="007F1017" w:rsidRPr="00BC0C24" w:rsidRDefault="007F1017" w:rsidP="00FD4368">
            <w:pPr>
              <w:keepNext/>
              <w:keepLines/>
              <w:jc w:val="center"/>
              <w:rPr>
                <w:rFonts w:ascii="Arial Narrow" w:hAnsi="Arial Narrow"/>
                <w:b/>
                <w:sz w:val="20"/>
              </w:rPr>
            </w:pPr>
            <w:r w:rsidRPr="00BC0C24">
              <w:rPr>
                <w:rFonts w:ascii="Arial Narrow" w:hAnsi="Arial Narrow"/>
                <w:b/>
                <w:sz w:val="20"/>
              </w:rPr>
              <w:t>Use in modelled evaluation</w:t>
            </w:r>
          </w:p>
        </w:tc>
      </w:tr>
      <w:tr w:rsidR="002F587D" w:rsidRPr="0049764D" w:rsidTr="00F80A50">
        <w:tc>
          <w:tcPr>
            <w:tcW w:w="594" w:type="pct"/>
            <w:shd w:val="clear" w:color="auto" w:fill="auto"/>
            <w:vAlign w:val="center"/>
          </w:tcPr>
          <w:p w:rsidR="007F1017" w:rsidRPr="00BC0C24" w:rsidRDefault="00793B8B" w:rsidP="00FD4368">
            <w:pPr>
              <w:keepNext/>
              <w:keepLines/>
              <w:jc w:val="left"/>
              <w:rPr>
                <w:rFonts w:ascii="Arial Narrow" w:hAnsi="Arial Narrow"/>
                <w:sz w:val="20"/>
              </w:rPr>
            </w:pPr>
            <w:r w:rsidRPr="0049764D">
              <w:rPr>
                <w:rFonts w:ascii="Arial Narrow" w:hAnsi="Arial Narrow"/>
                <w:sz w:val="20"/>
              </w:rPr>
              <w:t>PARADIGM-HF</w:t>
            </w:r>
          </w:p>
        </w:tc>
        <w:tc>
          <w:tcPr>
            <w:tcW w:w="425" w:type="pct"/>
            <w:shd w:val="clear" w:color="auto" w:fill="auto"/>
            <w:vAlign w:val="center"/>
          </w:tcPr>
          <w:p w:rsidR="007F1017" w:rsidRPr="00BC0C24" w:rsidRDefault="00793B8B" w:rsidP="00FD4368">
            <w:pPr>
              <w:keepNext/>
              <w:keepLines/>
              <w:jc w:val="center"/>
              <w:rPr>
                <w:rFonts w:ascii="Arial Narrow" w:hAnsi="Arial Narrow"/>
                <w:sz w:val="20"/>
              </w:rPr>
            </w:pPr>
            <w:r w:rsidRPr="00BC0C24">
              <w:rPr>
                <w:rFonts w:ascii="Arial Narrow" w:hAnsi="Arial Narrow"/>
                <w:sz w:val="20"/>
              </w:rPr>
              <w:t xml:space="preserve">8,442 </w:t>
            </w:r>
            <w:r w:rsidRPr="00BC0C24">
              <w:rPr>
                <w:rFonts w:ascii="Arial Narrow" w:hAnsi="Arial Narrow"/>
                <w:sz w:val="20"/>
                <w:vertAlign w:val="superscript"/>
              </w:rPr>
              <w:t>a</w:t>
            </w:r>
          </w:p>
        </w:tc>
        <w:tc>
          <w:tcPr>
            <w:tcW w:w="850" w:type="pct"/>
            <w:shd w:val="clear" w:color="auto" w:fill="auto"/>
            <w:vAlign w:val="center"/>
          </w:tcPr>
          <w:p w:rsidR="007F1017" w:rsidRPr="00BC0C24" w:rsidRDefault="007F1017" w:rsidP="00FD4368">
            <w:pPr>
              <w:keepNext/>
              <w:keepLines/>
              <w:jc w:val="center"/>
              <w:rPr>
                <w:rFonts w:ascii="Arial Narrow" w:hAnsi="Arial Narrow"/>
                <w:sz w:val="20"/>
              </w:rPr>
            </w:pPr>
            <w:r w:rsidRPr="00BC0C24">
              <w:rPr>
                <w:rFonts w:ascii="Arial Narrow" w:hAnsi="Arial Narrow"/>
                <w:sz w:val="20"/>
              </w:rPr>
              <w:t xml:space="preserve">R, </w:t>
            </w:r>
            <w:r w:rsidR="00793B8B" w:rsidRPr="00BC0C24">
              <w:rPr>
                <w:rFonts w:ascii="Arial Narrow" w:hAnsi="Arial Narrow"/>
                <w:sz w:val="20"/>
              </w:rPr>
              <w:t xml:space="preserve">MC, </w:t>
            </w:r>
            <w:r w:rsidRPr="00BC0C24">
              <w:rPr>
                <w:rFonts w:ascii="Arial Narrow" w:hAnsi="Arial Narrow"/>
                <w:sz w:val="20"/>
              </w:rPr>
              <w:t>DB</w:t>
            </w:r>
          </w:p>
          <w:p w:rsidR="007F1017" w:rsidRPr="00BC0C24" w:rsidRDefault="00793B8B" w:rsidP="00FD4368">
            <w:pPr>
              <w:keepNext/>
              <w:keepLines/>
              <w:jc w:val="center"/>
              <w:rPr>
                <w:rFonts w:ascii="Arial Narrow" w:hAnsi="Arial Narrow"/>
                <w:sz w:val="20"/>
              </w:rPr>
            </w:pPr>
            <w:r w:rsidRPr="00BC0C24">
              <w:rPr>
                <w:rFonts w:ascii="Arial Narrow" w:hAnsi="Arial Narrow"/>
                <w:sz w:val="20"/>
              </w:rPr>
              <w:t xml:space="preserve">Median follow-up: 27 </w:t>
            </w:r>
            <w:r w:rsidR="007F1017" w:rsidRPr="00BC0C24">
              <w:rPr>
                <w:rFonts w:ascii="Arial Narrow" w:hAnsi="Arial Narrow"/>
                <w:sz w:val="20"/>
              </w:rPr>
              <w:t>m</w:t>
            </w:r>
            <w:r w:rsidR="005D028F" w:rsidRPr="00BC0C24">
              <w:rPr>
                <w:rFonts w:ascii="Arial Narrow" w:hAnsi="Arial Narrow"/>
                <w:sz w:val="20"/>
              </w:rPr>
              <w:t>on</w:t>
            </w:r>
            <w:r w:rsidR="007F1017" w:rsidRPr="00BC0C24">
              <w:rPr>
                <w:rFonts w:ascii="Arial Narrow" w:hAnsi="Arial Narrow"/>
                <w:sz w:val="20"/>
              </w:rPr>
              <w:t>ths</w:t>
            </w:r>
          </w:p>
        </w:tc>
        <w:tc>
          <w:tcPr>
            <w:tcW w:w="424" w:type="pct"/>
            <w:shd w:val="clear" w:color="auto" w:fill="auto"/>
            <w:vAlign w:val="center"/>
          </w:tcPr>
          <w:p w:rsidR="007F1017" w:rsidRPr="00BC0C24" w:rsidRDefault="007F1017" w:rsidP="00FD4368">
            <w:pPr>
              <w:keepNext/>
              <w:keepLines/>
              <w:jc w:val="center"/>
              <w:rPr>
                <w:rFonts w:ascii="Arial Narrow" w:hAnsi="Arial Narrow"/>
                <w:sz w:val="20"/>
              </w:rPr>
            </w:pPr>
            <w:r w:rsidRPr="00BC0C24">
              <w:rPr>
                <w:rFonts w:ascii="Arial Narrow" w:hAnsi="Arial Narrow"/>
                <w:sz w:val="20"/>
              </w:rPr>
              <w:t>Low</w:t>
            </w:r>
            <w:r w:rsidR="00FD4368" w:rsidRPr="00BC0C24">
              <w:rPr>
                <w:rFonts w:ascii="Arial Narrow" w:hAnsi="Arial Narrow"/>
                <w:sz w:val="20"/>
              </w:rPr>
              <w:t xml:space="preserve"> to unclear</w:t>
            </w:r>
          </w:p>
        </w:tc>
        <w:tc>
          <w:tcPr>
            <w:tcW w:w="849" w:type="pct"/>
            <w:shd w:val="clear" w:color="auto" w:fill="auto"/>
            <w:vAlign w:val="center"/>
          </w:tcPr>
          <w:p w:rsidR="007F1017" w:rsidRPr="00BC0C24" w:rsidRDefault="000110C1" w:rsidP="00FD4368">
            <w:pPr>
              <w:keepNext/>
              <w:keepLines/>
              <w:jc w:val="center"/>
              <w:rPr>
                <w:rFonts w:ascii="Arial Narrow" w:hAnsi="Arial Narrow"/>
                <w:sz w:val="20"/>
              </w:rPr>
            </w:pPr>
            <w:r w:rsidRPr="00BC0C24">
              <w:rPr>
                <w:rFonts w:ascii="Arial Narrow" w:hAnsi="Arial Narrow"/>
                <w:sz w:val="20"/>
              </w:rPr>
              <w:t>CHF, NYHA class II-IV with reduced ejection fraction</w:t>
            </w:r>
            <w:r w:rsidR="00793B8B" w:rsidRPr="00BC0C24">
              <w:rPr>
                <w:rFonts w:ascii="Arial Narrow" w:hAnsi="Arial Narrow"/>
                <w:sz w:val="20"/>
              </w:rPr>
              <w:t xml:space="preserve"> </w:t>
            </w:r>
            <w:r w:rsidRPr="00BC0C24">
              <w:rPr>
                <w:rFonts w:ascii="Arial Narrow" w:hAnsi="Arial Narrow"/>
                <w:sz w:val="20"/>
                <w:vertAlign w:val="superscript"/>
              </w:rPr>
              <w:t>b</w:t>
            </w:r>
            <w:r w:rsidR="00793B8B" w:rsidRPr="00BC0C24">
              <w:rPr>
                <w:rFonts w:ascii="Arial Narrow" w:hAnsi="Arial Narrow"/>
                <w:sz w:val="20"/>
              </w:rPr>
              <w:t xml:space="preserve"> </w:t>
            </w:r>
          </w:p>
        </w:tc>
        <w:tc>
          <w:tcPr>
            <w:tcW w:w="850" w:type="pct"/>
            <w:shd w:val="clear" w:color="auto" w:fill="auto"/>
            <w:vAlign w:val="center"/>
          </w:tcPr>
          <w:p w:rsidR="009861E5" w:rsidRPr="00BC0C24" w:rsidRDefault="00793B8B" w:rsidP="002F587D">
            <w:pPr>
              <w:keepNext/>
              <w:keepLines/>
              <w:jc w:val="center"/>
              <w:rPr>
                <w:rFonts w:ascii="Arial Narrow" w:hAnsi="Arial Narrow"/>
                <w:sz w:val="20"/>
              </w:rPr>
            </w:pPr>
            <w:r w:rsidRPr="00BC0C24">
              <w:rPr>
                <w:rFonts w:ascii="Arial Narrow" w:hAnsi="Arial Narrow"/>
                <w:sz w:val="20"/>
              </w:rPr>
              <w:t xml:space="preserve">Composite of CV death or </w:t>
            </w:r>
            <w:r w:rsidR="00FD4368" w:rsidRPr="00BC0C24">
              <w:rPr>
                <w:rFonts w:ascii="Arial Narrow" w:hAnsi="Arial Narrow"/>
                <w:sz w:val="20"/>
              </w:rPr>
              <w:t xml:space="preserve">first </w:t>
            </w:r>
            <w:r w:rsidR="005442EB" w:rsidRPr="00BC0C24">
              <w:rPr>
                <w:rFonts w:ascii="Arial Narrow" w:hAnsi="Arial Narrow"/>
                <w:sz w:val="20"/>
              </w:rPr>
              <w:t>HF hospitalis</w:t>
            </w:r>
            <w:r w:rsidRPr="00BC0C24">
              <w:rPr>
                <w:rFonts w:ascii="Arial Narrow" w:hAnsi="Arial Narrow"/>
                <w:sz w:val="20"/>
              </w:rPr>
              <w:t>ation.</w:t>
            </w:r>
            <w:r w:rsidR="009861E5" w:rsidRPr="00BC0C24">
              <w:rPr>
                <w:rFonts w:ascii="Arial Narrow" w:hAnsi="Arial Narrow"/>
                <w:sz w:val="20"/>
              </w:rPr>
              <w:t xml:space="preserve"> </w:t>
            </w:r>
          </w:p>
        </w:tc>
        <w:tc>
          <w:tcPr>
            <w:tcW w:w="1008" w:type="pct"/>
            <w:shd w:val="clear" w:color="auto" w:fill="auto"/>
            <w:vAlign w:val="center"/>
          </w:tcPr>
          <w:p w:rsidR="009861E5" w:rsidRPr="00BC0C24" w:rsidRDefault="00FD4368" w:rsidP="00FD4368">
            <w:pPr>
              <w:keepNext/>
              <w:keepLines/>
              <w:jc w:val="center"/>
              <w:rPr>
                <w:rFonts w:ascii="Arial Narrow" w:hAnsi="Arial Narrow"/>
                <w:sz w:val="20"/>
              </w:rPr>
            </w:pPr>
            <w:r w:rsidRPr="00BC0C24">
              <w:rPr>
                <w:rFonts w:ascii="Arial Narrow" w:hAnsi="Arial Narrow"/>
                <w:sz w:val="20"/>
              </w:rPr>
              <w:t>CV mortality,</w:t>
            </w:r>
          </w:p>
          <w:p w:rsidR="00793B8B" w:rsidRPr="00BC0C24" w:rsidRDefault="009861E5" w:rsidP="00FD4368">
            <w:pPr>
              <w:keepNext/>
              <w:keepLines/>
              <w:jc w:val="center"/>
              <w:rPr>
                <w:rFonts w:ascii="Arial Narrow" w:hAnsi="Arial Narrow"/>
                <w:sz w:val="20"/>
              </w:rPr>
            </w:pPr>
            <w:r w:rsidRPr="00BC0C24">
              <w:rPr>
                <w:rFonts w:ascii="Arial Narrow" w:hAnsi="Arial Narrow"/>
                <w:sz w:val="20"/>
              </w:rPr>
              <w:t>CV and HF hospitalisation</w:t>
            </w:r>
            <w:r w:rsidR="00FD4368" w:rsidRPr="00BC0C24">
              <w:rPr>
                <w:rFonts w:ascii="Arial Narrow" w:hAnsi="Arial Narrow"/>
                <w:sz w:val="20"/>
              </w:rPr>
              <w:t>, change in mean NYHA class.</w:t>
            </w:r>
          </w:p>
        </w:tc>
      </w:tr>
    </w:tbl>
    <w:p w:rsidR="00793B8B" w:rsidRPr="0049764D" w:rsidRDefault="00793B8B" w:rsidP="00FD4368">
      <w:pPr>
        <w:pStyle w:val="TableFooter"/>
        <w:keepNext/>
        <w:keepLines/>
        <w:ind w:firstLine="720"/>
      </w:pPr>
      <w:r w:rsidRPr="0049764D">
        <w:t xml:space="preserve">Source: </w:t>
      </w:r>
      <w:r w:rsidR="004C27F5" w:rsidRPr="0049764D">
        <w:rPr>
          <w:i/>
        </w:rPr>
        <w:t>C</w:t>
      </w:r>
      <w:r w:rsidRPr="0049764D">
        <w:rPr>
          <w:i/>
        </w:rPr>
        <w:t>ompiled during the evaluation</w:t>
      </w:r>
    </w:p>
    <w:p w:rsidR="007F1017" w:rsidRPr="0049764D" w:rsidRDefault="00793B8B" w:rsidP="00FD4368">
      <w:pPr>
        <w:pStyle w:val="TableFooter"/>
        <w:keepNext/>
        <w:keepLines/>
        <w:ind w:left="720"/>
      </w:pPr>
      <w:r w:rsidRPr="0049764D">
        <w:t xml:space="preserve">CHF = chronic heart failure; CV = cardiovascular </w:t>
      </w:r>
      <w:r w:rsidR="007F1017" w:rsidRPr="0049764D">
        <w:t>DB</w:t>
      </w:r>
      <w:r w:rsidR="004C27F5" w:rsidRPr="0049764D">
        <w:t xml:space="preserve"> </w:t>
      </w:r>
      <w:r w:rsidR="007F1017" w:rsidRPr="0049764D">
        <w:t>=</w:t>
      </w:r>
      <w:r w:rsidR="004C27F5" w:rsidRPr="0049764D">
        <w:t xml:space="preserve"> </w:t>
      </w:r>
      <w:r w:rsidR="007F1017" w:rsidRPr="0049764D">
        <w:t>double</w:t>
      </w:r>
      <w:r w:rsidR="004C27F5" w:rsidRPr="0049764D">
        <w:t xml:space="preserve"> </w:t>
      </w:r>
      <w:r w:rsidR="007F1017" w:rsidRPr="0049764D">
        <w:t xml:space="preserve">blind; </w:t>
      </w:r>
      <w:r w:rsidRPr="0049764D">
        <w:t xml:space="preserve">HF = heart failure; </w:t>
      </w:r>
      <w:r w:rsidR="007F1017" w:rsidRPr="0049764D">
        <w:t>MC</w:t>
      </w:r>
      <w:r w:rsidR="004C27F5" w:rsidRPr="0049764D">
        <w:t xml:space="preserve"> </w:t>
      </w:r>
      <w:r w:rsidR="007F1017" w:rsidRPr="0049764D">
        <w:t>=</w:t>
      </w:r>
      <w:r w:rsidR="004C27F5" w:rsidRPr="0049764D">
        <w:t xml:space="preserve"> </w:t>
      </w:r>
      <w:r w:rsidR="007F1017" w:rsidRPr="0049764D">
        <w:t>multi-centre;</w:t>
      </w:r>
      <w:r w:rsidRPr="0049764D">
        <w:t xml:space="preserve"> NYHA</w:t>
      </w:r>
      <w:r w:rsidR="00D16C0A" w:rsidRPr="0049764D">
        <w:t> </w:t>
      </w:r>
      <w:r w:rsidRPr="0049764D">
        <w:t>= New York Heart Association;</w:t>
      </w:r>
      <w:r w:rsidR="007F1017" w:rsidRPr="0049764D">
        <w:t xml:space="preserve"> </w:t>
      </w:r>
      <w:r w:rsidR="004C27F5" w:rsidRPr="0049764D">
        <w:t xml:space="preserve">r </w:t>
      </w:r>
      <w:r w:rsidR="007F1017" w:rsidRPr="0049764D">
        <w:t>=</w:t>
      </w:r>
      <w:r w:rsidR="004C27F5" w:rsidRPr="0049764D">
        <w:t xml:space="preserve"> </w:t>
      </w:r>
      <w:r w:rsidR="007F1017" w:rsidRPr="0049764D">
        <w:t>randomised</w:t>
      </w:r>
    </w:p>
    <w:p w:rsidR="00793B8B" w:rsidRPr="0049764D" w:rsidRDefault="00793B8B" w:rsidP="00FD4368">
      <w:pPr>
        <w:pStyle w:val="TableFooter"/>
        <w:keepNext/>
        <w:keepLines/>
        <w:ind w:firstLine="720"/>
      </w:pPr>
      <w:r w:rsidRPr="0049764D">
        <w:rPr>
          <w:vertAlign w:val="superscript"/>
        </w:rPr>
        <w:t xml:space="preserve">a </w:t>
      </w:r>
      <w:r w:rsidR="00B1462E" w:rsidRPr="0049764D">
        <w:t>N</w:t>
      </w:r>
      <w:r w:rsidRPr="0049764D">
        <w:t>umber of patients randomised. 10,513 patients entered the first run-in p</w:t>
      </w:r>
      <w:r w:rsidR="00CF50DF" w:rsidRPr="0049764D">
        <w:t>eriod</w:t>
      </w:r>
      <w:r w:rsidRPr="0049764D">
        <w:t>.</w:t>
      </w:r>
    </w:p>
    <w:p w:rsidR="000110C1" w:rsidRPr="0049764D" w:rsidRDefault="000110C1" w:rsidP="00FD4368">
      <w:pPr>
        <w:pStyle w:val="TableFooter"/>
        <w:keepNext/>
        <w:keepLines/>
        <w:ind w:left="720"/>
      </w:pPr>
      <w:r w:rsidRPr="0049764D">
        <w:rPr>
          <w:vertAlign w:val="superscript"/>
        </w:rPr>
        <w:t>b</w:t>
      </w:r>
      <w:r w:rsidRPr="0049764D">
        <w:t xml:space="preserve"> Reduced ejection fraction was in initially defined as left ventricular ejection fraction of ≤</w:t>
      </w:r>
      <w:r w:rsidR="004C27F5" w:rsidRPr="0049764D">
        <w:t xml:space="preserve"> </w:t>
      </w:r>
      <w:r w:rsidRPr="0049764D">
        <w:t>40%, but was changed to ≤</w:t>
      </w:r>
      <w:r w:rsidR="004C27F5" w:rsidRPr="0049764D">
        <w:t xml:space="preserve"> </w:t>
      </w:r>
      <w:r w:rsidRPr="0049764D">
        <w:t>35% in a protocol amendment.</w:t>
      </w:r>
    </w:p>
    <w:p w:rsidR="007F1017" w:rsidRPr="0049764D" w:rsidRDefault="007F1017" w:rsidP="00FD4368">
      <w:pPr>
        <w:keepNext/>
        <w:keepLines/>
      </w:pPr>
    </w:p>
    <w:p w:rsidR="003E08B5" w:rsidRPr="0049764D" w:rsidRDefault="00B1462E" w:rsidP="001611C7">
      <w:pPr>
        <w:pStyle w:val="ListParagraph"/>
        <w:widowControl/>
        <w:numPr>
          <w:ilvl w:val="1"/>
          <w:numId w:val="2"/>
        </w:numPr>
      </w:pPr>
      <w:r w:rsidRPr="0049764D">
        <w:rPr>
          <w:szCs w:val="22"/>
        </w:rPr>
        <w:t xml:space="preserve">PARADIGM-HF was a </w:t>
      </w:r>
      <w:r w:rsidR="003E08B5" w:rsidRPr="0049764D">
        <w:t xml:space="preserve">multicentre, </w:t>
      </w:r>
      <w:r w:rsidR="006805ED" w:rsidRPr="0049764D">
        <w:t xml:space="preserve">controlled </w:t>
      </w:r>
      <w:r w:rsidR="003E08B5" w:rsidRPr="0049764D">
        <w:t xml:space="preserve">trial with two main </w:t>
      </w:r>
      <w:r w:rsidR="006805ED" w:rsidRPr="0049764D">
        <w:t>phases</w:t>
      </w:r>
      <w:r w:rsidR="003E08B5" w:rsidRPr="0049764D">
        <w:t>:</w:t>
      </w:r>
    </w:p>
    <w:p w:rsidR="002F587D" w:rsidRPr="0049764D" w:rsidRDefault="002F587D" w:rsidP="001611C7">
      <w:pPr>
        <w:pStyle w:val="ListParagraph"/>
        <w:numPr>
          <w:ilvl w:val="2"/>
          <w:numId w:val="2"/>
        </w:numPr>
        <w:ind w:left="1134" w:hanging="283"/>
      </w:pPr>
      <w:r w:rsidRPr="0049764D">
        <w:t xml:space="preserve">A single-blind run-in </w:t>
      </w:r>
      <w:r w:rsidR="00FF754D" w:rsidRPr="0049764D">
        <w:t>phase</w:t>
      </w:r>
      <w:r w:rsidRPr="0049764D">
        <w:t>. Patients received enalapril 10 mg twice daily for two weeks. If this was tolerated, patients received sacubitril/valsartan 49/51 mg for one to two weeks, then 97/103 mg for two to four weeks.</w:t>
      </w:r>
    </w:p>
    <w:p w:rsidR="002F587D" w:rsidRPr="0049764D" w:rsidRDefault="002F587D" w:rsidP="001611C7">
      <w:pPr>
        <w:pStyle w:val="ListParagraph"/>
        <w:numPr>
          <w:ilvl w:val="2"/>
          <w:numId w:val="2"/>
        </w:numPr>
        <w:ind w:left="1134" w:hanging="283"/>
      </w:pPr>
      <w:r w:rsidRPr="0049764D">
        <w:t xml:space="preserve">Patients who tolerated both run-in periods entered the double-blind randomised treatment </w:t>
      </w:r>
      <w:r w:rsidR="00FF754D" w:rsidRPr="0049764D">
        <w:t>phase</w:t>
      </w:r>
      <w:r w:rsidRPr="0049764D">
        <w:t>.</w:t>
      </w:r>
    </w:p>
    <w:p w:rsidR="002F587D" w:rsidRPr="0049764D" w:rsidRDefault="002F587D" w:rsidP="002F587D">
      <w:pPr>
        <w:ind w:left="851"/>
      </w:pPr>
    </w:p>
    <w:p w:rsidR="002F587D" w:rsidRPr="0049764D" w:rsidRDefault="002F587D" w:rsidP="001611C7">
      <w:pPr>
        <w:pStyle w:val="ListParagraph"/>
        <w:widowControl/>
        <w:numPr>
          <w:ilvl w:val="1"/>
          <w:numId w:val="2"/>
        </w:numPr>
      </w:pPr>
      <w:r w:rsidRPr="0049764D">
        <w:t xml:space="preserve">Overall, </w:t>
      </w:r>
      <w:r w:rsidR="005D028F" w:rsidRPr="0049764D">
        <w:t xml:space="preserve">approximately </w:t>
      </w:r>
      <w:r w:rsidR="0096683E" w:rsidRPr="0049764D">
        <w:t>8</w:t>
      </w:r>
      <w:r w:rsidRPr="0049764D">
        <w:t>0% of patients who enrolled in the first run-in period were randomised</w:t>
      </w:r>
      <w:r w:rsidR="0096683E" w:rsidRPr="0049764D">
        <w:t xml:space="preserve"> into the double-blind treatment period (the full analysis set)</w:t>
      </w:r>
      <w:r w:rsidRPr="0049764D">
        <w:t>.</w:t>
      </w:r>
      <w:r w:rsidR="00815A7C" w:rsidRPr="0049764D">
        <w:t xml:space="preserve"> Patients who </w:t>
      </w:r>
      <w:r w:rsidR="0079190C" w:rsidRPr="0049764D">
        <w:t xml:space="preserve">were randomised </w:t>
      </w:r>
      <w:r w:rsidR="00815A7C" w:rsidRPr="0049764D">
        <w:t xml:space="preserve">had </w:t>
      </w:r>
      <w:r w:rsidR="0079190C" w:rsidRPr="0049764D">
        <w:t xml:space="preserve">less </w:t>
      </w:r>
      <w:r w:rsidR="00815A7C" w:rsidRPr="0049764D">
        <w:t>severe disease tha</w:t>
      </w:r>
      <w:r w:rsidR="00C95EC8" w:rsidRPr="0049764D">
        <w:t>n</w:t>
      </w:r>
      <w:r w:rsidR="00815A7C" w:rsidRPr="0049764D">
        <w:t xml:space="preserve"> those </w:t>
      </w:r>
      <w:r w:rsidR="0079190C" w:rsidRPr="0049764D">
        <w:t>enrolled</w:t>
      </w:r>
      <w:r w:rsidR="00737D1C" w:rsidRPr="0049764D">
        <w:t xml:space="preserve">, as demonstrated by a </w:t>
      </w:r>
      <w:r w:rsidR="0079190C" w:rsidRPr="0049764D">
        <w:t xml:space="preserve">lower </w:t>
      </w:r>
      <w:r w:rsidR="00737D1C" w:rsidRPr="0049764D">
        <w:t xml:space="preserve">proportion of </w:t>
      </w:r>
      <w:r w:rsidR="00815A7C" w:rsidRPr="0049764D">
        <w:t xml:space="preserve">NYHA class III or IV failure </w:t>
      </w:r>
      <w:r w:rsidR="00737D1C" w:rsidRPr="0049764D">
        <w:t>(24.8%</w:t>
      </w:r>
      <w:r w:rsidR="0079190C" w:rsidRPr="0049764D">
        <w:t xml:space="preserve"> and 35.7 %, respectively</w:t>
      </w:r>
      <w:r w:rsidR="00815A7C" w:rsidRPr="0049764D">
        <w:t xml:space="preserve">). </w:t>
      </w:r>
      <w:r w:rsidRPr="0049764D">
        <w:t xml:space="preserve">The run-in period </w:t>
      </w:r>
      <w:r w:rsidR="00815A7C" w:rsidRPr="0049764D">
        <w:t>limit</w:t>
      </w:r>
      <w:r w:rsidR="00DD2E1C" w:rsidRPr="0049764D">
        <w:t>ed</w:t>
      </w:r>
      <w:r w:rsidR="00815A7C" w:rsidRPr="0049764D">
        <w:t xml:space="preserve"> the applicability of the trial</w:t>
      </w:r>
      <w:r w:rsidR="00C36651" w:rsidRPr="0049764D">
        <w:t xml:space="preserve"> to the requested population</w:t>
      </w:r>
      <w:r w:rsidR="00894D33" w:rsidRPr="0049764D">
        <w:t>.</w:t>
      </w:r>
      <w:r w:rsidR="00815A7C" w:rsidRPr="0049764D">
        <w:t xml:space="preserve"> </w:t>
      </w:r>
      <w:r w:rsidR="00894D33" w:rsidRPr="0049764D">
        <w:t>Further, the trial outcomes might not reflect the comparative efficacy in patients treated with lower dose</w:t>
      </w:r>
      <w:r w:rsidR="00DD2E1C" w:rsidRPr="0049764D">
        <w:t>s</w:t>
      </w:r>
      <w:r w:rsidR="00894D33" w:rsidRPr="0049764D">
        <w:t xml:space="preserve"> of sacubitril/valsartan</w:t>
      </w:r>
      <w:r w:rsidR="00C36651" w:rsidRPr="0049764D">
        <w:t xml:space="preserve"> (since patients in the study </w:t>
      </w:r>
      <w:r w:rsidR="007C080E" w:rsidRPr="0049764D">
        <w:t>could be</w:t>
      </w:r>
      <w:r w:rsidR="00C36651" w:rsidRPr="0049764D">
        <w:t xml:space="preserve"> treated with the maximum recommended dose)</w:t>
      </w:r>
      <w:r w:rsidR="00894D33" w:rsidRPr="0049764D">
        <w:t>.</w:t>
      </w:r>
    </w:p>
    <w:p w:rsidR="00894D33" w:rsidRPr="0049764D" w:rsidRDefault="00894D33" w:rsidP="002F587D">
      <w:pPr>
        <w:ind w:left="851"/>
        <w:rPr>
          <w:i/>
        </w:rPr>
      </w:pPr>
    </w:p>
    <w:p w:rsidR="00894D33" w:rsidRPr="0049764D" w:rsidRDefault="00894D33" w:rsidP="001611C7">
      <w:pPr>
        <w:pStyle w:val="ListParagraph"/>
        <w:widowControl/>
        <w:numPr>
          <w:ilvl w:val="1"/>
          <w:numId w:val="2"/>
        </w:numPr>
      </w:pPr>
      <w:r w:rsidRPr="0049764D">
        <w:t>The trial was conducted in 47 countries.</w:t>
      </w:r>
      <w:r w:rsidR="00DD2E1C" w:rsidRPr="0049764D">
        <w:t xml:space="preserve"> There were no trial centres in Australia.</w:t>
      </w:r>
      <w:r w:rsidRPr="0049764D">
        <w:t xml:space="preserve"> The diverse range of health care systems w</w:t>
      </w:r>
      <w:r w:rsidR="00E60351" w:rsidRPr="0049764D">
        <w:t>ould</w:t>
      </w:r>
      <w:r w:rsidRPr="0049764D">
        <w:t xml:space="preserve"> influence </w:t>
      </w:r>
      <w:r w:rsidR="0093264D" w:rsidRPr="0049764D">
        <w:t>hospitalisation rates, all-cause mortality and cardiovascular mortality. The latter is influenced by a range of factors including access to other medicines, health services and other technologies such as implantabl</w:t>
      </w:r>
      <w:r w:rsidR="008B4582" w:rsidRPr="0049764D">
        <w:t>e cardioverter-defibrillators</w:t>
      </w:r>
      <w:r w:rsidR="0093264D" w:rsidRPr="0049764D">
        <w:t>. Th</w:t>
      </w:r>
      <w:r w:rsidR="008B4582" w:rsidRPr="0049764D">
        <w:t xml:space="preserve">ese factors might influence the comparative efficacy of </w:t>
      </w:r>
      <w:r w:rsidR="0093264D" w:rsidRPr="0049764D">
        <w:t xml:space="preserve">sacubitril/valsartan </w:t>
      </w:r>
      <w:r w:rsidR="008B4582" w:rsidRPr="0049764D">
        <w:t>versus enalapril</w:t>
      </w:r>
      <w:r w:rsidR="0093264D" w:rsidRPr="0049764D">
        <w:t>. For example, a</w:t>
      </w:r>
      <w:r w:rsidR="00215BEB" w:rsidRPr="0049764D">
        <w:t xml:space="preserve"> modelled</w:t>
      </w:r>
      <w:r w:rsidR="0093264D" w:rsidRPr="0049764D">
        <w:t xml:space="preserve"> </w:t>
      </w:r>
      <w:r w:rsidR="003770C8" w:rsidRPr="0049764D">
        <w:t xml:space="preserve">survival </w:t>
      </w:r>
      <w:r w:rsidR="0093264D" w:rsidRPr="0049764D">
        <w:t>analysis of the PARADIGM-HF data by Claggett (2015) showed that</w:t>
      </w:r>
      <w:r w:rsidR="00427C4B" w:rsidRPr="0049764D">
        <w:t>,</w:t>
      </w:r>
      <w:r w:rsidR="0093264D" w:rsidRPr="0049764D">
        <w:t xml:space="preserve"> </w:t>
      </w:r>
      <w:r w:rsidR="00215BEB" w:rsidRPr="0049764D">
        <w:t>compared with enalapril</w:t>
      </w:r>
      <w:r w:rsidR="00427C4B" w:rsidRPr="0049764D">
        <w:t>,</w:t>
      </w:r>
      <w:r w:rsidR="00215BEB" w:rsidRPr="0049764D">
        <w:t xml:space="preserve"> </w:t>
      </w:r>
      <w:r w:rsidR="006B6002" w:rsidRPr="0049764D">
        <w:t xml:space="preserve">sacubitril/valsartan had less impact on overall survival in patients in North America and Western Europe than in </w:t>
      </w:r>
      <w:r w:rsidR="003A25F4" w:rsidRPr="0049764D">
        <w:t xml:space="preserve">patients in </w:t>
      </w:r>
      <w:r w:rsidR="006B6002" w:rsidRPr="0049764D">
        <w:t xml:space="preserve">Latin America, Central Europe and Asia-Pacific. </w:t>
      </w:r>
      <w:r w:rsidR="0093264D" w:rsidRPr="0049764D">
        <w:t>O</w:t>
      </w:r>
      <w:r w:rsidRPr="0049764D">
        <w:t>utcomes from the trial might be difficult to translate to Australian practice</w:t>
      </w:r>
      <w:r w:rsidR="00E60351" w:rsidRPr="0049764D">
        <w:t>.</w:t>
      </w:r>
    </w:p>
    <w:p w:rsidR="001D0CB5" w:rsidRPr="0049764D" w:rsidRDefault="001D0CB5" w:rsidP="001D0CB5">
      <w:pPr>
        <w:pStyle w:val="ListParagraph"/>
        <w:widowControl/>
      </w:pPr>
    </w:p>
    <w:p w:rsidR="00894D33" w:rsidRPr="0049764D" w:rsidRDefault="00737D1C" w:rsidP="001611C7">
      <w:pPr>
        <w:pStyle w:val="ListParagraph"/>
        <w:widowControl/>
        <w:numPr>
          <w:ilvl w:val="1"/>
          <w:numId w:val="2"/>
        </w:numPr>
      </w:pPr>
      <w:r w:rsidRPr="0049764D">
        <w:t>To enrol in the trial, patients were required to have been on a stable dose of ACE inhibitor or ATRA (equivalent to at least 10 mg per day of enalapril) for at least four weeks.</w:t>
      </w:r>
      <w:r w:rsidR="002B7EDF" w:rsidRPr="0049764D">
        <w:t xml:space="preserve"> This might have introduced survivor bias.</w:t>
      </w:r>
      <w:r w:rsidRPr="0049764D">
        <w:t xml:space="preserve"> Over half of the randomised patients were diagnosed more than two years prior to entering the trial. Under the proposed restriction, treatment-naive patients would be able to initiate on sacubitril/valsartan.</w:t>
      </w:r>
    </w:p>
    <w:p w:rsidR="002B7EDF" w:rsidRPr="0049764D" w:rsidRDefault="002B7EDF" w:rsidP="002B7EDF">
      <w:pPr>
        <w:pStyle w:val="ListParagraph"/>
        <w:rPr>
          <w:i/>
        </w:rPr>
      </w:pPr>
    </w:p>
    <w:p w:rsidR="00966974" w:rsidRPr="0049764D" w:rsidRDefault="00894D33" w:rsidP="001611C7">
      <w:pPr>
        <w:pStyle w:val="ListParagraph"/>
        <w:widowControl/>
        <w:numPr>
          <w:ilvl w:val="1"/>
          <w:numId w:val="2"/>
        </w:numPr>
        <w:ind w:left="709"/>
        <w:rPr>
          <w:snapToGrid/>
          <w:lang w:eastAsia="en-AU"/>
        </w:rPr>
      </w:pPr>
      <w:r w:rsidRPr="0049764D">
        <w:t>The trial compared</w:t>
      </w:r>
      <w:r w:rsidR="00966974" w:rsidRPr="0049764D">
        <w:t>:</w:t>
      </w:r>
    </w:p>
    <w:p w:rsidR="008B4582" w:rsidRPr="0049764D" w:rsidRDefault="008B4582" w:rsidP="001611C7">
      <w:pPr>
        <w:pStyle w:val="ListParagraph"/>
        <w:numPr>
          <w:ilvl w:val="2"/>
          <w:numId w:val="2"/>
        </w:numPr>
        <w:ind w:left="1134" w:hanging="283"/>
        <w:rPr>
          <w:snapToGrid/>
          <w:lang w:eastAsia="en-AU"/>
        </w:rPr>
      </w:pPr>
      <w:r w:rsidRPr="0049764D">
        <w:t>Half the maximum dose of enalapril recommended in some guidelines (20 mg daily</w:t>
      </w:r>
      <w:r w:rsidR="00B55D7C" w:rsidRPr="0049764D">
        <w:t xml:space="preserve"> in the trial</w:t>
      </w:r>
      <w:r w:rsidRPr="0049764D">
        <w:t>); with</w:t>
      </w:r>
    </w:p>
    <w:p w:rsidR="00966974" w:rsidRPr="0049764D" w:rsidRDefault="008B4582" w:rsidP="001611C7">
      <w:pPr>
        <w:pStyle w:val="ListParagraph"/>
        <w:numPr>
          <w:ilvl w:val="2"/>
          <w:numId w:val="2"/>
        </w:numPr>
        <w:ind w:left="1134" w:hanging="283"/>
        <w:rPr>
          <w:snapToGrid/>
          <w:lang w:eastAsia="en-AU"/>
        </w:rPr>
      </w:pPr>
      <w:r w:rsidRPr="0049764D">
        <w:t>T</w:t>
      </w:r>
      <w:r w:rsidR="00894D33" w:rsidRPr="0049764D">
        <w:t>he maximum recommended dose of valsartan</w:t>
      </w:r>
      <w:r w:rsidR="00966974" w:rsidRPr="0049764D">
        <w:t>,</w:t>
      </w:r>
      <w:r w:rsidR="00894D33" w:rsidRPr="0049764D">
        <w:t xml:space="preserve"> </w:t>
      </w:r>
      <w:r w:rsidR="00966974" w:rsidRPr="0049764D">
        <w:t>in combination with sacubitril</w:t>
      </w:r>
      <w:r w:rsidR="007C4C01" w:rsidRPr="0049764D">
        <w:t>.</w:t>
      </w:r>
      <w:r w:rsidR="00966974" w:rsidRPr="0049764D">
        <w:t xml:space="preserve"> </w:t>
      </w:r>
      <w:r w:rsidR="00894D33" w:rsidRPr="0049764D">
        <w:t>(</w:t>
      </w:r>
      <w:r w:rsidR="00966974" w:rsidRPr="0049764D">
        <w:t xml:space="preserve">The dose of valsartan was </w:t>
      </w:r>
      <w:r w:rsidR="0079190C" w:rsidRPr="0049764D">
        <w:t xml:space="preserve">equivalent to </w:t>
      </w:r>
      <w:r w:rsidR="00894D33" w:rsidRPr="0049764D">
        <w:t>320 mg daily</w:t>
      </w:r>
      <w:r w:rsidR="00966974" w:rsidRPr="0049764D">
        <w:t>. D</w:t>
      </w:r>
      <w:r w:rsidR="00F80A50" w:rsidRPr="0049764D">
        <w:t>ue to differences in bioavailability</w:t>
      </w:r>
      <w:r w:rsidR="00966974" w:rsidRPr="0049764D">
        <w:t>,</w:t>
      </w:r>
      <w:r w:rsidR="00F80A50" w:rsidRPr="0049764D">
        <w:t xml:space="preserve"> 103 mg </w:t>
      </w:r>
      <w:r w:rsidR="00966974" w:rsidRPr="0049764D">
        <w:t xml:space="preserve">valsartan </w:t>
      </w:r>
      <w:r w:rsidR="00F80A50" w:rsidRPr="0049764D">
        <w:t>in sacubitril/valsartan is equivalent to 160 mg</w:t>
      </w:r>
      <w:r w:rsidR="00966974" w:rsidRPr="0049764D">
        <w:t xml:space="preserve"> valsartan in the single ingredient table. This was administered twice daily)</w:t>
      </w:r>
      <w:r w:rsidRPr="0049764D">
        <w:t>.</w:t>
      </w:r>
    </w:p>
    <w:p w:rsidR="00966974" w:rsidRPr="0049764D" w:rsidRDefault="00966974" w:rsidP="00966974">
      <w:pPr>
        <w:pStyle w:val="ListParagraph"/>
        <w:widowControl/>
        <w:ind w:left="709"/>
        <w:rPr>
          <w:snapToGrid/>
          <w:lang w:eastAsia="en-AU"/>
        </w:rPr>
      </w:pPr>
    </w:p>
    <w:p w:rsidR="00ED34E5" w:rsidRPr="0049764D" w:rsidRDefault="00894D33" w:rsidP="001611C7">
      <w:pPr>
        <w:pStyle w:val="ListParagraph"/>
        <w:widowControl/>
        <w:numPr>
          <w:ilvl w:val="1"/>
          <w:numId w:val="2"/>
        </w:numPr>
        <w:ind w:left="709"/>
        <w:rPr>
          <w:snapToGrid/>
          <w:lang w:eastAsia="en-AU"/>
        </w:rPr>
      </w:pPr>
      <w:r w:rsidRPr="0049764D">
        <w:t xml:space="preserve">The dose of enalapril </w:t>
      </w:r>
      <w:r w:rsidR="00ED34E5" w:rsidRPr="0049764D">
        <w:t xml:space="preserve">was based on </w:t>
      </w:r>
      <w:r w:rsidR="00F14D7D" w:rsidRPr="0049764D">
        <w:t xml:space="preserve">the </w:t>
      </w:r>
      <w:r w:rsidR="00ED34E5" w:rsidRPr="0049764D">
        <w:rPr>
          <w:snapToGrid/>
          <w:lang w:eastAsia="en-AU"/>
        </w:rPr>
        <w:t>pivotal trial of enalapril in heart failure</w:t>
      </w:r>
      <w:r w:rsidR="00F14D7D" w:rsidRPr="0049764D">
        <w:rPr>
          <w:snapToGrid/>
          <w:lang w:eastAsia="en-AU"/>
        </w:rPr>
        <w:t>, which was conducted</w:t>
      </w:r>
      <w:r w:rsidR="00ED34E5" w:rsidRPr="0049764D">
        <w:rPr>
          <w:snapToGrid/>
          <w:lang w:eastAsia="en-AU"/>
        </w:rPr>
        <w:t xml:space="preserve"> in the late 1980s (SOLVD-Treatment</w:t>
      </w:r>
      <w:r w:rsidR="004F5A42" w:rsidRPr="0049764D">
        <w:rPr>
          <w:snapToGrid/>
          <w:lang w:eastAsia="en-AU"/>
        </w:rPr>
        <w:t>)</w:t>
      </w:r>
      <w:r w:rsidR="00ED34E5" w:rsidRPr="0049764D">
        <w:t xml:space="preserve">. However, </w:t>
      </w:r>
      <w:r w:rsidR="00ED34E5" w:rsidRPr="0049764D">
        <w:rPr>
          <w:snapToGrid/>
          <w:lang w:eastAsia="en-AU"/>
        </w:rPr>
        <w:t xml:space="preserve">clinical practice has changed since this time. Table </w:t>
      </w:r>
      <w:r w:rsidR="004F5A42" w:rsidRPr="0049764D">
        <w:rPr>
          <w:snapToGrid/>
          <w:lang w:eastAsia="en-AU"/>
        </w:rPr>
        <w:t>3</w:t>
      </w:r>
      <w:r w:rsidR="00ED34E5" w:rsidRPr="0049764D">
        <w:rPr>
          <w:snapToGrid/>
          <w:lang w:eastAsia="en-AU"/>
        </w:rPr>
        <w:t xml:space="preserve"> compares the maximum and mean doses in PARADIGM-HF with the doses recommended in the Australian Product Information and various guidelines. </w:t>
      </w:r>
      <w:r w:rsidR="004F5A42" w:rsidRPr="0049764D">
        <w:rPr>
          <w:snapToGrid/>
          <w:lang w:eastAsia="en-AU"/>
        </w:rPr>
        <w:t>S</w:t>
      </w:r>
      <w:r w:rsidR="004F5A42" w:rsidRPr="0049764D">
        <w:t>ome of the benefit of sacubitril/valsartan might have been due to the relatively higher dos</w:t>
      </w:r>
      <w:r w:rsidR="00F14D7D" w:rsidRPr="0049764D">
        <w:t>e</w:t>
      </w:r>
      <w:r w:rsidR="004F5A42" w:rsidRPr="0049764D">
        <w:t xml:space="preserve"> of </w:t>
      </w:r>
      <w:r w:rsidR="00F14D7D" w:rsidRPr="0049764D">
        <w:t>v</w:t>
      </w:r>
      <w:r w:rsidR="004F5A42" w:rsidRPr="0049764D">
        <w:t>alsartan, rather than the novel sacubitril component.</w:t>
      </w:r>
    </w:p>
    <w:p w:rsidR="00ED34E5" w:rsidRPr="0049764D" w:rsidRDefault="00ED34E5" w:rsidP="00ED34E5">
      <w:pPr>
        <w:ind w:left="709"/>
        <w:rPr>
          <w:i/>
        </w:rPr>
      </w:pPr>
    </w:p>
    <w:p w:rsidR="00ED34E5" w:rsidRPr="00BC0C24" w:rsidRDefault="00ED34E5" w:rsidP="00ED34E5">
      <w:pPr>
        <w:pStyle w:val="PBACTableText"/>
        <w:keepNext/>
        <w:keepLines/>
        <w:ind w:left="709"/>
        <w:rPr>
          <w:b/>
          <w:lang w:val="en-AU"/>
        </w:rPr>
      </w:pPr>
      <w:r w:rsidRPr="00BC0C24">
        <w:rPr>
          <w:b/>
          <w:lang w:val="en-AU"/>
        </w:rPr>
        <w:t xml:space="preserve">Table </w:t>
      </w:r>
      <w:r w:rsidR="004F5A42" w:rsidRPr="00BC0C24">
        <w:rPr>
          <w:b/>
          <w:lang w:val="en-AU"/>
        </w:rPr>
        <w:t>3</w:t>
      </w:r>
      <w:r w:rsidRPr="00BC0C24">
        <w:rPr>
          <w:b/>
          <w:lang w:val="en-AU"/>
        </w:rPr>
        <w:t>: Dosing of enalapril versus valsartan in PARADIGM-HF and Australian practice</w:t>
      </w:r>
    </w:p>
    <w:tbl>
      <w:tblPr>
        <w:tblStyle w:val="TableGrid"/>
        <w:tblW w:w="4594" w:type="pct"/>
        <w:tblInd w:w="737" w:type="dxa"/>
        <w:tblCellMar>
          <w:left w:w="28" w:type="dxa"/>
          <w:right w:w="28" w:type="dxa"/>
        </w:tblCellMar>
        <w:tblLook w:val="04A0" w:firstRow="1" w:lastRow="0" w:firstColumn="1" w:lastColumn="0" w:noHBand="0" w:noVBand="1"/>
        <w:tblCaption w:val="Table 3: Dosing of enalapril versus valsartan in PARADIGM-HF and Australian practice"/>
      </w:tblPr>
      <w:tblGrid>
        <w:gridCol w:w="2268"/>
        <w:gridCol w:w="956"/>
        <w:gridCol w:w="1185"/>
        <w:gridCol w:w="2332"/>
        <w:gridCol w:w="1604"/>
      </w:tblGrid>
      <w:tr w:rsidR="00ED34E5" w:rsidRPr="0049764D" w:rsidTr="00CB1E7B">
        <w:trPr>
          <w:trHeight w:val="355"/>
          <w:tblHeader/>
        </w:trPr>
        <w:tc>
          <w:tcPr>
            <w:tcW w:w="1359" w:type="pct"/>
            <w:vMerge w:val="restart"/>
          </w:tcPr>
          <w:p w:rsidR="00ED34E5" w:rsidRPr="00BC0C24" w:rsidRDefault="00ED34E5" w:rsidP="00ED34E5">
            <w:pPr>
              <w:pStyle w:val="PBACTableText"/>
              <w:keepNext/>
              <w:keepLines/>
              <w:ind w:left="709"/>
              <w:rPr>
                <w:b/>
                <w:lang w:val="en-AU"/>
              </w:rPr>
            </w:pPr>
          </w:p>
        </w:tc>
        <w:tc>
          <w:tcPr>
            <w:tcW w:w="1283" w:type="pct"/>
            <w:gridSpan w:val="2"/>
            <w:vAlign w:val="center"/>
          </w:tcPr>
          <w:p w:rsidR="00ED34E5" w:rsidRPr="00BC0C24" w:rsidRDefault="00AC7BC9" w:rsidP="00AC7BC9">
            <w:pPr>
              <w:pStyle w:val="PBACTableText"/>
              <w:keepNext/>
              <w:keepLines/>
              <w:ind w:left="22"/>
              <w:jc w:val="center"/>
              <w:rPr>
                <w:b/>
                <w:lang w:val="en-AU"/>
              </w:rPr>
            </w:pPr>
            <w:r w:rsidRPr="00BC0C24">
              <w:rPr>
                <w:b/>
                <w:lang w:val="en-AU"/>
              </w:rPr>
              <w:t>Daily d</w:t>
            </w:r>
            <w:r w:rsidR="00ED34E5" w:rsidRPr="00BC0C24">
              <w:rPr>
                <w:b/>
                <w:lang w:val="en-AU"/>
              </w:rPr>
              <w:t>oses in trial, mg</w:t>
            </w:r>
          </w:p>
        </w:tc>
        <w:tc>
          <w:tcPr>
            <w:tcW w:w="2358" w:type="pct"/>
            <w:gridSpan w:val="2"/>
            <w:vAlign w:val="center"/>
          </w:tcPr>
          <w:p w:rsidR="00ED34E5" w:rsidRPr="00BC0C24" w:rsidRDefault="00ED34E5" w:rsidP="00ED34E5">
            <w:pPr>
              <w:pStyle w:val="PBACTableText"/>
              <w:keepNext/>
              <w:keepLines/>
              <w:jc w:val="center"/>
              <w:rPr>
                <w:b/>
                <w:lang w:val="en-AU"/>
              </w:rPr>
            </w:pPr>
            <w:r w:rsidRPr="00BC0C24">
              <w:rPr>
                <w:b/>
                <w:lang w:val="en-AU"/>
              </w:rPr>
              <w:t xml:space="preserve">Recommended </w:t>
            </w:r>
            <w:r w:rsidR="00AC7BC9" w:rsidRPr="00BC0C24">
              <w:rPr>
                <w:b/>
                <w:lang w:val="en-AU"/>
              </w:rPr>
              <w:t xml:space="preserve">daily </w:t>
            </w:r>
            <w:r w:rsidRPr="00BC0C24">
              <w:rPr>
                <w:b/>
                <w:lang w:val="en-AU"/>
              </w:rPr>
              <w:t>doses</w:t>
            </w:r>
          </w:p>
        </w:tc>
      </w:tr>
      <w:tr w:rsidR="00ED34E5" w:rsidRPr="0049764D" w:rsidTr="00CB1E7B">
        <w:trPr>
          <w:trHeight w:val="183"/>
          <w:tblHeader/>
        </w:trPr>
        <w:tc>
          <w:tcPr>
            <w:tcW w:w="1359" w:type="pct"/>
            <w:vMerge/>
          </w:tcPr>
          <w:p w:rsidR="00ED34E5" w:rsidRPr="00BC0C24" w:rsidRDefault="00ED34E5" w:rsidP="00ED34E5">
            <w:pPr>
              <w:pStyle w:val="PBACTableText"/>
              <w:keepNext/>
              <w:keepLines/>
              <w:ind w:left="709"/>
              <w:rPr>
                <w:b/>
                <w:lang w:val="en-AU"/>
              </w:rPr>
            </w:pPr>
          </w:p>
        </w:tc>
        <w:tc>
          <w:tcPr>
            <w:tcW w:w="573" w:type="pct"/>
            <w:vAlign w:val="center"/>
          </w:tcPr>
          <w:p w:rsidR="00ED34E5" w:rsidRPr="00BC0C24" w:rsidRDefault="00ED34E5" w:rsidP="00ED34E5">
            <w:pPr>
              <w:pStyle w:val="PBACTableText"/>
              <w:keepNext/>
              <w:keepLines/>
              <w:ind w:left="22"/>
              <w:jc w:val="center"/>
              <w:rPr>
                <w:b/>
                <w:lang w:val="en-AU"/>
              </w:rPr>
            </w:pPr>
            <w:r w:rsidRPr="00BC0C24">
              <w:rPr>
                <w:b/>
                <w:lang w:val="en-AU"/>
              </w:rPr>
              <w:t xml:space="preserve">Max dose </w:t>
            </w:r>
          </w:p>
        </w:tc>
        <w:tc>
          <w:tcPr>
            <w:tcW w:w="710" w:type="pct"/>
            <w:vAlign w:val="center"/>
          </w:tcPr>
          <w:p w:rsidR="00ED34E5" w:rsidRPr="00BC0C24" w:rsidRDefault="00ED34E5" w:rsidP="00F14D7D">
            <w:pPr>
              <w:pStyle w:val="PBACTableText"/>
              <w:keepNext/>
              <w:keepLines/>
              <w:ind w:left="8"/>
              <w:jc w:val="center"/>
              <w:rPr>
                <w:b/>
                <w:lang w:val="en-AU"/>
              </w:rPr>
            </w:pPr>
            <w:r w:rsidRPr="00BC0C24">
              <w:rPr>
                <w:b/>
                <w:lang w:val="en-AU"/>
              </w:rPr>
              <w:t xml:space="preserve">Mean dose </w:t>
            </w:r>
          </w:p>
        </w:tc>
        <w:tc>
          <w:tcPr>
            <w:tcW w:w="1397" w:type="pct"/>
            <w:vAlign w:val="center"/>
          </w:tcPr>
          <w:p w:rsidR="00ED34E5" w:rsidRPr="00BC0C24" w:rsidRDefault="00ED34E5" w:rsidP="00ED34E5">
            <w:pPr>
              <w:pStyle w:val="PBACTableText"/>
              <w:keepNext/>
              <w:keepLines/>
              <w:ind w:left="99"/>
              <w:jc w:val="center"/>
              <w:rPr>
                <w:b/>
                <w:lang w:val="en-AU"/>
              </w:rPr>
            </w:pPr>
            <w:r w:rsidRPr="00BC0C24">
              <w:rPr>
                <w:b/>
                <w:lang w:val="en-AU"/>
              </w:rPr>
              <w:t>Australian Product Information</w:t>
            </w:r>
          </w:p>
        </w:tc>
        <w:tc>
          <w:tcPr>
            <w:tcW w:w="961" w:type="pct"/>
            <w:vAlign w:val="center"/>
          </w:tcPr>
          <w:p w:rsidR="00ED34E5" w:rsidRPr="00BC0C24" w:rsidRDefault="00ED34E5" w:rsidP="00ED34E5">
            <w:pPr>
              <w:pStyle w:val="PBACTableText"/>
              <w:keepNext/>
              <w:keepLines/>
              <w:ind w:left="35"/>
              <w:jc w:val="center"/>
              <w:rPr>
                <w:b/>
                <w:vertAlign w:val="superscript"/>
                <w:lang w:val="en-AU"/>
              </w:rPr>
            </w:pPr>
            <w:r w:rsidRPr="00BC0C24">
              <w:rPr>
                <w:b/>
                <w:lang w:val="en-AU"/>
              </w:rPr>
              <w:t xml:space="preserve">Guidelines </w:t>
            </w:r>
            <w:r w:rsidRPr="00BC0C24">
              <w:rPr>
                <w:b/>
                <w:vertAlign w:val="superscript"/>
                <w:lang w:val="en-AU"/>
              </w:rPr>
              <w:t>c</w:t>
            </w:r>
          </w:p>
        </w:tc>
      </w:tr>
      <w:tr w:rsidR="00ED34E5" w:rsidRPr="0049764D" w:rsidTr="00227F60">
        <w:trPr>
          <w:trHeight w:val="20"/>
        </w:trPr>
        <w:tc>
          <w:tcPr>
            <w:tcW w:w="1359" w:type="pct"/>
            <w:vAlign w:val="center"/>
          </w:tcPr>
          <w:p w:rsidR="00ED34E5" w:rsidRPr="00BC0C24" w:rsidRDefault="00227F60" w:rsidP="00227F60">
            <w:pPr>
              <w:pStyle w:val="PBACTableText"/>
              <w:keepNext/>
              <w:keepLines/>
              <w:rPr>
                <w:lang w:val="en-AU"/>
              </w:rPr>
            </w:pPr>
            <w:r w:rsidRPr="00BC0C24">
              <w:rPr>
                <w:b/>
                <w:lang w:val="en-AU"/>
              </w:rPr>
              <w:t>Equivalent v</w:t>
            </w:r>
            <w:r w:rsidR="00ED34E5" w:rsidRPr="00BC0C24">
              <w:rPr>
                <w:b/>
                <w:lang w:val="en-AU"/>
              </w:rPr>
              <w:t xml:space="preserve">alsartan dose in sacubitril/valsartan </w:t>
            </w:r>
            <w:r w:rsidR="00F14D7D" w:rsidRPr="00BC0C24">
              <w:rPr>
                <w:b/>
                <w:vertAlign w:val="superscript"/>
                <w:lang w:val="en-AU"/>
              </w:rPr>
              <w:t>a</w:t>
            </w:r>
            <w:r w:rsidR="00ED34E5" w:rsidRPr="00BC0C24">
              <w:rPr>
                <w:b/>
                <w:lang w:val="en-AU"/>
              </w:rPr>
              <w:t xml:space="preserve">  </w:t>
            </w:r>
          </w:p>
        </w:tc>
        <w:tc>
          <w:tcPr>
            <w:tcW w:w="573" w:type="pct"/>
            <w:vAlign w:val="center"/>
          </w:tcPr>
          <w:p w:rsidR="00ED34E5" w:rsidRPr="00BC0C24" w:rsidRDefault="00ED34E5" w:rsidP="00F14D7D">
            <w:pPr>
              <w:pStyle w:val="PBACTableText"/>
              <w:keepNext/>
              <w:keepLines/>
              <w:ind w:left="22"/>
              <w:jc w:val="center"/>
              <w:rPr>
                <w:lang w:val="en-AU"/>
              </w:rPr>
            </w:pPr>
            <w:r w:rsidRPr="00BC0C24">
              <w:rPr>
                <w:lang w:val="en-AU"/>
              </w:rPr>
              <w:t xml:space="preserve">320 mg </w:t>
            </w:r>
          </w:p>
        </w:tc>
        <w:tc>
          <w:tcPr>
            <w:tcW w:w="710" w:type="pct"/>
            <w:vAlign w:val="center"/>
          </w:tcPr>
          <w:p w:rsidR="00ED34E5" w:rsidRPr="00BC0C24" w:rsidRDefault="00ED34E5" w:rsidP="00ED34E5">
            <w:pPr>
              <w:pStyle w:val="PBACTableText"/>
              <w:keepNext/>
              <w:keepLines/>
              <w:ind w:left="8"/>
              <w:jc w:val="center"/>
              <w:rPr>
                <w:vertAlign w:val="superscript"/>
                <w:lang w:val="en-AU"/>
              </w:rPr>
            </w:pPr>
            <w:r w:rsidRPr="00BC0C24">
              <w:rPr>
                <w:lang w:val="en-AU"/>
              </w:rPr>
              <w:t xml:space="preserve">300 mg </w:t>
            </w:r>
            <w:r w:rsidRPr="00BC0C24">
              <w:rPr>
                <w:vertAlign w:val="superscript"/>
                <w:lang w:val="en-AU"/>
              </w:rPr>
              <w:t>b</w:t>
            </w:r>
          </w:p>
        </w:tc>
        <w:tc>
          <w:tcPr>
            <w:tcW w:w="1397" w:type="pct"/>
            <w:vAlign w:val="center"/>
          </w:tcPr>
          <w:p w:rsidR="00ED34E5" w:rsidRPr="00BC0C24" w:rsidRDefault="00ED34E5" w:rsidP="00F80A50">
            <w:pPr>
              <w:pStyle w:val="PBACTableText"/>
              <w:ind w:left="99"/>
              <w:jc w:val="center"/>
              <w:rPr>
                <w:lang w:val="en-AU"/>
              </w:rPr>
            </w:pPr>
            <w:r w:rsidRPr="00BC0C24">
              <w:rPr>
                <w:lang w:val="en-AU"/>
              </w:rPr>
              <w:t xml:space="preserve">160-320 mg </w:t>
            </w:r>
          </w:p>
        </w:tc>
        <w:tc>
          <w:tcPr>
            <w:tcW w:w="961" w:type="pct"/>
            <w:vAlign w:val="center"/>
          </w:tcPr>
          <w:p w:rsidR="00ED34E5" w:rsidRPr="00BC0C24" w:rsidRDefault="00ED34E5" w:rsidP="00F80A50">
            <w:pPr>
              <w:pStyle w:val="PBACTableText"/>
              <w:keepNext/>
              <w:keepLines/>
              <w:ind w:left="35"/>
              <w:jc w:val="center"/>
              <w:rPr>
                <w:lang w:val="en-AU"/>
              </w:rPr>
            </w:pPr>
            <w:r w:rsidRPr="00BC0C24">
              <w:rPr>
                <w:lang w:val="en-AU"/>
              </w:rPr>
              <w:t xml:space="preserve">Up to 320 mg </w:t>
            </w:r>
          </w:p>
        </w:tc>
      </w:tr>
      <w:tr w:rsidR="00ED34E5" w:rsidRPr="0049764D" w:rsidTr="00227F60">
        <w:trPr>
          <w:trHeight w:val="20"/>
        </w:trPr>
        <w:tc>
          <w:tcPr>
            <w:tcW w:w="1359" w:type="pct"/>
            <w:vAlign w:val="center"/>
          </w:tcPr>
          <w:p w:rsidR="00ED34E5" w:rsidRPr="00BC0C24" w:rsidRDefault="00ED34E5" w:rsidP="00ED34E5">
            <w:pPr>
              <w:pStyle w:val="PBACTableText"/>
              <w:keepNext/>
              <w:keepLines/>
              <w:rPr>
                <w:b/>
                <w:lang w:val="en-AU"/>
              </w:rPr>
            </w:pPr>
            <w:r w:rsidRPr="00BC0C24">
              <w:rPr>
                <w:b/>
                <w:lang w:val="en-AU"/>
              </w:rPr>
              <w:t>Enalapril</w:t>
            </w:r>
          </w:p>
        </w:tc>
        <w:tc>
          <w:tcPr>
            <w:tcW w:w="573" w:type="pct"/>
            <w:vAlign w:val="center"/>
          </w:tcPr>
          <w:p w:rsidR="00ED34E5" w:rsidRPr="00BC0C24" w:rsidRDefault="00ED34E5" w:rsidP="00ED34E5">
            <w:pPr>
              <w:pStyle w:val="PBACTableText"/>
              <w:keepNext/>
              <w:keepLines/>
              <w:ind w:left="22"/>
              <w:jc w:val="center"/>
              <w:rPr>
                <w:lang w:val="en-AU"/>
              </w:rPr>
            </w:pPr>
            <w:r w:rsidRPr="00BC0C24">
              <w:rPr>
                <w:lang w:val="en-AU"/>
              </w:rPr>
              <w:t>20 mg</w:t>
            </w:r>
          </w:p>
        </w:tc>
        <w:tc>
          <w:tcPr>
            <w:tcW w:w="710" w:type="pct"/>
            <w:vAlign w:val="center"/>
          </w:tcPr>
          <w:p w:rsidR="00ED34E5" w:rsidRPr="00BC0C24" w:rsidRDefault="00ED34E5" w:rsidP="00ED34E5">
            <w:pPr>
              <w:pStyle w:val="PBACTableText"/>
              <w:keepNext/>
              <w:keepLines/>
              <w:ind w:left="8"/>
              <w:jc w:val="center"/>
              <w:rPr>
                <w:vertAlign w:val="superscript"/>
                <w:lang w:val="en-AU"/>
              </w:rPr>
            </w:pPr>
            <w:r w:rsidRPr="00BC0C24">
              <w:rPr>
                <w:lang w:val="en-AU"/>
              </w:rPr>
              <w:t xml:space="preserve">18.9 mg </w:t>
            </w:r>
            <w:r w:rsidRPr="00BC0C24">
              <w:rPr>
                <w:vertAlign w:val="superscript"/>
                <w:lang w:val="en-AU"/>
              </w:rPr>
              <w:t>b</w:t>
            </w:r>
          </w:p>
        </w:tc>
        <w:tc>
          <w:tcPr>
            <w:tcW w:w="1397" w:type="pct"/>
            <w:vAlign w:val="center"/>
          </w:tcPr>
          <w:p w:rsidR="00ED34E5" w:rsidRPr="00BC0C24" w:rsidRDefault="00ED34E5" w:rsidP="00F80A50">
            <w:pPr>
              <w:pStyle w:val="PBACTableText"/>
              <w:ind w:left="99"/>
              <w:jc w:val="center"/>
              <w:rPr>
                <w:lang w:val="en-AU"/>
              </w:rPr>
            </w:pPr>
            <w:r w:rsidRPr="00BC0C24">
              <w:rPr>
                <w:lang w:val="en-AU"/>
              </w:rPr>
              <w:t xml:space="preserve">10-20 mg </w:t>
            </w:r>
          </w:p>
        </w:tc>
        <w:tc>
          <w:tcPr>
            <w:tcW w:w="961" w:type="pct"/>
            <w:vAlign w:val="center"/>
          </w:tcPr>
          <w:p w:rsidR="00ED34E5" w:rsidRPr="00BC0C24" w:rsidRDefault="00ED34E5" w:rsidP="00F80A50">
            <w:pPr>
              <w:pStyle w:val="PBACTableText"/>
              <w:keepNext/>
              <w:keepLines/>
              <w:ind w:left="35"/>
              <w:jc w:val="center"/>
              <w:rPr>
                <w:lang w:val="en-AU"/>
              </w:rPr>
            </w:pPr>
            <w:r w:rsidRPr="00BC0C24">
              <w:rPr>
                <w:lang w:val="en-AU"/>
              </w:rPr>
              <w:t xml:space="preserve">Up to 40 mg </w:t>
            </w:r>
          </w:p>
        </w:tc>
      </w:tr>
    </w:tbl>
    <w:p w:rsidR="00ED34E5" w:rsidRPr="0049764D" w:rsidRDefault="00ED34E5" w:rsidP="00ED34E5">
      <w:pPr>
        <w:pStyle w:val="TableFooter"/>
        <w:ind w:left="709"/>
      </w:pPr>
      <w:r w:rsidRPr="0049764D">
        <w:t xml:space="preserve">Source: Table 12-4, p304 of the </w:t>
      </w:r>
      <w:r w:rsidR="004C27F5" w:rsidRPr="0049764D">
        <w:t>C</w:t>
      </w:r>
      <w:r w:rsidRPr="0049764D">
        <w:t xml:space="preserve">linical </w:t>
      </w:r>
      <w:r w:rsidR="004C27F5" w:rsidRPr="0049764D">
        <w:t>S</w:t>
      </w:r>
      <w:r w:rsidRPr="0049764D">
        <w:t xml:space="preserve">tudy </w:t>
      </w:r>
      <w:r w:rsidR="004C27F5" w:rsidRPr="0049764D">
        <w:t>R</w:t>
      </w:r>
      <w:r w:rsidRPr="0049764D">
        <w:t>eport; and compiled during evaluation</w:t>
      </w:r>
    </w:p>
    <w:p w:rsidR="00ED34E5" w:rsidRPr="0049764D" w:rsidRDefault="00ED34E5" w:rsidP="00ED34E5">
      <w:pPr>
        <w:pStyle w:val="TableFooter"/>
        <w:ind w:left="709"/>
      </w:pPr>
      <w:r w:rsidRPr="0049764D">
        <w:t>max = maximum</w:t>
      </w:r>
    </w:p>
    <w:p w:rsidR="00ED34E5" w:rsidRPr="0049764D" w:rsidRDefault="00ED34E5" w:rsidP="00ED34E5">
      <w:pPr>
        <w:pStyle w:val="TableFooter"/>
        <w:ind w:left="709"/>
      </w:pPr>
      <w:r w:rsidRPr="0049764D">
        <w:rPr>
          <w:vertAlign w:val="superscript"/>
        </w:rPr>
        <w:t>a</w:t>
      </w:r>
      <w:r w:rsidRPr="0049764D">
        <w:t xml:space="preserve"> </w:t>
      </w:r>
      <w:r w:rsidR="00227F60" w:rsidRPr="0049764D">
        <w:t>Valsartan has a higher bioavailability in the sacubitril/valsartan fixed</w:t>
      </w:r>
      <w:r w:rsidR="004C27F5" w:rsidRPr="0049764D">
        <w:t>-</w:t>
      </w:r>
      <w:r w:rsidR="00227F60" w:rsidRPr="0049764D">
        <w:t>dose combination th</w:t>
      </w:r>
      <w:r w:rsidR="004C27F5" w:rsidRPr="0049764D">
        <w:t>a</w:t>
      </w:r>
      <w:r w:rsidR="00227F60" w:rsidRPr="0049764D">
        <w:t xml:space="preserve">n </w:t>
      </w:r>
      <w:r w:rsidR="00966974" w:rsidRPr="0049764D">
        <w:t xml:space="preserve">in </w:t>
      </w:r>
      <w:r w:rsidR="00227F60" w:rsidRPr="0049764D">
        <w:t xml:space="preserve">the single ingredient table. The dose expressed here is the </w:t>
      </w:r>
      <w:r w:rsidRPr="0049764D">
        <w:t>equivalent dose of valsartan in single ingredient tablet</w:t>
      </w:r>
      <w:r w:rsidR="00966974" w:rsidRPr="0049764D">
        <w:t>. The equivalent doses are: sacubitril/valsartan 24/26 mg = 40 mg valsartan, 49/51 mg = 80 mg valsartan; 97/103 mg = 160 mg valsartan.</w:t>
      </w:r>
      <w:r w:rsidRPr="0049764D">
        <w:t xml:space="preserve"> </w:t>
      </w:r>
      <w:r w:rsidR="00966974" w:rsidRPr="0049764D">
        <w:t>This was administered twice daily.</w:t>
      </w:r>
    </w:p>
    <w:p w:rsidR="00ED34E5" w:rsidRPr="0049764D" w:rsidRDefault="00ED34E5" w:rsidP="00ED34E5">
      <w:pPr>
        <w:pStyle w:val="TableFooter"/>
        <w:ind w:left="709"/>
      </w:pPr>
      <w:r w:rsidRPr="0049764D">
        <w:rPr>
          <w:vertAlign w:val="superscript"/>
        </w:rPr>
        <w:t>b</w:t>
      </w:r>
      <w:r w:rsidRPr="0049764D">
        <w:t xml:space="preserve"> Mean dose excluding interruptions, safety set, last available record during randomised period in patients still taking the study medication. </w:t>
      </w:r>
    </w:p>
    <w:p w:rsidR="00ED34E5" w:rsidRPr="0049764D" w:rsidRDefault="00ED34E5" w:rsidP="00ED34E5">
      <w:pPr>
        <w:pStyle w:val="TableFooter"/>
        <w:ind w:left="709"/>
      </w:pPr>
      <w:r w:rsidRPr="0049764D">
        <w:rPr>
          <w:vertAlign w:val="superscript"/>
        </w:rPr>
        <w:t>c</w:t>
      </w:r>
      <w:r w:rsidRPr="0049764D">
        <w:t xml:space="preserve"> Therapeutic Guidelines (Cardiovascular Expert Group, 2012) and the National Prescribing Service  (2011), American College of Cardiology Foundation/ American Heart Association (Yancy et al, 2013).</w:t>
      </w:r>
    </w:p>
    <w:p w:rsidR="00885794" w:rsidRPr="0049764D" w:rsidRDefault="00885794" w:rsidP="00885794">
      <w:pPr>
        <w:pStyle w:val="ListParagraph"/>
        <w:widowControl/>
        <w:ind w:left="709"/>
      </w:pPr>
    </w:p>
    <w:p w:rsidR="00B60939" w:rsidRPr="0049764D" w:rsidRDefault="00885794" w:rsidP="001611C7">
      <w:pPr>
        <w:pStyle w:val="ListParagraph"/>
        <w:widowControl/>
        <w:numPr>
          <w:ilvl w:val="1"/>
          <w:numId w:val="2"/>
        </w:numPr>
      </w:pPr>
      <w:r w:rsidRPr="0049764D">
        <w:t>Th</w:t>
      </w:r>
      <w:r w:rsidR="0055579B" w:rsidRPr="0049764D">
        <w:t>e difference in potency between the doses used in the trial</w:t>
      </w:r>
      <w:r w:rsidRPr="0049764D">
        <w:t xml:space="preserve"> was further supported by the HEAVEN</w:t>
      </w:r>
      <w:r w:rsidR="00966974" w:rsidRPr="0049764D">
        <w:t xml:space="preserve"> </w:t>
      </w:r>
      <w:r w:rsidRPr="0049764D">
        <w:t xml:space="preserve">trial </w:t>
      </w:r>
      <w:r w:rsidR="001D0CB5" w:rsidRPr="0049764D">
        <w:t xml:space="preserve">(Willenheimer 2002) </w:t>
      </w:r>
      <w:r w:rsidRPr="0049764D">
        <w:t>in which valsartan 160 mg daily was shown to be non-inferior to enalapril 20 mg in terms of exercise capacity in heart failure</w:t>
      </w:r>
      <w:r w:rsidR="0079190C" w:rsidRPr="0049764D">
        <w:t>. That is</w:t>
      </w:r>
      <w:r w:rsidR="001D0CB5" w:rsidRPr="0049764D">
        <w:t>,</w:t>
      </w:r>
      <w:r w:rsidRPr="0049764D">
        <w:t xml:space="preserve"> the dose of enalapril used in the PARADIGM-HF trial was non-inferior to half the dose of valsartan used in PARADIGM-HF</w:t>
      </w:r>
      <w:r w:rsidR="0060305C" w:rsidRPr="0049764D">
        <w:t xml:space="preserve"> for the outcome of change in six</w:t>
      </w:r>
      <w:r w:rsidR="0079190C" w:rsidRPr="0049764D">
        <w:t>-</w:t>
      </w:r>
      <w:r w:rsidR="0060305C" w:rsidRPr="0049764D">
        <w:t>minute walk test at 12</w:t>
      </w:r>
      <w:r w:rsidR="00107917" w:rsidRPr="0049764D">
        <w:t>-</w:t>
      </w:r>
      <w:r w:rsidR="0060305C" w:rsidRPr="0049764D">
        <w:t>weeks</w:t>
      </w:r>
      <w:r w:rsidRPr="0049764D">
        <w:t>.</w:t>
      </w:r>
    </w:p>
    <w:p w:rsidR="0055579B" w:rsidRPr="0049764D" w:rsidRDefault="0055579B" w:rsidP="00B60939">
      <w:pPr>
        <w:rPr>
          <w:szCs w:val="22"/>
        </w:rPr>
      </w:pPr>
    </w:p>
    <w:p w:rsidR="00B60939" w:rsidRPr="0049764D" w:rsidRDefault="00B60939" w:rsidP="00665967">
      <w:pPr>
        <w:pStyle w:val="Heading2"/>
      </w:pPr>
      <w:bookmarkStart w:id="8" w:name="_Toc440894568"/>
      <w:r w:rsidRPr="0049764D">
        <w:t>Comparative effectiveness</w:t>
      </w:r>
      <w:bookmarkEnd w:id="8"/>
    </w:p>
    <w:p w:rsidR="00B60939" w:rsidRPr="0049764D" w:rsidRDefault="00B60939" w:rsidP="00B60939">
      <w:pPr>
        <w:rPr>
          <w:szCs w:val="22"/>
        </w:rPr>
      </w:pPr>
    </w:p>
    <w:p w:rsidR="00B811AE" w:rsidRPr="0049764D" w:rsidRDefault="00EE486B" w:rsidP="001611C7">
      <w:pPr>
        <w:pStyle w:val="ListParagraph"/>
        <w:widowControl/>
        <w:numPr>
          <w:ilvl w:val="1"/>
          <w:numId w:val="2"/>
        </w:numPr>
        <w:rPr>
          <w:szCs w:val="22"/>
        </w:rPr>
      </w:pPr>
      <w:r w:rsidRPr="0049764D">
        <w:t>The primary outcome of PARADIGM-HF was a composite of time to cardiovascular death or first heart failure hospitalisation</w:t>
      </w:r>
      <w:r w:rsidR="00B82BB3" w:rsidRPr="0049764D">
        <w:t xml:space="preserve"> post-randomisation</w:t>
      </w:r>
      <w:r w:rsidRPr="0049764D">
        <w:t xml:space="preserve">. The trial was also powered to demonstrate superiority in cardiovascular mortality. </w:t>
      </w:r>
      <w:r w:rsidR="00791A70" w:rsidRPr="0049764D">
        <w:rPr>
          <w:szCs w:val="22"/>
        </w:rPr>
        <w:t xml:space="preserve">Table </w:t>
      </w:r>
      <w:r w:rsidR="00227F60" w:rsidRPr="0049764D">
        <w:rPr>
          <w:szCs w:val="22"/>
        </w:rPr>
        <w:t>4</w:t>
      </w:r>
      <w:r w:rsidR="00874B51" w:rsidRPr="0049764D">
        <w:rPr>
          <w:szCs w:val="22"/>
        </w:rPr>
        <w:t xml:space="preserve"> </w:t>
      </w:r>
      <w:r w:rsidR="00791A70" w:rsidRPr="0049764D">
        <w:rPr>
          <w:szCs w:val="22"/>
        </w:rPr>
        <w:t>summarises t</w:t>
      </w:r>
      <w:r w:rsidR="00B811AE" w:rsidRPr="0049764D">
        <w:rPr>
          <w:szCs w:val="22"/>
        </w:rPr>
        <w:t xml:space="preserve">he </w:t>
      </w:r>
      <w:r w:rsidR="0055579B" w:rsidRPr="0049764D">
        <w:rPr>
          <w:szCs w:val="22"/>
        </w:rPr>
        <w:t xml:space="preserve">results of the </w:t>
      </w:r>
      <w:r w:rsidR="00B811AE" w:rsidRPr="0049764D">
        <w:rPr>
          <w:szCs w:val="22"/>
        </w:rPr>
        <w:t xml:space="preserve">primary outcome </w:t>
      </w:r>
      <w:r w:rsidR="00791A70" w:rsidRPr="0049764D">
        <w:t>and its components f</w:t>
      </w:r>
      <w:r w:rsidR="00B811AE" w:rsidRPr="0049764D">
        <w:rPr>
          <w:szCs w:val="22"/>
        </w:rPr>
        <w:t>rom PARADIGM-HF</w:t>
      </w:r>
      <w:r w:rsidR="00874B51" w:rsidRPr="0049764D">
        <w:rPr>
          <w:szCs w:val="22"/>
        </w:rPr>
        <w:t xml:space="preserve"> and Figure 1 presents the Kaplan-Meier curve</w:t>
      </w:r>
      <w:r w:rsidR="001D0CB5" w:rsidRPr="0049764D">
        <w:rPr>
          <w:szCs w:val="22"/>
        </w:rPr>
        <w:t>s</w:t>
      </w:r>
      <w:r w:rsidR="00874B51" w:rsidRPr="0049764D">
        <w:rPr>
          <w:szCs w:val="22"/>
        </w:rPr>
        <w:t xml:space="preserve"> for </w:t>
      </w:r>
      <w:r w:rsidR="001D0CB5" w:rsidRPr="0049764D">
        <w:rPr>
          <w:szCs w:val="22"/>
        </w:rPr>
        <w:t>cardiova</w:t>
      </w:r>
      <w:r w:rsidR="00FF754D" w:rsidRPr="0049764D">
        <w:rPr>
          <w:szCs w:val="22"/>
        </w:rPr>
        <w:t>s</w:t>
      </w:r>
      <w:r w:rsidR="001D0CB5" w:rsidRPr="0049764D">
        <w:rPr>
          <w:szCs w:val="22"/>
        </w:rPr>
        <w:t>cular</w:t>
      </w:r>
      <w:r w:rsidR="00874B51" w:rsidRPr="0049764D">
        <w:rPr>
          <w:szCs w:val="22"/>
        </w:rPr>
        <w:t xml:space="preserve"> death</w:t>
      </w:r>
      <w:r w:rsidR="00B811AE" w:rsidRPr="0049764D">
        <w:rPr>
          <w:szCs w:val="22"/>
        </w:rPr>
        <w:t xml:space="preserve">. </w:t>
      </w:r>
    </w:p>
    <w:p w:rsidR="0096683E" w:rsidRPr="0049764D" w:rsidRDefault="0096683E" w:rsidP="0096683E">
      <w:pPr>
        <w:pStyle w:val="ListParagraph"/>
        <w:widowControl/>
        <w:rPr>
          <w:szCs w:val="22"/>
        </w:rPr>
      </w:pPr>
    </w:p>
    <w:p w:rsidR="00791A70" w:rsidRPr="0049764D" w:rsidRDefault="00791A70" w:rsidP="00791A70">
      <w:pPr>
        <w:keepNext/>
        <w:keepLines/>
        <w:ind w:left="709"/>
        <w:rPr>
          <w:rStyle w:val="CommentReference"/>
        </w:rPr>
      </w:pPr>
      <w:r w:rsidRPr="0049764D">
        <w:rPr>
          <w:rStyle w:val="CommentReference"/>
        </w:rPr>
        <w:t xml:space="preserve">Table </w:t>
      </w:r>
      <w:r w:rsidR="00F14D7D" w:rsidRPr="0049764D">
        <w:rPr>
          <w:rStyle w:val="CommentReference"/>
        </w:rPr>
        <w:t>4</w:t>
      </w:r>
      <w:r w:rsidRPr="0049764D">
        <w:rPr>
          <w:rStyle w:val="CommentReference"/>
        </w:rPr>
        <w:t>: Results of primary outcomes from PARADIGM-HF, full analysis set</w:t>
      </w:r>
    </w:p>
    <w:tbl>
      <w:tblPr>
        <w:tblStyle w:val="TableGrid1"/>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Results of primary outcomes from PARADIGM-HF, full analysis set"/>
      </w:tblPr>
      <w:tblGrid>
        <w:gridCol w:w="3827"/>
        <w:gridCol w:w="1702"/>
        <w:gridCol w:w="1419"/>
        <w:gridCol w:w="1397"/>
      </w:tblGrid>
      <w:tr w:rsidR="00791A70" w:rsidRPr="0049764D" w:rsidTr="00CB1E7B">
        <w:trPr>
          <w:trHeight w:val="454"/>
          <w:tblHeader/>
        </w:trPr>
        <w:tc>
          <w:tcPr>
            <w:tcW w:w="2293" w:type="pct"/>
            <w:tcBorders>
              <w:top w:val="single" w:sz="4" w:space="0" w:color="auto"/>
              <w:left w:val="single" w:sz="4" w:space="0" w:color="auto"/>
              <w:right w:val="single" w:sz="4" w:space="0" w:color="auto"/>
            </w:tcBorders>
          </w:tcPr>
          <w:p w:rsidR="00791A70" w:rsidRPr="00BC0C24" w:rsidRDefault="00791A70" w:rsidP="0054392A">
            <w:pPr>
              <w:pStyle w:val="Tabletext"/>
              <w:keepNext/>
              <w:keepLines/>
              <w:rPr>
                <w:lang w:val="en-AU"/>
              </w:rPr>
            </w:pPr>
          </w:p>
        </w:tc>
        <w:tc>
          <w:tcPr>
            <w:tcW w:w="1020" w:type="pct"/>
            <w:tcBorders>
              <w:top w:val="single" w:sz="4" w:space="0" w:color="auto"/>
              <w:left w:val="single" w:sz="4" w:space="0" w:color="auto"/>
              <w:right w:val="single" w:sz="4" w:space="0" w:color="auto"/>
            </w:tcBorders>
          </w:tcPr>
          <w:p w:rsidR="00791A70" w:rsidRPr="00BC0C24" w:rsidRDefault="00791A70" w:rsidP="0054392A">
            <w:pPr>
              <w:pStyle w:val="Tabletext"/>
              <w:keepNext/>
              <w:keepLines/>
              <w:jc w:val="center"/>
              <w:rPr>
                <w:b/>
                <w:lang w:val="en-AU"/>
              </w:rPr>
            </w:pPr>
            <w:r w:rsidRPr="0049764D">
              <w:rPr>
                <w:b/>
              </w:rPr>
              <w:t>Sacubitril/ valsartan</w:t>
            </w:r>
          </w:p>
          <w:p w:rsidR="00791A70" w:rsidRPr="00BC0C24" w:rsidRDefault="00791A70" w:rsidP="0054392A">
            <w:pPr>
              <w:pStyle w:val="Tabletext"/>
              <w:keepNext/>
              <w:keepLines/>
              <w:jc w:val="center"/>
              <w:rPr>
                <w:b/>
                <w:lang w:val="en-AU"/>
              </w:rPr>
            </w:pPr>
            <w:r w:rsidRPr="0049764D">
              <w:rPr>
                <w:b/>
              </w:rPr>
              <w:t>N = 4,187</w:t>
            </w:r>
          </w:p>
        </w:tc>
        <w:tc>
          <w:tcPr>
            <w:tcW w:w="850" w:type="pct"/>
            <w:tcBorders>
              <w:top w:val="single" w:sz="4" w:space="0" w:color="auto"/>
              <w:left w:val="single" w:sz="4" w:space="0" w:color="auto"/>
              <w:right w:val="single" w:sz="4" w:space="0" w:color="auto"/>
            </w:tcBorders>
          </w:tcPr>
          <w:p w:rsidR="00791A70" w:rsidRPr="00BC0C24" w:rsidRDefault="00791A70" w:rsidP="0054392A">
            <w:pPr>
              <w:pStyle w:val="Tabletext"/>
              <w:keepNext/>
              <w:keepLines/>
              <w:jc w:val="center"/>
              <w:rPr>
                <w:b/>
                <w:lang w:val="en-AU"/>
              </w:rPr>
            </w:pPr>
            <w:r w:rsidRPr="0049764D">
              <w:rPr>
                <w:b/>
              </w:rPr>
              <w:t>Enalapril</w:t>
            </w:r>
          </w:p>
          <w:p w:rsidR="00791A70" w:rsidRPr="00BC0C24" w:rsidRDefault="00791A70" w:rsidP="0054392A">
            <w:pPr>
              <w:pStyle w:val="Tabletext"/>
              <w:keepNext/>
              <w:keepLines/>
              <w:jc w:val="center"/>
              <w:rPr>
                <w:b/>
                <w:lang w:val="en-AU"/>
              </w:rPr>
            </w:pPr>
            <w:r w:rsidRPr="0049764D">
              <w:rPr>
                <w:b/>
              </w:rPr>
              <w:t>N  = 4,212</w:t>
            </w:r>
          </w:p>
        </w:tc>
        <w:tc>
          <w:tcPr>
            <w:tcW w:w="837" w:type="pct"/>
            <w:tcBorders>
              <w:top w:val="single" w:sz="4" w:space="0" w:color="auto"/>
              <w:left w:val="single" w:sz="4" w:space="0" w:color="auto"/>
              <w:right w:val="single" w:sz="4" w:space="0" w:color="auto"/>
            </w:tcBorders>
          </w:tcPr>
          <w:p w:rsidR="00791A70" w:rsidRPr="00BC0C24" w:rsidRDefault="00791A70" w:rsidP="00791A70">
            <w:pPr>
              <w:pStyle w:val="Tabletext"/>
              <w:keepNext/>
              <w:keepLines/>
              <w:jc w:val="center"/>
              <w:rPr>
                <w:b/>
                <w:lang w:val="en-AU"/>
              </w:rPr>
            </w:pPr>
            <w:r w:rsidRPr="0049764D">
              <w:rPr>
                <w:b/>
              </w:rPr>
              <w:t>Hazard ratio</w:t>
            </w:r>
          </w:p>
          <w:p w:rsidR="00791A70" w:rsidRPr="00BC0C24" w:rsidRDefault="00791A70" w:rsidP="00791A70">
            <w:pPr>
              <w:pStyle w:val="Tabletext"/>
              <w:keepNext/>
              <w:keepLines/>
              <w:jc w:val="center"/>
              <w:rPr>
                <w:b/>
                <w:lang w:val="en-AU"/>
              </w:rPr>
            </w:pPr>
            <w:r w:rsidRPr="0049764D">
              <w:rPr>
                <w:b/>
              </w:rPr>
              <w:t>%, (95%</w:t>
            </w:r>
            <w:r w:rsidR="004C27F5" w:rsidRPr="0049764D">
              <w:rPr>
                <w:b/>
              </w:rPr>
              <w:t xml:space="preserve"> </w:t>
            </w:r>
            <w:r w:rsidRPr="0049764D">
              <w:rPr>
                <w:b/>
              </w:rPr>
              <w:t>CI)</w:t>
            </w:r>
            <w:r w:rsidRPr="0049764D">
              <w:rPr>
                <w:b/>
                <w:vertAlign w:val="superscript"/>
              </w:rPr>
              <w:t>a</w:t>
            </w:r>
          </w:p>
        </w:tc>
      </w:tr>
      <w:tr w:rsidR="00791A70" w:rsidRPr="0049764D" w:rsidTr="00791A70">
        <w:tc>
          <w:tcPr>
            <w:tcW w:w="2293" w:type="pct"/>
            <w:tcBorders>
              <w:top w:val="single" w:sz="4" w:space="0" w:color="auto"/>
            </w:tcBorders>
          </w:tcPr>
          <w:p w:rsidR="00791A70" w:rsidRPr="00BC0C24" w:rsidRDefault="00791A70" w:rsidP="0054392A">
            <w:pPr>
              <w:pStyle w:val="Tabletext"/>
              <w:keepNext/>
              <w:keepLines/>
              <w:rPr>
                <w:lang w:val="en-AU"/>
              </w:rPr>
            </w:pPr>
            <w:r w:rsidRPr="0049764D">
              <w:t>Median duration of follow-up, months</w:t>
            </w:r>
          </w:p>
        </w:tc>
        <w:tc>
          <w:tcPr>
            <w:tcW w:w="1020" w:type="pct"/>
          </w:tcPr>
          <w:p w:rsidR="00791A70" w:rsidRPr="00BC0C24" w:rsidRDefault="00791A70" w:rsidP="0054392A">
            <w:pPr>
              <w:pStyle w:val="Tabletext"/>
              <w:keepNext/>
              <w:keepLines/>
              <w:jc w:val="center"/>
              <w:rPr>
                <w:i/>
                <w:lang w:val="en-AU"/>
              </w:rPr>
            </w:pPr>
            <w:r w:rsidRPr="0049764D">
              <w:rPr>
                <w:i/>
              </w:rPr>
              <w:t>27.2</w:t>
            </w:r>
          </w:p>
        </w:tc>
        <w:tc>
          <w:tcPr>
            <w:tcW w:w="850" w:type="pct"/>
          </w:tcPr>
          <w:p w:rsidR="00791A70" w:rsidRPr="00BC0C24" w:rsidRDefault="00791A70" w:rsidP="0054392A">
            <w:pPr>
              <w:pStyle w:val="Tabletext"/>
              <w:keepNext/>
              <w:keepLines/>
              <w:jc w:val="center"/>
              <w:rPr>
                <w:i/>
                <w:lang w:val="en-AU"/>
              </w:rPr>
            </w:pPr>
            <w:r w:rsidRPr="0049764D">
              <w:rPr>
                <w:i/>
              </w:rPr>
              <w:t>27.0</w:t>
            </w:r>
          </w:p>
        </w:tc>
        <w:tc>
          <w:tcPr>
            <w:tcW w:w="837" w:type="pct"/>
            <w:tcBorders>
              <w:top w:val="single" w:sz="4" w:space="0" w:color="auto"/>
            </w:tcBorders>
          </w:tcPr>
          <w:p w:rsidR="00791A70" w:rsidRPr="00BC0C24" w:rsidRDefault="00791A70" w:rsidP="00791A70">
            <w:pPr>
              <w:pStyle w:val="Tabletext"/>
              <w:keepNext/>
              <w:keepLines/>
              <w:jc w:val="center"/>
              <w:rPr>
                <w:lang w:val="en-AU"/>
              </w:rPr>
            </w:pPr>
          </w:p>
        </w:tc>
      </w:tr>
      <w:tr w:rsidR="00791A70" w:rsidRPr="0049764D" w:rsidTr="00791A70">
        <w:tc>
          <w:tcPr>
            <w:tcW w:w="2293" w:type="pct"/>
            <w:tcBorders>
              <w:top w:val="single" w:sz="4" w:space="0" w:color="auto"/>
            </w:tcBorders>
          </w:tcPr>
          <w:p w:rsidR="00791A70" w:rsidRPr="00BC0C24" w:rsidRDefault="00791A70" w:rsidP="0054392A">
            <w:pPr>
              <w:pStyle w:val="Tabletext"/>
              <w:keepNext/>
              <w:keepLines/>
              <w:rPr>
                <w:lang w:val="en-AU"/>
              </w:rPr>
            </w:pPr>
            <w:r w:rsidRPr="0049764D">
              <w:t>Primary composite endpoint, n (%)</w:t>
            </w:r>
          </w:p>
          <w:p w:rsidR="00791A70" w:rsidRPr="00BC0C24" w:rsidRDefault="00791A70" w:rsidP="0054392A">
            <w:pPr>
              <w:pStyle w:val="Tabletext"/>
              <w:keepNext/>
              <w:keepLines/>
              <w:ind w:firstLine="142"/>
              <w:rPr>
                <w:lang w:val="en-AU"/>
              </w:rPr>
            </w:pPr>
            <w:r w:rsidRPr="0049764D">
              <w:t xml:space="preserve">time to either CV death </w:t>
            </w:r>
            <w:r w:rsidRPr="0049764D">
              <w:rPr>
                <w:b/>
              </w:rPr>
              <w:t>or</w:t>
            </w:r>
            <w:r w:rsidRPr="0049764D">
              <w:t xml:space="preserve"> first HF hospitalisation</w:t>
            </w:r>
          </w:p>
        </w:tc>
        <w:tc>
          <w:tcPr>
            <w:tcW w:w="1020" w:type="pct"/>
            <w:vAlign w:val="center"/>
          </w:tcPr>
          <w:p w:rsidR="00791A70" w:rsidRPr="00BC0C24" w:rsidRDefault="00791A70" w:rsidP="0054392A">
            <w:pPr>
              <w:pStyle w:val="Tabletext"/>
              <w:keepNext/>
              <w:keepLines/>
              <w:jc w:val="center"/>
              <w:rPr>
                <w:lang w:val="en-AU"/>
              </w:rPr>
            </w:pPr>
            <w:r w:rsidRPr="0049764D">
              <w:t>914 (21.8%)</w:t>
            </w:r>
          </w:p>
        </w:tc>
        <w:tc>
          <w:tcPr>
            <w:tcW w:w="850" w:type="pct"/>
            <w:vAlign w:val="center"/>
          </w:tcPr>
          <w:p w:rsidR="00791A70" w:rsidRPr="00BC0C24" w:rsidRDefault="00791A70" w:rsidP="0054392A">
            <w:pPr>
              <w:pStyle w:val="Tabletext"/>
              <w:keepNext/>
              <w:keepLines/>
              <w:jc w:val="center"/>
              <w:rPr>
                <w:lang w:val="en-AU"/>
              </w:rPr>
            </w:pPr>
            <w:r w:rsidRPr="0049764D">
              <w:t>1,117 (26.5%)</w:t>
            </w:r>
          </w:p>
        </w:tc>
        <w:tc>
          <w:tcPr>
            <w:tcW w:w="837" w:type="pct"/>
            <w:tcBorders>
              <w:top w:val="single" w:sz="4" w:space="0" w:color="auto"/>
            </w:tcBorders>
            <w:vAlign w:val="center"/>
          </w:tcPr>
          <w:p w:rsidR="00791A70" w:rsidRPr="00BC0C24" w:rsidRDefault="00791A70" w:rsidP="00791A70">
            <w:pPr>
              <w:pStyle w:val="Tabletext"/>
              <w:keepNext/>
              <w:keepLines/>
              <w:jc w:val="center"/>
              <w:rPr>
                <w:b/>
                <w:lang w:val="en-AU"/>
              </w:rPr>
            </w:pPr>
            <w:r w:rsidRPr="0049764D">
              <w:rPr>
                <w:b/>
              </w:rPr>
              <w:t>0.80 (0.73, 0.87)</w:t>
            </w:r>
          </w:p>
        </w:tc>
      </w:tr>
      <w:tr w:rsidR="00791A70" w:rsidRPr="0049764D" w:rsidTr="00791A70">
        <w:tc>
          <w:tcPr>
            <w:tcW w:w="2293" w:type="pct"/>
          </w:tcPr>
          <w:p w:rsidR="00791A70" w:rsidRPr="00BC0C24" w:rsidRDefault="00791A70" w:rsidP="0054392A">
            <w:pPr>
              <w:pStyle w:val="Tabletext"/>
              <w:keepNext/>
              <w:keepLines/>
              <w:rPr>
                <w:lang w:val="en-AU"/>
              </w:rPr>
            </w:pPr>
            <w:r w:rsidRPr="0049764D">
              <w:t>CV death, n (%)</w:t>
            </w:r>
          </w:p>
        </w:tc>
        <w:tc>
          <w:tcPr>
            <w:tcW w:w="1020" w:type="pct"/>
          </w:tcPr>
          <w:p w:rsidR="00791A70" w:rsidRPr="00BC0C24" w:rsidRDefault="00791A70" w:rsidP="0054392A">
            <w:pPr>
              <w:pStyle w:val="Tabletext"/>
              <w:keepNext/>
              <w:keepLines/>
              <w:jc w:val="center"/>
              <w:rPr>
                <w:lang w:val="en-AU"/>
              </w:rPr>
            </w:pPr>
            <w:r w:rsidRPr="0049764D">
              <w:t>558 (13.3%)</w:t>
            </w:r>
          </w:p>
        </w:tc>
        <w:tc>
          <w:tcPr>
            <w:tcW w:w="850" w:type="pct"/>
          </w:tcPr>
          <w:p w:rsidR="00791A70" w:rsidRPr="00BC0C24" w:rsidRDefault="00791A70" w:rsidP="0054392A">
            <w:pPr>
              <w:pStyle w:val="Tabletext"/>
              <w:keepNext/>
              <w:keepLines/>
              <w:jc w:val="center"/>
              <w:rPr>
                <w:lang w:val="en-AU"/>
              </w:rPr>
            </w:pPr>
            <w:r w:rsidRPr="0049764D">
              <w:t>693 (16.5%)</w:t>
            </w:r>
          </w:p>
        </w:tc>
        <w:tc>
          <w:tcPr>
            <w:tcW w:w="837" w:type="pct"/>
            <w:vAlign w:val="center"/>
          </w:tcPr>
          <w:p w:rsidR="00791A70" w:rsidRPr="00BC0C24" w:rsidRDefault="00791A70" w:rsidP="00791A70">
            <w:pPr>
              <w:pStyle w:val="Tabletext"/>
              <w:keepNext/>
              <w:keepLines/>
              <w:jc w:val="center"/>
              <w:rPr>
                <w:b/>
                <w:lang w:val="en-AU"/>
              </w:rPr>
            </w:pPr>
            <w:r w:rsidRPr="0049764D">
              <w:rPr>
                <w:b/>
              </w:rPr>
              <w:t>0.80 (0.71, 0.89)</w:t>
            </w:r>
          </w:p>
        </w:tc>
      </w:tr>
      <w:tr w:rsidR="00791A70" w:rsidRPr="0049764D" w:rsidTr="00791A70">
        <w:tc>
          <w:tcPr>
            <w:tcW w:w="2293" w:type="pct"/>
          </w:tcPr>
          <w:p w:rsidR="00791A70" w:rsidRPr="00BC0C24" w:rsidRDefault="00791A70" w:rsidP="0054392A">
            <w:pPr>
              <w:pStyle w:val="Tabletext"/>
              <w:keepNext/>
              <w:keepLines/>
              <w:rPr>
                <w:lang w:val="en-AU"/>
              </w:rPr>
            </w:pPr>
            <w:r w:rsidRPr="0049764D">
              <w:t>First HF hospitalisation, n (%)</w:t>
            </w:r>
          </w:p>
        </w:tc>
        <w:tc>
          <w:tcPr>
            <w:tcW w:w="1020" w:type="pct"/>
          </w:tcPr>
          <w:p w:rsidR="00791A70" w:rsidRPr="00BC0C24" w:rsidRDefault="00791A70" w:rsidP="0054392A">
            <w:pPr>
              <w:pStyle w:val="Tabletext"/>
              <w:keepNext/>
              <w:keepLines/>
              <w:jc w:val="center"/>
              <w:rPr>
                <w:lang w:val="en-AU"/>
              </w:rPr>
            </w:pPr>
            <w:r w:rsidRPr="0049764D">
              <w:t>537 (12.8%)</w:t>
            </w:r>
          </w:p>
        </w:tc>
        <w:tc>
          <w:tcPr>
            <w:tcW w:w="850" w:type="pct"/>
          </w:tcPr>
          <w:p w:rsidR="00791A70" w:rsidRPr="00BC0C24" w:rsidRDefault="00791A70" w:rsidP="0054392A">
            <w:pPr>
              <w:pStyle w:val="Tabletext"/>
              <w:keepNext/>
              <w:keepLines/>
              <w:jc w:val="center"/>
              <w:rPr>
                <w:lang w:val="en-AU"/>
              </w:rPr>
            </w:pPr>
            <w:r w:rsidRPr="0049764D">
              <w:t>658 (15.6%)</w:t>
            </w:r>
          </w:p>
        </w:tc>
        <w:tc>
          <w:tcPr>
            <w:tcW w:w="837" w:type="pct"/>
          </w:tcPr>
          <w:p w:rsidR="00791A70" w:rsidRPr="00BC0C24" w:rsidRDefault="00791A70" w:rsidP="00791A70">
            <w:pPr>
              <w:pStyle w:val="Tabletext"/>
              <w:keepNext/>
              <w:keepLines/>
              <w:jc w:val="center"/>
              <w:rPr>
                <w:b/>
                <w:lang w:val="en-AU"/>
              </w:rPr>
            </w:pPr>
            <w:r w:rsidRPr="0049764D">
              <w:rPr>
                <w:b/>
              </w:rPr>
              <w:t>0.79 (0.71, 0.89)</w:t>
            </w:r>
          </w:p>
        </w:tc>
      </w:tr>
    </w:tbl>
    <w:p w:rsidR="00791A70" w:rsidRPr="0049764D" w:rsidRDefault="00791A70" w:rsidP="00791A70">
      <w:pPr>
        <w:pStyle w:val="TableFooter"/>
        <w:keepNext/>
        <w:keepLines/>
        <w:ind w:left="709"/>
        <w:rPr>
          <w:i/>
        </w:rPr>
      </w:pPr>
      <w:r w:rsidRPr="0049764D">
        <w:t>Source: Table 29, p92 of the submission</w:t>
      </w:r>
    </w:p>
    <w:p w:rsidR="00791A70" w:rsidRPr="0049764D" w:rsidRDefault="00791A70" w:rsidP="00791A70">
      <w:pPr>
        <w:pStyle w:val="TableFooter"/>
        <w:keepNext/>
        <w:widowControl/>
        <w:ind w:left="709"/>
      </w:pPr>
      <w:r w:rsidRPr="0049764D">
        <w:t xml:space="preserve">CI = confidence interval; CV = cardiovascular; HF = heart failure; </w:t>
      </w:r>
      <w:r w:rsidRPr="0049764D">
        <w:rPr>
          <w:b/>
        </w:rPr>
        <w:t>Bold</w:t>
      </w:r>
      <w:r w:rsidRPr="0049764D">
        <w:t xml:space="preserve"> = statistically significant</w:t>
      </w:r>
    </w:p>
    <w:p w:rsidR="00791A70" w:rsidRPr="0049764D" w:rsidRDefault="00791A70" w:rsidP="00791A70">
      <w:pPr>
        <w:pStyle w:val="TableFooter"/>
        <w:keepNext/>
        <w:keepLines/>
        <w:ind w:left="709"/>
        <w:rPr>
          <w:snapToGrid/>
        </w:rPr>
      </w:pPr>
      <w:r w:rsidRPr="0049764D">
        <w:rPr>
          <w:snapToGrid/>
          <w:vertAlign w:val="superscript"/>
        </w:rPr>
        <w:t>a</w:t>
      </w:r>
      <w:r w:rsidRPr="0049764D">
        <w:rPr>
          <w:snapToGrid/>
        </w:rPr>
        <w:t xml:space="preserve"> The analysis was performed using a Cox-regression model with treatment and region as fixed factors. </w:t>
      </w:r>
    </w:p>
    <w:p w:rsidR="0054392A" w:rsidRPr="0049764D" w:rsidRDefault="0054392A" w:rsidP="0054392A">
      <w:pPr>
        <w:pStyle w:val="ListParagraph"/>
        <w:widowControl/>
        <w:rPr>
          <w:szCs w:val="22"/>
        </w:rPr>
      </w:pPr>
    </w:p>
    <w:p w:rsidR="00874B51" w:rsidRPr="0049764D" w:rsidRDefault="00874B51" w:rsidP="001D0CB5">
      <w:pPr>
        <w:keepNext/>
        <w:keepLines/>
        <w:widowControl/>
        <w:ind w:left="709"/>
        <w:jc w:val="left"/>
        <w:rPr>
          <w:rFonts w:ascii="Arial Narrow" w:hAnsi="Arial Narrow" w:cs="Times New Roman"/>
          <w:b/>
          <w:snapToGrid/>
          <w:sz w:val="20"/>
        </w:rPr>
      </w:pPr>
      <w:r w:rsidRPr="0049764D">
        <w:rPr>
          <w:rFonts w:ascii="Arial Narrow" w:hAnsi="Arial Narrow" w:cs="Times New Roman"/>
          <w:b/>
          <w:snapToGrid/>
          <w:sz w:val="20"/>
        </w:rPr>
        <w:t>Figure 1: Kaplan-Meier plot for cardiovascular death by treatment (PARADIGM-HF), full analysis set</w:t>
      </w:r>
    </w:p>
    <w:p w:rsidR="00874B51" w:rsidRPr="00BC0C24" w:rsidRDefault="00874B51" w:rsidP="001D0CB5">
      <w:pPr>
        <w:keepNext/>
        <w:keepLines/>
        <w:widowControl/>
        <w:ind w:left="709"/>
        <w:jc w:val="left"/>
        <w:rPr>
          <w:lang w:eastAsia="en-AU"/>
        </w:rPr>
      </w:pPr>
      <w:r w:rsidRPr="00552074">
        <w:rPr>
          <w:noProof/>
          <w:snapToGrid/>
          <w:lang w:eastAsia="en-AU"/>
        </w:rPr>
        <w:drawing>
          <wp:inline distT="0" distB="0" distL="0" distR="0" wp14:anchorId="54114646" wp14:editId="35C1BFCD">
            <wp:extent cx="5343525" cy="1906780"/>
            <wp:effectExtent l="0" t="0" r="0" b="0"/>
            <wp:docPr id="8" name="Picture 8" title="Figure 1: Kaplan-Meier plot for cardiovascular death by treatment (PARADIGM-HF),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138"/>
                    <a:stretch/>
                  </pic:blipFill>
                  <pic:spPr bwMode="auto">
                    <a:xfrm>
                      <a:off x="0" y="0"/>
                      <a:ext cx="5352156" cy="1909860"/>
                    </a:xfrm>
                    <a:prstGeom prst="rect">
                      <a:avLst/>
                    </a:prstGeom>
                    <a:ln>
                      <a:noFill/>
                    </a:ln>
                    <a:extLst>
                      <a:ext uri="{53640926-AAD7-44D8-BBD7-CCE9431645EC}">
                        <a14:shadowObscured xmlns:a14="http://schemas.microsoft.com/office/drawing/2010/main"/>
                      </a:ext>
                    </a:extLst>
                  </pic:spPr>
                </pic:pic>
              </a:graphicData>
            </a:graphic>
          </wp:inline>
        </w:drawing>
      </w:r>
    </w:p>
    <w:p w:rsidR="00874B51" w:rsidRPr="0049764D" w:rsidRDefault="00874B51" w:rsidP="001D0CB5">
      <w:pPr>
        <w:pStyle w:val="TableFooter"/>
        <w:keepNext/>
        <w:keepLines/>
        <w:ind w:left="709"/>
      </w:pPr>
      <w:r w:rsidRPr="0049764D">
        <w:t xml:space="preserve">Source: Figure 13, p 93 of the submission. </w:t>
      </w:r>
    </w:p>
    <w:p w:rsidR="00874B51" w:rsidRPr="0049764D" w:rsidRDefault="00874B51" w:rsidP="001D0CB5">
      <w:pPr>
        <w:pStyle w:val="TableFooter"/>
        <w:keepNext/>
        <w:keepLines/>
        <w:ind w:left="709"/>
      </w:pPr>
      <w:r w:rsidRPr="0049764D">
        <w:t xml:space="preserve">CI = confidence interval; LCZ696 = sacubitril/valsartan </w:t>
      </w:r>
    </w:p>
    <w:p w:rsidR="00874B51" w:rsidRPr="0049764D" w:rsidRDefault="00874B51" w:rsidP="0054392A">
      <w:pPr>
        <w:pStyle w:val="ListParagraph"/>
        <w:widowControl/>
        <w:rPr>
          <w:szCs w:val="22"/>
        </w:rPr>
      </w:pPr>
    </w:p>
    <w:p w:rsidR="009861E5" w:rsidRPr="008F5DCA" w:rsidRDefault="0054392A" w:rsidP="009861E5">
      <w:pPr>
        <w:pStyle w:val="ListParagraph"/>
        <w:widowControl/>
        <w:numPr>
          <w:ilvl w:val="1"/>
          <w:numId w:val="2"/>
        </w:numPr>
        <w:rPr>
          <w:szCs w:val="22"/>
        </w:rPr>
      </w:pPr>
      <w:r w:rsidRPr="0049764D">
        <w:t>Sacubitril/valsartan resulted in a reduction in cardiovascular death compared with enalapril (</w:t>
      </w:r>
      <w:r w:rsidR="00107917" w:rsidRPr="0049764D">
        <w:t>h</w:t>
      </w:r>
      <w:r w:rsidRPr="0049764D">
        <w:t xml:space="preserve">azard ratio: 0.80; 95% confidence interval (CI): 0.71 to 0.89). </w:t>
      </w:r>
    </w:p>
    <w:p w:rsidR="00631BEB" w:rsidRPr="0049764D" w:rsidRDefault="00631BEB" w:rsidP="00665967">
      <w:pPr>
        <w:pStyle w:val="BodyText"/>
      </w:pPr>
      <w:bookmarkStart w:id="9" w:name="_Toc440894569"/>
    </w:p>
    <w:p w:rsidR="00B60939" w:rsidRPr="0049764D" w:rsidRDefault="00B60939" w:rsidP="00596095">
      <w:pPr>
        <w:widowControl/>
        <w:jc w:val="left"/>
        <w:rPr>
          <w:b/>
          <w:i/>
        </w:rPr>
      </w:pPr>
      <w:r w:rsidRPr="0049764D">
        <w:rPr>
          <w:b/>
          <w:i/>
        </w:rPr>
        <w:t>Comparative harms</w:t>
      </w:r>
      <w:bookmarkEnd w:id="9"/>
    </w:p>
    <w:p w:rsidR="00B60939" w:rsidRPr="0049764D" w:rsidRDefault="00B60939" w:rsidP="00B60939">
      <w:pPr>
        <w:ind w:left="720" w:hanging="720"/>
        <w:rPr>
          <w:szCs w:val="22"/>
        </w:rPr>
      </w:pPr>
    </w:p>
    <w:p w:rsidR="00B60939" w:rsidRPr="0049764D" w:rsidRDefault="002372A7" w:rsidP="001611C7">
      <w:pPr>
        <w:pStyle w:val="ListParagraph"/>
        <w:widowControl/>
        <w:numPr>
          <w:ilvl w:val="1"/>
          <w:numId w:val="2"/>
        </w:numPr>
        <w:tabs>
          <w:tab w:val="left" w:pos="7251"/>
        </w:tabs>
        <w:rPr>
          <w:szCs w:val="22"/>
        </w:rPr>
      </w:pPr>
      <w:r w:rsidRPr="0049764D">
        <w:t>Table 5</w:t>
      </w:r>
      <w:r w:rsidR="002818DD" w:rsidRPr="0049764D">
        <w:t xml:space="preserve"> outline</w:t>
      </w:r>
      <w:r w:rsidR="00A6699D" w:rsidRPr="0049764D">
        <w:t>s</w:t>
      </w:r>
      <w:r w:rsidR="002818DD" w:rsidRPr="0049764D">
        <w:t xml:space="preserve"> the s</w:t>
      </w:r>
      <w:r w:rsidR="00C931AB" w:rsidRPr="0049764D">
        <w:t>afety outcomes from the</w:t>
      </w:r>
      <w:r w:rsidR="002818DD" w:rsidRPr="0049764D">
        <w:t xml:space="preserve"> run-in </w:t>
      </w:r>
      <w:r w:rsidR="00FF754D" w:rsidRPr="0049764D">
        <w:t xml:space="preserve">phase </w:t>
      </w:r>
      <w:r w:rsidR="00A6699D" w:rsidRPr="0049764D">
        <w:t>of PARADIGM-HF</w:t>
      </w:r>
      <w:r w:rsidR="002818DD" w:rsidRPr="0049764D">
        <w:t>.</w:t>
      </w:r>
    </w:p>
    <w:p w:rsidR="00C931AB" w:rsidRPr="0049764D" w:rsidRDefault="00C931AB" w:rsidP="00C931AB">
      <w:pPr>
        <w:pStyle w:val="ListParagraph"/>
        <w:widowControl/>
        <w:rPr>
          <w:szCs w:val="22"/>
        </w:rPr>
      </w:pPr>
    </w:p>
    <w:p w:rsidR="00C931AB" w:rsidRPr="0049764D" w:rsidRDefault="00C931AB" w:rsidP="00C90094">
      <w:pPr>
        <w:keepNext/>
        <w:keepLines/>
        <w:widowControl/>
        <w:ind w:left="709" w:firstLine="11"/>
        <w:rPr>
          <w:rStyle w:val="CommentReference"/>
        </w:rPr>
      </w:pPr>
      <w:r w:rsidRPr="0049764D">
        <w:rPr>
          <w:rStyle w:val="CommentReference"/>
        </w:rPr>
        <w:t xml:space="preserve">Table </w:t>
      </w:r>
      <w:r w:rsidR="002372A7" w:rsidRPr="0049764D">
        <w:rPr>
          <w:rStyle w:val="CommentReference"/>
        </w:rPr>
        <w:t>5</w:t>
      </w:r>
      <w:r w:rsidRPr="0049764D">
        <w:rPr>
          <w:rStyle w:val="CommentReference"/>
        </w:rPr>
        <w:t xml:space="preserve">: </w:t>
      </w:r>
      <w:r w:rsidR="002818DD" w:rsidRPr="0049764D">
        <w:rPr>
          <w:rStyle w:val="CommentReference"/>
        </w:rPr>
        <w:t xml:space="preserve">Run-in </w:t>
      </w:r>
      <w:r w:rsidR="00FF754D" w:rsidRPr="0049764D">
        <w:rPr>
          <w:rStyle w:val="CommentReference"/>
        </w:rPr>
        <w:t>phase</w:t>
      </w:r>
      <w:r w:rsidR="002818DD" w:rsidRPr="0049764D">
        <w:rPr>
          <w:rStyle w:val="CommentReference"/>
        </w:rPr>
        <w:t xml:space="preserve">: </w:t>
      </w:r>
      <w:r w:rsidRPr="0049764D">
        <w:rPr>
          <w:rStyle w:val="CommentReference"/>
        </w:rPr>
        <w:t>Summary of adverse events that led to discontinuation (&gt;</w:t>
      </w:r>
      <w:r w:rsidR="004C27F5" w:rsidRPr="0049764D">
        <w:rPr>
          <w:rStyle w:val="CommentReference"/>
        </w:rPr>
        <w:t xml:space="preserve"> </w:t>
      </w:r>
      <w:r w:rsidRPr="0049764D">
        <w:rPr>
          <w:rStyle w:val="CommentReference"/>
        </w:rPr>
        <w:t>1% of patients)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434"/>
        <w:gridCol w:w="2539"/>
        <w:gridCol w:w="2372"/>
      </w:tblGrid>
      <w:tr w:rsidR="00C931AB" w:rsidRPr="0049764D" w:rsidTr="00C931AB">
        <w:trPr>
          <w:tblHeader/>
        </w:trPr>
        <w:tc>
          <w:tcPr>
            <w:tcW w:w="2058" w:type="pct"/>
            <w:vAlign w:val="center"/>
          </w:tcPr>
          <w:p w:rsidR="00C931AB" w:rsidRPr="0049764D" w:rsidRDefault="00C931AB" w:rsidP="003770C8">
            <w:pPr>
              <w:keepNext/>
              <w:widowControl/>
              <w:tabs>
                <w:tab w:val="left" w:pos="150"/>
              </w:tabs>
              <w:jc w:val="left"/>
              <w:rPr>
                <w:rFonts w:ascii="Arial Narrow" w:hAnsi="Arial Narrow"/>
                <w:sz w:val="20"/>
              </w:rPr>
            </w:pPr>
            <w:r w:rsidRPr="0049764D">
              <w:rPr>
                <w:rFonts w:ascii="Arial Narrow" w:hAnsi="Arial Narrow"/>
                <w:b/>
                <w:sz w:val="20"/>
              </w:rPr>
              <w:t>PARADIGM-HF</w:t>
            </w:r>
          </w:p>
        </w:tc>
        <w:tc>
          <w:tcPr>
            <w:tcW w:w="1521" w:type="pct"/>
            <w:vAlign w:val="center"/>
          </w:tcPr>
          <w:p w:rsidR="00C931AB" w:rsidRPr="0049764D" w:rsidRDefault="00C931AB" w:rsidP="003770C8">
            <w:pPr>
              <w:keepNext/>
              <w:widowControl/>
              <w:jc w:val="center"/>
              <w:rPr>
                <w:rFonts w:ascii="Arial Narrow" w:hAnsi="Arial Narrow"/>
                <w:b/>
                <w:sz w:val="20"/>
              </w:rPr>
            </w:pPr>
            <w:r w:rsidRPr="0049764D">
              <w:rPr>
                <w:rFonts w:ascii="Arial Narrow" w:hAnsi="Arial Narrow"/>
                <w:b/>
                <w:sz w:val="20"/>
              </w:rPr>
              <w:t>Sacubitril/valsartan</w:t>
            </w:r>
          </w:p>
          <w:p w:rsidR="00C931AB" w:rsidRPr="0049764D" w:rsidRDefault="00C931AB" w:rsidP="003770C8">
            <w:pPr>
              <w:keepNext/>
              <w:widowControl/>
              <w:jc w:val="center"/>
              <w:rPr>
                <w:rFonts w:ascii="Arial Narrow" w:hAnsi="Arial Narrow"/>
                <w:b/>
                <w:sz w:val="20"/>
                <w:vertAlign w:val="superscript"/>
              </w:rPr>
            </w:pPr>
            <w:r w:rsidRPr="0049764D">
              <w:rPr>
                <w:rFonts w:ascii="Arial Narrow" w:hAnsi="Arial Narrow"/>
                <w:b/>
                <w:sz w:val="20"/>
              </w:rPr>
              <w:t xml:space="preserve">n = 9,419 </w:t>
            </w:r>
            <w:r w:rsidR="002818DD" w:rsidRPr="0049764D">
              <w:rPr>
                <w:rFonts w:ascii="Arial Narrow" w:hAnsi="Arial Narrow"/>
                <w:b/>
                <w:sz w:val="20"/>
                <w:vertAlign w:val="superscript"/>
              </w:rPr>
              <w:t>a</w:t>
            </w:r>
          </w:p>
          <w:p w:rsidR="00C931AB" w:rsidRPr="0049764D" w:rsidRDefault="00C931AB" w:rsidP="003770C8">
            <w:pPr>
              <w:keepNext/>
              <w:widowControl/>
              <w:jc w:val="center"/>
              <w:rPr>
                <w:rFonts w:ascii="Arial Narrow" w:hAnsi="Arial Narrow"/>
                <w:sz w:val="20"/>
              </w:rPr>
            </w:pPr>
            <w:r w:rsidRPr="0049764D">
              <w:rPr>
                <w:rFonts w:ascii="Arial Narrow" w:hAnsi="Arial Narrow"/>
                <w:b/>
                <w:sz w:val="20"/>
              </w:rPr>
              <w:t>n with event/N (%)</w:t>
            </w:r>
          </w:p>
        </w:tc>
        <w:tc>
          <w:tcPr>
            <w:tcW w:w="1421" w:type="pct"/>
            <w:vAlign w:val="center"/>
          </w:tcPr>
          <w:p w:rsidR="00C931AB" w:rsidRPr="0049764D" w:rsidRDefault="00C931AB" w:rsidP="003770C8">
            <w:pPr>
              <w:keepNext/>
              <w:widowControl/>
              <w:jc w:val="center"/>
              <w:rPr>
                <w:rFonts w:ascii="Arial Narrow" w:hAnsi="Arial Narrow"/>
                <w:b/>
                <w:sz w:val="20"/>
              </w:rPr>
            </w:pPr>
            <w:r w:rsidRPr="0049764D">
              <w:rPr>
                <w:rFonts w:ascii="Arial Narrow" w:hAnsi="Arial Narrow"/>
                <w:b/>
                <w:sz w:val="20"/>
              </w:rPr>
              <w:t>Enalapril</w:t>
            </w:r>
          </w:p>
          <w:p w:rsidR="00C931AB" w:rsidRPr="0049764D" w:rsidRDefault="00C931AB" w:rsidP="003770C8">
            <w:pPr>
              <w:keepNext/>
              <w:widowControl/>
              <w:jc w:val="center"/>
              <w:rPr>
                <w:rFonts w:ascii="Arial Narrow" w:hAnsi="Arial Narrow"/>
                <w:b/>
                <w:sz w:val="20"/>
                <w:vertAlign w:val="superscript"/>
              </w:rPr>
            </w:pPr>
            <w:r w:rsidRPr="0049764D">
              <w:rPr>
                <w:rFonts w:ascii="Arial Narrow" w:hAnsi="Arial Narrow"/>
                <w:b/>
                <w:sz w:val="20"/>
              </w:rPr>
              <w:t xml:space="preserve">n = 10,513 </w:t>
            </w:r>
            <w:r w:rsidR="002818DD" w:rsidRPr="0049764D">
              <w:rPr>
                <w:rFonts w:ascii="Arial Narrow" w:hAnsi="Arial Narrow"/>
                <w:b/>
                <w:sz w:val="20"/>
                <w:vertAlign w:val="superscript"/>
              </w:rPr>
              <w:t>a</w:t>
            </w:r>
          </w:p>
          <w:p w:rsidR="00C931AB" w:rsidRPr="0049764D" w:rsidRDefault="00C931AB" w:rsidP="003770C8">
            <w:pPr>
              <w:keepNext/>
              <w:widowControl/>
              <w:jc w:val="center"/>
              <w:rPr>
                <w:rFonts w:ascii="Arial Narrow" w:hAnsi="Arial Narrow"/>
                <w:sz w:val="20"/>
              </w:rPr>
            </w:pPr>
            <w:r w:rsidRPr="0049764D">
              <w:rPr>
                <w:rFonts w:ascii="Arial Narrow" w:hAnsi="Arial Narrow"/>
                <w:b/>
                <w:sz w:val="20"/>
              </w:rPr>
              <w:t>n with event/N (%)</w:t>
            </w:r>
          </w:p>
        </w:tc>
      </w:tr>
      <w:tr w:rsidR="00C931AB" w:rsidRPr="0049764D" w:rsidTr="00C931AB">
        <w:tc>
          <w:tcPr>
            <w:tcW w:w="2058" w:type="pct"/>
            <w:vAlign w:val="center"/>
          </w:tcPr>
          <w:p w:rsidR="00C931AB" w:rsidRPr="0049764D" w:rsidRDefault="00C931AB" w:rsidP="003770C8">
            <w:pPr>
              <w:keepNext/>
              <w:widowControl/>
              <w:tabs>
                <w:tab w:val="left" w:pos="150"/>
              </w:tabs>
              <w:jc w:val="left"/>
              <w:rPr>
                <w:rFonts w:ascii="Arial Narrow" w:hAnsi="Arial Narrow"/>
                <w:sz w:val="20"/>
              </w:rPr>
            </w:pPr>
            <w:r w:rsidRPr="0049764D">
              <w:rPr>
                <w:rFonts w:ascii="Arial Narrow" w:hAnsi="Arial Narrow"/>
                <w:sz w:val="20"/>
              </w:rPr>
              <w:t>Discontinued due to adverse event</w:t>
            </w:r>
          </w:p>
        </w:tc>
        <w:tc>
          <w:tcPr>
            <w:tcW w:w="1521" w:type="pct"/>
            <w:vAlign w:val="center"/>
          </w:tcPr>
          <w:p w:rsidR="00C931AB" w:rsidRPr="0049764D" w:rsidRDefault="00C931AB" w:rsidP="003770C8">
            <w:pPr>
              <w:keepNext/>
              <w:widowControl/>
              <w:jc w:val="center"/>
              <w:rPr>
                <w:rFonts w:ascii="Arial Narrow" w:hAnsi="Arial Narrow"/>
                <w:sz w:val="20"/>
              </w:rPr>
            </w:pPr>
            <w:r w:rsidRPr="0049764D">
              <w:rPr>
                <w:rFonts w:ascii="Arial Narrow" w:hAnsi="Arial Narrow"/>
                <w:sz w:val="20"/>
              </w:rPr>
              <w:t>551 (5.9%)</w:t>
            </w:r>
          </w:p>
        </w:tc>
        <w:tc>
          <w:tcPr>
            <w:tcW w:w="1421" w:type="pct"/>
            <w:vAlign w:val="center"/>
          </w:tcPr>
          <w:p w:rsidR="00C931AB" w:rsidRPr="0049764D" w:rsidRDefault="00C931AB" w:rsidP="003770C8">
            <w:pPr>
              <w:keepNext/>
              <w:widowControl/>
              <w:jc w:val="center"/>
              <w:rPr>
                <w:rFonts w:ascii="Arial Narrow" w:hAnsi="Arial Narrow"/>
                <w:sz w:val="20"/>
              </w:rPr>
            </w:pPr>
            <w:r w:rsidRPr="0049764D">
              <w:rPr>
                <w:rFonts w:ascii="Arial Narrow" w:hAnsi="Arial Narrow"/>
                <w:sz w:val="20"/>
              </w:rPr>
              <w:t>591 (5.6%)</w:t>
            </w:r>
          </w:p>
        </w:tc>
      </w:tr>
      <w:tr w:rsidR="00C931AB" w:rsidRPr="0049764D" w:rsidTr="00C931AB">
        <w:tc>
          <w:tcPr>
            <w:tcW w:w="2058" w:type="pct"/>
          </w:tcPr>
          <w:p w:rsidR="00C931AB" w:rsidRPr="00BC0C24" w:rsidRDefault="00C931AB" w:rsidP="003770C8">
            <w:pPr>
              <w:pStyle w:val="PBACTableText"/>
              <w:keepNext/>
              <w:rPr>
                <w:vertAlign w:val="superscript"/>
                <w:lang w:val="en-AU"/>
              </w:rPr>
            </w:pPr>
            <w:r w:rsidRPr="00BC0C24">
              <w:rPr>
                <w:lang w:val="en-AU"/>
              </w:rPr>
              <w:t xml:space="preserve">Hypotension </w:t>
            </w:r>
          </w:p>
        </w:tc>
        <w:tc>
          <w:tcPr>
            <w:tcW w:w="1521" w:type="pct"/>
          </w:tcPr>
          <w:p w:rsidR="00C931AB" w:rsidRPr="00BC0C24" w:rsidRDefault="00C931AB" w:rsidP="003770C8">
            <w:pPr>
              <w:pStyle w:val="PBACTableText"/>
              <w:keepNext/>
              <w:jc w:val="center"/>
              <w:rPr>
                <w:lang w:val="en-AU"/>
              </w:rPr>
            </w:pPr>
            <w:r w:rsidRPr="00BC0C24">
              <w:rPr>
                <w:lang w:val="en-AU"/>
              </w:rPr>
              <w:t>164 (1.7%)</w:t>
            </w:r>
          </w:p>
        </w:tc>
        <w:tc>
          <w:tcPr>
            <w:tcW w:w="1421" w:type="pct"/>
          </w:tcPr>
          <w:p w:rsidR="00C931AB" w:rsidRPr="00BC0C24" w:rsidRDefault="00C931AB" w:rsidP="003770C8">
            <w:pPr>
              <w:pStyle w:val="PBACTableText"/>
              <w:keepNext/>
              <w:jc w:val="center"/>
              <w:rPr>
                <w:lang w:val="en-AU"/>
              </w:rPr>
            </w:pPr>
            <w:r w:rsidRPr="00BC0C24">
              <w:rPr>
                <w:lang w:val="en-AU"/>
              </w:rPr>
              <w:t>146 (1.4%)</w:t>
            </w:r>
          </w:p>
        </w:tc>
      </w:tr>
      <w:tr w:rsidR="00C931AB" w:rsidRPr="0049764D" w:rsidTr="00C931AB">
        <w:tc>
          <w:tcPr>
            <w:tcW w:w="2058" w:type="pct"/>
          </w:tcPr>
          <w:p w:rsidR="00C931AB" w:rsidRPr="00BC0C24" w:rsidRDefault="00C931AB" w:rsidP="003770C8">
            <w:pPr>
              <w:pStyle w:val="PBACTableText"/>
              <w:keepNext/>
              <w:rPr>
                <w:vertAlign w:val="superscript"/>
                <w:lang w:val="en-AU"/>
              </w:rPr>
            </w:pPr>
            <w:r w:rsidRPr="00BC0C24">
              <w:rPr>
                <w:lang w:val="en-AU"/>
              </w:rPr>
              <w:t xml:space="preserve">Hyperkalaemia </w:t>
            </w:r>
          </w:p>
        </w:tc>
        <w:tc>
          <w:tcPr>
            <w:tcW w:w="1521" w:type="pct"/>
          </w:tcPr>
          <w:p w:rsidR="00C931AB" w:rsidRPr="00BC0C24" w:rsidRDefault="00C931AB" w:rsidP="003770C8">
            <w:pPr>
              <w:pStyle w:val="PBACTableText"/>
              <w:keepNext/>
              <w:jc w:val="center"/>
              <w:rPr>
                <w:lang w:val="en-AU"/>
              </w:rPr>
            </w:pPr>
            <w:r w:rsidRPr="00BC0C24">
              <w:rPr>
                <w:lang w:val="en-AU"/>
              </w:rPr>
              <w:t>125 (1.3%)</w:t>
            </w:r>
          </w:p>
        </w:tc>
        <w:tc>
          <w:tcPr>
            <w:tcW w:w="1421" w:type="pct"/>
          </w:tcPr>
          <w:p w:rsidR="00C931AB" w:rsidRPr="00BC0C24" w:rsidRDefault="00C931AB" w:rsidP="003770C8">
            <w:pPr>
              <w:pStyle w:val="PBACTableText"/>
              <w:keepNext/>
              <w:jc w:val="center"/>
              <w:rPr>
                <w:lang w:val="en-AU"/>
              </w:rPr>
            </w:pPr>
            <w:r w:rsidRPr="00BC0C24">
              <w:rPr>
                <w:lang w:val="en-AU"/>
              </w:rPr>
              <w:t>174 (1.7%)</w:t>
            </w:r>
          </w:p>
        </w:tc>
      </w:tr>
      <w:tr w:rsidR="00C931AB" w:rsidRPr="0049764D" w:rsidTr="00C931AB">
        <w:tc>
          <w:tcPr>
            <w:tcW w:w="2058" w:type="pct"/>
          </w:tcPr>
          <w:p w:rsidR="00C931AB" w:rsidRPr="00BC0C24" w:rsidRDefault="00C931AB" w:rsidP="003770C8">
            <w:pPr>
              <w:pStyle w:val="PBACTableText"/>
              <w:keepNext/>
              <w:rPr>
                <w:lang w:val="en-AU"/>
              </w:rPr>
            </w:pPr>
            <w:r w:rsidRPr="00BC0C24">
              <w:rPr>
                <w:lang w:val="en-AU"/>
              </w:rPr>
              <w:t xml:space="preserve">Renal dysfunction </w:t>
            </w:r>
          </w:p>
        </w:tc>
        <w:tc>
          <w:tcPr>
            <w:tcW w:w="1521" w:type="pct"/>
          </w:tcPr>
          <w:p w:rsidR="00C931AB" w:rsidRPr="00BC0C24" w:rsidRDefault="00C931AB" w:rsidP="003770C8">
            <w:pPr>
              <w:pStyle w:val="PBACTableText"/>
              <w:keepNext/>
              <w:jc w:val="center"/>
              <w:rPr>
                <w:lang w:val="en-AU"/>
              </w:rPr>
            </w:pPr>
            <w:r w:rsidRPr="00BC0C24">
              <w:rPr>
                <w:lang w:val="en-AU"/>
              </w:rPr>
              <w:t>174 (1.9%)</w:t>
            </w:r>
          </w:p>
        </w:tc>
        <w:tc>
          <w:tcPr>
            <w:tcW w:w="1421" w:type="pct"/>
          </w:tcPr>
          <w:p w:rsidR="00C931AB" w:rsidRPr="00BC0C24" w:rsidRDefault="00C931AB" w:rsidP="003770C8">
            <w:pPr>
              <w:pStyle w:val="PBACTableText"/>
              <w:keepNext/>
              <w:jc w:val="center"/>
              <w:rPr>
                <w:lang w:val="en-AU"/>
              </w:rPr>
            </w:pPr>
            <w:r w:rsidRPr="00BC0C24">
              <w:rPr>
                <w:lang w:val="en-AU"/>
              </w:rPr>
              <w:t>181 (1.7%)</w:t>
            </w:r>
          </w:p>
        </w:tc>
      </w:tr>
      <w:tr w:rsidR="00C931AB" w:rsidRPr="0049764D" w:rsidTr="00C931AB">
        <w:tc>
          <w:tcPr>
            <w:tcW w:w="2058" w:type="pct"/>
          </w:tcPr>
          <w:p w:rsidR="00C931AB" w:rsidRPr="00BC0C24" w:rsidRDefault="004C27F5" w:rsidP="003770C8">
            <w:pPr>
              <w:pStyle w:val="PBACTableText"/>
              <w:keepNext/>
              <w:rPr>
                <w:lang w:val="en-AU"/>
              </w:rPr>
            </w:pPr>
            <w:r w:rsidRPr="00BC0C24">
              <w:rPr>
                <w:lang w:val="en-AU"/>
              </w:rPr>
              <w:t>O</w:t>
            </w:r>
            <w:r w:rsidR="00C931AB" w:rsidRPr="00BC0C24">
              <w:rPr>
                <w:lang w:val="en-AU"/>
              </w:rPr>
              <w:t>ther</w:t>
            </w:r>
          </w:p>
        </w:tc>
        <w:tc>
          <w:tcPr>
            <w:tcW w:w="1521" w:type="pct"/>
          </w:tcPr>
          <w:p w:rsidR="00C931AB" w:rsidRPr="00BC0C24" w:rsidRDefault="00C931AB" w:rsidP="003770C8">
            <w:pPr>
              <w:pStyle w:val="PBACTableText"/>
              <w:keepNext/>
              <w:jc w:val="center"/>
              <w:rPr>
                <w:lang w:val="en-AU"/>
              </w:rPr>
            </w:pPr>
            <w:r w:rsidRPr="00BC0C24">
              <w:rPr>
                <w:lang w:val="en-AU"/>
              </w:rPr>
              <w:t>132 (1.4%)</w:t>
            </w:r>
          </w:p>
        </w:tc>
        <w:tc>
          <w:tcPr>
            <w:tcW w:w="1421" w:type="pct"/>
          </w:tcPr>
          <w:p w:rsidR="00C931AB" w:rsidRPr="00BC0C24" w:rsidRDefault="00C931AB" w:rsidP="003770C8">
            <w:pPr>
              <w:pStyle w:val="PBACTableText"/>
              <w:keepNext/>
              <w:jc w:val="center"/>
              <w:rPr>
                <w:lang w:val="en-AU"/>
              </w:rPr>
            </w:pPr>
            <w:r w:rsidRPr="00BC0C24">
              <w:rPr>
                <w:lang w:val="en-AU"/>
              </w:rPr>
              <w:t>102 (1.0%)</w:t>
            </w:r>
          </w:p>
        </w:tc>
      </w:tr>
      <w:tr w:rsidR="00C931AB" w:rsidRPr="0049764D" w:rsidTr="00C931AB">
        <w:tc>
          <w:tcPr>
            <w:tcW w:w="2058" w:type="pct"/>
          </w:tcPr>
          <w:p w:rsidR="00C931AB" w:rsidRPr="00BC0C24" w:rsidRDefault="00C931AB" w:rsidP="003770C8">
            <w:pPr>
              <w:pStyle w:val="PBACTableText"/>
              <w:keepNext/>
              <w:rPr>
                <w:lang w:val="en-AU"/>
              </w:rPr>
            </w:pPr>
            <w:r w:rsidRPr="00BC0C24">
              <w:rPr>
                <w:lang w:val="en-AU"/>
              </w:rPr>
              <w:t>Withdrawn consent</w:t>
            </w:r>
          </w:p>
        </w:tc>
        <w:tc>
          <w:tcPr>
            <w:tcW w:w="1521" w:type="pct"/>
          </w:tcPr>
          <w:p w:rsidR="00C931AB" w:rsidRPr="00BC0C24" w:rsidRDefault="00C931AB" w:rsidP="003770C8">
            <w:pPr>
              <w:pStyle w:val="PBACTableText"/>
              <w:keepNext/>
              <w:jc w:val="center"/>
              <w:rPr>
                <w:lang w:val="en-AU"/>
              </w:rPr>
            </w:pPr>
            <w:r w:rsidRPr="00BC0C24">
              <w:rPr>
                <w:lang w:val="en-AU"/>
              </w:rPr>
              <w:t>100 (1.1%)</w:t>
            </w:r>
          </w:p>
        </w:tc>
        <w:tc>
          <w:tcPr>
            <w:tcW w:w="1421" w:type="pct"/>
          </w:tcPr>
          <w:p w:rsidR="00C931AB" w:rsidRPr="00BC0C24" w:rsidRDefault="00C931AB" w:rsidP="003770C8">
            <w:pPr>
              <w:pStyle w:val="PBACTableText"/>
              <w:keepNext/>
              <w:jc w:val="center"/>
              <w:rPr>
                <w:lang w:val="en-AU"/>
              </w:rPr>
            </w:pPr>
            <w:r w:rsidRPr="00BC0C24">
              <w:rPr>
                <w:lang w:val="en-AU"/>
              </w:rPr>
              <w:t>171 (1.6%)</w:t>
            </w:r>
          </w:p>
        </w:tc>
      </w:tr>
    </w:tbl>
    <w:p w:rsidR="00C931AB" w:rsidRPr="0049764D" w:rsidRDefault="00C931AB" w:rsidP="003770C8">
      <w:pPr>
        <w:pStyle w:val="TableFooter"/>
        <w:keepNext/>
        <w:widowControl/>
        <w:ind w:left="709"/>
      </w:pPr>
      <w:r w:rsidRPr="0049764D">
        <w:t>Source: Table 43, p124 of the submission</w:t>
      </w:r>
    </w:p>
    <w:p w:rsidR="00C931AB" w:rsidRPr="0049764D" w:rsidRDefault="002818DD" w:rsidP="003770C8">
      <w:pPr>
        <w:pStyle w:val="TableFooter"/>
        <w:keepNext/>
        <w:widowControl/>
        <w:ind w:left="709"/>
      </w:pPr>
      <w:r w:rsidRPr="0049764D">
        <w:rPr>
          <w:vertAlign w:val="superscript"/>
        </w:rPr>
        <w:t>a</w:t>
      </w:r>
      <w:r w:rsidR="00C931AB" w:rsidRPr="0049764D">
        <w:t xml:space="preserve"> Based on patients who entered the relevant run-in phase</w:t>
      </w:r>
      <w:r w:rsidR="002372A7" w:rsidRPr="0049764D">
        <w:t xml:space="preserve">. Patients could only enter the sacubitril/valsartan run-in phase if they tolerated the enalapril run-in phase. Therefore more patients entered the enalapril run-in phase than the sacubitril/valsartan. </w:t>
      </w:r>
    </w:p>
    <w:p w:rsidR="00A6699D" w:rsidRPr="0049764D" w:rsidRDefault="00A6699D" w:rsidP="00A6699D">
      <w:pPr>
        <w:pStyle w:val="ListParagraph"/>
        <w:widowControl/>
      </w:pPr>
    </w:p>
    <w:p w:rsidR="002818DD" w:rsidRPr="0049764D" w:rsidRDefault="002818DD" w:rsidP="001611C7">
      <w:pPr>
        <w:pStyle w:val="ListParagraph"/>
        <w:widowControl/>
        <w:numPr>
          <w:ilvl w:val="1"/>
          <w:numId w:val="2"/>
        </w:numPr>
      </w:pPr>
      <w:r w:rsidRPr="0049764D">
        <w:t>A similar percentage of patients discontinued treatment due to an adverse event in the run-in p</w:t>
      </w:r>
      <w:r w:rsidR="002372A7" w:rsidRPr="0049764D">
        <w:t>hase</w:t>
      </w:r>
      <w:r w:rsidR="00FF754D" w:rsidRPr="0049764D">
        <w:t>s</w:t>
      </w:r>
      <w:r w:rsidR="002372A7" w:rsidRPr="0049764D">
        <w:t xml:space="preserve"> </w:t>
      </w:r>
      <w:r w:rsidRPr="0049764D">
        <w:t xml:space="preserve">for enalapril and sacubitril/valsartan. </w:t>
      </w:r>
      <w:r w:rsidR="00A6699D" w:rsidRPr="0049764D">
        <w:t xml:space="preserve">However, only patients who tolerated enalapril entered the sacubitril/valsartan run-in </w:t>
      </w:r>
      <w:r w:rsidR="002372A7" w:rsidRPr="0049764D">
        <w:t>phase</w:t>
      </w:r>
      <w:r w:rsidR="00A6699D" w:rsidRPr="0049764D">
        <w:t xml:space="preserve">, and thus adverse events with sacubitril/valsartan might be under-reported. </w:t>
      </w:r>
      <w:r w:rsidR="00885794" w:rsidRPr="0049764D">
        <w:t>On the other hand, the run</w:t>
      </w:r>
      <w:r w:rsidR="00885794" w:rsidRPr="0049764D">
        <w:noBreakHyphen/>
      </w:r>
      <w:r w:rsidR="00A6699D" w:rsidRPr="0049764D">
        <w:t xml:space="preserve">in </w:t>
      </w:r>
      <w:r w:rsidR="002372A7" w:rsidRPr="0049764D">
        <w:t>phase</w:t>
      </w:r>
      <w:r w:rsidR="00A6699D" w:rsidRPr="0049764D">
        <w:t xml:space="preserve"> was longer for sacubitril/valsartan than for enalapril. </w:t>
      </w:r>
    </w:p>
    <w:p w:rsidR="00A6699D" w:rsidRPr="0049764D" w:rsidRDefault="00A6699D" w:rsidP="00A6699D">
      <w:pPr>
        <w:pStyle w:val="ListParagraph"/>
        <w:widowControl/>
        <w:tabs>
          <w:tab w:val="left" w:pos="7251"/>
        </w:tabs>
        <w:rPr>
          <w:szCs w:val="22"/>
        </w:rPr>
      </w:pPr>
    </w:p>
    <w:p w:rsidR="00A6699D" w:rsidRPr="0049764D" w:rsidRDefault="00A6699D" w:rsidP="001611C7">
      <w:pPr>
        <w:pStyle w:val="ListParagraph"/>
        <w:widowControl/>
        <w:numPr>
          <w:ilvl w:val="1"/>
          <w:numId w:val="2"/>
        </w:numPr>
        <w:tabs>
          <w:tab w:val="left" w:pos="7251"/>
        </w:tabs>
        <w:rPr>
          <w:szCs w:val="22"/>
        </w:rPr>
      </w:pPr>
      <w:r w:rsidRPr="0049764D">
        <w:t xml:space="preserve">Table </w:t>
      </w:r>
      <w:r w:rsidR="00885794" w:rsidRPr="0049764D">
        <w:t>6</w:t>
      </w:r>
      <w:r w:rsidRPr="0049764D">
        <w:t xml:space="preserve"> outlines the safety outcomes from the double-blind</w:t>
      </w:r>
      <w:r w:rsidR="0060305C" w:rsidRPr="0049764D">
        <w:t>, randomised phase</w:t>
      </w:r>
      <w:r w:rsidRPr="0049764D">
        <w:t xml:space="preserve"> of PARADIGM-HF.</w:t>
      </w:r>
    </w:p>
    <w:p w:rsidR="00A6699D" w:rsidRPr="0049764D" w:rsidRDefault="00A6699D" w:rsidP="00A6699D">
      <w:pPr>
        <w:pStyle w:val="ListParagraph"/>
        <w:widowControl/>
        <w:rPr>
          <w:szCs w:val="22"/>
        </w:rPr>
      </w:pPr>
    </w:p>
    <w:p w:rsidR="0054392A" w:rsidRPr="0049764D" w:rsidRDefault="0054392A" w:rsidP="00C90094">
      <w:pPr>
        <w:keepNext/>
        <w:keepLines/>
        <w:widowControl/>
        <w:ind w:left="709" w:firstLine="11"/>
        <w:rPr>
          <w:rStyle w:val="CommentReference"/>
        </w:rPr>
      </w:pPr>
      <w:r w:rsidRPr="0049764D">
        <w:rPr>
          <w:rStyle w:val="CommentReference"/>
        </w:rPr>
        <w:t xml:space="preserve">Table </w:t>
      </w:r>
      <w:r w:rsidR="00885794" w:rsidRPr="0049764D">
        <w:rPr>
          <w:rStyle w:val="CommentReference"/>
        </w:rPr>
        <w:t>6</w:t>
      </w:r>
      <w:r w:rsidRPr="0049764D">
        <w:rPr>
          <w:rStyle w:val="CommentReference"/>
        </w:rPr>
        <w:t xml:space="preserve">: </w:t>
      </w:r>
      <w:r w:rsidR="002818DD" w:rsidRPr="0049764D">
        <w:rPr>
          <w:rStyle w:val="CommentReference"/>
        </w:rPr>
        <w:t>Double</w:t>
      </w:r>
      <w:r w:rsidR="00FF754D" w:rsidRPr="0049764D">
        <w:rPr>
          <w:rStyle w:val="CommentReference"/>
        </w:rPr>
        <w:t>-</w:t>
      </w:r>
      <w:r w:rsidR="002818DD" w:rsidRPr="0049764D">
        <w:rPr>
          <w:rStyle w:val="CommentReference"/>
        </w:rPr>
        <w:t>blind p</w:t>
      </w:r>
      <w:r w:rsidR="0055579B" w:rsidRPr="0049764D">
        <w:rPr>
          <w:rStyle w:val="CommentReference"/>
        </w:rPr>
        <w:t>hase</w:t>
      </w:r>
      <w:r w:rsidR="002818DD" w:rsidRPr="0049764D">
        <w:rPr>
          <w:rStyle w:val="CommentReference"/>
        </w:rPr>
        <w:t xml:space="preserve">: </w:t>
      </w:r>
      <w:r w:rsidR="00C931AB" w:rsidRPr="0049764D">
        <w:rPr>
          <w:rStyle w:val="CommentReference"/>
        </w:rPr>
        <w:t>A</w:t>
      </w:r>
      <w:r w:rsidRPr="0049764D">
        <w:rPr>
          <w:rStyle w:val="CommentReference"/>
        </w:rPr>
        <w:t>dverse events (</w:t>
      </w:r>
      <w:r w:rsidR="0055579B" w:rsidRPr="0049764D">
        <w:rPr>
          <w:rStyle w:val="CommentReference"/>
        </w:rPr>
        <w:t xml:space="preserve">summary and those with an incidence </w:t>
      </w:r>
      <w:r w:rsidRPr="0049764D">
        <w:rPr>
          <w:rStyle w:val="CommentReference"/>
        </w:rPr>
        <w:t>&gt;</w:t>
      </w:r>
      <w:r w:rsidR="004C27F5" w:rsidRPr="0049764D">
        <w:rPr>
          <w:rStyle w:val="CommentReference"/>
        </w:rPr>
        <w:t xml:space="preserve"> </w:t>
      </w:r>
      <w:r w:rsidRPr="0049764D">
        <w:rPr>
          <w:rStyle w:val="CommentReference"/>
        </w:rPr>
        <w:t>2% in any group</w:t>
      </w:r>
      <w:r w:rsidR="0055579B" w:rsidRPr="0049764D">
        <w:rPr>
          <w:rStyle w:val="CommentReference"/>
        </w:rPr>
        <w:t>)</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96"/>
        <w:gridCol w:w="1984"/>
        <w:gridCol w:w="1697"/>
        <w:gridCol w:w="1968"/>
      </w:tblGrid>
      <w:tr w:rsidR="0054392A" w:rsidRPr="0049764D" w:rsidTr="00C931AB">
        <w:trPr>
          <w:tblHeader/>
        </w:trPr>
        <w:tc>
          <w:tcPr>
            <w:tcW w:w="1615" w:type="pct"/>
            <w:vAlign w:val="center"/>
          </w:tcPr>
          <w:p w:rsidR="0054392A" w:rsidRPr="0049764D" w:rsidRDefault="0054392A" w:rsidP="0096683E">
            <w:pPr>
              <w:keepNext/>
              <w:keepLines/>
              <w:tabs>
                <w:tab w:val="left" w:pos="150"/>
              </w:tabs>
              <w:jc w:val="left"/>
              <w:rPr>
                <w:rFonts w:ascii="Arial Narrow" w:hAnsi="Arial Narrow"/>
                <w:sz w:val="20"/>
              </w:rPr>
            </w:pPr>
            <w:r w:rsidRPr="0049764D">
              <w:rPr>
                <w:rFonts w:ascii="Arial Narrow" w:hAnsi="Arial Narrow"/>
                <w:b/>
                <w:sz w:val="20"/>
              </w:rPr>
              <w:t xml:space="preserve">PARADIGM-HF </w:t>
            </w:r>
          </w:p>
        </w:tc>
        <w:tc>
          <w:tcPr>
            <w:tcW w:w="1189" w:type="pct"/>
            <w:vAlign w:val="center"/>
          </w:tcPr>
          <w:p w:rsidR="0054392A" w:rsidRPr="0049764D" w:rsidRDefault="0054392A" w:rsidP="0096683E">
            <w:pPr>
              <w:keepNext/>
              <w:keepLines/>
              <w:jc w:val="center"/>
              <w:rPr>
                <w:rFonts w:ascii="Arial Narrow" w:hAnsi="Arial Narrow"/>
                <w:b/>
                <w:sz w:val="20"/>
              </w:rPr>
            </w:pPr>
            <w:r w:rsidRPr="0049764D">
              <w:rPr>
                <w:rFonts w:ascii="Arial Narrow" w:hAnsi="Arial Narrow"/>
                <w:b/>
                <w:sz w:val="20"/>
              </w:rPr>
              <w:t>Sacubitril/valsartan</w:t>
            </w:r>
          </w:p>
          <w:p w:rsidR="0054392A" w:rsidRPr="0049764D" w:rsidRDefault="0054392A" w:rsidP="0096683E">
            <w:pPr>
              <w:keepNext/>
              <w:keepLines/>
              <w:jc w:val="center"/>
              <w:rPr>
                <w:rFonts w:ascii="Arial Narrow" w:hAnsi="Arial Narrow"/>
                <w:sz w:val="20"/>
              </w:rPr>
            </w:pPr>
            <w:r w:rsidRPr="0049764D">
              <w:rPr>
                <w:rFonts w:ascii="Arial Narrow" w:hAnsi="Arial Narrow"/>
                <w:b/>
                <w:sz w:val="20"/>
              </w:rPr>
              <w:t>n with event/N (%)</w:t>
            </w:r>
          </w:p>
        </w:tc>
        <w:tc>
          <w:tcPr>
            <w:tcW w:w="1017" w:type="pct"/>
            <w:vAlign w:val="center"/>
          </w:tcPr>
          <w:p w:rsidR="0054392A" w:rsidRPr="0049764D" w:rsidRDefault="0054392A" w:rsidP="0096683E">
            <w:pPr>
              <w:keepNext/>
              <w:keepLines/>
              <w:jc w:val="center"/>
              <w:rPr>
                <w:rFonts w:ascii="Arial Narrow" w:hAnsi="Arial Narrow"/>
                <w:b/>
                <w:sz w:val="20"/>
              </w:rPr>
            </w:pPr>
            <w:r w:rsidRPr="0049764D">
              <w:rPr>
                <w:rFonts w:ascii="Arial Narrow" w:hAnsi="Arial Narrow"/>
                <w:b/>
                <w:sz w:val="20"/>
              </w:rPr>
              <w:t>enalapril</w:t>
            </w:r>
          </w:p>
          <w:p w:rsidR="0054392A" w:rsidRPr="0049764D" w:rsidRDefault="0054392A" w:rsidP="0096683E">
            <w:pPr>
              <w:keepNext/>
              <w:keepLines/>
              <w:jc w:val="center"/>
              <w:rPr>
                <w:rFonts w:ascii="Arial Narrow" w:hAnsi="Arial Narrow"/>
                <w:sz w:val="20"/>
              </w:rPr>
            </w:pPr>
            <w:r w:rsidRPr="0049764D">
              <w:rPr>
                <w:rFonts w:ascii="Arial Narrow" w:hAnsi="Arial Narrow"/>
                <w:b/>
                <w:sz w:val="20"/>
              </w:rPr>
              <w:t>n with event/N (%)</w:t>
            </w:r>
          </w:p>
        </w:tc>
        <w:tc>
          <w:tcPr>
            <w:tcW w:w="1180" w:type="pct"/>
            <w:vAlign w:val="center"/>
          </w:tcPr>
          <w:p w:rsidR="0054392A" w:rsidRPr="0049764D" w:rsidRDefault="0054392A" w:rsidP="0096683E">
            <w:pPr>
              <w:keepNext/>
              <w:keepLines/>
              <w:jc w:val="center"/>
              <w:rPr>
                <w:rFonts w:ascii="Arial Narrow" w:hAnsi="Arial Narrow"/>
                <w:b/>
                <w:sz w:val="20"/>
              </w:rPr>
            </w:pPr>
            <w:r w:rsidRPr="0049764D">
              <w:rPr>
                <w:rFonts w:ascii="Arial Narrow" w:hAnsi="Arial Narrow"/>
                <w:b/>
                <w:sz w:val="20"/>
              </w:rPr>
              <w:t>RD</w:t>
            </w:r>
          </w:p>
          <w:p w:rsidR="0054392A" w:rsidRPr="0049764D" w:rsidRDefault="0054392A" w:rsidP="0096683E">
            <w:pPr>
              <w:keepNext/>
              <w:keepLines/>
              <w:jc w:val="center"/>
              <w:rPr>
                <w:rFonts w:ascii="Arial Narrow" w:hAnsi="Arial Narrow"/>
                <w:sz w:val="20"/>
              </w:rPr>
            </w:pPr>
            <w:r w:rsidRPr="0049764D">
              <w:rPr>
                <w:rFonts w:ascii="Arial Narrow" w:hAnsi="Arial Narrow"/>
                <w:b/>
                <w:sz w:val="20"/>
              </w:rPr>
              <w:t>(95% CI)</w:t>
            </w:r>
          </w:p>
        </w:tc>
      </w:tr>
      <w:tr w:rsidR="0054392A" w:rsidRPr="0049764D" w:rsidTr="00C931AB">
        <w:tc>
          <w:tcPr>
            <w:tcW w:w="1615" w:type="pct"/>
            <w:vAlign w:val="center"/>
          </w:tcPr>
          <w:p w:rsidR="0054392A" w:rsidRPr="0049764D" w:rsidRDefault="0054392A" w:rsidP="0096683E">
            <w:pPr>
              <w:keepNext/>
              <w:keepLines/>
              <w:tabs>
                <w:tab w:val="left" w:pos="150"/>
              </w:tabs>
              <w:jc w:val="left"/>
              <w:rPr>
                <w:rFonts w:ascii="Arial Narrow" w:hAnsi="Arial Narrow"/>
                <w:sz w:val="20"/>
              </w:rPr>
            </w:pPr>
            <w:r w:rsidRPr="0049764D">
              <w:rPr>
                <w:rFonts w:ascii="Arial Narrow" w:hAnsi="Arial Narrow"/>
                <w:sz w:val="20"/>
              </w:rPr>
              <w:t>N, safety set</w:t>
            </w:r>
          </w:p>
        </w:tc>
        <w:tc>
          <w:tcPr>
            <w:tcW w:w="1189" w:type="pct"/>
            <w:vAlign w:val="center"/>
          </w:tcPr>
          <w:p w:rsidR="0054392A" w:rsidRPr="0049764D" w:rsidRDefault="0054392A" w:rsidP="0096683E">
            <w:pPr>
              <w:keepNext/>
              <w:keepLines/>
              <w:jc w:val="center"/>
              <w:rPr>
                <w:rFonts w:ascii="Arial Narrow" w:hAnsi="Arial Narrow"/>
                <w:sz w:val="20"/>
              </w:rPr>
            </w:pPr>
            <w:r w:rsidRPr="0049764D">
              <w:rPr>
                <w:rFonts w:ascii="Arial Narrow" w:hAnsi="Arial Narrow"/>
                <w:sz w:val="20"/>
              </w:rPr>
              <w:t>4,203</w:t>
            </w:r>
          </w:p>
        </w:tc>
        <w:tc>
          <w:tcPr>
            <w:tcW w:w="1017" w:type="pct"/>
            <w:vAlign w:val="center"/>
          </w:tcPr>
          <w:p w:rsidR="0054392A" w:rsidRPr="0049764D" w:rsidRDefault="0054392A" w:rsidP="0096683E">
            <w:pPr>
              <w:keepNext/>
              <w:keepLines/>
              <w:jc w:val="center"/>
              <w:rPr>
                <w:rFonts w:ascii="Arial Narrow" w:hAnsi="Arial Narrow"/>
                <w:sz w:val="20"/>
              </w:rPr>
            </w:pPr>
            <w:r w:rsidRPr="0049764D">
              <w:rPr>
                <w:rFonts w:ascii="Arial Narrow" w:hAnsi="Arial Narrow"/>
                <w:sz w:val="20"/>
              </w:rPr>
              <w:t>4,229</w:t>
            </w:r>
          </w:p>
        </w:tc>
        <w:tc>
          <w:tcPr>
            <w:tcW w:w="1180" w:type="pct"/>
            <w:vAlign w:val="center"/>
          </w:tcPr>
          <w:p w:rsidR="0054392A" w:rsidRPr="0049764D" w:rsidRDefault="0054392A" w:rsidP="0096683E">
            <w:pPr>
              <w:keepNext/>
              <w:keepLines/>
              <w:jc w:val="center"/>
              <w:rPr>
                <w:rFonts w:ascii="Arial Narrow" w:hAnsi="Arial Narrow"/>
                <w:sz w:val="20"/>
              </w:rPr>
            </w:pPr>
          </w:p>
        </w:tc>
      </w:tr>
      <w:tr w:rsidR="00C931AB" w:rsidRPr="0049764D" w:rsidTr="00C931AB">
        <w:tc>
          <w:tcPr>
            <w:tcW w:w="1615" w:type="pct"/>
            <w:vAlign w:val="center"/>
          </w:tcPr>
          <w:p w:rsidR="00C931AB" w:rsidRPr="0049764D" w:rsidRDefault="00C931AB" w:rsidP="0096683E">
            <w:pPr>
              <w:keepNext/>
              <w:keepLines/>
              <w:tabs>
                <w:tab w:val="left" w:pos="150"/>
              </w:tabs>
              <w:jc w:val="left"/>
              <w:rPr>
                <w:rFonts w:ascii="Arial Narrow" w:hAnsi="Arial Narrow"/>
                <w:sz w:val="20"/>
              </w:rPr>
            </w:pPr>
            <w:r w:rsidRPr="0049764D">
              <w:rPr>
                <w:rFonts w:ascii="Arial Narrow" w:hAnsi="Arial Narrow"/>
                <w:sz w:val="20"/>
              </w:rPr>
              <w:t>Any AE</w:t>
            </w:r>
          </w:p>
        </w:tc>
        <w:tc>
          <w:tcPr>
            <w:tcW w:w="1189" w:type="pct"/>
            <w:vAlign w:val="center"/>
          </w:tcPr>
          <w:p w:rsidR="00C931AB" w:rsidRPr="0049764D" w:rsidRDefault="00C931AB" w:rsidP="0096683E">
            <w:pPr>
              <w:keepNext/>
              <w:keepLines/>
              <w:jc w:val="center"/>
              <w:rPr>
                <w:rFonts w:ascii="Arial Narrow" w:hAnsi="Arial Narrow"/>
                <w:sz w:val="20"/>
              </w:rPr>
            </w:pPr>
            <w:r w:rsidRPr="0049764D">
              <w:rPr>
                <w:rFonts w:ascii="Arial Narrow" w:hAnsi="Arial Narrow"/>
                <w:sz w:val="20"/>
              </w:rPr>
              <w:t>3,419 (81.3%)</w:t>
            </w:r>
          </w:p>
        </w:tc>
        <w:tc>
          <w:tcPr>
            <w:tcW w:w="1017" w:type="pct"/>
            <w:vAlign w:val="center"/>
          </w:tcPr>
          <w:p w:rsidR="00C931AB" w:rsidRPr="0049764D" w:rsidRDefault="00C931AB" w:rsidP="0096683E">
            <w:pPr>
              <w:keepNext/>
              <w:keepLines/>
              <w:jc w:val="center"/>
              <w:rPr>
                <w:rFonts w:ascii="Arial Narrow" w:hAnsi="Arial Narrow"/>
                <w:sz w:val="20"/>
              </w:rPr>
            </w:pPr>
            <w:r w:rsidRPr="0049764D">
              <w:rPr>
                <w:rFonts w:ascii="Arial Narrow" w:hAnsi="Arial Narrow"/>
                <w:sz w:val="20"/>
              </w:rPr>
              <w:t>3,503 (82.8%)</w:t>
            </w:r>
          </w:p>
        </w:tc>
        <w:tc>
          <w:tcPr>
            <w:tcW w:w="1180" w:type="pct"/>
            <w:vAlign w:val="center"/>
          </w:tcPr>
          <w:p w:rsidR="00C931AB" w:rsidRPr="0049764D" w:rsidRDefault="00C931AB" w:rsidP="0096683E">
            <w:pPr>
              <w:keepNext/>
              <w:keepLines/>
              <w:jc w:val="center"/>
              <w:rPr>
                <w:rFonts w:ascii="Arial Narrow" w:hAnsi="Arial Narrow"/>
                <w:i/>
                <w:sz w:val="20"/>
              </w:rPr>
            </w:pPr>
            <w:r w:rsidRPr="0049764D">
              <w:rPr>
                <w:rFonts w:ascii="Arial Narrow" w:hAnsi="Arial Narrow"/>
                <w:i/>
                <w:sz w:val="20"/>
              </w:rPr>
              <w:t>-1.5% (-3.1%, 0.2%)</w:t>
            </w:r>
          </w:p>
        </w:tc>
      </w:tr>
      <w:tr w:rsidR="00C931AB" w:rsidRPr="0049764D" w:rsidTr="00C931AB">
        <w:tc>
          <w:tcPr>
            <w:tcW w:w="1615" w:type="pct"/>
            <w:vAlign w:val="center"/>
          </w:tcPr>
          <w:p w:rsidR="00C931AB" w:rsidRPr="0049764D" w:rsidRDefault="00C931AB" w:rsidP="0096683E">
            <w:pPr>
              <w:keepNext/>
              <w:keepLines/>
              <w:tabs>
                <w:tab w:val="left" w:pos="150"/>
              </w:tabs>
              <w:jc w:val="left"/>
              <w:rPr>
                <w:rFonts w:ascii="Arial Narrow" w:hAnsi="Arial Narrow"/>
                <w:sz w:val="20"/>
              </w:rPr>
            </w:pPr>
            <w:r w:rsidRPr="0049764D">
              <w:rPr>
                <w:rFonts w:ascii="Arial Narrow" w:hAnsi="Arial Narrow"/>
                <w:sz w:val="20"/>
              </w:rPr>
              <w:t>Any serious AE</w:t>
            </w:r>
          </w:p>
        </w:tc>
        <w:tc>
          <w:tcPr>
            <w:tcW w:w="1189" w:type="pct"/>
            <w:vAlign w:val="center"/>
          </w:tcPr>
          <w:p w:rsidR="00C931AB" w:rsidRPr="0049764D" w:rsidRDefault="00C931AB" w:rsidP="0096683E">
            <w:pPr>
              <w:keepNext/>
              <w:keepLines/>
              <w:jc w:val="center"/>
              <w:rPr>
                <w:rFonts w:ascii="Arial Narrow" w:hAnsi="Arial Narrow"/>
                <w:sz w:val="20"/>
              </w:rPr>
            </w:pPr>
            <w:r w:rsidRPr="0049764D">
              <w:rPr>
                <w:rFonts w:ascii="Arial Narrow" w:hAnsi="Arial Narrow"/>
                <w:sz w:val="20"/>
              </w:rPr>
              <w:t>1,937 (46.1%)</w:t>
            </w:r>
          </w:p>
        </w:tc>
        <w:tc>
          <w:tcPr>
            <w:tcW w:w="1017" w:type="pct"/>
            <w:vAlign w:val="center"/>
          </w:tcPr>
          <w:p w:rsidR="00C931AB" w:rsidRPr="0049764D" w:rsidRDefault="00C931AB" w:rsidP="0096683E">
            <w:pPr>
              <w:keepNext/>
              <w:keepLines/>
              <w:jc w:val="center"/>
              <w:rPr>
                <w:rFonts w:ascii="Arial Narrow" w:hAnsi="Arial Narrow"/>
                <w:sz w:val="20"/>
              </w:rPr>
            </w:pPr>
            <w:r w:rsidRPr="0049764D">
              <w:rPr>
                <w:rFonts w:ascii="Arial Narrow" w:hAnsi="Arial Narrow"/>
                <w:sz w:val="20"/>
              </w:rPr>
              <w:t>2,142 (50.7%)</w:t>
            </w:r>
          </w:p>
        </w:tc>
        <w:tc>
          <w:tcPr>
            <w:tcW w:w="1180" w:type="pct"/>
            <w:vAlign w:val="center"/>
          </w:tcPr>
          <w:p w:rsidR="00C931AB" w:rsidRPr="0049764D" w:rsidRDefault="00C931AB" w:rsidP="0096683E">
            <w:pPr>
              <w:keepNext/>
              <w:keepLines/>
              <w:jc w:val="center"/>
              <w:rPr>
                <w:rFonts w:ascii="Arial Narrow" w:hAnsi="Arial Narrow"/>
                <w:b/>
                <w:i/>
                <w:sz w:val="20"/>
              </w:rPr>
            </w:pPr>
            <w:r w:rsidRPr="0049764D">
              <w:rPr>
                <w:rFonts w:ascii="Arial Narrow" w:hAnsi="Arial Narrow"/>
                <w:b/>
                <w:i/>
                <w:sz w:val="20"/>
              </w:rPr>
              <w:t>-4.6% (-6.7%, -2.4%)</w:t>
            </w:r>
          </w:p>
        </w:tc>
      </w:tr>
      <w:tr w:rsidR="00C931AB" w:rsidRPr="0049764D" w:rsidTr="00C931AB">
        <w:tc>
          <w:tcPr>
            <w:tcW w:w="1615" w:type="pct"/>
          </w:tcPr>
          <w:p w:rsidR="00C931AB" w:rsidRPr="0049764D" w:rsidRDefault="00C931AB" w:rsidP="0096683E">
            <w:pPr>
              <w:keepNext/>
              <w:keepLines/>
              <w:rPr>
                <w:rFonts w:ascii="Arial Narrow" w:hAnsi="Arial Narrow"/>
                <w:sz w:val="20"/>
              </w:rPr>
            </w:pPr>
            <w:r w:rsidRPr="0049764D">
              <w:rPr>
                <w:rFonts w:ascii="Arial Narrow" w:hAnsi="Arial Narrow"/>
                <w:sz w:val="20"/>
              </w:rPr>
              <w:t>AE leading to discontinuation</w:t>
            </w:r>
          </w:p>
        </w:tc>
        <w:tc>
          <w:tcPr>
            <w:tcW w:w="1189" w:type="pct"/>
            <w:vAlign w:val="center"/>
          </w:tcPr>
          <w:p w:rsidR="00C931AB" w:rsidRPr="0049764D" w:rsidRDefault="00C931AB" w:rsidP="0096683E">
            <w:pPr>
              <w:keepNext/>
              <w:keepLines/>
              <w:jc w:val="center"/>
              <w:rPr>
                <w:rFonts w:ascii="Arial Narrow" w:hAnsi="Arial Narrow"/>
                <w:sz w:val="20"/>
              </w:rPr>
            </w:pPr>
            <w:r w:rsidRPr="0049764D">
              <w:rPr>
                <w:rFonts w:ascii="Arial Narrow" w:hAnsi="Arial Narrow"/>
                <w:sz w:val="20"/>
              </w:rPr>
              <w:t>450 (10.7%)</w:t>
            </w:r>
          </w:p>
        </w:tc>
        <w:tc>
          <w:tcPr>
            <w:tcW w:w="1017" w:type="pct"/>
            <w:vAlign w:val="center"/>
          </w:tcPr>
          <w:p w:rsidR="00C931AB" w:rsidRPr="0049764D" w:rsidRDefault="00C931AB" w:rsidP="0096683E">
            <w:pPr>
              <w:keepNext/>
              <w:keepLines/>
              <w:jc w:val="center"/>
              <w:rPr>
                <w:rFonts w:ascii="Arial Narrow" w:hAnsi="Arial Narrow"/>
                <w:sz w:val="20"/>
              </w:rPr>
            </w:pPr>
            <w:r w:rsidRPr="0049764D">
              <w:rPr>
                <w:rFonts w:ascii="Arial Narrow" w:hAnsi="Arial Narrow"/>
                <w:sz w:val="20"/>
              </w:rPr>
              <w:t>516 (12.2%)</w:t>
            </w:r>
          </w:p>
        </w:tc>
        <w:tc>
          <w:tcPr>
            <w:tcW w:w="1180" w:type="pct"/>
            <w:vAlign w:val="center"/>
          </w:tcPr>
          <w:p w:rsidR="00C931AB" w:rsidRPr="0049764D" w:rsidRDefault="00C931AB" w:rsidP="0096683E">
            <w:pPr>
              <w:keepNext/>
              <w:keepLines/>
              <w:jc w:val="center"/>
              <w:rPr>
                <w:rFonts w:ascii="Arial Narrow" w:hAnsi="Arial Narrow"/>
                <w:i/>
                <w:sz w:val="20"/>
              </w:rPr>
            </w:pPr>
            <w:r w:rsidRPr="0049764D">
              <w:rPr>
                <w:rFonts w:ascii="Arial Narrow" w:hAnsi="Arial Narrow"/>
                <w:i/>
                <w:sz w:val="20"/>
              </w:rPr>
              <w:t>-1.5% (-2.9%, 0.1%)</w:t>
            </w:r>
          </w:p>
        </w:tc>
      </w:tr>
      <w:tr w:rsidR="0054392A" w:rsidRPr="0049764D" w:rsidTr="00C931AB">
        <w:tc>
          <w:tcPr>
            <w:tcW w:w="1615" w:type="pct"/>
          </w:tcPr>
          <w:p w:rsidR="0054392A" w:rsidRPr="00BC0C24" w:rsidRDefault="0054392A" w:rsidP="0060305C">
            <w:pPr>
              <w:pStyle w:val="PBACTableText"/>
              <w:keepNext/>
              <w:keepLines/>
              <w:rPr>
                <w:lang w:val="en-AU"/>
              </w:rPr>
            </w:pPr>
            <w:r w:rsidRPr="00BC0C24">
              <w:rPr>
                <w:lang w:val="en-AU"/>
              </w:rPr>
              <w:t>Any drug-related AE (at least one)</w:t>
            </w:r>
          </w:p>
        </w:tc>
        <w:tc>
          <w:tcPr>
            <w:tcW w:w="1189" w:type="pct"/>
          </w:tcPr>
          <w:p w:rsidR="0054392A" w:rsidRPr="00BC0C24" w:rsidRDefault="0054392A" w:rsidP="0096683E">
            <w:pPr>
              <w:pStyle w:val="PBACTableText"/>
              <w:keepNext/>
              <w:keepLines/>
              <w:jc w:val="center"/>
              <w:rPr>
                <w:lang w:val="en-AU"/>
              </w:rPr>
            </w:pPr>
            <w:r w:rsidRPr="00BC0C24">
              <w:rPr>
                <w:lang w:val="en-AU"/>
              </w:rPr>
              <w:t>910 (21.6)</w:t>
            </w:r>
          </w:p>
        </w:tc>
        <w:tc>
          <w:tcPr>
            <w:tcW w:w="1017" w:type="pct"/>
          </w:tcPr>
          <w:p w:rsidR="0054392A" w:rsidRPr="00BC0C24" w:rsidRDefault="0054392A" w:rsidP="0096683E">
            <w:pPr>
              <w:pStyle w:val="PBACTableText"/>
              <w:keepNext/>
              <w:keepLines/>
              <w:jc w:val="center"/>
              <w:rPr>
                <w:lang w:val="en-AU"/>
              </w:rPr>
            </w:pPr>
            <w:r w:rsidRPr="00BC0C24">
              <w:rPr>
                <w:lang w:val="en-AU"/>
              </w:rPr>
              <w:t>976 (23.1)</w:t>
            </w:r>
          </w:p>
        </w:tc>
        <w:tc>
          <w:tcPr>
            <w:tcW w:w="1180" w:type="pct"/>
            <w:vAlign w:val="center"/>
          </w:tcPr>
          <w:p w:rsidR="0054392A" w:rsidRPr="0049764D" w:rsidRDefault="0054392A" w:rsidP="0096683E">
            <w:pPr>
              <w:keepNext/>
              <w:keepLines/>
              <w:jc w:val="center"/>
              <w:rPr>
                <w:rFonts w:ascii="Arial Narrow" w:hAnsi="Arial Narrow"/>
                <w:sz w:val="20"/>
              </w:rPr>
            </w:pPr>
            <w:r w:rsidRPr="0049764D">
              <w:rPr>
                <w:rFonts w:ascii="Arial Narrow" w:hAnsi="Arial Narrow"/>
                <w:sz w:val="20"/>
              </w:rPr>
              <w:t>-1.4% (-3.2%, 0.4%)</w:t>
            </w:r>
          </w:p>
        </w:tc>
      </w:tr>
      <w:tr w:rsidR="0054392A" w:rsidRPr="0049764D" w:rsidTr="00C931AB">
        <w:tc>
          <w:tcPr>
            <w:tcW w:w="1615" w:type="pct"/>
          </w:tcPr>
          <w:p w:rsidR="0054392A" w:rsidRPr="00BC0C24" w:rsidRDefault="0054392A" w:rsidP="0096683E">
            <w:pPr>
              <w:pStyle w:val="PBACTableText"/>
              <w:keepNext/>
              <w:keepLines/>
              <w:ind w:left="256"/>
              <w:rPr>
                <w:lang w:val="en-AU"/>
              </w:rPr>
            </w:pPr>
            <w:r w:rsidRPr="00BC0C24">
              <w:rPr>
                <w:lang w:val="en-AU"/>
              </w:rPr>
              <w:t>Hypotension</w:t>
            </w:r>
          </w:p>
        </w:tc>
        <w:tc>
          <w:tcPr>
            <w:tcW w:w="1189" w:type="pct"/>
          </w:tcPr>
          <w:p w:rsidR="0054392A" w:rsidRPr="00BC0C24" w:rsidRDefault="0054392A" w:rsidP="0096683E">
            <w:pPr>
              <w:pStyle w:val="PBACTableText"/>
              <w:keepNext/>
              <w:keepLines/>
              <w:jc w:val="center"/>
              <w:rPr>
                <w:lang w:val="en-AU"/>
              </w:rPr>
            </w:pPr>
            <w:r w:rsidRPr="00BC0C24">
              <w:rPr>
                <w:lang w:val="en-AU"/>
              </w:rPr>
              <w:t>430 (10.2)</w:t>
            </w:r>
          </w:p>
        </w:tc>
        <w:tc>
          <w:tcPr>
            <w:tcW w:w="1017" w:type="pct"/>
          </w:tcPr>
          <w:p w:rsidR="0054392A" w:rsidRPr="00BC0C24" w:rsidRDefault="0054392A" w:rsidP="0096683E">
            <w:pPr>
              <w:pStyle w:val="PBACTableText"/>
              <w:keepNext/>
              <w:keepLines/>
              <w:jc w:val="center"/>
              <w:rPr>
                <w:lang w:val="en-AU"/>
              </w:rPr>
            </w:pPr>
            <w:r w:rsidRPr="00BC0C24">
              <w:rPr>
                <w:lang w:val="en-AU"/>
              </w:rPr>
              <w:t>293 (6.9)</w:t>
            </w:r>
          </w:p>
        </w:tc>
        <w:tc>
          <w:tcPr>
            <w:tcW w:w="1180" w:type="pct"/>
            <w:vAlign w:val="center"/>
          </w:tcPr>
          <w:p w:rsidR="0054392A" w:rsidRPr="0049764D" w:rsidRDefault="0054392A" w:rsidP="0096683E">
            <w:pPr>
              <w:keepNext/>
              <w:keepLines/>
              <w:jc w:val="center"/>
              <w:rPr>
                <w:rFonts w:ascii="Arial Narrow" w:hAnsi="Arial Narrow"/>
                <w:b/>
                <w:sz w:val="20"/>
              </w:rPr>
            </w:pPr>
            <w:r w:rsidRPr="0049764D">
              <w:rPr>
                <w:rFonts w:ascii="Arial Narrow" w:hAnsi="Arial Narrow"/>
                <w:b/>
                <w:sz w:val="20"/>
              </w:rPr>
              <w:t>3.3% (2.1%, 4.5%)</w:t>
            </w:r>
          </w:p>
        </w:tc>
      </w:tr>
      <w:tr w:rsidR="0054392A" w:rsidRPr="0049764D" w:rsidTr="00C931AB">
        <w:tc>
          <w:tcPr>
            <w:tcW w:w="1615" w:type="pct"/>
          </w:tcPr>
          <w:p w:rsidR="0054392A" w:rsidRPr="00BC0C24" w:rsidRDefault="0054392A" w:rsidP="0096683E">
            <w:pPr>
              <w:pStyle w:val="PBACTableText"/>
              <w:keepNext/>
              <w:keepLines/>
              <w:ind w:left="256"/>
              <w:rPr>
                <w:lang w:val="en-AU"/>
              </w:rPr>
            </w:pPr>
            <w:r w:rsidRPr="00BC0C24">
              <w:rPr>
                <w:lang w:val="en-AU"/>
              </w:rPr>
              <w:t>Hyperkalemia</w:t>
            </w:r>
          </w:p>
        </w:tc>
        <w:tc>
          <w:tcPr>
            <w:tcW w:w="1189" w:type="pct"/>
          </w:tcPr>
          <w:p w:rsidR="0054392A" w:rsidRPr="00BC0C24" w:rsidRDefault="0054392A" w:rsidP="0096683E">
            <w:pPr>
              <w:pStyle w:val="PBACTableText"/>
              <w:keepNext/>
              <w:keepLines/>
              <w:jc w:val="center"/>
              <w:rPr>
                <w:lang w:val="en-AU"/>
              </w:rPr>
            </w:pPr>
            <w:r w:rsidRPr="00BC0C24">
              <w:rPr>
                <w:lang w:val="en-AU"/>
              </w:rPr>
              <w:t>193 (4.6)</w:t>
            </w:r>
          </w:p>
        </w:tc>
        <w:tc>
          <w:tcPr>
            <w:tcW w:w="1017" w:type="pct"/>
          </w:tcPr>
          <w:p w:rsidR="0054392A" w:rsidRPr="00BC0C24" w:rsidRDefault="0054392A" w:rsidP="0096683E">
            <w:pPr>
              <w:pStyle w:val="PBACTableText"/>
              <w:keepNext/>
              <w:keepLines/>
              <w:jc w:val="center"/>
              <w:rPr>
                <w:lang w:val="en-AU"/>
              </w:rPr>
            </w:pPr>
            <w:r w:rsidRPr="00BC0C24">
              <w:rPr>
                <w:lang w:val="en-AU"/>
              </w:rPr>
              <w:t>237 (5.6)</w:t>
            </w:r>
          </w:p>
        </w:tc>
        <w:tc>
          <w:tcPr>
            <w:tcW w:w="1180" w:type="pct"/>
            <w:vAlign w:val="center"/>
          </w:tcPr>
          <w:p w:rsidR="0054392A" w:rsidRPr="00E52AB7" w:rsidRDefault="0054392A" w:rsidP="0096683E">
            <w:pPr>
              <w:keepNext/>
              <w:keepLines/>
              <w:jc w:val="center"/>
              <w:rPr>
                <w:rFonts w:ascii="Arial Narrow" w:hAnsi="Arial Narrow"/>
                <w:b/>
                <w:sz w:val="20"/>
              </w:rPr>
            </w:pPr>
            <w:r w:rsidRPr="0049764D">
              <w:rPr>
                <w:rFonts w:ascii="Arial Narrow" w:hAnsi="Arial Narrow"/>
                <w:b/>
                <w:sz w:val="20"/>
              </w:rPr>
              <w:t>-1.</w:t>
            </w:r>
            <w:r w:rsidRPr="0049764D">
              <w:rPr>
                <w:rStyle w:val="TabletextChar"/>
                <w:b/>
                <w:sz w:val="20"/>
              </w:rPr>
              <w:t>0% (-2.0%, -0.1%)</w:t>
            </w:r>
          </w:p>
        </w:tc>
      </w:tr>
      <w:tr w:rsidR="0054392A" w:rsidRPr="0049764D" w:rsidTr="00C931AB">
        <w:tc>
          <w:tcPr>
            <w:tcW w:w="1615" w:type="pct"/>
          </w:tcPr>
          <w:p w:rsidR="0054392A" w:rsidRPr="00BC0C24" w:rsidRDefault="0054392A" w:rsidP="0096683E">
            <w:pPr>
              <w:pStyle w:val="PBACTableText"/>
              <w:keepNext/>
              <w:keepLines/>
              <w:ind w:left="256"/>
              <w:rPr>
                <w:lang w:val="en-AU"/>
              </w:rPr>
            </w:pPr>
            <w:r w:rsidRPr="00BC0C24">
              <w:rPr>
                <w:lang w:val="en-AU"/>
              </w:rPr>
              <w:t>Renal impairment</w:t>
            </w:r>
          </w:p>
        </w:tc>
        <w:tc>
          <w:tcPr>
            <w:tcW w:w="1189" w:type="pct"/>
          </w:tcPr>
          <w:p w:rsidR="0054392A" w:rsidRPr="00BC0C24" w:rsidRDefault="0054392A" w:rsidP="0096683E">
            <w:pPr>
              <w:pStyle w:val="PBACTableText"/>
              <w:keepNext/>
              <w:keepLines/>
              <w:jc w:val="center"/>
              <w:rPr>
                <w:lang w:val="en-AU"/>
              </w:rPr>
            </w:pPr>
            <w:r w:rsidRPr="00BC0C24">
              <w:rPr>
                <w:lang w:val="en-AU"/>
              </w:rPr>
              <w:t>117 (2.8)</w:t>
            </w:r>
          </w:p>
        </w:tc>
        <w:tc>
          <w:tcPr>
            <w:tcW w:w="1017" w:type="pct"/>
          </w:tcPr>
          <w:p w:rsidR="0054392A" w:rsidRPr="00BC0C24" w:rsidRDefault="0054392A" w:rsidP="0096683E">
            <w:pPr>
              <w:pStyle w:val="PBACTableText"/>
              <w:keepNext/>
              <w:keepLines/>
              <w:jc w:val="center"/>
              <w:rPr>
                <w:lang w:val="en-AU"/>
              </w:rPr>
            </w:pPr>
            <w:r w:rsidRPr="00BC0C24">
              <w:rPr>
                <w:lang w:val="en-AU"/>
              </w:rPr>
              <w:t>179 (4.2)</w:t>
            </w:r>
          </w:p>
        </w:tc>
        <w:tc>
          <w:tcPr>
            <w:tcW w:w="1180" w:type="pct"/>
            <w:vAlign w:val="center"/>
          </w:tcPr>
          <w:p w:rsidR="0054392A" w:rsidRPr="00E52AB7" w:rsidRDefault="0054392A" w:rsidP="0096683E">
            <w:pPr>
              <w:keepNext/>
              <w:keepLines/>
              <w:jc w:val="center"/>
              <w:rPr>
                <w:rFonts w:ascii="Arial Narrow" w:hAnsi="Arial Narrow"/>
                <w:b/>
                <w:sz w:val="20"/>
              </w:rPr>
            </w:pPr>
            <w:r w:rsidRPr="0049764D">
              <w:rPr>
                <w:rFonts w:ascii="Arial Narrow" w:hAnsi="Arial Narrow"/>
                <w:b/>
                <w:sz w:val="20"/>
              </w:rPr>
              <w:t>-1.4%</w:t>
            </w:r>
            <w:r w:rsidRPr="0049764D">
              <w:rPr>
                <w:b/>
              </w:rPr>
              <w:t xml:space="preserve"> </w:t>
            </w:r>
            <w:r w:rsidRPr="00E52AB7">
              <w:rPr>
                <w:rFonts w:ascii="Arial Narrow" w:hAnsi="Arial Narrow"/>
                <w:b/>
                <w:sz w:val="20"/>
              </w:rPr>
              <w:t>(-2.2%, -0.7%)</w:t>
            </w:r>
          </w:p>
        </w:tc>
      </w:tr>
      <w:tr w:rsidR="0054392A" w:rsidRPr="0049764D" w:rsidTr="00C931AB">
        <w:tc>
          <w:tcPr>
            <w:tcW w:w="1615" w:type="pct"/>
          </w:tcPr>
          <w:p w:rsidR="0054392A" w:rsidRPr="00BC0C24" w:rsidRDefault="0054392A" w:rsidP="0096683E">
            <w:pPr>
              <w:pStyle w:val="PBACTableText"/>
              <w:keepNext/>
              <w:keepLines/>
              <w:ind w:left="256"/>
              <w:rPr>
                <w:lang w:val="en-AU"/>
              </w:rPr>
            </w:pPr>
            <w:r w:rsidRPr="00BC0C24">
              <w:rPr>
                <w:lang w:val="en-AU"/>
              </w:rPr>
              <w:t xml:space="preserve">Cough </w:t>
            </w:r>
          </w:p>
        </w:tc>
        <w:tc>
          <w:tcPr>
            <w:tcW w:w="1189" w:type="pct"/>
          </w:tcPr>
          <w:p w:rsidR="0054392A" w:rsidRPr="00BC0C24" w:rsidRDefault="0054392A" w:rsidP="0096683E">
            <w:pPr>
              <w:pStyle w:val="PBACTableText"/>
              <w:keepNext/>
              <w:keepLines/>
              <w:jc w:val="center"/>
              <w:rPr>
                <w:lang w:val="en-AU"/>
              </w:rPr>
            </w:pPr>
            <w:r w:rsidRPr="00BC0C24">
              <w:rPr>
                <w:lang w:val="en-AU"/>
              </w:rPr>
              <w:t>64 (1.5)</w:t>
            </w:r>
          </w:p>
        </w:tc>
        <w:tc>
          <w:tcPr>
            <w:tcW w:w="1017" w:type="pct"/>
          </w:tcPr>
          <w:p w:rsidR="0054392A" w:rsidRPr="00BC0C24" w:rsidRDefault="0054392A" w:rsidP="0096683E">
            <w:pPr>
              <w:pStyle w:val="PBACTableText"/>
              <w:keepNext/>
              <w:keepLines/>
              <w:jc w:val="center"/>
              <w:rPr>
                <w:lang w:val="en-AU"/>
              </w:rPr>
            </w:pPr>
            <w:r w:rsidRPr="00BC0C24">
              <w:rPr>
                <w:lang w:val="en-AU"/>
              </w:rPr>
              <w:t>161 (3.8)</w:t>
            </w:r>
          </w:p>
        </w:tc>
        <w:tc>
          <w:tcPr>
            <w:tcW w:w="1180" w:type="pct"/>
            <w:vAlign w:val="center"/>
          </w:tcPr>
          <w:p w:rsidR="0054392A" w:rsidRPr="0049764D" w:rsidRDefault="0054392A" w:rsidP="0096683E">
            <w:pPr>
              <w:keepNext/>
              <w:keepLines/>
              <w:jc w:val="center"/>
              <w:rPr>
                <w:rFonts w:ascii="Arial Narrow" w:hAnsi="Arial Narrow"/>
                <w:b/>
                <w:sz w:val="20"/>
              </w:rPr>
            </w:pPr>
            <w:r w:rsidRPr="0049764D">
              <w:rPr>
                <w:rFonts w:ascii="Arial Narrow" w:hAnsi="Arial Narrow"/>
                <w:b/>
                <w:sz w:val="20"/>
              </w:rPr>
              <w:t>-2.3% (-3.0%, -1.6%)</w:t>
            </w:r>
          </w:p>
        </w:tc>
      </w:tr>
    </w:tbl>
    <w:p w:rsidR="0054392A" w:rsidRPr="0049764D" w:rsidRDefault="0054392A" w:rsidP="0096683E">
      <w:pPr>
        <w:pStyle w:val="TableFooter"/>
        <w:keepNext/>
        <w:keepLines/>
        <w:ind w:left="709"/>
      </w:pPr>
      <w:r w:rsidRPr="0049764D">
        <w:t>Source: Table</w:t>
      </w:r>
      <w:r w:rsidR="00C931AB" w:rsidRPr="0049764D">
        <w:t>s 44-</w:t>
      </w:r>
      <w:r w:rsidRPr="0049764D">
        <w:t xml:space="preserve"> 45, p</w:t>
      </w:r>
      <w:r w:rsidR="00C931AB" w:rsidRPr="0049764D">
        <w:t>p</w:t>
      </w:r>
      <w:r w:rsidRPr="0049764D">
        <w:t>12</w:t>
      </w:r>
      <w:r w:rsidR="00C931AB" w:rsidRPr="0049764D">
        <w:t>5-12</w:t>
      </w:r>
      <w:r w:rsidRPr="0049764D">
        <w:t>6 of the submission</w:t>
      </w:r>
      <w:r w:rsidRPr="0049764D">
        <w:tab/>
      </w:r>
    </w:p>
    <w:p w:rsidR="00B60939" w:rsidRPr="0049764D" w:rsidRDefault="0054392A" w:rsidP="0054392A">
      <w:pPr>
        <w:pStyle w:val="TableFooter"/>
        <w:ind w:left="709"/>
      </w:pPr>
      <w:r w:rsidRPr="0049764D">
        <w:t>AE = adverse event; CI = confidence interval</w:t>
      </w:r>
      <w:r w:rsidR="0060305C" w:rsidRPr="0049764D">
        <w:t>; RD = risk difference</w:t>
      </w:r>
    </w:p>
    <w:p w:rsidR="00A6699D" w:rsidRPr="0049764D" w:rsidRDefault="00A6699D" w:rsidP="00A6699D">
      <w:pPr>
        <w:pStyle w:val="ListParagraph"/>
        <w:widowControl/>
      </w:pPr>
    </w:p>
    <w:p w:rsidR="0055579B" w:rsidRPr="0049764D" w:rsidRDefault="00C931AB" w:rsidP="001611C7">
      <w:pPr>
        <w:pStyle w:val="ListParagraph"/>
        <w:widowControl/>
        <w:numPr>
          <w:ilvl w:val="1"/>
          <w:numId w:val="2"/>
        </w:numPr>
      </w:pPr>
      <w:r w:rsidRPr="0049764D">
        <w:t xml:space="preserve">There were more serious adverse events in the enalapril arm than the sacubitril/valsartan arm. </w:t>
      </w:r>
      <w:r w:rsidR="0055579B" w:rsidRPr="0049764D">
        <w:t xml:space="preserve">However, the </w:t>
      </w:r>
      <w:r w:rsidR="00CD68A8" w:rsidRPr="0049764D">
        <w:t xml:space="preserve">run-in phase was longer for </w:t>
      </w:r>
      <w:r w:rsidR="0055579B" w:rsidRPr="0049764D">
        <w:t xml:space="preserve">sacubitril/valsartan than </w:t>
      </w:r>
      <w:r w:rsidR="00CD68A8" w:rsidRPr="0049764D">
        <w:t xml:space="preserve">for </w:t>
      </w:r>
      <w:r w:rsidR="0055579B" w:rsidRPr="0049764D">
        <w:t>enalapril, so patients had to tolerate sacubitril/valsartan for longer</w:t>
      </w:r>
      <w:r w:rsidR="00AC3402" w:rsidRPr="0049764D">
        <w:t xml:space="preserve"> prior to entering the double-blind phase</w:t>
      </w:r>
      <w:r w:rsidR="0055579B" w:rsidRPr="0049764D">
        <w:t xml:space="preserve">. </w:t>
      </w:r>
    </w:p>
    <w:p w:rsidR="0055579B" w:rsidRPr="0049764D" w:rsidRDefault="0055579B" w:rsidP="0055579B">
      <w:pPr>
        <w:pStyle w:val="ListParagraph"/>
        <w:widowControl/>
      </w:pPr>
    </w:p>
    <w:p w:rsidR="0040139C" w:rsidRDefault="00A6699D" w:rsidP="0054392A">
      <w:pPr>
        <w:pStyle w:val="ListParagraph"/>
        <w:widowControl/>
        <w:numPr>
          <w:ilvl w:val="1"/>
          <w:numId w:val="2"/>
        </w:numPr>
      </w:pPr>
      <w:r w:rsidRPr="0049764D">
        <w:t xml:space="preserve">The comparative safety of sacubitril/valsartan versus enalapril in a population who have not completed a run-in </w:t>
      </w:r>
      <w:r w:rsidR="00FF754D" w:rsidRPr="0049764D">
        <w:t xml:space="preserve">phase </w:t>
      </w:r>
      <w:r w:rsidRPr="0049764D">
        <w:t xml:space="preserve">is unknown. </w:t>
      </w:r>
    </w:p>
    <w:p w:rsidR="0040139C" w:rsidRPr="0049764D" w:rsidRDefault="0040139C" w:rsidP="0054392A"/>
    <w:p w:rsidR="007F1017" w:rsidRPr="0049764D" w:rsidRDefault="007F1017" w:rsidP="00596095">
      <w:pPr>
        <w:widowControl/>
        <w:jc w:val="left"/>
        <w:rPr>
          <w:b/>
          <w:i/>
        </w:rPr>
      </w:pPr>
      <w:bookmarkStart w:id="10" w:name="_Toc440894570"/>
      <w:r w:rsidRPr="0049764D">
        <w:rPr>
          <w:b/>
          <w:i/>
        </w:rPr>
        <w:t>Benefits/harms</w:t>
      </w:r>
      <w:bookmarkEnd w:id="10"/>
    </w:p>
    <w:p w:rsidR="007F1017" w:rsidRPr="0049764D" w:rsidRDefault="007F1017" w:rsidP="007F1017">
      <w:pPr>
        <w:pStyle w:val="ListParagraph"/>
        <w:ind w:left="0"/>
        <w:rPr>
          <w:szCs w:val="22"/>
        </w:rPr>
      </w:pPr>
    </w:p>
    <w:p w:rsidR="00EC00C9" w:rsidRPr="0049764D" w:rsidRDefault="00EC00C9" w:rsidP="001611C7">
      <w:pPr>
        <w:pStyle w:val="ListParagraph"/>
        <w:widowControl/>
        <w:numPr>
          <w:ilvl w:val="1"/>
          <w:numId w:val="2"/>
        </w:numPr>
        <w:rPr>
          <w:szCs w:val="22"/>
        </w:rPr>
      </w:pPr>
      <w:r w:rsidRPr="0049764D">
        <w:rPr>
          <w:szCs w:val="22"/>
        </w:rPr>
        <w:t xml:space="preserve">A summary of the comparative benefits and harms for </w:t>
      </w:r>
      <w:r w:rsidR="00532DF1" w:rsidRPr="0049764D">
        <w:rPr>
          <w:szCs w:val="22"/>
        </w:rPr>
        <w:t xml:space="preserve">sacubitril/valsartan </w:t>
      </w:r>
      <w:r w:rsidRPr="0049764D">
        <w:rPr>
          <w:szCs w:val="22"/>
        </w:rPr>
        <w:t xml:space="preserve">versus </w:t>
      </w:r>
      <w:r w:rsidR="00532DF1" w:rsidRPr="0049764D">
        <w:rPr>
          <w:szCs w:val="22"/>
        </w:rPr>
        <w:t>enalapril</w:t>
      </w:r>
      <w:r w:rsidRPr="0049764D">
        <w:rPr>
          <w:szCs w:val="22"/>
        </w:rPr>
        <w:t xml:space="preserve"> is presented in the table below.</w:t>
      </w:r>
      <w:r w:rsidR="00410708" w:rsidRPr="0049764D">
        <w:rPr>
          <w:szCs w:val="22"/>
        </w:rPr>
        <w:t xml:space="preserve"> </w:t>
      </w:r>
    </w:p>
    <w:p w:rsidR="00162913" w:rsidRPr="0049764D" w:rsidRDefault="00162913" w:rsidP="004B1CB4"/>
    <w:p w:rsidR="008F5DCA" w:rsidRDefault="008F5DCA">
      <w:pPr>
        <w:widowControl/>
        <w:jc w:val="left"/>
        <w:rPr>
          <w:rStyle w:val="CommentReference"/>
        </w:rPr>
      </w:pPr>
      <w:r>
        <w:rPr>
          <w:rStyle w:val="CommentReference"/>
        </w:rPr>
        <w:br w:type="page"/>
      </w:r>
    </w:p>
    <w:p w:rsidR="00B62715" w:rsidRPr="0049764D" w:rsidRDefault="00B62715" w:rsidP="00137E5A">
      <w:pPr>
        <w:keepNext/>
        <w:keepLines/>
        <w:widowControl/>
        <w:ind w:left="709" w:firstLine="11"/>
        <w:rPr>
          <w:rStyle w:val="CommentReference"/>
        </w:rPr>
      </w:pPr>
      <w:r w:rsidRPr="0049764D">
        <w:rPr>
          <w:rStyle w:val="CommentReference"/>
        </w:rPr>
        <w:t xml:space="preserve">Table </w:t>
      </w:r>
      <w:r w:rsidR="00885794" w:rsidRPr="0049764D">
        <w:rPr>
          <w:rStyle w:val="CommentReference"/>
        </w:rPr>
        <w:t>7</w:t>
      </w:r>
      <w:r w:rsidRPr="0049764D">
        <w:rPr>
          <w:rStyle w:val="CommentReference"/>
        </w:rPr>
        <w:t xml:space="preserve">: Summary of comparative benefits and harms for </w:t>
      </w:r>
      <w:r w:rsidR="007522DC" w:rsidRPr="0049764D">
        <w:rPr>
          <w:rStyle w:val="CommentReference"/>
        </w:rPr>
        <w:t>sacubitril/valsartan versus enalapril</w:t>
      </w:r>
      <w:r w:rsidR="00EC604E" w:rsidRPr="0049764D">
        <w:rPr>
          <w:rStyle w:val="CommentReference"/>
        </w:rPr>
        <w:t xml:space="preserve">: (randomised </w:t>
      </w:r>
      <w:r w:rsidR="00FF754D" w:rsidRPr="0049764D">
        <w:rPr>
          <w:rStyle w:val="CommentReference"/>
        </w:rPr>
        <w:t>phase</w:t>
      </w:r>
      <w:r w:rsidR="001D0CB5" w:rsidRPr="0049764D">
        <w:rPr>
          <w:rStyle w:val="CommentReference"/>
        </w:rPr>
        <w:t>)</w:t>
      </w:r>
    </w:p>
    <w:tbl>
      <w:tblPr>
        <w:tblStyle w:val="TableGrid"/>
        <w:tblW w:w="4700" w:type="pct"/>
        <w:tblInd w:w="698" w:type="dxa"/>
        <w:tblLayout w:type="fixed"/>
        <w:tblCellMar>
          <w:left w:w="28" w:type="dxa"/>
          <w:right w:w="28" w:type="dxa"/>
        </w:tblCellMar>
        <w:tblLook w:val="04A0" w:firstRow="1" w:lastRow="0" w:firstColumn="1" w:lastColumn="0" w:noHBand="0" w:noVBand="1"/>
        <w:tblCaption w:val="Table 7: Summary of comparative benefits and harms for sacubitril/valsartan versus enalapril: (randomised phase)"/>
      </w:tblPr>
      <w:tblGrid>
        <w:gridCol w:w="1456"/>
        <w:gridCol w:w="1134"/>
        <w:gridCol w:w="1134"/>
        <w:gridCol w:w="1450"/>
        <w:gridCol w:w="1084"/>
        <w:gridCol w:w="56"/>
        <w:gridCol w:w="955"/>
        <w:gridCol w:w="128"/>
        <w:gridCol w:w="1141"/>
      </w:tblGrid>
      <w:tr w:rsidR="00552BD3" w:rsidRPr="0049764D" w:rsidTr="00CB1E7B">
        <w:trPr>
          <w:trHeight w:val="150"/>
          <w:tblHeader/>
        </w:trPr>
        <w:tc>
          <w:tcPr>
            <w:tcW w:w="853" w:type="pct"/>
            <w:vMerge w:val="restart"/>
            <w:shd w:val="clear" w:color="auto" w:fill="auto"/>
            <w:vAlign w:val="center"/>
          </w:tcPr>
          <w:p w:rsidR="00B62715" w:rsidRPr="0049764D" w:rsidRDefault="007522DC" w:rsidP="00137E5A">
            <w:pPr>
              <w:keepNext/>
              <w:keepLines/>
              <w:widowControl/>
              <w:rPr>
                <w:rFonts w:ascii="Arial Narrow" w:hAnsi="Arial Narrow"/>
                <w:b/>
                <w:color w:val="000000"/>
                <w:sz w:val="20"/>
                <w:szCs w:val="18"/>
              </w:rPr>
            </w:pPr>
            <w:r w:rsidRPr="0049764D">
              <w:rPr>
                <w:rFonts w:ascii="Arial Narrow" w:hAnsi="Arial Narrow"/>
                <w:b/>
                <w:color w:val="000000"/>
                <w:sz w:val="20"/>
                <w:szCs w:val="18"/>
              </w:rPr>
              <w:t xml:space="preserve">PARADIGM-HF </w:t>
            </w:r>
          </w:p>
        </w:tc>
        <w:tc>
          <w:tcPr>
            <w:tcW w:w="664" w:type="pct"/>
            <w:vMerge w:val="restart"/>
            <w:vAlign w:val="center"/>
          </w:tcPr>
          <w:p w:rsidR="00B62715" w:rsidRPr="0049764D" w:rsidRDefault="007522DC" w:rsidP="00137E5A">
            <w:pPr>
              <w:keepNext/>
              <w:keepLines/>
              <w:widowControl/>
              <w:jc w:val="center"/>
              <w:rPr>
                <w:rFonts w:ascii="Arial Narrow" w:hAnsi="Arial Narrow"/>
                <w:b/>
                <w:color w:val="000000"/>
                <w:sz w:val="20"/>
                <w:szCs w:val="18"/>
              </w:rPr>
            </w:pPr>
            <w:r w:rsidRPr="0049764D">
              <w:rPr>
                <w:rFonts w:ascii="Arial Narrow" w:hAnsi="Arial Narrow"/>
                <w:b/>
                <w:color w:val="000000"/>
                <w:sz w:val="20"/>
                <w:szCs w:val="18"/>
              </w:rPr>
              <w:t>Sacu</w:t>
            </w:r>
            <w:r w:rsidR="00846912" w:rsidRPr="0049764D">
              <w:rPr>
                <w:rFonts w:ascii="Arial Narrow" w:hAnsi="Arial Narrow"/>
                <w:b/>
                <w:color w:val="000000"/>
                <w:sz w:val="20"/>
                <w:szCs w:val="18"/>
              </w:rPr>
              <w:t>bit</w:t>
            </w:r>
            <w:r w:rsidRPr="0049764D">
              <w:rPr>
                <w:rFonts w:ascii="Arial Narrow" w:hAnsi="Arial Narrow"/>
                <w:b/>
                <w:color w:val="000000"/>
                <w:sz w:val="20"/>
                <w:szCs w:val="18"/>
              </w:rPr>
              <w:t xml:space="preserve">/ val </w:t>
            </w:r>
          </w:p>
        </w:tc>
        <w:tc>
          <w:tcPr>
            <w:tcW w:w="664" w:type="pct"/>
            <w:vMerge w:val="restart"/>
            <w:vAlign w:val="center"/>
          </w:tcPr>
          <w:p w:rsidR="00B62715" w:rsidRPr="0049764D" w:rsidRDefault="007522DC" w:rsidP="00137E5A">
            <w:pPr>
              <w:keepNext/>
              <w:keepLines/>
              <w:widowControl/>
              <w:jc w:val="center"/>
              <w:rPr>
                <w:rFonts w:ascii="Arial Narrow" w:hAnsi="Arial Narrow"/>
                <w:b/>
                <w:color w:val="000000"/>
                <w:sz w:val="20"/>
                <w:szCs w:val="18"/>
              </w:rPr>
            </w:pPr>
            <w:r w:rsidRPr="0049764D">
              <w:rPr>
                <w:rFonts w:ascii="Arial Narrow" w:hAnsi="Arial Narrow"/>
                <w:b/>
                <w:color w:val="000000"/>
                <w:sz w:val="20"/>
                <w:szCs w:val="18"/>
              </w:rPr>
              <w:t>Enalapril</w:t>
            </w:r>
          </w:p>
        </w:tc>
        <w:tc>
          <w:tcPr>
            <w:tcW w:w="849" w:type="pct"/>
            <w:vMerge w:val="restart"/>
            <w:vAlign w:val="center"/>
          </w:tcPr>
          <w:p w:rsidR="00B62715" w:rsidRPr="0049764D" w:rsidRDefault="007522DC" w:rsidP="00137E5A">
            <w:pPr>
              <w:keepNext/>
              <w:keepLines/>
              <w:widowControl/>
              <w:jc w:val="center"/>
              <w:rPr>
                <w:rFonts w:ascii="Arial Narrow" w:hAnsi="Arial Narrow"/>
                <w:b/>
                <w:color w:val="000000"/>
                <w:sz w:val="20"/>
                <w:szCs w:val="18"/>
              </w:rPr>
            </w:pPr>
            <w:r w:rsidRPr="0049764D">
              <w:rPr>
                <w:rFonts w:ascii="Arial Narrow" w:hAnsi="Arial Narrow"/>
                <w:b/>
                <w:color w:val="000000"/>
                <w:sz w:val="20"/>
                <w:szCs w:val="18"/>
              </w:rPr>
              <w:t>H</w:t>
            </w:r>
            <w:r w:rsidR="00B62715" w:rsidRPr="0049764D">
              <w:rPr>
                <w:rFonts w:ascii="Arial Narrow" w:hAnsi="Arial Narrow"/>
                <w:b/>
                <w:color w:val="000000"/>
                <w:sz w:val="20"/>
                <w:szCs w:val="18"/>
              </w:rPr>
              <w:t>R</w:t>
            </w:r>
          </w:p>
          <w:p w:rsidR="00B62715" w:rsidRPr="0049764D" w:rsidRDefault="00B62715" w:rsidP="00137E5A">
            <w:pPr>
              <w:keepNext/>
              <w:keepLines/>
              <w:widowControl/>
              <w:jc w:val="center"/>
              <w:rPr>
                <w:rFonts w:ascii="Arial Narrow" w:hAnsi="Arial Narrow"/>
                <w:b/>
                <w:color w:val="000000"/>
                <w:sz w:val="20"/>
                <w:szCs w:val="18"/>
              </w:rPr>
            </w:pPr>
            <w:r w:rsidRPr="0049764D">
              <w:rPr>
                <w:rFonts w:ascii="Arial Narrow" w:hAnsi="Arial Narrow"/>
                <w:b/>
                <w:color w:val="000000"/>
                <w:sz w:val="20"/>
                <w:szCs w:val="18"/>
              </w:rPr>
              <w:t>(95% CI)</w:t>
            </w:r>
          </w:p>
        </w:tc>
        <w:tc>
          <w:tcPr>
            <w:tcW w:w="1226" w:type="pct"/>
            <w:gridSpan w:val="3"/>
            <w:vAlign w:val="center"/>
          </w:tcPr>
          <w:p w:rsidR="00B62715" w:rsidRPr="0049764D" w:rsidRDefault="00B62715" w:rsidP="00137E5A">
            <w:pPr>
              <w:keepNext/>
              <w:keepLines/>
              <w:widowControl/>
              <w:jc w:val="center"/>
              <w:rPr>
                <w:rFonts w:ascii="Arial Narrow" w:hAnsi="Arial Narrow"/>
                <w:b/>
                <w:color w:val="000000"/>
                <w:sz w:val="20"/>
                <w:szCs w:val="18"/>
              </w:rPr>
            </w:pPr>
            <w:r w:rsidRPr="0049764D">
              <w:rPr>
                <w:rFonts w:ascii="Arial Narrow" w:hAnsi="Arial Narrow"/>
                <w:b/>
                <w:color w:val="000000"/>
                <w:sz w:val="20"/>
                <w:szCs w:val="18"/>
              </w:rPr>
              <w:t xml:space="preserve">Event rate/100 </w:t>
            </w:r>
            <w:r w:rsidR="00E702DA" w:rsidRPr="0049764D">
              <w:rPr>
                <w:rFonts w:ascii="Arial Narrow" w:hAnsi="Arial Narrow"/>
                <w:b/>
                <w:color w:val="000000"/>
                <w:sz w:val="20"/>
                <w:szCs w:val="18"/>
              </w:rPr>
              <w:t>patients</w:t>
            </w:r>
            <w:r w:rsidR="00565632" w:rsidRPr="0049764D">
              <w:rPr>
                <w:rFonts w:ascii="Arial Narrow" w:hAnsi="Arial Narrow"/>
                <w:b/>
                <w:color w:val="000000"/>
                <w:sz w:val="20"/>
                <w:szCs w:val="18"/>
              </w:rPr>
              <w:t xml:space="preserve"> </w:t>
            </w:r>
            <w:r w:rsidR="00565632" w:rsidRPr="0049764D">
              <w:rPr>
                <w:rFonts w:ascii="Arial Narrow" w:hAnsi="Arial Narrow"/>
                <w:b/>
                <w:color w:val="000000"/>
                <w:sz w:val="20"/>
                <w:szCs w:val="18"/>
                <w:vertAlign w:val="superscript"/>
              </w:rPr>
              <w:t>a</w:t>
            </w:r>
            <w:r w:rsidR="00565632" w:rsidRPr="0049764D">
              <w:rPr>
                <w:rFonts w:ascii="Arial Narrow" w:hAnsi="Arial Narrow"/>
                <w:b/>
                <w:color w:val="000000"/>
                <w:sz w:val="20"/>
                <w:szCs w:val="18"/>
              </w:rPr>
              <w:t xml:space="preserve"> </w:t>
            </w:r>
          </w:p>
        </w:tc>
        <w:tc>
          <w:tcPr>
            <w:tcW w:w="743" w:type="pct"/>
            <w:gridSpan w:val="2"/>
            <w:vMerge w:val="restart"/>
            <w:vAlign w:val="center"/>
          </w:tcPr>
          <w:p w:rsidR="00B62715" w:rsidRPr="0049764D" w:rsidRDefault="00565632" w:rsidP="00137E5A">
            <w:pPr>
              <w:keepNext/>
              <w:keepLines/>
              <w:widowControl/>
              <w:jc w:val="center"/>
              <w:rPr>
                <w:rFonts w:ascii="Arial Narrow" w:hAnsi="Arial Narrow"/>
                <w:b/>
                <w:color w:val="000000"/>
                <w:sz w:val="20"/>
                <w:szCs w:val="18"/>
              </w:rPr>
            </w:pPr>
            <w:r w:rsidRPr="0049764D">
              <w:rPr>
                <w:rFonts w:ascii="Arial Narrow" w:hAnsi="Arial Narrow"/>
                <w:b/>
                <w:color w:val="000000"/>
                <w:sz w:val="20"/>
                <w:szCs w:val="18"/>
              </w:rPr>
              <w:t>RD</w:t>
            </w:r>
          </w:p>
          <w:p w:rsidR="00B62715" w:rsidRPr="0049764D" w:rsidRDefault="00B62715" w:rsidP="00137E5A">
            <w:pPr>
              <w:keepNext/>
              <w:keepLines/>
              <w:widowControl/>
              <w:jc w:val="center"/>
              <w:rPr>
                <w:rFonts w:ascii="Arial Narrow" w:hAnsi="Arial Narrow"/>
                <w:b/>
                <w:color w:val="000000"/>
                <w:sz w:val="20"/>
                <w:szCs w:val="18"/>
              </w:rPr>
            </w:pPr>
            <w:r w:rsidRPr="0049764D">
              <w:rPr>
                <w:rFonts w:ascii="Arial Narrow" w:hAnsi="Arial Narrow"/>
                <w:b/>
                <w:color w:val="000000"/>
                <w:sz w:val="20"/>
                <w:szCs w:val="18"/>
              </w:rPr>
              <w:t>(95% CI)</w:t>
            </w:r>
          </w:p>
        </w:tc>
      </w:tr>
      <w:tr w:rsidR="007522DC" w:rsidRPr="0049764D" w:rsidTr="00CB1E7B">
        <w:trPr>
          <w:trHeight w:val="315"/>
          <w:tblHeader/>
        </w:trPr>
        <w:tc>
          <w:tcPr>
            <w:tcW w:w="853" w:type="pct"/>
            <w:vMerge/>
            <w:shd w:val="clear" w:color="auto" w:fill="auto"/>
            <w:vAlign w:val="center"/>
          </w:tcPr>
          <w:p w:rsidR="007522DC" w:rsidRPr="0049764D" w:rsidRDefault="007522DC" w:rsidP="00137E5A">
            <w:pPr>
              <w:keepNext/>
              <w:keepLines/>
              <w:widowControl/>
              <w:rPr>
                <w:rFonts w:ascii="Arial Narrow" w:hAnsi="Arial Narrow"/>
                <w:b/>
                <w:color w:val="000000"/>
                <w:sz w:val="20"/>
                <w:szCs w:val="18"/>
              </w:rPr>
            </w:pPr>
          </w:p>
        </w:tc>
        <w:tc>
          <w:tcPr>
            <w:tcW w:w="664" w:type="pct"/>
            <w:vMerge/>
            <w:vAlign w:val="center"/>
          </w:tcPr>
          <w:p w:rsidR="007522DC" w:rsidRPr="0049764D" w:rsidRDefault="007522DC" w:rsidP="00137E5A">
            <w:pPr>
              <w:keepNext/>
              <w:keepLines/>
              <w:widowControl/>
              <w:jc w:val="center"/>
              <w:rPr>
                <w:rFonts w:ascii="Arial Narrow" w:hAnsi="Arial Narrow"/>
                <w:b/>
                <w:color w:val="000000"/>
                <w:sz w:val="20"/>
                <w:szCs w:val="18"/>
              </w:rPr>
            </w:pPr>
          </w:p>
        </w:tc>
        <w:tc>
          <w:tcPr>
            <w:tcW w:w="664" w:type="pct"/>
            <w:vMerge/>
            <w:vAlign w:val="center"/>
          </w:tcPr>
          <w:p w:rsidR="007522DC" w:rsidRPr="0049764D" w:rsidRDefault="007522DC" w:rsidP="00137E5A">
            <w:pPr>
              <w:keepNext/>
              <w:keepLines/>
              <w:widowControl/>
              <w:jc w:val="center"/>
              <w:rPr>
                <w:rFonts w:ascii="Arial Narrow" w:hAnsi="Arial Narrow"/>
                <w:b/>
                <w:color w:val="000000"/>
                <w:sz w:val="20"/>
                <w:szCs w:val="18"/>
              </w:rPr>
            </w:pPr>
          </w:p>
        </w:tc>
        <w:tc>
          <w:tcPr>
            <w:tcW w:w="849" w:type="pct"/>
            <w:vMerge/>
            <w:vAlign w:val="center"/>
          </w:tcPr>
          <w:p w:rsidR="007522DC" w:rsidRPr="0049764D" w:rsidRDefault="007522DC" w:rsidP="00137E5A">
            <w:pPr>
              <w:keepNext/>
              <w:keepLines/>
              <w:widowControl/>
              <w:jc w:val="center"/>
              <w:rPr>
                <w:rFonts w:ascii="Arial Narrow" w:hAnsi="Arial Narrow"/>
                <w:b/>
                <w:color w:val="000000"/>
                <w:sz w:val="20"/>
                <w:szCs w:val="18"/>
              </w:rPr>
            </w:pPr>
          </w:p>
        </w:tc>
        <w:tc>
          <w:tcPr>
            <w:tcW w:w="635" w:type="pct"/>
            <w:vAlign w:val="center"/>
          </w:tcPr>
          <w:p w:rsidR="007522DC" w:rsidRPr="0049764D" w:rsidRDefault="00846912" w:rsidP="00137E5A">
            <w:pPr>
              <w:keepNext/>
              <w:keepLines/>
              <w:widowControl/>
              <w:jc w:val="center"/>
              <w:rPr>
                <w:rFonts w:ascii="Arial Narrow" w:hAnsi="Arial Narrow"/>
                <w:b/>
                <w:color w:val="000000"/>
                <w:sz w:val="20"/>
                <w:szCs w:val="18"/>
              </w:rPr>
            </w:pPr>
            <w:r w:rsidRPr="0049764D">
              <w:rPr>
                <w:rFonts w:ascii="Arial Narrow" w:hAnsi="Arial Narrow"/>
                <w:b/>
                <w:color w:val="000000"/>
                <w:sz w:val="20"/>
                <w:szCs w:val="18"/>
              </w:rPr>
              <w:t>Sacubit/ val</w:t>
            </w:r>
          </w:p>
        </w:tc>
        <w:tc>
          <w:tcPr>
            <w:tcW w:w="592" w:type="pct"/>
            <w:gridSpan w:val="2"/>
            <w:vAlign w:val="center"/>
          </w:tcPr>
          <w:p w:rsidR="007522DC" w:rsidRPr="0049764D" w:rsidRDefault="007522DC" w:rsidP="00137E5A">
            <w:pPr>
              <w:keepNext/>
              <w:keepLines/>
              <w:widowControl/>
              <w:jc w:val="center"/>
              <w:rPr>
                <w:rFonts w:ascii="Arial Narrow" w:hAnsi="Arial Narrow"/>
                <w:b/>
                <w:color w:val="000000"/>
                <w:sz w:val="20"/>
                <w:szCs w:val="18"/>
              </w:rPr>
            </w:pPr>
            <w:r w:rsidRPr="0049764D">
              <w:rPr>
                <w:rFonts w:ascii="Arial Narrow" w:hAnsi="Arial Narrow"/>
                <w:b/>
                <w:color w:val="000000"/>
                <w:sz w:val="20"/>
                <w:szCs w:val="18"/>
              </w:rPr>
              <w:t>Enalapril</w:t>
            </w:r>
          </w:p>
        </w:tc>
        <w:tc>
          <w:tcPr>
            <w:tcW w:w="743" w:type="pct"/>
            <w:gridSpan w:val="2"/>
            <w:vMerge/>
            <w:vAlign w:val="center"/>
          </w:tcPr>
          <w:p w:rsidR="007522DC" w:rsidRPr="0049764D" w:rsidRDefault="007522DC" w:rsidP="00137E5A">
            <w:pPr>
              <w:keepNext/>
              <w:keepLines/>
              <w:widowControl/>
              <w:jc w:val="center"/>
              <w:rPr>
                <w:rFonts w:ascii="Arial Narrow" w:hAnsi="Arial Narrow"/>
                <w:b/>
                <w:color w:val="000000"/>
                <w:sz w:val="20"/>
                <w:szCs w:val="18"/>
              </w:rPr>
            </w:pPr>
          </w:p>
        </w:tc>
      </w:tr>
      <w:tr w:rsidR="00B62715" w:rsidRPr="0049764D" w:rsidTr="00CE4293">
        <w:tc>
          <w:tcPr>
            <w:tcW w:w="5000" w:type="pct"/>
            <w:gridSpan w:val="9"/>
            <w:shd w:val="clear" w:color="auto" w:fill="auto"/>
            <w:vAlign w:val="center"/>
          </w:tcPr>
          <w:p w:rsidR="00B62715" w:rsidRPr="0049764D" w:rsidRDefault="00B62715" w:rsidP="00137E5A">
            <w:pPr>
              <w:keepNext/>
              <w:keepLines/>
              <w:widowControl/>
              <w:rPr>
                <w:rFonts w:ascii="Arial Narrow" w:hAnsi="Arial Narrow"/>
                <w:b/>
                <w:color w:val="000000"/>
                <w:sz w:val="20"/>
                <w:szCs w:val="18"/>
              </w:rPr>
            </w:pPr>
            <w:r w:rsidRPr="0049764D">
              <w:rPr>
                <w:rFonts w:ascii="Arial Narrow" w:hAnsi="Arial Narrow"/>
                <w:b/>
                <w:color w:val="000000"/>
                <w:sz w:val="20"/>
                <w:szCs w:val="18"/>
              </w:rPr>
              <w:t>Benefits</w:t>
            </w:r>
          </w:p>
        </w:tc>
      </w:tr>
      <w:tr w:rsidR="007522DC" w:rsidRPr="0049764D" w:rsidTr="00CE4293">
        <w:tc>
          <w:tcPr>
            <w:tcW w:w="853" w:type="pct"/>
            <w:shd w:val="clear" w:color="auto" w:fill="auto"/>
            <w:vAlign w:val="center"/>
          </w:tcPr>
          <w:p w:rsidR="007522DC" w:rsidRPr="0049764D" w:rsidRDefault="00532DF1" w:rsidP="00137E5A">
            <w:pPr>
              <w:pStyle w:val="Tabletext"/>
              <w:keepNext/>
              <w:keepLines/>
            </w:pPr>
            <w:r w:rsidRPr="0049764D">
              <w:t xml:space="preserve">Primary composite endpoint </w:t>
            </w:r>
          </w:p>
        </w:tc>
        <w:tc>
          <w:tcPr>
            <w:tcW w:w="664" w:type="pct"/>
            <w:vAlign w:val="center"/>
          </w:tcPr>
          <w:p w:rsidR="007522DC" w:rsidRPr="0049764D" w:rsidRDefault="007522DC" w:rsidP="00A75138">
            <w:pPr>
              <w:pStyle w:val="Tabletext"/>
              <w:keepNext/>
              <w:keepLines/>
              <w:jc w:val="center"/>
            </w:pPr>
            <w:r w:rsidRPr="0049764D">
              <w:t>914</w:t>
            </w:r>
            <w:r w:rsidR="00761EB7" w:rsidRPr="0049764D">
              <w:t>/4,187</w:t>
            </w:r>
          </w:p>
        </w:tc>
        <w:tc>
          <w:tcPr>
            <w:tcW w:w="664" w:type="pct"/>
            <w:vAlign w:val="center"/>
          </w:tcPr>
          <w:p w:rsidR="007522DC" w:rsidRPr="0049764D" w:rsidRDefault="007522DC" w:rsidP="004C6E2A">
            <w:pPr>
              <w:pStyle w:val="Tabletext"/>
              <w:keepNext/>
              <w:keepLines/>
              <w:jc w:val="center"/>
            </w:pPr>
            <w:r w:rsidRPr="0049764D">
              <w:t>1</w:t>
            </w:r>
            <w:r w:rsidR="00F067FD" w:rsidRPr="0049764D">
              <w:t>,</w:t>
            </w:r>
            <w:r w:rsidRPr="0049764D">
              <w:t>117</w:t>
            </w:r>
            <w:r w:rsidR="00565632" w:rsidRPr="0049764D">
              <w:t>/4,212</w:t>
            </w:r>
          </w:p>
        </w:tc>
        <w:tc>
          <w:tcPr>
            <w:tcW w:w="849" w:type="pct"/>
            <w:vAlign w:val="center"/>
          </w:tcPr>
          <w:p w:rsidR="007522DC" w:rsidRPr="0049764D" w:rsidRDefault="007522DC">
            <w:pPr>
              <w:pStyle w:val="Tabletext"/>
              <w:keepNext/>
              <w:keepLines/>
              <w:jc w:val="center"/>
              <w:rPr>
                <w:b/>
              </w:rPr>
            </w:pPr>
            <w:r w:rsidRPr="0049764D">
              <w:rPr>
                <w:b/>
              </w:rPr>
              <w:t>0.80</w:t>
            </w:r>
            <w:r w:rsidR="00846912" w:rsidRPr="0049764D">
              <w:rPr>
                <w:b/>
              </w:rPr>
              <w:t xml:space="preserve"> </w:t>
            </w:r>
            <w:r w:rsidRPr="0049764D">
              <w:rPr>
                <w:b/>
              </w:rPr>
              <w:t>(0.73,0.87)</w:t>
            </w:r>
          </w:p>
        </w:tc>
        <w:tc>
          <w:tcPr>
            <w:tcW w:w="635" w:type="pct"/>
            <w:vAlign w:val="center"/>
          </w:tcPr>
          <w:p w:rsidR="007522DC" w:rsidRPr="0049764D" w:rsidRDefault="00565632" w:rsidP="00137E5A">
            <w:pPr>
              <w:keepNext/>
              <w:keepLines/>
              <w:widowControl/>
              <w:jc w:val="center"/>
              <w:rPr>
                <w:rFonts w:ascii="Arial Narrow" w:hAnsi="Arial Narrow"/>
                <w:color w:val="000000"/>
                <w:sz w:val="20"/>
                <w:szCs w:val="18"/>
              </w:rPr>
            </w:pPr>
            <w:r w:rsidRPr="0049764D">
              <w:rPr>
                <w:rFonts w:ascii="Arial Narrow" w:hAnsi="Arial Narrow"/>
                <w:color w:val="000000"/>
                <w:sz w:val="20"/>
                <w:szCs w:val="18"/>
              </w:rPr>
              <w:t>21.8</w:t>
            </w:r>
          </w:p>
        </w:tc>
        <w:tc>
          <w:tcPr>
            <w:tcW w:w="592" w:type="pct"/>
            <w:gridSpan w:val="2"/>
            <w:vAlign w:val="center"/>
          </w:tcPr>
          <w:p w:rsidR="007522DC" w:rsidRPr="0049764D" w:rsidRDefault="00565632" w:rsidP="00137E5A">
            <w:pPr>
              <w:keepNext/>
              <w:keepLines/>
              <w:widowControl/>
              <w:jc w:val="center"/>
              <w:rPr>
                <w:rFonts w:ascii="Arial Narrow" w:hAnsi="Arial Narrow"/>
                <w:color w:val="000000"/>
                <w:sz w:val="20"/>
                <w:szCs w:val="18"/>
              </w:rPr>
            </w:pPr>
            <w:r w:rsidRPr="0049764D">
              <w:rPr>
                <w:rFonts w:ascii="Arial Narrow" w:hAnsi="Arial Narrow"/>
                <w:color w:val="000000"/>
                <w:sz w:val="20"/>
                <w:szCs w:val="18"/>
              </w:rPr>
              <w:t>26.5</w:t>
            </w:r>
          </w:p>
        </w:tc>
        <w:tc>
          <w:tcPr>
            <w:tcW w:w="743" w:type="pct"/>
            <w:gridSpan w:val="2"/>
            <w:vAlign w:val="center"/>
          </w:tcPr>
          <w:p w:rsidR="007522DC" w:rsidRPr="0049764D" w:rsidRDefault="00565632" w:rsidP="00137E5A">
            <w:pPr>
              <w:pStyle w:val="Tabletext"/>
              <w:keepNext/>
              <w:keepLines/>
              <w:jc w:val="center"/>
              <w:rPr>
                <w:color w:val="000000"/>
                <w:szCs w:val="18"/>
              </w:rPr>
            </w:pPr>
            <w:r w:rsidRPr="0049764D">
              <w:t>NR</w:t>
            </w:r>
          </w:p>
        </w:tc>
      </w:tr>
      <w:tr w:rsidR="00836F05" w:rsidRPr="0049764D" w:rsidTr="00CE4293">
        <w:tc>
          <w:tcPr>
            <w:tcW w:w="853" w:type="pct"/>
            <w:shd w:val="clear" w:color="auto" w:fill="auto"/>
          </w:tcPr>
          <w:p w:rsidR="00836F05" w:rsidRPr="0049764D" w:rsidRDefault="00846912" w:rsidP="00846912">
            <w:pPr>
              <w:pStyle w:val="Tabletext"/>
              <w:ind w:left="153"/>
            </w:pPr>
            <w:r w:rsidRPr="0049764D">
              <w:t>CV</w:t>
            </w:r>
            <w:r w:rsidR="00836F05" w:rsidRPr="0049764D">
              <w:t xml:space="preserve"> death</w:t>
            </w:r>
          </w:p>
        </w:tc>
        <w:tc>
          <w:tcPr>
            <w:tcW w:w="664" w:type="pct"/>
            <w:vAlign w:val="center"/>
          </w:tcPr>
          <w:p w:rsidR="00836F05" w:rsidRPr="0049764D" w:rsidRDefault="00836F05" w:rsidP="00F067FD">
            <w:pPr>
              <w:pStyle w:val="Tabletext"/>
              <w:keepNext/>
              <w:keepLines/>
              <w:jc w:val="center"/>
            </w:pPr>
            <w:r w:rsidRPr="0049764D">
              <w:t>558</w:t>
            </w:r>
            <w:r w:rsidR="00565632" w:rsidRPr="0049764D">
              <w:t>/4,187</w:t>
            </w:r>
          </w:p>
        </w:tc>
        <w:tc>
          <w:tcPr>
            <w:tcW w:w="664" w:type="pct"/>
            <w:vAlign w:val="center"/>
          </w:tcPr>
          <w:p w:rsidR="00836F05" w:rsidRPr="0049764D" w:rsidRDefault="00836F05" w:rsidP="00F067FD">
            <w:pPr>
              <w:pStyle w:val="Tabletext"/>
              <w:keepNext/>
              <w:keepLines/>
              <w:jc w:val="center"/>
            </w:pPr>
            <w:r w:rsidRPr="0049764D">
              <w:t>693</w:t>
            </w:r>
            <w:r w:rsidR="00565632" w:rsidRPr="0049764D">
              <w:t>/4,212</w:t>
            </w:r>
          </w:p>
        </w:tc>
        <w:tc>
          <w:tcPr>
            <w:tcW w:w="849" w:type="pct"/>
            <w:vAlign w:val="center"/>
          </w:tcPr>
          <w:p w:rsidR="00836F05" w:rsidRPr="0049764D" w:rsidRDefault="00836F05" w:rsidP="00846912">
            <w:pPr>
              <w:pStyle w:val="Tabletext"/>
              <w:keepNext/>
              <w:keepLines/>
              <w:jc w:val="center"/>
              <w:rPr>
                <w:b/>
              </w:rPr>
            </w:pPr>
            <w:r w:rsidRPr="0049764D">
              <w:rPr>
                <w:b/>
              </w:rPr>
              <w:t>0.80</w:t>
            </w:r>
            <w:r w:rsidR="00846912" w:rsidRPr="0049764D">
              <w:rPr>
                <w:b/>
              </w:rPr>
              <w:t xml:space="preserve"> </w:t>
            </w:r>
            <w:r w:rsidRPr="0049764D">
              <w:rPr>
                <w:b/>
              </w:rPr>
              <w:t>(0.71, 0.89)</w:t>
            </w:r>
          </w:p>
        </w:tc>
        <w:tc>
          <w:tcPr>
            <w:tcW w:w="635" w:type="pct"/>
            <w:vAlign w:val="center"/>
          </w:tcPr>
          <w:p w:rsidR="00836F05" w:rsidRPr="0049764D" w:rsidRDefault="00565632" w:rsidP="00532DF1">
            <w:pPr>
              <w:jc w:val="center"/>
              <w:rPr>
                <w:rFonts w:ascii="Arial Narrow" w:hAnsi="Arial Narrow"/>
                <w:color w:val="000000"/>
                <w:sz w:val="20"/>
                <w:szCs w:val="18"/>
              </w:rPr>
            </w:pPr>
            <w:r w:rsidRPr="0049764D">
              <w:rPr>
                <w:rFonts w:ascii="Arial Narrow" w:hAnsi="Arial Narrow"/>
                <w:color w:val="000000"/>
                <w:sz w:val="20"/>
                <w:szCs w:val="18"/>
              </w:rPr>
              <w:t>13.3</w:t>
            </w:r>
          </w:p>
        </w:tc>
        <w:tc>
          <w:tcPr>
            <w:tcW w:w="592" w:type="pct"/>
            <w:gridSpan w:val="2"/>
            <w:vAlign w:val="center"/>
          </w:tcPr>
          <w:p w:rsidR="00836F05" w:rsidRPr="0049764D" w:rsidRDefault="00565632" w:rsidP="00532DF1">
            <w:pPr>
              <w:jc w:val="center"/>
              <w:rPr>
                <w:rFonts w:ascii="Arial Narrow" w:hAnsi="Arial Narrow"/>
                <w:color w:val="000000"/>
                <w:sz w:val="20"/>
                <w:szCs w:val="18"/>
              </w:rPr>
            </w:pPr>
            <w:r w:rsidRPr="0049764D">
              <w:rPr>
                <w:rFonts w:ascii="Arial Narrow" w:hAnsi="Arial Narrow"/>
                <w:color w:val="000000"/>
                <w:sz w:val="20"/>
                <w:szCs w:val="18"/>
              </w:rPr>
              <w:t>16.5</w:t>
            </w:r>
          </w:p>
        </w:tc>
        <w:tc>
          <w:tcPr>
            <w:tcW w:w="743" w:type="pct"/>
            <w:gridSpan w:val="2"/>
            <w:vAlign w:val="center"/>
          </w:tcPr>
          <w:p w:rsidR="00836F05" w:rsidRPr="0049764D" w:rsidRDefault="00565632" w:rsidP="00532DF1">
            <w:pPr>
              <w:pStyle w:val="Tabletext"/>
              <w:jc w:val="center"/>
            </w:pPr>
            <w:r w:rsidRPr="0049764D">
              <w:t>NR</w:t>
            </w:r>
          </w:p>
        </w:tc>
      </w:tr>
      <w:tr w:rsidR="00836F05" w:rsidRPr="0049764D" w:rsidTr="00CE4293">
        <w:tc>
          <w:tcPr>
            <w:tcW w:w="853" w:type="pct"/>
            <w:shd w:val="clear" w:color="auto" w:fill="auto"/>
          </w:tcPr>
          <w:p w:rsidR="00836F05" w:rsidRPr="0049764D" w:rsidRDefault="00846912" w:rsidP="00285C7E">
            <w:pPr>
              <w:pStyle w:val="Tabletext"/>
              <w:ind w:left="153"/>
            </w:pPr>
            <w:r w:rsidRPr="0049764D">
              <w:t>First HF</w:t>
            </w:r>
            <w:r w:rsidR="00836F05" w:rsidRPr="0049764D">
              <w:t xml:space="preserve"> hospitalisation</w:t>
            </w:r>
          </w:p>
        </w:tc>
        <w:tc>
          <w:tcPr>
            <w:tcW w:w="664" w:type="pct"/>
            <w:vAlign w:val="center"/>
          </w:tcPr>
          <w:p w:rsidR="00836F05" w:rsidRPr="0049764D" w:rsidRDefault="00836F05" w:rsidP="00F067FD">
            <w:pPr>
              <w:pStyle w:val="Tabletext"/>
              <w:keepNext/>
              <w:keepLines/>
              <w:jc w:val="center"/>
            </w:pPr>
            <w:r w:rsidRPr="0049764D">
              <w:t>537</w:t>
            </w:r>
            <w:r w:rsidR="00565632" w:rsidRPr="0049764D">
              <w:t>/4,187</w:t>
            </w:r>
          </w:p>
        </w:tc>
        <w:tc>
          <w:tcPr>
            <w:tcW w:w="664" w:type="pct"/>
            <w:vAlign w:val="center"/>
          </w:tcPr>
          <w:p w:rsidR="00836F05" w:rsidRPr="0049764D" w:rsidRDefault="00836F05" w:rsidP="00F067FD">
            <w:pPr>
              <w:pStyle w:val="Tabletext"/>
              <w:keepNext/>
              <w:keepLines/>
              <w:jc w:val="center"/>
            </w:pPr>
            <w:r w:rsidRPr="0049764D">
              <w:t>658</w:t>
            </w:r>
            <w:r w:rsidR="00565632" w:rsidRPr="0049764D">
              <w:t>/4,212</w:t>
            </w:r>
          </w:p>
        </w:tc>
        <w:tc>
          <w:tcPr>
            <w:tcW w:w="849" w:type="pct"/>
            <w:vAlign w:val="center"/>
          </w:tcPr>
          <w:p w:rsidR="00836F05" w:rsidRPr="0049764D" w:rsidRDefault="00836F05" w:rsidP="00846912">
            <w:pPr>
              <w:pStyle w:val="Tabletext"/>
              <w:keepNext/>
              <w:keepLines/>
              <w:jc w:val="center"/>
              <w:rPr>
                <w:b/>
              </w:rPr>
            </w:pPr>
            <w:r w:rsidRPr="0049764D">
              <w:rPr>
                <w:b/>
              </w:rPr>
              <w:t>0.79</w:t>
            </w:r>
            <w:r w:rsidR="00846912" w:rsidRPr="0049764D">
              <w:rPr>
                <w:b/>
              </w:rPr>
              <w:t xml:space="preserve"> </w:t>
            </w:r>
            <w:r w:rsidRPr="0049764D">
              <w:rPr>
                <w:b/>
              </w:rPr>
              <w:t>(0.71, 0.89)</w:t>
            </w:r>
          </w:p>
        </w:tc>
        <w:tc>
          <w:tcPr>
            <w:tcW w:w="635" w:type="pct"/>
            <w:vAlign w:val="center"/>
          </w:tcPr>
          <w:p w:rsidR="00836F05" w:rsidRPr="0049764D" w:rsidRDefault="00565632" w:rsidP="00532DF1">
            <w:pPr>
              <w:jc w:val="center"/>
              <w:rPr>
                <w:rFonts w:ascii="Arial Narrow" w:hAnsi="Arial Narrow"/>
                <w:color w:val="000000"/>
                <w:sz w:val="20"/>
                <w:szCs w:val="18"/>
              </w:rPr>
            </w:pPr>
            <w:r w:rsidRPr="0049764D">
              <w:rPr>
                <w:rFonts w:ascii="Arial Narrow" w:hAnsi="Arial Narrow"/>
                <w:color w:val="000000"/>
                <w:sz w:val="20"/>
                <w:szCs w:val="18"/>
              </w:rPr>
              <w:t>12.8</w:t>
            </w:r>
          </w:p>
        </w:tc>
        <w:tc>
          <w:tcPr>
            <w:tcW w:w="592" w:type="pct"/>
            <w:gridSpan w:val="2"/>
            <w:vAlign w:val="center"/>
          </w:tcPr>
          <w:p w:rsidR="00836F05" w:rsidRPr="0049764D" w:rsidRDefault="00565632" w:rsidP="00532DF1">
            <w:pPr>
              <w:jc w:val="center"/>
              <w:rPr>
                <w:rFonts w:ascii="Arial Narrow" w:hAnsi="Arial Narrow"/>
                <w:color w:val="000000"/>
                <w:sz w:val="20"/>
                <w:szCs w:val="18"/>
              </w:rPr>
            </w:pPr>
            <w:r w:rsidRPr="0049764D">
              <w:rPr>
                <w:rFonts w:ascii="Arial Narrow" w:hAnsi="Arial Narrow"/>
                <w:color w:val="000000"/>
                <w:sz w:val="20"/>
                <w:szCs w:val="18"/>
              </w:rPr>
              <w:t>15.6</w:t>
            </w:r>
          </w:p>
        </w:tc>
        <w:tc>
          <w:tcPr>
            <w:tcW w:w="743" w:type="pct"/>
            <w:gridSpan w:val="2"/>
            <w:vAlign w:val="center"/>
          </w:tcPr>
          <w:p w:rsidR="00836F05" w:rsidRPr="0049764D" w:rsidRDefault="00565632" w:rsidP="00532DF1">
            <w:pPr>
              <w:pStyle w:val="Tabletext"/>
              <w:jc w:val="center"/>
            </w:pPr>
            <w:r w:rsidRPr="0049764D">
              <w:t>NR</w:t>
            </w:r>
          </w:p>
        </w:tc>
      </w:tr>
      <w:tr w:rsidR="00B62715" w:rsidRPr="0049764D" w:rsidTr="00CE4293">
        <w:tc>
          <w:tcPr>
            <w:tcW w:w="5000" w:type="pct"/>
            <w:gridSpan w:val="9"/>
            <w:tcBorders>
              <w:top w:val="double" w:sz="4" w:space="0" w:color="auto"/>
            </w:tcBorders>
            <w:shd w:val="clear" w:color="auto" w:fill="auto"/>
            <w:vAlign w:val="center"/>
          </w:tcPr>
          <w:p w:rsidR="00B62715" w:rsidRPr="0049764D" w:rsidRDefault="00B62715" w:rsidP="00137E5A">
            <w:pPr>
              <w:keepNext/>
              <w:widowControl/>
              <w:rPr>
                <w:rFonts w:ascii="Arial Narrow" w:hAnsi="Arial Narrow"/>
                <w:b/>
                <w:color w:val="000000"/>
                <w:sz w:val="20"/>
                <w:szCs w:val="18"/>
                <w:highlight w:val="magenta"/>
              </w:rPr>
            </w:pPr>
            <w:r w:rsidRPr="0049764D">
              <w:rPr>
                <w:rFonts w:ascii="Arial Narrow" w:hAnsi="Arial Narrow"/>
                <w:b/>
                <w:color w:val="000000"/>
                <w:sz w:val="20"/>
                <w:szCs w:val="18"/>
              </w:rPr>
              <w:t xml:space="preserve">Harms </w:t>
            </w:r>
          </w:p>
        </w:tc>
      </w:tr>
      <w:tr w:rsidR="008E07CF" w:rsidRPr="0049764D" w:rsidTr="00CE4293">
        <w:trPr>
          <w:trHeight w:val="70"/>
        </w:trPr>
        <w:tc>
          <w:tcPr>
            <w:tcW w:w="853" w:type="pct"/>
            <w:vMerge w:val="restart"/>
            <w:shd w:val="clear" w:color="auto" w:fill="auto"/>
            <w:vAlign w:val="center"/>
          </w:tcPr>
          <w:p w:rsidR="008E07CF" w:rsidRPr="0049764D" w:rsidRDefault="008E07CF" w:rsidP="00137E5A">
            <w:pPr>
              <w:keepNext/>
              <w:widowControl/>
              <w:rPr>
                <w:rFonts w:ascii="Arial Narrow" w:hAnsi="Arial Narrow"/>
                <w:b/>
                <w:color w:val="000000"/>
                <w:sz w:val="20"/>
                <w:szCs w:val="18"/>
                <w:highlight w:val="magenta"/>
              </w:rPr>
            </w:pPr>
          </w:p>
        </w:tc>
        <w:tc>
          <w:tcPr>
            <w:tcW w:w="664" w:type="pct"/>
            <w:vMerge w:val="restart"/>
            <w:shd w:val="clear" w:color="auto" w:fill="auto"/>
            <w:vAlign w:val="center"/>
          </w:tcPr>
          <w:p w:rsidR="008E07CF" w:rsidRPr="0049764D" w:rsidRDefault="00846912" w:rsidP="00137E5A">
            <w:pPr>
              <w:keepNext/>
              <w:widowControl/>
              <w:jc w:val="center"/>
              <w:rPr>
                <w:rFonts w:ascii="Arial Narrow" w:hAnsi="Arial Narrow"/>
                <w:b/>
                <w:color w:val="000000"/>
                <w:sz w:val="20"/>
                <w:szCs w:val="18"/>
              </w:rPr>
            </w:pPr>
            <w:r w:rsidRPr="0049764D">
              <w:rPr>
                <w:rFonts w:ascii="Arial Narrow" w:hAnsi="Arial Narrow"/>
                <w:b/>
                <w:color w:val="000000"/>
                <w:sz w:val="20"/>
                <w:szCs w:val="18"/>
              </w:rPr>
              <w:t>Sacubit/ val</w:t>
            </w:r>
          </w:p>
        </w:tc>
        <w:tc>
          <w:tcPr>
            <w:tcW w:w="664" w:type="pct"/>
            <w:vMerge w:val="restart"/>
            <w:shd w:val="clear" w:color="auto" w:fill="auto"/>
            <w:vAlign w:val="center"/>
          </w:tcPr>
          <w:p w:rsidR="008E07CF" w:rsidRPr="0049764D" w:rsidRDefault="008E07CF" w:rsidP="00137E5A">
            <w:pPr>
              <w:keepNext/>
              <w:widowControl/>
              <w:jc w:val="center"/>
              <w:rPr>
                <w:rFonts w:ascii="Arial Narrow" w:hAnsi="Arial Narrow"/>
                <w:b/>
                <w:color w:val="000000"/>
                <w:sz w:val="20"/>
                <w:szCs w:val="18"/>
              </w:rPr>
            </w:pPr>
            <w:r w:rsidRPr="0049764D">
              <w:rPr>
                <w:rFonts w:ascii="Arial Narrow" w:hAnsi="Arial Narrow"/>
                <w:b/>
                <w:color w:val="000000"/>
                <w:sz w:val="20"/>
                <w:szCs w:val="18"/>
              </w:rPr>
              <w:t>Enalapril</w:t>
            </w:r>
          </w:p>
        </w:tc>
        <w:tc>
          <w:tcPr>
            <w:tcW w:w="849" w:type="pct"/>
            <w:vMerge w:val="restart"/>
            <w:shd w:val="clear" w:color="auto" w:fill="auto"/>
            <w:vAlign w:val="center"/>
          </w:tcPr>
          <w:p w:rsidR="008E07CF" w:rsidRPr="0049764D" w:rsidRDefault="008E07CF" w:rsidP="00137E5A">
            <w:pPr>
              <w:keepNext/>
              <w:widowControl/>
              <w:jc w:val="center"/>
              <w:rPr>
                <w:rFonts w:ascii="Arial Narrow" w:hAnsi="Arial Narrow"/>
                <w:b/>
                <w:color w:val="000000"/>
                <w:sz w:val="20"/>
                <w:szCs w:val="18"/>
              </w:rPr>
            </w:pPr>
            <w:r w:rsidRPr="0049764D">
              <w:rPr>
                <w:rFonts w:ascii="Arial Narrow" w:hAnsi="Arial Narrow"/>
                <w:b/>
                <w:color w:val="000000"/>
                <w:sz w:val="20"/>
                <w:szCs w:val="18"/>
              </w:rPr>
              <w:t>RR</w:t>
            </w:r>
          </w:p>
          <w:p w:rsidR="008E07CF" w:rsidRPr="0049764D" w:rsidRDefault="008E07CF" w:rsidP="00137E5A">
            <w:pPr>
              <w:keepNext/>
              <w:widowControl/>
              <w:jc w:val="center"/>
              <w:rPr>
                <w:rFonts w:ascii="Arial Narrow" w:hAnsi="Arial Narrow"/>
                <w:b/>
                <w:color w:val="000000"/>
                <w:sz w:val="20"/>
                <w:szCs w:val="18"/>
              </w:rPr>
            </w:pPr>
            <w:r w:rsidRPr="0049764D">
              <w:rPr>
                <w:rFonts w:ascii="Arial Narrow" w:hAnsi="Arial Narrow"/>
                <w:b/>
                <w:color w:val="000000"/>
                <w:sz w:val="20"/>
                <w:szCs w:val="18"/>
              </w:rPr>
              <w:t>(95% CI)</w:t>
            </w:r>
          </w:p>
        </w:tc>
        <w:tc>
          <w:tcPr>
            <w:tcW w:w="1301" w:type="pct"/>
            <w:gridSpan w:val="4"/>
            <w:shd w:val="clear" w:color="auto" w:fill="auto"/>
            <w:vAlign w:val="center"/>
          </w:tcPr>
          <w:p w:rsidR="008E07CF" w:rsidRPr="0049764D" w:rsidRDefault="008E07CF" w:rsidP="00137E5A">
            <w:pPr>
              <w:keepNext/>
              <w:widowControl/>
              <w:jc w:val="center"/>
              <w:rPr>
                <w:rFonts w:ascii="Arial Narrow" w:hAnsi="Arial Narrow"/>
                <w:b/>
                <w:color w:val="000000"/>
                <w:sz w:val="20"/>
                <w:szCs w:val="18"/>
              </w:rPr>
            </w:pPr>
            <w:r w:rsidRPr="0049764D">
              <w:rPr>
                <w:rFonts w:ascii="Arial Narrow" w:hAnsi="Arial Narrow"/>
                <w:b/>
                <w:color w:val="000000"/>
                <w:sz w:val="20"/>
                <w:szCs w:val="18"/>
              </w:rPr>
              <w:t>Event rate/100 patients</w:t>
            </w:r>
            <w:r w:rsidR="00565632" w:rsidRPr="0049764D">
              <w:rPr>
                <w:rFonts w:ascii="Arial Narrow" w:hAnsi="Arial Narrow"/>
                <w:b/>
                <w:color w:val="000000"/>
                <w:sz w:val="20"/>
                <w:szCs w:val="18"/>
              </w:rPr>
              <w:t xml:space="preserve"> </w:t>
            </w:r>
            <w:r w:rsidR="00565632" w:rsidRPr="0049764D">
              <w:rPr>
                <w:rFonts w:ascii="Arial Narrow" w:hAnsi="Arial Narrow"/>
                <w:b/>
                <w:color w:val="000000"/>
                <w:sz w:val="20"/>
                <w:szCs w:val="18"/>
                <w:vertAlign w:val="superscript"/>
              </w:rPr>
              <w:t>a</w:t>
            </w:r>
            <w:r w:rsidR="00565632" w:rsidRPr="0049764D" w:rsidDel="00565632">
              <w:rPr>
                <w:rFonts w:ascii="Arial Narrow" w:hAnsi="Arial Narrow"/>
                <w:b/>
                <w:color w:val="000000"/>
                <w:sz w:val="20"/>
                <w:szCs w:val="18"/>
              </w:rPr>
              <w:t xml:space="preserve"> </w:t>
            </w:r>
            <w:r w:rsidRPr="0049764D">
              <w:rPr>
                <w:rFonts w:ascii="Arial Narrow" w:hAnsi="Arial Narrow"/>
                <w:b/>
                <w:color w:val="000000"/>
                <w:sz w:val="20"/>
                <w:szCs w:val="18"/>
              </w:rPr>
              <w:t xml:space="preserve"> </w:t>
            </w:r>
          </w:p>
        </w:tc>
        <w:tc>
          <w:tcPr>
            <w:tcW w:w="668" w:type="pct"/>
            <w:vMerge w:val="restart"/>
            <w:shd w:val="clear" w:color="auto" w:fill="auto"/>
            <w:vAlign w:val="center"/>
          </w:tcPr>
          <w:p w:rsidR="008E07CF" w:rsidRPr="0049764D" w:rsidRDefault="008E07CF" w:rsidP="00137E5A">
            <w:pPr>
              <w:keepNext/>
              <w:widowControl/>
              <w:jc w:val="center"/>
              <w:rPr>
                <w:rFonts w:ascii="Arial Narrow" w:hAnsi="Arial Narrow"/>
                <w:b/>
                <w:color w:val="000000"/>
                <w:sz w:val="20"/>
                <w:szCs w:val="18"/>
              </w:rPr>
            </w:pPr>
            <w:r w:rsidRPr="0049764D">
              <w:rPr>
                <w:rFonts w:ascii="Arial Narrow" w:hAnsi="Arial Narrow"/>
                <w:b/>
                <w:color w:val="000000"/>
                <w:sz w:val="20"/>
                <w:szCs w:val="18"/>
              </w:rPr>
              <w:t>RD</w:t>
            </w:r>
          </w:p>
          <w:p w:rsidR="008E07CF" w:rsidRPr="0049764D" w:rsidRDefault="008E07CF" w:rsidP="00137E5A">
            <w:pPr>
              <w:keepNext/>
              <w:widowControl/>
              <w:jc w:val="center"/>
              <w:rPr>
                <w:rFonts w:ascii="Arial Narrow" w:hAnsi="Arial Narrow"/>
                <w:b/>
                <w:color w:val="000000"/>
                <w:sz w:val="20"/>
                <w:szCs w:val="18"/>
              </w:rPr>
            </w:pPr>
            <w:r w:rsidRPr="0049764D">
              <w:rPr>
                <w:rFonts w:ascii="Arial Narrow" w:hAnsi="Arial Narrow"/>
                <w:b/>
                <w:color w:val="000000"/>
                <w:sz w:val="20"/>
                <w:szCs w:val="18"/>
              </w:rPr>
              <w:t>(95% CI)</w:t>
            </w:r>
          </w:p>
        </w:tc>
      </w:tr>
      <w:tr w:rsidR="008E07CF" w:rsidRPr="0049764D" w:rsidTr="00CE4293">
        <w:trPr>
          <w:trHeight w:val="203"/>
        </w:trPr>
        <w:tc>
          <w:tcPr>
            <w:tcW w:w="853" w:type="pct"/>
            <w:vMerge/>
            <w:shd w:val="clear" w:color="auto" w:fill="auto"/>
            <w:vAlign w:val="center"/>
          </w:tcPr>
          <w:p w:rsidR="008E07CF" w:rsidRPr="0049764D" w:rsidRDefault="008E07CF" w:rsidP="00137E5A">
            <w:pPr>
              <w:keepNext/>
              <w:widowControl/>
              <w:rPr>
                <w:rFonts w:ascii="Arial Narrow" w:hAnsi="Arial Narrow"/>
                <w:b/>
                <w:color w:val="000000"/>
                <w:sz w:val="20"/>
                <w:szCs w:val="18"/>
                <w:highlight w:val="magenta"/>
              </w:rPr>
            </w:pPr>
          </w:p>
        </w:tc>
        <w:tc>
          <w:tcPr>
            <w:tcW w:w="664" w:type="pct"/>
            <w:vMerge/>
            <w:vAlign w:val="center"/>
          </w:tcPr>
          <w:p w:rsidR="008E07CF" w:rsidRPr="0049764D" w:rsidRDefault="008E07CF" w:rsidP="00137E5A">
            <w:pPr>
              <w:keepNext/>
              <w:widowControl/>
              <w:jc w:val="center"/>
              <w:rPr>
                <w:rFonts w:ascii="Arial Narrow" w:hAnsi="Arial Narrow"/>
                <w:b/>
                <w:color w:val="000000"/>
                <w:sz w:val="20"/>
                <w:szCs w:val="18"/>
                <w:highlight w:val="magenta"/>
              </w:rPr>
            </w:pPr>
          </w:p>
        </w:tc>
        <w:tc>
          <w:tcPr>
            <w:tcW w:w="664" w:type="pct"/>
            <w:vMerge/>
            <w:vAlign w:val="center"/>
          </w:tcPr>
          <w:p w:rsidR="008E07CF" w:rsidRPr="0049764D" w:rsidRDefault="008E07CF" w:rsidP="00137E5A">
            <w:pPr>
              <w:keepNext/>
              <w:widowControl/>
              <w:jc w:val="center"/>
              <w:rPr>
                <w:rFonts w:ascii="Arial Narrow" w:hAnsi="Arial Narrow"/>
                <w:b/>
                <w:color w:val="000000"/>
                <w:sz w:val="20"/>
                <w:szCs w:val="18"/>
                <w:highlight w:val="magenta"/>
              </w:rPr>
            </w:pPr>
          </w:p>
        </w:tc>
        <w:tc>
          <w:tcPr>
            <w:tcW w:w="849" w:type="pct"/>
            <w:vMerge/>
            <w:vAlign w:val="center"/>
          </w:tcPr>
          <w:p w:rsidR="008E07CF" w:rsidRPr="0049764D" w:rsidRDefault="008E07CF" w:rsidP="00137E5A">
            <w:pPr>
              <w:keepNext/>
              <w:widowControl/>
              <w:jc w:val="center"/>
              <w:rPr>
                <w:rFonts w:ascii="Arial Narrow" w:hAnsi="Arial Narrow"/>
                <w:b/>
                <w:color w:val="000000"/>
                <w:sz w:val="20"/>
                <w:szCs w:val="18"/>
                <w:highlight w:val="magenta"/>
              </w:rPr>
            </w:pPr>
          </w:p>
        </w:tc>
        <w:tc>
          <w:tcPr>
            <w:tcW w:w="668" w:type="pct"/>
            <w:gridSpan w:val="2"/>
            <w:vAlign w:val="center"/>
          </w:tcPr>
          <w:p w:rsidR="008E07CF" w:rsidRPr="0049764D" w:rsidRDefault="00846912" w:rsidP="00137E5A">
            <w:pPr>
              <w:keepNext/>
              <w:widowControl/>
              <w:jc w:val="center"/>
              <w:rPr>
                <w:rFonts w:ascii="Arial Narrow" w:hAnsi="Arial Narrow"/>
                <w:b/>
                <w:color w:val="000000"/>
                <w:sz w:val="20"/>
                <w:szCs w:val="18"/>
              </w:rPr>
            </w:pPr>
            <w:r w:rsidRPr="0049764D">
              <w:rPr>
                <w:rFonts w:ascii="Arial Narrow" w:hAnsi="Arial Narrow"/>
                <w:b/>
                <w:color w:val="000000"/>
                <w:sz w:val="20"/>
                <w:szCs w:val="18"/>
              </w:rPr>
              <w:t>Sacubit/ val</w:t>
            </w:r>
          </w:p>
        </w:tc>
        <w:tc>
          <w:tcPr>
            <w:tcW w:w="634" w:type="pct"/>
            <w:gridSpan w:val="2"/>
            <w:vAlign w:val="center"/>
          </w:tcPr>
          <w:p w:rsidR="008E07CF" w:rsidRPr="0049764D" w:rsidRDefault="008E07CF" w:rsidP="00137E5A">
            <w:pPr>
              <w:keepNext/>
              <w:widowControl/>
              <w:jc w:val="center"/>
              <w:rPr>
                <w:rFonts w:ascii="Arial Narrow" w:hAnsi="Arial Narrow"/>
                <w:b/>
                <w:color w:val="000000"/>
                <w:sz w:val="20"/>
                <w:szCs w:val="18"/>
              </w:rPr>
            </w:pPr>
            <w:r w:rsidRPr="0049764D">
              <w:rPr>
                <w:rFonts w:ascii="Arial Narrow" w:hAnsi="Arial Narrow"/>
                <w:b/>
                <w:color w:val="000000"/>
                <w:sz w:val="20"/>
                <w:szCs w:val="18"/>
              </w:rPr>
              <w:t>Enalapril</w:t>
            </w:r>
          </w:p>
        </w:tc>
        <w:tc>
          <w:tcPr>
            <w:tcW w:w="668" w:type="pct"/>
            <w:vMerge/>
            <w:vAlign w:val="center"/>
          </w:tcPr>
          <w:p w:rsidR="008E07CF" w:rsidRPr="0049764D" w:rsidRDefault="008E07CF" w:rsidP="00137E5A">
            <w:pPr>
              <w:keepNext/>
              <w:widowControl/>
              <w:jc w:val="center"/>
              <w:rPr>
                <w:rFonts w:ascii="Arial Narrow" w:hAnsi="Arial Narrow"/>
                <w:b/>
                <w:color w:val="000000"/>
                <w:sz w:val="20"/>
                <w:szCs w:val="18"/>
                <w:highlight w:val="magenta"/>
              </w:rPr>
            </w:pPr>
          </w:p>
        </w:tc>
      </w:tr>
      <w:tr w:rsidR="00B62715" w:rsidRPr="0049764D" w:rsidTr="00CE4293">
        <w:tc>
          <w:tcPr>
            <w:tcW w:w="5000" w:type="pct"/>
            <w:gridSpan w:val="9"/>
            <w:shd w:val="clear" w:color="auto" w:fill="auto"/>
            <w:vAlign w:val="center"/>
          </w:tcPr>
          <w:p w:rsidR="00B62715" w:rsidRPr="0049764D" w:rsidRDefault="008E07CF" w:rsidP="00FF754D">
            <w:pPr>
              <w:keepNext/>
              <w:widowControl/>
              <w:rPr>
                <w:rFonts w:ascii="Arial Narrow" w:hAnsi="Arial Narrow"/>
                <w:b/>
                <w:color w:val="000000"/>
                <w:sz w:val="20"/>
                <w:szCs w:val="18"/>
                <w:highlight w:val="magenta"/>
              </w:rPr>
            </w:pPr>
            <w:r w:rsidRPr="0049764D">
              <w:rPr>
                <w:rFonts w:ascii="Arial Narrow" w:hAnsi="Arial Narrow"/>
                <w:b/>
                <w:color w:val="000000"/>
                <w:sz w:val="20"/>
                <w:szCs w:val="18"/>
              </w:rPr>
              <w:t xml:space="preserve">Adverse event, randomised </w:t>
            </w:r>
            <w:r w:rsidR="00FF754D" w:rsidRPr="0049764D">
              <w:rPr>
                <w:rFonts w:ascii="Arial Narrow" w:hAnsi="Arial Narrow"/>
                <w:b/>
                <w:color w:val="000000"/>
                <w:sz w:val="20"/>
                <w:szCs w:val="18"/>
              </w:rPr>
              <w:t>phase</w:t>
            </w:r>
          </w:p>
        </w:tc>
      </w:tr>
      <w:tr w:rsidR="00A01C23" w:rsidRPr="0049764D" w:rsidTr="00CE4293">
        <w:tc>
          <w:tcPr>
            <w:tcW w:w="853" w:type="pct"/>
            <w:shd w:val="clear" w:color="auto" w:fill="auto"/>
            <w:vAlign w:val="center"/>
          </w:tcPr>
          <w:p w:rsidR="00A01C23" w:rsidRPr="0049764D" w:rsidRDefault="00A01C23" w:rsidP="00137E5A">
            <w:pPr>
              <w:keepNext/>
              <w:widowControl/>
              <w:tabs>
                <w:tab w:val="left" w:pos="150"/>
              </w:tabs>
              <w:jc w:val="left"/>
              <w:rPr>
                <w:rFonts w:ascii="Arial Narrow" w:hAnsi="Arial Narrow"/>
                <w:sz w:val="20"/>
              </w:rPr>
            </w:pPr>
            <w:r w:rsidRPr="0049764D">
              <w:rPr>
                <w:rFonts w:ascii="Arial Narrow" w:hAnsi="Arial Narrow"/>
                <w:sz w:val="20"/>
              </w:rPr>
              <w:t>Any serious AE</w:t>
            </w:r>
          </w:p>
        </w:tc>
        <w:tc>
          <w:tcPr>
            <w:tcW w:w="664" w:type="pct"/>
            <w:vAlign w:val="center"/>
          </w:tcPr>
          <w:p w:rsidR="00A01C23" w:rsidRPr="0049764D" w:rsidRDefault="00A01C23" w:rsidP="00137E5A">
            <w:pPr>
              <w:pStyle w:val="TableFooter"/>
              <w:keepNext/>
              <w:widowControl/>
              <w:rPr>
                <w:sz w:val="20"/>
              </w:rPr>
            </w:pPr>
            <w:r w:rsidRPr="0049764D">
              <w:rPr>
                <w:sz w:val="20"/>
              </w:rPr>
              <w:t>1,937</w:t>
            </w:r>
            <w:r w:rsidR="00565632" w:rsidRPr="0049764D">
              <w:rPr>
                <w:rStyle w:val="TabletextChar"/>
                <w:sz w:val="20"/>
              </w:rPr>
              <w:t>/4,</w:t>
            </w:r>
            <w:r w:rsidR="001D0CB5" w:rsidRPr="0049764D">
              <w:rPr>
                <w:rStyle w:val="TabletextChar"/>
                <w:sz w:val="20"/>
              </w:rPr>
              <w:t>203</w:t>
            </w:r>
          </w:p>
        </w:tc>
        <w:tc>
          <w:tcPr>
            <w:tcW w:w="664" w:type="pct"/>
            <w:vAlign w:val="center"/>
          </w:tcPr>
          <w:p w:rsidR="00A01C23" w:rsidRPr="0049764D" w:rsidRDefault="00A01C23" w:rsidP="00137E5A">
            <w:pPr>
              <w:keepNext/>
              <w:widowControl/>
              <w:jc w:val="center"/>
              <w:rPr>
                <w:rFonts w:ascii="Arial Narrow" w:hAnsi="Arial Narrow"/>
                <w:sz w:val="20"/>
              </w:rPr>
            </w:pPr>
            <w:r w:rsidRPr="0049764D">
              <w:rPr>
                <w:rFonts w:ascii="Arial Narrow" w:hAnsi="Arial Narrow"/>
                <w:sz w:val="20"/>
              </w:rPr>
              <w:t>2,142</w:t>
            </w:r>
            <w:r w:rsidR="00565632" w:rsidRPr="0049764D">
              <w:rPr>
                <w:rFonts w:ascii="Arial Narrow" w:hAnsi="Arial Narrow"/>
                <w:sz w:val="20"/>
              </w:rPr>
              <w:t>/4,22</w:t>
            </w:r>
            <w:r w:rsidR="001D0CB5" w:rsidRPr="0049764D">
              <w:rPr>
                <w:rFonts w:ascii="Arial Narrow" w:hAnsi="Arial Narrow"/>
                <w:sz w:val="20"/>
              </w:rPr>
              <w:t>9</w:t>
            </w:r>
            <w:r w:rsidRPr="0049764D">
              <w:rPr>
                <w:rFonts w:ascii="Arial Narrow" w:hAnsi="Arial Narrow"/>
                <w:sz w:val="20"/>
              </w:rPr>
              <w:t xml:space="preserve"> </w:t>
            </w:r>
          </w:p>
        </w:tc>
        <w:tc>
          <w:tcPr>
            <w:tcW w:w="849" w:type="pct"/>
            <w:vAlign w:val="center"/>
          </w:tcPr>
          <w:p w:rsidR="00A01C23" w:rsidRPr="0049764D" w:rsidRDefault="00A01C23" w:rsidP="00137E5A">
            <w:pPr>
              <w:keepNext/>
              <w:widowControl/>
              <w:jc w:val="center"/>
              <w:rPr>
                <w:rFonts w:ascii="Arial Narrow" w:hAnsi="Arial Narrow"/>
                <w:b/>
                <w:sz w:val="20"/>
              </w:rPr>
            </w:pPr>
            <w:r w:rsidRPr="0049764D">
              <w:rPr>
                <w:rFonts w:ascii="Arial Narrow" w:hAnsi="Arial Narrow"/>
                <w:b/>
                <w:sz w:val="20"/>
              </w:rPr>
              <w:t>0.91 (0.87, 0.95)</w:t>
            </w:r>
          </w:p>
        </w:tc>
        <w:tc>
          <w:tcPr>
            <w:tcW w:w="668" w:type="pct"/>
            <w:gridSpan w:val="2"/>
            <w:vAlign w:val="center"/>
          </w:tcPr>
          <w:p w:rsidR="00A01C23" w:rsidRPr="0049764D" w:rsidRDefault="00A01C23" w:rsidP="00137E5A">
            <w:pPr>
              <w:keepNext/>
              <w:widowControl/>
              <w:jc w:val="center"/>
              <w:rPr>
                <w:rFonts w:ascii="Arial Narrow" w:hAnsi="Arial Narrow"/>
                <w:color w:val="000000"/>
                <w:sz w:val="20"/>
                <w:szCs w:val="18"/>
              </w:rPr>
            </w:pPr>
            <w:r w:rsidRPr="0049764D">
              <w:rPr>
                <w:rFonts w:ascii="Arial Narrow" w:hAnsi="Arial Narrow"/>
                <w:color w:val="000000"/>
                <w:sz w:val="20"/>
                <w:szCs w:val="18"/>
              </w:rPr>
              <w:t>46.1</w:t>
            </w:r>
          </w:p>
        </w:tc>
        <w:tc>
          <w:tcPr>
            <w:tcW w:w="634" w:type="pct"/>
            <w:gridSpan w:val="2"/>
            <w:vAlign w:val="center"/>
          </w:tcPr>
          <w:p w:rsidR="00A01C23" w:rsidRPr="0049764D" w:rsidRDefault="00A01C23" w:rsidP="00137E5A">
            <w:pPr>
              <w:keepNext/>
              <w:widowControl/>
              <w:jc w:val="center"/>
              <w:rPr>
                <w:rFonts w:ascii="Arial Narrow" w:hAnsi="Arial Narrow"/>
                <w:color w:val="000000"/>
                <w:sz w:val="20"/>
                <w:szCs w:val="18"/>
              </w:rPr>
            </w:pPr>
            <w:r w:rsidRPr="0049764D">
              <w:rPr>
                <w:rFonts w:ascii="Arial Narrow" w:hAnsi="Arial Narrow"/>
                <w:color w:val="000000"/>
                <w:sz w:val="20"/>
                <w:szCs w:val="18"/>
              </w:rPr>
              <w:t>50.7</w:t>
            </w:r>
          </w:p>
        </w:tc>
        <w:tc>
          <w:tcPr>
            <w:tcW w:w="668" w:type="pct"/>
            <w:vAlign w:val="center"/>
          </w:tcPr>
          <w:p w:rsidR="00A01C23" w:rsidRPr="0049764D" w:rsidRDefault="00A01C23" w:rsidP="00137E5A">
            <w:pPr>
              <w:keepNext/>
              <w:widowControl/>
              <w:jc w:val="center"/>
              <w:rPr>
                <w:rFonts w:ascii="Arial Narrow" w:hAnsi="Arial Narrow"/>
                <w:b/>
                <w:sz w:val="20"/>
              </w:rPr>
            </w:pPr>
            <w:r w:rsidRPr="0049764D">
              <w:rPr>
                <w:rFonts w:ascii="Arial Narrow" w:hAnsi="Arial Narrow"/>
                <w:b/>
                <w:sz w:val="20"/>
              </w:rPr>
              <w:t xml:space="preserve">-4.6% </w:t>
            </w:r>
          </w:p>
          <w:p w:rsidR="00A01C23" w:rsidRPr="0049764D" w:rsidRDefault="00A01C23" w:rsidP="00137E5A">
            <w:pPr>
              <w:keepNext/>
              <w:widowControl/>
              <w:jc w:val="center"/>
              <w:rPr>
                <w:rFonts w:ascii="Arial Narrow" w:hAnsi="Arial Narrow"/>
                <w:sz w:val="20"/>
              </w:rPr>
            </w:pPr>
            <w:r w:rsidRPr="0049764D">
              <w:rPr>
                <w:rFonts w:ascii="Arial Narrow" w:hAnsi="Arial Narrow"/>
                <w:b/>
                <w:sz w:val="20"/>
              </w:rPr>
              <w:t>(-6.7%, -2.4%)</w:t>
            </w:r>
          </w:p>
        </w:tc>
      </w:tr>
      <w:tr w:rsidR="00A01C23" w:rsidRPr="0049764D" w:rsidTr="00CE4293">
        <w:tc>
          <w:tcPr>
            <w:tcW w:w="853" w:type="pct"/>
            <w:shd w:val="clear" w:color="auto" w:fill="auto"/>
            <w:vAlign w:val="center"/>
          </w:tcPr>
          <w:p w:rsidR="00A01C23" w:rsidRPr="0049764D" w:rsidRDefault="00A01C23" w:rsidP="007835C1">
            <w:pPr>
              <w:jc w:val="left"/>
              <w:rPr>
                <w:rFonts w:ascii="Arial Narrow" w:hAnsi="Arial Narrow"/>
                <w:sz w:val="20"/>
              </w:rPr>
            </w:pPr>
            <w:r w:rsidRPr="0049764D">
              <w:rPr>
                <w:rFonts w:ascii="Arial Narrow" w:hAnsi="Arial Narrow"/>
                <w:sz w:val="20"/>
              </w:rPr>
              <w:t>AE leading to discontinuation</w:t>
            </w:r>
          </w:p>
        </w:tc>
        <w:tc>
          <w:tcPr>
            <w:tcW w:w="664" w:type="pct"/>
            <w:vAlign w:val="center"/>
          </w:tcPr>
          <w:p w:rsidR="00A01C23" w:rsidRPr="0049764D" w:rsidRDefault="00A01C23" w:rsidP="00FD4368">
            <w:pPr>
              <w:jc w:val="center"/>
              <w:rPr>
                <w:rFonts w:ascii="Arial Narrow" w:hAnsi="Arial Narrow"/>
                <w:sz w:val="20"/>
              </w:rPr>
            </w:pPr>
            <w:r w:rsidRPr="0049764D">
              <w:rPr>
                <w:rFonts w:ascii="Arial Narrow" w:hAnsi="Arial Narrow"/>
                <w:sz w:val="20"/>
              </w:rPr>
              <w:t>450</w:t>
            </w:r>
            <w:r w:rsidR="00565632" w:rsidRPr="0049764D">
              <w:rPr>
                <w:rFonts w:ascii="Arial Narrow" w:hAnsi="Arial Narrow"/>
                <w:sz w:val="20"/>
              </w:rPr>
              <w:t>/</w:t>
            </w:r>
            <w:r w:rsidR="001D0CB5" w:rsidRPr="0049764D">
              <w:rPr>
                <w:rStyle w:val="TabletextChar"/>
                <w:sz w:val="20"/>
              </w:rPr>
              <w:t>4,203</w:t>
            </w:r>
          </w:p>
        </w:tc>
        <w:tc>
          <w:tcPr>
            <w:tcW w:w="664" w:type="pct"/>
            <w:vAlign w:val="center"/>
          </w:tcPr>
          <w:p w:rsidR="00A01C23" w:rsidRPr="0049764D" w:rsidRDefault="00A01C23" w:rsidP="001D0CB5">
            <w:pPr>
              <w:jc w:val="center"/>
              <w:rPr>
                <w:rFonts w:ascii="Arial Narrow" w:hAnsi="Arial Narrow"/>
                <w:sz w:val="20"/>
              </w:rPr>
            </w:pPr>
            <w:r w:rsidRPr="0049764D">
              <w:rPr>
                <w:rFonts w:ascii="Arial Narrow" w:hAnsi="Arial Narrow"/>
                <w:sz w:val="20"/>
              </w:rPr>
              <w:t>516</w:t>
            </w:r>
            <w:r w:rsidR="001D0CB5" w:rsidRPr="0049764D">
              <w:rPr>
                <w:rFonts w:ascii="Arial Narrow" w:hAnsi="Arial Narrow"/>
                <w:sz w:val="20"/>
              </w:rPr>
              <w:t>/4,229</w:t>
            </w:r>
          </w:p>
        </w:tc>
        <w:tc>
          <w:tcPr>
            <w:tcW w:w="849" w:type="pct"/>
            <w:vAlign w:val="center"/>
          </w:tcPr>
          <w:p w:rsidR="00A01C23" w:rsidRPr="0049764D" w:rsidRDefault="00A01C23" w:rsidP="00846912">
            <w:pPr>
              <w:jc w:val="center"/>
              <w:rPr>
                <w:rFonts w:ascii="Arial Narrow" w:hAnsi="Arial Narrow"/>
                <w:b/>
                <w:sz w:val="20"/>
              </w:rPr>
            </w:pPr>
            <w:r w:rsidRPr="0049764D">
              <w:rPr>
                <w:rFonts w:ascii="Arial Narrow" w:hAnsi="Arial Narrow"/>
                <w:b/>
                <w:sz w:val="20"/>
              </w:rPr>
              <w:t>0.88 (0.78, 0.99)</w:t>
            </w:r>
          </w:p>
        </w:tc>
        <w:tc>
          <w:tcPr>
            <w:tcW w:w="668" w:type="pct"/>
            <w:gridSpan w:val="2"/>
            <w:vAlign w:val="center"/>
          </w:tcPr>
          <w:p w:rsidR="00A01C23" w:rsidRPr="0049764D" w:rsidRDefault="00A01C23" w:rsidP="00EC00C9">
            <w:pPr>
              <w:jc w:val="center"/>
              <w:rPr>
                <w:rFonts w:ascii="Arial Narrow" w:hAnsi="Arial Narrow"/>
                <w:color w:val="000000"/>
                <w:sz w:val="20"/>
                <w:szCs w:val="18"/>
              </w:rPr>
            </w:pPr>
            <w:r w:rsidRPr="0049764D">
              <w:rPr>
                <w:rFonts w:ascii="Arial Narrow" w:hAnsi="Arial Narrow"/>
                <w:color w:val="000000"/>
                <w:sz w:val="20"/>
                <w:szCs w:val="18"/>
              </w:rPr>
              <w:t>10.7</w:t>
            </w:r>
          </w:p>
        </w:tc>
        <w:tc>
          <w:tcPr>
            <w:tcW w:w="634" w:type="pct"/>
            <w:gridSpan w:val="2"/>
            <w:vAlign w:val="center"/>
          </w:tcPr>
          <w:p w:rsidR="00A01C23" w:rsidRPr="0049764D" w:rsidRDefault="00A01C23" w:rsidP="008E07CF">
            <w:pPr>
              <w:jc w:val="center"/>
              <w:rPr>
                <w:rFonts w:ascii="Arial Narrow" w:hAnsi="Arial Narrow"/>
                <w:color w:val="000000"/>
                <w:sz w:val="20"/>
                <w:szCs w:val="18"/>
              </w:rPr>
            </w:pPr>
            <w:r w:rsidRPr="0049764D">
              <w:rPr>
                <w:rFonts w:ascii="Arial Narrow" w:hAnsi="Arial Narrow"/>
                <w:color w:val="000000"/>
                <w:sz w:val="20"/>
                <w:szCs w:val="18"/>
              </w:rPr>
              <w:t>12.2</w:t>
            </w:r>
          </w:p>
        </w:tc>
        <w:tc>
          <w:tcPr>
            <w:tcW w:w="668" w:type="pct"/>
            <w:vAlign w:val="center"/>
          </w:tcPr>
          <w:p w:rsidR="00A01C23" w:rsidRPr="0049764D" w:rsidRDefault="00A01C23" w:rsidP="00E22BD7">
            <w:pPr>
              <w:jc w:val="center"/>
              <w:rPr>
                <w:rFonts w:ascii="Arial Narrow" w:hAnsi="Arial Narrow"/>
                <w:sz w:val="20"/>
              </w:rPr>
            </w:pPr>
            <w:r w:rsidRPr="0049764D">
              <w:rPr>
                <w:rFonts w:ascii="Arial Narrow" w:hAnsi="Arial Narrow"/>
                <w:sz w:val="20"/>
              </w:rPr>
              <w:t>-1.5%</w:t>
            </w:r>
          </w:p>
          <w:p w:rsidR="00A01C23" w:rsidRPr="0049764D" w:rsidRDefault="00A01C23" w:rsidP="00E22BD7">
            <w:pPr>
              <w:jc w:val="center"/>
              <w:rPr>
                <w:rFonts w:ascii="Arial Narrow" w:hAnsi="Arial Narrow"/>
                <w:sz w:val="20"/>
              </w:rPr>
            </w:pPr>
            <w:r w:rsidRPr="0049764D">
              <w:rPr>
                <w:rFonts w:ascii="Arial Narrow" w:hAnsi="Arial Narrow"/>
                <w:sz w:val="20"/>
              </w:rPr>
              <w:t>(-2.9%, 0.1%)</w:t>
            </w:r>
          </w:p>
        </w:tc>
      </w:tr>
      <w:tr w:rsidR="00846912" w:rsidRPr="0049764D" w:rsidTr="00CE4293">
        <w:tc>
          <w:tcPr>
            <w:tcW w:w="853" w:type="pct"/>
            <w:shd w:val="clear" w:color="auto" w:fill="auto"/>
            <w:vAlign w:val="center"/>
          </w:tcPr>
          <w:p w:rsidR="00846912" w:rsidRPr="00BC0C24" w:rsidRDefault="00846912" w:rsidP="007835C1">
            <w:pPr>
              <w:pStyle w:val="PBACTableText"/>
              <w:rPr>
                <w:vertAlign w:val="superscript"/>
                <w:lang w:val="en-AU"/>
              </w:rPr>
            </w:pPr>
            <w:r w:rsidRPr="00BC0C24">
              <w:rPr>
                <w:lang w:val="en-AU"/>
              </w:rPr>
              <w:t xml:space="preserve">Hypotension </w:t>
            </w:r>
          </w:p>
        </w:tc>
        <w:tc>
          <w:tcPr>
            <w:tcW w:w="664" w:type="pct"/>
            <w:vAlign w:val="center"/>
          </w:tcPr>
          <w:p w:rsidR="00846912" w:rsidRPr="00BC0C24" w:rsidRDefault="00EC604E" w:rsidP="002A44CA">
            <w:pPr>
              <w:pStyle w:val="PBACTableText"/>
              <w:keepNext/>
              <w:keepLines/>
              <w:jc w:val="center"/>
              <w:rPr>
                <w:lang w:val="en-AU"/>
              </w:rPr>
            </w:pPr>
            <w:r w:rsidRPr="00BC0C24">
              <w:rPr>
                <w:lang w:val="en-AU"/>
              </w:rPr>
              <w:t>430</w:t>
            </w:r>
            <w:r w:rsidR="00565632" w:rsidRPr="00BC0C24">
              <w:rPr>
                <w:lang w:val="en-AU"/>
              </w:rPr>
              <w:t>/</w:t>
            </w:r>
            <w:r w:rsidR="001D0CB5" w:rsidRPr="00BC0C24">
              <w:rPr>
                <w:rStyle w:val="TabletextChar"/>
                <w:lang w:val="en-AU"/>
              </w:rPr>
              <w:t>4,203</w:t>
            </w:r>
          </w:p>
        </w:tc>
        <w:tc>
          <w:tcPr>
            <w:tcW w:w="664" w:type="pct"/>
            <w:vAlign w:val="center"/>
          </w:tcPr>
          <w:p w:rsidR="00846912" w:rsidRPr="00BC0C24" w:rsidRDefault="00EC604E" w:rsidP="001D0CB5">
            <w:pPr>
              <w:pStyle w:val="PBACTableText"/>
              <w:keepNext/>
              <w:keepLines/>
              <w:jc w:val="center"/>
              <w:rPr>
                <w:lang w:val="en-AU"/>
              </w:rPr>
            </w:pPr>
            <w:r w:rsidRPr="00BC0C24">
              <w:rPr>
                <w:lang w:val="en-AU"/>
              </w:rPr>
              <w:t>293</w:t>
            </w:r>
            <w:r w:rsidR="001D0CB5" w:rsidRPr="00BC0C24">
              <w:rPr>
                <w:lang w:val="en-AU"/>
              </w:rPr>
              <w:t>/4,229</w:t>
            </w:r>
          </w:p>
        </w:tc>
        <w:tc>
          <w:tcPr>
            <w:tcW w:w="849" w:type="pct"/>
            <w:vAlign w:val="center"/>
          </w:tcPr>
          <w:p w:rsidR="00846912" w:rsidRPr="0049764D" w:rsidRDefault="00EC604E" w:rsidP="002A44CA">
            <w:pPr>
              <w:keepNext/>
              <w:keepLines/>
              <w:jc w:val="center"/>
              <w:rPr>
                <w:rFonts w:ascii="Arial Narrow" w:hAnsi="Arial Narrow"/>
                <w:b/>
                <w:sz w:val="20"/>
              </w:rPr>
            </w:pPr>
            <w:r w:rsidRPr="0049764D">
              <w:rPr>
                <w:rFonts w:ascii="Arial Narrow" w:hAnsi="Arial Narrow"/>
                <w:b/>
                <w:sz w:val="20"/>
              </w:rPr>
              <w:t>1.48 (1.28, 1.70)</w:t>
            </w:r>
          </w:p>
        </w:tc>
        <w:tc>
          <w:tcPr>
            <w:tcW w:w="668" w:type="pct"/>
            <w:gridSpan w:val="2"/>
            <w:vAlign w:val="center"/>
          </w:tcPr>
          <w:p w:rsidR="00846912" w:rsidRPr="0049764D" w:rsidRDefault="00EC604E" w:rsidP="002A44CA">
            <w:pPr>
              <w:jc w:val="center"/>
              <w:rPr>
                <w:rFonts w:ascii="Arial Narrow" w:hAnsi="Arial Narrow"/>
                <w:color w:val="000000"/>
                <w:sz w:val="20"/>
                <w:szCs w:val="18"/>
              </w:rPr>
            </w:pPr>
            <w:r w:rsidRPr="00E52AB7">
              <w:rPr>
                <w:rFonts w:ascii="Arial Narrow" w:hAnsi="Arial Narrow"/>
                <w:color w:val="000000"/>
                <w:sz w:val="20"/>
                <w:szCs w:val="18"/>
              </w:rPr>
              <w:t>10.2</w:t>
            </w:r>
          </w:p>
        </w:tc>
        <w:tc>
          <w:tcPr>
            <w:tcW w:w="634" w:type="pct"/>
            <w:gridSpan w:val="2"/>
            <w:vAlign w:val="center"/>
          </w:tcPr>
          <w:p w:rsidR="00846912" w:rsidRPr="0049764D" w:rsidRDefault="00EC604E" w:rsidP="002A44CA">
            <w:pPr>
              <w:jc w:val="center"/>
              <w:rPr>
                <w:rFonts w:ascii="Arial Narrow" w:hAnsi="Arial Narrow"/>
                <w:color w:val="000000"/>
                <w:sz w:val="20"/>
                <w:szCs w:val="18"/>
              </w:rPr>
            </w:pPr>
            <w:r w:rsidRPr="0049764D">
              <w:rPr>
                <w:rFonts w:ascii="Arial Narrow" w:hAnsi="Arial Narrow"/>
                <w:color w:val="000000"/>
                <w:sz w:val="20"/>
                <w:szCs w:val="18"/>
              </w:rPr>
              <w:t>6.9</w:t>
            </w:r>
          </w:p>
        </w:tc>
        <w:tc>
          <w:tcPr>
            <w:tcW w:w="668" w:type="pct"/>
            <w:vAlign w:val="center"/>
          </w:tcPr>
          <w:p w:rsidR="00EC604E" w:rsidRPr="0049764D" w:rsidRDefault="00EC604E" w:rsidP="002A44CA">
            <w:pPr>
              <w:jc w:val="center"/>
              <w:rPr>
                <w:rFonts w:ascii="Arial Narrow" w:hAnsi="Arial Narrow"/>
                <w:b/>
                <w:sz w:val="20"/>
              </w:rPr>
            </w:pPr>
            <w:r w:rsidRPr="0049764D">
              <w:rPr>
                <w:rFonts w:ascii="Arial Narrow" w:hAnsi="Arial Narrow"/>
                <w:b/>
                <w:sz w:val="20"/>
              </w:rPr>
              <w:t xml:space="preserve">3.3% </w:t>
            </w:r>
          </w:p>
          <w:p w:rsidR="00846912" w:rsidRPr="0049764D" w:rsidRDefault="00EC604E" w:rsidP="002A44CA">
            <w:pPr>
              <w:jc w:val="center"/>
              <w:rPr>
                <w:rFonts w:ascii="Arial Narrow" w:hAnsi="Arial Narrow"/>
                <w:sz w:val="20"/>
              </w:rPr>
            </w:pPr>
            <w:r w:rsidRPr="0049764D">
              <w:rPr>
                <w:rFonts w:ascii="Arial Narrow" w:hAnsi="Arial Narrow"/>
                <w:b/>
                <w:sz w:val="20"/>
              </w:rPr>
              <w:t>(2.1%, 4.5%</w:t>
            </w:r>
            <w:r w:rsidR="00565632" w:rsidRPr="0049764D">
              <w:rPr>
                <w:rFonts w:ascii="Arial Narrow" w:hAnsi="Arial Narrow"/>
                <w:b/>
                <w:sz w:val="20"/>
              </w:rPr>
              <w:t>)</w:t>
            </w:r>
          </w:p>
        </w:tc>
      </w:tr>
      <w:tr w:rsidR="00846912" w:rsidRPr="0049764D" w:rsidTr="00CE4293">
        <w:tc>
          <w:tcPr>
            <w:tcW w:w="853" w:type="pct"/>
            <w:shd w:val="clear" w:color="auto" w:fill="auto"/>
            <w:vAlign w:val="center"/>
          </w:tcPr>
          <w:p w:rsidR="00846912" w:rsidRPr="00BC0C24" w:rsidRDefault="00846912" w:rsidP="007835C1">
            <w:pPr>
              <w:pStyle w:val="PBACTableText"/>
              <w:rPr>
                <w:vertAlign w:val="superscript"/>
                <w:lang w:val="en-AU"/>
              </w:rPr>
            </w:pPr>
            <w:r w:rsidRPr="00BC0C24">
              <w:rPr>
                <w:lang w:val="en-AU"/>
              </w:rPr>
              <w:t xml:space="preserve">Hyperkalaemia </w:t>
            </w:r>
          </w:p>
        </w:tc>
        <w:tc>
          <w:tcPr>
            <w:tcW w:w="664" w:type="pct"/>
            <w:vAlign w:val="center"/>
          </w:tcPr>
          <w:p w:rsidR="00846912" w:rsidRPr="00BC0C24" w:rsidRDefault="00EC604E" w:rsidP="002A44CA">
            <w:pPr>
              <w:pStyle w:val="PBACTableText"/>
              <w:keepNext/>
              <w:keepLines/>
              <w:jc w:val="center"/>
              <w:rPr>
                <w:lang w:val="en-AU"/>
              </w:rPr>
            </w:pPr>
            <w:r w:rsidRPr="00BC0C24">
              <w:rPr>
                <w:lang w:val="en-AU"/>
              </w:rPr>
              <w:t>193</w:t>
            </w:r>
            <w:r w:rsidR="00565632" w:rsidRPr="00BC0C24">
              <w:rPr>
                <w:lang w:val="en-AU"/>
              </w:rPr>
              <w:t>/</w:t>
            </w:r>
            <w:r w:rsidR="001D0CB5" w:rsidRPr="00BC0C24">
              <w:rPr>
                <w:rStyle w:val="TabletextChar"/>
                <w:lang w:val="en-AU"/>
              </w:rPr>
              <w:t>4,203</w:t>
            </w:r>
          </w:p>
        </w:tc>
        <w:tc>
          <w:tcPr>
            <w:tcW w:w="664" w:type="pct"/>
            <w:vAlign w:val="center"/>
          </w:tcPr>
          <w:p w:rsidR="00846912" w:rsidRPr="00BC0C24" w:rsidRDefault="00EC604E" w:rsidP="002A44CA">
            <w:pPr>
              <w:pStyle w:val="PBACTableText"/>
              <w:keepNext/>
              <w:keepLines/>
              <w:jc w:val="center"/>
              <w:rPr>
                <w:lang w:val="en-AU"/>
              </w:rPr>
            </w:pPr>
            <w:r w:rsidRPr="00BC0C24">
              <w:rPr>
                <w:lang w:val="en-AU"/>
              </w:rPr>
              <w:t>237</w:t>
            </w:r>
            <w:r w:rsidR="00565632" w:rsidRPr="00BC0C24">
              <w:rPr>
                <w:lang w:val="en-AU"/>
              </w:rPr>
              <w:t>/</w:t>
            </w:r>
            <w:r w:rsidR="001D0CB5" w:rsidRPr="00BC0C24">
              <w:rPr>
                <w:lang w:val="en-AU"/>
              </w:rPr>
              <w:t>4,229</w:t>
            </w:r>
          </w:p>
        </w:tc>
        <w:tc>
          <w:tcPr>
            <w:tcW w:w="849" w:type="pct"/>
            <w:vAlign w:val="center"/>
          </w:tcPr>
          <w:p w:rsidR="00846912" w:rsidRPr="0049764D" w:rsidRDefault="00EC604E" w:rsidP="002A44CA">
            <w:pPr>
              <w:keepNext/>
              <w:keepLines/>
              <w:jc w:val="center"/>
              <w:rPr>
                <w:rFonts w:ascii="Arial Narrow" w:hAnsi="Arial Narrow"/>
                <w:b/>
                <w:sz w:val="20"/>
              </w:rPr>
            </w:pPr>
            <w:r w:rsidRPr="0049764D">
              <w:rPr>
                <w:rFonts w:ascii="Arial Narrow" w:hAnsi="Arial Narrow"/>
                <w:b/>
                <w:sz w:val="20"/>
              </w:rPr>
              <w:t>0.82 (0.68, 0.99)</w:t>
            </w:r>
          </w:p>
        </w:tc>
        <w:tc>
          <w:tcPr>
            <w:tcW w:w="668" w:type="pct"/>
            <w:gridSpan w:val="2"/>
            <w:vAlign w:val="center"/>
          </w:tcPr>
          <w:p w:rsidR="00846912" w:rsidRPr="0049764D" w:rsidRDefault="005F4708" w:rsidP="002A44CA">
            <w:pPr>
              <w:jc w:val="center"/>
              <w:rPr>
                <w:rFonts w:ascii="Arial Narrow" w:hAnsi="Arial Narrow"/>
                <w:color w:val="000000"/>
                <w:sz w:val="20"/>
                <w:szCs w:val="18"/>
              </w:rPr>
            </w:pPr>
            <w:r w:rsidRPr="00E52AB7">
              <w:rPr>
                <w:rFonts w:ascii="Arial Narrow" w:hAnsi="Arial Narrow"/>
                <w:color w:val="000000"/>
                <w:sz w:val="20"/>
                <w:szCs w:val="18"/>
              </w:rPr>
              <w:t>4.6</w:t>
            </w:r>
          </w:p>
        </w:tc>
        <w:tc>
          <w:tcPr>
            <w:tcW w:w="634" w:type="pct"/>
            <w:gridSpan w:val="2"/>
            <w:vAlign w:val="center"/>
          </w:tcPr>
          <w:p w:rsidR="00846912" w:rsidRPr="0049764D" w:rsidRDefault="005F4708" w:rsidP="002A44CA">
            <w:pPr>
              <w:jc w:val="center"/>
              <w:rPr>
                <w:rFonts w:ascii="Arial Narrow" w:hAnsi="Arial Narrow"/>
                <w:color w:val="000000"/>
                <w:sz w:val="20"/>
                <w:szCs w:val="18"/>
              </w:rPr>
            </w:pPr>
            <w:r w:rsidRPr="0049764D">
              <w:rPr>
                <w:rFonts w:ascii="Arial Narrow" w:hAnsi="Arial Narrow"/>
                <w:color w:val="000000"/>
                <w:sz w:val="20"/>
                <w:szCs w:val="18"/>
              </w:rPr>
              <w:t>5.6</w:t>
            </w:r>
          </w:p>
        </w:tc>
        <w:tc>
          <w:tcPr>
            <w:tcW w:w="668" w:type="pct"/>
            <w:vAlign w:val="center"/>
          </w:tcPr>
          <w:p w:rsidR="00846912" w:rsidRPr="0049764D" w:rsidRDefault="005F4708" w:rsidP="002A44CA">
            <w:pPr>
              <w:jc w:val="center"/>
              <w:rPr>
                <w:rFonts w:ascii="Arial Narrow" w:hAnsi="Arial Narrow"/>
                <w:sz w:val="20"/>
              </w:rPr>
            </w:pPr>
            <w:r w:rsidRPr="0049764D">
              <w:rPr>
                <w:rFonts w:ascii="Arial Narrow" w:hAnsi="Arial Narrow"/>
                <w:sz w:val="20"/>
              </w:rPr>
              <w:t>-1.0%</w:t>
            </w:r>
          </w:p>
          <w:p w:rsidR="005F4708" w:rsidRPr="0049764D" w:rsidRDefault="005F4708" w:rsidP="002A44CA">
            <w:pPr>
              <w:jc w:val="center"/>
              <w:rPr>
                <w:rFonts w:ascii="Arial Narrow" w:hAnsi="Arial Narrow"/>
                <w:sz w:val="20"/>
              </w:rPr>
            </w:pPr>
            <w:r w:rsidRPr="0049764D">
              <w:rPr>
                <w:rFonts w:ascii="Arial Narrow" w:hAnsi="Arial Narrow"/>
                <w:sz w:val="20"/>
              </w:rPr>
              <w:t>(-2.0%, -0.1%)</w:t>
            </w:r>
          </w:p>
        </w:tc>
      </w:tr>
      <w:tr w:rsidR="002A44CA" w:rsidRPr="0049764D" w:rsidTr="00CE4293">
        <w:tc>
          <w:tcPr>
            <w:tcW w:w="853" w:type="pct"/>
            <w:shd w:val="clear" w:color="auto" w:fill="auto"/>
            <w:vAlign w:val="center"/>
          </w:tcPr>
          <w:p w:rsidR="002A44CA" w:rsidRPr="00BC0C24" w:rsidRDefault="00846912" w:rsidP="007835C1">
            <w:pPr>
              <w:pStyle w:val="PBACTableText"/>
              <w:keepNext/>
              <w:keepLines/>
              <w:rPr>
                <w:highlight w:val="magenta"/>
                <w:lang w:val="en-AU"/>
              </w:rPr>
            </w:pPr>
            <w:r w:rsidRPr="00BC0C24">
              <w:rPr>
                <w:lang w:val="en-AU"/>
              </w:rPr>
              <w:t>Angioedema</w:t>
            </w:r>
          </w:p>
        </w:tc>
        <w:tc>
          <w:tcPr>
            <w:tcW w:w="664" w:type="pct"/>
            <w:vAlign w:val="center"/>
          </w:tcPr>
          <w:p w:rsidR="002A44CA" w:rsidRPr="00BC0C24" w:rsidRDefault="007835C1" w:rsidP="002A44CA">
            <w:pPr>
              <w:pStyle w:val="PBACTableText"/>
              <w:keepNext/>
              <w:keepLines/>
              <w:jc w:val="center"/>
              <w:rPr>
                <w:lang w:val="en-AU"/>
              </w:rPr>
            </w:pPr>
            <w:r w:rsidRPr="00BC0C24">
              <w:rPr>
                <w:lang w:val="en-AU"/>
              </w:rPr>
              <w:t>19</w:t>
            </w:r>
            <w:r w:rsidR="00565632" w:rsidRPr="00BC0C24">
              <w:rPr>
                <w:lang w:val="en-AU"/>
              </w:rPr>
              <w:t>/</w:t>
            </w:r>
            <w:r w:rsidR="001D0CB5" w:rsidRPr="00BC0C24">
              <w:rPr>
                <w:rStyle w:val="TabletextChar"/>
                <w:lang w:val="en-AU"/>
              </w:rPr>
              <w:t>4,203</w:t>
            </w:r>
          </w:p>
        </w:tc>
        <w:tc>
          <w:tcPr>
            <w:tcW w:w="664" w:type="pct"/>
            <w:vAlign w:val="center"/>
          </w:tcPr>
          <w:p w:rsidR="002A44CA" w:rsidRPr="00BC0C24" w:rsidRDefault="007835C1" w:rsidP="002A44CA">
            <w:pPr>
              <w:pStyle w:val="PBACTableText"/>
              <w:keepNext/>
              <w:keepLines/>
              <w:jc w:val="center"/>
              <w:rPr>
                <w:lang w:val="en-AU"/>
              </w:rPr>
            </w:pPr>
            <w:r w:rsidRPr="00BC0C24">
              <w:rPr>
                <w:lang w:val="en-AU"/>
              </w:rPr>
              <w:t>10</w:t>
            </w:r>
            <w:r w:rsidR="00565632" w:rsidRPr="00BC0C24">
              <w:rPr>
                <w:lang w:val="en-AU"/>
              </w:rPr>
              <w:t>/</w:t>
            </w:r>
            <w:r w:rsidR="001D0CB5" w:rsidRPr="00BC0C24">
              <w:rPr>
                <w:lang w:val="en-AU"/>
              </w:rPr>
              <w:t>4,229</w:t>
            </w:r>
          </w:p>
        </w:tc>
        <w:tc>
          <w:tcPr>
            <w:tcW w:w="849" w:type="pct"/>
            <w:vAlign w:val="center"/>
          </w:tcPr>
          <w:p w:rsidR="002A44CA" w:rsidRPr="0049764D" w:rsidRDefault="007835C1" w:rsidP="002A44CA">
            <w:pPr>
              <w:keepNext/>
              <w:keepLines/>
              <w:jc w:val="center"/>
              <w:rPr>
                <w:rFonts w:ascii="Arial Narrow" w:hAnsi="Arial Narrow"/>
                <w:sz w:val="20"/>
              </w:rPr>
            </w:pPr>
            <w:r w:rsidRPr="0049764D">
              <w:rPr>
                <w:rFonts w:ascii="Arial Narrow" w:hAnsi="Arial Narrow"/>
                <w:sz w:val="20"/>
              </w:rPr>
              <w:t>1.91 (0.89, 4.11)</w:t>
            </w:r>
          </w:p>
        </w:tc>
        <w:tc>
          <w:tcPr>
            <w:tcW w:w="668" w:type="pct"/>
            <w:gridSpan w:val="2"/>
            <w:vAlign w:val="center"/>
          </w:tcPr>
          <w:p w:rsidR="002A44CA" w:rsidRPr="0049764D" w:rsidRDefault="007835C1" w:rsidP="002A44CA">
            <w:pPr>
              <w:jc w:val="center"/>
              <w:rPr>
                <w:rFonts w:ascii="Arial Narrow" w:hAnsi="Arial Narrow"/>
                <w:color w:val="000000"/>
                <w:sz w:val="20"/>
                <w:szCs w:val="18"/>
              </w:rPr>
            </w:pPr>
            <w:r w:rsidRPr="00E52AB7">
              <w:rPr>
                <w:rFonts w:ascii="Arial Narrow" w:hAnsi="Arial Narrow"/>
                <w:color w:val="000000"/>
                <w:sz w:val="20"/>
                <w:szCs w:val="18"/>
              </w:rPr>
              <w:t>0.45%</w:t>
            </w:r>
          </w:p>
        </w:tc>
        <w:tc>
          <w:tcPr>
            <w:tcW w:w="634" w:type="pct"/>
            <w:gridSpan w:val="2"/>
            <w:vAlign w:val="center"/>
          </w:tcPr>
          <w:p w:rsidR="002A44CA" w:rsidRPr="0049764D" w:rsidRDefault="007835C1" w:rsidP="002A44CA">
            <w:pPr>
              <w:jc w:val="center"/>
              <w:rPr>
                <w:rFonts w:ascii="Arial Narrow" w:hAnsi="Arial Narrow"/>
                <w:color w:val="000000"/>
                <w:sz w:val="20"/>
                <w:szCs w:val="18"/>
              </w:rPr>
            </w:pPr>
            <w:r w:rsidRPr="0049764D">
              <w:rPr>
                <w:rFonts w:ascii="Arial Narrow" w:hAnsi="Arial Narrow"/>
                <w:color w:val="000000"/>
                <w:sz w:val="20"/>
                <w:szCs w:val="18"/>
              </w:rPr>
              <w:t>0.24%</w:t>
            </w:r>
          </w:p>
        </w:tc>
        <w:tc>
          <w:tcPr>
            <w:tcW w:w="668" w:type="pct"/>
            <w:vAlign w:val="center"/>
          </w:tcPr>
          <w:p w:rsidR="002A44CA" w:rsidRPr="0049764D" w:rsidRDefault="007835C1" w:rsidP="002A44CA">
            <w:pPr>
              <w:jc w:val="center"/>
              <w:rPr>
                <w:rFonts w:ascii="Arial Narrow" w:hAnsi="Arial Narrow"/>
                <w:sz w:val="20"/>
              </w:rPr>
            </w:pPr>
            <w:r w:rsidRPr="0049764D">
              <w:rPr>
                <w:rFonts w:ascii="Arial Narrow" w:hAnsi="Arial Narrow"/>
                <w:sz w:val="20"/>
              </w:rPr>
              <w:t>0.2%</w:t>
            </w:r>
          </w:p>
          <w:p w:rsidR="007835C1" w:rsidRPr="0049764D" w:rsidRDefault="007835C1" w:rsidP="007835C1">
            <w:pPr>
              <w:jc w:val="center"/>
              <w:rPr>
                <w:rFonts w:ascii="Arial Narrow" w:hAnsi="Arial Narrow"/>
                <w:sz w:val="20"/>
              </w:rPr>
            </w:pPr>
            <w:r w:rsidRPr="0049764D">
              <w:rPr>
                <w:rFonts w:ascii="Arial Narrow" w:hAnsi="Arial Narrow"/>
                <w:sz w:val="20"/>
              </w:rPr>
              <w:t xml:space="preserve">(0.0%, 0.5%) </w:t>
            </w:r>
          </w:p>
        </w:tc>
      </w:tr>
    </w:tbl>
    <w:p w:rsidR="008E07CF" w:rsidRPr="0049764D" w:rsidRDefault="008E07CF" w:rsidP="008E07CF">
      <w:pPr>
        <w:pStyle w:val="TableFooter"/>
        <w:ind w:left="720"/>
      </w:pPr>
      <w:r w:rsidRPr="0049764D">
        <w:t xml:space="preserve">Source: Table 29, p92; Table 31 p96; Table 44, p125 of the submission; Table 12-12, p319 of the </w:t>
      </w:r>
      <w:r w:rsidR="004C27F5" w:rsidRPr="0049764D">
        <w:t>C</w:t>
      </w:r>
      <w:r w:rsidRPr="0049764D">
        <w:t xml:space="preserve">linical </w:t>
      </w:r>
      <w:r w:rsidR="004C27F5" w:rsidRPr="0049764D">
        <w:t>S</w:t>
      </w:r>
      <w:r w:rsidRPr="0049764D">
        <w:t xml:space="preserve">tudy </w:t>
      </w:r>
      <w:r w:rsidR="004C27F5" w:rsidRPr="0049764D">
        <w:t>R</w:t>
      </w:r>
      <w:r w:rsidRPr="0049764D">
        <w:t xml:space="preserve">eport; </w:t>
      </w:r>
    </w:p>
    <w:p w:rsidR="00E84952" w:rsidRPr="0049764D" w:rsidRDefault="008E07CF" w:rsidP="008E07CF">
      <w:pPr>
        <w:pStyle w:val="TableFooter"/>
        <w:ind w:left="720"/>
      </w:pPr>
      <w:r w:rsidRPr="0049764D">
        <w:t xml:space="preserve">AE = adverse event; CI = confidence interval; CV = cardiovascular; </w:t>
      </w:r>
      <w:r w:rsidR="00846912" w:rsidRPr="0049764D">
        <w:t xml:space="preserve">HF = heart failure; </w:t>
      </w:r>
      <w:r w:rsidR="007522DC" w:rsidRPr="0049764D">
        <w:t xml:space="preserve">HR = hazard ratio; </w:t>
      </w:r>
      <w:r w:rsidR="001D0CB5" w:rsidRPr="0049764D">
        <w:t xml:space="preserve">NR = not reported; </w:t>
      </w:r>
      <w:r w:rsidR="00B62715" w:rsidRPr="0049764D">
        <w:t xml:space="preserve">RD = risk difference; RR = </w:t>
      </w:r>
      <w:r w:rsidR="00565632" w:rsidRPr="0049764D">
        <w:t>relative risk</w:t>
      </w:r>
      <w:r w:rsidR="00E84952" w:rsidRPr="0049764D">
        <w:t xml:space="preserve">; </w:t>
      </w:r>
      <w:r w:rsidR="00846912" w:rsidRPr="0049764D">
        <w:t>Sacubit/ val = sacubitril/valsartan;</w:t>
      </w:r>
      <w:r w:rsidR="00565632" w:rsidRPr="0049764D">
        <w:t xml:space="preserve"> </w:t>
      </w:r>
      <w:r w:rsidRPr="0049764D">
        <w:rPr>
          <w:b/>
        </w:rPr>
        <w:t>Bold</w:t>
      </w:r>
      <w:r w:rsidRPr="0049764D">
        <w:t xml:space="preserve"> = statistically significant</w:t>
      </w:r>
    </w:p>
    <w:p w:rsidR="00565632" w:rsidRPr="0049764D" w:rsidRDefault="00565632" w:rsidP="008E07CF">
      <w:pPr>
        <w:pStyle w:val="TableFooter"/>
        <w:ind w:left="720"/>
      </w:pPr>
      <w:r w:rsidRPr="0049764D">
        <w:rPr>
          <w:vertAlign w:val="superscript"/>
        </w:rPr>
        <w:t>a</w:t>
      </w:r>
      <w:r w:rsidRPr="0049764D">
        <w:t xml:space="preserve"> Median follow-up for sacubitril/valsartan 27.2 months, for enalapril 27.0 months </w:t>
      </w:r>
    </w:p>
    <w:p w:rsidR="00B62715" w:rsidRPr="0049764D" w:rsidRDefault="00B62715" w:rsidP="00B62715"/>
    <w:p w:rsidR="00FC1884" w:rsidRPr="0049764D" w:rsidRDefault="00463676" w:rsidP="001611C7">
      <w:pPr>
        <w:pStyle w:val="ListParagraph"/>
        <w:widowControl/>
        <w:numPr>
          <w:ilvl w:val="1"/>
          <w:numId w:val="2"/>
        </w:numPr>
        <w:rPr>
          <w:szCs w:val="22"/>
        </w:rPr>
      </w:pPr>
      <w:r w:rsidRPr="0049764D">
        <w:t xml:space="preserve">On the basis of direct evidence presented by the submission, for every 100 patients with chronic cardiac failure and systolic dysfunction , and who are able </w:t>
      </w:r>
      <w:r w:rsidR="00CB1E7B">
        <w:t xml:space="preserve">to tolerate the target drugs, </w:t>
      </w:r>
      <w:r w:rsidRPr="0049764D">
        <w:t>treated with sacubitril/valsartan, in comparison with enalapril,</w:t>
      </w:r>
      <w:r w:rsidR="00112271">
        <w:t>10mg BD</w:t>
      </w:r>
      <w:r w:rsidRPr="0049764D">
        <w:t>, over a median follow-up of 27.1 months</w:t>
      </w:r>
      <w:r w:rsidR="007835C1" w:rsidRPr="0049764D">
        <w:t>:</w:t>
      </w:r>
    </w:p>
    <w:p w:rsidR="007835C1" w:rsidRPr="0049764D" w:rsidRDefault="00FC1884" w:rsidP="001611C7">
      <w:pPr>
        <w:pStyle w:val="ListParagraph"/>
        <w:widowControl/>
        <w:numPr>
          <w:ilvl w:val="0"/>
          <w:numId w:val="1"/>
        </w:numPr>
        <w:ind w:left="993" w:hanging="284"/>
      </w:pPr>
      <w:r w:rsidRPr="0049764D">
        <w:t xml:space="preserve">Approximately </w:t>
      </w:r>
      <w:r w:rsidR="007835C1" w:rsidRPr="0049764D">
        <w:t>3</w:t>
      </w:r>
      <w:r w:rsidRPr="0049764D">
        <w:t xml:space="preserve"> </w:t>
      </w:r>
      <w:r w:rsidR="007835C1" w:rsidRPr="0049764D">
        <w:t>fewer patients would experience cardiovascular death</w:t>
      </w:r>
      <w:r w:rsidR="00E14EE9" w:rsidRPr="0049764D">
        <w:t>.</w:t>
      </w:r>
      <w:r w:rsidR="007835C1" w:rsidRPr="0049764D">
        <w:t xml:space="preserve"> </w:t>
      </w:r>
    </w:p>
    <w:p w:rsidR="00E14EE9" w:rsidRPr="0049764D" w:rsidRDefault="00E14EE9" w:rsidP="001611C7">
      <w:pPr>
        <w:pStyle w:val="ListParagraph"/>
        <w:widowControl/>
        <w:numPr>
          <w:ilvl w:val="0"/>
          <w:numId w:val="1"/>
        </w:numPr>
        <w:ind w:left="993" w:hanging="284"/>
      </w:pPr>
      <w:r w:rsidRPr="0049764D">
        <w:t>Approximately 5 fewer patients would experience a serious adverse event</w:t>
      </w:r>
      <w:r w:rsidR="00565632" w:rsidRPr="0049764D">
        <w:t>.</w:t>
      </w:r>
      <w:r w:rsidRPr="0049764D">
        <w:t xml:space="preserve"> </w:t>
      </w:r>
    </w:p>
    <w:p w:rsidR="00E14EE9" w:rsidRPr="0049764D" w:rsidRDefault="00E14EE9" w:rsidP="001611C7">
      <w:pPr>
        <w:pStyle w:val="ListParagraph"/>
        <w:widowControl/>
        <w:numPr>
          <w:ilvl w:val="0"/>
          <w:numId w:val="1"/>
        </w:numPr>
        <w:ind w:left="993" w:hanging="284"/>
      </w:pPr>
      <w:r w:rsidRPr="0049764D">
        <w:t>Approximately 3 more patients would experience hypotension</w:t>
      </w:r>
      <w:r w:rsidR="00565632" w:rsidRPr="0049764D">
        <w:t>.</w:t>
      </w:r>
      <w:r w:rsidRPr="0049764D">
        <w:t xml:space="preserve"> </w:t>
      </w:r>
    </w:p>
    <w:p w:rsidR="00B60939" w:rsidRPr="0049764D" w:rsidRDefault="00B60939" w:rsidP="00FC1884"/>
    <w:p w:rsidR="00B60939" w:rsidRPr="0049764D" w:rsidRDefault="00B60939" w:rsidP="00665967">
      <w:pPr>
        <w:pStyle w:val="Heading2"/>
      </w:pPr>
      <w:bookmarkStart w:id="11" w:name="_Toc440894571"/>
      <w:r w:rsidRPr="0049764D">
        <w:t>Clinical claim</w:t>
      </w:r>
      <w:bookmarkEnd w:id="11"/>
    </w:p>
    <w:p w:rsidR="00B60939" w:rsidRPr="0049764D" w:rsidRDefault="00B60939" w:rsidP="00B60939">
      <w:pPr>
        <w:ind w:left="720" w:hanging="720"/>
        <w:rPr>
          <w:szCs w:val="22"/>
        </w:rPr>
      </w:pPr>
    </w:p>
    <w:p w:rsidR="00846912" w:rsidRPr="0049764D" w:rsidRDefault="00846912" w:rsidP="001611C7">
      <w:pPr>
        <w:pStyle w:val="ListParagraph"/>
        <w:widowControl/>
        <w:numPr>
          <w:ilvl w:val="1"/>
          <w:numId w:val="2"/>
        </w:numPr>
      </w:pPr>
      <w:r w:rsidRPr="0049764D">
        <w:t xml:space="preserve">The submission described sacubitril/valsartan as superior in terms of comparative effectiveness and non-inferior in terms of comparative safety over enalapril. </w:t>
      </w:r>
    </w:p>
    <w:p w:rsidR="00E43EC1" w:rsidRPr="0049764D" w:rsidRDefault="00E43EC1" w:rsidP="00E43EC1">
      <w:pPr>
        <w:pStyle w:val="ListParagraph"/>
        <w:widowControl/>
      </w:pPr>
    </w:p>
    <w:p w:rsidR="00E43EC1" w:rsidRPr="0049764D" w:rsidRDefault="00E43EC1" w:rsidP="001611C7">
      <w:pPr>
        <w:pStyle w:val="ListParagraph"/>
        <w:widowControl/>
        <w:numPr>
          <w:ilvl w:val="1"/>
          <w:numId w:val="2"/>
        </w:numPr>
      </w:pPr>
      <w:r w:rsidRPr="0049764D">
        <w:t>The claim of superior efficacy was supported</w:t>
      </w:r>
      <w:r w:rsidR="0001024D" w:rsidRPr="0049764D">
        <w:t xml:space="preserve"> by the data presented</w:t>
      </w:r>
      <w:r w:rsidRPr="0049764D">
        <w:t xml:space="preserve">, however it was difficult to accurately quantify the magnitude of the benefit of sacubitril/valsartan compared with </w:t>
      </w:r>
      <w:r w:rsidR="0004054F" w:rsidRPr="0049764D">
        <w:t>ACE inhibitors</w:t>
      </w:r>
      <w:r w:rsidR="00430B9D" w:rsidRPr="0049764D">
        <w:t>, or compared with valsartan alone,</w:t>
      </w:r>
      <w:r w:rsidR="0004054F" w:rsidRPr="0049764D">
        <w:t xml:space="preserve"> </w:t>
      </w:r>
      <w:r w:rsidRPr="0049764D">
        <w:t>in the proposed Australian population because:</w:t>
      </w:r>
    </w:p>
    <w:p w:rsidR="00E43EC1" w:rsidRPr="0049764D" w:rsidRDefault="00E43EC1" w:rsidP="001611C7">
      <w:pPr>
        <w:pStyle w:val="ListParagraph"/>
        <w:widowControl/>
        <w:numPr>
          <w:ilvl w:val="0"/>
          <w:numId w:val="1"/>
        </w:numPr>
        <w:ind w:left="993" w:hanging="284"/>
      </w:pPr>
      <w:r w:rsidRPr="0049764D">
        <w:t>The dose of enalapril was half the maximum dose recommended in many guidelines, while the dose of valsartan in sacubitril/valsartan was the maximum dose.</w:t>
      </w:r>
      <w:r w:rsidR="00B135A6" w:rsidRPr="0049764D">
        <w:t xml:space="preserve"> </w:t>
      </w:r>
    </w:p>
    <w:p w:rsidR="00E43EC1" w:rsidRPr="0049764D" w:rsidRDefault="00E43EC1" w:rsidP="001611C7">
      <w:pPr>
        <w:pStyle w:val="ListParagraph"/>
        <w:widowControl/>
        <w:numPr>
          <w:ilvl w:val="0"/>
          <w:numId w:val="1"/>
        </w:numPr>
        <w:ind w:left="993" w:hanging="284"/>
      </w:pPr>
      <w:r w:rsidRPr="0049764D">
        <w:t xml:space="preserve">The trial used a run-in design in which only patients who tolerated the trial’s target doses for at least two weeks were randomised. This reduced the applicability of the results. </w:t>
      </w:r>
    </w:p>
    <w:p w:rsidR="00E43EC1" w:rsidRPr="0049764D" w:rsidRDefault="00E43EC1" w:rsidP="001611C7">
      <w:pPr>
        <w:pStyle w:val="ListParagraph"/>
        <w:widowControl/>
        <w:numPr>
          <w:ilvl w:val="0"/>
          <w:numId w:val="1"/>
        </w:numPr>
        <w:ind w:left="993" w:hanging="284"/>
      </w:pPr>
      <w:r w:rsidRPr="0049764D">
        <w:t>Hospitalisation</w:t>
      </w:r>
      <w:r w:rsidR="00044681" w:rsidRPr="0049764D">
        <w:t>, cardiovascular mortality and all</w:t>
      </w:r>
      <w:r w:rsidR="003770C8" w:rsidRPr="0049764D">
        <w:t>-</w:t>
      </w:r>
      <w:r w:rsidR="00044681" w:rsidRPr="0049764D">
        <w:t>cause mortality</w:t>
      </w:r>
      <w:r w:rsidRPr="0049764D">
        <w:t xml:space="preserve"> outcomes might not reflect the results that would be seen in Australian practice.</w:t>
      </w:r>
    </w:p>
    <w:p w:rsidR="00E43EC1" w:rsidRPr="0049764D" w:rsidRDefault="00E43EC1" w:rsidP="00E43EC1">
      <w:pPr>
        <w:pStyle w:val="ListParagraph"/>
        <w:widowControl/>
      </w:pPr>
    </w:p>
    <w:p w:rsidR="001611C7" w:rsidRPr="0049764D" w:rsidRDefault="001611C7" w:rsidP="001611C7">
      <w:pPr>
        <w:pStyle w:val="ListParagraph"/>
        <w:numPr>
          <w:ilvl w:val="1"/>
          <w:numId w:val="2"/>
        </w:numPr>
      </w:pPr>
      <w:r w:rsidRPr="0049764D">
        <w:t xml:space="preserve">The claim of non-inferior safety might not be adequately supported due to the lack of reliable comparative safety data, in the context of a new class of drug. In particular, the following safety concerns were noted by the Commentary and ESC: </w:t>
      </w:r>
    </w:p>
    <w:p w:rsidR="001611C7" w:rsidRPr="0049764D" w:rsidRDefault="001611C7" w:rsidP="001611C7">
      <w:pPr>
        <w:pStyle w:val="ListParagraph"/>
        <w:numPr>
          <w:ilvl w:val="0"/>
          <w:numId w:val="8"/>
        </w:numPr>
        <w:ind w:left="993" w:hanging="284"/>
      </w:pPr>
      <w:r w:rsidRPr="0049764D">
        <w:t xml:space="preserve">Safety data from the run-in period could not be compared across the two arms because only patients who tolerated enalapril entered the sacubitril/valsartan run-in period. </w:t>
      </w:r>
    </w:p>
    <w:p w:rsidR="001611C7" w:rsidRPr="0049764D" w:rsidRDefault="001611C7" w:rsidP="001611C7">
      <w:pPr>
        <w:pStyle w:val="ListParagraph"/>
        <w:numPr>
          <w:ilvl w:val="0"/>
          <w:numId w:val="8"/>
        </w:numPr>
        <w:ind w:left="993" w:hanging="284"/>
      </w:pPr>
      <w:r w:rsidRPr="0049764D">
        <w:t xml:space="preserve">The randomised period only included patients who could tolerate at least two weeks of both drugs at the trial’s target doses, and therefore is not applicable to the proposed PBS population.  </w:t>
      </w:r>
    </w:p>
    <w:p w:rsidR="001611C7" w:rsidRPr="0049764D" w:rsidRDefault="001611C7" w:rsidP="001611C7">
      <w:pPr>
        <w:pStyle w:val="ListParagraph"/>
        <w:numPr>
          <w:ilvl w:val="0"/>
          <w:numId w:val="8"/>
        </w:numPr>
        <w:ind w:left="993" w:hanging="284"/>
      </w:pPr>
      <w:r w:rsidRPr="0049764D">
        <w:t xml:space="preserve">No </w:t>
      </w:r>
      <w:r w:rsidR="0049764D" w:rsidRPr="0049764D">
        <w:t>long-term</w:t>
      </w:r>
      <w:r w:rsidRPr="0049764D">
        <w:t xml:space="preserve"> safety data were available.  </w:t>
      </w:r>
    </w:p>
    <w:p w:rsidR="001611C7" w:rsidRPr="0049764D" w:rsidRDefault="001611C7" w:rsidP="001611C7">
      <w:pPr>
        <w:pStyle w:val="ListParagraph"/>
        <w:numPr>
          <w:ilvl w:val="0"/>
          <w:numId w:val="8"/>
        </w:numPr>
        <w:ind w:left="993" w:hanging="284"/>
      </w:pPr>
      <w:r w:rsidRPr="0049764D">
        <w:t xml:space="preserve">The observed increase in hypotension with sacubitril/valsartan was more likely to translate into dizziness and falls in the treated older, more comorbid PBS population. </w:t>
      </w:r>
    </w:p>
    <w:p w:rsidR="003B5468" w:rsidRPr="0049764D" w:rsidRDefault="001611C7" w:rsidP="001611C7">
      <w:pPr>
        <w:pStyle w:val="ListParagraph"/>
        <w:numPr>
          <w:ilvl w:val="0"/>
          <w:numId w:val="8"/>
        </w:numPr>
        <w:ind w:left="993" w:hanging="284"/>
      </w:pPr>
      <w:r w:rsidRPr="0049764D">
        <w:t>There were a number of quality use of medicines issues that may impact on safety (see Quality Use of Medicines, below).</w:t>
      </w:r>
    </w:p>
    <w:p w:rsidR="001611C7" w:rsidRPr="0049764D" w:rsidRDefault="001611C7" w:rsidP="001611C7">
      <w:pPr>
        <w:pStyle w:val="ListParagraph"/>
        <w:ind w:left="993"/>
      </w:pPr>
    </w:p>
    <w:p w:rsidR="000D4494" w:rsidRPr="0049764D" w:rsidRDefault="001611C7" w:rsidP="00333C23">
      <w:pPr>
        <w:pStyle w:val="ListParagraph"/>
        <w:widowControl/>
        <w:numPr>
          <w:ilvl w:val="1"/>
          <w:numId w:val="2"/>
        </w:numPr>
        <w:rPr>
          <w:bCs/>
          <w:szCs w:val="22"/>
        </w:rPr>
      </w:pPr>
      <w:r w:rsidRPr="0049764D">
        <w:rPr>
          <w:bCs/>
          <w:szCs w:val="22"/>
        </w:rPr>
        <w:t>The PBAC considered that the claim of superior comparati</w:t>
      </w:r>
      <w:r w:rsidR="00FE53D7" w:rsidRPr="0049764D">
        <w:rPr>
          <w:bCs/>
          <w:szCs w:val="22"/>
        </w:rPr>
        <w:t xml:space="preserve">ve effectiveness was reasonable, but noted that it was difficult to </w:t>
      </w:r>
      <w:r w:rsidR="00FE53D7" w:rsidRPr="00BC0C24">
        <w:rPr>
          <w:bCs/>
          <w:szCs w:val="22"/>
        </w:rPr>
        <w:t>quantify the magnitude of this benefit</w:t>
      </w:r>
      <w:r w:rsidR="0049764D">
        <w:rPr>
          <w:bCs/>
          <w:szCs w:val="22"/>
        </w:rPr>
        <w:t xml:space="preserve"> accurately</w:t>
      </w:r>
      <w:r w:rsidR="00FE53D7" w:rsidRPr="00BC0C24">
        <w:rPr>
          <w:bCs/>
          <w:szCs w:val="22"/>
        </w:rPr>
        <w:t>.</w:t>
      </w:r>
    </w:p>
    <w:p w:rsidR="000D4494" w:rsidRPr="00E52AB7" w:rsidRDefault="000D4494" w:rsidP="00333C23">
      <w:pPr>
        <w:widowControl/>
        <w:rPr>
          <w:bCs/>
          <w:szCs w:val="22"/>
        </w:rPr>
      </w:pPr>
    </w:p>
    <w:p w:rsidR="001611C7" w:rsidRPr="0049764D" w:rsidRDefault="001611C7" w:rsidP="00333C23">
      <w:pPr>
        <w:pStyle w:val="ListParagraph"/>
        <w:widowControl/>
        <w:numPr>
          <w:ilvl w:val="1"/>
          <w:numId w:val="2"/>
        </w:numPr>
        <w:rPr>
          <w:bCs/>
          <w:szCs w:val="22"/>
        </w:rPr>
      </w:pPr>
      <w:r w:rsidRPr="00E52AB7">
        <w:rPr>
          <w:szCs w:val="22"/>
        </w:rPr>
        <w:t>The PBAC considered that the claim of non-inferior co</w:t>
      </w:r>
      <w:r w:rsidR="001E6686">
        <w:rPr>
          <w:szCs w:val="22"/>
        </w:rPr>
        <w:t xml:space="preserve">mparative safety </w:t>
      </w:r>
      <w:r w:rsidR="001E6686" w:rsidRPr="001E6686">
        <w:rPr>
          <w:szCs w:val="22"/>
        </w:rPr>
        <w:t>was reasonable, only in a selected population that to</w:t>
      </w:r>
      <w:r w:rsidR="001E6686">
        <w:rPr>
          <w:szCs w:val="22"/>
        </w:rPr>
        <w:t xml:space="preserve">lerated ACE inhibitor therapy. </w:t>
      </w:r>
      <w:r w:rsidR="001E6686" w:rsidRPr="001E6686">
        <w:rPr>
          <w:szCs w:val="22"/>
        </w:rPr>
        <w:t>This selected</w:t>
      </w:r>
      <w:r w:rsidR="001E6686">
        <w:rPr>
          <w:szCs w:val="22"/>
        </w:rPr>
        <w:t xml:space="preserve"> population may not be generalis</w:t>
      </w:r>
      <w:r w:rsidR="001E6686" w:rsidRPr="001E6686">
        <w:rPr>
          <w:szCs w:val="22"/>
        </w:rPr>
        <w:t>able to the proposed PBS population who are not necessarily pre-treated with an ACE inhibitor, and may be older and frailer</w:t>
      </w:r>
      <w:r w:rsidRPr="0049764D">
        <w:rPr>
          <w:szCs w:val="22"/>
        </w:rPr>
        <w:t>.</w:t>
      </w:r>
    </w:p>
    <w:p w:rsidR="00B60939" w:rsidRPr="0049764D" w:rsidRDefault="00B60939" w:rsidP="00B60939">
      <w:pPr>
        <w:ind w:left="720" w:hanging="720"/>
        <w:rPr>
          <w:szCs w:val="22"/>
        </w:rPr>
      </w:pPr>
    </w:p>
    <w:p w:rsidR="00B60939" w:rsidRPr="0049764D" w:rsidRDefault="00B60939" w:rsidP="00665967">
      <w:pPr>
        <w:pStyle w:val="Heading2"/>
      </w:pPr>
      <w:bookmarkStart w:id="12" w:name="_Toc440894572"/>
      <w:r w:rsidRPr="0049764D">
        <w:t>Economic analysis</w:t>
      </w:r>
      <w:bookmarkEnd w:id="12"/>
      <w:r w:rsidR="00491B3A" w:rsidRPr="0049764D">
        <w:t xml:space="preserve"> </w:t>
      </w:r>
    </w:p>
    <w:p w:rsidR="00B60939" w:rsidRPr="0049764D" w:rsidRDefault="00B60939" w:rsidP="00F2353E">
      <w:pPr>
        <w:keepNext/>
        <w:widowControl/>
        <w:ind w:left="720" w:hanging="720"/>
        <w:rPr>
          <w:szCs w:val="22"/>
        </w:rPr>
      </w:pPr>
    </w:p>
    <w:p w:rsidR="00275C5A" w:rsidRPr="0049764D" w:rsidRDefault="00D551D5" w:rsidP="001611C7">
      <w:pPr>
        <w:pStyle w:val="ListParagraph"/>
        <w:keepNext/>
        <w:widowControl/>
        <w:numPr>
          <w:ilvl w:val="1"/>
          <w:numId w:val="2"/>
        </w:numPr>
        <w:rPr>
          <w:szCs w:val="22"/>
        </w:rPr>
      </w:pPr>
      <w:r w:rsidRPr="0049764D">
        <w:t xml:space="preserve">The submission presented a cost-utility analysis based on the direct randomised trial, PARADIGM-HF. Sacubitril/valsartan was compared with enalapril, as a proxy for all ACE inhibitors. </w:t>
      </w:r>
    </w:p>
    <w:p w:rsidR="00D551D5" w:rsidRPr="0049764D" w:rsidRDefault="00D551D5" w:rsidP="00D551D5">
      <w:pPr>
        <w:pStyle w:val="ListParagraph"/>
        <w:widowControl/>
        <w:rPr>
          <w:szCs w:val="22"/>
        </w:rPr>
      </w:pPr>
    </w:p>
    <w:p w:rsidR="00275C5A" w:rsidRPr="0049764D" w:rsidRDefault="00275C5A" w:rsidP="0096683E">
      <w:pPr>
        <w:keepNext/>
        <w:keepLines/>
        <w:ind w:firstLine="720"/>
        <w:rPr>
          <w:rStyle w:val="CommentReference"/>
        </w:rPr>
      </w:pPr>
      <w:r w:rsidRPr="0049764D">
        <w:rPr>
          <w:rStyle w:val="CommentReference"/>
        </w:rPr>
        <w:t xml:space="preserve">Table </w:t>
      </w:r>
      <w:r w:rsidR="00B71186" w:rsidRPr="0049764D">
        <w:rPr>
          <w:rStyle w:val="CommentReference"/>
        </w:rPr>
        <w:t>8</w:t>
      </w:r>
      <w:r w:rsidRPr="0049764D">
        <w:rPr>
          <w:rStyle w:val="CommentReference"/>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5793"/>
      </w:tblGrid>
      <w:tr w:rsidR="00275C5A" w:rsidRPr="0049764D" w:rsidTr="000C6C9F">
        <w:tc>
          <w:tcPr>
            <w:tcW w:w="1529" w:type="pct"/>
            <w:shd w:val="clear" w:color="auto" w:fill="auto"/>
            <w:vAlign w:val="center"/>
          </w:tcPr>
          <w:p w:rsidR="00275C5A" w:rsidRPr="0049764D" w:rsidRDefault="00275C5A" w:rsidP="0096683E">
            <w:pPr>
              <w:keepNext/>
              <w:keepLines/>
              <w:jc w:val="left"/>
              <w:rPr>
                <w:rFonts w:ascii="Arial Narrow" w:hAnsi="Arial Narrow"/>
                <w:b/>
                <w:sz w:val="20"/>
              </w:rPr>
            </w:pPr>
            <w:r w:rsidRPr="0049764D">
              <w:rPr>
                <w:rFonts w:ascii="Arial Narrow" w:hAnsi="Arial Narrow"/>
                <w:b/>
                <w:sz w:val="20"/>
              </w:rPr>
              <w:t>Component</w:t>
            </w:r>
          </w:p>
        </w:tc>
        <w:tc>
          <w:tcPr>
            <w:tcW w:w="3471" w:type="pct"/>
            <w:shd w:val="clear" w:color="auto" w:fill="auto"/>
            <w:vAlign w:val="center"/>
          </w:tcPr>
          <w:p w:rsidR="00275C5A" w:rsidRPr="0049764D" w:rsidRDefault="00275C5A" w:rsidP="0096683E">
            <w:pPr>
              <w:keepNext/>
              <w:keepLines/>
              <w:jc w:val="center"/>
              <w:rPr>
                <w:rFonts w:ascii="Arial Narrow" w:hAnsi="Arial Narrow"/>
                <w:b/>
                <w:sz w:val="20"/>
              </w:rPr>
            </w:pPr>
            <w:r w:rsidRPr="0049764D">
              <w:rPr>
                <w:rFonts w:ascii="Arial Narrow" w:hAnsi="Arial Narrow"/>
                <w:b/>
                <w:sz w:val="20"/>
              </w:rPr>
              <w:t>Summary</w:t>
            </w:r>
          </w:p>
        </w:tc>
      </w:tr>
      <w:tr w:rsidR="00D551D5" w:rsidRPr="0049764D" w:rsidTr="00015817">
        <w:tc>
          <w:tcPr>
            <w:tcW w:w="1529" w:type="pct"/>
            <w:shd w:val="clear" w:color="auto" w:fill="auto"/>
            <w:vAlign w:val="center"/>
          </w:tcPr>
          <w:p w:rsidR="00D551D5" w:rsidRPr="0049764D" w:rsidRDefault="00D551D5" w:rsidP="0096683E">
            <w:pPr>
              <w:keepNext/>
              <w:keepLines/>
              <w:jc w:val="left"/>
              <w:rPr>
                <w:rFonts w:ascii="Arial Narrow" w:hAnsi="Arial Narrow"/>
                <w:sz w:val="20"/>
              </w:rPr>
            </w:pPr>
            <w:r w:rsidRPr="0049764D">
              <w:rPr>
                <w:rFonts w:ascii="Arial Narrow" w:hAnsi="Arial Narrow"/>
                <w:sz w:val="20"/>
              </w:rPr>
              <w:t>Time horizon</w:t>
            </w:r>
          </w:p>
        </w:tc>
        <w:tc>
          <w:tcPr>
            <w:tcW w:w="3471" w:type="pct"/>
            <w:shd w:val="clear" w:color="auto" w:fill="auto"/>
          </w:tcPr>
          <w:p w:rsidR="00D551D5" w:rsidRPr="0049764D" w:rsidRDefault="00D551D5" w:rsidP="00FF754D">
            <w:pPr>
              <w:keepNext/>
              <w:keepLines/>
              <w:rPr>
                <w:rFonts w:ascii="Arial Narrow" w:hAnsi="Arial Narrow"/>
                <w:sz w:val="20"/>
              </w:rPr>
            </w:pPr>
            <w:r w:rsidRPr="0049764D">
              <w:rPr>
                <w:rFonts w:ascii="Arial Narrow" w:hAnsi="Arial Narrow"/>
                <w:sz w:val="20"/>
              </w:rPr>
              <w:t>10 years in the base case versus median follow-up of 27.1 months in the trial</w:t>
            </w:r>
          </w:p>
        </w:tc>
      </w:tr>
      <w:tr w:rsidR="00D551D5" w:rsidRPr="0049764D" w:rsidTr="00015817">
        <w:tc>
          <w:tcPr>
            <w:tcW w:w="1529" w:type="pct"/>
            <w:shd w:val="clear" w:color="auto" w:fill="auto"/>
            <w:vAlign w:val="center"/>
          </w:tcPr>
          <w:p w:rsidR="00D551D5" w:rsidRPr="0049764D" w:rsidRDefault="00D551D5" w:rsidP="0096683E">
            <w:pPr>
              <w:keepNext/>
              <w:keepLines/>
              <w:jc w:val="left"/>
              <w:rPr>
                <w:rFonts w:ascii="Arial Narrow" w:hAnsi="Arial Narrow"/>
                <w:sz w:val="20"/>
              </w:rPr>
            </w:pPr>
            <w:r w:rsidRPr="0049764D">
              <w:rPr>
                <w:rFonts w:ascii="Arial Narrow" w:hAnsi="Arial Narrow"/>
                <w:sz w:val="20"/>
              </w:rPr>
              <w:t>Outcomes</w:t>
            </w:r>
          </w:p>
        </w:tc>
        <w:tc>
          <w:tcPr>
            <w:tcW w:w="3471" w:type="pct"/>
            <w:shd w:val="clear" w:color="auto" w:fill="auto"/>
          </w:tcPr>
          <w:p w:rsidR="00D551D5" w:rsidRPr="0049764D" w:rsidRDefault="00D551D5" w:rsidP="0096683E">
            <w:pPr>
              <w:keepNext/>
              <w:keepLines/>
              <w:rPr>
                <w:rFonts w:ascii="Arial Narrow" w:hAnsi="Arial Narrow"/>
                <w:sz w:val="20"/>
              </w:rPr>
            </w:pPr>
            <w:r w:rsidRPr="0049764D">
              <w:rPr>
                <w:rFonts w:ascii="Arial Narrow" w:hAnsi="Arial Narrow"/>
                <w:sz w:val="20"/>
              </w:rPr>
              <w:t>Life years gained and QALYs</w:t>
            </w:r>
          </w:p>
        </w:tc>
      </w:tr>
      <w:tr w:rsidR="00D551D5" w:rsidRPr="0049764D" w:rsidTr="00015817">
        <w:tc>
          <w:tcPr>
            <w:tcW w:w="1529" w:type="pct"/>
            <w:shd w:val="clear" w:color="auto" w:fill="auto"/>
            <w:vAlign w:val="center"/>
          </w:tcPr>
          <w:p w:rsidR="00D551D5" w:rsidRPr="0049764D" w:rsidRDefault="00D551D5" w:rsidP="0096683E">
            <w:pPr>
              <w:keepNext/>
              <w:keepLines/>
              <w:jc w:val="left"/>
              <w:rPr>
                <w:rFonts w:ascii="Arial Narrow" w:hAnsi="Arial Narrow"/>
                <w:sz w:val="20"/>
              </w:rPr>
            </w:pPr>
            <w:r w:rsidRPr="0049764D">
              <w:rPr>
                <w:rFonts w:ascii="Arial Narrow" w:hAnsi="Arial Narrow"/>
                <w:sz w:val="20"/>
              </w:rPr>
              <w:t>Methods used to generate results</w:t>
            </w:r>
          </w:p>
        </w:tc>
        <w:tc>
          <w:tcPr>
            <w:tcW w:w="3471" w:type="pct"/>
            <w:shd w:val="clear" w:color="auto" w:fill="auto"/>
          </w:tcPr>
          <w:p w:rsidR="00D551D5" w:rsidRPr="0049764D" w:rsidRDefault="00D551D5" w:rsidP="0096683E">
            <w:pPr>
              <w:pStyle w:val="Tabletext"/>
              <w:keepNext/>
              <w:keepLines/>
            </w:pPr>
            <w:r w:rsidRPr="0049764D">
              <w:t>Markov model, 1000-patient cohort expected value analysis.</w:t>
            </w:r>
          </w:p>
        </w:tc>
      </w:tr>
      <w:tr w:rsidR="00275C5A" w:rsidRPr="0049764D" w:rsidTr="000C6C9F">
        <w:tc>
          <w:tcPr>
            <w:tcW w:w="1529" w:type="pct"/>
            <w:shd w:val="clear" w:color="auto" w:fill="auto"/>
            <w:vAlign w:val="center"/>
          </w:tcPr>
          <w:p w:rsidR="00275C5A" w:rsidRPr="0049764D" w:rsidRDefault="00275C5A" w:rsidP="0096683E">
            <w:pPr>
              <w:keepNext/>
              <w:keepLines/>
              <w:jc w:val="left"/>
              <w:rPr>
                <w:rFonts w:ascii="Arial Narrow" w:hAnsi="Arial Narrow"/>
                <w:sz w:val="20"/>
              </w:rPr>
            </w:pPr>
            <w:r w:rsidRPr="0049764D">
              <w:rPr>
                <w:rFonts w:ascii="Arial Narrow" w:hAnsi="Arial Narrow"/>
                <w:sz w:val="20"/>
              </w:rPr>
              <w:t>Health states</w:t>
            </w:r>
          </w:p>
        </w:tc>
        <w:tc>
          <w:tcPr>
            <w:tcW w:w="3471" w:type="pct"/>
            <w:shd w:val="clear" w:color="auto" w:fill="auto"/>
            <w:vAlign w:val="center"/>
          </w:tcPr>
          <w:p w:rsidR="00275C5A" w:rsidRPr="0049764D" w:rsidRDefault="00D551D5" w:rsidP="0096683E">
            <w:pPr>
              <w:keepNext/>
              <w:keepLines/>
              <w:jc w:val="left"/>
              <w:rPr>
                <w:rFonts w:ascii="Arial Narrow" w:hAnsi="Arial Narrow"/>
                <w:sz w:val="20"/>
              </w:rPr>
            </w:pPr>
            <w:r w:rsidRPr="0049764D">
              <w:rPr>
                <w:rFonts w:ascii="Arial Narrow" w:hAnsi="Arial Narrow"/>
                <w:sz w:val="20"/>
              </w:rPr>
              <w:t>Alive (with HF) and dead. In the alive (with HF) health state, patients could experience: non-CV death; CV death; HF hospitalisation; CV hospitalisation; or a hypotensive adverse event.</w:t>
            </w:r>
            <w:r w:rsidRPr="0049764D">
              <w:t xml:space="preserve"> </w:t>
            </w:r>
            <w:r w:rsidRPr="0049764D">
              <w:rPr>
                <w:rFonts w:ascii="Arial Narrow" w:hAnsi="Arial Narrow"/>
                <w:sz w:val="20"/>
              </w:rPr>
              <w:t>Patients were distributed across the NYHA classes (I to IV) for the purposes of attributing a corresponding utility score.</w:t>
            </w:r>
          </w:p>
        </w:tc>
      </w:tr>
      <w:tr w:rsidR="00D551D5" w:rsidRPr="0049764D" w:rsidTr="00015817">
        <w:tc>
          <w:tcPr>
            <w:tcW w:w="1529" w:type="pct"/>
            <w:shd w:val="clear" w:color="auto" w:fill="auto"/>
            <w:vAlign w:val="center"/>
          </w:tcPr>
          <w:p w:rsidR="00D551D5" w:rsidRPr="0049764D" w:rsidRDefault="00D551D5" w:rsidP="0096683E">
            <w:pPr>
              <w:keepNext/>
              <w:keepLines/>
              <w:jc w:val="left"/>
              <w:rPr>
                <w:rFonts w:ascii="Arial Narrow" w:hAnsi="Arial Narrow"/>
                <w:sz w:val="20"/>
              </w:rPr>
            </w:pPr>
            <w:r w:rsidRPr="0049764D">
              <w:rPr>
                <w:rFonts w:ascii="Arial Narrow" w:hAnsi="Arial Narrow"/>
                <w:sz w:val="20"/>
              </w:rPr>
              <w:t>Cycle length</w:t>
            </w:r>
          </w:p>
        </w:tc>
        <w:tc>
          <w:tcPr>
            <w:tcW w:w="3471" w:type="pct"/>
            <w:shd w:val="clear" w:color="auto" w:fill="auto"/>
          </w:tcPr>
          <w:p w:rsidR="00D551D5" w:rsidRPr="0049764D" w:rsidRDefault="00D551D5" w:rsidP="00D62BAC">
            <w:pPr>
              <w:pStyle w:val="Tabletext"/>
              <w:keepNext/>
              <w:keepLines/>
            </w:pPr>
            <w:r w:rsidRPr="0049764D">
              <w:t xml:space="preserve">One month </w:t>
            </w:r>
          </w:p>
        </w:tc>
      </w:tr>
      <w:tr w:rsidR="00D551D5" w:rsidRPr="0049764D" w:rsidTr="00015817">
        <w:tc>
          <w:tcPr>
            <w:tcW w:w="1529" w:type="pct"/>
            <w:shd w:val="clear" w:color="auto" w:fill="auto"/>
            <w:vAlign w:val="center"/>
          </w:tcPr>
          <w:p w:rsidR="00D551D5" w:rsidRPr="0049764D" w:rsidRDefault="00D551D5" w:rsidP="0096683E">
            <w:pPr>
              <w:keepNext/>
              <w:keepLines/>
              <w:jc w:val="left"/>
              <w:rPr>
                <w:rFonts w:ascii="Arial Narrow" w:hAnsi="Arial Narrow"/>
                <w:sz w:val="20"/>
              </w:rPr>
            </w:pPr>
            <w:r w:rsidRPr="0049764D">
              <w:rPr>
                <w:rFonts w:ascii="Arial Narrow" w:hAnsi="Arial Narrow"/>
                <w:sz w:val="20"/>
              </w:rPr>
              <w:t>Transition probabilities</w:t>
            </w:r>
          </w:p>
        </w:tc>
        <w:tc>
          <w:tcPr>
            <w:tcW w:w="3471" w:type="pct"/>
            <w:shd w:val="clear" w:color="auto" w:fill="auto"/>
          </w:tcPr>
          <w:p w:rsidR="00D551D5" w:rsidRPr="0049764D" w:rsidRDefault="00D551D5" w:rsidP="0096683E">
            <w:pPr>
              <w:keepNext/>
              <w:keepLines/>
              <w:rPr>
                <w:rFonts w:ascii="Arial Narrow" w:hAnsi="Arial Narrow"/>
                <w:sz w:val="20"/>
              </w:rPr>
            </w:pPr>
            <w:r w:rsidRPr="0049764D">
              <w:rPr>
                <w:rFonts w:ascii="Arial Narrow" w:hAnsi="Arial Narrow"/>
                <w:sz w:val="20"/>
              </w:rPr>
              <w:t>For CV death based on extrapolation of KM curves using exponential distribution, with no adjustment for the older age of the cohort.</w:t>
            </w:r>
          </w:p>
          <w:p w:rsidR="00D551D5" w:rsidRPr="0049764D" w:rsidRDefault="00D551D5" w:rsidP="0096683E">
            <w:pPr>
              <w:keepNext/>
              <w:keepLines/>
              <w:rPr>
                <w:rFonts w:ascii="Arial Narrow" w:hAnsi="Arial Narrow"/>
                <w:sz w:val="20"/>
              </w:rPr>
            </w:pPr>
            <w:r w:rsidRPr="0049764D">
              <w:rPr>
                <w:rFonts w:ascii="Arial Narrow" w:hAnsi="Arial Narrow"/>
                <w:sz w:val="20"/>
              </w:rPr>
              <w:t>For other cause death, based on ABS life-tables and AIHW GRIM data, adjusted for the older age of the cohort.</w:t>
            </w:r>
          </w:p>
        </w:tc>
      </w:tr>
    </w:tbl>
    <w:p w:rsidR="00275C5A" w:rsidRPr="0049764D" w:rsidRDefault="00275C5A" w:rsidP="0096683E">
      <w:pPr>
        <w:pStyle w:val="TableFooter"/>
        <w:keepNext/>
        <w:keepLines/>
        <w:ind w:firstLine="720"/>
      </w:pPr>
      <w:r w:rsidRPr="0049764D">
        <w:t xml:space="preserve">Source: </w:t>
      </w:r>
      <w:r w:rsidR="004C27F5" w:rsidRPr="0049764D">
        <w:t>C</w:t>
      </w:r>
      <w:r w:rsidRPr="0049764D">
        <w:t>ompiled during the evaluation</w:t>
      </w:r>
    </w:p>
    <w:p w:rsidR="00D551D5" w:rsidRPr="0049764D" w:rsidRDefault="00D551D5" w:rsidP="0096683E">
      <w:pPr>
        <w:pStyle w:val="TableFooter"/>
        <w:keepNext/>
        <w:keepLines/>
        <w:ind w:left="709"/>
      </w:pPr>
      <w:r w:rsidRPr="0049764D">
        <w:t>ABS = Australian Bureau of Statistics; AIHW = Australian Institute of Health and Welfare; CV = cardiovascular; GRIM</w:t>
      </w:r>
      <w:r w:rsidR="00E30885" w:rsidRPr="0049764D">
        <w:t> </w:t>
      </w:r>
      <w:r w:rsidRPr="0049764D">
        <w:t>=</w:t>
      </w:r>
      <w:r w:rsidR="00E30885" w:rsidRPr="0049764D">
        <w:t> </w:t>
      </w:r>
      <w:r w:rsidRPr="0049764D">
        <w:t>General Record of Incidence of Mortality; HF = heart failure; KM = Kaplan-Meier; NYHA = New York Heart Association; QALY = quality-adjusted life year</w:t>
      </w:r>
    </w:p>
    <w:p w:rsidR="00B71186" w:rsidRPr="0049764D" w:rsidRDefault="00B71186" w:rsidP="00B71186">
      <w:pPr>
        <w:pStyle w:val="ListParagraph"/>
        <w:widowControl/>
      </w:pPr>
      <w:r w:rsidRPr="0049764D">
        <w:t xml:space="preserve"> </w:t>
      </w:r>
    </w:p>
    <w:p w:rsidR="00A92B65" w:rsidRPr="0049764D" w:rsidRDefault="00B71186" w:rsidP="001611C7">
      <w:pPr>
        <w:pStyle w:val="ListParagraph"/>
        <w:widowControl/>
        <w:numPr>
          <w:ilvl w:val="1"/>
          <w:numId w:val="2"/>
        </w:numPr>
      </w:pPr>
      <w:r w:rsidRPr="0049764D">
        <w:t xml:space="preserve">The model structure, as shown in Figure </w:t>
      </w:r>
      <w:r w:rsidR="00D62BAC" w:rsidRPr="0049764D">
        <w:t>2</w:t>
      </w:r>
      <w:r w:rsidRPr="0049764D">
        <w:t xml:space="preserve">, comprised two health states: alive (with heart failure) and dead. </w:t>
      </w:r>
      <w:r w:rsidR="00A92B65" w:rsidRPr="0049764D">
        <w:t>There were f</w:t>
      </w:r>
      <w:r w:rsidRPr="0049764D">
        <w:t xml:space="preserve">ive events </w:t>
      </w:r>
      <w:r w:rsidR="00A92B65" w:rsidRPr="0049764D">
        <w:t>that a patient could experience</w:t>
      </w:r>
      <w:r w:rsidRPr="0049764D">
        <w:t xml:space="preserve"> in the alive (with heart failure) health state</w:t>
      </w:r>
      <w:r w:rsidR="00026D34" w:rsidRPr="0049764D">
        <w:t xml:space="preserve"> each cycle</w:t>
      </w:r>
      <w:r w:rsidRPr="0049764D">
        <w:t xml:space="preserve">: non-cardiovascular death; cardiovascular death; hospitalisation due to heart failure; hospitalisation due to cardiovascular causes; or a hypotensive adverse event. </w:t>
      </w:r>
      <w:r w:rsidR="00A92B65" w:rsidRPr="0049764D">
        <w:t>Patients could have more than one of these events in each cycle.</w:t>
      </w:r>
    </w:p>
    <w:p w:rsidR="00B71186" w:rsidRPr="0049764D" w:rsidRDefault="00B71186" w:rsidP="00A92B65">
      <w:pPr>
        <w:pStyle w:val="ListParagraph"/>
        <w:widowControl/>
      </w:pPr>
    </w:p>
    <w:p w:rsidR="00B71186" w:rsidRPr="0049764D" w:rsidRDefault="00B71186" w:rsidP="00B71186">
      <w:pPr>
        <w:pStyle w:val="ListParagraph"/>
        <w:widowControl/>
      </w:pPr>
    </w:p>
    <w:p w:rsidR="00B71186" w:rsidRPr="0049764D" w:rsidRDefault="00B71186" w:rsidP="008B4582">
      <w:pPr>
        <w:keepNext/>
        <w:keepLines/>
        <w:ind w:firstLine="720"/>
        <w:rPr>
          <w:rStyle w:val="CommentReference"/>
        </w:rPr>
      </w:pPr>
      <w:r w:rsidRPr="0049764D">
        <w:rPr>
          <w:rStyle w:val="CommentReference"/>
        </w:rPr>
        <w:t xml:space="preserve">Figure </w:t>
      </w:r>
      <w:r w:rsidR="00D62BAC" w:rsidRPr="0049764D">
        <w:rPr>
          <w:rStyle w:val="CommentReference"/>
        </w:rPr>
        <w:t>2</w:t>
      </w:r>
      <w:r w:rsidRPr="0049764D">
        <w:rPr>
          <w:rStyle w:val="CommentReference"/>
        </w:rPr>
        <w:t xml:space="preserve">: Structure of the economic model </w:t>
      </w:r>
    </w:p>
    <w:p w:rsidR="00B71186" w:rsidRPr="0049764D" w:rsidRDefault="00B71186" w:rsidP="008B4582">
      <w:pPr>
        <w:keepNext/>
        <w:keepLines/>
        <w:ind w:left="709"/>
      </w:pPr>
      <w:r w:rsidRPr="00552074">
        <w:rPr>
          <w:rFonts w:ascii="Arial Narrow" w:hAnsi="Arial Narrow"/>
          <w:noProof/>
          <w:snapToGrid/>
          <w:lang w:eastAsia="en-AU"/>
        </w:rPr>
        <w:drawing>
          <wp:inline distT="0" distB="0" distL="0" distR="0" wp14:anchorId="64E7E32D" wp14:editId="2F032F08">
            <wp:extent cx="4638675" cy="3119887"/>
            <wp:effectExtent l="19050" t="19050" r="9525" b="23495"/>
            <wp:docPr id="2" name="Picture 2" title="Figure 2: Structure of the economic mod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7692" cy="3125952"/>
                    </a:xfrm>
                    <a:prstGeom prst="rect">
                      <a:avLst/>
                    </a:prstGeom>
                    <a:noFill/>
                    <a:ln>
                      <a:solidFill>
                        <a:schemeClr val="tx1"/>
                      </a:solidFill>
                    </a:ln>
                  </pic:spPr>
                </pic:pic>
              </a:graphicData>
            </a:graphic>
          </wp:inline>
        </w:drawing>
      </w:r>
    </w:p>
    <w:p w:rsidR="008B4582" w:rsidRPr="00E52AB7" w:rsidRDefault="008B4582" w:rsidP="008B4582">
      <w:pPr>
        <w:pStyle w:val="TableFooter"/>
        <w:keepNext/>
        <w:keepLines/>
        <w:ind w:left="709"/>
      </w:pPr>
      <w:r w:rsidRPr="00E52AB7">
        <w:t>Source: Figure 40, p239 of the submission</w:t>
      </w:r>
    </w:p>
    <w:p w:rsidR="008B4582" w:rsidRPr="0049764D" w:rsidRDefault="008B4582" w:rsidP="008B4582">
      <w:pPr>
        <w:pStyle w:val="TableFooter"/>
        <w:keepNext/>
        <w:keepLines/>
        <w:ind w:left="709"/>
      </w:pPr>
      <w:r w:rsidRPr="0049764D">
        <w:t>AE = adverse events; CV = cardiovascular; HF = heart failure; NYHA = New York Heart Association</w:t>
      </w:r>
    </w:p>
    <w:p w:rsidR="008B4582" w:rsidRPr="0049764D" w:rsidRDefault="008B4582" w:rsidP="008B4582">
      <w:pPr>
        <w:pStyle w:val="ListParagraph"/>
        <w:widowControl/>
      </w:pPr>
    </w:p>
    <w:p w:rsidR="009C1599" w:rsidRPr="0049764D" w:rsidRDefault="00B71186" w:rsidP="001611C7">
      <w:pPr>
        <w:pStyle w:val="ListParagraph"/>
        <w:widowControl/>
        <w:numPr>
          <w:ilvl w:val="1"/>
          <w:numId w:val="2"/>
        </w:numPr>
      </w:pPr>
      <w:r w:rsidRPr="0049764D">
        <w:t>Patients in the alive (with heart failure) health state were distributed across the classes of NYHA heart failure (I to IV)</w:t>
      </w:r>
      <w:r w:rsidR="009C1599" w:rsidRPr="0049764D">
        <w:t xml:space="preserve">, </w:t>
      </w:r>
      <w:r w:rsidR="00CE4293" w:rsidRPr="0049764D">
        <w:t xml:space="preserve">and this </w:t>
      </w:r>
      <w:r w:rsidR="009C1599" w:rsidRPr="0049764D">
        <w:t xml:space="preserve">was </w:t>
      </w:r>
      <w:r w:rsidR="00CE4293" w:rsidRPr="0049764D">
        <w:t xml:space="preserve">only </w:t>
      </w:r>
      <w:r w:rsidR="009C1599" w:rsidRPr="0049764D">
        <w:t>used for</w:t>
      </w:r>
      <w:r w:rsidR="00CE4293" w:rsidRPr="0049764D">
        <w:t xml:space="preserve"> the purpose of</w:t>
      </w:r>
      <w:r w:rsidR="009C1599" w:rsidRPr="0049764D">
        <w:t xml:space="preserve"> </w:t>
      </w:r>
      <w:r w:rsidRPr="0049764D">
        <w:t>attribut</w:t>
      </w:r>
      <w:r w:rsidR="009C1599" w:rsidRPr="0049764D">
        <w:t>ing</w:t>
      </w:r>
      <w:r w:rsidRPr="0049764D">
        <w:t xml:space="preserve"> a corresponding utility score. </w:t>
      </w:r>
      <w:r w:rsidR="009C1599" w:rsidRPr="0049764D">
        <w:t>T</w:t>
      </w:r>
      <w:r w:rsidRPr="0049764D">
        <w:t>ransitions between disease severities</w:t>
      </w:r>
      <w:r w:rsidR="009C1599" w:rsidRPr="0049764D">
        <w:t xml:space="preserve"> were not explicitly modelled</w:t>
      </w:r>
      <w:r w:rsidRPr="0049764D">
        <w:t xml:space="preserve">. </w:t>
      </w:r>
      <w:r w:rsidR="00D96E48" w:rsidRPr="0049764D">
        <w:t>Therefore, in the model, rates of events were independent of previous events or disease severity.</w:t>
      </w:r>
    </w:p>
    <w:p w:rsidR="009C1599" w:rsidRPr="0049764D" w:rsidRDefault="009C1599" w:rsidP="009C1599">
      <w:pPr>
        <w:pStyle w:val="ListParagraph"/>
        <w:widowControl/>
      </w:pPr>
    </w:p>
    <w:p w:rsidR="009C1599" w:rsidRPr="0049764D" w:rsidRDefault="009C1599" w:rsidP="001611C7">
      <w:pPr>
        <w:pStyle w:val="ListParagraph"/>
        <w:widowControl/>
        <w:numPr>
          <w:ilvl w:val="1"/>
          <w:numId w:val="2"/>
        </w:numPr>
      </w:pPr>
      <w:r w:rsidRPr="0049764D">
        <w:t xml:space="preserve">The </w:t>
      </w:r>
      <w:r w:rsidR="00430B9D" w:rsidRPr="0049764D">
        <w:t xml:space="preserve">two-state </w:t>
      </w:r>
      <w:r w:rsidRPr="0049764D">
        <w:t xml:space="preserve">model structure </w:t>
      </w:r>
      <w:r w:rsidR="00D62BAC" w:rsidRPr="0049764D">
        <w:t xml:space="preserve">did </w:t>
      </w:r>
      <w:r w:rsidRPr="0049764D">
        <w:t xml:space="preserve">not accurately reflect disease progression through hospitalisation and rehospitalisation and through different </w:t>
      </w:r>
      <w:r w:rsidR="00D96E48" w:rsidRPr="0049764D">
        <w:t xml:space="preserve">NYHA </w:t>
      </w:r>
      <w:r w:rsidRPr="0049764D">
        <w:t>functional classes of heart failure. This does not reflect the progressive nature of heart failure.</w:t>
      </w:r>
      <w:r w:rsidR="00430B9D" w:rsidRPr="0049764D">
        <w:rPr>
          <w:i/>
        </w:rPr>
        <w:t xml:space="preserve"> </w:t>
      </w:r>
      <w:r w:rsidR="00430B9D" w:rsidRPr="0049764D">
        <w:t>The ESC considered that the failure of the model to better reflect disease progression meant that it was unlikely to be reliable for estimating incremental cost-effectiveness.</w:t>
      </w:r>
    </w:p>
    <w:p w:rsidR="007A008C" w:rsidRPr="0049764D" w:rsidRDefault="007A008C" w:rsidP="007A008C">
      <w:pPr>
        <w:pStyle w:val="ListParagraph"/>
      </w:pPr>
    </w:p>
    <w:p w:rsidR="009C1599" w:rsidRPr="0049764D" w:rsidRDefault="007A008C" w:rsidP="009C1599">
      <w:pPr>
        <w:pStyle w:val="ListParagraph"/>
        <w:numPr>
          <w:ilvl w:val="1"/>
          <w:numId w:val="2"/>
        </w:numPr>
      </w:pPr>
      <w:r w:rsidRPr="0049764D">
        <w:t xml:space="preserve">The assumption that NYHA class distribution will remain the same beyond 24 months in the trial was not reasonable or supported. </w:t>
      </w:r>
    </w:p>
    <w:p w:rsidR="007A008C" w:rsidRPr="0049764D" w:rsidRDefault="007A008C" w:rsidP="007A008C"/>
    <w:p w:rsidR="00430B9D" w:rsidRPr="0049764D" w:rsidRDefault="00026D34" w:rsidP="001611C7">
      <w:pPr>
        <w:pStyle w:val="ListParagraph"/>
        <w:widowControl/>
        <w:numPr>
          <w:ilvl w:val="1"/>
          <w:numId w:val="2"/>
        </w:numPr>
      </w:pPr>
      <w:r w:rsidRPr="0049764D">
        <w:t xml:space="preserve">Cardiovascular mortality, which was a key driver of the model, was based on </w:t>
      </w:r>
      <w:r w:rsidR="009C1599" w:rsidRPr="0049764D">
        <w:t>trial data until median follow-up, then extrapolated using the best-fitting parametric curve. In the model, the underlying risk of cardiovascular mortality was assumed to be the same as that of the patients in PARADIGM-HF, and was assumed to be independent of age</w:t>
      </w:r>
      <w:r w:rsidR="00F2353E" w:rsidRPr="0049764D">
        <w:t>, NYHA class</w:t>
      </w:r>
      <w:r w:rsidR="009C1599" w:rsidRPr="0049764D">
        <w:t xml:space="preserve"> and other co-variates. Th</w:t>
      </w:r>
      <w:r w:rsidR="00D96E48" w:rsidRPr="0049764D">
        <w:t>us</w:t>
      </w:r>
      <w:r w:rsidR="009C1599" w:rsidRPr="0049764D">
        <w:t xml:space="preserve">, the underlying cardiovascular mortality </w:t>
      </w:r>
      <w:r w:rsidR="00D96E48" w:rsidRPr="0049764D">
        <w:t>was based on a cohort of patients with an average age of 64</w:t>
      </w:r>
      <w:r w:rsidR="00A75138" w:rsidRPr="0049764D">
        <w:t xml:space="preserve"> years</w:t>
      </w:r>
      <w:r w:rsidR="00D96E48" w:rsidRPr="0049764D">
        <w:t>, who had completed a run-in period (the run-in period filtered out the patients with the most severe disease).</w:t>
      </w:r>
      <w:r w:rsidR="00F2353E" w:rsidRPr="0049764D">
        <w:t xml:space="preserve"> </w:t>
      </w:r>
      <w:r w:rsidR="002B7EDF" w:rsidRPr="0049764D">
        <w:t xml:space="preserve">Further, over half of the randomised patients were diagnosed more than two years prior to entering the trial, and so might reflect a relatively stable population. </w:t>
      </w:r>
      <w:r w:rsidR="00F2353E" w:rsidRPr="0049764D">
        <w:t>As such</w:t>
      </w:r>
      <w:r w:rsidR="00A75138" w:rsidRPr="0049764D">
        <w:t>,</w:t>
      </w:r>
      <w:r w:rsidR="001A611B" w:rsidRPr="0049764D">
        <w:t xml:space="preserve"> the model did not </w:t>
      </w:r>
      <w:r w:rsidR="0001024D" w:rsidRPr="0049764D">
        <w:t>reflect the</w:t>
      </w:r>
      <w:r w:rsidR="001A611B" w:rsidRPr="0049764D">
        <w:t xml:space="preserve"> different baseline risk in the PBS population compared with the trial population.</w:t>
      </w:r>
      <w:r w:rsidR="00D96E48" w:rsidRPr="0049764D">
        <w:t xml:space="preserve"> </w:t>
      </w:r>
      <w:r w:rsidR="007E3B9D" w:rsidRPr="0049764D">
        <w:t>This was not appropriate as p</w:t>
      </w:r>
      <w:r w:rsidR="0096683E" w:rsidRPr="0049764D">
        <w:t>atients aged 75</w:t>
      </w:r>
      <w:r w:rsidR="00A75138" w:rsidRPr="0049764D">
        <w:t xml:space="preserve"> years</w:t>
      </w:r>
      <w:r w:rsidR="0096683E" w:rsidRPr="0049764D">
        <w:t xml:space="preserve"> and over ha</w:t>
      </w:r>
      <w:r w:rsidR="007E3B9D" w:rsidRPr="0049764D">
        <w:t>ve</w:t>
      </w:r>
      <w:r w:rsidR="0096683E" w:rsidRPr="0049764D">
        <w:t xml:space="preserve"> higher cardiovascular mortality than those under 75</w:t>
      </w:r>
      <w:r w:rsidR="00A75138" w:rsidRPr="0049764D">
        <w:t xml:space="preserve"> years</w:t>
      </w:r>
      <w:r w:rsidR="0096683E" w:rsidRPr="0049764D">
        <w:t xml:space="preserve"> (in the </w:t>
      </w:r>
      <w:r w:rsidR="00421682" w:rsidRPr="0049764D">
        <w:t xml:space="preserve">enalapril arm of the </w:t>
      </w:r>
      <w:r w:rsidR="0096683E" w:rsidRPr="0049764D">
        <w:t xml:space="preserve">trial, 17% of patients aged 75 </w:t>
      </w:r>
      <w:r w:rsidR="00A75138" w:rsidRPr="0049764D">
        <w:t xml:space="preserve">years </w:t>
      </w:r>
      <w:r w:rsidR="0096683E" w:rsidRPr="0049764D">
        <w:t xml:space="preserve">and over died due to cardiovascular causes, compared </w:t>
      </w:r>
      <w:r w:rsidR="007E3B9D" w:rsidRPr="0049764D">
        <w:t>with</w:t>
      </w:r>
      <w:r w:rsidR="0096683E" w:rsidRPr="0049764D">
        <w:t xml:space="preserve"> 12.5% of those under 75</w:t>
      </w:r>
      <w:r w:rsidR="00A75138" w:rsidRPr="0049764D">
        <w:t xml:space="preserve"> years</w:t>
      </w:r>
      <w:r w:rsidR="0096683E" w:rsidRPr="0049764D">
        <w:t>).</w:t>
      </w:r>
      <w:r w:rsidR="007A008C" w:rsidRPr="0049764D">
        <w:t xml:space="preserve"> The model did not adequately adjust for a different baseline cardiovascular risk in the Australian population compared with the trial population.</w:t>
      </w:r>
    </w:p>
    <w:p w:rsidR="00430B9D" w:rsidRPr="0049764D" w:rsidRDefault="00430B9D" w:rsidP="00430B9D">
      <w:pPr>
        <w:pStyle w:val="ListParagraph"/>
        <w:widowControl/>
      </w:pPr>
    </w:p>
    <w:p w:rsidR="00B71186" w:rsidRPr="0049764D" w:rsidRDefault="00430B9D" w:rsidP="001611C7">
      <w:pPr>
        <w:pStyle w:val="ListParagraph"/>
        <w:widowControl/>
        <w:numPr>
          <w:ilvl w:val="1"/>
          <w:numId w:val="2"/>
        </w:numPr>
      </w:pPr>
      <w:r w:rsidRPr="0049764D">
        <w:t>In the model, half of the patients were still alive at ten years, despite a starting age of 75 years.</w:t>
      </w:r>
      <w:r w:rsidR="00F2353E" w:rsidRPr="0049764D">
        <w:t xml:space="preserve"> </w:t>
      </w:r>
      <w:r w:rsidRPr="0049764D">
        <w:t>T</w:t>
      </w:r>
      <w:r w:rsidR="00F2353E" w:rsidRPr="0049764D">
        <w:t>he external validity of the model was not tested.</w:t>
      </w:r>
    </w:p>
    <w:p w:rsidR="007A008C" w:rsidRPr="0049764D" w:rsidRDefault="007A008C" w:rsidP="007A008C">
      <w:pPr>
        <w:pStyle w:val="ListParagraph"/>
      </w:pPr>
    </w:p>
    <w:p w:rsidR="007A008C" w:rsidRPr="0049764D" w:rsidRDefault="007A008C" w:rsidP="001611C7">
      <w:pPr>
        <w:pStyle w:val="ListParagraph"/>
        <w:widowControl/>
        <w:numPr>
          <w:ilvl w:val="1"/>
          <w:numId w:val="2"/>
        </w:numPr>
      </w:pPr>
      <w:r w:rsidRPr="0049764D">
        <w:t>Costs in the model were incurred independently of NYHA risk. Costs were significantly underestimated</w:t>
      </w:r>
    </w:p>
    <w:p w:rsidR="001A611B" w:rsidRPr="0049764D" w:rsidRDefault="001A611B" w:rsidP="00B71186">
      <w:pPr>
        <w:pStyle w:val="ListParagraph"/>
        <w:widowControl/>
      </w:pPr>
    </w:p>
    <w:p w:rsidR="00275C5A" w:rsidRPr="0049764D" w:rsidRDefault="00E30885" w:rsidP="001611C7">
      <w:pPr>
        <w:pStyle w:val="ListParagraph"/>
        <w:widowControl/>
        <w:numPr>
          <w:ilvl w:val="1"/>
          <w:numId w:val="2"/>
        </w:numPr>
        <w:rPr>
          <w:szCs w:val="22"/>
        </w:rPr>
      </w:pPr>
      <w:r w:rsidRPr="0049764D">
        <w:t xml:space="preserve">Table </w:t>
      </w:r>
      <w:r w:rsidR="00026D34" w:rsidRPr="0049764D">
        <w:t>9</w:t>
      </w:r>
      <w:r w:rsidRPr="0049764D">
        <w:t xml:space="preserve"> presents the key drivers of the economic model.</w:t>
      </w:r>
    </w:p>
    <w:p w:rsidR="00E30885" w:rsidRPr="0049764D" w:rsidRDefault="00E30885" w:rsidP="00E30885">
      <w:pPr>
        <w:pStyle w:val="ListParagraph"/>
        <w:widowControl/>
        <w:rPr>
          <w:szCs w:val="22"/>
        </w:rPr>
      </w:pPr>
    </w:p>
    <w:p w:rsidR="00D110BD" w:rsidRPr="0049764D" w:rsidRDefault="00D110BD" w:rsidP="008B4582">
      <w:pPr>
        <w:keepNext/>
        <w:keepLines/>
        <w:ind w:firstLine="720"/>
        <w:rPr>
          <w:rStyle w:val="CommentReference"/>
        </w:rPr>
      </w:pPr>
      <w:r w:rsidRPr="0049764D">
        <w:rPr>
          <w:rStyle w:val="CommentReference"/>
        </w:rPr>
        <w:t xml:space="preserve">Table </w:t>
      </w:r>
      <w:r w:rsidR="00026D34" w:rsidRPr="0049764D">
        <w:rPr>
          <w:rStyle w:val="CommentReference"/>
        </w:rPr>
        <w:t>9</w:t>
      </w:r>
      <w:r w:rsidRPr="0049764D">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0"/>
        <w:gridCol w:w="4111"/>
        <w:gridCol w:w="2534"/>
      </w:tblGrid>
      <w:tr w:rsidR="00D110BD" w:rsidRPr="0049764D" w:rsidTr="001A611B">
        <w:trPr>
          <w:tblHeader/>
        </w:trPr>
        <w:tc>
          <w:tcPr>
            <w:tcW w:w="1019" w:type="pct"/>
            <w:shd w:val="clear" w:color="auto" w:fill="auto"/>
            <w:vAlign w:val="center"/>
          </w:tcPr>
          <w:p w:rsidR="00D110BD" w:rsidRPr="00BC0C24" w:rsidRDefault="00D110BD" w:rsidP="008B4582">
            <w:pPr>
              <w:keepNext/>
              <w:keepLines/>
              <w:jc w:val="left"/>
              <w:rPr>
                <w:rFonts w:ascii="Arial Narrow" w:hAnsi="Arial Narrow"/>
                <w:b/>
                <w:sz w:val="20"/>
              </w:rPr>
            </w:pPr>
            <w:r w:rsidRPr="00BC0C24">
              <w:rPr>
                <w:rFonts w:ascii="Arial Narrow" w:hAnsi="Arial Narrow"/>
                <w:b/>
                <w:sz w:val="20"/>
              </w:rPr>
              <w:t>Description</w:t>
            </w:r>
          </w:p>
        </w:tc>
        <w:tc>
          <w:tcPr>
            <w:tcW w:w="2463" w:type="pct"/>
            <w:shd w:val="clear" w:color="auto" w:fill="auto"/>
            <w:vAlign w:val="center"/>
          </w:tcPr>
          <w:p w:rsidR="00D110BD" w:rsidRPr="00BC0C24" w:rsidRDefault="00D110BD" w:rsidP="008B4582">
            <w:pPr>
              <w:keepNext/>
              <w:keepLines/>
              <w:jc w:val="left"/>
              <w:rPr>
                <w:rFonts w:ascii="Arial Narrow" w:hAnsi="Arial Narrow"/>
                <w:b/>
                <w:sz w:val="20"/>
              </w:rPr>
            </w:pPr>
            <w:r w:rsidRPr="00BC0C24">
              <w:rPr>
                <w:rFonts w:ascii="Arial Narrow" w:hAnsi="Arial Narrow"/>
                <w:b/>
                <w:sz w:val="20"/>
              </w:rPr>
              <w:t>Method/Value</w:t>
            </w:r>
          </w:p>
        </w:tc>
        <w:tc>
          <w:tcPr>
            <w:tcW w:w="1518" w:type="pct"/>
            <w:shd w:val="clear" w:color="auto" w:fill="auto"/>
            <w:vAlign w:val="center"/>
          </w:tcPr>
          <w:p w:rsidR="00D110BD" w:rsidRPr="00BC0C24" w:rsidRDefault="00D110BD" w:rsidP="008B4582">
            <w:pPr>
              <w:keepNext/>
              <w:keepLines/>
              <w:jc w:val="left"/>
              <w:rPr>
                <w:rFonts w:ascii="Arial Narrow" w:hAnsi="Arial Narrow"/>
                <w:b/>
                <w:sz w:val="20"/>
              </w:rPr>
            </w:pPr>
            <w:r w:rsidRPr="00BC0C24">
              <w:rPr>
                <w:rFonts w:ascii="Arial Narrow" w:hAnsi="Arial Narrow"/>
                <w:b/>
                <w:sz w:val="20"/>
              </w:rPr>
              <w:t>Impact</w:t>
            </w:r>
          </w:p>
        </w:tc>
      </w:tr>
      <w:tr w:rsidR="008A2AD2" w:rsidRPr="0049764D" w:rsidTr="001A611B">
        <w:tc>
          <w:tcPr>
            <w:tcW w:w="1019" w:type="pct"/>
            <w:shd w:val="clear" w:color="auto" w:fill="auto"/>
            <w:vAlign w:val="center"/>
          </w:tcPr>
          <w:p w:rsidR="008A2AD2" w:rsidRPr="00BC0C24" w:rsidRDefault="008A2AD2" w:rsidP="008B4582">
            <w:pPr>
              <w:keepNext/>
              <w:keepLines/>
              <w:jc w:val="left"/>
              <w:rPr>
                <w:rFonts w:ascii="Arial Narrow" w:hAnsi="Arial Narrow"/>
                <w:sz w:val="20"/>
              </w:rPr>
            </w:pPr>
            <w:r w:rsidRPr="00BC0C24">
              <w:rPr>
                <w:rFonts w:ascii="Arial Narrow" w:hAnsi="Arial Narrow"/>
                <w:sz w:val="20"/>
              </w:rPr>
              <w:t>Risk of CV death</w:t>
            </w:r>
          </w:p>
        </w:tc>
        <w:tc>
          <w:tcPr>
            <w:tcW w:w="2463" w:type="pct"/>
            <w:shd w:val="clear" w:color="auto" w:fill="auto"/>
            <w:vAlign w:val="center"/>
          </w:tcPr>
          <w:p w:rsidR="008A2AD2" w:rsidRPr="00BC0C24" w:rsidRDefault="008A2AD2" w:rsidP="008B4582">
            <w:pPr>
              <w:keepNext/>
              <w:keepLines/>
              <w:jc w:val="left"/>
              <w:rPr>
                <w:rFonts w:ascii="Arial Narrow" w:hAnsi="Arial Narrow"/>
                <w:sz w:val="20"/>
              </w:rPr>
            </w:pPr>
            <w:r w:rsidRPr="00BC0C24">
              <w:rPr>
                <w:rFonts w:ascii="Arial Narrow" w:hAnsi="Arial Narrow"/>
                <w:sz w:val="20"/>
              </w:rPr>
              <w:t xml:space="preserve">KM data from trial until median follow-up, then extrapolation using the exponential function, with no adjustment for the older age of the cohort </w:t>
            </w:r>
          </w:p>
        </w:tc>
        <w:tc>
          <w:tcPr>
            <w:tcW w:w="1518" w:type="pct"/>
            <w:shd w:val="clear" w:color="auto" w:fill="auto"/>
            <w:vAlign w:val="center"/>
          </w:tcPr>
          <w:p w:rsidR="008A2AD2" w:rsidRPr="00BC0C24" w:rsidRDefault="008A2AD2" w:rsidP="008B4582">
            <w:pPr>
              <w:keepNext/>
              <w:keepLines/>
              <w:jc w:val="left"/>
              <w:rPr>
                <w:rFonts w:ascii="Arial Narrow" w:hAnsi="Arial Narrow"/>
                <w:sz w:val="20"/>
              </w:rPr>
            </w:pPr>
            <w:r w:rsidRPr="00BC0C24">
              <w:rPr>
                <w:rFonts w:ascii="Arial Narrow" w:hAnsi="Arial Narrow"/>
                <w:sz w:val="20"/>
              </w:rPr>
              <w:t xml:space="preserve">High, favours sacubitril/valsartan </w:t>
            </w:r>
          </w:p>
        </w:tc>
      </w:tr>
      <w:tr w:rsidR="00D110BD" w:rsidRPr="0049764D" w:rsidTr="001A611B">
        <w:tc>
          <w:tcPr>
            <w:tcW w:w="1019" w:type="pct"/>
            <w:shd w:val="clear" w:color="auto" w:fill="auto"/>
            <w:vAlign w:val="center"/>
          </w:tcPr>
          <w:p w:rsidR="00D110BD" w:rsidRPr="00BC0C24" w:rsidRDefault="00D110BD" w:rsidP="008B4582">
            <w:pPr>
              <w:keepNext/>
              <w:keepLines/>
              <w:jc w:val="left"/>
              <w:rPr>
                <w:rFonts w:ascii="Arial Narrow" w:hAnsi="Arial Narrow"/>
                <w:sz w:val="20"/>
              </w:rPr>
            </w:pPr>
            <w:r w:rsidRPr="00BC0C24">
              <w:rPr>
                <w:rFonts w:ascii="Arial Narrow" w:hAnsi="Arial Narrow"/>
                <w:sz w:val="20"/>
              </w:rPr>
              <w:t>Time horizon</w:t>
            </w:r>
          </w:p>
        </w:tc>
        <w:tc>
          <w:tcPr>
            <w:tcW w:w="2463" w:type="pct"/>
            <w:shd w:val="clear" w:color="auto" w:fill="auto"/>
            <w:vAlign w:val="center"/>
          </w:tcPr>
          <w:p w:rsidR="00D110BD" w:rsidRPr="00BC0C24" w:rsidRDefault="00532E83" w:rsidP="008B4582">
            <w:pPr>
              <w:keepNext/>
              <w:keepLines/>
              <w:jc w:val="left"/>
              <w:rPr>
                <w:rFonts w:ascii="Arial Narrow" w:hAnsi="Arial Narrow"/>
                <w:sz w:val="20"/>
              </w:rPr>
            </w:pPr>
            <w:r w:rsidRPr="00BC0C24">
              <w:rPr>
                <w:rFonts w:ascii="Arial Narrow" w:hAnsi="Arial Narrow"/>
                <w:sz w:val="20"/>
              </w:rPr>
              <w:t>10</w:t>
            </w:r>
            <w:r w:rsidR="00D110BD" w:rsidRPr="00BC0C24">
              <w:rPr>
                <w:rFonts w:ascii="Arial Narrow" w:hAnsi="Arial Narrow"/>
                <w:sz w:val="20"/>
              </w:rPr>
              <w:t xml:space="preserve"> years; from </w:t>
            </w:r>
            <w:r w:rsidRPr="00BC0C24">
              <w:rPr>
                <w:rFonts w:ascii="Arial Narrow" w:hAnsi="Arial Narrow"/>
                <w:sz w:val="20"/>
              </w:rPr>
              <w:t>27.1</w:t>
            </w:r>
            <w:r w:rsidR="00D110BD" w:rsidRPr="00BC0C24">
              <w:rPr>
                <w:rFonts w:ascii="Arial Narrow" w:hAnsi="Arial Narrow"/>
                <w:sz w:val="20"/>
              </w:rPr>
              <w:t xml:space="preserve"> month</w:t>
            </w:r>
            <w:r w:rsidR="00801479" w:rsidRPr="00BC0C24">
              <w:rPr>
                <w:rFonts w:ascii="Arial Narrow" w:hAnsi="Arial Narrow"/>
                <w:sz w:val="20"/>
              </w:rPr>
              <w:t xml:space="preserve"> median follow-up in the </w:t>
            </w:r>
            <w:r w:rsidR="00D110BD" w:rsidRPr="00BC0C24">
              <w:rPr>
                <w:rFonts w:ascii="Arial Narrow" w:hAnsi="Arial Narrow"/>
                <w:sz w:val="20"/>
              </w:rPr>
              <w:t>trial</w:t>
            </w:r>
          </w:p>
        </w:tc>
        <w:tc>
          <w:tcPr>
            <w:tcW w:w="1518" w:type="pct"/>
            <w:shd w:val="clear" w:color="auto" w:fill="auto"/>
            <w:vAlign w:val="center"/>
          </w:tcPr>
          <w:p w:rsidR="00D110BD" w:rsidRPr="00BC0C24" w:rsidRDefault="00D110BD" w:rsidP="008B4582">
            <w:pPr>
              <w:keepNext/>
              <w:keepLines/>
              <w:jc w:val="left"/>
              <w:rPr>
                <w:rFonts w:ascii="Arial Narrow" w:hAnsi="Arial Narrow"/>
                <w:sz w:val="20"/>
              </w:rPr>
            </w:pPr>
            <w:r w:rsidRPr="00BC0C24">
              <w:rPr>
                <w:rFonts w:ascii="Arial Narrow" w:hAnsi="Arial Narrow"/>
                <w:sz w:val="20"/>
              </w:rPr>
              <w:t xml:space="preserve">High, favours </w:t>
            </w:r>
            <w:r w:rsidR="00532E83" w:rsidRPr="00BC0C24">
              <w:rPr>
                <w:rFonts w:ascii="Arial Narrow" w:hAnsi="Arial Narrow"/>
                <w:sz w:val="20"/>
              </w:rPr>
              <w:t xml:space="preserve">sacubitril/valsartan  </w:t>
            </w:r>
          </w:p>
        </w:tc>
      </w:tr>
      <w:tr w:rsidR="005A2100" w:rsidRPr="0049764D" w:rsidTr="001A611B">
        <w:tc>
          <w:tcPr>
            <w:tcW w:w="1019" w:type="pct"/>
            <w:shd w:val="clear" w:color="auto" w:fill="auto"/>
            <w:vAlign w:val="center"/>
          </w:tcPr>
          <w:p w:rsidR="005A2100" w:rsidRPr="00BC0C24" w:rsidRDefault="005A2100" w:rsidP="008B4582">
            <w:pPr>
              <w:keepNext/>
              <w:keepLines/>
              <w:jc w:val="left"/>
              <w:rPr>
                <w:rFonts w:ascii="Arial Narrow" w:hAnsi="Arial Narrow"/>
                <w:sz w:val="20"/>
              </w:rPr>
            </w:pPr>
            <w:r w:rsidRPr="00BC0C24">
              <w:rPr>
                <w:rFonts w:ascii="Arial Narrow" w:hAnsi="Arial Narrow"/>
                <w:sz w:val="20"/>
              </w:rPr>
              <w:t>Continuing treatment effect</w:t>
            </w:r>
          </w:p>
        </w:tc>
        <w:tc>
          <w:tcPr>
            <w:tcW w:w="2463" w:type="pct"/>
            <w:shd w:val="clear" w:color="auto" w:fill="auto"/>
            <w:vAlign w:val="center"/>
          </w:tcPr>
          <w:p w:rsidR="005A2100" w:rsidRPr="00BC0C24" w:rsidRDefault="00801479" w:rsidP="008B4582">
            <w:pPr>
              <w:keepNext/>
              <w:keepLines/>
              <w:jc w:val="left"/>
              <w:rPr>
                <w:rFonts w:ascii="Arial Narrow" w:hAnsi="Arial Narrow"/>
                <w:sz w:val="20"/>
              </w:rPr>
            </w:pPr>
            <w:r w:rsidRPr="00BC0C24">
              <w:rPr>
                <w:rFonts w:ascii="Arial Narrow" w:hAnsi="Arial Narrow"/>
                <w:sz w:val="20"/>
              </w:rPr>
              <w:t xml:space="preserve">KM data from trial until median follow-up, then extrapolation using the exponential function </w:t>
            </w:r>
          </w:p>
        </w:tc>
        <w:tc>
          <w:tcPr>
            <w:tcW w:w="1518" w:type="pct"/>
            <w:shd w:val="clear" w:color="auto" w:fill="auto"/>
          </w:tcPr>
          <w:p w:rsidR="005A2100" w:rsidRPr="0049764D" w:rsidRDefault="005A2100" w:rsidP="008B4582">
            <w:pPr>
              <w:keepNext/>
              <w:keepLines/>
              <w:jc w:val="left"/>
            </w:pPr>
            <w:r w:rsidRPr="00BC0C24">
              <w:rPr>
                <w:rFonts w:ascii="Arial Narrow" w:hAnsi="Arial Narrow"/>
                <w:sz w:val="20"/>
              </w:rPr>
              <w:t xml:space="preserve">High, favours sacubitril/valsartan  </w:t>
            </w:r>
          </w:p>
        </w:tc>
      </w:tr>
    </w:tbl>
    <w:p w:rsidR="00D110BD" w:rsidRPr="0049764D" w:rsidRDefault="00D110BD" w:rsidP="008B4582">
      <w:pPr>
        <w:pStyle w:val="TableFooter"/>
        <w:keepNext/>
        <w:keepLines/>
        <w:ind w:firstLine="720"/>
      </w:pPr>
      <w:r w:rsidRPr="0049764D">
        <w:t xml:space="preserve">Source: </w:t>
      </w:r>
      <w:r w:rsidR="004C27F5" w:rsidRPr="0049764D">
        <w:t>C</w:t>
      </w:r>
      <w:r w:rsidRPr="0049764D">
        <w:t>ompiled during the evaluation</w:t>
      </w:r>
    </w:p>
    <w:p w:rsidR="00801479" w:rsidRPr="0049764D" w:rsidRDefault="00801479" w:rsidP="008B4582">
      <w:pPr>
        <w:pStyle w:val="TableFooter"/>
        <w:keepNext/>
        <w:keepLines/>
        <w:ind w:firstLine="720"/>
      </w:pPr>
      <w:r w:rsidRPr="0049764D">
        <w:t>CV = cardiovascular; KM = Kaplan-Meier</w:t>
      </w:r>
    </w:p>
    <w:p w:rsidR="005A2100" w:rsidRPr="0049764D" w:rsidRDefault="005A2100" w:rsidP="00275C5A">
      <w:pPr>
        <w:widowControl/>
        <w:rPr>
          <w:i/>
        </w:rPr>
      </w:pPr>
    </w:p>
    <w:p w:rsidR="00801479" w:rsidRPr="0049764D" w:rsidRDefault="00801479" w:rsidP="001611C7">
      <w:pPr>
        <w:widowControl/>
        <w:numPr>
          <w:ilvl w:val="1"/>
          <w:numId w:val="2"/>
        </w:numPr>
        <w:contextualSpacing/>
        <w:rPr>
          <w:szCs w:val="22"/>
        </w:rPr>
      </w:pPr>
      <w:r w:rsidRPr="0049764D">
        <w:t xml:space="preserve">The results of the stepped economic evaluation are presented in the table below. </w:t>
      </w:r>
    </w:p>
    <w:p w:rsidR="00D110BD" w:rsidRPr="0049764D" w:rsidRDefault="00D110BD" w:rsidP="00D110BD">
      <w:pPr>
        <w:widowControl/>
        <w:rPr>
          <w:szCs w:val="22"/>
        </w:rPr>
      </w:pPr>
    </w:p>
    <w:p w:rsidR="00801479" w:rsidRPr="0049764D" w:rsidRDefault="00801479" w:rsidP="00801479">
      <w:pPr>
        <w:keepNext/>
        <w:keepLines/>
        <w:ind w:left="709"/>
        <w:rPr>
          <w:rStyle w:val="CommentReference"/>
        </w:rPr>
      </w:pPr>
      <w:r w:rsidRPr="0049764D">
        <w:rPr>
          <w:rStyle w:val="CommentReference"/>
        </w:rPr>
        <w:t xml:space="preserve">Table </w:t>
      </w:r>
      <w:r w:rsidR="001A611B" w:rsidRPr="0049764D">
        <w:rPr>
          <w:rStyle w:val="CommentReference"/>
        </w:rPr>
        <w:t>10</w:t>
      </w:r>
      <w:r w:rsidRPr="0049764D">
        <w:rPr>
          <w:rStyle w:val="CommentReference"/>
        </w:rPr>
        <w:t xml:space="preserve">: Results of the stepped economic evaluation </w:t>
      </w:r>
    </w:p>
    <w:tbl>
      <w:tblPr>
        <w:tblW w:w="463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43"/>
        <w:gridCol w:w="2148"/>
        <w:gridCol w:w="35"/>
        <w:gridCol w:w="2343"/>
        <w:gridCol w:w="2053"/>
      </w:tblGrid>
      <w:tr w:rsidR="00801479" w:rsidRPr="0049764D" w:rsidTr="00801479">
        <w:trPr>
          <w:tblHeader/>
        </w:trPr>
        <w:tc>
          <w:tcPr>
            <w:tcW w:w="1094" w:type="pct"/>
            <w:vAlign w:val="center"/>
          </w:tcPr>
          <w:p w:rsidR="00801479" w:rsidRPr="0049764D" w:rsidRDefault="00801479" w:rsidP="00015817">
            <w:pPr>
              <w:keepNext/>
              <w:keepLines/>
              <w:jc w:val="left"/>
              <w:rPr>
                <w:rFonts w:ascii="Arial Narrow" w:hAnsi="Arial Narrow" w:cs="Times New Roman"/>
                <w:b/>
                <w:sz w:val="20"/>
              </w:rPr>
            </w:pPr>
            <w:r w:rsidRPr="0049764D">
              <w:rPr>
                <w:rFonts w:ascii="Arial Narrow" w:hAnsi="Arial Narrow" w:cs="Times New Roman"/>
                <w:b/>
                <w:sz w:val="20"/>
              </w:rPr>
              <w:t>Step and component</w:t>
            </w:r>
          </w:p>
        </w:tc>
        <w:tc>
          <w:tcPr>
            <w:tcW w:w="1275" w:type="pct"/>
          </w:tcPr>
          <w:p w:rsidR="00801479" w:rsidRPr="0049764D" w:rsidRDefault="00801479" w:rsidP="00015817">
            <w:pPr>
              <w:keepNext/>
              <w:keepLines/>
              <w:jc w:val="center"/>
              <w:rPr>
                <w:rFonts w:ascii="Arial Narrow" w:hAnsi="Arial Narrow" w:cs="Times New Roman"/>
                <w:b/>
                <w:sz w:val="20"/>
              </w:rPr>
            </w:pPr>
            <w:r w:rsidRPr="0049764D">
              <w:rPr>
                <w:rFonts w:ascii="Arial Narrow" w:hAnsi="Arial Narrow" w:cs="Times New Roman"/>
                <w:b/>
                <w:sz w:val="20"/>
              </w:rPr>
              <w:t xml:space="preserve">Sacubitril/valsartan </w:t>
            </w:r>
          </w:p>
        </w:tc>
        <w:tc>
          <w:tcPr>
            <w:tcW w:w="1412" w:type="pct"/>
            <w:gridSpan w:val="2"/>
            <w:vAlign w:val="center"/>
          </w:tcPr>
          <w:p w:rsidR="00801479" w:rsidRPr="0049764D" w:rsidRDefault="00801479" w:rsidP="00015817">
            <w:pPr>
              <w:keepNext/>
              <w:keepLines/>
              <w:jc w:val="center"/>
              <w:rPr>
                <w:rFonts w:ascii="Arial Narrow" w:hAnsi="Arial Narrow" w:cs="Times New Roman"/>
                <w:b/>
                <w:sz w:val="20"/>
              </w:rPr>
            </w:pPr>
            <w:r w:rsidRPr="0049764D">
              <w:rPr>
                <w:rFonts w:ascii="Arial Narrow" w:hAnsi="Arial Narrow" w:cs="Times New Roman"/>
                <w:b/>
                <w:sz w:val="20"/>
              </w:rPr>
              <w:t>Enalapril</w:t>
            </w:r>
          </w:p>
        </w:tc>
        <w:tc>
          <w:tcPr>
            <w:tcW w:w="1219" w:type="pct"/>
          </w:tcPr>
          <w:p w:rsidR="00801479" w:rsidRPr="0049764D" w:rsidRDefault="00801479" w:rsidP="00015817">
            <w:pPr>
              <w:keepNext/>
              <w:keepLines/>
              <w:jc w:val="center"/>
              <w:rPr>
                <w:rFonts w:ascii="Arial Narrow" w:hAnsi="Arial Narrow" w:cs="Times New Roman"/>
                <w:b/>
                <w:sz w:val="20"/>
              </w:rPr>
            </w:pPr>
            <w:r w:rsidRPr="0049764D">
              <w:rPr>
                <w:rFonts w:ascii="Arial Narrow" w:hAnsi="Arial Narrow" w:cs="Times New Roman"/>
                <w:b/>
                <w:sz w:val="20"/>
              </w:rPr>
              <w:t>Increment</w:t>
            </w:r>
          </w:p>
        </w:tc>
      </w:tr>
      <w:tr w:rsidR="00801479" w:rsidRPr="0049764D" w:rsidTr="00801479">
        <w:tc>
          <w:tcPr>
            <w:tcW w:w="5000" w:type="pct"/>
            <w:gridSpan w:val="5"/>
            <w:vAlign w:val="center"/>
          </w:tcPr>
          <w:p w:rsidR="00801479" w:rsidRPr="0049764D" w:rsidRDefault="00801479" w:rsidP="00CE4293">
            <w:pPr>
              <w:keepNext/>
              <w:keepLines/>
              <w:jc w:val="left"/>
              <w:rPr>
                <w:rFonts w:ascii="Arial Narrow" w:hAnsi="Arial Narrow" w:cs="Arial Narrow"/>
                <w:b/>
                <w:bCs/>
                <w:sz w:val="20"/>
              </w:rPr>
            </w:pPr>
            <w:r w:rsidRPr="0049764D">
              <w:rPr>
                <w:rFonts w:ascii="Arial Narrow" w:hAnsi="Arial Narrow" w:cs="Arial Narrow"/>
                <w:b/>
                <w:bCs/>
                <w:sz w:val="20"/>
              </w:rPr>
              <w:t xml:space="preserve">Step 1: Trial-based costs and outcomes – 2.25 years (drug costs only)  </w:t>
            </w:r>
          </w:p>
        </w:tc>
      </w:tr>
      <w:tr w:rsidR="00801479" w:rsidRPr="0049764D" w:rsidTr="00801479">
        <w:tc>
          <w:tcPr>
            <w:tcW w:w="1094" w:type="pct"/>
            <w:vAlign w:val="center"/>
          </w:tcPr>
          <w:p w:rsidR="00801479" w:rsidRPr="0049764D" w:rsidRDefault="00801479" w:rsidP="00CE4293">
            <w:pPr>
              <w:keepNext/>
              <w:keepLines/>
              <w:jc w:val="left"/>
              <w:rPr>
                <w:rFonts w:ascii="Arial Narrow" w:hAnsi="Arial Narrow" w:cs="Times New Roman"/>
                <w:sz w:val="20"/>
                <w:vertAlign w:val="superscript"/>
              </w:rPr>
            </w:pPr>
            <w:r w:rsidRPr="0049764D">
              <w:rPr>
                <w:rFonts w:ascii="Arial Narrow" w:hAnsi="Arial Narrow" w:cs="Times New Roman"/>
                <w:sz w:val="20"/>
              </w:rPr>
              <w:t xml:space="preserve">Costs </w:t>
            </w:r>
          </w:p>
        </w:tc>
        <w:tc>
          <w:tcPr>
            <w:tcW w:w="1275" w:type="pct"/>
          </w:tcPr>
          <w:p w:rsidR="00801479" w:rsidRPr="0049764D" w:rsidRDefault="00801479" w:rsidP="00015817">
            <w:pPr>
              <w:keepNext/>
              <w:keepLines/>
              <w:jc w:val="right"/>
              <w:rPr>
                <w:rFonts w:ascii="Arial Narrow" w:hAnsi="Arial Narrow" w:cs="Times New Roman"/>
                <w:sz w:val="20"/>
              </w:rPr>
            </w:pPr>
            <w:r w:rsidRPr="0049764D">
              <w:rPr>
                <w:rFonts w:ascii="Arial Narrow" w:hAnsi="Arial Narrow" w:cs="Times New Roman"/>
                <w:sz w:val="20"/>
              </w:rPr>
              <w:t>$</w:t>
            </w:r>
            <w:r w:rsidR="0016314E">
              <w:rPr>
                <w:rFonts w:ascii="Arial Narrow" w:hAnsi="Arial Narrow" w:cs="Times New Roman"/>
                <w:noProof/>
                <w:color w:val="000000"/>
                <w:sz w:val="20"/>
                <w:highlight w:val="black"/>
              </w:rPr>
              <w:t>''''''''''''''''''''''''</w:t>
            </w:r>
          </w:p>
        </w:tc>
        <w:tc>
          <w:tcPr>
            <w:tcW w:w="1412" w:type="pct"/>
            <w:gridSpan w:val="2"/>
            <w:vAlign w:val="center"/>
          </w:tcPr>
          <w:p w:rsidR="00801479" w:rsidRPr="0049764D" w:rsidRDefault="00801479" w:rsidP="00015817">
            <w:pPr>
              <w:keepNext/>
              <w:keepLines/>
              <w:jc w:val="right"/>
              <w:rPr>
                <w:rFonts w:ascii="Arial Narrow" w:hAnsi="Arial Narrow" w:cs="Times New Roman"/>
                <w:sz w:val="20"/>
              </w:rPr>
            </w:pPr>
            <w:r w:rsidRPr="0049764D">
              <w:rPr>
                <w:rFonts w:ascii="Arial Narrow" w:hAnsi="Arial Narrow" w:cs="Times New Roman"/>
                <w:sz w:val="20"/>
              </w:rPr>
              <w:t>$</w:t>
            </w:r>
            <w:r w:rsidR="0016314E">
              <w:rPr>
                <w:rFonts w:ascii="Arial Narrow" w:hAnsi="Arial Narrow" w:cs="Times New Roman"/>
                <w:noProof/>
                <w:color w:val="000000"/>
                <w:sz w:val="20"/>
                <w:highlight w:val="black"/>
              </w:rPr>
              <w:t>''''''''''''''''''''''</w:t>
            </w:r>
          </w:p>
        </w:tc>
        <w:tc>
          <w:tcPr>
            <w:tcW w:w="1219" w:type="pct"/>
          </w:tcPr>
          <w:p w:rsidR="00801479" w:rsidRPr="0049764D" w:rsidRDefault="00801479" w:rsidP="00015817">
            <w:pPr>
              <w:keepNext/>
              <w:keepLines/>
              <w:jc w:val="right"/>
              <w:rPr>
                <w:rFonts w:ascii="Arial Narrow" w:hAnsi="Arial Narrow" w:cs="Times New Roman"/>
                <w:sz w:val="20"/>
              </w:rPr>
            </w:pPr>
            <w:r w:rsidRPr="0049764D">
              <w:rPr>
                <w:rFonts w:ascii="Arial Narrow" w:hAnsi="Arial Narrow" w:cs="Times New Roman"/>
                <w:sz w:val="20"/>
              </w:rPr>
              <w:t>$</w:t>
            </w:r>
            <w:r w:rsidR="0016314E">
              <w:rPr>
                <w:rFonts w:ascii="Arial Narrow" w:hAnsi="Arial Narrow" w:cs="Times New Roman"/>
                <w:noProof/>
                <w:color w:val="000000"/>
                <w:sz w:val="20"/>
                <w:highlight w:val="black"/>
              </w:rPr>
              <w:t>''''''''''''''''''''''''''''</w:t>
            </w:r>
          </w:p>
        </w:tc>
      </w:tr>
      <w:tr w:rsidR="00801479" w:rsidRPr="0049764D" w:rsidTr="00801479">
        <w:tc>
          <w:tcPr>
            <w:tcW w:w="1094" w:type="pct"/>
            <w:vAlign w:val="center"/>
          </w:tcPr>
          <w:p w:rsidR="00801479" w:rsidRPr="0049764D" w:rsidRDefault="00801479" w:rsidP="00015817">
            <w:pPr>
              <w:keepNext/>
              <w:keepLines/>
              <w:jc w:val="left"/>
              <w:rPr>
                <w:rFonts w:ascii="Arial Narrow" w:hAnsi="Arial Narrow" w:cs="Times New Roman"/>
                <w:sz w:val="20"/>
              </w:rPr>
            </w:pPr>
            <w:r w:rsidRPr="0049764D">
              <w:rPr>
                <w:rFonts w:ascii="Arial Narrow" w:hAnsi="Arial Narrow" w:cs="Times New Roman"/>
                <w:sz w:val="20"/>
              </w:rPr>
              <w:t>CV deaths</w:t>
            </w:r>
          </w:p>
        </w:tc>
        <w:tc>
          <w:tcPr>
            <w:tcW w:w="1275" w:type="pct"/>
          </w:tcPr>
          <w:p w:rsidR="00801479" w:rsidRPr="0016314E" w:rsidRDefault="0016314E" w:rsidP="00015817">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12" w:type="pct"/>
            <w:gridSpan w:val="2"/>
            <w:vAlign w:val="center"/>
          </w:tcPr>
          <w:p w:rsidR="00801479" w:rsidRPr="0016314E" w:rsidRDefault="0016314E" w:rsidP="00015817">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19" w:type="pct"/>
          </w:tcPr>
          <w:p w:rsidR="00801479" w:rsidRPr="0016314E" w:rsidRDefault="0016314E" w:rsidP="00015817">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801479" w:rsidRPr="0049764D" w:rsidTr="00801479">
        <w:tc>
          <w:tcPr>
            <w:tcW w:w="3781" w:type="pct"/>
            <w:gridSpan w:val="4"/>
            <w:vAlign w:val="center"/>
          </w:tcPr>
          <w:p w:rsidR="00801479" w:rsidRPr="0049764D" w:rsidRDefault="00801479" w:rsidP="00015817">
            <w:pPr>
              <w:keepNext/>
              <w:keepLines/>
              <w:jc w:val="left"/>
              <w:rPr>
                <w:rFonts w:ascii="Arial Narrow" w:hAnsi="Arial Narrow" w:cs="Times New Roman"/>
                <w:sz w:val="20"/>
              </w:rPr>
            </w:pPr>
            <w:r w:rsidRPr="0049764D">
              <w:rPr>
                <w:rFonts w:ascii="Arial Narrow" w:hAnsi="Arial Narrow" w:cs="Times New Roman"/>
                <w:b/>
                <w:snapToGrid/>
                <w:sz w:val="20"/>
              </w:rPr>
              <w:t>Incremental cost/CV death avoided</w:t>
            </w:r>
          </w:p>
        </w:tc>
        <w:tc>
          <w:tcPr>
            <w:tcW w:w="1219" w:type="pct"/>
          </w:tcPr>
          <w:p w:rsidR="00801479" w:rsidRPr="0049764D" w:rsidRDefault="00801479" w:rsidP="00015817">
            <w:pPr>
              <w:keepNext/>
              <w:keepLines/>
              <w:jc w:val="right"/>
              <w:rPr>
                <w:rFonts w:ascii="Arial Narrow" w:hAnsi="Arial Narrow" w:cs="Times New Roman"/>
                <w:sz w:val="20"/>
              </w:rPr>
            </w:pPr>
            <w:r w:rsidRPr="0049764D">
              <w:rPr>
                <w:rFonts w:ascii="Arial Narrow" w:hAnsi="Arial Narrow" w:cs="Times New Roman"/>
                <w:b/>
                <w:sz w:val="20"/>
              </w:rPr>
              <w:t>$</w:t>
            </w:r>
            <w:r w:rsidR="0016314E">
              <w:rPr>
                <w:rFonts w:ascii="Arial Narrow" w:hAnsi="Arial Narrow" w:cs="Times New Roman"/>
                <w:b/>
                <w:noProof/>
                <w:color w:val="000000"/>
                <w:sz w:val="20"/>
                <w:highlight w:val="black"/>
              </w:rPr>
              <w:t>'''''''''''''''</w:t>
            </w:r>
          </w:p>
        </w:tc>
      </w:tr>
      <w:tr w:rsidR="00801479" w:rsidRPr="0049764D" w:rsidTr="00801479">
        <w:tc>
          <w:tcPr>
            <w:tcW w:w="5000" w:type="pct"/>
            <w:gridSpan w:val="5"/>
            <w:vAlign w:val="center"/>
          </w:tcPr>
          <w:p w:rsidR="00801479" w:rsidRPr="0049764D" w:rsidRDefault="00801479" w:rsidP="00015817">
            <w:pPr>
              <w:keepNext/>
              <w:keepLines/>
              <w:jc w:val="left"/>
              <w:rPr>
                <w:rFonts w:ascii="Arial Narrow" w:hAnsi="Arial Narrow" w:cs="Arial Narrow"/>
                <w:b/>
                <w:bCs/>
                <w:sz w:val="20"/>
              </w:rPr>
            </w:pPr>
            <w:r w:rsidRPr="0049764D">
              <w:rPr>
                <w:rFonts w:ascii="Arial Narrow" w:hAnsi="Arial Narrow" w:cs="Arial Narrow"/>
                <w:b/>
                <w:bCs/>
                <w:sz w:val="20"/>
              </w:rPr>
              <w:t>Step 2: Modelled evaluation (utilities included)</w:t>
            </w:r>
          </w:p>
        </w:tc>
      </w:tr>
      <w:tr w:rsidR="00801479" w:rsidRPr="0049764D" w:rsidTr="00801479">
        <w:tc>
          <w:tcPr>
            <w:tcW w:w="1094" w:type="pct"/>
            <w:vAlign w:val="center"/>
          </w:tcPr>
          <w:p w:rsidR="00801479" w:rsidRPr="0049764D" w:rsidRDefault="00801479" w:rsidP="00015817">
            <w:pPr>
              <w:keepNext/>
              <w:keepLines/>
              <w:jc w:val="left"/>
              <w:rPr>
                <w:rFonts w:ascii="Arial Narrow" w:hAnsi="Arial Narrow" w:cs="Times New Roman"/>
                <w:sz w:val="20"/>
              </w:rPr>
            </w:pPr>
            <w:r w:rsidRPr="0049764D">
              <w:rPr>
                <w:rFonts w:ascii="Arial Narrow" w:hAnsi="Arial Narrow" w:cs="Times New Roman"/>
                <w:sz w:val="20"/>
              </w:rPr>
              <w:t>Costs</w:t>
            </w:r>
          </w:p>
        </w:tc>
        <w:tc>
          <w:tcPr>
            <w:tcW w:w="1275" w:type="pct"/>
          </w:tcPr>
          <w:p w:rsidR="00801479" w:rsidRPr="0049764D" w:rsidRDefault="00801479" w:rsidP="00015817">
            <w:pPr>
              <w:keepNext/>
              <w:keepLines/>
              <w:jc w:val="right"/>
              <w:rPr>
                <w:rFonts w:ascii="Arial Narrow" w:hAnsi="Arial Narrow" w:cs="Times New Roman"/>
                <w:sz w:val="20"/>
              </w:rPr>
            </w:pPr>
            <w:r w:rsidRPr="0049764D">
              <w:rPr>
                <w:rFonts w:ascii="Arial Narrow" w:hAnsi="Arial Narrow" w:cs="Times New Roman"/>
                <w:sz w:val="20"/>
              </w:rPr>
              <w:t>$</w:t>
            </w:r>
            <w:r w:rsidR="0016314E">
              <w:rPr>
                <w:rFonts w:ascii="Arial Narrow" w:hAnsi="Arial Narrow" w:cs="Times New Roman"/>
                <w:noProof/>
                <w:color w:val="000000"/>
                <w:sz w:val="20"/>
                <w:highlight w:val="black"/>
              </w:rPr>
              <w:t>'''''''''''''</w:t>
            </w:r>
          </w:p>
        </w:tc>
        <w:tc>
          <w:tcPr>
            <w:tcW w:w="1412" w:type="pct"/>
            <w:gridSpan w:val="2"/>
            <w:vAlign w:val="center"/>
          </w:tcPr>
          <w:p w:rsidR="00801479" w:rsidRPr="0049764D" w:rsidRDefault="00801479" w:rsidP="00015817">
            <w:pPr>
              <w:keepNext/>
              <w:keepLines/>
              <w:jc w:val="right"/>
              <w:rPr>
                <w:rFonts w:ascii="Arial Narrow" w:hAnsi="Arial Narrow" w:cs="Times New Roman"/>
                <w:sz w:val="20"/>
              </w:rPr>
            </w:pPr>
            <w:r w:rsidRPr="0049764D">
              <w:rPr>
                <w:rFonts w:ascii="Arial Narrow" w:hAnsi="Arial Narrow" w:cs="Times New Roman"/>
                <w:sz w:val="20"/>
              </w:rPr>
              <w:t>$</w:t>
            </w:r>
            <w:r w:rsidR="0016314E">
              <w:rPr>
                <w:rFonts w:ascii="Arial Narrow" w:hAnsi="Arial Narrow" w:cs="Times New Roman"/>
                <w:noProof/>
                <w:color w:val="000000"/>
                <w:sz w:val="20"/>
                <w:highlight w:val="black"/>
              </w:rPr>
              <w:t>''''''''''</w:t>
            </w:r>
          </w:p>
        </w:tc>
        <w:tc>
          <w:tcPr>
            <w:tcW w:w="1219" w:type="pct"/>
          </w:tcPr>
          <w:p w:rsidR="00801479" w:rsidRPr="0049764D" w:rsidRDefault="00801479" w:rsidP="00015817">
            <w:pPr>
              <w:keepNext/>
              <w:keepLines/>
              <w:jc w:val="right"/>
              <w:rPr>
                <w:rFonts w:ascii="Arial Narrow" w:hAnsi="Arial Narrow" w:cs="Times New Roman"/>
                <w:sz w:val="20"/>
              </w:rPr>
            </w:pPr>
            <w:r w:rsidRPr="0049764D">
              <w:rPr>
                <w:rFonts w:ascii="Arial Narrow" w:hAnsi="Arial Narrow" w:cs="Times New Roman"/>
                <w:sz w:val="20"/>
              </w:rPr>
              <w:t>$</w:t>
            </w:r>
            <w:r w:rsidR="0016314E">
              <w:rPr>
                <w:rFonts w:ascii="Arial Narrow" w:hAnsi="Arial Narrow" w:cs="Times New Roman"/>
                <w:noProof/>
                <w:color w:val="000000"/>
                <w:sz w:val="20"/>
                <w:highlight w:val="black"/>
              </w:rPr>
              <w:t>'''''''''''''''</w:t>
            </w:r>
          </w:p>
        </w:tc>
      </w:tr>
      <w:tr w:rsidR="00801479" w:rsidRPr="0049764D" w:rsidTr="00801479">
        <w:tc>
          <w:tcPr>
            <w:tcW w:w="1094" w:type="pct"/>
            <w:vAlign w:val="center"/>
          </w:tcPr>
          <w:p w:rsidR="00801479" w:rsidRPr="0049764D" w:rsidRDefault="00801479" w:rsidP="00015817">
            <w:pPr>
              <w:keepNext/>
              <w:keepLines/>
              <w:jc w:val="left"/>
              <w:rPr>
                <w:rFonts w:ascii="Arial Narrow" w:hAnsi="Arial Narrow" w:cs="Times New Roman"/>
                <w:sz w:val="20"/>
              </w:rPr>
            </w:pPr>
            <w:r w:rsidRPr="0049764D">
              <w:rPr>
                <w:rFonts w:ascii="Arial Narrow" w:hAnsi="Arial Narrow" w:cs="Times New Roman"/>
                <w:sz w:val="20"/>
              </w:rPr>
              <w:t>QALYs</w:t>
            </w:r>
          </w:p>
        </w:tc>
        <w:tc>
          <w:tcPr>
            <w:tcW w:w="1275" w:type="pct"/>
          </w:tcPr>
          <w:p w:rsidR="00801479" w:rsidRPr="0016314E" w:rsidRDefault="0016314E" w:rsidP="00015817">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12" w:type="pct"/>
            <w:gridSpan w:val="2"/>
            <w:vAlign w:val="center"/>
          </w:tcPr>
          <w:p w:rsidR="00801479" w:rsidRPr="0016314E" w:rsidRDefault="0016314E" w:rsidP="00015817">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19" w:type="pct"/>
          </w:tcPr>
          <w:p w:rsidR="00801479" w:rsidRPr="0016314E" w:rsidRDefault="0016314E" w:rsidP="00015817">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801479" w:rsidRPr="0049764D" w:rsidTr="00801479">
        <w:trPr>
          <w:trHeight w:val="70"/>
        </w:trPr>
        <w:tc>
          <w:tcPr>
            <w:tcW w:w="3781" w:type="pct"/>
            <w:gridSpan w:val="4"/>
            <w:vAlign w:val="center"/>
          </w:tcPr>
          <w:p w:rsidR="00801479" w:rsidRPr="0049764D" w:rsidRDefault="00801479" w:rsidP="00015817">
            <w:pPr>
              <w:keepNext/>
              <w:keepLines/>
              <w:jc w:val="left"/>
              <w:rPr>
                <w:rFonts w:ascii="Arial Narrow" w:hAnsi="Arial Narrow" w:cs="Times New Roman"/>
                <w:sz w:val="20"/>
              </w:rPr>
            </w:pPr>
            <w:r w:rsidRPr="0049764D">
              <w:rPr>
                <w:rFonts w:ascii="Arial Narrow" w:hAnsi="Arial Narrow" w:cs="Times New Roman"/>
                <w:b/>
                <w:sz w:val="20"/>
              </w:rPr>
              <w:t>Incremental cost/extra QALY gained</w:t>
            </w:r>
          </w:p>
        </w:tc>
        <w:tc>
          <w:tcPr>
            <w:tcW w:w="1219" w:type="pct"/>
          </w:tcPr>
          <w:p w:rsidR="00801479" w:rsidRPr="0049764D" w:rsidRDefault="00801479" w:rsidP="00015817">
            <w:pPr>
              <w:keepNext/>
              <w:keepLines/>
              <w:jc w:val="right"/>
              <w:rPr>
                <w:rFonts w:ascii="Arial Narrow" w:hAnsi="Arial Narrow" w:cs="Times New Roman"/>
                <w:sz w:val="20"/>
              </w:rPr>
            </w:pPr>
            <w:r w:rsidRPr="0049764D">
              <w:rPr>
                <w:rFonts w:ascii="Arial Narrow" w:hAnsi="Arial Narrow" w:cs="Times New Roman"/>
                <w:b/>
                <w:sz w:val="20"/>
              </w:rPr>
              <w:t>$</w:t>
            </w:r>
            <w:r w:rsidR="0016314E">
              <w:rPr>
                <w:rFonts w:ascii="Arial Narrow" w:hAnsi="Arial Narrow" w:cs="Times New Roman"/>
                <w:b/>
                <w:noProof/>
                <w:color w:val="000000"/>
                <w:sz w:val="20"/>
                <w:highlight w:val="black"/>
              </w:rPr>
              <w:t>'''''''''''''''</w:t>
            </w:r>
          </w:p>
        </w:tc>
      </w:tr>
      <w:tr w:rsidR="00801479" w:rsidRPr="0049764D" w:rsidTr="00801479">
        <w:tc>
          <w:tcPr>
            <w:tcW w:w="5000" w:type="pct"/>
            <w:gridSpan w:val="5"/>
            <w:vAlign w:val="center"/>
          </w:tcPr>
          <w:p w:rsidR="00801479" w:rsidRPr="0049764D" w:rsidRDefault="00801479" w:rsidP="00015817">
            <w:pPr>
              <w:keepNext/>
              <w:keepLines/>
              <w:jc w:val="left"/>
              <w:rPr>
                <w:rFonts w:ascii="Arial Narrow" w:hAnsi="Arial Narrow" w:cs="Arial Narrow"/>
                <w:b/>
                <w:bCs/>
                <w:sz w:val="20"/>
              </w:rPr>
            </w:pPr>
            <w:r w:rsidRPr="0049764D">
              <w:rPr>
                <w:rFonts w:ascii="Arial Narrow" w:hAnsi="Arial Narrow" w:cs="Arial Narrow"/>
                <w:b/>
                <w:bCs/>
                <w:sz w:val="20"/>
              </w:rPr>
              <w:t>Step 3: Modelled evaluation (time horizon increased to 10 years)</w:t>
            </w:r>
          </w:p>
        </w:tc>
      </w:tr>
      <w:tr w:rsidR="00801479" w:rsidRPr="0049764D" w:rsidTr="00801479">
        <w:tc>
          <w:tcPr>
            <w:tcW w:w="1094" w:type="pct"/>
            <w:vAlign w:val="center"/>
          </w:tcPr>
          <w:p w:rsidR="00801479" w:rsidRPr="0049764D" w:rsidRDefault="00801479" w:rsidP="00015817">
            <w:pPr>
              <w:keepNext/>
              <w:keepLines/>
              <w:jc w:val="left"/>
              <w:rPr>
                <w:rFonts w:ascii="Arial Narrow" w:hAnsi="Arial Narrow" w:cs="Times New Roman"/>
                <w:sz w:val="20"/>
              </w:rPr>
            </w:pPr>
            <w:r w:rsidRPr="0049764D">
              <w:rPr>
                <w:rFonts w:ascii="Arial Narrow" w:hAnsi="Arial Narrow" w:cs="Times New Roman"/>
                <w:sz w:val="20"/>
              </w:rPr>
              <w:t>Costs</w:t>
            </w:r>
          </w:p>
        </w:tc>
        <w:tc>
          <w:tcPr>
            <w:tcW w:w="1275" w:type="pct"/>
          </w:tcPr>
          <w:p w:rsidR="00801479" w:rsidRPr="0049764D" w:rsidRDefault="00801479" w:rsidP="00015817">
            <w:pPr>
              <w:keepNext/>
              <w:keepLines/>
              <w:jc w:val="right"/>
              <w:rPr>
                <w:rFonts w:ascii="Arial Narrow" w:hAnsi="Arial Narrow" w:cs="Times New Roman"/>
                <w:sz w:val="20"/>
              </w:rPr>
            </w:pPr>
            <w:r w:rsidRPr="0049764D">
              <w:rPr>
                <w:rFonts w:ascii="Arial Narrow" w:hAnsi="Arial Narrow" w:cs="Times New Roman"/>
                <w:sz w:val="20"/>
              </w:rPr>
              <w:t>$</w:t>
            </w:r>
            <w:r w:rsidR="0016314E">
              <w:rPr>
                <w:rFonts w:ascii="Arial Narrow" w:hAnsi="Arial Narrow" w:cs="Times New Roman"/>
                <w:noProof/>
                <w:color w:val="000000"/>
                <w:sz w:val="20"/>
                <w:highlight w:val="black"/>
              </w:rPr>
              <w:t>''''''''''''''''''</w:t>
            </w:r>
          </w:p>
        </w:tc>
        <w:tc>
          <w:tcPr>
            <w:tcW w:w="1412" w:type="pct"/>
            <w:gridSpan w:val="2"/>
            <w:vAlign w:val="center"/>
          </w:tcPr>
          <w:p w:rsidR="00801479" w:rsidRPr="0049764D" w:rsidRDefault="00801479" w:rsidP="00015817">
            <w:pPr>
              <w:keepNext/>
              <w:keepLines/>
              <w:jc w:val="right"/>
              <w:rPr>
                <w:rFonts w:ascii="Arial Narrow" w:hAnsi="Arial Narrow" w:cs="Times New Roman"/>
                <w:sz w:val="20"/>
              </w:rPr>
            </w:pPr>
            <w:r w:rsidRPr="0049764D">
              <w:rPr>
                <w:rFonts w:ascii="Arial Narrow" w:hAnsi="Arial Narrow" w:cs="Times New Roman"/>
                <w:sz w:val="20"/>
              </w:rPr>
              <w:t>$</w:t>
            </w:r>
            <w:r w:rsidR="0016314E">
              <w:rPr>
                <w:rFonts w:ascii="Arial Narrow" w:hAnsi="Arial Narrow" w:cs="Times New Roman"/>
                <w:noProof/>
                <w:color w:val="000000"/>
                <w:sz w:val="20"/>
                <w:highlight w:val="black"/>
              </w:rPr>
              <w:t>''''''''</w:t>
            </w:r>
          </w:p>
        </w:tc>
        <w:tc>
          <w:tcPr>
            <w:tcW w:w="1219" w:type="pct"/>
          </w:tcPr>
          <w:p w:rsidR="00801479" w:rsidRPr="0049764D" w:rsidRDefault="00801479" w:rsidP="00015817">
            <w:pPr>
              <w:keepNext/>
              <w:keepLines/>
              <w:jc w:val="right"/>
              <w:rPr>
                <w:rFonts w:ascii="Arial Narrow" w:hAnsi="Arial Narrow" w:cs="Times New Roman"/>
                <w:sz w:val="20"/>
              </w:rPr>
            </w:pPr>
            <w:r w:rsidRPr="0049764D">
              <w:rPr>
                <w:rFonts w:ascii="Arial Narrow" w:hAnsi="Arial Narrow" w:cs="Times New Roman"/>
                <w:sz w:val="20"/>
              </w:rPr>
              <w:t>$</w:t>
            </w:r>
            <w:r w:rsidR="0016314E">
              <w:rPr>
                <w:rFonts w:ascii="Arial Narrow" w:hAnsi="Arial Narrow" w:cs="Times New Roman"/>
                <w:noProof/>
                <w:color w:val="000000"/>
                <w:sz w:val="20"/>
                <w:highlight w:val="black"/>
              </w:rPr>
              <w:t>'''''''''''''''''</w:t>
            </w:r>
          </w:p>
        </w:tc>
      </w:tr>
      <w:tr w:rsidR="00801479" w:rsidRPr="0049764D" w:rsidTr="00801479">
        <w:tc>
          <w:tcPr>
            <w:tcW w:w="1094" w:type="pct"/>
            <w:vAlign w:val="center"/>
          </w:tcPr>
          <w:p w:rsidR="00801479" w:rsidRPr="0049764D" w:rsidRDefault="00801479" w:rsidP="00015817">
            <w:pPr>
              <w:keepNext/>
              <w:keepLines/>
              <w:jc w:val="left"/>
              <w:rPr>
                <w:rFonts w:ascii="Arial Narrow" w:hAnsi="Arial Narrow" w:cs="Times New Roman"/>
                <w:sz w:val="20"/>
              </w:rPr>
            </w:pPr>
            <w:r w:rsidRPr="0049764D">
              <w:rPr>
                <w:rFonts w:ascii="Arial Narrow" w:hAnsi="Arial Narrow" w:cs="Times New Roman"/>
                <w:sz w:val="20"/>
              </w:rPr>
              <w:t>QALYs</w:t>
            </w:r>
          </w:p>
        </w:tc>
        <w:tc>
          <w:tcPr>
            <w:tcW w:w="1275" w:type="pct"/>
          </w:tcPr>
          <w:p w:rsidR="00801479" w:rsidRPr="0016314E" w:rsidRDefault="0016314E" w:rsidP="00015817">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12" w:type="pct"/>
            <w:gridSpan w:val="2"/>
            <w:vAlign w:val="center"/>
          </w:tcPr>
          <w:p w:rsidR="00801479" w:rsidRPr="0016314E" w:rsidRDefault="0016314E" w:rsidP="00015817">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19" w:type="pct"/>
          </w:tcPr>
          <w:p w:rsidR="00801479" w:rsidRPr="0016314E" w:rsidRDefault="0016314E" w:rsidP="00015817">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801479" w:rsidRPr="0049764D" w:rsidTr="00801479">
        <w:tc>
          <w:tcPr>
            <w:tcW w:w="3781" w:type="pct"/>
            <w:gridSpan w:val="4"/>
            <w:vAlign w:val="center"/>
          </w:tcPr>
          <w:p w:rsidR="00801479" w:rsidRPr="0049764D" w:rsidRDefault="00801479" w:rsidP="00015817">
            <w:pPr>
              <w:keepNext/>
              <w:keepLines/>
              <w:jc w:val="left"/>
              <w:rPr>
                <w:rFonts w:ascii="Arial Narrow" w:hAnsi="Arial Narrow" w:cs="Times New Roman"/>
                <w:b/>
                <w:sz w:val="20"/>
              </w:rPr>
            </w:pPr>
            <w:r w:rsidRPr="0049764D">
              <w:rPr>
                <w:rFonts w:ascii="Arial Narrow" w:hAnsi="Arial Narrow" w:cs="Times New Roman"/>
                <w:b/>
                <w:sz w:val="20"/>
              </w:rPr>
              <w:t>Incremental cost/extra QALY gained</w:t>
            </w:r>
          </w:p>
        </w:tc>
        <w:tc>
          <w:tcPr>
            <w:tcW w:w="1219" w:type="pct"/>
          </w:tcPr>
          <w:p w:rsidR="00801479" w:rsidRPr="0049764D" w:rsidRDefault="00801479" w:rsidP="00015817">
            <w:pPr>
              <w:keepNext/>
              <w:keepLines/>
              <w:jc w:val="right"/>
              <w:rPr>
                <w:rFonts w:ascii="Arial Narrow" w:hAnsi="Arial Narrow" w:cs="Times New Roman"/>
                <w:b/>
                <w:sz w:val="20"/>
              </w:rPr>
            </w:pPr>
            <w:r w:rsidRPr="0049764D">
              <w:rPr>
                <w:rFonts w:ascii="Arial Narrow" w:hAnsi="Arial Narrow" w:cs="Times New Roman"/>
                <w:b/>
                <w:sz w:val="20"/>
              </w:rPr>
              <w:t>$</w:t>
            </w:r>
            <w:r w:rsidR="0016314E">
              <w:rPr>
                <w:rFonts w:ascii="Arial Narrow" w:hAnsi="Arial Narrow" w:cs="Times New Roman"/>
                <w:b/>
                <w:noProof/>
                <w:color w:val="000000"/>
                <w:sz w:val="20"/>
                <w:highlight w:val="black"/>
              </w:rPr>
              <w:t>''''''''''''</w:t>
            </w:r>
          </w:p>
        </w:tc>
      </w:tr>
      <w:tr w:rsidR="00801479" w:rsidRPr="0049764D" w:rsidTr="00801479">
        <w:tc>
          <w:tcPr>
            <w:tcW w:w="3781" w:type="pct"/>
            <w:gridSpan w:val="4"/>
            <w:vAlign w:val="center"/>
          </w:tcPr>
          <w:p w:rsidR="00801479" w:rsidRPr="0049764D" w:rsidRDefault="00801479" w:rsidP="00015817">
            <w:pPr>
              <w:keepNext/>
              <w:keepLines/>
              <w:jc w:val="left"/>
              <w:rPr>
                <w:rFonts w:ascii="Arial Narrow" w:hAnsi="Arial Narrow" w:cs="Times New Roman"/>
                <w:b/>
                <w:sz w:val="20"/>
              </w:rPr>
            </w:pPr>
            <w:r w:rsidRPr="0049764D">
              <w:rPr>
                <w:rFonts w:ascii="Arial Narrow" w:hAnsi="Arial Narrow" w:cs="Times New Roman"/>
                <w:b/>
                <w:sz w:val="20"/>
              </w:rPr>
              <w:t>Step 4: Modelled evaluation (all costs included)</w:t>
            </w:r>
          </w:p>
        </w:tc>
        <w:tc>
          <w:tcPr>
            <w:tcW w:w="1219" w:type="pct"/>
          </w:tcPr>
          <w:p w:rsidR="00801479" w:rsidRPr="0049764D" w:rsidRDefault="00801479" w:rsidP="00015817">
            <w:pPr>
              <w:keepNext/>
              <w:keepLines/>
              <w:jc w:val="center"/>
              <w:rPr>
                <w:rFonts w:ascii="Arial Narrow" w:hAnsi="Arial Narrow" w:cs="Times New Roman"/>
                <w:b/>
                <w:sz w:val="20"/>
              </w:rPr>
            </w:pPr>
          </w:p>
        </w:tc>
      </w:tr>
      <w:tr w:rsidR="00801479" w:rsidRPr="0049764D" w:rsidTr="00801479">
        <w:tc>
          <w:tcPr>
            <w:tcW w:w="1094" w:type="pct"/>
          </w:tcPr>
          <w:p w:rsidR="00801479" w:rsidRPr="0049764D" w:rsidRDefault="00801479" w:rsidP="00015817">
            <w:r w:rsidRPr="0049764D">
              <w:rPr>
                <w:rFonts w:ascii="Arial Narrow" w:hAnsi="Arial Narrow" w:cs="Times New Roman"/>
                <w:sz w:val="20"/>
              </w:rPr>
              <w:t>Costs</w:t>
            </w:r>
          </w:p>
        </w:tc>
        <w:tc>
          <w:tcPr>
            <w:tcW w:w="1296" w:type="pct"/>
            <w:gridSpan w:val="2"/>
            <w:vAlign w:val="center"/>
          </w:tcPr>
          <w:p w:rsidR="00801479" w:rsidRPr="0049764D" w:rsidRDefault="00801479" w:rsidP="00015817">
            <w:pPr>
              <w:keepNext/>
              <w:keepLines/>
              <w:jc w:val="right"/>
              <w:rPr>
                <w:rFonts w:ascii="Arial Narrow" w:hAnsi="Arial Narrow" w:cs="Times New Roman"/>
                <w:sz w:val="20"/>
              </w:rPr>
            </w:pPr>
            <w:r w:rsidRPr="0049764D">
              <w:rPr>
                <w:rFonts w:ascii="Arial Narrow" w:hAnsi="Arial Narrow" w:cs="Times New Roman"/>
                <w:sz w:val="20"/>
              </w:rPr>
              <w:t>$</w:t>
            </w:r>
            <w:r w:rsidR="0016314E">
              <w:rPr>
                <w:rFonts w:ascii="Arial Narrow" w:hAnsi="Arial Narrow" w:cs="Times New Roman"/>
                <w:noProof/>
                <w:color w:val="000000"/>
                <w:sz w:val="20"/>
                <w:highlight w:val="black"/>
              </w:rPr>
              <w:t>''''''''''''''''</w:t>
            </w:r>
          </w:p>
        </w:tc>
        <w:tc>
          <w:tcPr>
            <w:tcW w:w="1391" w:type="pct"/>
            <w:vAlign w:val="center"/>
          </w:tcPr>
          <w:p w:rsidR="00801479" w:rsidRPr="0049764D" w:rsidRDefault="00801479" w:rsidP="00015817">
            <w:pPr>
              <w:keepNext/>
              <w:keepLines/>
              <w:jc w:val="right"/>
              <w:rPr>
                <w:rFonts w:ascii="Arial Narrow" w:hAnsi="Arial Narrow" w:cs="Times New Roman"/>
                <w:sz w:val="20"/>
              </w:rPr>
            </w:pPr>
            <w:r w:rsidRPr="0049764D">
              <w:rPr>
                <w:rFonts w:ascii="Arial Narrow" w:hAnsi="Arial Narrow" w:cs="Times New Roman"/>
                <w:sz w:val="20"/>
              </w:rPr>
              <w:t>$</w:t>
            </w:r>
            <w:r w:rsidR="0016314E">
              <w:rPr>
                <w:rFonts w:ascii="Arial Narrow" w:hAnsi="Arial Narrow" w:cs="Times New Roman"/>
                <w:noProof/>
                <w:color w:val="000000"/>
                <w:sz w:val="20"/>
                <w:highlight w:val="black"/>
              </w:rPr>
              <w:t>''''''''''''''''''</w:t>
            </w:r>
          </w:p>
        </w:tc>
        <w:tc>
          <w:tcPr>
            <w:tcW w:w="1219" w:type="pct"/>
          </w:tcPr>
          <w:p w:rsidR="00801479" w:rsidRPr="0049764D" w:rsidRDefault="00801479" w:rsidP="00015817">
            <w:pPr>
              <w:keepNext/>
              <w:keepLines/>
              <w:jc w:val="right"/>
              <w:rPr>
                <w:rFonts w:ascii="Arial Narrow" w:hAnsi="Arial Narrow" w:cs="Times New Roman"/>
                <w:sz w:val="20"/>
              </w:rPr>
            </w:pPr>
            <w:r w:rsidRPr="0049764D">
              <w:rPr>
                <w:rFonts w:ascii="Arial Narrow" w:hAnsi="Arial Narrow" w:cs="Times New Roman"/>
                <w:sz w:val="20"/>
              </w:rPr>
              <w:t>$</w:t>
            </w:r>
            <w:r w:rsidR="0016314E">
              <w:rPr>
                <w:rFonts w:ascii="Arial Narrow" w:hAnsi="Arial Narrow" w:cs="Times New Roman"/>
                <w:noProof/>
                <w:color w:val="000000"/>
                <w:sz w:val="20"/>
                <w:highlight w:val="black"/>
              </w:rPr>
              <w:t>''''''''''''''</w:t>
            </w:r>
          </w:p>
        </w:tc>
      </w:tr>
      <w:tr w:rsidR="00801479" w:rsidRPr="0049764D" w:rsidTr="00801479">
        <w:tc>
          <w:tcPr>
            <w:tcW w:w="1094" w:type="pct"/>
          </w:tcPr>
          <w:p w:rsidR="00801479" w:rsidRPr="0049764D" w:rsidRDefault="00801479" w:rsidP="00015817">
            <w:r w:rsidRPr="0049764D">
              <w:rPr>
                <w:rFonts w:ascii="Arial Narrow" w:hAnsi="Arial Narrow" w:cs="Times New Roman"/>
                <w:sz w:val="20"/>
              </w:rPr>
              <w:t>QALYs</w:t>
            </w:r>
          </w:p>
        </w:tc>
        <w:tc>
          <w:tcPr>
            <w:tcW w:w="1296" w:type="pct"/>
            <w:gridSpan w:val="2"/>
            <w:vAlign w:val="center"/>
          </w:tcPr>
          <w:p w:rsidR="00801479" w:rsidRPr="0016314E" w:rsidRDefault="0016314E" w:rsidP="00015817">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391" w:type="pct"/>
            <w:vAlign w:val="center"/>
          </w:tcPr>
          <w:p w:rsidR="00801479" w:rsidRPr="0016314E" w:rsidRDefault="0016314E" w:rsidP="00015817">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19" w:type="pct"/>
          </w:tcPr>
          <w:p w:rsidR="00801479" w:rsidRPr="0016314E" w:rsidRDefault="0016314E" w:rsidP="00015817">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801479" w:rsidRPr="0049764D" w:rsidTr="00801479">
        <w:tc>
          <w:tcPr>
            <w:tcW w:w="3781" w:type="pct"/>
            <w:gridSpan w:val="4"/>
            <w:vAlign w:val="center"/>
          </w:tcPr>
          <w:p w:rsidR="00801479" w:rsidRPr="0049764D" w:rsidRDefault="00801479" w:rsidP="00015817">
            <w:pPr>
              <w:keepNext/>
              <w:keepLines/>
              <w:jc w:val="left"/>
              <w:rPr>
                <w:rFonts w:ascii="Arial Narrow" w:hAnsi="Arial Narrow" w:cs="Times New Roman"/>
                <w:b/>
                <w:sz w:val="20"/>
              </w:rPr>
            </w:pPr>
            <w:r w:rsidRPr="0049764D">
              <w:rPr>
                <w:rFonts w:ascii="Arial Narrow" w:hAnsi="Arial Narrow" w:cs="Times New Roman"/>
                <w:b/>
                <w:sz w:val="20"/>
              </w:rPr>
              <w:t>Incremental cost/extra QALY gained</w:t>
            </w:r>
          </w:p>
        </w:tc>
        <w:tc>
          <w:tcPr>
            <w:tcW w:w="1219" w:type="pct"/>
          </w:tcPr>
          <w:p w:rsidR="00801479" w:rsidRPr="0049764D" w:rsidRDefault="00801479" w:rsidP="00015817">
            <w:pPr>
              <w:keepNext/>
              <w:keepLines/>
              <w:jc w:val="right"/>
              <w:rPr>
                <w:rFonts w:ascii="Arial Narrow" w:hAnsi="Arial Narrow" w:cs="Times New Roman"/>
                <w:b/>
                <w:sz w:val="20"/>
              </w:rPr>
            </w:pPr>
            <w:r w:rsidRPr="0049764D">
              <w:rPr>
                <w:rFonts w:ascii="Arial Narrow" w:hAnsi="Arial Narrow" w:cs="Times New Roman"/>
                <w:b/>
                <w:sz w:val="20"/>
              </w:rPr>
              <w:t>$</w:t>
            </w:r>
            <w:r w:rsidR="0016314E">
              <w:rPr>
                <w:rFonts w:ascii="Arial Narrow" w:hAnsi="Arial Narrow" w:cs="Times New Roman"/>
                <w:b/>
                <w:noProof/>
                <w:color w:val="000000"/>
                <w:sz w:val="20"/>
                <w:highlight w:val="black"/>
              </w:rPr>
              <w:t>'''''''''''''</w:t>
            </w:r>
          </w:p>
        </w:tc>
      </w:tr>
    </w:tbl>
    <w:p w:rsidR="00801479" w:rsidRPr="0049764D" w:rsidRDefault="00801479" w:rsidP="00801479">
      <w:pPr>
        <w:pStyle w:val="TableFooter"/>
        <w:keepNext/>
        <w:keepLines/>
        <w:ind w:left="709"/>
      </w:pPr>
      <w:r w:rsidRPr="0049764D">
        <w:t>Source: Table 101, p261 of the submission</w:t>
      </w:r>
    </w:p>
    <w:p w:rsidR="00801479" w:rsidRPr="0049764D" w:rsidRDefault="00801479" w:rsidP="00801479">
      <w:pPr>
        <w:pStyle w:val="TableFooter"/>
        <w:keepNext/>
        <w:keepLines/>
        <w:ind w:left="709"/>
      </w:pPr>
      <w:r w:rsidRPr="0049764D">
        <w:t>CV = cardiovascular; QALY = quality-adjusted life year</w:t>
      </w:r>
    </w:p>
    <w:p w:rsidR="00801479" w:rsidRPr="0049764D" w:rsidRDefault="00801479" w:rsidP="00801479">
      <w:pPr>
        <w:ind w:left="709"/>
      </w:pPr>
    </w:p>
    <w:p w:rsidR="00801479" w:rsidRPr="0049764D" w:rsidRDefault="00801479" w:rsidP="001611C7">
      <w:pPr>
        <w:pStyle w:val="ListParagraph"/>
        <w:widowControl/>
        <w:numPr>
          <w:ilvl w:val="1"/>
          <w:numId w:val="2"/>
        </w:numPr>
        <w:rPr>
          <w:szCs w:val="22"/>
        </w:rPr>
      </w:pPr>
      <w:r w:rsidRPr="0049764D">
        <w:t xml:space="preserve">The submission estimated an incremental cost-effectiveness ratio (ICER) of </w:t>
      </w:r>
      <w:r w:rsidR="00333C23">
        <w:t xml:space="preserve">$105,000 - $200,000 </w:t>
      </w:r>
      <w:r w:rsidRPr="0049764D">
        <w:t xml:space="preserve">per </w:t>
      </w:r>
      <w:r w:rsidR="00FF3CCD" w:rsidRPr="0049764D">
        <w:t xml:space="preserve">cardiovascular death avoided </w:t>
      </w:r>
      <w:r w:rsidRPr="0049764D">
        <w:t xml:space="preserve">and </w:t>
      </w:r>
      <w:r w:rsidR="00333C23">
        <w:t xml:space="preserve">$15,000 - $45,000 </w:t>
      </w:r>
      <w:r w:rsidRPr="0049764D">
        <w:t xml:space="preserve">per quality-adjusted life year gained. The results of the economic model were unreliable due to a number of assumptions made in the submission. </w:t>
      </w:r>
    </w:p>
    <w:p w:rsidR="00801479" w:rsidRPr="0049764D" w:rsidRDefault="00801479" w:rsidP="00801479">
      <w:pPr>
        <w:pStyle w:val="ListParagraph"/>
        <w:widowControl/>
        <w:rPr>
          <w:szCs w:val="22"/>
        </w:rPr>
      </w:pPr>
    </w:p>
    <w:p w:rsidR="00801479" w:rsidRPr="0049764D" w:rsidRDefault="001A611B" w:rsidP="001611C7">
      <w:pPr>
        <w:pStyle w:val="ListParagraph"/>
        <w:widowControl/>
        <w:numPr>
          <w:ilvl w:val="1"/>
          <w:numId w:val="2"/>
        </w:numPr>
        <w:rPr>
          <w:szCs w:val="22"/>
        </w:rPr>
      </w:pPr>
      <w:r w:rsidRPr="0049764D">
        <w:t>Table 11</w:t>
      </w:r>
      <w:r w:rsidR="00801479" w:rsidRPr="0049764D">
        <w:t xml:space="preserve"> provides the results of the key univariate sensitivity analyses presented by the submission and conducted during the evaluation. </w:t>
      </w:r>
    </w:p>
    <w:p w:rsidR="00801479" w:rsidRPr="0049764D" w:rsidRDefault="00801479" w:rsidP="00801479">
      <w:pPr>
        <w:pStyle w:val="ListParagraph"/>
        <w:widowControl/>
        <w:rPr>
          <w:szCs w:val="22"/>
          <w:highlight w:val="yellow"/>
        </w:rPr>
      </w:pPr>
    </w:p>
    <w:p w:rsidR="00FF3CCD" w:rsidRPr="0049764D" w:rsidRDefault="00FF3CCD" w:rsidP="003770C8">
      <w:pPr>
        <w:keepNext/>
        <w:widowControl/>
        <w:ind w:left="709"/>
        <w:jc w:val="left"/>
        <w:rPr>
          <w:rStyle w:val="CommentReference"/>
        </w:rPr>
      </w:pPr>
      <w:r w:rsidRPr="0049764D">
        <w:rPr>
          <w:rStyle w:val="CommentReference"/>
        </w:rPr>
        <w:t xml:space="preserve">Table </w:t>
      </w:r>
      <w:r w:rsidR="001A611B" w:rsidRPr="0049764D">
        <w:rPr>
          <w:rStyle w:val="CommentReference"/>
        </w:rPr>
        <w:t>11</w:t>
      </w:r>
      <w:r w:rsidRPr="0049764D">
        <w:rPr>
          <w:rStyle w:val="CommentReference"/>
        </w:rPr>
        <w:t>: Results of key sensitivity analyses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43"/>
        <w:gridCol w:w="1135"/>
        <w:gridCol w:w="1571"/>
        <w:gridCol w:w="2096"/>
      </w:tblGrid>
      <w:tr w:rsidR="00FF3CCD" w:rsidRPr="0049764D" w:rsidTr="00044681">
        <w:trPr>
          <w:cantSplit/>
          <w:tblHeader/>
        </w:trPr>
        <w:tc>
          <w:tcPr>
            <w:tcW w:w="2123" w:type="pct"/>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keepNext/>
              <w:widowControl/>
              <w:jc w:val="left"/>
              <w:rPr>
                <w:rFonts w:ascii="Arial Narrow" w:hAnsi="Arial Narrow"/>
                <w:sz w:val="20"/>
              </w:rPr>
            </w:pPr>
            <w:r w:rsidRPr="0049764D">
              <w:rPr>
                <w:rFonts w:ascii="Arial Narrow" w:hAnsi="Arial Narrow"/>
                <w:b/>
                <w:sz w:val="20"/>
              </w:rPr>
              <w:t>Univariate analyses</w:t>
            </w:r>
          </w:p>
        </w:tc>
        <w:tc>
          <w:tcPr>
            <w:tcW w:w="680" w:type="pct"/>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keepNext/>
              <w:widowControl/>
              <w:jc w:val="right"/>
              <w:rPr>
                <w:rFonts w:ascii="Arial Narrow" w:hAnsi="Arial Narrow"/>
                <w:sz w:val="20"/>
              </w:rPr>
            </w:pPr>
            <w:r w:rsidRPr="0049764D">
              <w:rPr>
                <w:rFonts w:ascii="Arial Narrow" w:hAnsi="Arial Narrow"/>
                <w:b/>
                <w:sz w:val="20"/>
              </w:rPr>
              <w:t>Δ costs</w:t>
            </w:r>
          </w:p>
        </w:tc>
        <w:tc>
          <w:tcPr>
            <w:tcW w:w="941" w:type="pct"/>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keepNext/>
              <w:widowControl/>
              <w:jc w:val="center"/>
              <w:rPr>
                <w:rFonts w:ascii="Arial Narrow" w:hAnsi="Arial Narrow"/>
                <w:sz w:val="20"/>
              </w:rPr>
            </w:pPr>
            <w:r w:rsidRPr="0049764D">
              <w:rPr>
                <w:rFonts w:ascii="Arial Narrow" w:hAnsi="Arial Narrow"/>
                <w:b/>
                <w:sz w:val="20"/>
              </w:rPr>
              <w:t>Δ QALY</w:t>
            </w:r>
          </w:p>
        </w:tc>
        <w:tc>
          <w:tcPr>
            <w:tcW w:w="1256" w:type="pct"/>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keepNext/>
              <w:widowControl/>
              <w:jc w:val="right"/>
              <w:rPr>
                <w:rFonts w:ascii="Arial Narrow" w:hAnsi="Arial Narrow"/>
                <w:sz w:val="20"/>
              </w:rPr>
            </w:pPr>
            <w:r w:rsidRPr="0049764D">
              <w:rPr>
                <w:rFonts w:ascii="Arial Narrow" w:hAnsi="Arial Narrow"/>
                <w:b/>
                <w:sz w:val="20"/>
              </w:rPr>
              <w:t>ICER</w:t>
            </w:r>
          </w:p>
        </w:tc>
      </w:tr>
      <w:tr w:rsidR="00FF3CCD" w:rsidRPr="0049764D" w:rsidTr="00044681">
        <w:trPr>
          <w:cantSplit/>
          <w:trHeight w:val="64"/>
        </w:trPr>
        <w:tc>
          <w:tcPr>
            <w:tcW w:w="2123" w:type="pct"/>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pStyle w:val="Tabletext"/>
              <w:keepNext/>
              <w:rPr>
                <w:b/>
              </w:rPr>
            </w:pPr>
            <w:r w:rsidRPr="0049764D">
              <w:rPr>
                <w:b/>
              </w:rPr>
              <w:t>Base case</w:t>
            </w:r>
          </w:p>
        </w:tc>
        <w:tc>
          <w:tcPr>
            <w:tcW w:w="680" w:type="pct"/>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pStyle w:val="Tabletext"/>
              <w:keepNext/>
              <w:jc w:val="right"/>
              <w:rPr>
                <w:b/>
              </w:rPr>
            </w:pPr>
            <w:r w:rsidRPr="0049764D">
              <w:rPr>
                <w:b/>
              </w:rPr>
              <w:t>$</w:t>
            </w:r>
            <w:r w:rsidR="0016314E">
              <w:rPr>
                <w:b/>
                <w:noProof/>
                <w:color w:val="000000"/>
                <w:highlight w:val="black"/>
              </w:rPr>
              <w:t>''''''''''''</w:t>
            </w:r>
          </w:p>
        </w:tc>
        <w:tc>
          <w:tcPr>
            <w:tcW w:w="941" w:type="pct"/>
            <w:tcBorders>
              <w:top w:val="single" w:sz="4" w:space="0" w:color="auto"/>
              <w:left w:val="single" w:sz="4" w:space="0" w:color="auto"/>
              <w:bottom w:val="single" w:sz="4" w:space="0" w:color="auto"/>
              <w:right w:val="single" w:sz="4" w:space="0" w:color="auto"/>
            </w:tcBorders>
            <w:vAlign w:val="center"/>
          </w:tcPr>
          <w:p w:rsidR="00FF3CCD" w:rsidRPr="0016314E" w:rsidRDefault="0016314E" w:rsidP="003770C8">
            <w:pPr>
              <w:pStyle w:val="Tabletext"/>
              <w:keepNext/>
              <w:jc w:val="center"/>
              <w:rPr>
                <w:b/>
                <w:highlight w:val="black"/>
              </w:rPr>
            </w:pPr>
            <w:r>
              <w:rPr>
                <w:b/>
                <w:noProof/>
                <w:color w:val="000000"/>
                <w:highlight w:val="black"/>
              </w:rPr>
              <w:t>''''''''''</w:t>
            </w:r>
          </w:p>
        </w:tc>
        <w:tc>
          <w:tcPr>
            <w:tcW w:w="1256" w:type="pct"/>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pStyle w:val="Tabletext"/>
              <w:keepNext/>
              <w:jc w:val="right"/>
              <w:rPr>
                <w:b/>
              </w:rPr>
            </w:pPr>
            <w:r w:rsidRPr="0049764D">
              <w:rPr>
                <w:b/>
              </w:rPr>
              <w:t>$</w:t>
            </w:r>
            <w:r w:rsidR="0016314E">
              <w:rPr>
                <w:b/>
                <w:noProof/>
                <w:color w:val="000000"/>
                <w:highlight w:val="black"/>
              </w:rPr>
              <w:t>'''''''''''''</w:t>
            </w:r>
          </w:p>
        </w:tc>
      </w:tr>
      <w:tr w:rsidR="00FF3CCD" w:rsidRPr="0049764D" w:rsidTr="00044681">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pStyle w:val="Tabletext"/>
              <w:keepNext/>
              <w:rPr>
                <w:b/>
              </w:rPr>
            </w:pPr>
            <w:r w:rsidRPr="0049764D">
              <w:rPr>
                <w:b/>
              </w:rPr>
              <w:t>Extrapolation CV mortality – (base case exponential)</w:t>
            </w:r>
          </w:p>
        </w:tc>
      </w:tr>
      <w:tr w:rsidR="00FF3CCD" w:rsidRPr="0049764D" w:rsidTr="00044681">
        <w:trPr>
          <w:cantSplit/>
        </w:trPr>
        <w:tc>
          <w:tcPr>
            <w:tcW w:w="2123" w:type="pct"/>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pStyle w:val="Tabletext"/>
              <w:keepNext/>
              <w:ind w:firstLine="284"/>
            </w:pPr>
            <w:r w:rsidRPr="0049764D">
              <w:t>Weibull</w:t>
            </w:r>
          </w:p>
        </w:tc>
        <w:tc>
          <w:tcPr>
            <w:tcW w:w="680" w:type="pct"/>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pStyle w:val="Tabletext"/>
              <w:keepNext/>
              <w:jc w:val="right"/>
            </w:pPr>
            <w:r w:rsidRPr="0049764D">
              <w:t>$</w:t>
            </w:r>
            <w:r w:rsidR="0016314E">
              <w:rPr>
                <w:noProof/>
                <w:color w:val="000000"/>
                <w:highlight w:val="black"/>
              </w:rPr>
              <w:t>''''''''''''</w:t>
            </w:r>
          </w:p>
        </w:tc>
        <w:tc>
          <w:tcPr>
            <w:tcW w:w="941" w:type="pct"/>
            <w:tcBorders>
              <w:top w:val="single" w:sz="4" w:space="0" w:color="auto"/>
              <w:left w:val="single" w:sz="4" w:space="0" w:color="auto"/>
              <w:bottom w:val="single" w:sz="4" w:space="0" w:color="auto"/>
              <w:right w:val="single" w:sz="4" w:space="0" w:color="auto"/>
            </w:tcBorders>
            <w:vAlign w:val="center"/>
          </w:tcPr>
          <w:p w:rsidR="00FF3CCD" w:rsidRPr="0016314E" w:rsidRDefault="0016314E" w:rsidP="003770C8">
            <w:pPr>
              <w:pStyle w:val="Tabletext"/>
              <w:keepNext/>
              <w:jc w:val="center"/>
              <w:rPr>
                <w:highlight w:val="black"/>
              </w:rPr>
            </w:pPr>
            <w:r>
              <w:rPr>
                <w:noProof/>
                <w:color w:val="000000"/>
                <w:highlight w:val="black"/>
              </w:rPr>
              <w:t>''''''''''</w:t>
            </w:r>
          </w:p>
        </w:tc>
        <w:tc>
          <w:tcPr>
            <w:tcW w:w="1256" w:type="pct"/>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pStyle w:val="Tabletext"/>
              <w:keepNext/>
              <w:jc w:val="right"/>
            </w:pPr>
            <w:r w:rsidRPr="0049764D">
              <w:t>$</w:t>
            </w:r>
            <w:r w:rsidR="0016314E">
              <w:rPr>
                <w:noProof/>
                <w:color w:val="000000"/>
                <w:highlight w:val="black"/>
              </w:rPr>
              <w:t>'''''''''''''''</w:t>
            </w:r>
          </w:p>
        </w:tc>
      </w:tr>
      <w:tr w:rsidR="00FF3CCD" w:rsidRPr="0049764D" w:rsidTr="00044681">
        <w:trPr>
          <w:cantSplit/>
        </w:trPr>
        <w:tc>
          <w:tcPr>
            <w:tcW w:w="2123" w:type="pct"/>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pStyle w:val="Tabletext"/>
              <w:keepNext/>
              <w:ind w:firstLine="284"/>
            </w:pPr>
            <w:r w:rsidRPr="0049764D">
              <w:t>log-normal</w:t>
            </w:r>
          </w:p>
        </w:tc>
        <w:tc>
          <w:tcPr>
            <w:tcW w:w="680" w:type="pct"/>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pStyle w:val="Tabletext"/>
              <w:keepNext/>
              <w:jc w:val="right"/>
            </w:pPr>
            <w:r w:rsidRPr="0049764D">
              <w:t>$</w:t>
            </w:r>
            <w:r w:rsidR="0016314E">
              <w:rPr>
                <w:noProof/>
                <w:color w:val="000000"/>
                <w:highlight w:val="black"/>
              </w:rPr>
              <w:t>'''''''''''''''''</w:t>
            </w:r>
          </w:p>
        </w:tc>
        <w:tc>
          <w:tcPr>
            <w:tcW w:w="941" w:type="pct"/>
            <w:tcBorders>
              <w:top w:val="single" w:sz="4" w:space="0" w:color="auto"/>
              <w:left w:val="single" w:sz="4" w:space="0" w:color="auto"/>
              <w:bottom w:val="single" w:sz="4" w:space="0" w:color="auto"/>
              <w:right w:val="single" w:sz="4" w:space="0" w:color="auto"/>
            </w:tcBorders>
            <w:vAlign w:val="center"/>
          </w:tcPr>
          <w:p w:rsidR="00FF3CCD" w:rsidRPr="0016314E" w:rsidRDefault="0016314E" w:rsidP="003770C8">
            <w:pPr>
              <w:pStyle w:val="Tabletext"/>
              <w:keepNext/>
              <w:jc w:val="center"/>
              <w:rPr>
                <w:highlight w:val="black"/>
              </w:rPr>
            </w:pPr>
            <w:r>
              <w:rPr>
                <w:noProof/>
                <w:color w:val="000000"/>
                <w:highlight w:val="black"/>
              </w:rPr>
              <w:t>''''''''''</w:t>
            </w:r>
          </w:p>
        </w:tc>
        <w:tc>
          <w:tcPr>
            <w:tcW w:w="1256" w:type="pct"/>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pStyle w:val="Tabletext"/>
              <w:keepNext/>
              <w:jc w:val="right"/>
            </w:pPr>
            <w:r w:rsidRPr="0049764D">
              <w:t>$</w:t>
            </w:r>
            <w:r w:rsidR="0016314E">
              <w:rPr>
                <w:noProof/>
                <w:color w:val="000000"/>
                <w:highlight w:val="black"/>
              </w:rPr>
              <w:t>''''''''''''''''</w:t>
            </w:r>
          </w:p>
        </w:tc>
      </w:tr>
      <w:tr w:rsidR="00044681" w:rsidRPr="0049764D" w:rsidTr="00044681">
        <w:trPr>
          <w:cantSplit/>
        </w:trPr>
        <w:tc>
          <w:tcPr>
            <w:tcW w:w="2123" w:type="pct"/>
            <w:tcBorders>
              <w:top w:val="single" w:sz="4" w:space="0" w:color="auto"/>
              <w:left w:val="single" w:sz="4" w:space="0" w:color="auto"/>
              <w:bottom w:val="single" w:sz="4" w:space="0" w:color="auto"/>
              <w:right w:val="single" w:sz="4" w:space="0" w:color="auto"/>
            </w:tcBorders>
            <w:vAlign w:val="center"/>
          </w:tcPr>
          <w:p w:rsidR="00044681" w:rsidRPr="0049764D" w:rsidRDefault="00044681" w:rsidP="003770C8">
            <w:pPr>
              <w:pStyle w:val="Tabletext"/>
              <w:keepNext/>
            </w:pPr>
            <w:r w:rsidRPr="0049764D">
              <w:t xml:space="preserve">95% CI for CV death: </w:t>
            </w:r>
          </w:p>
          <w:p w:rsidR="00044681" w:rsidRPr="0049764D" w:rsidRDefault="00044681" w:rsidP="003770C8">
            <w:pPr>
              <w:pStyle w:val="Tabletext"/>
              <w:keepNext/>
              <w:ind w:firstLine="256"/>
            </w:pPr>
            <w:r w:rsidRPr="0049764D">
              <w:t>0.71</w:t>
            </w:r>
          </w:p>
          <w:p w:rsidR="00044681" w:rsidRPr="0049764D" w:rsidRDefault="00044681" w:rsidP="003770C8">
            <w:pPr>
              <w:pStyle w:val="Tabletext"/>
              <w:keepNext/>
              <w:ind w:firstLine="256"/>
            </w:pPr>
            <w:r w:rsidRPr="0049764D">
              <w:t>0.89</w:t>
            </w:r>
          </w:p>
        </w:tc>
        <w:tc>
          <w:tcPr>
            <w:tcW w:w="680" w:type="pct"/>
            <w:tcBorders>
              <w:top w:val="single" w:sz="4" w:space="0" w:color="auto"/>
              <w:left w:val="single" w:sz="4" w:space="0" w:color="auto"/>
              <w:bottom w:val="single" w:sz="4" w:space="0" w:color="auto"/>
              <w:right w:val="single" w:sz="4" w:space="0" w:color="auto"/>
            </w:tcBorders>
          </w:tcPr>
          <w:p w:rsidR="00044681" w:rsidRPr="0049764D" w:rsidRDefault="00044681" w:rsidP="003770C8">
            <w:pPr>
              <w:pStyle w:val="Tabletext"/>
              <w:keepNext/>
              <w:jc w:val="right"/>
            </w:pPr>
          </w:p>
          <w:p w:rsidR="00044681" w:rsidRPr="0049764D" w:rsidRDefault="00044681" w:rsidP="003770C8">
            <w:pPr>
              <w:pStyle w:val="Tabletext"/>
              <w:keepNext/>
              <w:jc w:val="right"/>
            </w:pPr>
            <w:r w:rsidRPr="0049764D">
              <w:t>$</w:t>
            </w:r>
            <w:r w:rsidR="0016314E">
              <w:rPr>
                <w:noProof/>
                <w:color w:val="000000"/>
                <w:highlight w:val="black"/>
              </w:rPr>
              <w:t>'''''''''''''''</w:t>
            </w:r>
          </w:p>
          <w:p w:rsidR="00044681" w:rsidRPr="0049764D" w:rsidRDefault="00044681" w:rsidP="003770C8">
            <w:pPr>
              <w:pStyle w:val="Tabletext"/>
              <w:keepNext/>
              <w:jc w:val="right"/>
            </w:pPr>
            <w:r w:rsidRPr="0049764D">
              <w:t>$</w:t>
            </w:r>
            <w:r w:rsidR="0016314E">
              <w:rPr>
                <w:noProof/>
                <w:color w:val="000000"/>
                <w:highlight w:val="black"/>
              </w:rPr>
              <w:t>'''''''''''''</w:t>
            </w:r>
          </w:p>
        </w:tc>
        <w:tc>
          <w:tcPr>
            <w:tcW w:w="941" w:type="pct"/>
            <w:tcBorders>
              <w:top w:val="single" w:sz="4" w:space="0" w:color="auto"/>
              <w:left w:val="single" w:sz="4" w:space="0" w:color="auto"/>
              <w:bottom w:val="single" w:sz="4" w:space="0" w:color="auto"/>
              <w:right w:val="single" w:sz="4" w:space="0" w:color="auto"/>
            </w:tcBorders>
          </w:tcPr>
          <w:p w:rsidR="00044681" w:rsidRPr="0049764D" w:rsidRDefault="00044681" w:rsidP="003770C8">
            <w:pPr>
              <w:pStyle w:val="Tabletext"/>
              <w:keepNext/>
              <w:jc w:val="center"/>
            </w:pPr>
          </w:p>
          <w:p w:rsidR="00044681" w:rsidRPr="0016314E" w:rsidRDefault="0016314E" w:rsidP="003770C8">
            <w:pPr>
              <w:pStyle w:val="Tabletext"/>
              <w:keepNext/>
              <w:jc w:val="center"/>
              <w:rPr>
                <w:highlight w:val="black"/>
              </w:rPr>
            </w:pPr>
            <w:r>
              <w:rPr>
                <w:noProof/>
                <w:color w:val="000000"/>
                <w:highlight w:val="black"/>
              </w:rPr>
              <w:t>''''''''''</w:t>
            </w:r>
          </w:p>
          <w:p w:rsidR="00044681" w:rsidRPr="0016314E" w:rsidRDefault="0016314E" w:rsidP="003770C8">
            <w:pPr>
              <w:pStyle w:val="Tabletext"/>
              <w:keepNext/>
              <w:jc w:val="center"/>
              <w:rPr>
                <w:highlight w:val="black"/>
              </w:rPr>
            </w:pPr>
            <w:r>
              <w:rPr>
                <w:noProof/>
                <w:color w:val="000000"/>
                <w:highlight w:val="black"/>
              </w:rPr>
              <w:t>'''''''''''</w:t>
            </w:r>
          </w:p>
        </w:tc>
        <w:tc>
          <w:tcPr>
            <w:tcW w:w="1256" w:type="pct"/>
            <w:tcBorders>
              <w:top w:val="single" w:sz="4" w:space="0" w:color="auto"/>
              <w:left w:val="single" w:sz="4" w:space="0" w:color="auto"/>
              <w:bottom w:val="single" w:sz="4" w:space="0" w:color="auto"/>
              <w:right w:val="single" w:sz="4" w:space="0" w:color="auto"/>
            </w:tcBorders>
          </w:tcPr>
          <w:p w:rsidR="00044681" w:rsidRPr="0049764D" w:rsidRDefault="00044681" w:rsidP="003770C8">
            <w:pPr>
              <w:pStyle w:val="Tabletext"/>
              <w:keepNext/>
              <w:jc w:val="right"/>
            </w:pPr>
          </w:p>
          <w:p w:rsidR="00044681" w:rsidRPr="0049764D" w:rsidRDefault="00044681" w:rsidP="003770C8">
            <w:pPr>
              <w:pStyle w:val="Tabletext"/>
              <w:keepNext/>
              <w:jc w:val="right"/>
            </w:pPr>
            <w:r w:rsidRPr="0049764D">
              <w:t>$</w:t>
            </w:r>
            <w:r w:rsidR="0016314E">
              <w:rPr>
                <w:noProof/>
                <w:color w:val="000000"/>
                <w:highlight w:val="black"/>
              </w:rPr>
              <w:t>'''''''''''''''</w:t>
            </w:r>
          </w:p>
          <w:p w:rsidR="00044681" w:rsidRPr="0049764D" w:rsidRDefault="00044681" w:rsidP="003770C8">
            <w:pPr>
              <w:pStyle w:val="Tabletext"/>
              <w:keepNext/>
              <w:jc w:val="right"/>
            </w:pPr>
            <w:r w:rsidRPr="0049764D">
              <w:t>$</w:t>
            </w:r>
            <w:r w:rsidR="0016314E">
              <w:rPr>
                <w:noProof/>
                <w:color w:val="000000"/>
                <w:highlight w:val="black"/>
              </w:rPr>
              <w:t>''''''''''''''''</w:t>
            </w:r>
          </w:p>
        </w:tc>
      </w:tr>
      <w:tr w:rsidR="00FF3CCD" w:rsidRPr="0049764D" w:rsidTr="0001024D">
        <w:trPr>
          <w:cantSplit/>
          <w:trHeight w:val="855"/>
        </w:trPr>
        <w:tc>
          <w:tcPr>
            <w:tcW w:w="2123" w:type="pct"/>
            <w:tcBorders>
              <w:top w:val="single" w:sz="4" w:space="0" w:color="auto"/>
              <w:left w:val="single" w:sz="4" w:space="0" w:color="auto"/>
              <w:right w:val="single" w:sz="4" w:space="0" w:color="auto"/>
            </w:tcBorders>
            <w:vAlign w:val="center"/>
          </w:tcPr>
          <w:p w:rsidR="00FF3CCD" w:rsidRPr="0049764D" w:rsidRDefault="00FF3CCD" w:rsidP="003770C8">
            <w:pPr>
              <w:pStyle w:val="Tabletext"/>
              <w:keepNext/>
            </w:pPr>
            <w:r w:rsidRPr="0049764D">
              <w:t>Convergence CV mortality (base case none)</w:t>
            </w:r>
          </w:p>
          <w:p w:rsidR="00FF3CCD" w:rsidRPr="0049764D" w:rsidRDefault="00FF3CCD" w:rsidP="003770C8">
            <w:pPr>
              <w:pStyle w:val="Tabletext"/>
              <w:keepNext/>
              <w:ind w:left="284"/>
            </w:pPr>
            <w:r w:rsidRPr="0049764D">
              <w:t>28 months (i.e. no benefit of sacubitril/valsartan beyond the trial)</w:t>
            </w:r>
          </w:p>
          <w:p w:rsidR="00FF3CCD" w:rsidRPr="0049764D" w:rsidRDefault="00FF3CCD" w:rsidP="003770C8">
            <w:pPr>
              <w:pStyle w:val="Tabletext"/>
              <w:keepNext/>
              <w:ind w:firstLine="284"/>
            </w:pPr>
            <w:r w:rsidRPr="0049764D">
              <w:t>5 year</w:t>
            </w:r>
            <w:r w:rsidR="004C27F5" w:rsidRPr="0049764D">
              <w:t>s</w:t>
            </w:r>
          </w:p>
        </w:tc>
        <w:tc>
          <w:tcPr>
            <w:tcW w:w="680" w:type="pct"/>
            <w:tcBorders>
              <w:top w:val="single" w:sz="4" w:space="0" w:color="auto"/>
              <w:left w:val="single" w:sz="4" w:space="0" w:color="auto"/>
              <w:right w:val="single" w:sz="4" w:space="0" w:color="auto"/>
            </w:tcBorders>
          </w:tcPr>
          <w:p w:rsidR="00FF3CCD" w:rsidRPr="0049764D" w:rsidRDefault="00FF3CCD" w:rsidP="0001024D">
            <w:pPr>
              <w:pStyle w:val="Tabletext"/>
              <w:keepNext/>
              <w:jc w:val="right"/>
            </w:pPr>
          </w:p>
          <w:p w:rsidR="00FF3CCD" w:rsidRPr="0049764D" w:rsidRDefault="00FF3CCD" w:rsidP="0001024D">
            <w:pPr>
              <w:pStyle w:val="Tabletext"/>
              <w:keepNext/>
              <w:jc w:val="right"/>
            </w:pPr>
          </w:p>
          <w:p w:rsidR="00FF3CCD" w:rsidRPr="0049764D" w:rsidRDefault="00FF3CCD" w:rsidP="0001024D">
            <w:pPr>
              <w:pStyle w:val="Tabletext"/>
              <w:keepNext/>
              <w:jc w:val="right"/>
            </w:pPr>
            <w:r w:rsidRPr="0049764D">
              <w:t>$</w:t>
            </w:r>
            <w:r w:rsidR="0016314E">
              <w:rPr>
                <w:noProof/>
                <w:color w:val="000000"/>
                <w:highlight w:val="black"/>
              </w:rPr>
              <w:t>'''''''''''''''</w:t>
            </w:r>
          </w:p>
          <w:p w:rsidR="00FF3CCD" w:rsidRPr="0049764D" w:rsidRDefault="00FF3CCD" w:rsidP="0001024D">
            <w:pPr>
              <w:pStyle w:val="Tabletext"/>
              <w:keepNext/>
              <w:jc w:val="right"/>
            </w:pPr>
            <w:r w:rsidRPr="0049764D">
              <w:t>$</w:t>
            </w:r>
            <w:r w:rsidR="0016314E">
              <w:rPr>
                <w:noProof/>
                <w:color w:val="000000"/>
                <w:highlight w:val="black"/>
              </w:rPr>
              <w:t>''''''''''''''</w:t>
            </w:r>
          </w:p>
        </w:tc>
        <w:tc>
          <w:tcPr>
            <w:tcW w:w="941" w:type="pct"/>
            <w:tcBorders>
              <w:top w:val="single" w:sz="4" w:space="0" w:color="auto"/>
              <w:left w:val="single" w:sz="4" w:space="0" w:color="auto"/>
              <w:right w:val="single" w:sz="4" w:space="0" w:color="auto"/>
            </w:tcBorders>
            <w:vAlign w:val="center"/>
          </w:tcPr>
          <w:p w:rsidR="00FF3CCD" w:rsidRPr="0049764D" w:rsidRDefault="00FF3CCD" w:rsidP="003770C8">
            <w:pPr>
              <w:pStyle w:val="Tabletext"/>
              <w:keepNext/>
              <w:jc w:val="center"/>
            </w:pPr>
          </w:p>
          <w:p w:rsidR="0001024D" w:rsidRPr="0016314E" w:rsidRDefault="0001024D" w:rsidP="003770C8">
            <w:pPr>
              <w:pStyle w:val="Tabletext"/>
              <w:keepNext/>
              <w:jc w:val="center"/>
            </w:pPr>
          </w:p>
          <w:p w:rsidR="00FF3CCD" w:rsidRPr="0016314E" w:rsidRDefault="0016314E" w:rsidP="003770C8">
            <w:pPr>
              <w:pStyle w:val="Tabletext"/>
              <w:keepNext/>
              <w:jc w:val="center"/>
              <w:rPr>
                <w:highlight w:val="black"/>
              </w:rPr>
            </w:pPr>
            <w:r>
              <w:rPr>
                <w:noProof/>
                <w:color w:val="000000"/>
                <w:highlight w:val="black"/>
              </w:rPr>
              <w:t>'''''''''''</w:t>
            </w:r>
          </w:p>
          <w:p w:rsidR="00FF3CCD" w:rsidRPr="0016314E" w:rsidRDefault="0016314E" w:rsidP="003770C8">
            <w:pPr>
              <w:pStyle w:val="Tabletext"/>
              <w:keepNext/>
              <w:jc w:val="center"/>
              <w:rPr>
                <w:highlight w:val="black"/>
              </w:rPr>
            </w:pPr>
            <w:r>
              <w:rPr>
                <w:noProof/>
                <w:color w:val="000000"/>
                <w:highlight w:val="black"/>
              </w:rPr>
              <w:t>''''''''''''</w:t>
            </w:r>
          </w:p>
        </w:tc>
        <w:tc>
          <w:tcPr>
            <w:tcW w:w="1256" w:type="pct"/>
            <w:tcBorders>
              <w:top w:val="single" w:sz="4" w:space="0" w:color="auto"/>
              <w:left w:val="single" w:sz="4" w:space="0" w:color="auto"/>
              <w:right w:val="single" w:sz="4" w:space="0" w:color="auto"/>
            </w:tcBorders>
            <w:vAlign w:val="center"/>
          </w:tcPr>
          <w:p w:rsidR="00FF3CCD" w:rsidRPr="0049764D" w:rsidRDefault="00FF3CCD" w:rsidP="003770C8">
            <w:pPr>
              <w:pStyle w:val="Tabletext"/>
              <w:keepNext/>
              <w:jc w:val="right"/>
            </w:pPr>
          </w:p>
          <w:p w:rsidR="0001024D" w:rsidRPr="0049764D" w:rsidRDefault="0001024D" w:rsidP="003770C8">
            <w:pPr>
              <w:pStyle w:val="Tabletext"/>
              <w:keepNext/>
              <w:jc w:val="right"/>
            </w:pPr>
          </w:p>
          <w:p w:rsidR="00FF3CCD" w:rsidRPr="0049764D" w:rsidRDefault="00FF3CCD" w:rsidP="003770C8">
            <w:pPr>
              <w:pStyle w:val="Tabletext"/>
              <w:keepNext/>
              <w:jc w:val="right"/>
            </w:pPr>
            <w:r w:rsidRPr="0049764D">
              <w:t>$</w:t>
            </w:r>
            <w:r w:rsidR="0016314E">
              <w:rPr>
                <w:noProof/>
                <w:color w:val="000000"/>
                <w:highlight w:val="black"/>
              </w:rPr>
              <w:t>'''''''''''''''''''</w:t>
            </w:r>
          </w:p>
          <w:p w:rsidR="00FF3CCD" w:rsidRPr="0049764D" w:rsidRDefault="00FF3CCD" w:rsidP="003770C8">
            <w:pPr>
              <w:pStyle w:val="Tabletext"/>
              <w:keepNext/>
              <w:jc w:val="right"/>
            </w:pPr>
            <w:r w:rsidRPr="0049764D">
              <w:t>$</w:t>
            </w:r>
            <w:r w:rsidR="0016314E">
              <w:rPr>
                <w:noProof/>
                <w:color w:val="000000"/>
                <w:highlight w:val="black"/>
              </w:rPr>
              <w:t>'''''''''''''''''''</w:t>
            </w:r>
          </w:p>
        </w:tc>
      </w:tr>
      <w:tr w:rsidR="00FF3CCD" w:rsidRPr="0049764D" w:rsidTr="00044681">
        <w:trPr>
          <w:cantSplit/>
        </w:trPr>
        <w:tc>
          <w:tcPr>
            <w:tcW w:w="2123" w:type="pct"/>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pStyle w:val="Tabletext"/>
              <w:keepNext/>
              <w:rPr>
                <w:vertAlign w:val="superscript"/>
              </w:rPr>
            </w:pPr>
            <w:r w:rsidRPr="0049764D">
              <w:t xml:space="preserve">Treatment effect discontinues at 28 months  </w:t>
            </w:r>
          </w:p>
        </w:tc>
        <w:tc>
          <w:tcPr>
            <w:tcW w:w="680" w:type="pct"/>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pStyle w:val="Tabletext"/>
              <w:keepNext/>
              <w:jc w:val="right"/>
            </w:pPr>
            <w:r w:rsidRPr="0049764D">
              <w:t>$</w:t>
            </w:r>
            <w:r w:rsidR="0016314E">
              <w:rPr>
                <w:noProof/>
                <w:color w:val="000000"/>
                <w:highlight w:val="black"/>
              </w:rPr>
              <w:t>''''''''''''''</w:t>
            </w:r>
          </w:p>
        </w:tc>
        <w:tc>
          <w:tcPr>
            <w:tcW w:w="941" w:type="pct"/>
            <w:tcBorders>
              <w:top w:val="single" w:sz="4" w:space="0" w:color="auto"/>
              <w:left w:val="single" w:sz="4" w:space="0" w:color="auto"/>
              <w:bottom w:val="single" w:sz="4" w:space="0" w:color="auto"/>
              <w:right w:val="single" w:sz="4" w:space="0" w:color="auto"/>
            </w:tcBorders>
            <w:vAlign w:val="center"/>
          </w:tcPr>
          <w:p w:rsidR="00FF3CCD" w:rsidRPr="0016314E" w:rsidRDefault="0016314E" w:rsidP="003770C8">
            <w:pPr>
              <w:pStyle w:val="Tabletext"/>
              <w:keepNext/>
              <w:jc w:val="center"/>
              <w:rPr>
                <w:highlight w:val="black"/>
              </w:rPr>
            </w:pPr>
            <w:r>
              <w:rPr>
                <w:noProof/>
                <w:color w:val="000000"/>
                <w:highlight w:val="black"/>
              </w:rPr>
              <w:t>''''''''''</w:t>
            </w:r>
          </w:p>
        </w:tc>
        <w:tc>
          <w:tcPr>
            <w:tcW w:w="1256" w:type="pct"/>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pStyle w:val="Tabletext"/>
              <w:keepNext/>
              <w:jc w:val="right"/>
            </w:pPr>
            <w:r w:rsidRPr="0049764D">
              <w:t>$</w:t>
            </w:r>
            <w:r w:rsidR="0016314E">
              <w:rPr>
                <w:noProof/>
                <w:color w:val="000000"/>
                <w:highlight w:val="black"/>
              </w:rPr>
              <w:t>''''''''''''''''''</w:t>
            </w:r>
          </w:p>
        </w:tc>
      </w:tr>
      <w:tr w:rsidR="00FF3CCD" w:rsidRPr="0049764D" w:rsidTr="00044681">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pStyle w:val="Tabletext"/>
              <w:keepNext/>
              <w:rPr>
                <w:b/>
              </w:rPr>
            </w:pPr>
            <w:r w:rsidRPr="0049764D">
              <w:rPr>
                <w:b/>
              </w:rPr>
              <w:t>Non-CV mortality</w:t>
            </w:r>
          </w:p>
        </w:tc>
      </w:tr>
      <w:tr w:rsidR="00FF3CCD" w:rsidRPr="0049764D" w:rsidTr="00044681">
        <w:trPr>
          <w:cantSplit/>
        </w:trPr>
        <w:tc>
          <w:tcPr>
            <w:tcW w:w="2123" w:type="pct"/>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pStyle w:val="Tabletext"/>
              <w:keepNext/>
            </w:pPr>
            <w:r w:rsidRPr="0049764D">
              <w:t>Epidemiological based survival option</w:t>
            </w:r>
          </w:p>
        </w:tc>
        <w:tc>
          <w:tcPr>
            <w:tcW w:w="680" w:type="pct"/>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pStyle w:val="Tabletext"/>
              <w:keepNext/>
              <w:jc w:val="right"/>
            </w:pPr>
            <w:r w:rsidRPr="0049764D">
              <w:t>$</w:t>
            </w:r>
            <w:r w:rsidR="0016314E">
              <w:rPr>
                <w:noProof/>
                <w:color w:val="000000"/>
                <w:highlight w:val="black"/>
              </w:rPr>
              <w:t>'''''''''''''</w:t>
            </w:r>
          </w:p>
        </w:tc>
        <w:tc>
          <w:tcPr>
            <w:tcW w:w="941" w:type="pct"/>
            <w:tcBorders>
              <w:top w:val="single" w:sz="4" w:space="0" w:color="auto"/>
              <w:left w:val="single" w:sz="4" w:space="0" w:color="auto"/>
              <w:bottom w:val="single" w:sz="4" w:space="0" w:color="auto"/>
              <w:right w:val="single" w:sz="4" w:space="0" w:color="auto"/>
            </w:tcBorders>
            <w:vAlign w:val="center"/>
          </w:tcPr>
          <w:p w:rsidR="00FF3CCD" w:rsidRPr="0016314E" w:rsidRDefault="0016314E" w:rsidP="003770C8">
            <w:pPr>
              <w:pStyle w:val="Tabletext"/>
              <w:keepNext/>
              <w:jc w:val="center"/>
              <w:rPr>
                <w:highlight w:val="black"/>
              </w:rPr>
            </w:pPr>
            <w:r>
              <w:rPr>
                <w:noProof/>
                <w:color w:val="000000"/>
                <w:highlight w:val="black"/>
              </w:rPr>
              <w:t>''''''''''</w:t>
            </w:r>
          </w:p>
        </w:tc>
        <w:tc>
          <w:tcPr>
            <w:tcW w:w="1256" w:type="pct"/>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pStyle w:val="Tabletext"/>
              <w:keepNext/>
              <w:jc w:val="right"/>
            </w:pPr>
            <w:r w:rsidRPr="0049764D">
              <w:t>$</w:t>
            </w:r>
            <w:r w:rsidR="0016314E">
              <w:rPr>
                <w:noProof/>
                <w:color w:val="000000"/>
                <w:highlight w:val="black"/>
              </w:rPr>
              <w:t>'''''''''''''''</w:t>
            </w:r>
          </w:p>
        </w:tc>
      </w:tr>
      <w:tr w:rsidR="00FF3CCD" w:rsidRPr="0049764D" w:rsidTr="00044681">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pStyle w:val="Tabletext"/>
              <w:keepNext/>
              <w:rPr>
                <w:b/>
              </w:rPr>
            </w:pPr>
            <w:r w:rsidRPr="0049764D">
              <w:rPr>
                <w:b/>
              </w:rPr>
              <w:t>Hospitalisations</w:t>
            </w:r>
          </w:p>
        </w:tc>
      </w:tr>
      <w:tr w:rsidR="00FF3CCD" w:rsidRPr="0049764D" w:rsidTr="00044681">
        <w:trPr>
          <w:cantSplit/>
        </w:trPr>
        <w:tc>
          <w:tcPr>
            <w:tcW w:w="2123" w:type="pct"/>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pStyle w:val="Tabletext"/>
              <w:keepNext/>
            </w:pPr>
            <w:r w:rsidRPr="0049764D">
              <w:t>CV/HF Hospitalisation: excluding Latin America and Asia Pacific</w:t>
            </w:r>
          </w:p>
        </w:tc>
        <w:tc>
          <w:tcPr>
            <w:tcW w:w="680" w:type="pct"/>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pStyle w:val="Tabletext"/>
              <w:keepNext/>
              <w:jc w:val="right"/>
            </w:pPr>
            <w:r w:rsidRPr="0049764D">
              <w:t>$</w:t>
            </w:r>
            <w:r w:rsidR="0016314E">
              <w:rPr>
                <w:noProof/>
                <w:color w:val="000000"/>
                <w:highlight w:val="black"/>
              </w:rPr>
              <w:t>''''''''''''''</w:t>
            </w:r>
          </w:p>
        </w:tc>
        <w:tc>
          <w:tcPr>
            <w:tcW w:w="941" w:type="pct"/>
            <w:tcBorders>
              <w:top w:val="single" w:sz="4" w:space="0" w:color="auto"/>
              <w:left w:val="single" w:sz="4" w:space="0" w:color="auto"/>
              <w:bottom w:val="single" w:sz="4" w:space="0" w:color="auto"/>
              <w:right w:val="single" w:sz="4" w:space="0" w:color="auto"/>
            </w:tcBorders>
            <w:vAlign w:val="center"/>
          </w:tcPr>
          <w:p w:rsidR="00FF3CCD" w:rsidRPr="0016314E" w:rsidRDefault="0016314E" w:rsidP="003770C8">
            <w:pPr>
              <w:pStyle w:val="Tabletext"/>
              <w:keepNext/>
              <w:jc w:val="center"/>
              <w:rPr>
                <w:highlight w:val="black"/>
              </w:rPr>
            </w:pPr>
            <w:r>
              <w:rPr>
                <w:noProof/>
                <w:color w:val="000000"/>
                <w:highlight w:val="black"/>
              </w:rPr>
              <w:t>'''''''''''</w:t>
            </w:r>
          </w:p>
        </w:tc>
        <w:tc>
          <w:tcPr>
            <w:tcW w:w="1256" w:type="pct"/>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pStyle w:val="Tabletext"/>
              <w:keepNext/>
              <w:jc w:val="right"/>
            </w:pPr>
            <w:r w:rsidRPr="0049764D">
              <w:t>$</w:t>
            </w:r>
            <w:r w:rsidR="0016314E">
              <w:rPr>
                <w:noProof/>
                <w:color w:val="000000"/>
                <w:highlight w:val="black"/>
              </w:rPr>
              <w:t>''''''''''''''''</w:t>
            </w:r>
          </w:p>
        </w:tc>
      </w:tr>
      <w:tr w:rsidR="00FF3CCD" w:rsidRPr="0049764D" w:rsidTr="00044681">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rsidR="00FF3CCD" w:rsidRPr="0049764D" w:rsidRDefault="00FF3CCD" w:rsidP="003770C8">
            <w:pPr>
              <w:pStyle w:val="Tabletext"/>
              <w:keepNext/>
              <w:rPr>
                <w:b/>
              </w:rPr>
            </w:pPr>
            <w:r w:rsidRPr="0049764D">
              <w:rPr>
                <w:b/>
              </w:rPr>
              <w:t>Utilities</w:t>
            </w:r>
            <w:r w:rsidR="001D0CB5" w:rsidRPr="0049764D">
              <w:rPr>
                <w:b/>
              </w:rPr>
              <w:t xml:space="preserve"> (base case, utilities were assigned by NYHA class)</w:t>
            </w:r>
          </w:p>
        </w:tc>
      </w:tr>
      <w:tr w:rsidR="00FF3CCD" w:rsidRPr="0049764D" w:rsidTr="00044681">
        <w:trPr>
          <w:cantSplit/>
          <w:trHeight w:val="469"/>
        </w:trPr>
        <w:tc>
          <w:tcPr>
            <w:tcW w:w="2123" w:type="pct"/>
            <w:tcBorders>
              <w:top w:val="single" w:sz="4" w:space="0" w:color="auto"/>
              <w:left w:val="single" w:sz="4" w:space="0" w:color="auto"/>
              <w:right w:val="single" w:sz="4" w:space="0" w:color="auto"/>
            </w:tcBorders>
            <w:vAlign w:val="center"/>
          </w:tcPr>
          <w:p w:rsidR="00FF3CCD" w:rsidRPr="0049764D" w:rsidRDefault="001D0CB5" w:rsidP="003770C8">
            <w:pPr>
              <w:pStyle w:val="Tabletext"/>
              <w:keepNext/>
            </w:pPr>
            <w:r w:rsidRPr="0049764D">
              <w:t xml:space="preserve">All patients in the alive (with HF) health state have a </w:t>
            </w:r>
            <w:r w:rsidR="00FF3CCD" w:rsidRPr="0049764D">
              <w:t>utility = 0.78</w:t>
            </w:r>
          </w:p>
        </w:tc>
        <w:tc>
          <w:tcPr>
            <w:tcW w:w="680" w:type="pct"/>
            <w:tcBorders>
              <w:top w:val="single" w:sz="4" w:space="0" w:color="auto"/>
              <w:left w:val="single" w:sz="4" w:space="0" w:color="auto"/>
              <w:right w:val="single" w:sz="4" w:space="0" w:color="auto"/>
            </w:tcBorders>
            <w:vAlign w:val="center"/>
          </w:tcPr>
          <w:p w:rsidR="00FF3CCD" w:rsidRPr="0049764D" w:rsidRDefault="00FF3CCD" w:rsidP="003770C8">
            <w:pPr>
              <w:pStyle w:val="Tabletext"/>
              <w:keepNext/>
              <w:jc w:val="right"/>
            </w:pPr>
            <w:r w:rsidRPr="0049764D">
              <w:t>$</w:t>
            </w:r>
            <w:r w:rsidR="0016314E">
              <w:rPr>
                <w:noProof/>
                <w:color w:val="000000"/>
                <w:highlight w:val="black"/>
              </w:rPr>
              <w:t>''''''''''''</w:t>
            </w:r>
          </w:p>
        </w:tc>
        <w:tc>
          <w:tcPr>
            <w:tcW w:w="941" w:type="pct"/>
            <w:tcBorders>
              <w:top w:val="single" w:sz="4" w:space="0" w:color="auto"/>
              <w:left w:val="single" w:sz="4" w:space="0" w:color="auto"/>
              <w:right w:val="single" w:sz="4" w:space="0" w:color="auto"/>
            </w:tcBorders>
            <w:vAlign w:val="center"/>
          </w:tcPr>
          <w:p w:rsidR="00FF3CCD" w:rsidRPr="0016314E" w:rsidRDefault="0016314E" w:rsidP="003770C8">
            <w:pPr>
              <w:pStyle w:val="Tabletext"/>
              <w:keepNext/>
              <w:jc w:val="center"/>
              <w:rPr>
                <w:highlight w:val="black"/>
              </w:rPr>
            </w:pPr>
            <w:r>
              <w:rPr>
                <w:noProof/>
                <w:color w:val="000000"/>
                <w:highlight w:val="black"/>
              </w:rPr>
              <w:t>''''''''''</w:t>
            </w:r>
          </w:p>
        </w:tc>
        <w:tc>
          <w:tcPr>
            <w:tcW w:w="1256" w:type="pct"/>
            <w:tcBorders>
              <w:top w:val="single" w:sz="4" w:space="0" w:color="auto"/>
              <w:left w:val="single" w:sz="4" w:space="0" w:color="auto"/>
              <w:right w:val="single" w:sz="4" w:space="0" w:color="auto"/>
            </w:tcBorders>
            <w:vAlign w:val="center"/>
          </w:tcPr>
          <w:p w:rsidR="00FF3CCD" w:rsidRPr="0049764D" w:rsidRDefault="00FF3CCD" w:rsidP="003770C8">
            <w:pPr>
              <w:pStyle w:val="Tabletext"/>
              <w:keepNext/>
              <w:jc w:val="right"/>
            </w:pPr>
            <w:r w:rsidRPr="0049764D">
              <w:t>$</w:t>
            </w:r>
            <w:r w:rsidR="0016314E">
              <w:rPr>
                <w:noProof/>
                <w:color w:val="000000"/>
                <w:highlight w:val="black"/>
              </w:rPr>
              <w:t>''''''''''''''''''</w:t>
            </w:r>
          </w:p>
        </w:tc>
      </w:tr>
    </w:tbl>
    <w:p w:rsidR="00FF3CCD" w:rsidRPr="0049764D" w:rsidRDefault="00FF3CCD" w:rsidP="003770C8">
      <w:pPr>
        <w:pStyle w:val="TableFooter"/>
        <w:keepNext/>
        <w:widowControl/>
        <w:ind w:left="709"/>
      </w:pPr>
      <w:r w:rsidRPr="0049764D">
        <w:t>Source: Table 104, pp266-267 of the submission</w:t>
      </w:r>
    </w:p>
    <w:p w:rsidR="00FF3CCD" w:rsidRPr="0049764D" w:rsidRDefault="004C27F5" w:rsidP="003770C8">
      <w:pPr>
        <w:pStyle w:val="TableFooter"/>
        <w:keepNext/>
        <w:widowControl/>
        <w:ind w:left="709"/>
      </w:pPr>
      <w:r w:rsidRPr="0049764D">
        <w:t xml:space="preserve">CI = confidence interval; </w:t>
      </w:r>
      <w:r w:rsidR="00FF3CCD" w:rsidRPr="0049764D">
        <w:t>CV = cardiovascular; HF = heart failure;</w:t>
      </w:r>
      <w:r w:rsidR="001A611B" w:rsidRPr="0049764D">
        <w:t xml:space="preserve"> </w:t>
      </w:r>
      <w:r w:rsidR="00FF3CCD" w:rsidRPr="0049764D">
        <w:t>ICER = incremental cost-effectiveness ratio; NYHA = New York Heart Association</w:t>
      </w:r>
      <w:r w:rsidR="001A611B" w:rsidRPr="0049764D">
        <w:t>; QALY = quality-adjusted life year</w:t>
      </w:r>
    </w:p>
    <w:p w:rsidR="00FE3362" w:rsidRDefault="00FE3362" w:rsidP="00FF3CCD">
      <w:pPr>
        <w:pStyle w:val="ListParagraph"/>
        <w:rPr>
          <w:highlight w:val="yellow"/>
        </w:rPr>
      </w:pPr>
    </w:p>
    <w:p w:rsidR="00FE3362" w:rsidRPr="0049764D" w:rsidRDefault="00FE3362" w:rsidP="00FF3CCD">
      <w:pPr>
        <w:pStyle w:val="ListParagraph"/>
        <w:rPr>
          <w:highlight w:val="yellow"/>
        </w:rPr>
      </w:pPr>
    </w:p>
    <w:p w:rsidR="00FF3CCD" w:rsidRPr="0049764D" w:rsidRDefault="00801479" w:rsidP="001611C7">
      <w:pPr>
        <w:pStyle w:val="ListParagraph"/>
        <w:widowControl/>
        <w:numPr>
          <w:ilvl w:val="1"/>
          <w:numId w:val="2"/>
        </w:numPr>
      </w:pPr>
      <w:r w:rsidRPr="0049764D">
        <w:t xml:space="preserve">The results of the sensitivity analyses showed that the </w:t>
      </w:r>
      <w:r w:rsidR="00FF3CCD" w:rsidRPr="0049764D">
        <w:t>ICER</w:t>
      </w:r>
      <w:r w:rsidRPr="0049764D">
        <w:t xml:space="preserve"> was most sensitive to</w:t>
      </w:r>
      <w:r w:rsidR="00FF3CCD" w:rsidRPr="0049764D">
        <w:t xml:space="preserve"> </w:t>
      </w:r>
      <w:r w:rsidR="00854AE1" w:rsidRPr="0049764D">
        <w:t>cardiovascular mortality</w:t>
      </w:r>
      <w:r w:rsidR="00FF3CCD" w:rsidRPr="0049764D">
        <w:t xml:space="preserve"> and the assumption of continuing treatment effect. However, </w:t>
      </w:r>
      <w:r w:rsidR="00CE4293" w:rsidRPr="0049764D">
        <w:t xml:space="preserve">the </w:t>
      </w:r>
      <w:r w:rsidR="00FF3CCD" w:rsidRPr="0049764D">
        <w:t>major uncertainties could not be</w:t>
      </w:r>
      <w:r w:rsidR="00A92B65" w:rsidRPr="0049764D">
        <w:t xml:space="preserve"> reliably</w:t>
      </w:r>
      <w:r w:rsidR="00FF3CCD" w:rsidRPr="0049764D">
        <w:t xml:space="preserve"> tested, such as the effect of a higher dose of enalapril </w:t>
      </w:r>
      <w:r w:rsidR="00BD5020" w:rsidRPr="0049764D">
        <w:t>in</w:t>
      </w:r>
      <w:r w:rsidR="00FF3CCD" w:rsidRPr="0049764D">
        <w:t xml:space="preserve"> Australian practice, the effects of differences in cardiovascular mortality between the trial population and the potentially older Australian </w:t>
      </w:r>
      <w:r w:rsidR="00A333D0" w:rsidRPr="0049764D">
        <w:t>population</w:t>
      </w:r>
      <w:r w:rsidR="00FF3CCD" w:rsidRPr="0049764D">
        <w:t>, and the impact of hospitalisations and re</w:t>
      </w:r>
      <w:r w:rsidR="000D54C5" w:rsidRPr="0049764D">
        <w:t>-</w:t>
      </w:r>
      <w:r w:rsidR="00FF3CCD" w:rsidRPr="0049764D">
        <w:t>hospitalisations</w:t>
      </w:r>
      <w:r w:rsidR="00CE4293" w:rsidRPr="0049764D">
        <w:t xml:space="preserve"> and disease progression</w:t>
      </w:r>
      <w:r w:rsidR="00FF3CCD" w:rsidRPr="0049764D">
        <w:t>.</w:t>
      </w:r>
    </w:p>
    <w:p w:rsidR="001A611B" w:rsidRPr="0049764D" w:rsidRDefault="001A611B" w:rsidP="001A611B">
      <w:pPr>
        <w:pStyle w:val="ListParagraph"/>
        <w:widowControl/>
        <w:rPr>
          <w:szCs w:val="22"/>
        </w:rPr>
      </w:pPr>
    </w:p>
    <w:p w:rsidR="001A611B" w:rsidRPr="0049764D" w:rsidRDefault="001A611B" w:rsidP="001611C7">
      <w:pPr>
        <w:pStyle w:val="ListParagraph"/>
        <w:widowControl/>
        <w:numPr>
          <w:ilvl w:val="1"/>
          <w:numId w:val="2"/>
        </w:numPr>
        <w:rPr>
          <w:szCs w:val="22"/>
        </w:rPr>
      </w:pPr>
      <w:r w:rsidRPr="0049764D">
        <w:t>While the age at baseline in the model was assumed to be 75 years, age had little influence on the ICER because, in the model, age only i</w:t>
      </w:r>
      <w:r w:rsidR="00CE4293" w:rsidRPr="0049764D">
        <w:t>mpact</w:t>
      </w:r>
      <w:r w:rsidRPr="0049764D">
        <w:t xml:space="preserve">ed non-cardiovascular mortality. The model did not account for the impact of age on disease severity </w:t>
      </w:r>
      <w:r w:rsidR="009E0730" w:rsidRPr="0049764D">
        <w:t>(</w:t>
      </w:r>
      <w:r w:rsidR="00C90094" w:rsidRPr="0049764D">
        <w:t>i.e.</w:t>
      </w:r>
      <w:r w:rsidR="009E0730" w:rsidRPr="0049764D">
        <w:t xml:space="preserve"> NYHA class) </w:t>
      </w:r>
      <w:r w:rsidRPr="0049764D">
        <w:t>or the underlying risk of cardiovascular hospitalisation or cardiovascular death.</w:t>
      </w:r>
    </w:p>
    <w:p w:rsidR="00C25D9C" w:rsidRPr="0049764D" w:rsidRDefault="00C25D9C" w:rsidP="001A611B">
      <w:pPr>
        <w:pStyle w:val="ListParagraph"/>
        <w:widowControl/>
        <w:rPr>
          <w:i/>
        </w:rPr>
      </w:pPr>
    </w:p>
    <w:p w:rsidR="00C25D9C" w:rsidRPr="0049764D" w:rsidRDefault="00C25D9C" w:rsidP="00665967">
      <w:pPr>
        <w:pStyle w:val="Heading2"/>
        <w:rPr>
          <w:szCs w:val="22"/>
        </w:rPr>
      </w:pPr>
      <w:bookmarkStart w:id="13" w:name="_Toc440894573"/>
      <w:r w:rsidRPr="0049764D">
        <w:t>Drug cost/patient/year: $</w:t>
      </w:r>
      <w:r w:rsidR="0016314E">
        <w:rPr>
          <w:noProof/>
          <w:color w:val="000000"/>
          <w:highlight w:val="black"/>
        </w:rPr>
        <w:t xml:space="preserve">'''''''''' </w:t>
      </w:r>
      <w:r w:rsidR="00F83337" w:rsidRPr="0049764D">
        <w:t>per year, on-going</w:t>
      </w:r>
      <w:r w:rsidRPr="0049764D">
        <w:t>.</w:t>
      </w:r>
      <w:bookmarkEnd w:id="13"/>
    </w:p>
    <w:p w:rsidR="00C25D9C" w:rsidRPr="0049764D" w:rsidRDefault="00C25D9C" w:rsidP="00C25D9C">
      <w:pPr>
        <w:widowControl/>
        <w:rPr>
          <w:szCs w:val="22"/>
        </w:rPr>
      </w:pPr>
    </w:p>
    <w:p w:rsidR="007D5994" w:rsidRPr="0049764D" w:rsidRDefault="00A2464B" w:rsidP="001611C7">
      <w:pPr>
        <w:pStyle w:val="ListParagraph"/>
        <w:widowControl/>
        <w:numPr>
          <w:ilvl w:val="1"/>
          <w:numId w:val="2"/>
        </w:numPr>
        <w:rPr>
          <w:szCs w:val="22"/>
        </w:rPr>
      </w:pPr>
      <w:r w:rsidRPr="0049764D">
        <w:t>The estimated cost is $</w:t>
      </w:r>
      <w:r w:rsidR="0016314E">
        <w:rPr>
          <w:noProof/>
          <w:color w:val="000000"/>
          <w:highlight w:val="black"/>
        </w:rPr>
        <w:t>''''''''''''''</w:t>
      </w:r>
      <w:r w:rsidRPr="0049764D">
        <w:t xml:space="preserve"> per patient per year, based on the distribution of use of each of the strengths in the clinical trial (</w:t>
      </w:r>
      <w:r w:rsidR="004B65DC" w:rsidRPr="0049764D">
        <w:t>89</w:t>
      </w:r>
      <w:r w:rsidRPr="0049764D">
        <w:t xml:space="preserve">% </w:t>
      </w:r>
      <w:r w:rsidR="00F83337" w:rsidRPr="0049764D">
        <w:t xml:space="preserve">on the highest strength, </w:t>
      </w:r>
      <w:r w:rsidR="004B65DC" w:rsidRPr="0049764D">
        <w:t>9</w:t>
      </w:r>
      <w:r w:rsidR="00F83337" w:rsidRPr="0049764D">
        <w:t>% on the mid stre</w:t>
      </w:r>
      <w:r w:rsidR="004B65DC" w:rsidRPr="0049764D">
        <w:t>ngth, 3% on the lowest strength</w:t>
      </w:r>
      <w:r w:rsidR="00F83337" w:rsidRPr="0049764D">
        <w:t>)</w:t>
      </w:r>
      <w:r w:rsidR="004B65DC" w:rsidRPr="0049764D">
        <w:t>, and an adherence rate of 75% (per the financial estimates)</w:t>
      </w:r>
      <w:r w:rsidR="00F83337" w:rsidRPr="0049764D">
        <w:t>. This compares with a cost of $</w:t>
      </w:r>
      <w:r w:rsidR="0016314E">
        <w:rPr>
          <w:noProof/>
          <w:color w:val="000000"/>
          <w:highlight w:val="black"/>
        </w:rPr>
        <w:t>''''''''''</w:t>
      </w:r>
      <w:r w:rsidR="00F83337" w:rsidRPr="0049764D">
        <w:t xml:space="preserve"> per </w:t>
      </w:r>
      <w:r w:rsidR="00421682" w:rsidRPr="0049764D">
        <w:t xml:space="preserve">year </w:t>
      </w:r>
      <w:r w:rsidR="00F83337" w:rsidRPr="0049764D">
        <w:t xml:space="preserve">for enalapril. However, the trial doses </w:t>
      </w:r>
      <w:r w:rsidR="00421682" w:rsidRPr="0049764D">
        <w:t>we</w:t>
      </w:r>
      <w:r w:rsidR="00F83337" w:rsidRPr="0049764D">
        <w:t>re based on patients who completed the run-in period and thus might overestimate doses in Australian practice.</w:t>
      </w:r>
    </w:p>
    <w:p w:rsidR="00F83337" w:rsidRPr="0049764D" w:rsidRDefault="00F83337" w:rsidP="00F83337">
      <w:pPr>
        <w:pStyle w:val="ListParagraph"/>
        <w:widowControl/>
        <w:rPr>
          <w:szCs w:val="22"/>
        </w:rPr>
      </w:pPr>
    </w:p>
    <w:p w:rsidR="00242CC9" w:rsidRDefault="00242CC9">
      <w:pPr>
        <w:widowControl/>
        <w:jc w:val="left"/>
        <w:rPr>
          <w:b/>
        </w:rPr>
      </w:pPr>
      <w:bookmarkStart w:id="14" w:name="_Toc440894574"/>
      <w:r>
        <w:br w:type="page"/>
      </w:r>
    </w:p>
    <w:p w:rsidR="00B60939" w:rsidRPr="0049764D" w:rsidRDefault="00B60939" w:rsidP="00665967">
      <w:pPr>
        <w:pStyle w:val="Heading2"/>
      </w:pPr>
      <w:r w:rsidRPr="0049764D">
        <w:t>Estimated PBS usage &amp; financial implications</w:t>
      </w:r>
      <w:bookmarkEnd w:id="14"/>
    </w:p>
    <w:p w:rsidR="001611C7" w:rsidRPr="0049764D" w:rsidRDefault="001611C7" w:rsidP="001611C7">
      <w:pPr>
        <w:ind w:left="720" w:hanging="720"/>
        <w:rPr>
          <w:b/>
          <w:szCs w:val="22"/>
        </w:rPr>
      </w:pPr>
    </w:p>
    <w:p w:rsidR="00C94943" w:rsidRPr="0049764D" w:rsidRDefault="00C94943" w:rsidP="00C94943">
      <w:pPr>
        <w:pStyle w:val="ListParagraph"/>
        <w:widowControl/>
        <w:numPr>
          <w:ilvl w:val="1"/>
          <w:numId w:val="2"/>
        </w:numPr>
      </w:pPr>
      <w:r w:rsidRPr="0049764D">
        <w:t>This submission was considered by DUSC</w:t>
      </w:r>
      <w:r w:rsidRPr="0049764D">
        <w:rPr>
          <w:color w:val="0070C0"/>
        </w:rPr>
        <w:t xml:space="preserve">. </w:t>
      </w:r>
      <w:r w:rsidRPr="0049764D">
        <w:t>An epidemiological approach was used to estimate the extent of use of sacubitril/valsartan and the financial implications to the PBS/RPBS</w:t>
      </w:r>
      <w:r w:rsidR="001541A3" w:rsidRPr="0049764D">
        <w:t>.</w:t>
      </w:r>
      <w:r w:rsidRPr="0049764D">
        <w:t xml:space="preserve"> </w:t>
      </w:r>
    </w:p>
    <w:p w:rsidR="00C94943" w:rsidRPr="0049764D" w:rsidRDefault="00C94943" w:rsidP="00C94943">
      <w:pPr>
        <w:pStyle w:val="ListParagraph"/>
        <w:widowControl/>
        <w:rPr>
          <w:szCs w:val="22"/>
        </w:rPr>
      </w:pPr>
    </w:p>
    <w:p w:rsidR="00C94943" w:rsidRPr="0049764D" w:rsidRDefault="00C94943" w:rsidP="00C94943">
      <w:pPr>
        <w:keepNext/>
        <w:keepLines/>
        <w:ind w:firstLine="709"/>
        <w:rPr>
          <w:rStyle w:val="CommentReference"/>
        </w:rPr>
      </w:pPr>
      <w:r w:rsidRPr="0049764D">
        <w:rPr>
          <w:rStyle w:val="CommentReference"/>
        </w:rPr>
        <w:t>Table 12: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34"/>
        <w:gridCol w:w="1134"/>
        <w:gridCol w:w="1275"/>
        <w:gridCol w:w="1275"/>
        <w:gridCol w:w="1260"/>
      </w:tblGrid>
      <w:tr w:rsidR="00C94943" w:rsidRPr="0049764D" w:rsidTr="00C94943">
        <w:trPr>
          <w:tblHeader/>
        </w:trPr>
        <w:tc>
          <w:tcPr>
            <w:tcW w:w="1359" w:type="pct"/>
            <w:shd w:val="clear" w:color="auto" w:fill="auto"/>
            <w:vAlign w:val="center"/>
          </w:tcPr>
          <w:p w:rsidR="00C94943" w:rsidRPr="0049764D" w:rsidRDefault="00C94943" w:rsidP="00C94943">
            <w:pPr>
              <w:keepNext/>
              <w:keepLines/>
              <w:tabs>
                <w:tab w:val="left" w:pos="142"/>
              </w:tabs>
              <w:jc w:val="left"/>
              <w:rPr>
                <w:rFonts w:ascii="Arial Narrow" w:hAnsi="Arial Narrow"/>
                <w:b/>
                <w:sz w:val="20"/>
              </w:rPr>
            </w:pPr>
          </w:p>
        </w:tc>
        <w:tc>
          <w:tcPr>
            <w:tcW w:w="679" w:type="pct"/>
            <w:shd w:val="clear" w:color="auto" w:fill="auto"/>
            <w:vAlign w:val="center"/>
          </w:tcPr>
          <w:p w:rsidR="00C94943" w:rsidRPr="0049764D" w:rsidRDefault="00C94943" w:rsidP="00C94943">
            <w:pPr>
              <w:keepNext/>
              <w:keepLines/>
              <w:jc w:val="center"/>
              <w:rPr>
                <w:rFonts w:ascii="Arial Narrow" w:hAnsi="Arial Narrow"/>
                <w:b/>
                <w:sz w:val="20"/>
              </w:rPr>
            </w:pPr>
            <w:r w:rsidRPr="0049764D">
              <w:rPr>
                <w:rFonts w:ascii="Arial Narrow" w:hAnsi="Arial Narrow"/>
                <w:b/>
                <w:sz w:val="20"/>
              </w:rPr>
              <w:t>Year 1</w:t>
            </w:r>
          </w:p>
        </w:tc>
        <w:tc>
          <w:tcPr>
            <w:tcW w:w="679" w:type="pct"/>
            <w:shd w:val="clear" w:color="auto" w:fill="auto"/>
            <w:vAlign w:val="center"/>
          </w:tcPr>
          <w:p w:rsidR="00C94943" w:rsidRPr="0049764D" w:rsidRDefault="00C94943" w:rsidP="00C94943">
            <w:pPr>
              <w:keepNext/>
              <w:keepLines/>
              <w:jc w:val="center"/>
              <w:rPr>
                <w:rFonts w:ascii="Arial Narrow" w:hAnsi="Arial Narrow"/>
                <w:b/>
                <w:sz w:val="20"/>
              </w:rPr>
            </w:pPr>
            <w:r w:rsidRPr="0049764D">
              <w:rPr>
                <w:rFonts w:ascii="Arial Narrow" w:hAnsi="Arial Narrow"/>
                <w:b/>
                <w:sz w:val="20"/>
              </w:rPr>
              <w:t>Year 2</w:t>
            </w:r>
          </w:p>
        </w:tc>
        <w:tc>
          <w:tcPr>
            <w:tcW w:w="764" w:type="pct"/>
            <w:shd w:val="clear" w:color="auto" w:fill="auto"/>
            <w:vAlign w:val="center"/>
          </w:tcPr>
          <w:p w:rsidR="00C94943" w:rsidRPr="0049764D" w:rsidRDefault="00C94943" w:rsidP="00C94943">
            <w:pPr>
              <w:keepNext/>
              <w:keepLines/>
              <w:jc w:val="center"/>
              <w:rPr>
                <w:rFonts w:ascii="Arial Narrow" w:hAnsi="Arial Narrow"/>
                <w:b/>
                <w:sz w:val="20"/>
              </w:rPr>
            </w:pPr>
            <w:r w:rsidRPr="0049764D">
              <w:rPr>
                <w:rFonts w:ascii="Arial Narrow" w:hAnsi="Arial Narrow"/>
                <w:b/>
                <w:sz w:val="20"/>
              </w:rPr>
              <w:t>Year 3</w:t>
            </w:r>
          </w:p>
        </w:tc>
        <w:tc>
          <w:tcPr>
            <w:tcW w:w="764" w:type="pct"/>
            <w:shd w:val="clear" w:color="auto" w:fill="auto"/>
            <w:vAlign w:val="center"/>
          </w:tcPr>
          <w:p w:rsidR="00C94943" w:rsidRPr="0049764D" w:rsidRDefault="00C94943" w:rsidP="00C94943">
            <w:pPr>
              <w:keepNext/>
              <w:keepLines/>
              <w:jc w:val="center"/>
              <w:rPr>
                <w:rFonts w:ascii="Arial Narrow" w:hAnsi="Arial Narrow"/>
                <w:b/>
                <w:sz w:val="20"/>
              </w:rPr>
            </w:pPr>
            <w:r w:rsidRPr="0049764D">
              <w:rPr>
                <w:rFonts w:ascii="Arial Narrow" w:hAnsi="Arial Narrow"/>
                <w:b/>
                <w:sz w:val="20"/>
              </w:rPr>
              <w:t>Year 4</w:t>
            </w:r>
          </w:p>
        </w:tc>
        <w:tc>
          <w:tcPr>
            <w:tcW w:w="755" w:type="pct"/>
            <w:shd w:val="clear" w:color="auto" w:fill="auto"/>
            <w:vAlign w:val="center"/>
          </w:tcPr>
          <w:p w:rsidR="00C94943" w:rsidRPr="0049764D" w:rsidRDefault="00C94943" w:rsidP="00C94943">
            <w:pPr>
              <w:keepNext/>
              <w:keepLines/>
              <w:jc w:val="center"/>
              <w:rPr>
                <w:rFonts w:ascii="Arial Narrow" w:hAnsi="Arial Narrow"/>
                <w:b/>
                <w:sz w:val="20"/>
              </w:rPr>
            </w:pPr>
            <w:r w:rsidRPr="0049764D">
              <w:rPr>
                <w:rFonts w:ascii="Arial Narrow" w:hAnsi="Arial Narrow"/>
                <w:b/>
                <w:sz w:val="20"/>
              </w:rPr>
              <w:t>Year 5</w:t>
            </w:r>
          </w:p>
        </w:tc>
      </w:tr>
      <w:tr w:rsidR="00C94943" w:rsidRPr="0049764D" w:rsidTr="00C94943">
        <w:tc>
          <w:tcPr>
            <w:tcW w:w="5000" w:type="pct"/>
            <w:gridSpan w:val="6"/>
            <w:shd w:val="clear" w:color="auto" w:fill="auto"/>
            <w:vAlign w:val="center"/>
          </w:tcPr>
          <w:p w:rsidR="00C94943" w:rsidRPr="0049764D" w:rsidRDefault="00C94943" w:rsidP="00C94943">
            <w:pPr>
              <w:keepNext/>
              <w:keepLines/>
              <w:jc w:val="left"/>
              <w:rPr>
                <w:rFonts w:ascii="Arial Narrow" w:hAnsi="Arial Narrow"/>
                <w:b/>
                <w:bCs/>
                <w:color w:val="000000"/>
                <w:sz w:val="20"/>
              </w:rPr>
            </w:pPr>
            <w:r w:rsidRPr="0049764D">
              <w:rPr>
                <w:rFonts w:ascii="Arial Narrow" w:hAnsi="Arial Narrow"/>
                <w:b/>
                <w:bCs/>
                <w:color w:val="000000"/>
                <w:sz w:val="20"/>
              </w:rPr>
              <w:t>Estimated extent of use</w:t>
            </w:r>
          </w:p>
        </w:tc>
      </w:tr>
      <w:tr w:rsidR="00C94943" w:rsidRPr="0049764D" w:rsidTr="00C94943">
        <w:tc>
          <w:tcPr>
            <w:tcW w:w="1359" w:type="pct"/>
            <w:shd w:val="clear" w:color="auto" w:fill="auto"/>
            <w:vAlign w:val="center"/>
          </w:tcPr>
          <w:p w:rsidR="00C94943" w:rsidRPr="0049764D" w:rsidRDefault="00C94943" w:rsidP="00C94943">
            <w:pPr>
              <w:keepNext/>
              <w:keepLines/>
              <w:tabs>
                <w:tab w:val="left" w:pos="142"/>
              </w:tabs>
              <w:jc w:val="left"/>
              <w:rPr>
                <w:rFonts w:ascii="Arial Narrow" w:hAnsi="Arial Narrow"/>
                <w:sz w:val="20"/>
              </w:rPr>
            </w:pPr>
            <w:r w:rsidRPr="0049764D">
              <w:rPr>
                <w:rFonts w:ascii="Arial Narrow" w:hAnsi="Arial Narrow"/>
                <w:sz w:val="20"/>
              </w:rPr>
              <w:t xml:space="preserve">Eligible patients </w:t>
            </w:r>
          </w:p>
        </w:tc>
        <w:tc>
          <w:tcPr>
            <w:tcW w:w="679" w:type="pct"/>
            <w:shd w:val="clear" w:color="auto" w:fill="auto"/>
            <w:vAlign w:val="center"/>
          </w:tcPr>
          <w:p w:rsidR="00C94943" w:rsidRPr="0016314E" w:rsidRDefault="0016314E" w:rsidP="00C94943">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c>
          <w:tcPr>
            <w:tcW w:w="679" w:type="pct"/>
            <w:shd w:val="clear" w:color="auto" w:fill="auto"/>
            <w:vAlign w:val="center"/>
          </w:tcPr>
          <w:p w:rsidR="00C94943" w:rsidRPr="0016314E" w:rsidRDefault="0016314E" w:rsidP="00C94943">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c>
          <w:tcPr>
            <w:tcW w:w="764" w:type="pct"/>
            <w:shd w:val="clear" w:color="auto" w:fill="auto"/>
            <w:vAlign w:val="center"/>
          </w:tcPr>
          <w:p w:rsidR="00C94943" w:rsidRPr="0016314E" w:rsidRDefault="0016314E" w:rsidP="00C94943">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c>
          <w:tcPr>
            <w:tcW w:w="764" w:type="pct"/>
            <w:shd w:val="clear" w:color="auto" w:fill="auto"/>
            <w:vAlign w:val="center"/>
          </w:tcPr>
          <w:p w:rsidR="00C94943" w:rsidRPr="0016314E" w:rsidRDefault="0016314E" w:rsidP="00C94943">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c>
          <w:tcPr>
            <w:tcW w:w="755" w:type="pct"/>
            <w:shd w:val="clear" w:color="auto" w:fill="auto"/>
            <w:vAlign w:val="center"/>
          </w:tcPr>
          <w:p w:rsidR="00C94943" w:rsidRPr="0016314E" w:rsidRDefault="0016314E" w:rsidP="00C94943">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r>
      <w:tr w:rsidR="00C94943" w:rsidRPr="0049764D" w:rsidTr="00C94943">
        <w:tc>
          <w:tcPr>
            <w:tcW w:w="1359" w:type="pct"/>
            <w:shd w:val="clear" w:color="auto" w:fill="auto"/>
            <w:vAlign w:val="center"/>
          </w:tcPr>
          <w:p w:rsidR="00C94943" w:rsidRPr="0049764D" w:rsidRDefault="00C94943" w:rsidP="00C94943">
            <w:pPr>
              <w:keepNext/>
              <w:keepLines/>
              <w:tabs>
                <w:tab w:val="left" w:pos="142"/>
              </w:tabs>
              <w:jc w:val="left"/>
              <w:rPr>
                <w:rFonts w:ascii="Arial Narrow" w:hAnsi="Arial Narrow"/>
                <w:sz w:val="20"/>
              </w:rPr>
            </w:pPr>
            <w:r w:rsidRPr="0049764D">
              <w:rPr>
                <w:rFonts w:ascii="Arial Narrow" w:hAnsi="Arial Narrow"/>
                <w:sz w:val="20"/>
              </w:rPr>
              <w:t>Uptake</w:t>
            </w:r>
          </w:p>
        </w:tc>
        <w:tc>
          <w:tcPr>
            <w:tcW w:w="679" w:type="pct"/>
            <w:shd w:val="clear" w:color="auto" w:fill="auto"/>
          </w:tcPr>
          <w:p w:rsidR="00C94943" w:rsidRPr="0049764D" w:rsidRDefault="0016314E" w:rsidP="00C94943">
            <w:pPr>
              <w:keepNext/>
              <w:keepLines/>
              <w:widowControl/>
              <w:jc w:val="center"/>
              <w:rPr>
                <w:rFonts w:ascii="Arial Narrow" w:hAnsi="Arial Narrow" w:cs="Times New Roman"/>
                <w:snapToGrid/>
                <w:sz w:val="20"/>
              </w:rPr>
            </w:pPr>
            <w:r>
              <w:rPr>
                <w:rFonts w:ascii="Arial Narrow" w:hAnsi="Arial Narrow" w:cs="Times New Roman"/>
                <w:noProof/>
                <w:snapToGrid/>
                <w:color w:val="000000"/>
                <w:sz w:val="20"/>
                <w:highlight w:val="black"/>
              </w:rPr>
              <w:t>'''''</w:t>
            </w:r>
            <w:r w:rsidR="00C94943" w:rsidRPr="00BC0C24">
              <w:rPr>
                <w:rFonts w:ascii="Arial Narrow" w:hAnsi="Arial Narrow" w:cs="Times New Roman"/>
                <w:snapToGrid/>
                <w:sz w:val="20"/>
              </w:rPr>
              <w:t>%</w:t>
            </w:r>
          </w:p>
        </w:tc>
        <w:tc>
          <w:tcPr>
            <w:tcW w:w="679" w:type="pct"/>
            <w:shd w:val="clear" w:color="auto" w:fill="auto"/>
          </w:tcPr>
          <w:p w:rsidR="00C94943" w:rsidRPr="0049764D" w:rsidRDefault="0016314E" w:rsidP="00C94943">
            <w:pPr>
              <w:keepNext/>
              <w:keepLines/>
              <w:widowControl/>
              <w:jc w:val="center"/>
              <w:rPr>
                <w:rFonts w:ascii="Arial Narrow" w:hAnsi="Arial Narrow" w:cs="Times New Roman"/>
                <w:snapToGrid/>
                <w:sz w:val="20"/>
              </w:rPr>
            </w:pPr>
            <w:r>
              <w:rPr>
                <w:rFonts w:ascii="Arial Narrow" w:hAnsi="Arial Narrow" w:cs="Times New Roman"/>
                <w:noProof/>
                <w:snapToGrid/>
                <w:color w:val="000000"/>
                <w:sz w:val="20"/>
                <w:highlight w:val="black"/>
              </w:rPr>
              <w:t>''''''</w:t>
            </w:r>
            <w:r w:rsidR="00C94943" w:rsidRPr="00BC0C24">
              <w:rPr>
                <w:rFonts w:ascii="Arial Narrow" w:hAnsi="Arial Narrow" w:cs="Times New Roman"/>
                <w:snapToGrid/>
                <w:sz w:val="20"/>
              </w:rPr>
              <w:t>%</w:t>
            </w:r>
          </w:p>
        </w:tc>
        <w:tc>
          <w:tcPr>
            <w:tcW w:w="764" w:type="pct"/>
            <w:shd w:val="clear" w:color="auto" w:fill="auto"/>
          </w:tcPr>
          <w:p w:rsidR="00C94943" w:rsidRPr="0049764D" w:rsidRDefault="0016314E" w:rsidP="00C94943">
            <w:pPr>
              <w:keepNext/>
              <w:keepLines/>
              <w:widowControl/>
              <w:jc w:val="center"/>
              <w:rPr>
                <w:rFonts w:ascii="Arial Narrow" w:hAnsi="Arial Narrow" w:cs="Times New Roman"/>
                <w:snapToGrid/>
                <w:sz w:val="20"/>
              </w:rPr>
            </w:pPr>
            <w:r>
              <w:rPr>
                <w:rFonts w:ascii="Arial Narrow" w:hAnsi="Arial Narrow" w:cs="Times New Roman"/>
                <w:noProof/>
                <w:snapToGrid/>
                <w:color w:val="000000"/>
                <w:sz w:val="20"/>
                <w:highlight w:val="black"/>
              </w:rPr>
              <w:t>'''''</w:t>
            </w:r>
            <w:r w:rsidR="00C94943" w:rsidRPr="00BC0C24">
              <w:rPr>
                <w:rFonts w:ascii="Arial Narrow" w:hAnsi="Arial Narrow" w:cs="Times New Roman"/>
                <w:snapToGrid/>
                <w:sz w:val="20"/>
              </w:rPr>
              <w:t>%</w:t>
            </w:r>
          </w:p>
        </w:tc>
        <w:tc>
          <w:tcPr>
            <w:tcW w:w="764" w:type="pct"/>
            <w:shd w:val="clear" w:color="auto" w:fill="auto"/>
          </w:tcPr>
          <w:p w:rsidR="00C94943" w:rsidRPr="0049764D" w:rsidRDefault="0016314E" w:rsidP="00C94943">
            <w:pPr>
              <w:keepNext/>
              <w:keepLines/>
              <w:widowControl/>
              <w:jc w:val="center"/>
              <w:rPr>
                <w:rFonts w:ascii="Arial Narrow" w:hAnsi="Arial Narrow" w:cs="Times New Roman"/>
                <w:snapToGrid/>
                <w:sz w:val="20"/>
              </w:rPr>
            </w:pPr>
            <w:r>
              <w:rPr>
                <w:rFonts w:ascii="Arial Narrow" w:hAnsi="Arial Narrow" w:cs="Times New Roman"/>
                <w:noProof/>
                <w:snapToGrid/>
                <w:color w:val="000000"/>
                <w:sz w:val="20"/>
                <w:highlight w:val="black"/>
              </w:rPr>
              <w:t>''''''</w:t>
            </w:r>
            <w:r w:rsidR="00C94943" w:rsidRPr="00BC0C24">
              <w:rPr>
                <w:rFonts w:ascii="Arial Narrow" w:hAnsi="Arial Narrow" w:cs="Times New Roman"/>
                <w:snapToGrid/>
                <w:sz w:val="20"/>
              </w:rPr>
              <w:t>%</w:t>
            </w:r>
          </w:p>
        </w:tc>
        <w:tc>
          <w:tcPr>
            <w:tcW w:w="755" w:type="pct"/>
            <w:shd w:val="clear" w:color="auto" w:fill="auto"/>
          </w:tcPr>
          <w:p w:rsidR="00C94943" w:rsidRPr="0049764D" w:rsidRDefault="0016314E" w:rsidP="00C94943">
            <w:pPr>
              <w:keepNext/>
              <w:keepLines/>
              <w:widowControl/>
              <w:jc w:val="center"/>
              <w:rPr>
                <w:rFonts w:ascii="Arial Narrow" w:hAnsi="Arial Narrow" w:cs="Times New Roman"/>
                <w:snapToGrid/>
                <w:sz w:val="20"/>
              </w:rPr>
            </w:pPr>
            <w:r>
              <w:rPr>
                <w:rFonts w:ascii="Arial Narrow" w:hAnsi="Arial Narrow" w:cs="Times New Roman"/>
                <w:noProof/>
                <w:snapToGrid/>
                <w:color w:val="000000"/>
                <w:sz w:val="20"/>
                <w:highlight w:val="black"/>
              </w:rPr>
              <w:t>''''''</w:t>
            </w:r>
            <w:r w:rsidR="00C94943" w:rsidRPr="00BC0C24">
              <w:rPr>
                <w:rFonts w:ascii="Arial Narrow" w:hAnsi="Arial Narrow" w:cs="Times New Roman"/>
                <w:snapToGrid/>
                <w:sz w:val="20"/>
              </w:rPr>
              <w:t>%</w:t>
            </w:r>
          </w:p>
        </w:tc>
      </w:tr>
      <w:tr w:rsidR="00C94943" w:rsidRPr="0049764D" w:rsidTr="00C94943">
        <w:tc>
          <w:tcPr>
            <w:tcW w:w="1359" w:type="pct"/>
            <w:shd w:val="clear" w:color="auto" w:fill="auto"/>
            <w:vAlign w:val="center"/>
          </w:tcPr>
          <w:p w:rsidR="00C94943" w:rsidRPr="0049764D" w:rsidRDefault="00C94943" w:rsidP="00C94943">
            <w:pPr>
              <w:keepNext/>
              <w:keepLines/>
              <w:tabs>
                <w:tab w:val="left" w:pos="142"/>
              </w:tabs>
              <w:jc w:val="left"/>
              <w:rPr>
                <w:rFonts w:ascii="Arial Narrow" w:hAnsi="Arial Narrow"/>
                <w:sz w:val="20"/>
              </w:rPr>
            </w:pPr>
            <w:r w:rsidRPr="0049764D">
              <w:rPr>
                <w:rFonts w:ascii="Arial Narrow" w:hAnsi="Arial Narrow"/>
                <w:sz w:val="20"/>
              </w:rPr>
              <w:t>Number treated</w:t>
            </w:r>
          </w:p>
        </w:tc>
        <w:tc>
          <w:tcPr>
            <w:tcW w:w="679" w:type="pct"/>
            <w:shd w:val="clear" w:color="auto" w:fill="auto"/>
            <w:vAlign w:val="center"/>
          </w:tcPr>
          <w:p w:rsidR="00C94943" w:rsidRPr="0016314E" w:rsidRDefault="0016314E" w:rsidP="00C94943">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c>
          <w:tcPr>
            <w:tcW w:w="679" w:type="pct"/>
            <w:shd w:val="clear" w:color="auto" w:fill="auto"/>
            <w:vAlign w:val="center"/>
          </w:tcPr>
          <w:p w:rsidR="00C94943" w:rsidRPr="0016314E" w:rsidRDefault="0016314E" w:rsidP="00C94943">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c>
          <w:tcPr>
            <w:tcW w:w="764" w:type="pct"/>
            <w:shd w:val="clear" w:color="auto" w:fill="auto"/>
            <w:vAlign w:val="center"/>
          </w:tcPr>
          <w:p w:rsidR="00C94943" w:rsidRPr="0016314E" w:rsidRDefault="0016314E" w:rsidP="00C94943">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c>
          <w:tcPr>
            <w:tcW w:w="764" w:type="pct"/>
            <w:shd w:val="clear" w:color="auto" w:fill="auto"/>
            <w:vAlign w:val="center"/>
          </w:tcPr>
          <w:p w:rsidR="00C94943" w:rsidRPr="0016314E" w:rsidRDefault="0016314E" w:rsidP="00C94943">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c>
          <w:tcPr>
            <w:tcW w:w="755" w:type="pct"/>
            <w:shd w:val="clear" w:color="auto" w:fill="auto"/>
            <w:vAlign w:val="center"/>
          </w:tcPr>
          <w:p w:rsidR="00C94943" w:rsidRPr="0016314E" w:rsidRDefault="0016314E" w:rsidP="00C94943">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r>
      <w:tr w:rsidR="00C94943" w:rsidRPr="0049764D" w:rsidTr="00C94943">
        <w:tc>
          <w:tcPr>
            <w:tcW w:w="1359" w:type="pct"/>
            <w:shd w:val="clear" w:color="auto" w:fill="auto"/>
            <w:vAlign w:val="center"/>
          </w:tcPr>
          <w:p w:rsidR="00C94943" w:rsidRPr="0049764D" w:rsidRDefault="00C94943" w:rsidP="00C94943">
            <w:pPr>
              <w:keepNext/>
              <w:keepLines/>
              <w:tabs>
                <w:tab w:val="left" w:pos="142"/>
              </w:tabs>
              <w:jc w:val="left"/>
              <w:rPr>
                <w:rFonts w:ascii="Arial Narrow" w:hAnsi="Arial Narrow"/>
                <w:sz w:val="20"/>
              </w:rPr>
            </w:pPr>
            <w:r w:rsidRPr="0049764D">
              <w:rPr>
                <w:rFonts w:ascii="Arial Narrow" w:hAnsi="Arial Narrow"/>
                <w:sz w:val="20"/>
              </w:rPr>
              <w:t xml:space="preserve">Scripts </w:t>
            </w:r>
            <w:r w:rsidRPr="0049764D">
              <w:rPr>
                <w:rFonts w:ascii="Arial Narrow" w:hAnsi="Arial Narrow"/>
                <w:sz w:val="20"/>
                <w:vertAlign w:val="superscript"/>
              </w:rPr>
              <w:t>a</w:t>
            </w:r>
          </w:p>
        </w:tc>
        <w:tc>
          <w:tcPr>
            <w:tcW w:w="679" w:type="pct"/>
            <w:shd w:val="clear" w:color="auto" w:fill="auto"/>
            <w:vAlign w:val="center"/>
          </w:tcPr>
          <w:p w:rsidR="00C94943" w:rsidRPr="0016314E" w:rsidRDefault="0016314E" w:rsidP="00C94943">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c>
          <w:tcPr>
            <w:tcW w:w="679" w:type="pct"/>
            <w:shd w:val="clear" w:color="auto" w:fill="auto"/>
            <w:vAlign w:val="center"/>
          </w:tcPr>
          <w:p w:rsidR="00C94943" w:rsidRPr="0016314E" w:rsidRDefault="0016314E" w:rsidP="00C94943">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c>
          <w:tcPr>
            <w:tcW w:w="764" w:type="pct"/>
            <w:shd w:val="clear" w:color="auto" w:fill="auto"/>
            <w:vAlign w:val="center"/>
          </w:tcPr>
          <w:p w:rsidR="00C94943" w:rsidRPr="0016314E" w:rsidRDefault="0016314E" w:rsidP="00C94943">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c>
          <w:tcPr>
            <w:tcW w:w="764" w:type="pct"/>
            <w:shd w:val="clear" w:color="auto" w:fill="auto"/>
            <w:vAlign w:val="center"/>
          </w:tcPr>
          <w:p w:rsidR="00C94943" w:rsidRPr="0016314E" w:rsidRDefault="0016314E" w:rsidP="00C94943">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c>
          <w:tcPr>
            <w:tcW w:w="755" w:type="pct"/>
            <w:shd w:val="clear" w:color="auto" w:fill="auto"/>
            <w:vAlign w:val="center"/>
          </w:tcPr>
          <w:p w:rsidR="00C94943" w:rsidRPr="0016314E" w:rsidRDefault="0016314E" w:rsidP="00C94943">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r>
      <w:tr w:rsidR="00C94943" w:rsidRPr="0049764D" w:rsidTr="00C94943">
        <w:tc>
          <w:tcPr>
            <w:tcW w:w="5000" w:type="pct"/>
            <w:gridSpan w:val="6"/>
            <w:shd w:val="clear" w:color="auto" w:fill="auto"/>
            <w:vAlign w:val="center"/>
          </w:tcPr>
          <w:p w:rsidR="00C94943" w:rsidRPr="0049764D" w:rsidRDefault="00C94943" w:rsidP="00C94943">
            <w:pPr>
              <w:keepNext/>
              <w:keepLines/>
              <w:jc w:val="left"/>
              <w:rPr>
                <w:rFonts w:ascii="Arial Narrow" w:hAnsi="Arial Narrow"/>
                <w:b/>
                <w:bCs/>
                <w:color w:val="000000"/>
                <w:sz w:val="20"/>
              </w:rPr>
            </w:pPr>
            <w:r w:rsidRPr="0049764D">
              <w:rPr>
                <w:rFonts w:ascii="Arial Narrow" w:hAnsi="Arial Narrow"/>
                <w:b/>
                <w:bCs/>
                <w:color w:val="000000"/>
                <w:sz w:val="20"/>
              </w:rPr>
              <w:t>Estimated net cost to PBS/RPBS/MBS</w:t>
            </w:r>
          </w:p>
        </w:tc>
      </w:tr>
      <w:tr w:rsidR="00C94943" w:rsidRPr="0049764D" w:rsidTr="00C94943">
        <w:tc>
          <w:tcPr>
            <w:tcW w:w="1359" w:type="pct"/>
            <w:shd w:val="clear" w:color="auto" w:fill="auto"/>
            <w:vAlign w:val="center"/>
          </w:tcPr>
          <w:p w:rsidR="00C94943" w:rsidRPr="0049764D" w:rsidRDefault="00C94943" w:rsidP="00C94943">
            <w:pPr>
              <w:keepNext/>
              <w:keepLines/>
              <w:tabs>
                <w:tab w:val="left" w:pos="142"/>
              </w:tabs>
              <w:jc w:val="left"/>
              <w:rPr>
                <w:rFonts w:ascii="Arial Narrow" w:hAnsi="Arial Narrow"/>
                <w:sz w:val="20"/>
              </w:rPr>
            </w:pPr>
            <w:r w:rsidRPr="0049764D">
              <w:rPr>
                <w:rFonts w:ascii="Arial Narrow" w:hAnsi="Arial Narrow"/>
                <w:sz w:val="19"/>
                <w:szCs w:val="19"/>
              </w:rPr>
              <w:t>Net cost to PBS/RPBS</w:t>
            </w:r>
          </w:p>
        </w:tc>
        <w:tc>
          <w:tcPr>
            <w:tcW w:w="679" w:type="pct"/>
            <w:shd w:val="clear" w:color="auto" w:fill="auto"/>
            <w:vAlign w:val="bottom"/>
          </w:tcPr>
          <w:p w:rsidR="00C94943" w:rsidRPr="0049764D" w:rsidRDefault="00C94943" w:rsidP="00C94943">
            <w:pPr>
              <w:keepNext/>
              <w:keepLines/>
              <w:widowControl/>
              <w:jc w:val="right"/>
              <w:rPr>
                <w:rFonts w:ascii="Arial Narrow" w:hAnsi="Arial Narrow" w:cs="Times New Roman"/>
                <w:snapToGrid/>
                <w:sz w:val="20"/>
              </w:rPr>
            </w:pPr>
            <w:r w:rsidRPr="0049764D">
              <w:rPr>
                <w:rFonts w:ascii="Arial Narrow" w:hAnsi="Arial Narrow" w:cs="Times New Roman"/>
                <w:snapToGrid/>
                <w:sz w:val="20"/>
              </w:rPr>
              <w:t>$</w:t>
            </w:r>
            <w:r w:rsidR="0016314E">
              <w:rPr>
                <w:rFonts w:ascii="Arial Narrow" w:hAnsi="Arial Narrow" w:cs="Times New Roman"/>
                <w:noProof/>
                <w:snapToGrid/>
                <w:color w:val="000000"/>
                <w:sz w:val="20"/>
                <w:highlight w:val="black"/>
              </w:rPr>
              <w:t>''''''''''''''''''''''''''''</w:t>
            </w:r>
          </w:p>
        </w:tc>
        <w:tc>
          <w:tcPr>
            <w:tcW w:w="679" w:type="pct"/>
            <w:shd w:val="clear" w:color="auto" w:fill="auto"/>
            <w:vAlign w:val="bottom"/>
          </w:tcPr>
          <w:p w:rsidR="00C94943" w:rsidRPr="0049764D" w:rsidRDefault="00C94943" w:rsidP="00C94943">
            <w:pPr>
              <w:keepNext/>
              <w:keepLines/>
              <w:widowControl/>
              <w:jc w:val="right"/>
              <w:rPr>
                <w:rFonts w:ascii="Arial Narrow" w:hAnsi="Arial Narrow" w:cs="Times New Roman"/>
                <w:snapToGrid/>
                <w:sz w:val="20"/>
              </w:rPr>
            </w:pPr>
            <w:r w:rsidRPr="0049764D">
              <w:rPr>
                <w:rFonts w:ascii="Arial Narrow" w:hAnsi="Arial Narrow" w:cs="Times New Roman"/>
                <w:snapToGrid/>
                <w:sz w:val="20"/>
              </w:rPr>
              <w:t>$</w:t>
            </w:r>
            <w:r w:rsidR="0016314E">
              <w:rPr>
                <w:rFonts w:ascii="Arial Narrow" w:hAnsi="Arial Narrow" w:cs="Times New Roman"/>
                <w:noProof/>
                <w:snapToGrid/>
                <w:color w:val="000000"/>
                <w:sz w:val="20"/>
                <w:highlight w:val="black"/>
              </w:rPr>
              <w:t>''''''''''''''''''''''''</w:t>
            </w:r>
          </w:p>
        </w:tc>
        <w:tc>
          <w:tcPr>
            <w:tcW w:w="764" w:type="pct"/>
            <w:shd w:val="clear" w:color="auto" w:fill="auto"/>
            <w:vAlign w:val="bottom"/>
          </w:tcPr>
          <w:p w:rsidR="00C94943" w:rsidRPr="0049764D" w:rsidRDefault="00C94943" w:rsidP="00C94943">
            <w:pPr>
              <w:keepNext/>
              <w:keepLines/>
              <w:widowControl/>
              <w:jc w:val="right"/>
              <w:rPr>
                <w:rFonts w:ascii="Arial Narrow" w:hAnsi="Arial Narrow" w:cs="Times New Roman"/>
                <w:snapToGrid/>
                <w:sz w:val="20"/>
              </w:rPr>
            </w:pPr>
            <w:r w:rsidRPr="0049764D">
              <w:rPr>
                <w:rFonts w:ascii="Arial Narrow" w:hAnsi="Arial Narrow" w:cs="Times New Roman"/>
                <w:snapToGrid/>
                <w:sz w:val="20"/>
              </w:rPr>
              <w:t>$</w:t>
            </w:r>
            <w:r w:rsidR="0016314E">
              <w:rPr>
                <w:rFonts w:ascii="Arial Narrow" w:hAnsi="Arial Narrow" w:cs="Times New Roman"/>
                <w:noProof/>
                <w:snapToGrid/>
                <w:color w:val="000000"/>
                <w:sz w:val="20"/>
                <w:highlight w:val="black"/>
              </w:rPr>
              <w:t>'''''''''''''''''''''''''''</w:t>
            </w:r>
          </w:p>
        </w:tc>
        <w:tc>
          <w:tcPr>
            <w:tcW w:w="764" w:type="pct"/>
            <w:shd w:val="clear" w:color="auto" w:fill="auto"/>
            <w:vAlign w:val="bottom"/>
          </w:tcPr>
          <w:p w:rsidR="00C94943" w:rsidRPr="0049764D" w:rsidRDefault="00C94943" w:rsidP="00C94943">
            <w:pPr>
              <w:keepNext/>
              <w:keepLines/>
              <w:widowControl/>
              <w:jc w:val="right"/>
              <w:rPr>
                <w:rFonts w:ascii="Arial Narrow" w:hAnsi="Arial Narrow" w:cs="Times New Roman"/>
                <w:snapToGrid/>
                <w:sz w:val="20"/>
              </w:rPr>
            </w:pPr>
            <w:r w:rsidRPr="0049764D">
              <w:rPr>
                <w:rFonts w:ascii="Arial Narrow" w:hAnsi="Arial Narrow" w:cs="Times New Roman"/>
                <w:snapToGrid/>
                <w:sz w:val="20"/>
              </w:rPr>
              <w:t>$</w:t>
            </w:r>
            <w:r w:rsidR="0016314E">
              <w:rPr>
                <w:rFonts w:ascii="Arial Narrow" w:hAnsi="Arial Narrow" w:cs="Times New Roman"/>
                <w:noProof/>
                <w:snapToGrid/>
                <w:color w:val="000000"/>
                <w:sz w:val="20"/>
                <w:highlight w:val="black"/>
              </w:rPr>
              <w:t>'''''''''''''''''''''''''''''''</w:t>
            </w:r>
          </w:p>
        </w:tc>
        <w:tc>
          <w:tcPr>
            <w:tcW w:w="755" w:type="pct"/>
            <w:shd w:val="clear" w:color="auto" w:fill="auto"/>
            <w:vAlign w:val="bottom"/>
          </w:tcPr>
          <w:p w:rsidR="00C94943" w:rsidRPr="0049764D" w:rsidRDefault="00C94943" w:rsidP="00C94943">
            <w:pPr>
              <w:keepNext/>
              <w:keepLines/>
              <w:widowControl/>
              <w:jc w:val="right"/>
              <w:rPr>
                <w:rFonts w:ascii="Arial Narrow" w:hAnsi="Arial Narrow" w:cs="Times New Roman"/>
                <w:snapToGrid/>
                <w:sz w:val="20"/>
              </w:rPr>
            </w:pPr>
            <w:r w:rsidRPr="0049764D">
              <w:rPr>
                <w:rFonts w:ascii="Arial Narrow" w:hAnsi="Arial Narrow" w:cs="Times New Roman"/>
                <w:snapToGrid/>
                <w:sz w:val="20"/>
              </w:rPr>
              <w:t>$</w:t>
            </w:r>
            <w:r w:rsidR="0016314E">
              <w:rPr>
                <w:rFonts w:ascii="Arial Narrow" w:hAnsi="Arial Narrow" w:cs="Times New Roman"/>
                <w:noProof/>
                <w:snapToGrid/>
                <w:color w:val="000000"/>
                <w:sz w:val="20"/>
                <w:highlight w:val="black"/>
              </w:rPr>
              <w:t>''''''''''''''''''''''''''''''''</w:t>
            </w:r>
          </w:p>
        </w:tc>
      </w:tr>
      <w:tr w:rsidR="00C94943" w:rsidRPr="0049764D" w:rsidTr="00C94943">
        <w:tc>
          <w:tcPr>
            <w:tcW w:w="1359" w:type="pct"/>
            <w:shd w:val="clear" w:color="auto" w:fill="auto"/>
            <w:vAlign w:val="center"/>
          </w:tcPr>
          <w:p w:rsidR="00C94943" w:rsidRPr="0049764D" w:rsidRDefault="00C94943" w:rsidP="00C94943">
            <w:pPr>
              <w:keepNext/>
              <w:keepLines/>
              <w:tabs>
                <w:tab w:val="left" w:pos="142"/>
              </w:tabs>
              <w:jc w:val="left"/>
              <w:rPr>
                <w:rFonts w:ascii="Arial Narrow" w:hAnsi="Arial Narrow"/>
                <w:sz w:val="20"/>
              </w:rPr>
            </w:pPr>
            <w:r w:rsidRPr="0049764D">
              <w:rPr>
                <w:rFonts w:ascii="Arial Narrow" w:hAnsi="Arial Narrow"/>
                <w:sz w:val="19"/>
                <w:szCs w:val="19"/>
              </w:rPr>
              <w:t>Net cost to MBS</w:t>
            </w:r>
          </w:p>
        </w:tc>
        <w:tc>
          <w:tcPr>
            <w:tcW w:w="679" w:type="pct"/>
            <w:shd w:val="clear" w:color="auto" w:fill="auto"/>
            <w:vAlign w:val="center"/>
          </w:tcPr>
          <w:p w:rsidR="00C94943" w:rsidRPr="0049764D" w:rsidRDefault="00C94943" w:rsidP="00C94943">
            <w:pPr>
              <w:keepNext/>
              <w:keepLines/>
              <w:jc w:val="center"/>
              <w:rPr>
                <w:rFonts w:ascii="Arial Narrow" w:hAnsi="Arial Narrow"/>
                <w:bCs/>
                <w:color w:val="000000"/>
                <w:sz w:val="20"/>
              </w:rPr>
            </w:pPr>
            <w:r w:rsidRPr="0049764D">
              <w:rPr>
                <w:rFonts w:ascii="Arial Narrow" w:hAnsi="Arial Narrow"/>
                <w:bCs/>
                <w:color w:val="000000"/>
                <w:sz w:val="20"/>
              </w:rPr>
              <w:t>-</w:t>
            </w:r>
          </w:p>
        </w:tc>
        <w:tc>
          <w:tcPr>
            <w:tcW w:w="679" w:type="pct"/>
            <w:shd w:val="clear" w:color="auto" w:fill="auto"/>
            <w:vAlign w:val="center"/>
          </w:tcPr>
          <w:p w:rsidR="00C94943" w:rsidRPr="0049764D" w:rsidRDefault="00C94943" w:rsidP="00C94943">
            <w:pPr>
              <w:keepNext/>
              <w:keepLines/>
              <w:jc w:val="center"/>
              <w:rPr>
                <w:rFonts w:ascii="Arial Narrow" w:hAnsi="Arial Narrow"/>
                <w:bCs/>
                <w:color w:val="000000"/>
                <w:sz w:val="20"/>
              </w:rPr>
            </w:pPr>
            <w:r w:rsidRPr="0049764D">
              <w:rPr>
                <w:rFonts w:ascii="Arial Narrow" w:hAnsi="Arial Narrow"/>
                <w:bCs/>
                <w:color w:val="000000"/>
                <w:sz w:val="20"/>
              </w:rPr>
              <w:t>-</w:t>
            </w:r>
          </w:p>
        </w:tc>
        <w:tc>
          <w:tcPr>
            <w:tcW w:w="764" w:type="pct"/>
            <w:shd w:val="clear" w:color="auto" w:fill="auto"/>
            <w:vAlign w:val="center"/>
          </w:tcPr>
          <w:p w:rsidR="00C94943" w:rsidRPr="0049764D" w:rsidRDefault="00C94943" w:rsidP="00C94943">
            <w:pPr>
              <w:keepNext/>
              <w:keepLines/>
              <w:jc w:val="center"/>
              <w:rPr>
                <w:rFonts w:ascii="Arial Narrow" w:hAnsi="Arial Narrow"/>
                <w:bCs/>
                <w:color w:val="000000"/>
                <w:sz w:val="20"/>
              </w:rPr>
            </w:pPr>
            <w:r w:rsidRPr="0049764D">
              <w:rPr>
                <w:rFonts w:ascii="Arial Narrow" w:hAnsi="Arial Narrow"/>
                <w:bCs/>
                <w:color w:val="000000"/>
                <w:sz w:val="20"/>
              </w:rPr>
              <w:t>-</w:t>
            </w:r>
          </w:p>
        </w:tc>
        <w:tc>
          <w:tcPr>
            <w:tcW w:w="764" w:type="pct"/>
            <w:shd w:val="clear" w:color="auto" w:fill="auto"/>
            <w:vAlign w:val="center"/>
          </w:tcPr>
          <w:p w:rsidR="00C94943" w:rsidRPr="0049764D" w:rsidRDefault="00C94943" w:rsidP="00C94943">
            <w:pPr>
              <w:keepNext/>
              <w:keepLines/>
              <w:jc w:val="center"/>
              <w:rPr>
                <w:rFonts w:ascii="Arial Narrow" w:hAnsi="Arial Narrow"/>
                <w:bCs/>
                <w:color w:val="000000"/>
                <w:sz w:val="20"/>
              </w:rPr>
            </w:pPr>
            <w:r w:rsidRPr="0049764D">
              <w:rPr>
                <w:rFonts w:ascii="Arial Narrow" w:hAnsi="Arial Narrow"/>
                <w:bCs/>
                <w:color w:val="000000"/>
                <w:sz w:val="20"/>
              </w:rPr>
              <w:t>-</w:t>
            </w:r>
          </w:p>
        </w:tc>
        <w:tc>
          <w:tcPr>
            <w:tcW w:w="755" w:type="pct"/>
            <w:shd w:val="clear" w:color="auto" w:fill="auto"/>
            <w:vAlign w:val="center"/>
          </w:tcPr>
          <w:p w:rsidR="00C94943" w:rsidRPr="0049764D" w:rsidRDefault="00C94943" w:rsidP="00C94943">
            <w:pPr>
              <w:keepNext/>
              <w:keepLines/>
              <w:jc w:val="center"/>
              <w:rPr>
                <w:rFonts w:ascii="Arial Narrow" w:hAnsi="Arial Narrow"/>
                <w:bCs/>
                <w:color w:val="000000"/>
                <w:sz w:val="20"/>
              </w:rPr>
            </w:pPr>
            <w:r w:rsidRPr="0049764D">
              <w:rPr>
                <w:rFonts w:ascii="Arial Narrow" w:hAnsi="Arial Narrow"/>
                <w:bCs/>
                <w:color w:val="000000"/>
                <w:sz w:val="20"/>
              </w:rPr>
              <w:t>-</w:t>
            </w:r>
          </w:p>
        </w:tc>
      </w:tr>
      <w:tr w:rsidR="00C94943" w:rsidRPr="0049764D" w:rsidTr="00C94943">
        <w:tc>
          <w:tcPr>
            <w:tcW w:w="5000" w:type="pct"/>
            <w:gridSpan w:val="6"/>
            <w:shd w:val="clear" w:color="auto" w:fill="auto"/>
            <w:vAlign w:val="center"/>
          </w:tcPr>
          <w:p w:rsidR="00C94943" w:rsidRPr="0049764D" w:rsidRDefault="00C94943" w:rsidP="00C94943">
            <w:pPr>
              <w:keepNext/>
              <w:keepLines/>
              <w:jc w:val="left"/>
              <w:rPr>
                <w:rFonts w:ascii="Arial Narrow" w:hAnsi="Arial Narrow"/>
                <w:b/>
                <w:color w:val="000000"/>
                <w:sz w:val="20"/>
              </w:rPr>
            </w:pPr>
            <w:r w:rsidRPr="0049764D">
              <w:rPr>
                <w:rFonts w:ascii="Arial Narrow" w:hAnsi="Arial Narrow"/>
                <w:b/>
                <w:color w:val="000000"/>
                <w:sz w:val="20"/>
              </w:rPr>
              <w:t>Estimated total net cost</w:t>
            </w:r>
          </w:p>
        </w:tc>
      </w:tr>
      <w:tr w:rsidR="00C94943" w:rsidRPr="0049764D" w:rsidTr="00C94943">
        <w:tc>
          <w:tcPr>
            <w:tcW w:w="1359" w:type="pct"/>
            <w:shd w:val="clear" w:color="auto" w:fill="auto"/>
            <w:vAlign w:val="center"/>
          </w:tcPr>
          <w:p w:rsidR="00C94943" w:rsidRPr="0049764D" w:rsidRDefault="00C94943" w:rsidP="00C94943">
            <w:pPr>
              <w:keepNext/>
              <w:keepLines/>
              <w:tabs>
                <w:tab w:val="left" w:pos="142"/>
              </w:tabs>
              <w:jc w:val="left"/>
              <w:rPr>
                <w:rFonts w:ascii="Arial Narrow" w:hAnsi="Arial Narrow"/>
                <w:b/>
                <w:sz w:val="20"/>
              </w:rPr>
            </w:pPr>
            <w:r w:rsidRPr="0049764D">
              <w:rPr>
                <w:rFonts w:ascii="Arial Narrow" w:hAnsi="Arial Narrow"/>
                <w:b/>
                <w:bCs/>
                <w:color w:val="000000"/>
                <w:sz w:val="20"/>
              </w:rPr>
              <w:t>Net cost to PBS/RPBS/MBS</w:t>
            </w:r>
          </w:p>
        </w:tc>
        <w:tc>
          <w:tcPr>
            <w:tcW w:w="679" w:type="pct"/>
            <w:shd w:val="clear" w:color="auto" w:fill="auto"/>
            <w:vAlign w:val="bottom"/>
          </w:tcPr>
          <w:p w:rsidR="00C94943" w:rsidRPr="0049764D" w:rsidRDefault="00C94943" w:rsidP="00C94943">
            <w:pPr>
              <w:keepNext/>
              <w:keepLines/>
              <w:widowControl/>
              <w:jc w:val="right"/>
              <w:rPr>
                <w:rFonts w:ascii="Arial Narrow" w:hAnsi="Arial Narrow" w:cs="Times New Roman"/>
                <w:b/>
                <w:snapToGrid/>
                <w:sz w:val="20"/>
              </w:rPr>
            </w:pPr>
            <w:r w:rsidRPr="0049764D">
              <w:rPr>
                <w:rFonts w:ascii="Arial Narrow" w:hAnsi="Arial Narrow" w:cs="Times New Roman"/>
                <w:b/>
                <w:snapToGrid/>
                <w:sz w:val="20"/>
              </w:rPr>
              <w:t>$</w:t>
            </w:r>
            <w:r w:rsidR="0016314E">
              <w:rPr>
                <w:rFonts w:ascii="Arial Narrow" w:hAnsi="Arial Narrow" w:cs="Times New Roman"/>
                <w:b/>
                <w:noProof/>
                <w:snapToGrid/>
                <w:color w:val="000000"/>
                <w:sz w:val="20"/>
                <w:highlight w:val="black"/>
              </w:rPr>
              <w:t>'''''''''''''''''''''</w:t>
            </w:r>
          </w:p>
        </w:tc>
        <w:tc>
          <w:tcPr>
            <w:tcW w:w="679" w:type="pct"/>
            <w:shd w:val="clear" w:color="auto" w:fill="auto"/>
            <w:vAlign w:val="bottom"/>
          </w:tcPr>
          <w:p w:rsidR="00C94943" w:rsidRPr="0049764D" w:rsidRDefault="00C94943" w:rsidP="00C94943">
            <w:pPr>
              <w:keepNext/>
              <w:keepLines/>
              <w:widowControl/>
              <w:jc w:val="right"/>
              <w:rPr>
                <w:rFonts w:ascii="Arial Narrow" w:hAnsi="Arial Narrow" w:cs="Times New Roman"/>
                <w:b/>
                <w:snapToGrid/>
                <w:sz w:val="20"/>
              </w:rPr>
            </w:pPr>
            <w:r w:rsidRPr="0049764D">
              <w:rPr>
                <w:rFonts w:ascii="Arial Narrow" w:hAnsi="Arial Narrow" w:cs="Times New Roman"/>
                <w:b/>
                <w:snapToGrid/>
                <w:sz w:val="20"/>
              </w:rPr>
              <w:t>$</w:t>
            </w:r>
            <w:r w:rsidR="0016314E">
              <w:rPr>
                <w:rFonts w:ascii="Arial Narrow" w:hAnsi="Arial Narrow" w:cs="Times New Roman"/>
                <w:b/>
                <w:noProof/>
                <w:snapToGrid/>
                <w:color w:val="000000"/>
                <w:sz w:val="20"/>
                <w:highlight w:val="black"/>
              </w:rPr>
              <w:t>'''''''''''''''''''''</w:t>
            </w:r>
          </w:p>
        </w:tc>
        <w:tc>
          <w:tcPr>
            <w:tcW w:w="764" w:type="pct"/>
            <w:shd w:val="clear" w:color="auto" w:fill="auto"/>
            <w:vAlign w:val="bottom"/>
          </w:tcPr>
          <w:p w:rsidR="00C94943" w:rsidRPr="0049764D" w:rsidRDefault="00C94943" w:rsidP="00C94943">
            <w:pPr>
              <w:keepNext/>
              <w:keepLines/>
              <w:widowControl/>
              <w:jc w:val="right"/>
              <w:rPr>
                <w:rFonts w:ascii="Arial Narrow" w:hAnsi="Arial Narrow" w:cs="Times New Roman"/>
                <w:b/>
                <w:snapToGrid/>
                <w:sz w:val="20"/>
              </w:rPr>
            </w:pPr>
            <w:r w:rsidRPr="0049764D">
              <w:rPr>
                <w:rFonts w:ascii="Arial Narrow" w:hAnsi="Arial Narrow" w:cs="Times New Roman"/>
                <w:b/>
                <w:snapToGrid/>
                <w:sz w:val="20"/>
              </w:rPr>
              <w:t>$</w:t>
            </w:r>
            <w:r w:rsidR="0016314E">
              <w:rPr>
                <w:rFonts w:ascii="Arial Narrow" w:hAnsi="Arial Narrow" w:cs="Times New Roman"/>
                <w:b/>
                <w:noProof/>
                <w:snapToGrid/>
                <w:color w:val="000000"/>
                <w:sz w:val="20"/>
                <w:highlight w:val="black"/>
              </w:rPr>
              <w:t>''''''''''''''''''''''</w:t>
            </w:r>
          </w:p>
        </w:tc>
        <w:tc>
          <w:tcPr>
            <w:tcW w:w="764" w:type="pct"/>
            <w:shd w:val="clear" w:color="auto" w:fill="auto"/>
            <w:vAlign w:val="bottom"/>
          </w:tcPr>
          <w:p w:rsidR="00C94943" w:rsidRPr="0049764D" w:rsidRDefault="00C94943" w:rsidP="00C94943">
            <w:pPr>
              <w:keepNext/>
              <w:keepLines/>
              <w:widowControl/>
              <w:jc w:val="right"/>
              <w:rPr>
                <w:rFonts w:ascii="Arial Narrow" w:hAnsi="Arial Narrow" w:cs="Times New Roman"/>
                <w:b/>
                <w:snapToGrid/>
                <w:sz w:val="20"/>
              </w:rPr>
            </w:pPr>
            <w:r w:rsidRPr="0049764D">
              <w:rPr>
                <w:rFonts w:ascii="Arial Narrow" w:hAnsi="Arial Narrow" w:cs="Times New Roman"/>
                <w:b/>
                <w:snapToGrid/>
                <w:sz w:val="20"/>
              </w:rPr>
              <w:t>$</w:t>
            </w:r>
            <w:r w:rsidR="0016314E">
              <w:rPr>
                <w:rFonts w:ascii="Arial Narrow" w:hAnsi="Arial Narrow" w:cs="Times New Roman"/>
                <w:b/>
                <w:noProof/>
                <w:snapToGrid/>
                <w:color w:val="000000"/>
                <w:sz w:val="20"/>
                <w:highlight w:val="black"/>
              </w:rPr>
              <w:t>''''''''''''''''''''''''''</w:t>
            </w:r>
          </w:p>
        </w:tc>
        <w:tc>
          <w:tcPr>
            <w:tcW w:w="755" w:type="pct"/>
            <w:shd w:val="clear" w:color="auto" w:fill="auto"/>
            <w:vAlign w:val="bottom"/>
          </w:tcPr>
          <w:p w:rsidR="00C94943" w:rsidRPr="0049764D" w:rsidRDefault="00C94943" w:rsidP="00C94943">
            <w:pPr>
              <w:keepNext/>
              <w:keepLines/>
              <w:widowControl/>
              <w:jc w:val="right"/>
              <w:rPr>
                <w:rFonts w:ascii="Arial Narrow" w:hAnsi="Arial Narrow" w:cs="Times New Roman"/>
                <w:b/>
                <w:snapToGrid/>
                <w:sz w:val="20"/>
              </w:rPr>
            </w:pPr>
            <w:r w:rsidRPr="0049764D">
              <w:rPr>
                <w:rFonts w:ascii="Arial Narrow" w:hAnsi="Arial Narrow" w:cs="Times New Roman"/>
                <w:b/>
                <w:snapToGrid/>
                <w:sz w:val="20"/>
              </w:rPr>
              <w:t>$</w:t>
            </w:r>
            <w:r w:rsidR="0016314E">
              <w:rPr>
                <w:rFonts w:ascii="Arial Narrow" w:hAnsi="Arial Narrow" w:cs="Times New Roman"/>
                <w:b/>
                <w:noProof/>
                <w:snapToGrid/>
                <w:color w:val="000000"/>
                <w:sz w:val="20"/>
                <w:highlight w:val="black"/>
              </w:rPr>
              <w:t>''''''''''''''''''''''''</w:t>
            </w:r>
          </w:p>
        </w:tc>
      </w:tr>
    </w:tbl>
    <w:p w:rsidR="00C94943" w:rsidRPr="0049764D" w:rsidRDefault="00C94943" w:rsidP="00C94943">
      <w:pPr>
        <w:pStyle w:val="TableFooter"/>
        <w:keepNext/>
        <w:keepLines/>
        <w:ind w:firstLine="720"/>
        <w:rPr>
          <w:szCs w:val="18"/>
        </w:rPr>
      </w:pPr>
      <w:r w:rsidRPr="0049764D">
        <w:rPr>
          <w:szCs w:val="18"/>
        </w:rPr>
        <w:t>Source: Table 110, p278; Table 112, p281; Table 116, p284; Table 118, p287 of the submission</w:t>
      </w:r>
    </w:p>
    <w:p w:rsidR="00C94943" w:rsidRDefault="00C94943" w:rsidP="00C94943">
      <w:pPr>
        <w:pStyle w:val="TableFooter"/>
        <w:keepNext/>
        <w:keepLines/>
        <w:ind w:firstLine="720"/>
        <w:rPr>
          <w:szCs w:val="18"/>
        </w:rPr>
      </w:pPr>
      <w:r w:rsidRPr="0049764D">
        <w:rPr>
          <w:szCs w:val="18"/>
          <w:vertAlign w:val="superscript"/>
        </w:rPr>
        <w:t>a</w:t>
      </w:r>
      <w:r w:rsidRPr="0049764D">
        <w:rPr>
          <w:szCs w:val="18"/>
        </w:rPr>
        <w:t xml:space="preserve"> Assuming 9.8 scripts (13.04 * 75% compliance) per year as estimated by the submission.</w:t>
      </w:r>
    </w:p>
    <w:p w:rsidR="004110AF" w:rsidRDefault="004110AF" w:rsidP="00C94943">
      <w:pPr>
        <w:pStyle w:val="TableFooter"/>
        <w:keepNext/>
        <w:keepLines/>
        <w:ind w:firstLine="720"/>
        <w:rPr>
          <w:szCs w:val="18"/>
        </w:rPr>
      </w:pPr>
    </w:p>
    <w:p w:rsidR="004110AF" w:rsidRPr="004110AF" w:rsidRDefault="004110AF" w:rsidP="004110AF">
      <w:pPr>
        <w:pStyle w:val="TableFooter"/>
        <w:keepNext/>
        <w:keepLines/>
        <w:ind w:left="720"/>
        <w:rPr>
          <w:rFonts w:ascii="Arial" w:hAnsi="Arial"/>
          <w:sz w:val="22"/>
          <w:szCs w:val="22"/>
        </w:rPr>
      </w:pPr>
      <w:r w:rsidRPr="004110AF">
        <w:rPr>
          <w:rFonts w:ascii="Arial" w:hAnsi="Arial"/>
          <w:sz w:val="22"/>
          <w:szCs w:val="22"/>
        </w:rPr>
        <w:t>The redacted table above shows that at year 5, the estimated number of patients was 100,000 – 200,000 and the net cost to PBS would be more than $100 million.</w:t>
      </w:r>
    </w:p>
    <w:p w:rsidR="00C94943" w:rsidRPr="0049764D" w:rsidRDefault="00C94943" w:rsidP="00C94943">
      <w:pPr>
        <w:widowControl/>
        <w:rPr>
          <w:szCs w:val="22"/>
        </w:rPr>
      </w:pPr>
    </w:p>
    <w:p w:rsidR="00C94943" w:rsidRPr="0049764D" w:rsidRDefault="00C94943" w:rsidP="00C94943">
      <w:pPr>
        <w:widowControl/>
        <w:numPr>
          <w:ilvl w:val="1"/>
          <w:numId w:val="2"/>
        </w:numPr>
        <w:contextualSpacing/>
        <w:rPr>
          <w:i/>
          <w:szCs w:val="22"/>
        </w:rPr>
      </w:pPr>
      <w:r w:rsidRPr="0049764D">
        <w:rPr>
          <w:szCs w:val="22"/>
        </w:rPr>
        <w:t xml:space="preserve">The number of eligible patients was estimated based on the overall prevalence of heart failure in Australia, then the following patient groups were deducted: patients with an ejection fraction of more than 40%; NYHA class I heart failure; and the proportion of patients not currently receiving an ACE inhibitor or ATRA. </w:t>
      </w:r>
    </w:p>
    <w:p w:rsidR="00C94943" w:rsidRPr="0049764D" w:rsidRDefault="00C94943" w:rsidP="00C94943">
      <w:pPr>
        <w:widowControl/>
        <w:ind w:left="720"/>
        <w:contextualSpacing/>
        <w:rPr>
          <w:i/>
          <w:szCs w:val="22"/>
        </w:rPr>
      </w:pPr>
    </w:p>
    <w:p w:rsidR="003A743D" w:rsidRPr="0049764D" w:rsidRDefault="003A743D" w:rsidP="003A743D">
      <w:pPr>
        <w:widowControl/>
        <w:numPr>
          <w:ilvl w:val="1"/>
          <w:numId w:val="2"/>
        </w:numPr>
        <w:contextualSpacing/>
        <w:rPr>
          <w:i/>
          <w:szCs w:val="22"/>
        </w:rPr>
      </w:pPr>
      <w:r w:rsidRPr="0049764D">
        <w:rPr>
          <w:szCs w:val="22"/>
        </w:rPr>
        <w:t>The submission estimated that 3.25 million scripts would be dispensed in the first five years of listing and the cost to the PBS/RPBS would be $</w:t>
      </w:r>
      <w:r w:rsidR="0016314E">
        <w:rPr>
          <w:noProof/>
          <w:color w:val="000000"/>
          <w:szCs w:val="22"/>
          <w:highlight w:val="black"/>
        </w:rPr>
        <w:t>''''''''''''</w:t>
      </w:r>
      <w:r w:rsidRPr="0049764D">
        <w:rPr>
          <w:szCs w:val="22"/>
        </w:rPr>
        <w:t xml:space="preserve"> million over the first five years.</w:t>
      </w:r>
    </w:p>
    <w:p w:rsidR="003A743D" w:rsidRPr="0049764D" w:rsidRDefault="003A743D" w:rsidP="003A743D">
      <w:pPr>
        <w:widowControl/>
        <w:contextualSpacing/>
        <w:rPr>
          <w:i/>
          <w:szCs w:val="22"/>
        </w:rPr>
      </w:pPr>
      <w:r w:rsidRPr="0049764D">
        <w:rPr>
          <w:szCs w:val="22"/>
        </w:rPr>
        <w:t xml:space="preserve"> </w:t>
      </w:r>
    </w:p>
    <w:p w:rsidR="003A743D" w:rsidRPr="0049764D" w:rsidRDefault="003A743D" w:rsidP="003A743D">
      <w:pPr>
        <w:widowControl/>
        <w:numPr>
          <w:ilvl w:val="1"/>
          <w:numId w:val="2"/>
        </w:numPr>
        <w:contextualSpacing/>
        <w:rPr>
          <w:szCs w:val="22"/>
        </w:rPr>
      </w:pPr>
      <w:r w:rsidRPr="0049764D">
        <w:rPr>
          <w:szCs w:val="22"/>
        </w:rPr>
        <w:t>DUSC considered the number of eligible patients presented in the submission to be underestimated, as:</w:t>
      </w:r>
    </w:p>
    <w:p w:rsidR="003A743D" w:rsidRPr="00BC0C24" w:rsidRDefault="003A743D" w:rsidP="003A743D">
      <w:pPr>
        <w:widowControl/>
        <w:numPr>
          <w:ilvl w:val="2"/>
          <w:numId w:val="2"/>
        </w:numPr>
        <w:ind w:left="993" w:hanging="283"/>
        <w:contextualSpacing/>
      </w:pPr>
      <w:r w:rsidRPr="00BC0C24">
        <w:t xml:space="preserve">The proportion of heart failure patients with left ventricular ejection fraction of 40% or less (50%) was not derived from primary sources. An alternative primary source identified by the Commentary identified a higher proportion (64%); </w:t>
      </w:r>
    </w:p>
    <w:p w:rsidR="003A743D" w:rsidRPr="00BC0C24" w:rsidRDefault="003A743D" w:rsidP="003A743D">
      <w:pPr>
        <w:widowControl/>
        <w:numPr>
          <w:ilvl w:val="2"/>
          <w:numId w:val="2"/>
        </w:numPr>
        <w:ind w:left="993" w:hanging="283"/>
        <w:contextualSpacing/>
      </w:pPr>
      <w:r w:rsidRPr="00BC0C24">
        <w:t xml:space="preserve">The proportion of patients with NYHA class I heart failure (11%) was from a survey of heart failure patients that did not distinguish by extent of systolic dysfunction; the proportion </w:t>
      </w:r>
      <w:r w:rsidRPr="0049764D">
        <w:t>might be lower in patients with an ejection fraction of 40% or less.</w:t>
      </w:r>
    </w:p>
    <w:p w:rsidR="003A743D" w:rsidRPr="00BC0C24" w:rsidRDefault="003A743D" w:rsidP="003A743D">
      <w:pPr>
        <w:widowControl/>
        <w:numPr>
          <w:ilvl w:val="2"/>
          <w:numId w:val="2"/>
        </w:numPr>
        <w:ind w:left="993" w:hanging="283"/>
        <w:contextualSpacing/>
      </w:pPr>
      <w:r w:rsidRPr="00BC0C24">
        <w:t>The number of patients with NYHA stage II-IV systolic heart failure who receive ACE inhibitors or ATRAs was determined from a 10% sample. The methodology used to define coadministration is unclear. Reliance on concomitant</w:t>
      </w:r>
      <w:r w:rsidRPr="0049764D">
        <w:t xml:space="preserve"> ivabradine and heart-failure-specific beta blockers to define heart failure patients would </w:t>
      </w:r>
      <w:r w:rsidRPr="00275254">
        <w:t>underestimate the proportion of people supplied ACE inhibitors or ATRAs for heart failure, as ivabradine and beta blockers are</w:t>
      </w:r>
      <w:r w:rsidRPr="00E52AB7">
        <w:t xml:space="preserve"> later line treatments.</w:t>
      </w:r>
    </w:p>
    <w:p w:rsidR="003A743D" w:rsidRPr="0049764D" w:rsidRDefault="003A743D" w:rsidP="003A743D">
      <w:pPr>
        <w:widowControl/>
        <w:ind w:left="720"/>
        <w:contextualSpacing/>
        <w:rPr>
          <w:i/>
          <w:szCs w:val="22"/>
        </w:rPr>
      </w:pPr>
    </w:p>
    <w:p w:rsidR="003A743D" w:rsidRPr="0049764D" w:rsidRDefault="003A743D" w:rsidP="003A743D">
      <w:pPr>
        <w:widowControl/>
        <w:numPr>
          <w:ilvl w:val="1"/>
          <w:numId w:val="2"/>
        </w:numPr>
        <w:contextualSpacing/>
        <w:rPr>
          <w:szCs w:val="22"/>
        </w:rPr>
      </w:pPr>
      <w:r w:rsidRPr="00E52AB7">
        <w:rPr>
          <w:szCs w:val="22"/>
        </w:rPr>
        <w:t>DUSC considered the number of treated patients presented in the submission to be overestimated, as the uptake of sacubitril/valsartan was likely overestim</w:t>
      </w:r>
      <w:r w:rsidRPr="0049764D">
        <w:rPr>
          <w:szCs w:val="22"/>
        </w:rPr>
        <w:t>ated. DUSC considered that substitution from ACE inhibitors may be lower than predicted by the submission given the long established place of ACE inhibitors for first line treatment of heart failure.</w:t>
      </w:r>
    </w:p>
    <w:p w:rsidR="003A743D" w:rsidRPr="0049764D" w:rsidRDefault="003A743D" w:rsidP="003A743D">
      <w:pPr>
        <w:widowControl/>
        <w:ind w:left="720"/>
        <w:contextualSpacing/>
        <w:rPr>
          <w:szCs w:val="22"/>
        </w:rPr>
      </w:pPr>
    </w:p>
    <w:p w:rsidR="003A743D" w:rsidRPr="00BC0C24" w:rsidRDefault="003A743D" w:rsidP="003A743D">
      <w:pPr>
        <w:widowControl/>
        <w:numPr>
          <w:ilvl w:val="1"/>
          <w:numId w:val="2"/>
        </w:numPr>
        <w:contextualSpacing/>
      </w:pPr>
      <w:r w:rsidRPr="0049764D">
        <w:rPr>
          <w:szCs w:val="22"/>
        </w:rPr>
        <w:t>DUSC considered the cost to the PBS presented in the submission may have been overestimated, as t</w:t>
      </w:r>
      <w:r w:rsidRPr="00BC0C24">
        <w:t xml:space="preserve">he average dose was based on the trial population who had completed the run-in period, which is not likely to reflect clinical practice. </w:t>
      </w:r>
    </w:p>
    <w:p w:rsidR="00CA12F7" w:rsidRPr="00BC0C24" w:rsidRDefault="00CA12F7" w:rsidP="00CA12F7">
      <w:pPr>
        <w:widowControl/>
        <w:contextualSpacing/>
      </w:pPr>
    </w:p>
    <w:p w:rsidR="00F3265B" w:rsidRPr="008F5DCA" w:rsidRDefault="003A743D" w:rsidP="00F3265B">
      <w:pPr>
        <w:widowControl/>
        <w:numPr>
          <w:ilvl w:val="1"/>
          <w:numId w:val="2"/>
        </w:numPr>
        <w:contextualSpacing/>
        <w:rPr>
          <w:szCs w:val="22"/>
        </w:rPr>
      </w:pPr>
      <w:r w:rsidRPr="0049764D">
        <w:rPr>
          <w:szCs w:val="22"/>
        </w:rPr>
        <w:t xml:space="preserve">DUSC noted that </w:t>
      </w:r>
      <w:r w:rsidRPr="00E52AB7">
        <w:t>there was potential for use outside of the requested restriction in patients with preserved ejection fraction, in patients with NYHA class I heart failure, and in patients not on concomitant beta-blocker.</w:t>
      </w:r>
    </w:p>
    <w:p w:rsidR="000D4494" w:rsidRPr="0049764D" w:rsidRDefault="000D4494" w:rsidP="00F3265B">
      <w:pPr>
        <w:widowControl/>
        <w:contextualSpacing/>
        <w:rPr>
          <w:szCs w:val="22"/>
        </w:rPr>
      </w:pPr>
    </w:p>
    <w:p w:rsidR="00576972" w:rsidRPr="0049764D" w:rsidRDefault="00576972" w:rsidP="00665967">
      <w:pPr>
        <w:pStyle w:val="Heading2"/>
      </w:pPr>
      <w:bookmarkStart w:id="15" w:name="_Toc440894575"/>
      <w:r w:rsidRPr="0049764D">
        <w:t>Quality Use of Medicines</w:t>
      </w:r>
      <w:bookmarkEnd w:id="15"/>
    </w:p>
    <w:p w:rsidR="005852F7" w:rsidRPr="0049764D" w:rsidRDefault="005852F7" w:rsidP="00665967">
      <w:pPr>
        <w:pStyle w:val="BodyText"/>
      </w:pPr>
    </w:p>
    <w:p w:rsidR="00FD0B5B" w:rsidRPr="0049764D" w:rsidRDefault="00544A1E" w:rsidP="001611C7">
      <w:pPr>
        <w:keepNext/>
        <w:widowControl/>
        <w:numPr>
          <w:ilvl w:val="1"/>
          <w:numId w:val="2"/>
        </w:numPr>
        <w:contextualSpacing/>
      </w:pPr>
      <w:r w:rsidRPr="0049764D">
        <w:rPr>
          <w:szCs w:val="24"/>
        </w:rPr>
        <w:t>S</w:t>
      </w:r>
      <w:r w:rsidR="005852F7" w:rsidRPr="0049764D">
        <w:rPr>
          <w:szCs w:val="24"/>
        </w:rPr>
        <w:t>acubitril is not available as an individual component and cannot be titrated</w:t>
      </w:r>
      <w:r w:rsidR="00CE4293" w:rsidRPr="0049764D">
        <w:t xml:space="preserve"> individually or combined with other </w:t>
      </w:r>
      <w:r w:rsidR="00EF4492" w:rsidRPr="0049764D">
        <w:t>ATRAs</w:t>
      </w:r>
      <w:r w:rsidR="00CE4293" w:rsidRPr="0049764D">
        <w:t>.</w:t>
      </w:r>
    </w:p>
    <w:p w:rsidR="00FD0B5B" w:rsidRPr="0049764D" w:rsidRDefault="00FD0B5B" w:rsidP="00FD0B5B">
      <w:pPr>
        <w:keepNext/>
        <w:widowControl/>
        <w:ind w:left="720"/>
        <w:contextualSpacing/>
      </w:pPr>
    </w:p>
    <w:p w:rsidR="0038291D" w:rsidRPr="0049764D" w:rsidRDefault="00FD0B5B" w:rsidP="001611C7">
      <w:pPr>
        <w:keepNext/>
        <w:widowControl/>
        <w:numPr>
          <w:ilvl w:val="1"/>
          <w:numId w:val="2"/>
        </w:numPr>
        <w:contextualSpacing/>
      </w:pPr>
      <w:r w:rsidRPr="0049764D">
        <w:t>There were a number of quality use of medicines issue</w:t>
      </w:r>
      <w:r w:rsidR="0038291D" w:rsidRPr="0049764D">
        <w:t>s that might impact negatively on the safety of sacubitril/valsartan:</w:t>
      </w:r>
      <w:r w:rsidRPr="0049764D">
        <w:t xml:space="preserve"> </w:t>
      </w:r>
    </w:p>
    <w:p w:rsidR="0038291D" w:rsidRPr="0049764D" w:rsidRDefault="002B1096" w:rsidP="001611C7">
      <w:pPr>
        <w:pStyle w:val="ListParagraph"/>
        <w:keepNext/>
        <w:widowControl/>
        <w:numPr>
          <w:ilvl w:val="0"/>
          <w:numId w:val="7"/>
        </w:numPr>
      </w:pPr>
      <w:r w:rsidRPr="0049764D">
        <w:t xml:space="preserve">risk </w:t>
      </w:r>
      <w:r w:rsidR="00A35DB7" w:rsidRPr="0049764D">
        <w:t xml:space="preserve">of </w:t>
      </w:r>
      <w:r w:rsidRPr="0049764D">
        <w:t xml:space="preserve">accidental co-prescribing with ATRAs or ACE inhibitors. </w:t>
      </w:r>
    </w:p>
    <w:p w:rsidR="0038291D" w:rsidRPr="0049764D" w:rsidRDefault="002B1096" w:rsidP="001611C7">
      <w:pPr>
        <w:pStyle w:val="ListParagraph"/>
        <w:keepNext/>
        <w:widowControl/>
        <w:numPr>
          <w:ilvl w:val="0"/>
          <w:numId w:val="7"/>
        </w:numPr>
      </w:pPr>
      <w:r w:rsidRPr="0049764D">
        <w:t xml:space="preserve">risk of confusion about valsartan doses due to the increase in bioavailability when it is combined with sacubitril. </w:t>
      </w:r>
    </w:p>
    <w:p w:rsidR="0019251E" w:rsidRPr="0049764D" w:rsidRDefault="002B1096" w:rsidP="00665967">
      <w:pPr>
        <w:pStyle w:val="ListParagraph"/>
        <w:keepNext/>
        <w:widowControl/>
        <w:numPr>
          <w:ilvl w:val="0"/>
          <w:numId w:val="7"/>
        </w:numPr>
      </w:pPr>
      <w:r w:rsidRPr="0049764D">
        <w:t xml:space="preserve">risk </w:t>
      </w:r>
      <w:r w:rsidR="00430B9D" w:rsidRPr="0049764D">
        <w:t xml:space="preserve">of </w:t>
      </w:r>
      <w:r w:rsidRPr="0049764D">
        <w:t xml:space="preserve">adverse drug reactions from </w:t>
      </w:r>
      <w:r w:rsidR="00430B9D" w:rsidRPr="0049764D">
        <w:t>statins as co-prescribing sacub</w:t>
      </w:r>
      <w:r w:rsidRPr="0049764D">
        <w:t>itril with statins, which is likely to occur in most patients, increases exposure to statins.</w:t>
      </w:r>
    </w:p>
    <w:p w:rsidR="000D4494" w:rsidRPr="0049764D" w:rsidRDefault="000D4494" w:rsidP="000D4494">
      <w:pPr>
        <w:pStyle w:val="ListParagraph"/>
        <w:ind w:left="709"/>
        <w:rPr>
          <w:i/>
          <w:szCs w:val="22"/>
        </w:rPr>
      </w:pPr>
    </w:p>
    <w:p w:rsidR="000D4494" w:rsidRPr="0049764D" w:rsidRDefault="000D4494" w:rsidP="00C94943">
      <w:pPr>
        <w:pStyle w:val="ListParagraph"/>
        <w:ind w:left="709"/>
        <w:rPr>
          <w:i/>
          <w:szCs w:val="22"/>
        </w:rPr>
      </w:pPr>
      <w:r w:rsidRPr="0049764D">
        <w:rPr>
          <w:i/>
          <w:szCs w:val="22"/>
        </w:rPr>
        <w:t>For more detail on PBAC’s view, see section 7 “PBAC outcome”</w:t>
      </w:r>
    </w:p>
    <w:p w:rsidR="001611C7" w:rsidRPr="0049764D" w:rsidRDefault="001611C7" w:rsidP="001D6A31">
      <w:pPr>
        <w:rPr>
          <w:szCs w:val="22"/>
        </w:rPr>
      </w:pPr>
    </w:p>
    <w:p w:rsidR="000D4494" w:rsidRPr="0049764D" w:rsidRDefault="000D4494" w:rsidP="00C94943">
      <w:pPr>
        <w:rPr>
          <w:szCs w:val="22"/>
        </w:rPr>
      </w:pPr>
    </w:p>
    <w:p w:rsidR="001611C7" w:rsidRPr="0049764D" w:rsidRDefault="001611C7" w:rsidP="00665967">
      <w:pPr>
        <w:pStyle w:val="PBACHeading1"/>
      </w:pPr>
      <w:r w:rsidRPr="0049764D">
        <w:t>PBAC Outcome</w:t>
      </w:r>
    </w:p>
    <w:p w:rsidR="001611C7" w:rsidRPr="00BC0C24" w:rsidRDefault="001611C7" w:rsidP="001611C7">
      <w:pPr>
        <w:contextualSpacing/>
        <w:rPr>
          <w:b/>
          <w:bCs/>
          <w:szCs w:val="22"/>
        </w:rPr>
      </w:pPr>
    </w:p>
    <w:p w:rsidR="001611C7" w:rsidRPr="00BC0C24" w:rsidRDefault="001611C7" w:rsidP="001611C7">
      <w:pPr>
        <w:numPr>
          <w:ilvl w:val="1"/>
          <w:numId w:val="2"/>
        </w:numPr>
        <w:contextualSpacing/>
        <w:rPr>
          <w:bCs/>
          <w:szCs w:val="22"/>
        </w:rPr>
      </w:pPr>
      <w:r w:rsidRPr="00BC0C24">
        <w:rPr>
          <w:bCs/>
          <w:szCs w:val="22"/>
        </w:rPr>
        <w:t xml:space="preserve">The PBAC </w:t>
      </w:r>
      <w:r w:rsidR="00F645E3">
        <w:rPr>
          <w:bCs/>
          <w:szCs w:val="22"/>
        </w:rPr>
        <w:t>did not recommend</w:t>
      </w:r>
      <w:r w:rsidR="001541A3" w:rsidRPr="00BC0C24">
        <w:rPr>
          <w:bCs/>
          <w:szCs w:val="22"/>
        </w:rPr>
        <w:t xml:space="preserve"> the listing of sacubitril</w:t>
      </w:r>
      <w:r w:rsidR="001E6686">
        <w:rPr>
          <w:bCs/>
          <w:szCs w:val="22"/>
        </w:rPr>
        <w:t xml:space="preserve"> with </w:t>
      </w:r>
      <w:r w:rsidR="001541A3" w:rsidRPr="00BC0C24">
        <w:rPr>
          <w:bCs/>
          <w:szCs w:val="22"/>
        </w:rPr>
        <w:t xml:space="preserve">valsartan on the basis of uncertain cost-effectiveness </w:t>
      </w:r>
      <w:r w:rsidR="009D0FCB">
        <w:rPr>
          <w:bCs/>
          <w:szCs w:val="22"/>
        </w:rPr>
        <w:t>in the context of</w:t>
      </w:r>
      <w:r w:rsidR="009D0FCB" w:rsidRPr="00BC0C24">
        <w:rPr>
          <w:bCs/>
          <w:szCs w:val="22"/>
        </w:rPr>
        <w:t xml:space="preserve"> </w:t>
      </w:r>
      <w:r w:rsidR="001541A3" w:rsidRPr="00BC0C24">
        <w:rPr>
          <w:bCs/>
          <w:szCs w:val="22"/>
        </w:rPr>
        <w:t>high predicted financial impact.</w:t>
      </w:r>
    </w:p>
    <w:p w:rsidR="001611C7" w:rsidRPr="00BC0C24" w:rsidRDefault="001611C7" w:rsidP="001611C7">
      <w:pPr>
        <w:ind w:left="720"/>
        <w:contextualSpacing/>
        <w:rPr>
          <w:bCs/>
          <w:szCs w:val="22"/>
        </w:rPr>
      </w:pPr>
    </w:p>
    <w:p w:rsidR="001611C7" w:rsidRPr="00BC0C24" w:rsidRDefault="001541A3" w:rsidP="001611C7">
      <w:pPr>
        <w:numPr>
          <w:ilvl w:val="1"/>
          <w:numId w:val="2"/>
        </w:numPr>
        <w:contextualSpacing/>
        <w:rPr>
          <w:bCs/>
          <w:szCs w:val="22"/>
        </w:rPr>
      </w:pPr>
      <w:r w:rsidRPr="00BC0C24">
        <w:rPr>
          <w:bCs/>
          <w:szCs w:val="22"/>
        </w:rPr>
        <w:t xml:space="preserve">The PBAC </w:t>
      </w:r>
      <w:r w:rsidR="00B135A6" w:rsidRPr="00BC0C24">
        <w:rPr>
          <w:bCs/>
          <w:szCs w:val="22"/>
        </w:rPr>
        <w:t>consider</w:t>
      </w:r>
      <w:r w:rsidRPr="00BC0C24">
        <w:rPr>
          <w:bCs/>
          <w:szCs w:val="22"/>
        </w:rPr>
        <w:t xml:space="preserve">ed that there was a clinical need for new therapies for the treatment of chronic heart failure. </w:t>
      </w:r>
    </w:p>
    <w:p w:rsidR="00B26810" w:rsidRPr="00BC0C24" w:rsidRDefault="00B26810" w:rsidP="00B26810">
      <w:pPr>
        <w:pStyle w:val="ListParagraph"/>
        <w:rPr>
          <w:bCs/>
          <w:szCs w:val="22"/>
        </w:rPr>
      </w:pPr>
    </w:p>
    <w:p w:rsidR="00B26810" w:rsidRPr="00BC0C24" w:rsidRDefault="00B26810" w:rsidP="001611C7">
      <w:pPr>
        <w:numPr>
          <w:ilvl w:val="1"/>
          <w:numId w:val="2"/>
        </w:numPr>
        <w:contextualSpacing/>
        <w:rPr>
          <w:bCs/>
          <w:szCs w:val="22"/>
        </w:rPr>
      </w:pPr>
      <w:r w:rsidRPr="00BC0C24">
        <w:rPr>
          <w:bCs/>
          <w:szCs w:val="22"/>
        </w:rPr>
        <w:t>The PBAC noted that the proposed re</w:t>
      </w:r>
      <w:r w:rsidR="001852CA" w:rsidRPr="00BC0C24">
        <w:rPr>
          <w:bCs/>
          <w:szCs w:val="22"/>
        </w:rPr>
        <w:t xml:space="preserve">striction would allow </w:t>
      </w:r>
      <w:r w:rsidR="009D0FCB">
        <w:rPr>
          <w:bCs/>
          <w:szCs w:val="22"/>
        </w:rPr>
        <w:t xml:space="preserve">ACE inhibitor </w:t>
      </w:r>
      <w:r w:rsidR="001852CA" w:rsidRPr="00BC0C24">
        <w:rPr>
          <w:bCs/>
          <w:szCs w:val="22"/>
        </w:rPr>
        <w:t>treatment-naïve patients to initiate on sacubitril</w:t>
      </w:r>
      <w:r w:rsidR="00E52AB7">
        <w:rPr>
          <w:bCs/>
          <w:szCs w:val="22"/>
        </w:rPr>
        <w:t>/</w:t>
      </w:r>
      <w:r w:rsidR="001852CA" w:rsidRPr="00BC0C24">
        <w:rPr>
          <w:bCs/>
          <w:szCs w:val="22"/>
        </w:rPr>
        <w:t xml:space="preserve">valsartan. The PBAC </w:t>
      </w:r>
      <w:r w:rsidRPr="00BC0C24">
        <w:rPr>
          <w:bCs/>
          <w:szCs w:val="22"/>
        </w:rPr>
        <w:t xml:space="preserve">considered that it would be </w:t>
      </w:r>
      <w:r w:rsidR="001852CA" w:rsidRPr="00BC0C24">
        <w:rPr>
          <w:bCs/>
          <w:szCs w:val="22"/>
        </w:rPr>
        <w:t xml:space="preserve">more </w:t>
      </w:r>
      <w:r w:rsidRPr="00BC0C24">
        <w:rPr>
          <w:bCs/>
          <w:szCs w:val="22"/>
        </w:rPr>
        <w:t xml:space="preserve">appropriate for the restriction to require patients to have been stabilised on either </w:t>
      </w:r>
      <w:r w:rsidR="00FE53D7" w:rsidRPr="00BC0C24">
        <w:rPr>
          <w:bCs/>
          <w:szCs w:val="22"/>
        </w:rPr>
        <w:t xml:space="preserve">an </w:t>
      </w:r>
      <w:r w:rsidRPr="0049764D">
        <w:rPr>
          <w:szCs w:val="22"/>
        </w:rPr>
        <w:t>ACE</w:t>
      </w:r>
      <w:r w:rsidR="00FE53D7" w:rsidRPr="00E52AB7">
        <w:rPr>
          <w:szCs w:val="22"/>
        </w:rPr>
        <w:t xml:space="preserve"> </w:t>
      </w:r>
      <w:r w:rsidRPr="00E52AB7">
        <w:rPr>
          <w:szCs w:val="22"/>
        </w:rPr>
        <w:t>i</w:t>
      </w:r>
      <w:r w:rsidR="00FE53D7" w:rsidRPr="00E52AB7">
        <w:rPr>
          <w:szCs w:val="22"/>
        </w:rPr>
        <w:t>nhibitor</w:t>
      </w:r>
      <w:r w:rsidRPr="00E52AB7">
        <w:rPr>
          <w:szCs w:val="22"/>
        </w:rPr>
        <w:t xml:space="preserve"> or ATRA therapy before </w:t>
      </w:r>
      <w:r w:rsidR="001852CA" w:rsidRPr="00E52AB7">
        <w:rPr>
          <w:szCs w:val="22"/>
        </w:rPr>
        <w:t>treatment with</w:t>
      </w:r>
      <w:r w:rsidRPr="00E52AB7">
        <w:rPr>
          <w:szCs w:val="22"/>
        </w:rPr>
        <w:t xml:space="preserve"> sacubitril/valsartan.</w:t>
      </w:r>
    </w:p>
    <w:p w:rsidR="001611C7" w:rsidRPr="00BC0C24" w:rsidRDefault="001611C7" w:rsidP="001611C7">
      <w:pPr>
        <w:ind w:left="720"/>
        <w:contextualSpacing/>
        <w:rPr>
          <w:bCs/>
          <w:szCs w:val="22"/>
          <w:highlight w:val="yellow"/>
        </w:rPr>
      </w:pPr>
    </w:p>
    <w:p w:rsidR="000012CC" w:rsidRPr="0049764D" w:rsidRDefault="001541A3" w:rsidP="000012CC">
      <w:pPr>
        <w:pStyle w:val="ListParagraph"/>
        <w:widowControl/>
        <w:numPr>
          <w:ilvl w:val="1"/>
          <w:numId w:val="2"/>
        </w:numPr>
      </w:pPr>
      <w:r w:rsidRPr="00BC0C24">
        <w:rPr>
          <w:bCs/>
          <w:szCs w:val="22"/>
        </w:rPr>
        <w:t xml:space="preserve">The PBAC accepted </w:t>
      </w:r>
      <w:r w:rsidR="000012CC" w:rsidRPr="00BC0C24">
        <w:rPr>
          <w:bCs/>
          <w:szCs w:val="22"/>
        </w:rPr>
        <w:t>e</w:t>
      </w:r>
      <w:r w:rsidR="000012CC" w:rsidRPr="0049764D">
        <w:t xml:space="preserve">nalapril, as a proxy for all ACE inhibitors, as </w:t>
      </w:r>
      <w:r w:rsidR="000012CC" w:rsidRPr="00E52AB7">
        <w:t xml:space="preserve">an appropriate main comparator. </w:t>
      </w:r>
      <w:r w:rsidR="00B26810" w:rsidRPr="0049764D">
        <w:t>The PBAC also agreed with the submission’s nomination of ATRAs as a secondary comparator.</w:t>
      </w:r>
    </w:p>
    <w:p w:rsidR="001541A3" w:rsidRPr="00BC0C24" w:rsidRDefault="000012CC" w:rsidP="000012CC">
      <w:pPr>
        <w:ind w:left="720"/>
        <w:contextualSpacing/>
        <w:rPr>
          <w:bCs/>
          <w:szCs w:val="22"/>
        </w:rPr>
      </w:pPr>
      <w:r w:rsidRPr="00BC0C24">
        <w:rPr>
          <w:bCs/>
          <w:szCs w:val="22"/>
        </w:rPr>
        <w:t xml:space="preserve"> </w:t>
      </w:r>
    </w:p>
    <w:p w:rsidR="001611C7" w:rsidRPr="00BC0C24" w:rsidRDefault="001541A3" w:rsidP="00B26810">
      <w:pPr>
        <w:numPr>
          <w:ilvl w:val="1"/>
          <w:numId w:val="2"/>
        </w:numPr>
        <w:contextualSpacing/>
        <w:rPr>
          <w:bCs/>
          <w:szCs w:val="22"/>
        </w:rPr>
      </w:pPr>
      <w:r w:rsidRPr="00BC0C24">
        <w:rPr>
          <w:bCs/>
          <w:szCs w:val="22"/>
        </w:rPr>
        <w:t xml:space="preserve">The PBAC considered that the clinical data were reasonably reliable. </w:t>
      </w:r>
      <w:r w:rsidR="00E52AB7">
        <w:rPr>
          <w:bCs/>
          <w:szCs w:val="22"/>
        </w:rPr>
        <w:t>Regarding</w:t>
      </w:r>
      <w:r w:rsidR="00B26810" w:rsidRPr="00BC0C24">
        <w:rPr>
          <w:bCs/>
          <w:szCs w:val="22"/>
        </w:rPr>
        <w:t xml:space="preserve"> the issue about the dose of enalapril used in PARADIGM-HF, t</w:t>
      </w:r>
      <w:r w:rsidRPr="00BC0C24">
        <w:rPr>
          <w:bCs/>
          <w:szCs w:val="22"/>
        </w:rPr>
        <w:t>he PBAC noted the</w:t>
      </w:r>
      <w:r w:rsidR="00B26810" w:rsidRPr="00BC0C24">
        <w:rPr>
          <w:bCs/>
          <w:szCs w:val="22"/>
        </w:rPr>
        <w:t>re is</w:t>
      </w:r>
      <w:r w:rsidRPr="00BC0C24">
        <w:rPr>
          <w:bCs/>
          <w:szCs w:val="22"/>
        </w:rPr>
        <w:t xml:space="preserve"> </w:t>
      </w:r>
      <w:r w:rsidR="00B26810" w:rsidRPr="00BC0C24">
        <w:rPr>
          <w:bCs/>
          <w:szCs w:val="22"/>
        </w:rPr>
        <w:t xml:space="preserve">a </w:t>
      </w:r>
      <w:r w:rsidRPr="00BC0C24">
        <w:rPr>
          <w:bCs/>
          <w:szCs w:val="22"/>
        </w:rPr>
        <w:t xml:space="preserve">lack of </w:t>
      </w:r>
      <w:r w:rsidR="00B26810" w:rsidRPr="00BC0C24">
        <w:rPr>
          <w:bCs/>
          <w:szCs w:val="22"/>
        </w:rPr>
        <w:t xml:space="preserve">data to support </w:t>
      </w:r>
      <w:r w:rsidRPr="00BC0C24">
        <w:rPr>
          <w:bCs/>
          <w:szCs w:val="22"/>
        </w:rPr>
        <w:t xml:space="preserve">a dose response for </w:t>
      </w:r>
      <w:r w:rsidR="001852CA" w:rsidRPr="00BC0C24">
        <w:rPr>
          <w:bCs/>
          <w:szCs w:val="22"/>
        </w:rPr>
        <w:t xml:space="preserve">ACE inhibitors, and for this </w:t>
      </w:r>
      <w:r w:rsidR="00E52AB7" w:rsidRPr="00E52AB7">
        <w:rPr>
          <w:bCs/>
          <w:szCs w:val="22"/>
        </w:rPr>
        <w:t>reason,</w:t>
      </w:r>
      <w:r w:rsidRPr="00BC0C24">
        <w:rPr>
          <w:bCs/>
          <w:szCs w:val="22"/>
        </w:rPr>
        <w:t xml:space="preserve"> the </w:t>
      </w:r>
      <w:r w:rsidR="00B135A6" w:rsidRPr="00BC0C24">
        <w:rPr>
          <w:bCs/>
          <w:szCs w:val="22"/>
        </w:rPr>
        <w:t xml:space="preserve">actual </w:t>
      </w:r>
      <w:r w:rsidRPr="00BC0C24">
        <w:rPr>
          <w:bCs/>
          <w:szCs w:val="22"/>
        </w:rPr>
        <w:t xml:space="preserve">doses used </w:t>
      </w:r>
      <w:r w:rsidR="00B135A6" w:rsidRPr="00BC0C24">
        <w:rPr>
          <w:bCs/>
          <w:szCs w:val="22"/>
        </w:rPr>
        <w:t>to</w:t>
      </w:r>
      <w:r w:rsidRPr="00BC0C24">
        <w:rPr>
          <w:bCs/>
          <w:szCs w:val="22"/>
        </w:rPr>
        <w:t xml:space="preserve"> establish the clinical benefit</w:t>
      </w:r>
      <w:r w:rsidR="00B135A6" w:rsidRPr="00BC0C24">
        <w:rPr>
          <w:bCs/>
          <w:szCs w:val="22"/>
        </w:rPr>
        <w:t xml:space="preserve"> </w:t>
      </w:r>
      <w:r w:rsidR="009D0FCB">
        <w:rPr>
          <w:bCs/>
          <w:szCs w:val="22"/>
        </w:rPr>
        <w:t>may be</w:t>
      </w:r>
      <w:r w:rsidR="009D0FCB" w:rsidRPr="00BC0C24">
        <w:rPr>
          <w:bCs/>
          <w:szCs w:val="22"/>
        </w:rPr>
        <w:t xml:space="preserve"> </w:t>
      </w:r>
      <w:r w:rsidR="00B135A6" w:rsidRPr="00BC0C24">
        <w:rPr>
          <w:bCs/>
          <w:szCs w:val="22"/>
        </w:rPr>
        <w:t>less important than usual</w:t>
      </w:r>
      <w:r w:rsidRPr="00BC0C24">
        <w:rPr>
          <w:bCs/>
          <w:szCs w:val="22"/>
        </w:rPr>
        <w:t xml:space="preserve">. The PBAC noted that there is no evidence for a dose response in sacubitril/valsartan, and suggested that </w:t>
      </w:r>
      <w:r w:rsidR="00B135A6" w:rsidRPr="00BC0C24">
        <w:rPr>
          <w:bCs/>
          <w:szCs w:val="22"/>
        </w:rPr>
        <w:t xml:space="preserve">it might be appropriate for this to be reflected in the </w:t>
      </w:r>
      <w:r w:rsidRPr="00BC0C24">
        <w:rPr>
          <w:bCs/>
          <w:szCs w:val="22"/>
        </w:rPr>
        <w:t xml:space="preserve">pricing </w:t>
      </w:r>
      <w:r w:rsidR="00B135A6" w:rsidRPr="00BC0C24">
        <w:rPr>
          <w:bCs/>
          <w:szCs w:val="22"/>
        </w:rPr>
        <w:t>of sacubitril/valsartan should it be listed on the PBS.</w:t>
      </w:r>
      <w:r w:rsidR="001611C7" w:rsidRPr="00BC0C24">
        <w:rPr>
          <w:bCs/>
          <w:szCs w:val="22"/>
        </w:rPr>
        <w:t xml:space="preserve"> </w:t>
      </w:r>
    </w:p>
    <w:p w:rsidR="001611C7" w:rsidRPr="00BC0C24" w:rsidRDefault="001611C7" w:rsidP="001611C7">
      <w:pPr>
        <w:ind w:left="720"/>
        <w:contextualSpacing/>
        <w:rPr>
          <w:bCs/>
          <w:szCs w:val="22"/>
        </w:rPr>
      </w:pPr>
    </w:p>
    <w:p w:rsidR="00CD13D2" w:rsidRPr="00BC0C24" w:rsidRDefault="00CD13D2" w:rsidP="001611C7">
      <w:pPr>
        <w:numPr>
          <w:ilvl w:val="1"/>
          <w:numId w:val="2"/>
        </w:numPr>
        <w:contextualSpacing/>
        <w:rPr>
          <w:bCs/>
          <w:szCs w:val="22"/>
        </w:rPr>
      </w:pPr>
      <w:r w:rsidRPr="00BC0C24">
        <w:rPr>
          <w:bCs/>
          <w:szCs w:val="22"/>
        </w:rPr>
        <w:t xml:space="preserve">The PBAC noted that the side-effect profiles </w:t>
      </w:r>
      <w:r w:rsidR="00C811BF" w:rsidRPr="00BC0C24">
        <w:rPr>
          <w:bCs/>
          <w:szCs w:val="22"/>
        </w:rPr>
        <w:t xml:space="preserve">of sacubitril/valsartan and its comparators </w:t>
      </w:r>
      <w:r w:rsidRPr="00BC0C24">
        <w:rPr>
          <w:bCs/>
          <w:szCs w:val="22"/>
        </w:rPr>
        <w:t>were different, but that there was no indication of worse safety</w:t>
      </w:r>
      <w:r w:rsidR="00C811BF" w:rsidRPr="00BC0C24">
        <w:rPr>
          <w:bCs/>
          <w:szCs w:val="22"/>
        </w:rPr>
        <w:t xml:space="preserve"> for either treatment</w:t>
      </w:r>
      <w:r w:rsidRPr="00BC0C24">
        <w:rPr>
          <w:bCs/>
          <w:szCs w:val="22"/>
        </w:rPr>
        <w:t>. The PBAC noted the concerns in the Commentary about the wash-in period, and that the clinical trials included just patients who could tolerate treatment, but considered this might be addressed by requiring stabilisation on alternative therapy first</w:t>
      </w:r>
    </w:p>
    <w:p w:rsidR="00CD13D2" w:rsidRPr="00BC0C24" w:rsidRDefault="00CD13D2" w:rsidP="00CD13D2">
      <w:pPr>
        <w:pStyle w:val="ListParagraph"/>
        <w:rPr>
          <w:bCs/>
          <w:szCs w:val="22"/>
        </w:rPr>
      </w:pPr>
    </w:p>
    <w:p w:rsidR="001852CA" w:rsidRPr="00BC0C24" w:rsidRDefault="001541A3" w:rsidP="001611C7">
      <w:pPr>
        <w:numPr>
          <w:ilvl w:val="1"/>
          <w:numId w:val="2"/>
        </w:numPr>
        <w:contextualSpacing/>
        <w:rPr>
          <w:bCs/>
          <w:szCs w:val="22"/>
        </w:rPr>
      </w:pPr>
      <w:r w:rsidRPr="00BC0C24">
        <w:rPr>
          <w:bCs/>
          <w:szCs w:val="22"/>
        </w:rPr>
        <w:t>The PBAC considered that the clinical claim of superior comparative effecti</w:t>
      </w:r>
      <w:r w:rsidR="00C811BF" w:rsidRPr="00BC0C24">
        <w:rPr>
          <w:bCs/>
          <w:szCs w:val="22"/>
        </w:rPr>
        <w:t>veness</w:t>
      </w:r>
      <w:r w:rsidR="001852CA" w:rsidRPr="00BC0C24">
        <w:rPr>
          <w:bCs/>
          <w:szCs w:val="22"/>
        </w:rPr>
        <w:t xml:space="preserve"> compared to enalapril was reasonable, but </w:t>
      </w:r>
      <w:r w:rsidR="00FE53D7" w:rsidRPr="00BC0C24">
        <w:rPr>
          <w:bCs/>
          <w:szCs w:val="22"/>
        </w:rPr>
        <w:t>that size</w:t>
      </w:r>
      <w:r w:rsidR="00A90A78" w:rsidRPr="00BC0C24">
        <w:rPr>
          <w:bCs/>
          <w:szCs w:val="22"/>
        </w:rPr>
        <w:t xml:space="preserve"> of the benefit</w:t>
      </w:r>
      <w:r w:rsidR="00FE53D7" w:rsidRPr="00BC0C24">
        <w:rPr>
          <w:bCs/>
          <w:szCs w:val="22"/>
        </w:rPr>
        <w:t xml:space="preserve"> was uncertain due to the issues with study design and early stopping of PARADIGM-HF</w:t>
      </w:r>
      <w:r w:rsidR="001852CA" w:rsidRPr="00BC0C24">
        <w:rPr>
          <w:bCs/>
          <w:szCs w:val="22"/>
        </w:rPr>
        <w:t xml:space="preserve">. </w:t>
      </w:r>
    </w:p>
    <w:p w:rsidR="001852CA" w:rsidRPr="00BC0C24" w:rsidRDefault="001852CA" w:rsidP="001852CA">
      <w:pPr>
        <w:pStyle w:val="ListParagraph"/>
        <w:rPr>
          <w:bCs/>
          <w:szCs w:val="22"/>
        </w:rPr>
      </w:pPr>
    </w:p>
    <w:p w:rsidR="001611C7" w:rsidRPr="00BC0C24" w:rsidRDefault="001852CA" w:rsidP="001611C7">
      <w:pPr>
        <w:numPr>
          <w:ilvl w:val="1"/>
          <w:numId w:val="2"/>
        </w:numPr>
        <w:contextualSpacing/>
        <w:rPr>
          <w:bCs/>
          <w:szCs w:val="22"/>
        </w:rPr>
      </w:pPr>
      <w:r w:rsidRPr="00BC0C24">
        <w:rPr>
          <w:bCs/>
          <w:szCs w:val="22"/>
        </w:rPr>
        <w:t>The PBAC considered that the claim of</w:t>
      </w:r>
      <w:r w:rsidR="00C811BF" w:rsidRPr="00BC0C24">
        <w:rPr>
          <w:bCs/>
          <w:szCs w:val="22"/>
        </w:rPr>
        <w:t xml:space="preserve"> </w:t>
      </w:r>
      <w:r w:rsidR="001541A3" w:rsidRPr="00BC0C24">
        <w:rPr>
          <w:bCs/>
          <w:szCs w:val="22"/>
        </w:rPr>
        <w:t xml:space="preserve">non-inferior comparative safety to enalapril </w:t>
      </w:r>
      <w:r w:rsidR="001E6686">
        <w:t>was reasonable, only in a selected population that tolerated ACE inhibitor therapy.  This selected population may not be generalizable to the proposed PBS population who are not necessarily pre-treated with an ACE inhibitor, and may be older and frailer</w:t>
      </w:r>
      <w:r w:rsidR="001541A3" w:rsidRPr="00BC0C24">
        <w:rPr>
          <w:bCs/>
          <w:szCs w:val="22"/>
        </w:rPr>
        <w:t>.</w:t>
      </w:r>
    </w:p>
    <w:p w:rsidR="001611C7" w:rsidRPr="00BC0C24" w:rsidRDefault="001611C7" w:rsidP="001611C7">
      <w:pPr>
        <w:ind w:left="720"/>
        <w:contextualSpacing/>
        <w:rPr>
          <w:bCs/>
          <w:szCs w:val="22"/>
        </w:rPr>
      </w:pPr>
    </w:p>
    <w:p w:rsidR="001611C7" w:rsidRPr="00BC0C24" w:rsidRDefault="00CD13D2" w:rsidP="001611C7">
      <w:pPr>
        <w:numPr>
          <w:ilvl w:val="1"/>
          <w:numId w:val="2"/>
        </w:numPr>
        <w:contextualSpacing/>
        <w:rPr>
          <w:bCs/>
          <w:szCs w:val="22"/>
        </w:rPr>
      </w:pPr>
      <w:r w:rsidRPr="00BC0C24">
        <w:rPr>
          <w:bCs/>
          <w:szCs w:val="22"/>
        </w:rPr>
        <w:t xml:space="preserve">The PBAC agreed </w:t>
      </w:r>
      <w:r w:rsidR="00B135A6" w:rsidRPr="00BC0C24">
        <w:rPr>
          <w:bCs/>
          <w:szCs w:val="22"/>
        </w:rPr>
        <w:t>with the ESC’s view that the fa</w:t>
      </w:r>
      <w:r w:rsidRPr="00BC0C24">
        <w:rPr>
          <w:bCs/>
          <w:szCs w:val="22"/>
        </w:rPr>
        <w:t>ilure of the submission’s model to reflect the progression of patients through heart failure m</w:t>
      </w:r>
      <w:r w:rsidR="00C811BF" w:rsidRPr="00BC0C24">
        <w:rPr>
          <w:bCs/>
          <w:szCs w:val="22"/>
        </w:rPr>
        <w:t>e</w:t>
      </w:r>
      <w:r w:rsidRPr="00BC0C24">
        <w:rPr>
          <w:bCs/>
          <w:szCs w:val="22"/>
        </w:rPr>
        <w:t>ant that the ICER generated was not reliable</w:t>
      </w:r>
      <w:r w:rsidR="001852CA" w:rsidRPr="00BC0C24">
        <w:rPr>
          <w:bCs/>
          <w:szCs w:val="22"/>
        </w:rPr>
        <w:t xml:space="preserve"> and therefore cost-effectiveness of sacubitril/valsartan was unknown</w:t>
      </w:r>
      <w:r w:rsidR="00C811BF" w:rsidRPr="00BC0C24">
        <w:rPr>
          <w:bCs/>
          <w:szCs w:val="22"/>
        </w:rPr>
        <w:t>.</w:t>
      </w:r>
      <w:r w:rsidRPr="00BC0C24">
        <w:rPr>
          <w:bCs/>
          <w:szCs w:val="22"/>
        </w:rPr>
        <w:t xml:space="preserve"> </w:t>
      </w:r>
      <w:r w:rsidR="00FE53D7" w:rsidRPr="00BC0C24">
        <w:rPr>
          <w:bCs/>
          <w:szCs w:val="22"/>
        </w:rPr>
        <w:t xml:space="preserve">In </w:t>
      </w:r>
      <w:r w:rsidR="00E52AB7" w:rsidRPr="00E52AB7">
        <w:rPr>
          <w:bCs/>
          <w:szCs w:val="22"/>
        </w:rPr>
        <w:t>particular,</w:t>
      </w:r>
      <w:r w:rsidR="00FE53D7" w:rsidRPr="00BC0C24">
        <w:rPr>
          <w:bCs/>
          <w:szCs w:val="22"/>
        </w:rPr>
        <w:t xml:space="preserve"> the PBAC were concerned that the model assumed that the underlying risk of cardiovascular mortality was the same as that of the patients in PARADIGM-HF and that this risk was independent of age, NYHA class and other co-variates.</w:t>
      </w:r>
      <w:r w:rsidR="009D0FCB">
        <w:rPr>
          <w:bCs/>
          <w:szCs w:val="22"/>
        </w:rPr>
        <w:t xml:space="preserve"> </w:t>
      </w:r>
    </w:p>
    <w:p w:rsidR="001611C7" w:rsidRPr="00BC0C24" w:rsidRDefault="001611C7" w:rsidP="001611C7">
      <w:pPr>
        <w:ind w:left="720"/>
        <w:contextualSpacing/>
        <w:rPr>
          <w:bCs/>
          <w:szCs w:val="22"/>
        </w:rPr>
      </w:pPr>
    </w:p>
    <w:p w:rsidR="001611C7" w:rsidRPr="00BC0C24" w:rsidRDefault="00CA12F7" w:rsidP="001611C7">
      <w:pPr>
        <w:numPr>
          <w:ilvl w:val="1"/>
          <w:numId w:val="2"/>
        </w:numPr>
        <w:contextualSpacing/>
        <w:rPr>
          <w:bCs/>
          <w:szCs w:val="22"/>
        </w:rPr>
      </w:pPr>
      <w:r w:rsidRPr="00BC0C24">
        <w:rPr>
          <w:bCs/>
          <w:szCs w:val="22"/>
        </w:rPr>
        <w:t xml:space="preserve">The PBAC </w:t>
      </w:r>
      <w:r w:rsidR="00521C35" w:rsidRPr="00BC0C24">
        <w:rPr>
          <w:bCs/>
          <w:szCs w:val="22"/>
        </w:rPr>
        <w:t>considered that the financial impact of l</w:t>
      </w:r>
      <w:r w:rsidRPr="00BC0C24">
        <w:rPr>
          <w:bCs/>
          <w:szCs w:val="22"/>
        </w:rPr>
        <w:t xml:space="preserve">isting sacubitril/valsartan </w:t>
      </w:r>
      <w:r w:rsidR="00521C35" w:rsidRPr="00BC0C24">
        <w:rPr>
          <w:bCs/>
          <w:szCs w:val="22"/>
        </w:rPr>
        <w:t xml:space="preserve">was high and uncertain. The PBAC noted the advice from DUSC that the number of eligible patients may have been underestimated, but that the number of treated patients may have been overestimated. The PBAC also noted </w:t>
      </w:r>
      <w:r w:rsidR="00521C35" w:rsidRPr="0049764D">
        <w:rPr>
          <w:szCs w:val="22"/>
        </w:rPr>
        <w:t xml:space="preserve">that </w:t>
      </w:r>
      <w:r w:rsidR="00521C35" w:rsidRPr="00E52AB7">
        <w:t>there was potential for use outside of the requested restriction in patients with preserved ejection fraction, in patients with NYHA class I heart failure, and in patients not on concomitant beta-blocker.</w:t>
      </w:r>
      <w:r w:rsidRPr="00BC0C24">
        <w:rPr>
          <w:bCs/>
          <w:szCs w:val="22"/>
        </w:rPr>
        <w:t xml:space="preserve"> </w:t>
      </w:r>
      <w:r w:rsidR="00A90A78" w:rsidRPr="00BC0C24">
        <w:rPr>
          <w:bCs/>
          <w:szCs w:val="22"/>
        </w:rPr>
        <w:t>The PBAC considered that the high predicted financial impact of listing was of particular concern in the context of the magnitude of clinical benefit and the cost-effectiveness of treatment being unknown.</w:t>
      </w:r>
    </w:p>
    <w:p w:rsidR="001611C7" w:rsidRPr="00BC0C24" w:rsidRDefault="001611C7" w:rsidP="001611C7">
      <w:pPr>
        <w:ind w:left="720"/>
        <w:contextualSpacing/>
        <w:rPr>
          <w:bCs/>
          <w:szCs w:val="22"/>
        </w:rPr>
      </w:pPr>
    </w:p>
    <w:p w:rsidR="001611C7" w:rsidRPr="00BC0C24" w:rsidRDefault="001611C7" w:rsidP="000C6381">
      <w:pPr>
        <w:numPr>
          <w:ilvl w:val="1"/>
          <w:numId w:val="2"/>
        </w:numPr>
        <w:contextualSpacing/>
        <w:rPr>
          <w:b/>
          <w:bCs/>
          <w:szCs w:val="22"/>
        </w:rPr>
      </w:pPr>
      <w:r w:rsidRPr="00BC0C24">
        <w:rPr>
          <w:bCs/>
          <w:szCs w:val="22"/>
        </w:rPr>
        <w:t>The PBAC noted that this submission is eligible for an Independent Review.</w:t>
      </w:r>
    </w:p>
    <w:p w:rsidR="001611C7" w:rsidRPr="00BC0C24" w:rsidRDefault="001611C7" w:rsidP="001611C7">
      <w:pPr>
        <w:rPr>
          <w:b/>
          <w:szCs w:val="22"/>
        </w:rPr>
      </w:pPr>
    </w:p>
    <w:p w:rsidR="001611C7" w:rsidRPr="00BC0C24" w:rsidRDefault="001611C7" w:rsidP="001611C7">
      <w:pPr>
        <w:rPr>
          <w:b/>
          <w:bCs/>
          <w:szCs w:val="22"/>
        </w:rPr>
      </w:pPr>
    </w:p>
    <w:p w:rsidR="001611C7" w:rsidRPr="00BC0C24" w:rsidRDefault="001611C7" w:rsidP="001611C7">
      <w:pPr>
        <w:rPr>
          <w:b/>
          <w:bCs/>
          <w:szCs w:val="22"/>
        </w:rPr>
      </w:pPr>
      <w:r w:rsidRPr="00BC0C24">
        <w:rPr>
          <w:b/>
          <w:bCs/>
          <w:szCs w:val="22"/>
        </w:rPr>
        <w:t>Outcome:</w:t>
      </w:r>
    </w:p>
    <w:p w:rsidR="001611C7" w:rsidRPr="00BC0C24" w:rsidRDefault="001611C7" w:rsidP="001611C7">
      <w:pPr>
        <w:rPr>
          <w:bCs/>
          <w:szCs w:val="22"/>
        </w:rPr>
      </w:pPr>
      <w:r w:rsidRPr="00BC0C24">
        <w:rPr>
          <w:bCs/>
          <w:szCs w:val="22"/>
        </w:rPr>
        <w:t>Rejected</w:t>
      </w:r>
    </w:p>
    <w:p w:rsidR="001611C7" w:rsidRDefault="001611C7" w:rsidP="001611C7">
      <w:pPr>
        <w:rPr>
          <w:bCs/>
          <w:szCs w:val="22"/>
          <w:highlight w:val="yellow"/>
        </w:rPr>
      </w:pPr>
    </w:p>
    <w:p w:rsidR="00E80A6B" w:rsidRDefault="00E80A6B" w:rsidP="001611C7">
      <w:pPr>
        <w:rPr>
          <w:bCs/>
          <w:szCs w:val="22"/>
          <w:highlight w:val="yellow"/>
        </w:rPr>
      </w:pPr>
    </w:p>
    <w:p w:rsidR="00E80A6B" w:rsidRDefault="00E80A6B" w:rsidP="00E80A6B">
      <w:pPr>
        <w:pStyle w:val="PBACHeading1"/>
      </w:pPr>
      <w:r w:rsidRPr="00632206">
        <w:t>Context for Decision</w:t>
      </w:r>
    </w:p>
    <w:p w:rsidR="00E80A6B" w:rsidRDefault="00E80A6B" w:rsidP="00E80A6B">
      <w:pPr>
        <w:ind w:left="720"/>
      </w:pPr>
    </w:p>
    <w:p w:rsidR="00E80A6B" w:rsidRDefault="00E80A6B" w:rsidP="00E80A6B">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80A6B" w:rsidRDefault="00E80A6B" w:rsidP="00E80A6B">
      <w:pPr>
        <w:ind w:left="720"/>
      </w:pPr>
    </w:p>
    <w:p w:rsidR="00E80A6B" w:rsidRDefault="00E80A6B" w:rsidP="00E80A6B">
      <w:pPr>
        <w:pStyle w:val="PBACHeading1"/>
      </w:pPr>
      <w:r w:rsidRPr="00451386">
        <w:t>Sponsor’s Comment</w:t>
      </w:r>
    </w:p>
    <w:p w:rsidR="00E80A6B" w:rsidRDefault="00E80A6B" w:rsidP="00E80A6B">
      <w:pPr>
        <w:ind w:left="720"/>
        <w:rPr>
          <w:bCs/>
          <w:highlight w:val="yellow"/>
          <w:lang w:val="en-GB"/>
        </w:rPr>
      </w:pPr>
    </w:p>
    <w:p w:rsidR="00E80A6B" w:rsidRPr="006D3638" w:rsidRDefault="00096F4F" w:rsidP="006D3638">
      <w:pPr>
        <w:ind w:left="709"/>
        <w:rPr>
          <w:bCs/>
          <w:szCs w:val="22"/>
        </w:rPr>
      </w:pPr>
      <w:r w:rsidRPr="006D3638">
        <w:rPr>
          <w:bCs/>
          <w:lang w:val="en-GB"/>
        </w:rPr>
        <w:t>Novartis will continue to work collaboratively with the PBAC and the Federal Government to ensure that Australians with systolic heart failure receive access to Entresto® (sacubitril/valsartan) through the Pharmaceutical Benefits Scheme (PBS) at the earliest possible opportunity</w:t>
      </w:r>
    </w:p>
    <w:sectPr w:rsidR="00E80A6B" w:rsidRPr="006D3638" w:rsidSect="006E6481">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97B52A" w15:done="0"/>
  <w15:commentEx w15:paraId="750DD922" w15:done="0"/>
  <w15:commentEx w15:paraId="2F4FD521" w15:done="0"/>
  <w15:commentEx w15:paraId="24B01C7F" w15:done="0"/>
  <w15:commentEx w15:paraId="1341EEE2" w15:done="0"/>
  <w15:commentEx w15:paraId="63761729" w15:done="0"/>
  <w15:commentEx w15:paraId="44636F8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14E" w:rsidRDefault="0016314E" w:rsidP="00124A51">
      <w:r>
        <w:separator/>
      </w:r>
    </w:p>
  </w:endnote>
  <w:endnote w:type="continuationSeparator" w:id="0">
    <w:p w:rsidR="0016314E" w:rsidRDefault="0016314E"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abo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E16" w:rsidRDefault="000F3E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E16" w:rsidRDefault="000F3E16" w:rsidP="003B5468">
    <w:pPr>
      <w:pStyle w:val="Footer"/>
      <w:ind w:left="360"/>
      <w:jc w:val="center"/>
      <w:rPr>
        <w:sz w:val="20"/>
      </w:rPr>
    </w:pPr>
  </w:p>
  <w:p w:rsidR="000F3E16" w:rsidRPr="00651169" w:rsidRDefault="000F3E16" w:rsidP="003B5468">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2F3E21">
      <w:rPr>
        <w:noProof/>
        <w:sz w:val="20"/>
      </w:rPr>
      <w:t>2</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E16" w:rsidRDefault="000F3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14E" w:rsidRDefault="0016314E" w:rsidP="00124A51">
      <w:r>
        <w:separator/>
      </w:r>
    </w:p>
  </w:footnote>
  <w:footnote w:type="continuationSeparator" w:id="0">
    <w:p w:rsidR="0016314E" w:rsidRDefault="0016314E"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E16" w:rsidRDefault="000F3E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E16" w:rsidRPr="003B5468" w:rsidRDefault="000F3E16" w:rsidP="008B0592">
    <w:pPr>
      <w:widowControl/>
      <w:tabs>
        <w:tab w:val="center" w:pos="4153"/>
        <w:tab w:val="right" w:pos="8306"/>
      </w:tabs>
      <w:ind w:left="360"/>
      <w:jc w:val="center"/>
      <w:rPr>
        <w:i/>
        <w:snapToGrid/>
        <w:color w:val="808080"/>
        <w:szCs w:val="24"/>
      </w:rPr>
    </w:pPr>
    <w:r>
      <w:rPr>
        <w:i/>
        <w:snapToGrid/>
        <w:color w:val="808080"/>
        <w:szCs w:val="24"/>
      </w:rPr>
      <w:t>Public Summary Document</w:t>
    </w:r>
    <w:r w:rsidRPr="003B5468">
      <w:rPr>
        <w:i/>
        <w:snapToGrid/>
        <w:color w:val="808080"/>
        <w:szCs w:val="24"/>
      </w:rPr>
      <w:t xml:space="preserve"> – </w:t>
    </w:r>
    <w:r>
      <w:rPr>
        <w:i/>
        <w:snapToGrid/>
        <w:color w:val="808080"/>
        <w:szCs w:val="24"/>
      </w:rPr>
      <w:t>March</w:t>
    </w:r>
    <w:r w:rsidRPr="003B5468">
      <w:rPr>
        <w:i/>
        <w:snapToGrid/>
        <w:color w:val="808080"/>
        <w:szCs w:val="24"/>
      </w:rPr>
      <w:t xml:space="preserve"> </w:t>
    </w:r>
    <w:r>
      <w:rPr>
        <w:i/>
        <w:snapToGrid/>
        <w:color w:val="808080"/>
        <w:szCs w:val="24"/>
      </w:rPr>
      <w:t>2016</w:t>
    </w:r>
    <w:r w:rsidRPr="003B5468">
      <w:rPr>
        <w:i/>
        <w:snapToGrid/>
        <w:color w:val="808080"/>
        <w:szCs w:val="24"/>
      </w:rPr>
      <w:t xml:space="preserve"> PBAC Meeting</w:t>
    </w:r>
  </w:p>
  <w:p w:rsidR="000F3E16" w:rsidRDefault="000F3E16" w:rsidP="003B546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E16" w:rsidRDefault="000F3E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F30A4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2F6B6C"/>
    <w:multiLevelType w:val="hybridMultilevel"/>
    <w:tmpl w:val="C2A4AD02"/>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0AA0B3E"/>
    <w:multiLevelType w:val="hybridMultilevel"/>
    <w:tmpl w:val="0A04B7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48EE2013"/>
    <w:multiLevelType w:val="hybridMultilevel"/>
    <w:tmpl w:val="40DEF5A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7">
    <w:nsid w:val="49EB7929"/>
    <w:multiLevelType w:val="hybridMultilevel"/>
    <w:tmpl w:val="CA12D302"/>
    <w:lvl w:ilvl="0" w:tplc="0C090003">
      <w:start w:val="1"/>
      <w:numFmt w:val="bullet"/>
      <w:lvlText w:val="o"/>
      <w:lvlJc w:val="left"/>
      <w:pPr>
        <w:ind w:left="1494" w:hanging="360"/>
      </w:pPr>
      <w:rPr>
        <w:rFonts w:ascii="Courier New" w:hAnsi="Courier New" w:cs="Courier New"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8">
    <w:nsid w:val="4D54479B"/>
    <w:multiLevelType w:val="hybridMultilevel"/>
    <w:tmpl w:val="B2224FB4"/>
    <w:lvl w:ilvl="0" w:tplc="0C090003">
      <w:start w:val="1"/>
      <w:numFmt w:val="bullet"/>
      <w:lvlText w:val="o"/>
      <w:lvlJc w:val="left"/>
      <w:pPr>
        <w:ind w:left="1494" w:hanging="360"/>
      </w:pPr>
      <w:rPr>
        <w:rFonts w:ascii="Courier New" w:hAnsi="Courier New" w:cs="Courier New"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41F5076"/>
    <w:multiLevelType w:val="hybridMultilevel"/>
    <w:tmpl w:val="58ECD44A"/>
    <w:lvl w:ilvl="0" w:tplc="0C090001">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74EC52C7"/>
    <w:multiLevelType w:val="hybridMultilevel"/>
    <w:tmpl w:val="C01A24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784D033C"/>
    <w:multiLevelType w:val="multilevel"/>
    <w:tmpl w:val="80DACE9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Arial" w:eastAsia="Times New Roman" w:hAnsi="Arial" w:cs="Aria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7"/>
  </w:num>
  <w:num w:numId="7">
    <w:abstractNumId w:val="11"/>
  </w:num>
  <w:num w:numId="8">
    <w:abstractNumId w:val="5"/>
  </w:num>
  <w:num w:numId="9">
    <w:abstractNumId w:val="6"/>
  </w:num>
  <w:num w:numId="10">
    <w:abstractNumId w:val="9"/>
  </w:num>
  <w:num w:numId="11">
    <w:abstractNumId w:val="3"/>
  </w:num>
  <w:num w:numId="12">
    <w:abstractNumId w:val="0"/>
  </w:num>
  <w:num w:numId="13">
    <w:abstractNumId w:val="4"/>
  </w:num>
  <w:num w:numId="14">
    <w:abstractNumId w:val="1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er Etherton-Beer">
    <w15:presenceInfo w15:providerId="None" w15:userId="Christopher Etherton-B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98"/>
    <w:rsid w:val="0000006D"/>
    <w:rsid w:val="00000675"/>
    <w:rsid w:val="00000790"/>
    <w:rsid w:val="0000110B"/>
    <w:rsid w:val="000012CC"/>
    <w:rsid w:val="00001D1C"/>
    <w:rsid w:val="00002566"/>
    <w:rsid w:val="00003304"/>
    <w:rsid w:val="00003499"/>
    <w:rsid w:val="00005D70"/>
    <w:rsid w:val="000061FD"/>
    <w:rsid w:val="0000754B"/>
    <w:rsid w:val="0001024D"/>
    <w:rsid w:val="000110C1"/>
    <w:rsid w:val="000116F1"/>
    <w:rsid w:val="000122E8"/>
    <w:rsid w:val="00012689"/>
    <w:rsid w:val="000130F2"/>
    <w:rsid w:val="00013247"/>
    <w:rsid w:val="00013F44"/>
    <w:rsid w:val="00015817"/>
    <w:rsid w:val="00015886"/>
    <w:rsid w:val="00015D78"/>
    <w:rsid w:val="000162EF"/>
    <w:rsid w:val="00017DDD"/>
    <w:rsid w:val="00017E0E"/>
    <w:rsid w:val="0002225F"/>
    <w:rsid w:val="00023763"/>
    <w:rsid w:val="000252FC"/>
    <w:rsid w:val="000264A6"/>
    <w:rsid w:val="00026D34"/>
    <w:rsid w:val="00030C54"/>
    <w:rsid w:val="000318D2"/>
    <w:rsid w:val="000319AA"/>
    <w:rsid w:val="00031B07"/>
    <w:rsid w:val="0004054F"/>
    <w:rsid w:val="000406B5"/>
    <w:rsid w:val="00040895"/>
    <w:rsid w:val="000423E0"/>
    <w:rsid w:val="00042A82"/>
    <w:rsid w:val="00043C37"/>
    <w:rsid w:val="00044681"/>
    <w:rsid w:val="000465AB"/>
    <w:rsid w:val="00050578"/>
    <w:rsid w:val="00053177"/>
    <w:rsid w:val="00053186"/>
    <w:rsid w:val="0005379F"/>
    <w:rsid w:val="00053A15"/>
    <w:rsid w:val="00053AD9"/>
    <w:rsid w:val="000546D7"/>
    <w:rsid w:val="00056942"/>
    <w:rsid w:val="00061D8F"/>
    <w:rsid w:val="0006281C"/>
    <w:rsid w:val="000654C4"/>
    <w:rsid w:val="0007067F"/>
    <w:rsid w:val="00071248"/>
    <w:rsid w:val="00071E27"/>
    <w:rsid w:val="000720B9"/>
    <w:rsid w:val="0007468E"/>
    <w:rsid w:val="00074CE1"/>
    <w:rsid w:val="00076A3E"/>
    <w:rsid w:val="00077D7D"/>
    <w:rsid w:val="00080761"/>
    <w:rsid w:val="00080BA8"/>
    <w:rsid w:val="000812CA"/>
    <w:rsid w:val="000830F4"/>
    <w:rsid w:val="000845BE"/>
    <w:rsid w:val="00084C89"/>
    <w:rsid w:val="00090330"/>
    <w:rsid w:val="00090C7E"/>
    <w:rsid w:val="00091022"/>
    <w:rsid w:val="00091532"/>
    <w:rsid w:val="00093E49"/>
    <w:rsid w:val="0009670B"/>
    <w:rsid w:val="00096F4F"/>
    <w:rsid w:val="00097911"/>
    <w:rsid w:val="000A2928"/>
    <w:rsid w:val="000A3304"/>
    <w:rsid w:val="000A4AD3"/>
    <w:rsid w:val="000A530E"/>
    <w:rsid w:val="000A58E6"/>
    <w:rsid w:val="000A6A03"/>
    <w:rsid w:val="000B0910"/>
    <w:rsid w:val="000B3786"/>
    <w:rsid w:val="000B4EC6"/>
    <w:rsid w:val="000B6E52"/>
    <w:rsid w:val="000C00DD"/>
    <w:rsid w:val="000C1FCF"/>
    <w:rsid w:val="000C32BA"/>
    <w:rsid w:val="000C43B1"/>
    <w:rsid w:val="000C6234"/>
    <w:rsid w:val="000C6381"/>
    <w:rsid w:val="000C6B39"/>
    <w:rsid w:val="000C6C9F"/>
    <w:rsid w:val="000D1BFC"/>
    <w:rsid w:val="000D225D"/>
    <w:rsid w:val="000D23FA"/>
    <w:rsid w:val="000D3A92"/>
    <w:rsid w:val="000D3F2E"/>
    <w:rsid w:val="000D4494"/>
    <w:rsid w:val="000D54C5"/>
    <w:rsid w:val="000D6971"/>
    <w:rsid w:val="000D707C"/>
    <w:rsid w:val="000E02B2"/>
    <w:rsid w:val="000E0D4B"/>
    <w:rsid w:val="000E139A"/>
    <w:rsid w:val="000E152C"/>
    <w:rsid w:val="000E5AEA"/>
    <w:rsid w:val="000E7BCE"/>
    <w:rsid w:val="000F214A"/>
    <w:rsid w:val="000F251F"/>
    <w:rsid w:val="000F25F2"/>
    <w:rsid w:val="000F2DE3"/>
    <w:rsid w:val="000F3E16"/>
    <w:rsid w:val="000F4BB8"/>
    <w:rsid w:val="000F6DA5"/>
    <w:rsid w:val="000F7127"/>
    <w:rsid w:val="000F7F53"/>
    <w:rsid w:val="00100636"/>
    <w:rsid w:val="00100959"/>
    <w:rsid w:val="00100F8A"/>
    <w:rsid w:val="00102B5C"/>
    <w:rsid w:val="00103F12"/>
    <w:rsid w:val="00104FF2"/>
    <w:rsid w:val="00107917"/>
    <w:rsid w:val="0011009A"/>
    <w:rsid w:val="0011032E"/>
    <w:rsid w:val="00112271"/>
    <w:rsid w:val="00113471"/>
    <w:rsid w:val="0011348B"/>
    <w:rsid w:val="00113F53"/>
    <w:rsid w:val="00114CD9"/>
    <w:rsid w:val="00115FD5"/>
    <w:rsid w:val="00117962"/>
    <w:rsid w:val="00120168"/>
    <w:rsid w:val="0012043E"/>
    <w:rsid w:val="001216F3"/>
    <w:rsid w:val="00121799"/>
    <w:rsid w:val="001220E9"/>
    <w:rsid w:val="001222FC"/>
    <w:rsid w:val="001236BD"/>
    <w:rsid w:val="00124A51"/>
    <w:rsid w:val="00126621"/>
    <w:rsid w:val="00127499"/>
    <w:rsid w:val="001301E9"/>
    <w:rsid w:val="001303F6"/>
    <w:rsid w:val="0013282C"/>
    <w:rsid w:val="00132C0F"/>
    <w:rsid w:val="00133D2D"/>
    <w:rsid w:val="001374D1"/>
    <w:rsid w:val="00137645"/>
    <w:rsid w:val="00137E5A"/>
    <w:rsid w:val="0014015A"/>
    <w:rsid w:val="00140E99"/>
    <w:rsid w:val="00142110"/>
    <w:rsid w:val="00142D37"/>
    <w:rsid w:val="00145031"/>
    <w:rsid w:val="001451FD"/>
    <w:rsid w:val="00145540"/>
    <w:rsid w:val="001456B0"/>
    <w:rsid w:val="00151BD3"/>
    <w:rsid w:val="001526A8"/>
    <w:rsid w:val="001535BD"/>
    <w:rsid w:val="001541A3"/>
    <w:rsid w:val="00155B15"/>
    <w:rsid w:val="00155F80"/>
    <w:rsid w:val="00157130"/>
    <w:rsid w:val="001611C7"/>
    <w:rsid w:val="001614E1"/>
    <w:rsid w:val="00162913"/>
    <w:rsid w:val="0016314E"/>
    <w:rsid w:val="00163EFF"/>
    <w:rsid w:val="001661A8"/>
    <w:rsid w:val="001661FB"/>
    <w:rsid w:val="00171125"/>
    <w:rsid w:val="0017386C"/>
    <w:rsid w:val="00173992"/>
    <w:rsid w:val="001759C4"/>
    <w:rsid w:val="00176259"/>
    <w:rsid w:val="00181E4F"/>
    <w:rsid w:val="00182121"/>
    <w:rsid w:val="00182D0A"/>
    <w:rsid w:val="001832FB"/>
    <w:rsid w:val="0018357B"/>
    <w:rsid w:val="001852CA"/>
    <w:rsid w:val="0018752F"/>
    <w:rsid w:val="001912C6"/>
    <w:rsid w:val="0019251E"/>
    <w:rsid w:val="00193F1E"/>
    <w:rsid w:val="00195189"/>
    <w:rsid w:val="00195222"/>
    <w:rsid w:val="00195912"/>
    <w:rsid w:val="00195DEF"/>
    <w:rsid w:val="00196B6E"/>
    <w:rsid w:val="00197289"/>
    <w:rsid w:val="0019730C"/>
    <w:rsid w:val="001975D8"/>
    <w:rsid w:val="001A1FC1"/>
    <w:rsid w:val="001A31DC"/>
    <w:rsid w:val="001A3299"/>
    <w:rsid w:val="001A49C0"/>
    <w:rsid w:val="001A611B"/>
    <w:rsid w:val="001B17C9"/>
    <w:rsid w:val="001B1957"/>
    <w:rsid w:val="001B232D"/>
    <w:rsid w:val="001B3443"/>
    <w:rsid w:val="001B3B04"/>
    <w:rsid w:val="001B7163"/>
    <w:rsid w:val="001C1D79"/>
    <w:rsid w:val="001C1EC4"/>
    <w:rsid w:val="001C5843"/>
    <w:rsid w:val="001C5B9D"/>
    <w:rsid w:val="001C618B"/>
    <w:rsid w:val="001C6954"/>
    <w:rsid w:val="001C6E66"/>
    <w:rsid w:val="001C7E21"/>
    <w:rsid w:val="001C7FCD"/>
    <w:rsid w:val="001D0CAC"/>
    <w:rsid w:val="001D0CB5"/>
    <w:rsid w:val="001D26B5"/>
    <w:rsid w:val="001D33AF"/>
    <w:rsid w:val="001D36EC"/>
    <w:rsid w:val="001D6A31"/>
    <w:rsid w:val="001D75BC"/>
    <w:rsid w:val="001D7654"/>
    <w:rsid w:val="001E01EA"/>
    <w:rsid w:val="001E0CB7"/>
    <w:rsid w:val="001E21F4"/>
    <w:rsid w:val="001E238E"/>
    <w:rsid w:val="001E2B1E"/>
    <w:rsid w:val="001E465E"/>
    <w:rsid w:val="001E52EB"/>
    <w:rsid w:val="001E6686"/>
    <w:rsid w:val="001E740C"/>
    <w:rsid w:val="001E7CE0"/>
    <w:rsid w:val="001F0BFF"/>
    <w:rsid w:val="001F1235"/>
    <w:rsid w:val="001F1CB3"/>
    <w:rsid w:val="001F2EB6"/>
    <w:rsid w:val="001F3107"/>
    <w:rsid w:val="001F39F1"/>
    <w:rsid w:val="001F4A0C"/>
    <w:rsid w:val="001F7361"/>
    <w:rsid w:val="00202392"/>
    <w:rsid w:val="00203555"/>
    <w:rsid w:val="0020385F"/>
    <w:rsid w:val="00207021"/>
    <w:rsid w:val="00207A7F"/>
    <w:rsid w:val="00207D00"/>
    <w:rsid w:val="002105C1"/>
    <w:rsid w:val="0021162A"/>
    <w:rsid w:val="002126F7"/>
    <w:rsid w:val="00213284"/>
    <w:rsid w:val="0021332B"/>
    <w:rsid w:val="00215AEE"/>
    <w:rsid w:val="00215BEB"/>
    <w:rsid w:val="002167D1"/>
    <w:rsid w:val="00217964"/>
    <w:rsid w:val="0022067D"/>
    <w:rsid w:val="002235BB"/>
    <w:rsid w:val="00223B49"/>
    <w:rsid w:val="002242B0"/>
    <w:rsid w:val="00224DD4"/>
    <w:rsid w:val="00226293"/>
    <w:rsid w:val="00227503"/>
    <w:rsid w:val="00227F60"/>
    <w:rsid w:val="002309CC"/>
    <w:rsid w:val="00233124"/>
    <w:rsid w:val="002331E3"/>
    <w:rsid w:val="002342FD"/>
    <w:rsid w:val="00235688"/>
    <w:rsid w:val="002372A7"/>
    <w:rsid w:val="0024050F"/>
    <w:rsid w:val="00241510"/>
    <w:rsid w:val="00241ACE"/>
    <w:rsid w:val="00242CC9"/>
    <w:rsid w:val="00244F80"/>
    <w:rsid w:val="002468F7"/>
    <w:rsid w:val="00247B87"/>
    <w:rsid w:val="00251579"/>
    <w:rsid w:val="002522AC"/>
    <w:rsid w:val="00252E0A"/>
    <w:rsid w:val="00253917"/>
    <w:rsid w:val="00254DCF"/>
    <w:rsid w:val="002550A3"/>
    <w:rsid w:val="0025534B"/>
    <w:rsid w:val="00255A7D"/>
    <w:rsid w:val="00255BB7"/>
    <w:rsid w:val="002565A6"/>
    <w:rsid w:val="00256941"/>
    <w:rsid w:val="00262A87"/>
    <w:rsid w:val="002641D2"/>
    <w:rsid w:val="0026552C"/>
    <w:rsid w:val="00265C8A"/>
    <w:rsid w:val="00266C7E"/>
    <w:rsid w:val="00266CFB"/>
    <w:rsid w:val="00271035"/>
    <w:rsid w:val="0027152C"/>
    <w:rsid w:val="00271E8E"/>
    <w:rsid w:val="00272BEC"/>
    <w:rsid w:val="00272FEB"/>
    <w:rsid w:val="00275254"/>
    <w:rsid w:val="00275C5A"/>
    <w:rsid w:val="00276219"/>
    <w:rsid w:val="002772A5"/>
    <w:rsid w:val="002772C9"/>
    <w:rsid w:val="00281014"/>
    <w:rsid w:val="002818DD"/>
    <w:rsid w:val="002828A0"/>
    <w:rsid w:val="002840B1"/>
    <w:rsid w:val="00284A1D"/>
    <w:rsid w:val="0028536B"/>
    <w:rsid w:val="00285C7E"/>
    <w:rsid w:val="00291A8F"/>
    <w:rsid w:val="00292501"/>
    <w:rsid w:val="002950B6"/>
    <w:rsid w:val="002951F0"/>
    <w:rsid w:val="00297B40"/>
    <w:rsid w:val="002A0C5C"/>
    <w:rsid w:val="002A14AB"/>
    <w:rsid w:val="002A3289"/>
    <w:rsid w:val="002A32CA"/>
    <w:rsid w:val="002A44CA"/>
    <w:rsid w:val="002A5676"/>
    <w:rsid w:val="002A601E"/>
    <w:rsid w:val="002A739D"/>
    <w:rsid w:val="002A73E9"/>
    <w:rsid w:val="002A7855"/>
    <w:rsid w:val="002A78FE"/>
    <w:rsid w:val="002A7D00"/>
    <w:rsid w:val="002B1096"/>
    <w:rsid w:val="002B1C1F"/>
    <w:rsid w:val="002B2D4A"/>
    <w:rsid w:val="002B3FAB"/>
    <w:rsid w:val="002B432F"/>
    <w:rsid w:val="002B5C3F"/>
    <w:rsid w:val="002B6CCE"/>
    <w:rsid w:val="002B7EDF"/>
    <w:rsid w:val="002C2775"/>
    <w:rsid w:val="002C27C1"/>
    <w:rsid w:val="002C460D"/>
    <w:rsid w:val="002C48DE"/>
    <w:rsid w:val="002C5073"/>
    <w:rsid w:val="002C5517"/>
    <w:rsid w:val="002C5E66"/>
    <w:rsid w:val="002C6AD6"/>
    <w:rsid w:val="002D1060"/>
    <w:rsid w:val="002D32A1"/>
    <w:rsid w:val="002D38E7"/>
    <w:rsid w:val="002D416E"/>
    <w:rsid w:val="002D5246"/>
    <w:rsid w:val="002D7276"/>
    <w:rsid w:val="002D7442"/>
    <w:rsid w:val="002D76E1"/>
    <w:rsid w:val="002E133F"/>
    <w:rsid w:val="002E1976"/>
    <w:rsid w:val="002E1DE4"/>
    <w:rsid w:val="002E20E6"/>
    <w:rsid w:val="002E2A9F"/>
    <w:rsid w:val="002E3868"/>
    <w:rsid w:val="002E62FA"/>
    <w:rsid w:val="002E75DC"/>
    <w:rsid w:val="002E7E6F"/>
    <w:rsid w:val="002F0BEA"/>
    <w:rsid w:val="002F3BC4"/>
    <w:rsid w:val="002F3E21"/>
    <w:rsid w:val="002F5154"/>
    <w:rsid w:val="002F5433"/>
    <w:rsid w:val="002F587D"/>
    <w:rsid w:val="002F605A"/>
    <w:rsid w:val="002F67B7"/>
    <w:rsid w:val="00300062"/>
    <w:rsid w:val="00301017"/>
    <w:rsid w:val="00301570"/>
    <w:rsid w:val="0030360C"/>
    <w:rsid w:val="00306157"/>
    <w:rsid w:val="0030786C"/>
    <w:rsid w:val="0031031A"/>
    <w:rsid w:val="00310981"/>
    <w:rsid w:val="003112C5"/>
    <w:rsid w:val="00311691"/>
    <w:rsid w:val="003143A0"/>
    <w:rsid w:val="00315498"/>
    <w:rsid w:val="003164C2"/>
    <w:rsid w:val="003204EB"/>
    <w:rsid w:val="003218B4"/>
    <w:rsid w:val="00322FB6"/>
    <w:rsid w:val="003238FB"/>
    <w:rsid w:val="003241F2"/>
    <w:rsid w:val="00324271"/>
    <w:rsid w:val="00325BD9"/>
    <w:rsid w:val="00327BBC"/>
    <w:rsid w:val="0033073F"/>
    <w:rsid w:val="003319B9"/>
    <w:rsid w:val="00333C23"/>
    <w:rsid w:val="00335EEF"/>
    <w:rsid w:val="003366C9"/>
    <w:rsid w:val="003371B0"/>
    <w:rsid w:val="00340CF3"/>
    <w:rsid w:val="0034465D"/>
    <w:rsid w:val="00345C24"/>
    <w:rsid w:val="00353081"/>
    <w:rsid w:val="00353658"/>
    <w:rsid w:val="00353F1B"/>
    <w:rsid w:val="00354C62"/>
    <w:rsid w:val="00355607"/>
    <w:rsid w:val="00355A08"/>
    <w:rsid w:val="0035620E"/>
    <w:rsid w:val="00357265"/>
    <w:rsid w:val="00357DFD"/>
    <w:rsid w:val="0036030D"/>
    <w:rsid w:val="0036310D"/>
    <w:rsid w:val="003639D6"/>
    <w:rsid w:val="003667DC"/>
    <w:rsid w:val="003709F4"/>
    <w:rsid w:val="003735E0"/>
    <w:rsid w:val="0037372E"/>
    <w:rsid w:val="00373E79"/>
    <w:rsid w:val="00375255"/>
    <w:rsid w:val="0037643C"/>
    <w:rsid w:val="003770C8"/>
    <w:rsid w:val="00380B02"/>
    <w:rsid w:val="00382199"/>
    <w:rsid w:val="0038291D"/>
    <w:rsid w:val="0038365C"/>
    <w:rsid w:val="00384DB2"/>
    <w:rsid w:val="003854AF"/>
    <w:rsid w:val="003873E3"/>
    <w:rsid w:val="003926F8"/>
    <w:rsid w:val="00394DFE"/>
    <w:rsid w:val="00396419"/>
    <w:rsid w:val="00396FBF"/>
    <w:rsid w:val="00396FD0"/>
    <w:rsid w:val="0039730C"/>
    <w:rsid w:val="003A0BF2"/>
    <w:rsid w:val="003A1A7A"/>
    <w:rsid w:val="003A25F4"/>
    <w:rsid w:val="003A2D7D"/>
    <w:rsid w:val="003A46ED"/>
    <w:rsid w:val="003A5242"/>
    <w:rsid w:val="003A743D"/>
    <w:rsid w:val="003B1522"/>
    <w:rsid w:val="003B5468"/>
    <w:rsid w:val="003C020D"/>
    <w:rsid w:val="003C1EC1"/>
    <w:rsid w:val="003C2065"/>
    <w:rsid w:val="003C5CC6"/>
    <w:rsid w:val="003C7DA1"/>
    <w:rsid w:val="003D0EFE"/>
    <w:rsid w:val="003D1828"/>
    <w:rsid w:val="003D2422"/>
    <w:rsid w:val="003D31AB"/>
    <w:rsid w:val="003D536F"/>
    <w:rsid w:val="003D6C92"/>
    <w:rsid w:val="003E08B5"/>
    <w:rsid w:val="003E0EBD"/>
    <w:rsid w:val="003E1548"/>
    <w:rsid w:val="003E1549"/>
    <w:rsid w:val="003E16EE"/>
    <w:rsid w:val="003E2A56"/>
    <w:rsid w:val="003E2FE3"/>
    <w:rsid w:val="003E324B"/>
    <w:rsid w:val="003E56E3"/>
    <w:rsid w:val="003E62C5"/>
    <w:rsid w:val="003E6A23"/>
    <w:rsid w:val="003F0272"/>
    <w:rsid w:val="003F11A9"/>
    <w:rsid w:val="003F2C29"/>
    <w:rsid w:val="003F3272"/>
    <w:rsid w:val="003F3E6C"/>
    <w:rsid w:val="003F4156"/>
    <w:rsid w:val="003F49AA"/>
    <w:rsid w:val="003F78CA"/>
    <w:rsid w:val="0040139C"/>
    <w:rsid w:val="004045D7"/>
    <w:rsid w:val="00410708"/>
    <w:rsid w:val="00410EC7"/>
    <w:rsid w:val="004110AF"/>
    <w:rsid w:val="00413223"/>
    <w:rsid w:val="00414476"/>
    <w:rsid w:val="004164EA"/>
    <w:rsid w:val="00417288"/>
    <w:rsid w:val="00420B9F"/>
    <w:rsid w:val="00421682"/>
    <w:rsid w:val="00421CC5"/>
    <w:rsid w:val="0042215A"/>
    <w:rsid w:val="00424848"/>
    <w:rsid w:val="00424C95"/>
    <w:rsid w:val="0042714D"/>
    <w:rsid w:val="00427C4B"/>
    <w:rsid w:val="00430640"/>
    <w:rsid w:val="00430968"/>
    <w:rsid w:val="00430B9D"/>
    <w:rsid w:val="004314A2"/>
    <w:rsid w:val="004319F8"/>
    <w:rsid w:val="00431B22"/>
    <w:rsid w:val="0043269F"/>
    <w:rsid w:val="00433044"/>
    <w:rsid w:val="00433539"/>
    <w:rsid w:val="004349DE"/>
    <w:rsid w:val="0043702A"/>
    <w:rsid w:val="0043771F"/>
    <w:rsid w:val="004402AC"/>
    <w:rsid w:val="0044110A"/>
    <w:rsid w:val="0044270D"/>
    <w:rsid w:val="00442AF6"/>
    <w:rsid w:val="004443A7"/>
    <w:rsid w:val="004464EB"/>
    <w:rsid w:val="00447FBE"/>
    <w:rsid w:val="00450397"/>
    <w:rsid w:val="004540F7"/>
    <w:rsid w:val="00454570"/>
    <w:rsid w:val="004546FE"/>
    <w:rsid w:val="00454E41"/>
    <w:rsid w:val="00455D45"/>
    <w:rsid w:val="00457826"/>
    <w:rsid w:val="00457BBD"/>
    <w:rsid w:val="0046197A"/>
    <w:rsid w:val="0046297B"/>
    <w:rsid w:val="00463676"/>
    <w:rsid w:val="00463C45"/>
    <w:rsid w:val="00464595"/>
    <w:rsid w:val="00464E89"/>
    <w:rsid w:val="004650CA"/>
    <w:rsid w:val="00467677"/>
    <w:rsid w:val="00471A75"/>
    <w:rsid w:val="00472F56"/>
    <w:rsid w:val="00474344"/>
    <w:rsid w:val="0047652C"/>
    <w:rsid w:val="004773D5"/>
    <w:rsid w:val="00477C04"/>
    <w:rsid w:val="004810BC"/>
    <w:rsid w:val="00481445"/>
    <w:rsid w:val="004852B0"/>
    <w:rsid w:val="004852B5"/>
    <w:rsid w:val="0048622A"/>
    <w:rsid w:val="004867E2"/>
    <w:rsid w:val="00486871"/>
    <w:rsid w:val="00490084"/>
    <w:rsid w:val="00491A43"/>
    <w:rsid w:val="00491B3A"/>
    <w:rsid w:val="00491E2C"/>
    <w:rsid w:val="00492CFD"/>
    <w:rsid w:val="00493600"/>
    <w:rsid w:val="004939C8"/>
    <w:rsid w:val="004947EA"/>
    <w:rsid w:val="00494957"/>
    <w:rsid w:val="00495DEE"/>
    <w:rsid w:val="004962D2"/>
    <w:rsid w:val="0049764D"/>
    <w:rsid w:val="004A0DA1"/>
    <w:rsid w:val="004A1E87"/>
    <w:rsid w:val="004A3149"/>
    <w:rsid w:val="004A42B7"/>
    <w:rsid w:val="004A4980"/>
    <w:rsid w:val="004A5065"/>
    <w:rsid w:val="004A53A9"/>
    <w:rsid w:val="004A55C8"/>
    <w:rsid w:val="004A6597"/>
    <w:rsid w:val="004A7804"/>
    <w:rsid w:val="004B008E"/>
    <w:rsid w:val="004B1CB4"/>
    <w:rsid w:val="004B2F18"/>
    <w:rsid w:val="004B3BEB"/>
    <w:rsid w:val="004B3DDB"/>
    <w:rsid w:val="004B44FD"/>
    <w:rsid w:val="004B57A4"/>
    <w:rsid w:val="004B5CFC"/>
    <w:rsid w:val="004B65DC"/>
    <w:rsid w:val="004B7258"/>
    <w:rsid w:val="004C27F5"/>
    <w:rsid w:val="004C2B3B"/>
    <w:rsid w:val="004C4AED"/>
    <w:rsid w:val="004C4EBA"/>
    <w:rsid w:val="004C69C1"/>
    <w:rsid w:val="004C6E2A"/>
    <w:rsid w:val="004C707B"/>
    <w:rsid w:val="004C7D03"/>
    <w:rsid w:val="004D1588"/>
    <w:rsid w:val="004D1E7C"/>
    <w:rsid w:val="004D34AA"/>
    <w:rsid w:val="004D4C99"/>
    <w:rsid w:val="004D559A"/>
    <w:rsid w:val="004D6475"/>
    <w:rsid w:val="004D6A55"/>
    <w:rsid w:val="004D6E13"/>
    <w:rsid w:val="004D78F3"/>
    <w:rsid w:val="004E0EB8"/>
    <w:rsid w:val="004E2ADC"/>
    <w:rsid w:val="004E3672"/>
    <w:rsid w:val="004E3A33"/>
    <w:rsid w:val="004E43B2"/>
    <w:rsid w:val="004E4E4C"/>
    <w:rsid w:val="004E5BB0"/>
    <w:rsid w:val="004E6D4C"/>
    <w:rsid w:val="004E78FD"/>
    <w:rsid w:val="004F1888"/>
    <w:rsid w:val="004F18FB"/>
    <w:rsid w:val="004F1D02"/>
    <w:rsid w:val="004F2679"/>
    <w:rsid w:val="004F5A42"/>
    <w:rsid w:val="004F694C"/>
    <w:rsid w:val="004F7865"/>
    <w:rsid w:val="00500D17"/>
    <w:rsid w:val="00502514"/>
    <w:rsid w:val="0050267B"/>
    <w:rsid w:val="005040B7"/>
    <w:rsid w:val="00504DBA"/>
    <w:rsid w:val="00506928"/>
    <w:rsid w:val="00510DD1"/>
    <w:rsid w:val="005114BC"/>
    <w:rsid w:val="0051322D"/>
    <w:rsid w:val="005152B5"/>
    <w:rsid w:val="00516156"/>
    <w:rsid w:val="005175CE"/>
    <w:rsid w:val="00521319"/>
    <w:rsid w:val="00521C35"/>
    <w:rsid w:val="00521ED5"/>
    <w:rsid w:val="00523C28"/>
    <w:rsid w:val="00525ADC"/>
    <w:rsid w:val="00527B06"/>
    <w:rsid w:val="00530746"/>
    <w:rsid w:val="005307AA"/>
    <w:rsid w:val="00530822"/>
    <w:rsid w:val="00530B90"/>
    <w:rsid w:val="00531B67"/>
    <w:rsid w:val="00531CAB"/>
    <w:rsid w:val="00531F18"/>
    <w:rsid w:val="00532DF1"/>
    <w:rsid w:val="00532E83"/>
    <w:rsid w:val="00535259"/>
    <w:rsid w:val="005353AA"/>
    <w:rsid w:val="00541E53"/>
    <w:rsid w:val="00541F8C"/>
    <w:rsid w:val="00542648"/>
    <w:rsid w:val="0054392A"/>
    <w:rsid w:val="005442EB"/>
    <w:rsid w:val="00544A1E"/>
    <w:rsid w:val="00544DB2"/>
    <w:rsid w:val="00546316"/>
    <w:rsid w:val="005466AD"/>
    <w:rsid w:val="0055093B"/>
    <w:rsid w:val="00550ACA"/>
    <w:rsid w:val="005516A6"/>
    <w:rsid w:val="00552074"/>
    <w:rsid w:val="00552BD3"/>
    <w:rsid w:val="00552F28"/>
    <w:rsid w:val="00553D35"/>
    <w:rsid w:val="0055425A"/>
    <w:rsid w:val="005543EE"/>
    <w:rsid w:val="005549D7"/>
    <w:rsid w:val="00554A82"/>
    <w:rsid w:val="00555057"/>
    <w:rsid w:val="00555109"/>
    <w:rsid w:val="0055579B"/>
    <w:rsid w:val="005601CF"/>
    <w:rsid w:val="00560640"/>
    <w:rsid w:val="005641F8"/>
    <w:rsid w:val="00565632"/>
    <w:rsid w:val="0056696F"/>
    <w:rsid w:val="00566B58"/>
    <w:rsid w:val="005727DD"/>
    <w:rsid w:val="00573264"/>
    <w:rsid w:val="00573520"/>
    <w:rsid w:val="005738BE"/>
    <w:rsid w:val="0057465C"/>
    <w:rsid w:val="00574D62"/>
    <w:rsid w:val="00575A10"/>
    <w:rsid w:val="00575D8D"/>
    <w:rsid w:val="00576277"/>
    <w:rsid w:val="00576972"/>
    <w:rsid w:val="005804B7"/>
    <w:rsid w:val="00580986"/>
    <w:rsid w:val="00580DB7"/>
    <w:rsid w:val="005813C2"/>
    <w:rsid w:val="00582918"/>
    <w:rsid w:val="00583699"/>
    <w:rsid w:val="005852F7"/>
    <w:rsid w:val="00586A35"/>
    <w:rsid w:val="00586A92"/>
    <w:rsid w:val="005871A1"/>
    <w:rsid w:val="005916A7"/>
    <w:rsid w:val="00592563"/>
    <w:rsid w:val="00593772"/>
    <w:rsid w:val="00593A85"/>
    <w:rsid w:val="0059591C"/>
    <w:rsid w:val="00596095"/>
    <w:rsid w:val="005A2100"/>
    <w:rsid w:val="005A330E"/>
    <w:rsid w:val="005A79DA"/>
    <w:rsid w:val="005B133B"/>
    <w:rsid w:val="005B2C51"/>
    <w:rsid w:val="005B5025"/>
    <w:rsid w:val="005B5355"/>
    <w:rsid w:val="005B54C3"/>
    <w:rsid w:val="005B5857"/>
    <w:rsid w:val="005B5AD9"/>
    <w:rsid w:val="005B6810"/>
    <w:rsid w:val="005C0AA6"/>
    <w:rsid w:val="005C1423"/>
    <w:rsid w:val="005C1B83"/>
    <w:rsid w:val="005C20AE"/>
    <w:rsid w:val="005C2CDD"/>
    <w:rsid w:val="005C3246"/>
    <w:rsid w:val="005C346B"/>
    <w:rsid w:val="005C5AAC"/>
    <w:rsid w:val="005D028F"/>
    <w:rsid w:val="005D044D"/>
    <w:rsid w:val="005D18AD"/>
    <w:rsid w:val="005D6622"/>
    <w:rsid w:val="005E06D7"/>
    <w:rsid w:val="005E117E"/>
    <w:rsid w:val="005E2D69"/>
    <w:rsid w:val="005E43E5"/>
    <w:rsid w:val="005E5409"/>
    <w:rsid w:val="005E6B3E"/>
    <w:rsid w:val="005E73C0"/>
    <w:rsid w:val="005F0828"/>
    <w:rsid w:val="005F2706"/>
    <w:rsid w:val="005F28B2"/>
    <w:rsid w:val="005F4708"/>
    <w:rsid w:val="005F682E"/>
    <w:rsid w:val="005F6A8F"/>
    <w:rsid w:val="00601844"/>
    <w:rsid w:val="00601A58"/>
    <w:rsid w:val="00601F87"/>
    <w:rsid w:val="0060305C"/>
    <w:rsid w:val="00603CD2"/>
    <w:rsid w:val="00604B58"/>
    <w:rsid w:val="00605B87"/>
    <w:rsid w:val="0060753A"/>
    <w:rsid w:val="00607669"/>
    <w:rsid w:val="0061076F"/>
    <w:rsid w:val="00611A08"/>
    <w:rsid w:val="00612D42"/>
    <w:rsid w:val="00612F97"/>
    <w:rsid w:val="006132C8"/>
    <w:rsid w:val="00615402"/>
    <w:rsid w:val="00615685"/>
    <w:rsid w:val="00616049"/>
    <w:rsid w:val="0061636A"/>
    <w:rsid w:val="00616785"/>
    <w:rsid w:val="00616802"/>
    <w:rsid w:val="00617E12"/>
    <w:rsid w:val="00620F33"/>
    <w:rsid w:val="00621477"/>
    <w:rsid w:val="00623731"/>
    <w:rsid w:val="00625C39"/>
    <w:rsid w:val="00627136"/>
    <w:rsid w:val="0062767C"/>
    <w:rsid w:val="00631BEB"/>
    <w:rsid w:val="00631D6B"/>
    <w:rsid w:val="006340C2"/>
    <w:rsid w:val="0063479F"/>
    <w:rsid w:val="0063571C"/>
    <w:rsid w:val="006361FC"/>
    <w:rsid w:val="006364A1"/>
    <w:rsid w:val="00637702"/>
    <w:rsid w:val="00637BAB"/>
    <w:rsid w:val="00637BFD"/>
    <w:rsid w:val="00640E05"/>
    <w:rsid w:val="006412E8"/>
    <w:rsid w:val="00642130"/>
    <w:rsid w:val="00643A37"/>
    <w:rsid w:val="0064434E"/>
    <w:rsid w:val="006471CC"/>
    <w:rsid w:val="00647770"/>
    <w:rsid w:val="0065079F"/>
    <w:rsid w:val="00650B07"/>
    <w:rsid w:val="006510A2"/>
    <w:rsid w:val="006510BE"/>
    <w:rsid w:val="00652B7D"/>
    <w:rsid w:val="0065385B"/>
    <w:rsid w:val="00655730"/>
    <w:rsid w:val="00657791"/>
    <w:rsid w:val="00661A5C"/>
    <w:rsid w:val="00662100"/>
    <w:rsid w:val="00662561"/>
    <w:rsid w:val="006646D0"/>
    <w:rsid w:val="00665967"/>
    <w:rsid w:val="0066623E"/>
    <w:rsid w:val="006716B2"/>
    <w:rsid w:val="00674E42"/>
    <w:rsid w:val="00675E53"/>
    <w:rsid w:val="006760F4"/>
    <w:rsid w:val="00676A98"/>
    <w:rsid w:val="00677F43"/>
    <w:rsid w:val="006805ED"/>
    <w:rsid w:val="00682112"/>
    <w:rsid w:val="00685096"/>
    <w:rsid w:val="006862F8"/>
    <w:rsid w:val="00686AD1"/>
    <w:rsid w:val="006872BA"/>
    <w:rsid w:val="006900C6"/>
    <w:rsid w:val="00690211"/>
    <w:rsid w:val="00690681"/>
    <w:rsid w:val="006917D7"/>
    <w:rsid w:val="00693194"/>
    <w:rsid w:val="00694F44"/>
    <w:rsid w:val="00696E3F"/>
    <w:rsid w:val="006A318B"/>
    <w:rsid w:val="006A4871"/>
    <w:rsid w:val="006A5299"/>
    <w:rsid w:val="006A5515"/>
    <w:rsid w:val="006A7DE3"/>
    <w:rsid w:val="006B07D6"/>
    <w:rsid w:val="006B2136"/>
    <w:rsid w:val="006B3C6E"/>
    <w:rsid w:val="006B43F3"/>
    <w:rsid w:val="006B6002"/>
    <w:rsid w:val="006B7E8B"/>
    <w:rsid w:val="006C13C6"/>
    <w:rsid w:val="006C2A8E"/>
    <w:rsid w:val="006C30C2"/>
    <w:rsid w:val="006C5FEA"/>
    <w:rsid w:val="006C6145"/>
    <w:rsid w:val="006C62AB"/>
    <w:rsid w:val="006D0211"/>
    <w:rsid w:val="006D0AEC"/>
    <w:rsid w:val="006D145F"/>
    <w:rsid w:val="006D1679"/>
    <w:rsid w:val="006D3494"/>
    <w:rsid w:val="006D3638"/>
    <w:rsid w:val="006D3C7D"/>
    <w:rsid w:val="006D4F28"/>
    <w:rsid w:val="006D5D5F"/>
    <w:rsid w:val="006D5F7B"/>
    <w:rsid w:val="006D6F68"/>
    <w:rsid w:val="006E07D3"/>
    <w:rsid w:val="006E6224"/>
    <w:rsid w:val="006E6481"/>
    <w:rsid w:val="006E77B0"/>
    <w:rsid w:val="006E7A82"/>
    <w:rsid w:val="006F0FA4"/>
    <w:rsid w:val="006F2244"/>
    <w:rsid w:val="006F3D85"/>
    <w:rsid w:val="006F506C"/>
    <w:rsid w:val="006F57F1"/>
    <w:rsid w:val="006F5F8C"/>
    <w:rsid w:val="006F63A5"/>
    <w:rsid w:val="006F6D5F"/>
    <w:rsid w:val="0070065E"/>
    <w:rsid w:val="00700B53"/>
    <w:rsid w:val="00701D49"/>
    <w:rsid w:val="0070276E"/>
    <w:rsid w:val="00702F8F"/>
    <w:rsid w:val="007030E8"/>
    <w:rsid w:val="00703D39"/>
    <w:rsid w:val="00703E4D"/>
    <w:rsid w:val="007054ED"/>
    <w:rsid w:val="00711A36"/>
    <w:rsid w:val="00713A9B"/>
    <w:rsid w:val="00714D26"/>
    <w:rsid w:val="00715419"/>
    <w:rsid w:val="00716991"/>
    <w:rsid w:val="007172AD"/>
    <w:rsid w:val="007172C7"/>
    <w:rsid w:val="00721579"/>
    <w:rsid w:val="00721B08"/>
    <w:rsid w:val="007233CE"/>
    <w:rsid w:val="0072416F"/>
    <w:rsid w:val="00725CD1"/>
    <w:rsid w:val="00726A5B"/>
    <w:rsid w:val="00726F37"/>
    <w:rsid w:val="00730D72"/>
    <w:rsid w:val="007324FC"/>
    <w:rsid w:val="00733D5B"/>
    <w:rsid w:val="0073442B"/>
    <w:rsid w:val="00735328"/>
    <w:rsid w:val="007357D1"/>
    <w:rsid w:val="0073685B"/>
    <w:rsid w:val="007373B4"/>
    <w:rsid w:val="00737D1C"/>
    <w:rsid w:val="0074086C"/>
    <w:rsid w:val="00741262"/>
    <w:rsid w:val="0074192D"/>
    <w:rsid w:val="00741CC6"/>
    <w:rsid w:val="00742F39"/>
    <w:rsid w:val="00745654"/>
    <w:rsid w:val="0074664A"/>
    <w:rsid w:val="00751BB0"/>
    <w:rsid w:val="007522DC"/>
    <w:rsid w:val="007537BF"/>
    <w:rsid w:val="00754524"/>
    <w:rsid w:val="00757352"/>
    <w:rsid w:val="00760344"/>
    <w:rsid w:val="00761EB7"/>
    <w:rsid w:val="00761EE2"/>
    <w:rsid w:val="0076335F"/>
    <w:rsid w:val="00763C19"/>
    <w:rsid w:val="00764233"/>
    <w:rsid w:val="00764FC4"/>
    <w:rsid w:val="0076585F"/>
    <w:rsid w:val="00772AC2"/>
    <w:rsid w:val="007745A9"/>
    <w:rsid w:val="00774B5A"/>
    <w:rsid w:val="00776DB3"/>
    <w:rsid w:val="00777470"/>
    <w:rsid w:val="007807DE"/>
    <w:rsid w:val="007835C1"/>
    <w:rsid w:val="00785847"/>
    <w:rsid w:val="007860DD"/>
    <w:rsid w:val="0078634E"/>
    <w:rsid w:val="00787431"/>
    <w:rsid w:val="007875C4"/>
    <w:rsid w:val="00790F71"/>
    <w:rsid w:val="0079190C"/>
    <w:rsid w:val="00791A70"/>
    <w:rsid w:val="00791F60"/>
    <w:rsid w:val="00793B8B"/>
    <w:rsid w:val="00794C91"/>
    <w:rsid w:val="00795715"/>
    <w:rsid w:val="007958BF"/>
    <w:rsid w:val="007978FE"/>
    <w:rsid w:val="007A008C"/>
    <w:rsid w:val="007A0A12"/>
    <w:rsid w:val="007A4449"/>
    <w:rsid w:val="007A72F9"/>
    <w:rsid w:val="007B251D"/>
    <w:rsid w:val="007B31DC"/>
    <w:rsid w:val="007B345F"/>
    <w:rsid w:val="007B5E7D"/>
    <w:rsid w:val="007B6373"/>
    <w:rsid w:val="007B6738"/>
    <w:rsid w:val="007B72E9"/>
    <w:rsid w:val="007B77D1"/>
    <w:rsid w:val="007C01C1"/>
    <w:rsid w:val="007C080E"/>
    <w:rsid w:val="007C0C39"/>
    <w:rsid w:val="007C11A4"/>
    <w:rsid w:val="007C3198"/>
    <w:rsid w:val="007C361D"/>
    <w:rsid w:val="007C4B35"/>
    <w:rsid w:val="007C4C01"/>
    <w:rsid w:val="007C660B"/>
    <w:rsid w:val="007C7004"/>
    <w:rsid w:val="007C7F45"/>
    <w:rsid w:val="007D0B38"/>
    <w:rsid w:val="007D1171"/>
    <w:rsid w:val="007D2263"/>
    <w:rsid w:val="007D2B70"/>
    <w:rsid w:val="007D5994"/>
    <w:rsid w:val="007D5E0B"/>
    <w:rsid w:val="007D64F7"/>
    <w:rsid w:val="007E0B0C"/>
    <w:rsid w:val="007E11C1"/>
    <w:rsid w:val="007E1FF7"/>
    <w:rsid w:val="007E3B47"/>
    <w:rsid w:val="007E3B9D"/>
    <w:rsid w:val="007E3E20"/>
    <w:rsid w:val="007E75E1"/>
    <w:rsid w:val="007F0266"/>
    <w:rsid w:val="007F04EA"/>
    <w:rsid w:val="007F1017"/>
    <w:rsid w:val="007F284A"/>
    <w:rsid w:val="007F3B25"/>
    <w:rsid w:val="007F4A3F"/>
    <w:rsid w:val="007F605D"/>
    <w:rsid w:val="00801479"/>
    <w:rsid w:val="0080341C"/>
    <w:rsid w:val="008050CE"/>
    <w:rsid w:val="00805142"/>
    <w:rsid w:val="0080583A"/>
    <w:rsid w:val="00807A8B"/>
    <w:rsid w:val="00807C78"/>
    <w:rsid w:val="00811B59"/>
    <w:rsid w:val="00812149"/>
    <w:rsid w:val="0081325D"/>
    <w:rsid w:val="00813425"/>
    <w:rsid w:val="00815A7C"/>
    <w:rsid w:val="008166EF"/>
    <w:rsid w:val="00820E4E"/>
    <w:rsid w:val="008210CD"/>
    <w:rsid w:val="00825497"/>
    <w:rsid w:val="00825A0B"/>
    <w:rsid w:val="008264EB"/>
    <w:rsid w:val="008268F6"/>
    <w:rsid w:val="00826AAB"/>
    <w:rsid w:val="00827081"/>
    <w:rsid w:val="00827E27"/>
    <w:rsid w:val="0083301D"/>
    <w:rsid w:val="00833297"/>
    <w:rsid w:val="00833B05"/>
    <w:rsid w:val="00833EAC"/>
    <w:rsid w:val="008369A6"/>
    <w:rsid w:val="00836DE4"/>
    <w:rsid w:val="00836F05"/>
    <w:rsid w:val="008400F1"/>
    <w:rsid w:val="00840CA2"/>
    <w:rsid w:val="00841A52"/>
    <w:rsid w:val="00843389"/>
    <w:rsid w:val="00846912"/>
    <w:rsid w:val="008513CB"/>
    <w:rsid w:val="0085201C"/>
    <w:rsid w:val="0085279E"/>
    <w:rsid w:val="00854AE1"/>
    <w:rsid w:val="00856E9A"/>
    <w:rsid w:val="00857FFB"/>
    <w:rsid w:val="00862502"/>
    <w:rsid w:val="00864E42"/>
    <w:rsid w:val="00865824"/>
    <w:rsid w:val="00866400"/>
    <w:rsid w:val="00867891"/>
    <w:rsid w:val="00870672"/>
    <w:rsid w:val="008710B7"/>
    <w:rsid w:val="00871BDD"/>
    <w:rsid w:val="00873245"/>
    <w:rsid w:val="00874A5D"/>
    <w:rsid w:val="00874B51"/>
    <w:rsid w:val="00875652"/>
    <w:rsid w:val="008821FB"/>
    <w:rsid w:val="00882874"/>
    <w:rsid w:val="00883787"/>
    <w:rsid w:val="00885794"/>
    <w:rsid w:val="0088667A"/>
    <w:rsid w:val="00890717"/>
    <w:rsid w:val="008912A6"/>
    <w:rsid w:val="00893F46"/>
    <w:rsid w:val="00894148"/>
    <w:rsid w:val="00894489"/>
    <w:rsid w:val="00894D33"/>
    <w:rsid w:val="008963A5"/>
    <w:rsid w:val="0089734C"/>
    <w:rsid w:val="008A2537"/>
    <w:rsid w:val="008A2AD2"/>
    <w:rsid w:val="008A2CA6"/>
    <w:rsid w:val="008A386B"/>
    <w:rsid w:val="008A3C3E"/>
    <w:rsid w:val="008A3CCA"/>
    <w:rsid w:val="008A79DE"/>
    <w:rsid w:val="008A7E17"/>
    <w:rsid w:val="008B0592"/>
    <w:rsid w:val="008B30EC"/>
    <w:rsid w:val="008B3CB3"/>
    <w:rsid w:val="008B4582"/>
    <w:rsid w:val="008B4C2F"/>
    <w:rsid w:val="008B4D59"/>
    <w:rsid w:val="008B7D7E"/>
    <w:rsid w:val="008C0535"/>
    <w:rsid w:val="008C07D8"/>
    <w:rsid w:val="008C108F"/>
    <w:rsid w:val="008C2170"/>
    <w:rsid w:val="008C2DFA"/>
    <w:rsid w:val="008C449D"/>
    <w:rsid w:val="008C6A99"/>
    <w:rsid w:val="008C79DE"/>
    <w:rsid w:val="008C7ECB"/>
    <w:rsid w:val="008D11AE"/>
    <w:rsid w:val="008D7066"/>
    <w:rsid w:val="008D7538"/>
    <w:rsid w:val="008E07CF"/>
    <w:rsid w:val="008E1B9E"/>
    <w:rsid w:val="008E2840"/>
    <w:rsid w:val="008E2A3C"/>
    <w:rsid w:val="008E4243"/>
    <w:rsid w:val="008E57BE"/>
    <w:rsid w:val="008E7F65"/>
    <w:rsid w:val="008F0CE1"/>
    <w:rsid w:val="008F0D0E"/>
    <w:rsid w:val="008F120A"/>
    <w:rsid w:val="008F1CBE"/>
    <w:rsid w:val="008F2FB3"/>
    <w:rsid w:val="008F35DD"/>
    <w:rsid w:val="008F40D6"/>
    <w:rsid w:val="008F436E"/>
    <w:rsid w:val="008F48EB"/>
    <w:rsid w:val="008F4F0B"/>
    <w:rsid w:val="008F5DCA"/>
    <w:rsid w:val="00900EF4"/>
    <w:rsid w:val="009060D6"/>
    <w:rsid w:val="009062A5"/>
    <w:rsid w:val="009066A7"/>
    <w:rsid w:val="009111C9"/>
    <w:rsid w:val="00911272"/>
    <w:rsid w:val="00912C07"/>
    <w:rsid w:val="009131AC"/>
    <w:rsid w:val="00913372"/>
    <w:rsid w:val="0091372E"/>
    <w:rsid w:val="00914DE0"/>
    <w:rsid w:val="009201DD"/>
    <w:rsid w:val="009201E3"/>
    <w:rsid w:val="00926108"/>
    <w:rsid w:val="00927211"/>
    <w:rsid w:val="00927605"/>
    <w:rsid w:val="00927C7A"/>
    <w:rsid w:val="00931234"/>
    <w:rsid w:val="0093142B"/>
    <w:rsid w:val="00931A51"/>
    <w:rsid w:val="00932286"/>
    <w:rsid w:val="0093264D"/>
    <w:rsid w:val="00937BD1"/>
    <w:rsid w:val="00941549"/>
    <w:rsid w:val="00945028"/>
    <w:rsid w:val="0094622D"/>
    <w:rsid w:val="00946735"/>
    <w:rsid w:val="009468C8"/>
    <w:rsid w:val="00950DF9"/>
    <w:rsid w:val="00952661"/>
    <w:rsid w:val="00954846"/>
    <w:rsid w:val="00955497"/>
    <w:rsid w:val="00957368"/>
    <w:rsid w:val="00961D96"/>
    <w:rsid w:val="00962CB9"/>
    <w:rsid w:val="00962F1A"/>
    <w:rsid w:val="00964312"/>
    <w:rsid w:val="009644BF"/>
    <w:rsid w:val="0096683E"/>
    <w:rsid w:val="00966974"/>
    <w:rsid w:val="00970719"/>
    <w:rsid w:val="00972F1B"/>
    <w:rsid w:val="00973F21"/>
    <w:rsid w:val="0097575E"/>
    <w:rsid w:val="0097669B"/>
    <w:rsid w:val="0097683B"/>
    <w:rsid w:val="00977056"/>
    <w:rsid w:val="00980314"/>
    <w:rsid w:val="00980459"/>
    <w:rsid w:val="009828B9"/>
    <w:rsid w:val="00983E57"/>
    <w:rsid w:val="0098423F"/>
    <w:rsid w:val="00984B46"/>
    <w:rsid w:val="00984FF8"/>
    <w:rsid w:val="009861E5"/>
    <w:rsid w:val="009864FF"/>
    <w:rsid w:val="009871F9"/>
    <w:rsid w:val="00990C0E"/>
    <w:rsid w:val="00991C45"/>
    <w:rsid w:val="0099471A"/>
    <w:rsid w:val="009959EE"/>
    <w:rsid w:val="00996905"/>
    <w:rsid w:val="00996B1A"/>
    <w:rsid w:val="009A0512"/>
    <w:rsid w:val="009A1224"/>
    <w:rsid w:val="009A2E9C"/>
    <w:rsid w:val="009A44CA"/>
    <w:rsid w:val="009B1352"/>
    <w:rsid w:val="009B33E2"/>
    <w:rsid w:val="009B3B88"/>
    <w:rsid w:val="009B3E26"/>
    <w:rsid w:val="009B451D"/>
    <w:rsid w:val="009B4F29"/>
    <w:rsid w:val="009B6701"/>
    <w:rsid w:val="009B7168"/>
    <w:rsid w:val="009C1599"/>
    <w:rsid w:val="009C2318"/>
    <w:rsid w:val="009C52F7"/>
    <w:rsid w:val="009C5AAF"/>
    <w:rsid w:val="009C7715"/>
    <w:rsid w:val="009D0FCB"/>
    <w:rsid w:val="009D1FD2"/>
    <w:rsid w:val="009D3529"/>
    <w:rsid w:val="009D5516"/>
    <w:rsid w:val="009D5B91"/>
    <w:rsid w:val="009D7CD8"/>
    <w:rsid w:val="009D7EBE"/>
    <w:rsid w:val="009E0730"/>
    <w:rsid w:val="009E0FF9"/>
    <w:rsid w:val="009E23B0"/>
    <w:rsid w:val="009E2EC1"/>
    <w:rsid w:val="009E2F5D"/>
    <w:rsid w:val="009E4C07"/>
    <w:rsid w:val="009E541A"/>
    <w:rsid w:val="009E6033"/>
    <w:rsid w:val="009F097A"/>
    <w:rsid w:val="009F5825"/>
    <w:rsid w:val="009F599D"/>
    <w:rsid w:val="009F691A"/>
    <w:rsid w:val="00A01C23"/>
    <w:rsid w:val="00A03D43"/>
    <w:rsid w:val="00A04380"/>
    <w:rsid w:val="00A045CB"/>
    <w:rsid w:val="00A04B99"/>
    <w:rsid w:val="00A05602"/>
    <w:rsid w:val="00A067A8"/>
    <w:rsid w:val="00A07584"/>
    <w:rsid w:val="00A1147C"/>
    <w:rsid w:val="00A1203D"/>
    <w:rsid w:val="00A12D40"/>
    <w:rsid w:val="00A13948"/>
    <w:rsid w:val="00A13D32"/>
    <w:rsid w:val="00A161BB"/>
    <w:rsid w:val="00A1656B"/>
    <w:rsid w:val="00A23164"/>
    <w:rsid w:val="00A239BC"/>
    <w:rsid w:val="00A2436F"/>
    <w:rsid w:val="00A2464B"/>
    <w:rsid w:val="00A26FF0"/>
    <w:rsid w:val="00A270C3"/>
    <w:rsid w:val="00A271D4"/>
    <w:rsid w:val="00A27AEC"/>
    <w:rsid w:val="00A27BD3"/>
    <w:rsid w:val="00A333D0"/>
    <w:rsid w:val="00A3511B"/>
    <w:rsid w:val="00A35D16"/>
    <w:rsid w:val="00A35DB7"/>
    <w:rsid w:val="00A36391"/>
    <w:rsid w:val="00A40F41"/>
    <w:rsid w:val="00A41562"/>
    <w:rsid w:val="00A41C2F"/>
    <w:rsid w:val="00A43C59"/>
    <w:rsid w:val="00A441FB"/>
    <w:rsid w:val="00A447E3"/>
    <w:rsid w:val="00A44E19"/>
    <w:rsid w:val="00A457A7"/>
    <w:rsid w:val="00A50ECD"/>
    <w:rsid w:val="00A50FE5"/>
    <w:rsid w:val="00A52729"/>
    <w:rsid w:val="00A52EAF"/>
    <w:rsid w:val="00A53675"/>
    <w:rsid w:val="00A536AC"/>
    <w:rsid w:val="00A5459A"/>
    <w:rsid w:val="00A54DF5"/>
    <w:rsid w:val="00A551C4"/>
    <w:rsid w:val="00A5542E"/>
    <w:rsid w:val="00A56B6A"/>
    <w:rsid w:val="00A56B78"/>
    <w:rsid w:val="00A578DC"/>
    <w:rsid w:val="00A60E52"/>
    <w:rsid w:val="00A63631"/>
    <w:rsid w:val="00A63801"/>
    <w:rsid w:val="00A66380"/>
    <w:rsid w:val="00A663D8"/>
    <w:rsid w:val="00A6699D"/>
    <w:rsid w:val="00A6725B"/>
    <w:rsid w:val="00A67951"/>
    <w:rsid w:val="00A71512"/>
    <w:rsid w:val="00A7315C"/>
    <w:rsid w:val="00A736C8"/>
    <w:rsid w:val="00A74647"/>
    <w:rsid w:val="00A75138"/>
    <w:rsid w:val="00A756C8"/>
    <w:rsid w:val="00A759F8"/>
    <w:rsid w:val="00A77AFD"/>
    <w:rsid w:val="00A84D95"/>
    <w:rsid w:val="00A85182"/>
    <w:rsid w:val="00A86725"/>
    <w:rsid w:val="00A86E8B"/>
    <w:rsid w:val="00A874FB"/>
    <w:rsid w:val="00A90A78"/>
    <w:rsid w:val="00A90DB8"/>
    <w:rsid w:val="00A92B65"/>
    <w:rsid w:val="00A93072"/>
    <w:rsid w:val="00A959D8"/>
    <w:rsid w:val="00A95B0F"/>
    <w:rsid w:val="00A9638D"/>
    <w:rsid w:val="00A97C7E"/>
    <w:rsid w:val="00AA1E93"/>
    <w:rsid w:val="00AA2BE5"/>
    <w:rsid w:val="00AA322A"/>
    <w:rsid w:val="00AA38AE"/>
    <w:rsid w:val="00AA450B"/>
    <w:rsid w:val="00AA6910"/>
    <w:rsid w:val="00AA6FF7"/>
    <w:rsid w:val="00AB042A"/>
    <w:rsid w:val="00AB0F08"/>
    <w:rsid w:val="00AB1260"/>
    <w:rsid w:val="00AB21C4"/>
    <w:rsid w:val="00AB21EF"/>
    <w:rsid w:val="00AB2D34"/>
    <w:rsid w:val="00AB3097"/>
    <w:rsid w:val="00AB3430"/>
    <w:rsid w:val="00AB3C9F"/>
    <w:rsid w:val="00AB527D"/>
    <w:rsid w:val="00AB6096"/>
    <w:rsid w:val="00AB7CFA"/>
    <w:rsid w:val="00AC0DEA"/>
    <w:rsid w:val="00AC237B"/>
    <w:rsid w:val="00AC2735"/>
    <w:rsid w:val="00AC3402"/>
    <w:rsid w:val="00AC624A"/>
    <w:rsid w:val="00AC7BC9"/>
    <w:rsid w:val="00AD0342"/>
    <w:rsid w:val="00AD0AE5"/>
    <w:rsid w:val="00AD31D7"/>
    <w:rsid w:val="00AD3F96"/>
    <w:rsid w:val="00AD698A"/>
    <w:rsid w:val="00AE0930"/>
    <w:rsid w:val="00AE0C0E"/>
    <w:rsid w:val="00AE1636"/>
    <w:rsid w:val="00AE19F8"/>
    <w:rsid w:val="00AE1DD0"/>
    <w:rsid w:val="00AE22FE"/>
    <w:rsid w:val="00AE297B"/>
    <w:rsid w:val="00AE2BD0"/>
    <w:rsid w:val="00AE50C8"/>
    <w:rsid w:val="00AE5F21"/>
    <w:rsid w:val="00AF33F7"/>
    <w:rsid w:val="00AF6BBC"/>
    <w:rsid w:val="00B00652"/>
    <w:rsid w:val="00B00FF8"/>
    <w:rsid w:val="00B01C8B"/>
    <w:rsid w:val="00B02C74"/>
    <w:rsid w:val="00B02E0C"/>
    <w:rsid w:val="00B06DB3"/>
    <w:rsid w:val="00B06FF1"/>
    <w:rsid w:val="00B10A5D"/>
    <w:rsid w:val="00B11EF5"/>
    <w:rsid w:val="00B12A6A"/>
    <w:rsid w:val="00B12C14"/>
    <w:rsid w:val="00B135A6"/>
    <w:rsid w:val="00B1462E"/>
    <w:rsid w:val="00B1593D"/>
    <w:rsid w:val="00B16399"/>
    <w:rsid w:val="00B172E5"/>
    <w:rsid w:val="00B228C4"/>
    <w:rsid w:val="00B26810"/>
    <w:rsid w:val="00B26A7C"/>
    <w:rsid w:val="00B30EAA"/>
    <w:rsid w:val="00B31D45"/>
    <w:rsid w:val="00B32608"/>
    <w:rsid w:val="00B33B23"/>
    <w:rsid w:val="00B34A7F"/>
    <w:rsid w:val="00B35702"/>
    <w:rsid w:val="00B35C98"/>
    <w:rsid w:val="00B3611D"/>
    <w:rsid w:val="00B36DAF"/>
    <w:rsid w:val="00B3723D"/>
    <w:rsid w:val="00B375FD"/>
    <w:rsid w:val="00B401C3"/>
    <w:rsid w:val="00B42851"/>
    <w:rsid w:val="00B44656"/>
    <w:rsid w:val="00B501EE"/>
    <w:rsid w:val="00B50DB8"/>
    <w:rsid w:val="00B51CCD"/>
    <w:rsid w:val="00B524A7"/>
    <w:rsid w:val="00B53905"/>
    <w:rsid w:val="00B547D2"/>
    <w:rsid w:val="00B54B5B"/>
    <w:rsid w:val="00B555C0"/>
    <w:rsid w:val="00B5562E"/>
    <w:rsid w:val="00B55D7C"/>
    <w:rsid w:val="00B563AE"/>
    <w:rsid w:val="00B57000"/>
    <w:rsid w:val="00B57352"/>
    <w:rsid w:val="00B57783"/>
    <w:rsid w:val="00B60939"/>
    <w:rsid w:val="00B60AFD"/>
    <w:rsid w:val="00B6119E"/>
    <w:rsid w:val="00B62715"/>
    <w:rsid w:val="00B63E55"/>
    <w:rsid w:val="00B644D6"/>
    <w:rsid w:val="00B65926"/>
    <w:rsid w:val="00B6665C"/>
    <w:rsid w:val="00B70827"/>
    <w:rsid w:val="00B71186"/>
    <w:rsid w:val="00B7523B"/>
    <w:rsid w:val="00B77A8E"/>
    <w:rsid w:val="00B811AE"/>
    <w:rsid w:val="00B81480"/>
    <w:rsid w:val="00B8184A"/>
    <w:rsid w:val="00B818A4"/>
    <w:rsid w:val="00B82BB3"/>
    <w:rsid w:val="00B8649C"/>
    <w:rsid w:val="00B87CBC"/>
    <w:rsid w:val="00B901C8"/>
    <w:rsid w:val="00B926A3"/>
    <w:rsid w:val="00B92813"/>
    <w:rsid w:val="00B9293C"/>
    <w:rsid w:val="00B92D0B"/>
    <w:rsid w:val="00B93D61"/>
    <w:rsid w:val="00B94945"/>
    <w:rsid w:val="00B9653F"/>
    <w:rsid w:val="00BA0B76"/>
    <w:rsid w:val="00BA253D"/>
    <w:rsid w:val="00BA4ECB"/>
    <w:rsid w:val="00BA68FC"/>
    <w:rsid w:val="00BA796C"/>
    <w:rsid w:val="00BB447E"/>
    <w:rsid w:val="00BB5ECE"/>
    <w:rsid w:val="00BB7405"/>
    <w:rsid w:val="00BB7D5A"/>
    <w:rsid w:val="00BB7F4A"/>
    <w:rsid w:val="00BC0885"/>
    <w:rsid w:val="00BC0C24"/>
    <w:rsid w:val="00BC20AF"/>
    <w:rsid w:val="00BC3291"/>
    <w:rsid w:val="00BC3609"/>
    <w:rsid w:val="00BC6387"/>
    <w:rsid w:val="00BC7074"/>
    <w:rsid w:val="00BC7615"/>
    <w:rsid w:val="00BD08A2"/>
    <w:rsid w:val="00BD1F2C"/>
    <w:rsid w:val="00BD5020"/>
    <w:rsid w:val="00BD5E36"/>
    <w:rsid w:val="00BD6CF3"/>
    <w:rsid w:val="00BD75F1"/>
    <w:rsid w:val="00BD76C8"/>
    <w:rsid w:val="00BE0959"/>
    <w:rsid w:val="00BE2180"/>
    <w:rsid w:val="00BE218D"/>
    <w:rsid w:val="00BE338A"/>
    <w:rsid w:val="00BE3CC2"/>
    <w:rsid w:val="00BE4275"/>
    <w:rsid w:val="00BE63C1"/>
    <w:rsid w:val="00BF0D64"/>
    <w:rsid w:val="00BF1088"/>
    <w:rsid w:val="00BF2433"/>
    <w:rsid w:val="00BF403C"/>
    <w:rsid w:val="00BF60D2"/>
    <w:rsid w:val="00BF61C9"/>
    <w:rsid w:val="00BF6C7B"/>
    <w:rsid w:val="00C01096"/>
    <w:rsid w:val="00C01B5C"/>
    <w:rsid w:val="00C0365B"/>
    <w:rsid w:val="00C038E7"/>
    <w:rsid w:val="00C03F7E"/>
    <w:rsid w:val="00C04138"/>
    <w:rsid w:val="00C05F77"/>
    <w:rsid w:val="00C0611F"/>
    <w:rsid w:val="00C062C8"/>
    <w:rsid w:val="00C069C8"/>
    <w:rsid w:val="00C073FD"/>
    <w:rsid w:val="00C10760"/>
    <w:rsid w:val="00C125B7"/>
    <w:rsid w:val="00C15C34"/>
    <w:rsid w:val="00C17296"/>
    <w:rsid w:val="00C210F8"/>
    <w:rsid w:val="00C21996"/>
    <w:rsid w:val="00C22695"/>
    <w:rsid w:val="00C24D33"/>
    <w:rsid w:val="00C25418"/>
    <w:rsid w:val="00C25D9C"/>
    <w:rsid w:val="00C267D4"/>
    <w:rsid w:val="00C3160C"/>
    <w:rsid w:val="00C31649"/>
    <w:rsid w:val="00C3207C"/>
    <w:rsid w:val="00C341CB"/>
    <w:rsid w:val="00C36651"/>
    <w:rsid w:val="00C40385"/>
    <w:rsid w:val="00C405A3"/>
    <w:rsid w:val="00C40635"/>
    <w:rsid w:val="00C41AE5"/>
    <w:rsid w:val="00C41F11"/>
    <w:rsid w:val="00C41F5D"/>
    <w:rsid w:val="00C420CB"/>
    <w:rsid w:val="00C453CA"/>
    <w:rsid w:val="00C466F9"/>
    <w:rsid w:val="00C46F45"/>
    <w:rsid w:val="00C47AB9"/>
    <w:rsid w:val="00C50171"/>
    <w:rsid w:val="00C50516"/>
    <w:rsid w:val="00C50FC7"/>
    <w:rsid w:val="00C51F3E"/>
    <w:rsid w:val="00C52B97"/>
    <w:rsid w:val="00C56909"/>
    <w:rsid w:val="00C56B61"/>
    <w:rsid w:val="00C56F68"/>
    <w:rsid w:val="00C57594"/>
    <w:rsid w:val="00C57CDF"/>
    <w:rsid w:val="00C607C4"/>
    <w:rsid w:val="00C60964"/>
    <w:rsid w:val="00C619DC"/>
    <w:rsid w:val="00C65576"/>
    <w:rsid w:val="00C66165"/>
    <w:rsid w:val="00C67BA2"/>
    <w:rsid w:val="00C70344"/>
    <w:rsid w:val="00C703B5"/>
    <w:rsid w:val="00C70A14"/>
    <w:rsid w:val="00C7186E"/>
    <w:rsid w:val="00C74841"/>
    <w:rsid w:val="00C74CF8"/>
    <w:rsid w:val="00C750C8"/>
    <w:rsid w:val="00C811BF"/>
    <w:rsid w:val="00C81F7B"/>
    <w:rsid w:val="00C8213F"/>
    <w:rsid w:val="00C833D6"/>
    <w:rsid w:val="00C83D3F"/>
    <w:rsid w:val="00C869D2"/>
    <w:rsid w:val="00C8797A"/>
    <w:rsid w:val="00C87B58"/>
    <w:rsid w:val="00C87F2A"/>
    <w:rsid w:val="00C90094"/>
    <w:rsid w:val="00C90A4C"/>
    <w:rsid w:val="00C92EBB"/>
    <w:rsid w:val="00C931AB"/>
    <w:rsid w:val="00C93295"/>
    <w:rsid w:val="00C938CF"/>
    <w:rsid w:val="00C94943"/>
    <w:rsid w:val="00C95EC8"/>
    <w:rsid w:val="00C9658C"/>
    <w:rsid w:val="00CA12F7"/>
    <w:rsid w:val="00CA20E7"/>
    <w:rsid w:val="00CA2D84"/>
    <w:rsid w:val="00CA2D8C"/>
    <w:rsid w:val="00CA31C3"/>
    <w:rsid w:val="00CA3752"/>
    <w:rsid w:val="00CA4A9B"/>
    <w:rsid w:val="00CA5245"/>
    <w:rsid w:val="00CA672B"/>
    <w:rsid w:val="00CA7B09"/>
    <w:rsid w:val="00CA7B4C"/>
    <w:rsid w:val="00CB1E7B"/>
    <w:rsid w:val="00CB1EB2"/>
    <w:rsid w:val="00CB3D23"/>
    <w:rsid w:val="00CB5B1A"/>
    <w:rsid w:val="00CB6213"/>
    <w:rsid w:val="00CB6D52"/>
    <w:rsid w:val="00CB7135"/>
    <w:rsid w:val="00CC0AF8"/>
    <w:rsid w:val="00CC149C"/>
    <w:rsid w:val="00CC1AC0"/>
    <w:rsid w:val="00CC2649"/>
    <w:rsid w:val="00CC565A"/>
    <w:rsid w:val="00CC76C5"/>
    <w:rsid w:val="00CD13D2"/>
    <w:rsid w:val="00CD31AE"/>
    <w:rsid w:val="00CD3F97"/>
    <w:rsid w:val="00CD443E"/>
    <w:rsid w:val="00CD576E"/>
    <w:rsid w:val="00CD624D"/>
    <w:rsid w:val="00CD6272"/>
    <w:rsid w:val="00CD68A8"/>
    <w:rsid w:val="00CD6ADC"/>
    <w:rsid w:val="00CD74F9"/>
    <w:rsid w:val="00CE37B3"/>
    <w:rsid w:val="00CE4293"/>
    <w:rsid w:val="00CE432C"/>
    <w:rsid w:val="00CE47C7"/>
    <w:rsid w:val="00CE4CBD"/>
    <w:rsid w:val="00CE6274"/>
    <w:rsid w:val="00CE64AF"/>
    <w:rsid w:val="00CE66C8"/>
    <w:rsid w:val="00CE6881"/>
    <w:rsid w:val="00CF07FF"/>
    <w:rsid w:val="00CF1CCC"/>
    <w:rsid w:val="00CF20FC"/>
    <w:rsid w:val="00CF456B"/>
    <w:rsid w:val="00CF4CFA"/>
    <w:rsid w:val="00CF50DF"/>
    <w:rsid w:val="00CF5432"/>
    <w:rsid w:val="00CF5A22"/>
    <w:rsid w:val="00CF6E60"/>
    <w:rsid w:val="00D02295"/>
    <w:rsid w:val="00D0262E"/>
    <w:rsid w:val="00D0267E"/>
    <w:rsid w:val="00D05B2A"/>
    <w:rsid w:val="00D061E7"/>
    <w:rsid w:val="00D110BD"/>
    <w:rsid w:val="00D117D3"/>
    <w:rsid w:val="00D141A7"/>
    <w:rsid w:val="00D14620"/>
    <w:rsid w:val="00D1520E"/>
    <w:rsid w:val="00D153DC"/>
    <w:rsid w:val="00D16C0A"/>
    <w:rsid w:val="00D17B4D"/>
    <w:rsid w:val="00D17D6C"/>
    <w:rsid w:val="00D20425"/>
    <w:rsid w:val="00D21270"/>
    <w:rsid w:val="00D2153B"/>
    <w:rsid w:val="00D22336"/>
    <w:rsid w:val="00D2272A"/>
    <w:rsid w:val="00D22FD1"/>
    <w:rsid w:val="00D23425"/>
    <w:rsid w:val="00D2383E"/>
    <w:rsid w:val="00D24148"/>
    <w:rsid w:val="00D254BC"/>
    <w:rsid w:val="00D31C74"/>
    <w:rsid w:val="00D328FD"/>
    <w:rsid w:val="00D357FF"/>
    <w:rsid w:val="00D36D2E"/>
    <w:rsid w:val="00D37978"/>
    <w:rsid w:val="00D420A1"/>
    <w:rsid w:val="00D456FA"/>
    <w:rsid w:val="00D4770C"/>
    <w:rsid w:val="00D50B7B"/>
    <w:rsid w:val="00D50B88"/>
    <w:rsid w:val="00D51EDC"/>
    <w:rsid w:val="00D5243F"/>
    <w:rsid w:val="00D52BB8"/>
    <w:rsid w:val="00D551D5"/>
    <w:rsid w:val="00D601BB"/>
    <w:rsid w:val="00D626F1"/>
    <w:rsid w:val="00D62BAC"/>
    <w:rsid w:val="00D62BE9"/>
    <w:rsid w:val="00D65197"/>
    <w:rsid w:val="00D656A3"/>
    <w:rsid w:val="00D657C3"/>
    <w:rsid w:val="00D67440"/>
    <w:rsid w:val="00D675E3"/>
    <w:rsid w:val="00D70727"/>
    <w:rsid w:val="00D7218B"/>
    <w:rsid w:val="00D72322"/>
    <w:rsid w:val="00D7430A"/>
    <w:rsid w:val="00D75637"/>
    <w:rsid w:val="00D75AA4"/>
    <w:rsid w:val="00D76A44"/>
    <w:rsid w:val="00D76C07"/>
    <w:rsid w:val="00D816D1"/>
    <w:rsid w:val="00D81C7F"/>
    <w:rsid w:val="00D81D19"/>
    <w:rsid w:val="00D8418F"/>
    <w:rsid w:val="00D84806"/>
    <w:rsid w:val="00D8616D"/>
    <w:rsid w:val="00D901F5"/>
    <w:rsid w:val="00D9283D"/>
    <w:rsid w:val="00D93753"/>
    <w:rsid w:val="00D940B0"/>
    <w:rsid w:val="00D96E48"/>
    <w:rsid w:val="00DA00F9"/>
    <w:rsid w:val="00DA3869"/>
    <w:rsid w:val="00DA3F88"/>
    <w:rsid w:val="00DA4B01"/>
    <w:rsid w:val="00DA5C89"/>
    <w:rsid w:val="00DA60D7"/>
    <w:rsid w:val="00DA77A5"/>
    <w:rsid w:val="00DA7EE4"/>
    <w:rsid w:val="00DB3AA4"/>
    <w:rsid w:val="00DB5C58"/>
    <w:rsid w:val="00DB6EB8"/>
    <w:rsid w:val="00DB7739"/>
    <w:rsid w:val="00DC0B42"/>
    <w:rsid w:val="00DC19C2"/>
    <w:rsid w:val="00DC5501"/>
    <w:rsid w:val="00DC5E0B"/>
    <w:rsid w:val="00DC5ED4"/>
    <w:rsid w:val="00DC6A2F"/>
    <w:rsid w:val="00DD0306"/>
    <w:rsid w:val="00DD2E1C"/>
    <w:rsid w:val="00DD3B90"/>
    <w:rsid w:val="00DD3F28"/>
    <w:rsid w:val="00DD4537"/>
    <w:rsid w:val="00DD4632"/>
    <w:rsid w:val="00DD4E15"/>
    <w:rsid w:val="00DD5442"/>
    <w:rsid w:val="00DE1700"/>
    <w:rsid w:val="00DE17EB"/>
    <w:rsid w:val="00DE494F"/>
    <w:rsid w:val="00DE4B2E"/>
    <w:rsid w:val="00DE4FCB"/>
    <w:rsid w:val="00DE5B09"/>
    <w:rsid w:val="00DE5F00"/>
    <w:rsid w:val="00DE62F4"/>
    <w:rsid w:val="00DE6A00"/>
    <w:rsid w:val="00DE7498"/>
    <w:rsid w:val="00DF1E8B"/>
    <w:rsid w:val="00DF2C88"/>
    <w:rsid w:val="00DF2FB3"/>
    <w:rsid w:val="00DF3D68"/>
    <w:rsid w:val="00DF52F8"/>
    <w:rsid w:val="00DF5D2B"/>
    <w:rsid w:val="00DF5E0F"/>
    <w:rsid w:val="00DF673D"/>
    <w:rsid w:val="00DF6BF3"/>
    <w:rsid w:val="00E00324"/>
    <w:rsid w:val="00E04E3E"/>
    <w:rsid w:val="00E055A4"/>
    <w:rsid w:val="00E06B17"/>
    <w:rsid w:val="00E1008D"/>
    <w:rsid w:val="00E10149"/>
    <w:rsid w:val="00E11B3B"/>
    <w:rsid w:val="00E12862"/>
    <w:rsid w:val="00E12874"/>
    <w:rsid w:val="00E130EB"/>
    <w:rsid w:val="00E131C0"/>
    <w:rsid w:val="00E13B37"/>
    <w:rsid w:val="00E14EE9"/>
    <w:rsid w:val="00E15C49"/>
    <w:rsid w:val="00E16372"/>
    <w:rsid w:val="00E16979"/>
    <w:rsid w:val="00E16BE9"/>
    <w:rsid w:val="00E1717A"/>
    <w:rsid w:val="00E177B3"/>
    <w:rsid w:val="00E20B0C"/>
    <w:rsid w:val="00E20ED6"/>
    <w:rsid w:val="00E210E3"/>
    <w:rsid w:val="00E21358"/>
    <w:rsid w:val="00E218AC"/>
    <w:rsid w:val="00E21E67"/>
    <w:rsid w:val="00E2249B"/>
    <w:rsid w:val="00E22A0D"/>
    <w:rsid w:val="00E22BD7"/>
    <w:rsid w:val="00E23BE4"/>
    <w:rsid w:val="00E240E1"/>
    <w:rsid w:val="00E24872"/>
    <w:rsid w:val="00E24B59"/>
    <w:rsid w:val="00E276B8"/>
    <w:rsid w:val="00E2771E"/>
    <w:rsid w:val="00E27AF0"/>
    <w:rsid w:val="00E307D5"/>
    <w:rsid w:val="00E30885"/>
    <w:rsid w:val="00E324BB"/>
    <w:rsid w:val="00E328FB"/>
    <w:rsid w:val="00E338A1"/>
    <w:rsid w:val="00E358A5"/>
    <w:rsid w:val="00E37365"/>
    <w:rsid w:val="00E37569"/>
    <w:rsid w:val="00E41E30"/>
    <w:rsid w:val="00E42E06"/>
    <w:rsid w:val="00E430D1"/>
    <w:rsid w:val="00E434BC"/>
    <w:rsid w:val="00E43D70"/>
    <w:rsid w:val="00E43EC1"/>
    <w:rsid w:val="00E44450"/>
    <w:rsid w:val="00E47B11"/>
    <w:rsid w:val="00E47B2C"/>
    <w:rsid w:val="00E51560"/>
    <w:rsid w:val="00E51EB8"/>
    <w:rsid w:val="00E52AB7"/>
    <w:rsid w:val="00E52B4B"/>
    <w:rsid w:val="00E52E91"/>
    <w:rsid w:val="00E52ED5"/>
    <w:rsid w:val="00E5342A"/>
    <w:rsid w:val="00E55424"/>
    <w:rsid w:val="00E55BB5"/>
    <w:rsid w:val="00E60059"/>
    <w:rsid w:val="00E60351"/>
    <w:rsid w:val="00E6044C"/>
    <w:rsid w:val="00E60735"/>
    <w:rsid w:val="00E60A01"/>
    <w:rsid w:val="00E62B2F"/>
    <w:rsid w:val="00E65E79"/>
    <w:rsid w:val="00E664DB"/>
    <w:rsid w:val="00E6651F"/>
    <w:rsid w:val="00E67416"/>
    <w:rsid w:val="00E702DA"/>
    <w:rsid w:val="00E70BA7"/>
    <w:rsid w:val="00E718B6"/>
    <w:rsid w:val="00E72E9C"/>
    <w:rsid w:val="00E73151"/>
    <w:rsid w:val="00E73581"/>
    <w:rsid w:val="00E747F6"/>
    <w:rsid w:val="00E751A4"/>
    <w:rsid w:val="00E75A17"/>
    <w:rsid w:val="00E80A6B"/>
    <w:rsid w:val="00E83BDF"/>
    <w:rsid w:val="00E83E98"/>
    <w:rsid w:val="00E84952"/>
    <w:rsid w:val="00E84D59"/>
    <w:rsid w:val="00E85ADD"/>
    <w:rsid w:val="00E86D9A"/>
    <w:rsid w:val="00E92BDD"/>
    <w:rsid w:val="00E94D57"/>
    <w:rsid w:val="00E96545"/>
    <w:rsid w:val="00E96657"/>
    <w:rsid w:val="00E96776"/>
    <w:rsid w:val="00E979ED"/>
    <w:rsid w:val="00EA00D4"/>
    <w:rsid w:val="00EA04CD"/>
    <w:rsid w:val="00EA2F91"/>
    <w:rsid w:val="00EA3864"/>
    <w:rsid w:val="00EA653D"/>
    <w:rsid w:val="00EA6B07"/>
    <w:rsid w:val="00EB15B6"/>
    <w:rsid w:val="00EB201A"/>
    <w:rsid w:val="00EB3113"/>
    <w:rsid w:val="00EB4916"/>
    <w:rsid w:val="00EB4F4C"/>
    <w:rsid w:val="00EB6712"/>
    <w:rsid w:val="00EC00C9"/>
    <w:rsid w:val="00EC4F17"/>
    <w:rsid w:val="00EC53AA"/>
    <w:rsid w:val="00EC5BB1"/>
    <w:rsid w:val="00EC604E"/>
    <w:rsid w:val="00EC7303"/>
    <w:rsid w:val="00EC7D5A"/>
    <w:rsid w:val="00ED0F7C"/>
    <w:rsid w:val="00ED11BA"/>
    <w:rsid w:val="00ED27AA"/>
    <w:rsid w:val="00ED34E5"/>
    <w:rsid w:val="00ED4F16"/>
    <w:rsid w:val="00ED5197"/>
    <w:rsid w:val="00ED6E3A"/>
    <w:rsid w:val="00ED7F28"/>
    <w:rsid w:val="00EE07D3"/>
    <w:rsid w:val="00EE1C02"/>
    <w:rsid w:val="00EE2E61"/>
    <w:rsid w:val="00EE39D2"/>
    <w:rsid w:val="00EE486B"/>
    <w:rsid w:val="00EE5763"/>
    <w:rsid w:val="00EE605B"/>
    <w:rsid w:val="00EF2D24"/>
    <w:rsid w:val="00EF42B0"/>
    <w:rsid w:val="00EF4492"/>
    <w:rsid w:val="00EF5F1C"/>
    <w:rsid w:val="00EF78CC"/>
    <w:rsid w:val="00F00B83"/>
    <w:rsid w:val="00F049F6"/>
    <w:rsid w:val="00F06257"/>
    <w:rsid w:val="00F067A2"/>
    <w:rsid w:val="00F067FD"/>
    <w:rsid w:val="00F06B4C"/>
    <w:rsid w:val="00F07378"/>
    <w:rsid w:val="00F14D7D"/>
    <w:rsid w:val="00F15D9B"/>
    <w:rsid w:val="00F175D7"/>
    <w:rsid w:val="00F177C2"/>
    <w:rsid w:val="00F21B47"/>
    <w:rsid w:val="00F2353E"/>
    <w:rsid w:val="00F24837"/>
    <w:rsid w:val="00F250C0"/>
    <w:rsid w:val="00F25516"/>
    <w:rsid w:val="00F2575F"/>
    <w:rsid w:val="00F30023"/>
    <w:rsid w:val="00F3265B"/>
    <w:rsid w:val="00F33DE9"/>
    <w:rsid w:val="00F33F19"/>
    <w:rsid w:val="00F35E95"/>
    <w:rsid w:val="00F3619A"/>
    <w:rsid w:val="00F36266"/>
    <w:rsid w:val="00F36958"/>
    <w:rsid w:val="00F37D2A"/>
    <w:rsid w:val="00F37FAC"/>
    <w:rsid w:val="00F41BF6"/>
    <w:rsid w:val="00F4261F"/>
    <w:rsid w:val="00F441C1"/>
    <w:rsid w:val="00F448E6"/>
    <w:rsid w:val="00F466EF"/>
    <w:rsid w:val="00F46CB6"/>
    <w:rsid w:val="00F4720B"/>
    <w:rsid w:val="00F50A76"/>
    <w:rsid w:val="00F5113C"/>
    <w:rsid w:val="00F51D76"/>
    <w:rsid w:val="00F53E73"/>
    <w:rsid w:val="00F54E46"/>
    <w:rsid w:val="00F5513F"/>
    <w:rsid w:val="00F5516C"/>
    <w:rsid w:val="00F55E73"/>
    <w:rsid w:val="00F56FC3"/>
    <w:rsid w:val="00F60092"/>
    <w:rsid w:val="00F63604"/>
    <w:rsid w:val="00F645E3"/>
    <w:rsid w:val="00F64FFF"/>
    <w:rsid w:val="00F65647"/>
    <w:rsid w:val="00F80A50"/>
    <w:rsid w:val="00F80E5D"/>
    <w:rsid w:val="00F82941"/>
    <w:rsid w:val="00F83337"/>
    <w:rsid w:val="00F851CE"/>
    <w:rsid w:val="00F85F0A"/>
    <w:rsid w:val="00F86C8F"/>
    <w:rsid w:val="00F902BB"/>
    <w:rsid w:val="00F90E84"/>
    <w:rsid w:val="00F9389C"/>
    <w:rsid w:val="00F94511"/>
    <w:rsid w:val="00F97A78"/>
    <w:rsid w:val="00FA24E7"/>
    <w:rsid w:val="00FA3446"/>
    <w:rsid w:val="00FA7C36"/>
    <w:rsid w:val="00FB2701"/>
    <w:rsid w:val="00FB2FCB"/>
    <w:rsid w:val="00FB3951"/>
    <w:rsid w:val="00FB486F"/>
    <w:rsid w:val="00FB5832"/>
    <w:rsid w:val="00FB6DB8"/>
    <w:rsid w:val="00FB7B34"/>
    <w:rsid w:val="00FC1074"/>
    <w:rsid w:val="00FC14CB"/>
    <w:rsid w:val="00FC1884"/>
    <w:rsid w:val="00FC2C6A"/>
    <w:rsid w:val="00FC3301"/>
    <w:rsid w:val="00FC4A11"/>
    <w:rsid w:val="00FC55D2"/>
    <w:rsid w:val="00FC632B"/>
    <w:rsid w:val="00FC6FE7"/>
    <w:rsid w:val="00FC7778"/>
    <w:rsid w:val="00FC77A3"/>
    <w:rsid w:val="00FD0B5B"/>
    <w:rsid w:val="00FD20A3"/>
    <w:rsid w:val="00FD2100"/>
    <w:rsid w:val="00FD4368"/>
    <w:rsid w:val="00FD446D"/>
    <w:rsid w:val="00FD44BE"/>
    <w:rsid w:val="00FD6D11"/>
    <w:rsid w:val="00FE3362"/>
    <w:rsid w:val="00FE53D7"/>
    <w:rsid w:val="00FE7766"/>
    <w:rsid w:val="00FE7B71"/>
    <w:rsid w:val="00FF0220"/>
    <w:rsid w:val="00FF0A11"/>
    <w:rsid w:val="00FF2827"/>
    <w:rsid w:val="00FF2913"/>
    <w:rsid w:val="00FF3CBF"/>
    <w:rsid w:val="00FF3CCD"/>
    <w:rsid w:val="00FF3DCF"/>
    <w:rsid w:val="00FF41FE"/>
    <w:rsid w:val="00FF4862"/>
    <w:rsid w:val="00FF5479"/>
    <w:rsid w:val="00FF5659"/>
    <w:rsid w:val="00FF5AA3"/>
    <w:rsid w:val="00FF5E31"/>
    <w:rsid w:val="00FF70D5"/>
    <w:rsid w:val="00FF7179"/>
    <w:rsid w:val="00FF754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C0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8291D"/>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665967"/>
    <w:pPr>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665967"/>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PBAC Caption Tables + Figures"/>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8F35DD"/>
    <w:pPr>
      <w:ind w:left="720" w:hanging="720"/>
      <w:outlineLvl w:val="0"/>
    </w:pPr>
    <w:rPr>
      <w:b/>
      <w:sz w:val="28"/>
    </w:rPr>
  </w:style>
  <w:style w:type="character" w:customStyle="1" w:styleId="TitleChar">
    <w:name w:val="Title Char"/>
    <w:basedOn w:val="DefaultParagraphFont"/>
    <w:link w:val="Title"/>
    <w:rsid w:val="008F35DD"/>
    <w:rPr>
      <w:rFonts w:ascii="Arial" w:hAnsi="Arial" w:cs="Arial"/>
      <w:b/>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665967"/>
    <w:pPr>
      <w:numPr>
        <w:numId w:val="2"/>
      </w:numPr>
      <w:outlineLvl w:val="0"/>
    </w:pPr>
    <w:rPr>
      <w:rFonts w:ascii="Arial" w:hAnsi="Arial" w:cs="Arial"/>
      <w:b/>
      <w:snapToGrid w:val="0"/>
      <w:sz w:val="22"/>
      <w:szCs w:val="22"/>
      <w:lang w:eastAsia="en-US"/>
    </w:rPr>
  </w:style>
  <w:style w:type="paragraph" w:customStyle="1" w:styleId="PBACheading10">
    <w:name w:val="PBAC heading 1"/>
    <w:qFormat/>
    <w:rsid w:val="00447FBE"/>
    <w:pPr>
      <w:ind w:left="1146" w:hanging="720"/>
    </w:pPr>
    <w:rPr>
      <w:rFonts w:ascii="Arial" w:hAnsi="Arial" w:cs="Arial"/>
      <w:snapToGrid w:val="0"/>
      <w:sz w:val="22"/>
      <w:szCs w:val="22"/>
      <w:lang w:eastAsia="en-US"/>
    </w:rPr>
  </w:style>
  <w:style w:type="character" w:customStyle="1" w:styleId="ListParagraphChar">
    <w:name w:val="List Paragraph Char"/>
    <w:aliases w:val="BulletPoints Char"/>
    <w:basedOn w:val="DefaultParagraphFont"/>
    <w:link w:val="ListParagraph"/>
    <w:uiPriority w:val="34"/>
    <w:locked/>
    <w:rsid w:val="00447FBE"/>
    <w:rPr>
      <w:rFonts w:ascii="Arial" w:hAnsi="Arial" w:cs="Arial"/>
      <w:snapToGrid w:val="0"/>
      <w:sz w:val="22"/>
      <w:lang w:eastAsia="en-US"/>
    </w:rPr>
  </w:style>
  <w:style w:type="paragraph" w:customStyle="1" w:styleId="PBACTableText">
    <w:name w:val="PBAC Table Text"/>
    <w:basedOn w:val="Normal"/>
    <w:link w:val="PBACTableTextChar"/>
    <w:qFormat/>
    <w:rsid w:val="00195189"/>
    <w:pPr>
      <w:widowControl/>
      <w:jc w:val="left"/>
    </w:pPr>
    <w:rPr>
      <w:rFonts w:ascii="Arial Narrow" w:hAnsi="Arial Narrow" w:cs="Times New Roman"/>
      <w:snapToGrid/>
      <w:sz w:val="20"/>
      <w:lang w:val="en-US"/>
    </w:rPr>
  </w:style>
  <w:style w:type="character" w:customStyle="1" w:styleId="PBACTableTextChar">
    <w:name w:val="PBAC Table Text Char"/>
    <w:basedOn w:val="DefaultParagraphFont"/>
    <w:link w:val="PBACTableText"/>
    <w:rsid w:val="00195189"/>
    <w:rPr>
      <w:rFonts w:ascii="Arial Narrow" w:hAnsi="Arial Narrow"/>
      <w:lang w:val="en-US" w:eastAsia="en-US"/>
    </w:rPr>
  </w:style>
  <w:style w:type="character" w:customStyle="1" w:styleId="abbreviation">
    <w:name w:val="abbreviation"/>
    <w:basedOn w:val="DefaultParagraphFont"/>
    <w:rsid w:val="00A12D40"/>
  </w:style>
  <w:style w:type="table" w:customStyle="1" w:styleId="TableGrid1">
    <w:name w:val="Table Grid1"/>
    <w:basedOn w:val="TableNormal"/>
    <w:next w:val="TableGrid"/>
    <w:rsid w:val="002D76E1"/>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ACTableFootnote">
    <w:name w:val="PBAC Table Footnote"/>
    <w:basedOn w:val="Normal"/>
    <w:link w:val="PBACTableFootnoteChar"/>
    <w:rsid w:val="00E24872"/>
    <w:pPr>
      <w:widowControl/>
      <w:spacing w:before="60"/>
      <w:contextualSpacing/>
      <w:jc w:val="left"/>
    </w:pPr>
    <w:rPr>
      <w:rFonts w:ascii="Sabon" w:hAnsi="Sabon" w:cs="Times New Roman"/>
      <w:snapToGrid/>
      <w:sz w:val="16"/>
      <w:szCs w:val="24"/>
      <w:lang w:val="en-US"/>
    </w:rPr>
  </w:style>
  <w:style w:type="character" w:customStyle="1" w:styleId="PBACTableFootnoteChar">
    <w:name w:val="PBAC Table Footnote Char"/>
    <w:basedOn w:val="DefaultParagraphFont"/>
    <w:link w:val="PBACTableFootnote"/>
    <w:rsid w:val="00E24872"/>
    <w:rPr>
      <w:rFonts w:ascii="Sabon" w:hAnsi="Sabon"/>
      <w:sz w:val="16"/>
      <w:szCs w:val="24"/>
      <w:lang w:val="en-US" w:eastAsia="en-US"/>
    </w:rPr>
  </w:style>
  <w:style w:type="character" w:customStyle="1" w:styleId="Heading1Char">
    <w:name w:val="Heading 1 Char"/>
    <w:basedOn w:val="DefaultParagraphFont"/>
    <w:link w:val="Heading1"/>
    <w:rsid w:val="00764FC4"/>
    <w:rPr>
      <w:rFonts w:ascii="Arial Bold" w:hAnsi="Arial Bold" w:cs="Arial"/>
      <w:b/>
      <w:caps/>
      <w:snapToGrid w:val="0"/>
      <w:sz w:val="22"/>
      <w:lang w:eastAsia="en-US"/>
    </w:rPr>
  </w:style>
  <w:style w:type="table" w:customStyle="1" w:styleId="TableGrid5">
    <w:name w:val="Table Grid5"/>
    <w:basedOn w:val="TableNormal"/>
    <w:next w:val="TableGrid"/>
    <w:uiPriority w:val="59"/>
    <w:rsid w:val="00764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MATableTemplate1">
    <w:name w:val="CMA Table Template1"/>
    <w:basedOn w:val="TableNormal"/>
    <w:next w:val="TableGrid"/>
    <w:uiPriority w:val="59"/>
    <w:rsid w:val="00F06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126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8291D"/>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665967"/>
    <w:pPr>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665967"/>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PBAC Caption Tables + Figures"/>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8F35DD"/>
    <w:pPr>
      <w:ind w:left="720" w:hanging="720"/>
      <w:outlineLvl w:val="0"/>
    </w:pPr>
    <w:rPr>
      <w:b/>
      <w:sz w:val="28"/>
    </w:rPr>
  </w:style>
  <w:style w:type="character" w:customStyle="1" w:styleId="TitleChar">
    <w:name w:val="Title Char"/>
    <w:basedOn w:val="DefaultParagraphFont"/>
    <w:link w:val="Title"/>
    <w:rsid w:val="008F35DD"/>
    <w:rPr>
      <w:rFonts w:ascii="Arial" w:hAnsi="Arial" w:cs="Arial"/>
      <w:b/>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665967"/>
    <w:pPr>
      <w:numPr>
        <w:numId w:val="2"/>
      </w:numPr>
      <w:outlineLvl w:val="0"/>
    </w:pPr>
    <w:rPr>
      <w:rFonts w:ascii="Arial" w:hAnsi="Arial" w:cs="Arial"/>
      <w:b/>
      <w:snapToGrid w:val="0"/>
      <w:sz w:val="22"/>
      <w:szCs w:val="22"/>
      <w:lang w:eastAsia="en-US"/>
    </w:rPr>
  </w:style>
  <w:style w:type="paragraph" w:customStyle="1" w:styleId="PBACheading10">
    <w:name w:val="PBAC heading 1"/>
    <w:qFormat/>
    <w:rsid w:val="00447FBE"/>
    <w:pPr>
      <w:ind w:left="1146" w:hanging="720"/>
    </w:pPr>
    <w:rPr>
      <w:rFonts w:ascii="Arial" w:hAnsi="Arial" w:cs="Arial"/>
      <w:snapToGrid w:val="0"/>
      <w:sz w:val="22"/>
      <w:szCs w:val="22"/>
      <w:lang w:eastAsia="en-US"/>
    </w:rPr>
  </w:style>
  <w:style w:type="character" w:customStyle="1" w:styleId="ListParagraphChar">
    <w:name w:val="List Paragraph Char"/>
    <w:aliases w:val="BulletPoints Char"/>
    <w:basedOn w:val="DefaultParagraphFont"/>
    <w:link w:val="ListParagraph"/>
    <w:uiPriority w:val="34"/>
    <w:locked/>
    <w:rsid w:val="00447FBE"/>
    <w:rPr>
      <w:rFonts w:ascii="Arial" w:hAnsi="Arial" w:cs="Arial"/>
      <w:snapToGrid w:val="0"/>
      <w:sz w:val="22"/>
      <w:lang w:eastAsia="en-US"/>
    </w:rPr>
  </w:style>
  <w:style w:type="paragraph" w:customStyle="1" w:styleId="PBACTableText">
    <w:name w:val="PBAC Table Text"/>
    <w:basedOn w:val="Normal"/>
    <w:link w:val="PBACTableTextChar"/>
    <w:qFormat/>
    <w:rsid w:val="00195189"/>
    <w:pPr>
      <w:widowControl/>
      <w:jc w:val="left"/>
    </w:pPr>
    <w:rPr>
      <w:rFonts w:ascii="Arial Narrow" w:hAnsi="Arial Narrow" w:cs="Times New Roman"/>
      <w:snapToGrid/>
      <w:sz w:val="20"/>
      <w:lang w:val="en-US"/>
    </w:rPr>
  </w:style>
  <w:style w:type="character" w:customStyle="1" w:styleId="PBACTableTextChar">
    <w:name w:val="PBAC Table Text Char"/>
    <w:basedOn w:val="DefaultParagraphFont"/>
    <w:link w:val="PBACTableText"/>
    <w:rsid w:val="00195189"/>
    <w:rPr>
      <w:rFonts w:ascii="Arial Narrow" w:hAnsi="Arial Narrow"/>
      <w:lang w:val="en-US" w:eastAsia="en-US"/>
    </w:rPr>
  </w:style>
  <w:style w:type="character" w:customStyle="1" w:styleId="abbreviation">
    <w:name w:val="abbreviation"/>
    <w:basedOn w:val="DefaultParagraphFont"/>
    <w:rsid w:val="00A12D40"/>
  </w:style>
  <w:style w:type="table" w:customStyle="1" w:styleId="TableGrid1">
    <w:name w:val="Table Grid1"/>
    <w:basedOn w:val="TableNormal"/>
    <w:next w:val="TableGrid"/>
    <w:rsid w:val="002D76E1"/>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ACTableFootnote">
    <w:name w:val="PBAC Table Footnote"/>
    <w:basedOn w:val="Normal"/>
    <w:link w:val="PBACTableFootnoteChar"/>
    <w:rsid w:val="00E24872"/>
    <w:pPr>
      <w:widowControl/>
      <w:spacing w:before="60"/>
      <w:contextualSpacing/>
      <w:jc w:val="left"/>
    </w:pPr>
    <w:rPr>
      <w:rFonts w:ascii="Sabon" w:hAnsi="Sabon" w:cs="Times New Roman"/>
      <w:snapToGrid/>
      <w:sz w:val="16"/>
      <w:szCs w:val="24"/>
      <w:lang w:val="en-US"/>
    </w:rPr>
  </w:style>
  <w:style w:type="character" w:customStyle="1" w:styleId="PBACTableFootnoteChar">
    <w:name w:val="PBAC Table Footnote Char"/>
    <w:basedOn w:val="DefaultParagraphFont"/>
    <w:link w:val="PBACTableFootnote"/>
    <w:rsid w:val="00E24872"/>
    <w:rPr>
      <w:rFonts w:ascii="Sabon" w:hAnsi="Sabon"/>
      <w:sz w:val="16"/>
      <w:szCs w:val="24"/>
      <w:lang w:val="en-US" w:eastAsia="en-US"/>
    </w:rPr>
  </w:style>
  <w:style w:type="character" w:customStyle="1" w:styleId="Heading1Char">
    <w:name w:val="Heading 1 Char"/>
    <w:basedOn w:val="DefaultParagraphFont"/>
    <w:link w:val="Heading1"/>
    <w:rsid w:val="00764FC4"/>
    <w:rPr>
      <w:rFonts w:ascii="Arial Bold" w:hAnsi="Arial Bold" w:cs="Arial"/>
      <w:b/>
      <w:caps/>
      <w:snapToGrid w:val="0"/>
      <w:sz w:val="22"/>
      <w:lang w:eastAsia="en-US"/>
    </w:rPr>
  </w:style>
  <w:style w:type="table" w:customStyle="1" w:styleId="TableGrid5">
    <w:name w:val="Table Grid5"/>
    <w:basedOn w:val="TableNormal"/>
    <w:next w:val="TableGrid"/>
    <w:uiPriority w:val="59"/>
    <w:rsid w:val="00764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MATableTemplate1">
    <w:name w:val="CMA Table Template1"/>
    <w:basedOn w:val="TableNormal"/>
    <w:next w:val="TableGrid"/>
    <w:uiPriority w:val="59"/>
    <w:rsid w:val="00F06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126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61132">
      <w:bodyDiv w:val="1"/>
      <w:marLeft w:val="0"/>
      <w:marRight w:val="0"/>
      <w:marTop w:val="0"/>
      <w:marBottom w:val="0"/>
      <w:divBdr>
        <w:top w:val="none" w:sz="0" w:space="0" w:color="auto"/>
        <w:left w:val="none" w:sz="0" w:space="0" w:color="auto"/>
        <w:bottom w:val="none" w:sz="0" w:space="0" w:color="auto"/>
        <w:right w:val="none" w:sz="0" w:space="0" w:color="auto"/>
      </w:divBdr>
    </w:div>
    <w:div w:id="445085102">
      <w:bodyDiv w:val="1"/>
      <w:marLeft w:val="0"/>
      <w:marRight w:val="0"/>
      <w:marTop w:val="0"/>
      <w:marBottom w:val="0"/>
      <w:divBdr>
        <w:top w:val="none" w:sz="0" w:space="0" w:color="auto"/>
        <w:left w:val="none" w:sz="0" w:space="0" w:color="auto"/>
        <w:bottom w:val="none" w:sz="0" w:space="0" w:color="auto"/>
        <w:right w:val="none" w:sz="0" w:space="0" w:color="auto"/>
      </w:divBdr>
    </w:div>
    <w:div w:id="1028722839">
      <w:bodyDiv w:val="1"/>
      <w:marLeft w:val="0"/>
      <w:marRight w:val="0"/>
      <w:marTop w:val="0"/>
      <w:marBottom w:val="0"/>
      <w:divBdr>
        <w:top w:val="none" w:sz="0" w:space="0" w:color="auto"/>
        <w:left w:val="none" w:sz="0" w:space="0" w:color="auto"/>
        <w:bottom w:val="none" w:sz="0" w:space="0" w:color="auto"/>
        <w:right w:val="none" w:sz="0" w:space="0" w:color="auto"/>
      </w:divBdr>
    </w:div>
    <w:div w:id="1101753402">
      <w:bodyDiv w:val="1"/>
      <w:marLeft w:val="0"/>
      <w:marRight w:val="0"/>
      <w:marTop w:val="0"/>
      <w:marBottom w:val="0"/>
      <w:divBdr>
        <w:top w:val="none" w:sz="0" w:space="0" w:color="auto"/>
        <w:left w:val="none" w:sz="0" w:space="0" w:color="auto"/>
        <w:bottom w:val="none" w:sz="0" w:space="0" w:color="auto"/>
        <w:right w:val="none" w:sz="0" w:space="0" w:color="auto"/>
      </w:divBdr>
    </w:div>
    <w:div w:id="1248345445">
      <w:bodyDiv w:val="1"/>
      <w:marLeft w:val="0"/>
      <w:marRight w:val="0"/>
      <w:marTop w:val="0"/>
      <w:marBottom w:val="0"/>
      <w:divBdr>
        <w:top w:val="none" w:sz="0" w:space="0" w:color="auto"/>
        <w:left w:val="none" w:sz="0" w:space="0" w:color="auto"/>
        <w:bottom w:val="none" w:sz="0" w:space="0" w:color="auto"/>
        <w:right w:val="none" w:sz="0" w:space="0" w:color="auto"/>
      </w:divBdr>
    </w:div>
    <w:div w:id="1279139187">
      <w:bodyDiv w:val="1"/>
      <w:marLeft w:val="0"/>
      <w:marRight w:val="0"/>
      <w:marTop w:val="0"/>
      <w:marBottom w:val="0"/>
      <w:divBdr>
        <w:top w:val="none" w:sz="0" w:space="0" w:color="auto"/>
        <w:left w:val="none" w:sz="0" w:space="0" w:color="auto"/>
        <w:bottom w:val="none" w:sz="0" w:space="0" w:color="auto"/>
        <w:right w:val="none" w:sz="0" w:space="0" w:color="auto"/>
      </w:divBdr>
    </w:div>
    <w:div w:id="1358459278">
      <w:bodyDiv w:val="1"/>
      <w:marLeft w:val="0"/>
      <w:marRight w:val="0"/>
      <w:marTop w:val="0"/>
      <w:marBottom w:val="0"/>
      <w:divBdr>
        <w:top w:val="none" w:sz="0" w:space="0" w:color="auto"/>
        <w:left w:val="none" w:sz="0" w:space="0" w:color="auto"/>
        <w:bottom w:val="none" w:sz="0" w:space="0" w:color="auto"/>
        <w:right w:val="none" w:sz="0" w:space="0" w:color="auto"/>
      </w:divBdr>
    </w:div>
    <w:div w:id="1406146107">
      <w:bodyDiv w:val="1"/>
      <w:marLeft w:val="0"/>
      <w:marRight w:val="0"/>
      <w:marTop w:val="0"/>
      <w:marBottom w:val="0"/>
      <w:divBdr>
        <w:top w:val="none" w:sz="0" w:space="0" w:color="auto"/>
        <w:left w:val="none" w:sz="0" w:space="0" w:color="auto"/>
        <w:bottom w:val="none" w:sz="0" w:space="0" w:color="auto"/>
        <w:right w:val="none" w:sz="0" w:space="0" w:color="auto"/>
      </w:divBdr>
    </w:div>
    <w:div w:id="1440947064">
      <w:bodyDiv w:val="1"/>
      <w:marLeft w:val="0"/>
      <w:marRight w:val="0"/>
      <w:marTop w:val="0"/>
      <w:marBottom w:val="0"/>
      <w:divBdr>
        <w:top w:val="none" w:sz="0" w:space="0" w:color="auto"/>
        <w:left w:val="none" w:sz="0" w:space="0" w:color="auto"/>
        <w:bottom w:val="none" w:sz="0" w:space="0" w:color="auto"/>
        <w:right w:val="none" w:sz="0" w:space="0" w:color="auto"/>
      </w:divBdr>
    </w:div>
    <w:div w:id="1627933363">
      <w:bodyDiv w:val="1"/>
      <w:marLeft w:val="0"/>
      <w:marRight w:val="0"/>
      <w:marTop w:val="0"/>
      <w:marBottom w:val="0"/>
      <w:divBdr>
        <w:top w:val="none" w:sz="0" w:space="0" w:color="auto"/>
        <w:left w:val="none" w:sz="0" w:space="0" w:color="auto"/>
        <w:bottom w:val="none" w:sz="0" w:space="0" w:color="auto"/>
        <w:right w:val="none" w:sz="0" w:space="0" w:color="auto"/>
      </w:divBdr>
    </w:div>
    <w:div w:id="1637102305">
      <w:bodyDiv w:val="1"/>
      <w:marLeft w:val="0"/>
      <w:marRight w:val="0"/>
      <w:marTop w:val="0"/>
      <w:marBottom w:val="0"/>
      <w:divBdr>
        <w:top w:val="none" w:sz="0" w:space="0" w:color="auto"/>
        <w:left w:val="none" w:sz="0" w:space="0" w:color="auto"/>
        <w:bottom w:val="none" w:sz="0" w:space="0" w:color="auto"/>
        <w:right w:val="none" w:sz="0" w:space="0" w:color="auto"/>
      </w:divBdr>
    </w:div>
    <w:div w:id="1738939921">
      <w:bodyDiv w:val="1"/>
      <w:marLeft w:val="0"/>
      <w:marRight w:val="0"/>
      <w:marTop w:val="0"/>
      <w:marBottom w:val="0"/>
      <w:divBdr>
        <w:top w:val="none" w:sz="0" w:space="0" w:color="auto"/>
        <w:left w:val="none" w:sz="0" w:space="0" w:color="auto"/>
        <w:bottom w:val="none" w:sz="0" w:space="0" w:color="auto"/>
        <w:right w:val="none" w:sz="0" w:space="0" w:color="auto"/>
      </w:divBdr>
    </w:div>
    <w:div w:id="1874922754">
      <w:bodyDiv w:val="1"/>
      <w:marLeft w:val="0"/>
      <w:marRight w:val="0"/>
      <w:marTop w:val="0"/>
      <w:marBottom w:val="0"/>
      <w:divBdr>
        <w:top w:val="none" w:sz="0" w:space="0" w:color="auto"/>
        <w:left w:val="none" w:sz="0" w:space="0" w:color="auto"/>
        <w:bottom w:val="none" w:sz="0" w:space="0" w:color="auto"/>
        <w:right w:val="none" w:sz="0" w:space="0" w:color="auto"/>
      </w:divBdr>
    </w:div>
    <w:div w:id="2042511336">
      <w:bodyDiv w:val="1"/>
      <w:marLeft w:val="0"/>
      <w:marRight w:val="0"/>
      <w:marTop w:val="0"/>
      <w:marBottom w:val="0"/>
      <w:divBdr>
        <w:top w:val="none" w:sz="0" w:space="0" w:color="auto"/>
        <w:left w:val="none" w:sz="0" w:space="0" w:color="auto"/>
        <w:bottom w:val="none" w:sz="0" w:space="0" w:color="auto"/>
        <w:right w:val="none" w:sz="0" w:space="0" w:color="auto"/>
      </w:divBdr>
    </w:div>
    <w:div w:id="2087266757">
      <w:bodyDiv w:val="1"/>
      <w:marLeft w:val="0"/>
      <w:marRight w:val="0"/>
      <w:marTop w:val="0"/>
      <w:marBottom w:val="0"/>
      <w:divBdr>
        <w:top w:val="none" w:sz="0" w:space="0" w:color="auto"/>
        <w:left w:val="none" w:sz="0" w:space="0" w:color="auto"/>
        <w:bottom w:val="none" w:sz="0" w:space="0" w:color="auto"/>
        <w:right w:val="none" w:sz="0" w:space="0" w:color="auto"/>
      </w:divBdr>
    </w:div>
    <w:div w:id="2123376121">
      <w:bodyDiv w:val="1"/>
      <w:marLeft w:val="0"/>
      <w:marRight w:val="0"/>
      <w:marTop w:val="0"/>
      <w:marBottom w:val="0"/>
      <w:divBdr>
        <w:top w:val="none" w:sz="0" w:space="0" w:color="auto"/>
        <w:left w:val="none" w:sz="0" w:space="0" w:color="auto"/>
        <w:bottom w:val="none" w:sz="0" w:space="0" w:color="auto"/>
        <w:right w:val="none" w:sz="0" w:space="0" w:color="auto"/>
      </w:divBdr>
    </w:div>
    <w:div w:id="213401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5E780-EF40-4C9D-A694-DE5FC4C5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5947</Words>
  <Characters>34226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2016-06-24T01:10:00Z</dcterms:created>
  <dcterms:modified xsi:type="dcterms:W3CDTF">2016-06-24T01:17:00Z</dcterms:modified>
</cp:coreProperties>
</file>